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xml" ContentType="application/vnd.openxmlformats-officedocument.wordprocessingml.header+xml"/>
  <Override PartName="/word/header160.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FA266" w14:textId="39B1AAA1" w:rsidR="00BF03AA" w:rsidRPr="00326E55" w:rsidRDefault="00FB452D" w:rsidP="00FB452D">
      <w:pPr>
        <w:pStyle w:val="Pagedecouverture"/>
        <w:rPr>
          <w:noProof/>
          <w:lang w:val="sk-SK"/>
        </w:rPr>
      </w:pPr>
      <w:bookmarkStart w:id="0" w:name="LW_BM_COVERPAGE"/>
      <w:r>
        <w:rPr>
          <w:noProof/>
          <w:lang w:val="sk-SK"/>
        </w:rPr>
        <w:pict w14:anchorId="58AD44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59C50CD7-A0A2-4F61-BB37-6512A3FBBF17" style="width:455.25pt;height:396.75pt">
            <v:imagedata r:id="rId11" o:title=""/>
          </v:shape>
        </w:pict>
      </w:r>
    </w:p>
    <w:bookmarkEnd w:id="0"/>
    <w:p w14:paraId="6EF61DDC" w14:textId="77777777" w:rsidR="00BF03AA" w:rsidRPr="00326E55" w:rsidRDefault="00BF03AA">
      <w:pPr>
        <w:rPr>
          <w:rFonts w:ascii="Times New Roman" w:hAnsi="Times New Roman"/>
          <w:noProof/>
          <w:spacing w:val="-6"/>
          <w:lang w:val="sk-SK"/>
        </w:rPr>
        <w:sectPr w:rsidR="00BF03AA" w:rsidRPr="00326E55" w:rsidSect="00FB452D">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72E475F5" w14:textId="77777777" w:rsidR="00BF03AA" w:rsidRPr="00326E55" w:rsidRDefault="00FB452D">
      <w:pPr>
        <w:pStyle w:val="P68B1DB1-Heading11"/>
        <w:jc w:val="center"/>
        <w:rPr>
          <w:bCs/>
          <w:noProof/>
          <w:spacing w:val="-6"/>
          <w:lang w:val="sk-SK"/>
        </w:rPr>
      </w:pPr>
      <w:bookmarkStart w:id="1" w:name="_GoBack"/>
      <w:bookmarkEnd w:id="1"/>
      <w:r w:rsidRPr="00326E55">
        <w:rPr>
          <w:noProof/>
          <w:spacing w:val="-6"/>
          <w:lang w:val="sk-SK"/>
        </w:rPr>
        <w:lastRenderedPageBreak/>
        <w:t>PRÍLOHA</w:t>
      </w:r>
    </w:p>
    <w:p w14:paraId="418E2DB7" w14:textId="77777777" w:rsidR="00BF03AA" w:rsidRPr="00326E55" w:rsidRDefault="00FB452D">
      <w:pPr>
        <w:pStyle w:val="P68B1DB1-Heading12"/>
        <w:keepLines w:val="0"/>
        <w:numPr>
          <w:ilvl w:val="3"/>
          <w:numId w:val="57"/>
        </w:numPr>
        <w:spacing w:after="120" w:line="240" w:lineRule="auto"/>
        <w:ind w:left="851" w:hanging="851"/>
        <w:jc w:val="both"/>
        <w:rPr>
          <w:bCs/>
          <w:noProof/>
          <w:spacing w:val="-6"/>
          <w:lang w:val="sk-SK"/>
        </w:rPr>
      </w:pPr>
      <w:r w:rsidRPr="00326E55">
        <w:rPr>
          <w:noProof/>
          <w:spacing w:val="-6"/>
          <w:lang w:val="sk-SK"/>
        </w:rPr>
        <w:t>OPIS REFORIEM A INVESTÍCIÍ</w:t>
      </w:r>
    </w:p>
    <w:p w14:paraId="067CAD1C" w14:textId="77777777" w:rsidR="00BF03AA" w:rsidRPr="00326E55" w:rsidRDefault="00FB452D">
      <w:pPr>
        <w:pStyle w:val="P68B1DB1-Heading23"/>
        <w:numPr>
          <w:ilvl w:val="0"/>
          <w:numId w:val="68"/>
        </w:numPr>
        <w:spacing w:line="279" w:lineRule="auto"/>
        <w:rPr>
          <w:bCs/>
          <w:noProof/>
          <w:spacing w:val="-6"/>
          <w:lang w:val="sk-SK"/>
        </w:rPr>
      </w:pPr>
      <w:r w:rsidRPr="00326E55">
        <w:rPr>
          <w:noProof/>
          <w:spacing w:val="-6"/>
          <w:lang w:val="sk-SK"/>
        </w:rPr>
        <w:t>ÚLOHA 1 ZLOŽKA 1</w:t>
      </w:r>
    </w:p>
    <w:p w14:paraId="7809C6A9" w14:textId="6FDEB387" w:rsidR="00BF03AA" w:rsidRPr="00326E55" w:rsidRDefault="00FB452D">
      <w:pPr>
        <w:pStyle w:val="Descriptiontitle"/>
        <w:ind w:left="0"/>
        <w:rPr>
          <w:rFonts w:eastAsiaTheme="minorEastAsia"/>
          <w:noProof/>
          <w:spacing w:val="-6"/>
          <w:lang w:val="sk-SK"/>
        </w:rPr>
      </w:pPr>
      <w:r w:rsidRPr="00326E55">
        <w:rPr>
          <w:b/>
          <w:noProof/>
          <w:spacing w:val="-6"/>
          <w:lang w:val="sk-SK"/>
        </w:rPr>
        <w:t>Os 1 – Digitalizácia verejnej správy</w:t>
      </w:r>
      <w:r w:rsidRPr="00326E55">
        <w:rPr>
          <w:noProof/>
          <w:spacing w:val="-6"/>
          <w:lang w:val="sk-SK"/>
        </w:rPr>
        <w:t>: Os 1 komponentu M1C1 talianskeho plánu obnovy</w:t>
      </w:r>
      <w:r w:rsidR="00326E55" w:rsidRPr="00326E55">
        <w:rPr>
          <w:noProof/>
          <w:spacing w:val="-6"/>
          <w:lang w:val="sk-SK"/>
        </w:rPr>
        <w:t xml:space="preserve"> a </w:t>
      </w:r>
      <w:r w:rsidRPr="00326E55">
        <w:rPr>
          <w:noProof/>
          <w:spacing w:val="-6"/>
          <w:lang w:val="sk-SK"/>
        </w:rPr>
        <w:t>odolnosti obsahuje</w:t>
      </w:r>
      <w:r w:rsidRPr="00326E55">
        <w:rPr>
          <w:noProof/>
          <w:spacing w:val="-6"/>
          <w:lang w:val="sk-SK"/>
        </w:rPr>
        <w:t xml:space="preserve"> opatrenia, ktorých cieľom je podporiť digitalizáciu talianskej verejnej správy,</w:t>
      </w:r>
      <w:r w:rsidR="00326E55" w:rsidRPr="00326E55">
        <w:rPr>
          <w:noProof/>
          <w:spacing w:val="-6"/>
          <w:lang w:val="sk-SK"/>
        </w:rPr>
        <w:t xml:space="preserve"> a </w:t>
      </w:r>
      <w:r w:rsidRPr="00326E55">
        <w:rPr>
          <w:noProof/>
          <w:spacing w:val="-6"/>
          <w:lang w:val="sk-SK"/>
        </w:rPr>
        <w:t>zahŕňa sedem investícií</w:t>
      </w:r>
      <w:r w:rsidR="00326E55" w:rsidRPr="00326E55">
        <w:rPr>
          <w:noProof/>
          <w:spacing w:val="-6"/>
          <w:lang w:val="sk-SK"/>
        </w:rPr>
        <w:t xml:space="preserve"> a </w:t>
      </w:r>
      <w:r w:rsidRPr="00326E55">
        <w:rPr>
          <w:noProof/>
          <w:spacing w:val="-6"/>
          <w:lang w:val="sk-SK"/>
        </w:rPr>
        <w:t>tri reformy. Investície sú zamerané najmä na: I) racionalizácia</w:t>
      </w:r>
      <w:r w:rsidR="00326E55" w:rsidRPr="00326E55">
        <w:rPr>
          <w:noProof/>
          <w:spacing w:val="-6"/>
          <w:lang w:val="sk-SK"/>
        </w:rPr>
        <w:t xml:space="preserve"> a </w:t>
      </w:r>
      <w:r w:rsidRPr="00326E55">
        <w:rPr>
          <w:noProof/>
          <w:spacing w:val="-6"/>
          <w:lang w:val="sk-SK"/>
        </w:rPr>
        <w:t xml:space="preserve">konsolidácia existujúcich digitálnych infraštruktúr verejnej správy; II) podpora </w:t>
      </w:r>
      <w:r w:rsidRPr="00326E55">
        <w:rPr>
          <w:noProof/>
          <w:spacing w:val="-6"/>
          <w:lang w:val="sk-SK"/>
        </w:rPr>
        <w:t>zavádzania cloud computingu, iii)</w:t>
      </w:r>
      <w:r w:rsidR="00326E55" w:rsidRPr="00326E55">
        <w:rPr>
          <w:noProof/>
          <w:spacing w:val="-6"/>
          <w:lang w:val="sk-SK"/>
        </w:rPr>
        <w:t xml:space="preserve"> s </w:t>
      </w:r>
      <w:r w:rsidRPr="00326E55">
        <w:rPr>
          <w:noProof/>
          <w:spacing w:val="-6"/>
          <w:lang w:val="sk-SK"/>
        </w:rPr>
        <w:t>osobitným dôrazom na harmonizáciu</w:t>
      </w:r>
      <w:r w:rsidR="00326E55" w:rsidRPr="00326E55">
        <w:rPr>
          <w:noProof/>
          <w:spacing w:val="-6"/>
          <w:lang w:val="sk-SK"/>
        </w:rPr>
        <w:t xml:space="preserve"> a </w:t>
      </w:r>
      <w:r w:rsidRPr="00326E55">
        <w:rPr>
          <w:noProof/>
          <w:spacing w:val="-6"/>
          <w:lang w:val="sk-SK"/>
        </w:rPr>
        <w:t>interoperabilitu platforiem</w:t>
      </w:r>
      <w:r w:rsidR="00326E55" w:rsidRPr="00326E55">
        <w:rPr>
          <w:noProof/>
          <w:spacing w:val="-6"/>
          <w:lang w:val="sk-SK"/>
        </w:rPr>
        <w:t xml:space="preserve"> a </w:t>
      </w:r>
      <w:r w:rsidRPr="00326E55">
        <w:rPr>
          <w:noProof/>
          <w:spacing w:val="-6"/>
          <w:lang w:val="sk-SK"/>
        </w:rPr>
        <w:t>dátových služieb, vykonávanie zásady „jedenkrát</w:t>
      </w:r>
      <w:r w:rsidR="00326E55" w:rsidRPr="00326E55">
        <w:rPr>
          <w:noProof/>
          <w:spacing w:val="-6"/>
          <w:lang w:val="sk-SK"/>
        </w:rPr>
        <w:t xml:space="preserve"> a </w:t>
      </w:r>
      <w:r w:rsidRPr="00326E55">
        <w:rPr>
          <w:noProof/>
          <w:spacing w:val="-6"/>
          <w:lang w:val="sk-SK"/>
        </w:rPr>
        <w:t>dosť“</w:t>
      </w:r>
      <w:r w:rsidR="00326E55" w:rsidRPr="00326E55">
        <w:rPr>
          <w:noProof/>
          <w:spacing w:val="-6"/>
          <w:lang w:val="sk-SK"/>
        </w:rPr>
        <w:t xml:space="preserve"> a </w:t>
      </w:r>
      <w:r w:rsidRPr="00326E55">
        <w:rPr>
          <w:noProof/>
          <w:spacing w:val="-6"/>
          <w:lang w:val="sk-SK"/>
        </w:rPr>
        <w:t>prístupnosť údajov prostredníctvom katalógu aplikačných programovacích rozhraní (API); IV) zlepš</w:t>
      </w:r>
      <w:r w:rsidRPr="00326E55">
        <w:rPr>
          <w:noProof/>
          <w:spacing w:val="-6"/>
          <w:lang w:val="sk-SK"/>
        </w:rPr>
        <w:t>enie dostupnosti, efektívnosti</w:t>
      </w:r>
      <w:r w:rsidR="00326E55" w:rsidRPr="00326E55">
        <w:rPr>
          <w:noProof/>
          <w:spacing w:val="-6"/>
          <w:lang w:val="sk-SK"/>
        </w:rPr>
        <w:t xml:space="preserve"> a </w:t>
      </w:r>
      <w:r w:rsidRPr="00326E55">
        <w:rPr>
          <w:noProof/>
          <w:spacing w:val="-6"/>
          <w:lang w:val="sk-SK"/>
        </w:rPr>
        <w:t>prístupnosti všetkých digitálnych verejných služieb</w:t>
      </w:r>
      <w:r w:rsidR="00326E55" w:rsidRPr="00326E55">
        <w:rPr>
          <w:noProof/>
          <w:spacing w:val="-6"/>
          <w:lang w:val="sk-SK"/>
        </w:rPr>
        <w:t xml:space="preserve"> s </w:t>
      </w:r>
      <w:r w:rsidRPr="00326E55">
        <w:rPr>
          <w:noProof/>
          <w:spacing w:val="-6"/>
          <w:lang w:val="sk-SK"/>
        </w:rPr>
        <w:t>cieľom zvýšiť úroveň prijatia</w:t>
      </w:r>
      <w:r w:rsidR="00326E55" w:rsidRPr="00326E55">
        <w:rPr>
          <w:noProof/>
          <w:spacing w:val="-6"/>
          <w:lang w:val="sk-SK"/>
        </w:rPr>
        <w:t xml:space="preserve"> a </w:t>
      </w:r>
      <w:r w:rsidRPr="00326E55">
        <w:rPr>
          <w:noProof/>
          <w:spacing w:val="-6"/>
          <w:lang w:val="sk-SK"/>
        </w:rPr>
        <w:t xml:space="preserve">spokojnosti používateľov, v) posilnenie obrany Talianska proti rizikám, ktoré predstavuje počítačová kriminalita, vi) podpora digitálnej </w:t>
      </w:r>
      <w:r w:rsidRPr="00326E55">
        <w:rPr>
          <w:noProof/>
          <w:spacing w:val="-6"/>
          <w:lang w:val="sk-SK"/>
        </w:rPr>
        <w:t>transformácie veľkých ústredných orgánov verejnej správy; VII) riešenie digitálnej priepasti posilnením digitálnych zručností občanov. Reformy</w:t>
      </w:r>
      <w:r w:rsidR="00326E55" w:rsidRPr="00326E55">
        <w:rPr>
          <w:noProof/>
          <w:spacing w:val="-6"/>
          <w:lang w:val="sk-SK"/>
        </w:rPr>
        <w:t xml:space="preserve"> v </w:t>
      </w:r>
      <w:r w:rsidRPr="00326E55">
        <w:rPr>
          <w:noProof/>
          <w:spacing w:val="-6"/>
          <w:lang w:val="sk-SK"/>
        </w:rPr>
        <w:t>rámci tejto osi sú zamerané najmä na i) zefektívnenie</w:t>
      </w:r>
      <w:r w:rsidR="00326E55" w:rsidRPr="00326E55">
        <w:rPr>
          <w:noProof/>
          <w:spacing w:val="-6"/>
          <w:lang w:val="sk-SK"/>
        </w:rPr>
        <w:t xml:space="preserve"> a </w:t>
      </w:r>
      <w:r w:rsidRPr="00326E55">
        <w:rPr>
          <w:noProof/>
          <w:spacing w:val="-6"/>
          <w:lang w:val="sk-SK"/>
        </w:rPr>
        <w:t>urýchlenie procesu verejného obstarávania riešení</w:t>
      </w:r>
      <w:r w:rsidR="00326E55" w:rsidRPr="00326E55">
        <w:rPr>
          <w:noProof/>
          <w:spacing w:val="-6"/>
          <w:lang w:val="sk-SK"/>
        </w:rPr>
        <w:t xml:space="preserve"> v </w:t>
      </w:r>
      <w:r w:rsidRPr="00326E55">
        <w:rPr>
          <w:noProof/>
          <w:spacing w:val="-6"/>
          <w:lang w:val="sk-SK"/>
        </w:rPr>
        <w:t>obl</w:t>
      </w:r>
      <w:r w:rsidRPr="00326E55">
        <w:rPr>
          <w:noProof/>
          <w:spacing w:val="-6"/>
          <w:lang w:val="sk-SK"/>
        </w:rPr>
        <w:t>asti informačných</w:t>
      </w:r>
      <w:r w:rsidR="00326E55" w:rsidRPr="00326E55">
        <w:rPr>
          <w:noProof/>
          <w:spacing w:val="-6"/>
          <w:lang w:val="sk-SK"/>
        </w:rPr>
        <w:t xml:space="preserve"> a </w:t>
      </w:r>
      <w:r w:rsidRPr="00326E55">
        <w:rPr>
          <w:noProof/>
          <w:spacing w:val="-6"/>
          <w:lang w:val="sk-SK"/>
        </w:rPr>
        <w:t>komunikačných technológií (IKT) verejnou správou; II) podpora digitálnej transformácie verejnej správy</w:t>
      </w:r>
      <w:r w:rsidR="00326E55" w:rsidRPr="00326E55">
        <w:rPr>
          <w:noProof/>
          <w:spacing w:val="-6"/>
          <w:lang w:val="sk-SK"/>
        </w:rPr>
        <w:t xml:space="preserve"> a </w:t>
      </w:r>
      <w:r w:rsidRPr="00326E55">
        <w:rPr>
          <w:noProof/>
          <w:spacing w:val="-6"/>
          <w:lang w:val="sk-SK"/>
        </w:rPr>
        <w:t>iii) odstránenie prekážok pri prijímaní cloudu orgánmi verejnej správy</w:t>
      </w:r>
      <w:r w:rsidR="00326E55" w:rsidRPr="00326E55">
        <w:rPr>
          <w:noProof/>
          <w:spacing w:val="-6"/>
          <w:lang w:val="sk-SK"/>
        </w:rPr>
        <w:t xml:space="preserve"> a </w:t>
      </w:r>
      <w:r w:rsidRPr="00326E55">
        <w:rPr>
          <w:noProof/>
          <w:spacing w:val="-6"/>
          <w:lang w:val="sk-SK"/>
        </w:rPr>
        <w:t>zefektívnenie procesov výmeny údajov medzi orgánmi verejne</w:t>
      </w:r>
      <w:r w:rsidRPr="00326E55">
        <w:rPr>
          <w:noProof/>
          <w:spacing w:val="-6"/>
          <w:lang w:val="sk-SK"/>
        </w:rPr>
        <w:t>j správy.</w:t>
      </w:r>
    </w:p>
    <w:p w14:paraId="2A174A24" w14:textId="3B809A72" w:rsidR="00BF03AA" w:rsidRPr="00326E55" w:rsidRDefault="00FB452D">
      <w:pPr>
        <w:pStyle w:val="Descriptiontitle"/>
        <w:ind w:left="0"/>
        <w:rPr>
          <w:rFonts w:eastAsiaTheme="minorEastAsia"/>
          <w:noProof/>
          <w:spacing w:val="-6"/>
          <w:lang w:val="sk-SK"/>
        </w:rPr>
      </w:pPr>
      <w:r w:rsidRPr="00326E55">
        <w:rPr>
          <w:noProof/>
          <w:spacing w:val="-6"/>
          <w:lang w:val="sk-SK"/>
        </w:rPr>
        <w:t>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rámci tohto komponentu prispejú</w:t>
      </w:r>
      <w:r w:rsidR="00326E55" w:rsidRPr="00326E55">
        <w:rPr>
          <w:noProof/>
          <w:spacing w:val="-6"/>
          <w:lang w:val="sk-SK"/>
        </w:rPr>
        <w:t xml:space="preserve"> k </w:t>
      </w:r>
      <w:r w:rsidRPr="00326E55">
        <w:rPr>
          <w:noProof/>
          <w:spacing w:val="-6"/>
          <w:lang w:val="sk-SK"/>
        </w:rPr>
        <w:t>plneniu odporúčaní pre jednotlivé krajiny adresovaných Taliansku</w:t>
      </w:r>
      <w:r w:rsidR="00326E55" w:rsidRPr="00326E55">
        <w:rPr>
          <w:noProof/>
          <w:spacing w:val="-6"/>
          <w:lang w:val="sk-SK"/>
        </w:rPr>
        <w:t xml:space="preserve"> v </w:t>
      </w:r>
      <w:r w:rsidRPr="00326E55">
        <w:rPr>
          <w:noProof/>
          <w:spacing w:val="-6"/>
          <w:lang w:val="sk-SK"/>
        </w:rPr>
        <w:t>rokoch 2020</w:t>
      </w:r>
      <w:r w:rsidR="00326E55" w:rsidRPr="00326E55">
        <w:rPr>
          <w:noProof/>
          <w:spacing w:val="-6"/>
          <w:lang w:val="sk-SK"/>
        </w:rPr>
        <w:t xml:space="preserve"> a </w:t>
      </w:r>
      <w:r w:rsidRPr="00326E55">
        <w:rPr>
          <w:noProof/>
          <w:spacing w:val="-6"/>
          <w:lang w:val="sk-SK"/>
        </w:rPr>
        <w:t>2019</w:t>
      </w:r>
      <w:r w:rsidR="00326E55" w:rsidRPr="00326E55">
        <w:rPr>
          <w:noProof/>
          <w:spacing w:val="-6"/>
          <w:lang w:val="sk-SK"/>
        </w:rPr>
        <w:t xml:space="preserve"> o </w:t>
      </w:r>
      <w:r w:rsidRPr="00326E55">
        <w:rPr>
          <w:noProof/>
          <w:spacing w:val="-6"/>
          <w:lang w:val="sk-SK"/>
        </w:rPr>
        <w:t>potrebe „zlepšiť účinnosť verejnej správy,</w:t>
      </w:r>
      <w:r w:rsidR="00326E55" w:rsidRPr="00326E55">
        <w:rPr>
          <w:noProof/>
          <w:spacing w:val="-6"/>
          <w:lang w:val="sk-SK"/>
        </w:rPr>
        <w:t xml:space="preserve"> a </w:t>
      </w:r>
      <w:r w:rsidRPr="00326E55">
        <w:rPr>
          <w:noProof/>
          <w:spacing w:val="-6"/>
          <w:lang w:val="sk-SK"/>
        </w:rPr>
        <w:t xml:space="preserve">to aj investovaním do zručností zamestnancov verejnej </w:t>
      </w:r>
      <w:r w:rsidRPr="00326E55">
        <w:rPr>
          <w:noProof/>
          <w:spacing w:val="-6"/>
          <w:lang w:val="sk-SK"/>
        </w:rPr>
        <w:t>správy, urýchlením digitalizácie</w:t>
      </w:r>
      <w:r w:rsidR="00326E55" w:rsidRPr="00326E55">
        <w:rPr>
          <w:noProof/>
          <w:spacing w:val="-6"/>
          <w:lang w:val="sk-SK"/>
        </w:rPr>
        <w:t xml:space="preserve"> a </w:t>
      </w:r>
      <w:r w:rsidRPr="00326E55">
        <w:rPr>
          <w:noProof/>
          <w:spacing w:val="-6"/>
          <w:lang w:val="sk-SK"/>
        </w:rPr>
        <w:t>zvýšením efektívnosti</w:t>
      </w:r>
      <w:r w:rsidR="00326E55" w:rsidRPr="00326E55">
        <w:rPr>
          <w:noProof/>
          <w:spacing w:val="-6"/>
          <w:lang w:val="sk-SK"/>
        </w:rPr>
        <w:t xml:space="preserve"> a </w:t>
      </w:r>
      <w:r w:rsidRPr="00326E55">
        <w:rPr>
          <w:noProof/>
          <w:spacing w:val="-6"/>
          <w:lang w:val="sk-SK"/>
        </w:rPr>
        <w:t xml:space="preserve">kvality miestnych verejných služieb“ (odporúčanie pre jednotlivé krajiny </w:t>
      </w:r>
      <w:r w:rsidR="00326E55" w:rsidRPr="00326E55">
        <w:rPr>
          <w:noProof/>
          <w:spacing w:val="-6"/>
          <w:lang w:val="sk-SK"/>
        </w:rPr>
        <w:t>č. </w:t>
      </w:r>
      <w:r w:rsidRPr="00326E55">
        <w:rPr>
          <w:noProof/>
          <w:spacing w:val="-6"/>
          <w:lang w:val="sk-SK"/>
        </w:rPr>
        <w:t>3, 2019)</w:t>
      </w:r>
      <w:r w:rsidR="00326E55" w:rsidRPr="00326E55">
        <w:rPr>
          <w:noProof/>
          <w:spacing w:val="-6"/>
          <w:lang w:val="sk-SK"/>
        </w:rPr>
        <w:t xml:space="preserve"> a </w:t>
      </w:r>
      <w:r w:rsidRPr="00326E55">
        <w:rPr>
          <w:noProof/>
          <w:spacing w:val="-6"/>
          <w:lang w:val="sk-SK"/>
        </w:rPr>
        <w:t>„zamerať investície na zelenú</w:t>
      </w:r>
      <w:r w:rsidR="00326E55" w:rsidRPr="00326E55">
        <w:rPr>
          <w:noProof/>
          <w:spacing w:val="-6"/>
          <w:lang w:val="sk-SK"/>
        </w:rPr>
        <w:t xml:space="preserve"> a </w:t>
      </w:r>
      <w:r w:rsidRPr="00326E55">
        <w:rPr>
          <w:noProof/>
          <w:spacing w:val="-6"/>
          <w:lang w:val="sk-SK"/>
        </w:rPr>
        <w:t>digitálnu transformáciu, najmä na [...] posilnenú digitálnu infraštruktúru</w:t>
      </w:r>
      <w:r w:rsidR="00326E55" w:rsidRPr="00326E55">
        <w:rPr>
          <w:noProof/>
          <w:spacing w:val="-6"/>
          <w:lang w:val="sk-SK"/>
        </w:rPr>
        <w:t xml:space="preserve"> s </w:t>
      </w:r>
      <w:r w:rsidRPr="00326E55">
        <w:rPr>
          <w:noProof/>
          <w:spacing w:val="-6"/>
          <w:lang w:val="sk-SK"/>
        </w:rPr>
        <w:t>c</w:t>
      </w:r>
      <w:r w:rsidRPr="00326E55">
        <w:rPr>
          <w:noProof/>
          <w:spacing w:val="-6"/>
          <w:lang w:val="sk-SK"/>
        </w:rPr>
        <w:t xml:space="preserve">ieľom zabezpečiť poskytovanie základných služieb“ (odporúčanie pre jednotlivé krajiny </w:t>
      </w:r>
      <w:r w:rsidR="00326E55" w:rsidRPr="00326E55">
        <w:rPr>
          <w:noProof/>
          <w:spacing w:val="-6"/>
          <w:lang w:val="sk-SK"/>
        </w:rPr>
        <w:t>č. </w:t>
      </w:r>
      <w:r w:rsidRPr="00326E55">
        <w:rPr>
          <w:noProof/>
          <w:spacing w:val="-6"/>
          <w:lang w:val="sk-SK"/>
        </w:rPr>
        <w:t>3, 2020).</w:t>
      </w:r>
    </w:p>
    <w:p w14:paraId="5A840D96" w14:textId="223B2887" w:rsidR="00BF03AA" w:rsidRPr="00326E55" w:rsidRDefault="00FB452D">
      <w:pPr>
        <w:pStyle w:val="Descriptiontitle"/>
        <w:ind w:left="0"/>
        <w:rPr>
          <w:rFonts w:eastAsiaTheme="minorEastAsia"/>
          <w:noProof/>
          <w:spacing w:val="-6"/>
          <w:lang w:val="sk-SK"/>
        </w:rPr>
      </w:pPr>
      <w:r w:rsidRPr="00326E55">
        <w:rPr>
          <w:b/>
          <w:noProof/>
          <w:spacing w:val="-6"/>
          <w:lang w:val="sk-SK"/>
        </w:rPr>
        <w:t>Os 2 – Spravodlivosť</w:t>
      </w:r>
      <w:r w:rsidRPr="00326E55">
        <w:rPr>
          <w:noProof/>
          <w:spacing w:val="-6"/>
          <w:lang w:val="sk-SK"/>
        </w:rPr>
        <w:t>: Ako sa uvádza</w:t>
      </w:r>
      <w:r w:rsidR="00326E55" w:rsidRPr="00326E55">
        <w:rPr>
          <w:noProof/>
          <w:spacing w:val="-6"/>
          <w:lang w:val="sk-SK"/>
        </w:rPr>
        <w:t xml:space="preserve"> v </w:t>
      </w:r>
      <w:r w:rsidRPr="00326E55">
        <w:rPr>
          <w:noProof/>
          <w:spacing w:val="-6"/>
          <w:lang w:val="sk-SK"/>
        </w:rPr>
        <w:t>najnovšej správe Európskej komisie</w:t>
      </w:r>
      <w:r w:rsidR="00326E55" w:rsidRPr="00326E55">
        <w:rPr>
          <w:noProof/>
          <w:spacing w:val="-6"/>
          <w:lang w:val="sk-SK"/>
        </w:rPr>
        <w:t xml:space="preserve"> o </w:t>
      </w:r>
      <w:r w:rsidRPr="00326E55">
        <w:rPr>
          <w:noProof/>
          <w:spacing w:val="-6"/>
          <w:lang w:val="sk-SK"/>
        </w:rPr>
        <w:t>efektívnosti súdnictva (CEPEJ), výkonnosť talianskeho justičného systému je</w:t>
      </w:r>
      <w:r w:rsidR="00326E55" w:rsidRPr="00326E55">
        <w:rPr>
          <w:noProof/>
          <w:spacing w:val="-6"/>
          <w:lang w:val="sk-SK"/>
        </w:rPr>
        <w:t xml:space="preserve"> z </w:t>
      </w:r>
      <w:r w:rsidRPr="00326E55">
        <w:rPr>
          <w:noProof/>
          <w:spacing w:val="-6"/>
          <w:lang w:val="sk-SK"/>
        </w:rPr>
        <w:t>hľad</w:t>
      </w:r>
      <w:r w:rsidRPr="00326E55">
        <w:rPr>
          <w:noProof/>
          <w:spacing w:val="-6"/>
          <w:lang w:val="sk-SK"/>
        </w:rPr>
        <w:t>iska dĺžky konania ďaleko od výkonnosti iných členských štátov. Os 2 zložky M1C1 plánu obnovy</w:t>
      </w:r>
      <w:r w:rsidR="00326E55" w:rsidRPr="00326E55">
        <w:rPr>
          <w:noProof/>
          <w:spacing w:val="-6"/>
          <w:lang w:val="sk-SK"/>
        </w:rPr>
        <w:t xml:space="preserve"> a </w:t>
      </w:r>
      <w:r w:rsidRPr="00326E55">
        <w:rPr>
          <w:noProof/>
          <w:spacing w:val="-6"/>
          <w:lang w:val="sk-SK"/>
        </w:rPr>
        <w:t>odolnosti obsahuje opatrenia, ktorých cieľom je zefektívniť súdny systém skrátením dĺžky konaní</w:t>
      </w:r>
      <w:r w:rsidR="00326E55" w:rsidRPr="00326E55">
        <w:rPr>
          <w:noProof/>
          <w:spacing w:val="-6"/>
          <w:lang w:val="sk-SK"/>
        </w:rPr>
        <w:t xml:space="preserve"> a </w:t>
      </w:r>
      <w:r w:rsidRPr="00326E55">
        <w:rPr>
          <w:noProof/>
          <w:spacing w:val="-6"/>
          <w:lang w:val="sk-SK"/>
        </w:rPr>
        <w:t>priblížením Talianska</w:t>
      </w:r>
      <w:r w:rsidR="00326E55" w:rsidRPr="00326E55">
        <w:rPr>
          <w:noProof/>
          <w:spacing w:val="-6"/>
          <w:lang w:val="sk-SK"/>
        </w:rPr>
        <w:t xml:space="preserve"> k </w:t>
      </w:r>
      <w:r w:rsidRPr="00326E55">
        <w:rPr>
          <w:noProof/>
          <w:spacing w:val="-6"/>
          <w:lang w:val="sk-SK"/>
        </w:rPr>
        <w:t>mediánu EÚ. Táto zložka je zameraná na</w:t>
      </w:r>
      <w:r w:rsidRPr="00326E55">
        <w:rPr>
          <w:noProof/>
          <w:spacing w:val="-6"/>
          <w:lang w:val="sk-SK"/>
        </w:rPr>
        <w:t xml:space="preserve"> odporúčania pre jednotlivé krajiny adresované Taliansku</w:t>
      </w:r>
      <w:r w:rsidR="00326E55" w:rsidRPr="00326E55">
        <w:rPr>
          <w:noProof/>
          <w:spacing w:val="-6"/>
          <w:lang w:val="sk-SK"/>
        </w:rPr>
        <w:t xml:space="preserve"> v </w:t>
      </w:r>
      <w:r w:rsidRPr="00326E55">
        <w:rPr>
          <w:noProof/>
          <w:spacing w:val="-6"/>
          <w:lang w:val="sk-SK"/>
        </w:rPr>
        <w:t>rokoch 2020</w:t>
      </w:r>
      <w:r w:rsidR="00326E55" w:rsidRPr="00326E55">
        <w:rPr>
          <w:noProof/>
          <w:spacing w:val="-6"/>
          <w:lang w:val="sk-SK"/>
        </w:rPr>
        <w:t xml:space="preserve"> a </w:t>
      </w:r>
      <w:r w:rsidRPr="00326E55">
        <w:rPr>
          <w:noProof/>
          <w:spacing w:val="-6"/>
          <w:lang w:val="sk-SK"/>
        </w:rPr>
        <w:t>2019 týkajúce sa skrátenia dĺžky občianskych súdnych konaní</w:t>
      </w:r>
      <w:r w:rsidR="00326E55" w:rsidRPr="00326E55">
        <w:rPr>
          <w:noProof/>
          <w:spacing w:val="-6"/>
          <w:lang w:val="sk-SK"/>
        </w:rPr>
        <w:t xml:space="preserve"> a </w:t>
      </w:r>
      <w:r w:rsidRPr="00326E55">
        <w:rPr>
          <w:noProof/>
          <w:spacing w:val="-6"/>
          <w:lang w:val="sk-SK"/>
        </w:rPr>
        <w:t>zlepšenia účinnosti boja proti korupcii (odporúčania pre jednotlivé krajiny 4, 2019</w:t>
      </w:r>
      <w:r w:rsidR="00326E55" w:rsidRPr="00326E55">
        <w:rPr>
          <w:noProof/>
          <w:spacing w:val="-6"/>
          <w:lang w:val="sk-SK"/>
        </w:rPr>
        <w:t xml:space="preserve"> a </w:t>
      </w:r>
      <w:r w:rsidRPr="00326E55">
        <w:rPr>
          <w:noProof/>
          <w:spacing w:val="-6"/>
          <w:lang w:val="sk-SK"/>
        </w:rPr>
        <w:t xml:space="preserve">4, 2020). Digitalizácia justičného </w:t>
      </w:r>
      <w:r w:rsidRPr="00326E55">
        <w:rPr>
          <w:noProof/>
          <w:spacing w:val="-6"/>
          <w:lang w:val="sk-SK"/>
        </w:rPr>
        <w:t>systému je okrem toho relevantná aj pre digitálnu transformáciu.</w:t>
      </w:r>
    </w:p>
    <w:p w14:paraId="170A0A69" w14:textId="2111C30E" w:rsidR="00BF03AA" w:rsidRPr="00326E55" w:rsidRDefault="00FB452D">
      <w:pPr>
        <w:pStyle w:val="Descriptiontitle"/>
        <w:ind w:left="0"/>
        <w:rPr>
          <w:noProof/>
          <w:spacing w:val="-6"/>
          <w:lang w:val="sk-SK"/>
        </w:rPr>
      </w:pPr>
      <w:r w:rsidRPr="00326E55">
        <w:rPr>
          <w:b/>
          <w:noProof/>
          <w:spacing w:val="-6"/>
          <w:lang w:val="sk-SK"/>
        </w:rPr>
        <w:t>Os 3 – Verejná správa</w:t>
      </w:r>
      <w:r w:rsidRPr="00326E55">
        <w:rPr>
          <w:noProof/>
          <w:spacing w:val="-6"/>
          <w:lang w:val="sk-SK"/>
        </w:rPr>
        <w:t>: Os 3 zložky M1C1 plánu obnovy</w:t>
      </w:r>
      <w:r w:rsidR="00326E55" w:rsidRPr="00326E55">
        <w:rPr>
          <w:noProof/>
          <w:spacing w:val="-6"/>
          <w:lang w:val="sk-SK"/>
        </w:rPr>
        <w:t xml:space="preserve"> a </w:t>
      </w:r>
      <w:r w:rsidRPr="00326E55">
        <w:rPr>
          <w:noProof/>
          <w:spacing w:val="-6"/>
          <w:lang w:val="sk-SK"/>
        </w:rPr>
        <w:t>odolnosti obsahuje opatrenia, ktorých cieľom je reformovať taliansku verejnú správu</w:t>
      </w:r>
      <w:r w:rsidR="00326E55" w:rsidRPr="00326E55">
        <w:rPr>
          <w:noProof/>
          <w:spacing w:val="-6"/>
          <w:lang w:val="sk-SK"/>
        </w:rPr>
        <w:t xml:space="preserve"> a </w:t>
      </w:r>
      <w:r w:rsidRPr="00326E55">
        <w:rPr>
          <w:noProof/>
          <w:spacing w:val="-6"/>
          <w:lang w:val="sk-SK"/>
        </w:rPr>
        <w:t>zlepšiť administratívne kapacity. Taliansko je pod</w:t>
      </w:r>
      <w:r w:rsidRPr="00326E55">
        <w:rPr>
          <w:noProof/>
          <w:spacing w:val="-6"/>
          <w:lang w:val="sk-SK"/>
        </w:rPr>
        <w:t xml:space="preserve"> priemerom EÚ27, pokiaľ ide</w:t>
      </w:r>
      <w:r w:rsidR="00326E55" w:rsidRPr="00326E55">
        <w:rPr>
          <w:noProof/>
          <w:spacing w:val="-6"/>
          <w:lang w:val="sk-SK"/>
        </w:rPr>
        <w:t xml:space="preserve"> o </w:t>
      </w:r>
      <w:r w:rsidRPr="00326E55">
        <w:rPr>
          <w:noProof/>
          <w:spacing w:val="-6"/>
          <w:lang w:val="sk-SK"/>
        </w:rPr>
        <w:t>efektívnosť verejnej správy, ako aj dôveru vo verejnú správu. Reformy talianskej verejnej správy boli ovplyvnené vážnym nedostatkom vo vykonávaní reforiem zhora nadol</w:t>
      </w:r>
      <w:r w:rsidR="00326E55" w:rsidRPr="00326E55">
        <w:rPr>
          <w:noProof/>
          <w:spacing w:val="-6"/>
          <w:lang w:val="sk-SK"/>
        </w:rPr>
        <w:t xml:space="preserve"> a </w:t>
      </w:r>
      <w:r w:rsidRPr="00326E55">
        <w:rPr>
          <w:noProof/>
          <w:spacing w:val="-6"/>
          <w:lang w:val="sk-SK"/>
        </w:rPr>
        <w:t>nedostatočným uznávaním</w:t>
      </w:r>
      <w:r w:rsidR="00326E55" w:rsidRPr="00326E55">
        <w:rPr>
          <w:noProof/>
          <w:spacing w:val="-6"/>
          <w:lang w:val="sk-SK"/>
        </w:rPr>
        <w:t xml:space="preserve"> a </w:t>
      </w:r>
      <w:r w:rsidRPr="00326E55">
        <w:rPr>
          <w:noProof/>
          <w:spacing w:val="-6"/>
          <w:lang w:val="sk-SK"/>
        </w:rPr>
        <w:t xml:space="preserve">šírením cenných inovácií zdola </w:t>
      </w:r>
      <w:r w:rsidRPr="00326E55">
        <w:rPr>
          <w:noProof/>
          <w:spacing w:val="-6"/>
          <w:lang w:val="sk-SK"/>
        </w:rPr>
        <w:t>nahor. Administratívne kapacity sú veľmi nízke. Malo by sa pokračovať</w:t>
      </w:r>
      <w:r w:rsidR="00326E55" w:rsidRPr="00326E55">
        <w:rPr>
          <w:noProof/>
          <w:spacing w:val="-6"/>
          <w:lang w:val="sk-SK"/>
        </w:rPr>
        <w:t xml:space="preserve"> v </w:t>
      </w:r>
      <w:r w:rsidRPr="00326E55">
        <w:rPr>
          <w:noProof/>
          <w:spacing w:val="-6"/>
          <w:lang w:val="sk-SK"/>
        </w:rPr>
        <w:t>úsilí</w:t>
      </w:r>
      <w:r w:rsidR="00326E55" w:rsidRPr="00326E55">
        <w:rPr>
          <w:noProof/>
          <w:spacing w:val="-6"/>
          <w:lang w:val="sk-SK"/>
        </w:rPr>
        <w:t xml:space="preserve"> o </w:t>
      </w:r>
      <w:r w:rsidRPr="00326E55">
        <w:rPr>
          <w:noProof/>
          <w:spacing w:val="-6"/>
          <w:lang w:val="sk-SK"/>
        </w:rPr>
        <w:t>posilnenie kapacity strategického plánovania, mechanizmov monitorovania</w:t>
      </w:r>
      <w:r w:rsidR="00326E55" w:rsidRPr="00326E55">
        <w:rPr>
          <w:noProof/>
          <w:spacing w:val="-6"/>
          <w:lang w:val="sk-SK"/>
        </w:rPr>
        <w:t xml:space="preserve"> a </w:t>
      </w:r>
      <w:r w:rsidRPr="00326E55">
        <w:rPr>
          <w:noProof/>
          <w:spacing w:val="-6"/>
          <w:lang w:val="sk-SK"/>
        </w:rPr>
        <w:t>hodnotenia</w:t>
      </w:r>
      <w:r w:rsidR="00326E55" w:rsidRPr="00326E55">
        <w:rPr>
          <w:noProof/>
          <w:spacing w:val="-6"/>
          <w:lang w:val="sk-SK"/>
        </w:rPr>
        <w:t xml:space="preserve"> a </w:t>
      </w:r>
      <w:r w:rsidRPr="00326E55">
        <w:rPr>
          <w:noProof/>
          <w:spacing w:val="-6"/>
          <w:lang w:val="sk-SK"/>
        </w:rPr>
        <w:t xml:space="preserve">nástrojov tvorby politík založených na dôkazoch. Hlavným cieľom tejto zložky je posilniť </w:t>
      </w:r>
      <w:r w:rsidRPr="00326E55">
        <w:rPr>
          <w:noProof/>
          <w:spacing w:val="-6"/>
          <w:lang w:val="sk-SK"/>
        </w:rPr>
        <w:t>administratívne kapacity talianskych orgánov verejnej správy na ústrednej</w:t>
      </w:r>
      <w:r w:rsidR="00326E55" w:rsidRPr="00326E55">
        <w:rPr>
          <w:noProof/>
          <w:spacing w:val="-6"/>
          <w:lang w:val="sk-SK"/>
        </w:rPr>
        <w:t xml:space="preserve"> a </w:t>
      </w:r>
      <w:r w:rsidRPr="00326E55">
        <w:rPr>
          <w:noProof/>
          <w:spacing w:val="-6"/>
          <w:lang w:val="sk-SK"/>
        </w:rPr>
        <w:t>miestnej úrovni,</w:t>
      </w:r>
      <w:r w:rsidR="00326E55" w:rsidRPr="00326E55">
        <w:rPr>
          <w:noProof/>
          <w:spacing w:val="-6"/>
          <w:lang w:val="sk-SK"/>
        </w:rPr>
        <w:t xml:space="preserve"> a </w:t>
      </w:r>
      <w:r w:rsidRPr="00326E55">
        <w:rPr>
          <w:noProof/>
          <w:spacing w:val="-6"/>
          <w:lang w:val="sk-SK"/>
        </w:rPr>
        <w:t>to tak</w:t>
      </w:r>
      <w:r w:rsidR="00326E55" w:rsidRPr="00326E55">
        <w:rPr>
          <w:noProof/>
          <w:spacing w:val="-6"/>
          <w:lang w:val="sk-SK"/>
        </w:rPr>
        <w:t xml:space="preserve"> z </w:t>
      </w:r>
      <w:r w:rsidRPr="00326E55">
        <w:rPr>
          <w:noProof/>
          <w:spacing w:val="-6"/>
          <w:lang w:val="sk-SK"/>
        </w:rPr>
        <w:t>hľadiska ľudského kapitálu (výber, kompetencie</w:t>
      </w:r>
      <w:r w:rsidR="00326E55" w:rsidRPr="00326E55">
        <w:rPr>
          <w:noProof/>
          <w:spacing w:val="-6"/>
          <w:lang w:val="sk-SK"/>
        </w:rPr>
        <w:t xml:space="preserve"> a </w:t>
      </w:r>
      <w:r w:rsidRPr="00326E55">
        <w:rPr>
          <w:noProof/>
          <w:spacing w:val="-6"/>
          <w:lang w:val="sk-SK"/>
        </w:rPr>
        <w:t>kariéra), ako aj</w:t>
      </w:r>
      <w:r w:rsidR="00326E55" w:rsidRPr="00326E55">
        <w:rPr>
          <w:noProof/>
          <w:spacing w:val="-6"/>
          <w:lang w:val="sk-SK"/>
        </w:rPr>
        <w:t xml:space="preserve"> z </w:t>
      </w:r>
      <w:r w:rsidRPr="00326E55">
        <w:rPr>
          <w:noProof/>
          <w:spacing w:val="-6"/>
          <w:lang w:val="sk-SK"/>
        </w:rPr>
        <w:t>hľadiska zjednodušenia administratívnych postupov.</w:t>
      </w:r>
      <w:r w:rsidR="00326E55" w:rsidRPr="00326E55">
        <w:rPr>
          <w:noProof/>
          <w:spacing w:val="-6"/>
          <w:lang w:val="sk-SK"/>
        </w:rPr>
        <w:t xml:space="preserve"> V </w:t>
      </w:r>
      <w:r w:rsidRPr="00326E55">
        <w:rPr>
          <w:noProof/>
          <w:spacing w:val="-6"/>
          <w:lang w:val="sk-SK"/>
        </w:rPr>
        <w:t>tomto oddiele sa prezentuje zas</w:t>
      </w:r>
      <w:r w:rsidRPr="00326E55">
        <w:rPr>
          <w:noProof/>
          <w:spacing w:val="-6"/>
          <w:lang w:val="sk-SK"/>
        </w:rPr>
        <w:t>trešujúca štrukturálna stratégia</w:t>
      </w:r>
      <w:r w:rsidR="00326E55" w:rsidRPr="00326E55">
        <w:rPr>
          <w:noProof/>
          <w:spacing w:val="-6"/>
          <w:lang w:val="sk-SK"/>
        </w:rPr>
        <w:t xml:space="preserve"> v </w:t>
      </w:r>
      <w:r w:rsidRPr="00326E55">
        <w:rPr>
          <w:noProof/>
          <w:spacing w:val="-6"/>
          <w:lang w:val="sk-SK"/>
        </w:rPr>
        <w:t>oblasti ľudských zdrojov, od výberových procesov až po kariérne dráhy. Reforma zahŕňa aj opatrenia na zjednodušenie postupov. Investície do nových digitálnych nástrojov</w:t>
      </w:r>
      <w:r w:rsidR="00326E55" w:rsidRPr="00326E55">
        <w:rPr>
          <w:noProof/>
          <w:spacing w:val="-6"/>
          <w:lang w:val="sk-SK"/>
        </w:rPr>
        <w:t xml:space="preserve"> a </w:t>
      </w:r>
      <w:r w:rsidRPr="00326E55">
        <w:rPr>
          <w:noProof/>
          <w:spacing w:val="-6"/>
          <w:lang w:val="sk-SK"/>
        </w:rPr>
        <w:t>posilnené opatrenia</w:t>
      </w:r>
      <w:r w:rsidR="00326E55" w:rsidRPr="00326E55">
        <w:rPr>
          <w:noProof/>
          <w:spacing w:val="-6"/>
          <w:lang w:val="sk-SK"/>
        </w:rPr>
        <w:t xml:space="preserve"> v </w:t>
      </w:r>
      <w:r w:rsidRPr="00326E55">
        <w:rPr>
          <w:noProof/>
          <w:spacing w:val="-6"/>
          <w:lang w:val="sk-SK"/>
        </w:rPr>
        <w:t>oblasti celoživotného vzdelá</w:t>
      </w:r>
      <w:r w:rsidRPr="00326E55">
        <w:rPr>
          <w:noProof/>
          <w:spacing w:val="-6"/>
          <w:lang w:val="sk-SK"/>
        </w:rPr>
        <w:t>vania sú zahrnuté</w:t>
      </w:r>
      <w:r w:rsidR="00326E55" w:rsidRPr="00326E55">
        <w:rPr>
          <w:noProof/>
          <w:spacing w:val="-6"/>
          <w:lang w:val="sk-SK"/>
        </w:rPr>
        <w:t xml:space="preserve"> v </w:t>
      </w:r>
      <w:r w:rsidRPr="00326E55">
        <w:rPr>
          <w:noProof/>
          <w:spacing w:val="-6"/>
          <w:lang w:val="sk-SK"/>
        </w:rPr>
        <w:t>zložke 1 úlohy 1. Tento komponent je zameraný na odporúčania pre jednotlivé krajiny adresované Taliansku</w:t>
      </w:r>
      <w:r w:rsidR="00326E55" w:rsidRPr="00326E55">
        <w:rPr>
          <w:noProof/>
          <w:spacing w:val="-6"/>
          <w:lang w:val="sk-SK"/>
        </w:rPr>
        <w:t xml:space="preserve"> v </w:t>
      </w:r>
      <w:r w:rsidRPr="00326E55">
        <w:rPr>
          <w:noProof/>
          <w:spacing w:val="-6"/>
          <w:lang w:val="sk-SK"/>
        </w:rPr>
        <w:t>rokoch 2020</w:t>
      </w:r>
      <w:r w:rsidR="00326E55" w:rsidRPr="00326E55">
        <w:rPr>
          <w:noProof/>
          <w:spacing w:val="-6"/>
          <w:lang w:val="sk-SK"/>
        </w:rPr>
        <w:t xml:space="preserve"> a </w:t>
      </w:r>
      <w:r w:rsidRPr="00326E55">
        <w:rPr>
          <w:noProof/>
          <w:spacing w:val="-6"/>
          <w:lang w:val="sk-SK"/>
        </w:rPr>
        <w:t xml:space="preserve">2019 týkajúce sa zlepšenia účinnosti verejnej správy (odporúčanie pre jednotlivé krajiny </w:t>
      </w:r>
      <w:r w:rsidR="00326E55" w:rsidRPr="00326E55">
        <w:rPr>
          <w:noProof/>
          <w:spacing w:val="-6"/>
          <w:lang w:val="sk-SK"/>
        </w:rPr>
        <w:t>č. </w:t>
      </w:r>
      <w:r w:rsidRPr="00326E55">
        <w:rPr>
          <w:noProof/>
          <w:spacing w:val="-6"/>
          <w:lang w:val="sk-SK"/>
        </w:rPr>
        <w:t>3, 2019</w:t>
      </w:r>
      <w:r w:rsidR="00326E55" w:rsidRPr="00326E55">
        <w:rPr>
          <w:noProof/>
          <w:spacing w:val="-6"/>
          <w:lang w:val="sk-SK"/>
        </w:rPr>
        <w:t xml:space="preserve"> a </w:t>
      </w:r>
      <w:r w:rsidRPr="00326E55">
        <w:rPr>
          <w:noProof/>
          <w:spacing w:val="-6"/>
          <w:lang w:val="sk-SK"/>
        </w:rPr>
        <w:t>odporúčanie p</w:t>
      </w:r>
      <w:r w:rsidRPr="00326E55">
        <w:rPr>
          <w:noProof/>
          <w:spacing w:val="-6"/>
          <w:lang w:val="sk-SK"/>
        </w:rPr>
        <w:t xml:space="preserve">re danú krajinu </w:t>
      </w:r>
      <w:r w:rsidR="00326E55" w:rsidRPr="00326E55">
        <w:rPr>
          <w:noProof/>
          <w:spacing w:val="-6"/>
          <w:lang w:val="sk-SK"/>
        </w:rPr>
        <w:t>č. </w:t>
      </w:r>
      <w:r w:rsidRPr="00326E55">
        <w:rPr>
          <w:noProof/>
          <w:spacing w:val="-6"/>
          <w:lang w:val="sk-SK"/>
        </w:rPr>
        <w:t>4, 2020).</w:t>
      </w:r>
    </w:p>
    <w:p w14:paraId="773E2C97" w14:textId="531729A3" w:rsidR="00BF03AA" w:rsidRPr="00326E55" w:rsidRDefault="00FB452D">
      <w:pPr>
        <w:pStyle w:val="Descriptiontitle"/>
        <w:ind w:left="0"/>
        <w:rPr>
          <w:noProof/>
          <w:spacing w:val="-6"/>
          <w:lang w:val="sk-SK"/>
        </w:rPr>
      </w:pPr>
      <w:r w:rsidRPr="00326E55">
        <w:rPr>
          <w:b/>
          <w:noProof/>
          <w:spacing w:val="-6"/>
          <w:lang w:val="sk-SK"/>
        </w:rPr>
        <w:t>Os 4 – Verejné obstarávanie</w:t>
      </w:r>
      <w:r w:rsidR="00326E55" w:rsidRPr="00326E55">
        <w:rPr>
          <w:b/>
          <w:noProof/>
          <w:spacing w:val="-6"/>
          <w:lang w:val="sk-SK"/>
        </w:rPr>
        <w:t xml:space="preserve"> a </w:t>
      </w:r>
      <w:r w:rsidRPr="00326E55">
        <w:rPr>
          <w:b/>
          <w:noProof/>
          <w:spacing w:val="-6"/>
          <w:lang w:val="sk-SK"/>
        </w:rPr>
        <w:t>platby administratívy</w:t>
      </w:r>
      <w:r w:rsidRPr="00326E55">
        <w:rPr>
          <w:noProof/>
          <w:spacing w:val="-6"/>
          <w:lang w:val="sk-SK"/>
        </w:rPr>
        <w:t>: Os 4 zložky M1C1 plánu obnovy</w:t>
      </w:r>
      <w:r w:rsidR="00326E55" w:rsidRPr="00326E55">
        <w:rPr>
          <w:noProof/>
          <w:spacing w:val="-6"/>
          <w:lang w:val="sk-SK"/>
        </w:rPr>
        <w:t xml:space="preserve"> a </w:t>
      </w:r>
      <w:r w:rsidRPr="00326E55">
        <w:rPr>
          <w:noProof/>
          <w:spacing w:val="-6"/>
          <w:lang w:val="sk-SK"/>
        </w:rPr>
        <w:t>odolnosti obsahuje opatrenia, ktorých cieľom je reformovať určité kľúčové aspekty talianskeho legislatívneho rámca verejného obstarávania</w:t>
      </w:r>
      <w:r w:rsidR="00326E55" w:rsidRPr="00326E55">
        <w:rPr>
          <w:noProof/>
          <w:spacing w:val="-6"/>
          <w:lang w:val="sk-SK"/>
        </w:rPr>
        <w:t xml:space="preserve"> a </w:t>
      </w:r>
      <w:r w:rsidRPr="00326E55">
        <w:rPr>
          <w:noProof/>
          <w:spacing w:val="-6"/>
          <w:lang w:val="sk-SK"/>
        </w:rPr>
        <w:t>zn</w:t>
      </w:r>
      <w:r w:rsidRPr="00326E55">
        <w:rPr>
          <w:noProof/>
          <w:spacing w:val="-6"/>
          <w:lang w:val="sk-SK"/>
        </w:rPr>
        <w:t>ížiť oneskorené platby zo strany orgánov verejnej správy</w:t>
      </w:r>
      <w:r w:rsidR="00326E55" w:rsidRPr="00326E55">
        <w:rPr>
          <w:noProof/>
          <w:spacing w:val="-6"/>
          <w:lang w:val="sk-SK"/>
        </w:rPr>
        <w:t xml:space="preserve"> v </w:t>
      </w:r>
      <w:r w:rsidRPr="00326E55">
        <w:rPr>
          <w:noProof/>
          <w:spacing w:val="-6"/>
          <w:lang w:val="sk-SK"/>
        </w:rPr>
        <w:t>ústredných, regionálnych</w:t>
      </w:r>
      <w:r w:rsidR="00326E55" w:rsidRPr="00326E55">
        <w:rPr>
          <w:noProof/>
          <w:spacing w:val="-6"/>
          <w:lang w:val="sk-SK"/>
        </w:rPr>
        <w:t xml:space="preserve"> a </w:t>
      </w:r>
      <w:r w:rsidRPr="00326E55">
        <w:rPr>
          <w:noProof/>
          <w:spacing w:val="-6"/>
          <w:lang w:val="sk-SK"/>
        </w:rPr>
        <w:t>miestnych, ako aj regionálnych zdravotníckych orgánov. Hlavným cieľom reformy je zjednodušiť pravidlá verejného obstarávania, zvýšiť právnu istotu pre podniky</w:t>
      </w:r>
      <w:r w:rsidR="00326E55" w:rsidRPr="00326E55">
        <w:rPr>
          <w:noProof/>
          <w:spacing w:val="-6"/>
          <w:lang w:val="sk-SK"/>
        </w:rPr>
        <w:t xml:space="preserve"> a </w:t>
      </w:r>
      <w:r w:rsidRPr="00326E55">
        <w:rPr>
          <w:noProof/>
          <w:spacing w:val="-6"/>
          <w:lang w:val="sk-SK"/>
        </w:rPr>
        <w:t xml:space="preserve">urýchliť </w:t>
      </w:r>
      <w:r w:rsidRPr="00326E55">
        <w:rPr>
          <w:noProof/>
          <w:spacing w:val="-6"/>
          <w:lang w:val="sk-SK"/>
        </w:rPr>
        <w:t>zadávanie verejných zákaziek pri súčasnom zachovaní procesných záruk, pokiaľ ide</w:t>
      </w:r>
      <w:r w:rsidR="00326E55" w:rsidRPr="00326E55">
        <w:rPr>
          <w:noProof/>
          <w:spacing w:val="-6"/>
          <w:lang w:val="sk-SK"/>
        </w:rPr>
        <w:t xml:space="preserve"> o </w:t>
      </w:r>
      <w:r w:rsidRPr="00326E55">
        <w:rPr>
          <w:noProof/>
          <w:spacing w:val="-6"/>
          <w:lang w:val="sk-SK"/>
        </w:rPr>
        <w:t>transparentnosť</w:t>
      </w:r>
      <w:r w:rsidR="00326E55" w:rsidRPr="00326E55">
        <w:rPr>
          <w:noProof/>
          <w:spacing w:val="-6"/>
          <w:lang w:val="sk-SK"/>
        </w:rPr>
        <w:t xml:space="preserve"> a </w:t>
      </w:r>
      <w:r w:rsidRPr="00326E55">
        <w:rPr>
          <w:noProof/>
          <w:spacing w:val="-6"/>
          <w:lang w:val="sk-SK"/>
        </w:rPr>
        <w:t>rovnaké zaobchádzanie. Tieto reformy preto podporujú včasnú realizáciu infraštruktúr</w:t>
      </w:r>
      <w:r w:rsidR="00326E55" w:rsidRPr="00326E55">
        <w:rPr>
          <w:noProof/>
          <w:spacing w:val="-6"/>
          <w:lang w:val="sk-SK"/>
        </w:rPr>
        <w:t xml:space="preserve"> a </w:t>
      </w:r>
      <w:r w:rsidRPr="00326E55">
        <w:rPr>
          <w:noProof/>
          <w:spacing w:val="-6"/>
          <w:lang w:val="sk-SK"/>
        </w:rPr>
        <w:t>projektov financovaných</w:t>
      </w:r>
      <w:r w:rsidR="00326E55" w:rsidRPr="00326E55">
        <w:rPr>
          <w:noProof/>
          <w:spacing w:val="-6"/>
          <w:lang w:val="sk-SK"/>
        </w:rPr>
        <w:t xml:space="preserve"> z </w:t>
      </w:r>
      <w:r w:rsidRPr="00326E55">
        <w:rPr>
          <w:noProof/>
          <w:spacing w:val="-6"/>
          <w:lang w:val="sk-SK"/>
        </w:rPr>
        <w:t>plánu.</w:t>
      </w:r>
    </w:p>
    <w:p w14:paraId="2741A3E1" w14:textId="7416AEDE" w:rsidR="00BF03AA" w:rsidRPr="00326E55" w:rsidRDefault="00FB452D">
      <w:pPr>
        <w:pStyle w:val="Descriptiontitle"/>
        <w:ind w:left="0"/>
        <w:rPr>
          <w:noProof/>
          <w:spacing w:val="-6"/>
          <w:lang w:val="sk-SK"/>
        </w:rPr>
      </w:pPr>
      <w:r w:rsidRPr="00326E55">
        <w:rPr>
          <w:b/>
          <w:noProof/>
          <w:spacing w:val="-6"/>
          <w:lang w:val="sk-SK"/>
        </w:rPr>
        <w:t>Os 5 – Fiškálno-štrukturálne reform</w:t>
      </w:r>
      <w:r w:rsidRPr="00326E55">
        <w:rPr>
          <w:b/>
          <w:noProof/>
          <w:spacing w:val="-6"/>
          <w:lang w:val="sk-SK"/>
        </w:rPr>
        <w:t>y (zdaňovanie</w:t>
      </w:r>
      <w:r w:rsidR="00326E55" w:rsidRPr="00326E55">
        <w:rPr>
          <w:b/>
          <w:noProof/>
          <w:spacing w:val="-6"/>
          <w:lang w:val="sk-SK"/>
        </w:rPr>
        <w:t xml:space="preserve"> a </w:t>
      </w:r>
      <w:r w:rsidRPr="00326E55">
        <w:rPr>
          <w:b/>
          <w:noProof/>
          <w:spacing w:val="-6"/>
          <w:lang w:val="sk-SK"/>
        </w:rPr>
        <w:t>verejné výdavky)</w:t>
      </w:r>
      <w:r w:rsidRPr="00326E55">
        <w:rPr>
          <w:noProof/>
          <w:spacing w:val="-6"/>
          <w:lang w:val="sk-SK"/>
        </w:rPr>
        <w:t>: Os 5 zložky M1C1 obnovy</w:t>
      </w:r>
      <w:r w:rsidR="00326E55" w:rsidRPr="00326E55">
        <w:rPr>
          <w:noProof/>
          <w:spacing w:val="-6"/>
          <w:lang w:val="sk-SK"/>
        </w:rPr>
        <w:t xml:space="preserve"> a </w:t>
      </w:r>
      <w:r w:rsidRPr="00326E55">
        <w:rPr>
          <w:noProof/>
          <w:spacing w:val="-6"/>
          <w:lang w:val="sk-SK"/>
        </w:rPr>
        <w:t>odolnosti zahŕňa niekoľko reforiem zameraných na podporu udržateľnosti verejných financií Talianska (odporúčanie pre danú krajinu 1, 2019). Na strane príjmov sa reformy zameriavajú na zlepšenie pr</w:t>
      </w:r>
      <w:r w:rsidRPr="00326E55">
        <w:rPr>
          <w:noProof/>
          <w:spacing w:val="-6"/>
          <w:lang w:val="sk-SK"/>
        </w:rPr>
        <w:t>ocesu výberu daní, podporu dodržiavania daňových predpisov</w:t>
      </w:r>
      <w:r w:rsidR="00326E55" w:rsidRPr="00326E55">
        <w:rPr>
          <w:noProof/>
          <w:spacing w:val="-6"/>
          <w:lang w:val="sk-SK"/>
        </w:rPr>
        <w:t xml:space="preserve"> a </w:t>
      </w:r>
      <w:r w:rsidRPr="00326E55">
        <w:rPr>
          <w:noProof/>
          <w:spacing w:val="-6"/>
          <w:lang w:val="sk-SK"/>
        </w:rPr>
        <w:t>boj proti daňovým únikom</w:t>
      </w:r>
      <w:r w:rsidR="00326E55" w:rsidRPr="00326E55">
        <w:rPr>
          <w:noProof/>
          <w:spacing w:val="-6"/>
          <w:lang w:val="sk-SK"/>
        </w:rPr>
        <w:t xml:space="preserve"> s </w:t>
      </w:r>
      <w:r w:rsidRPr="00326E55">
        <w:rPr>
          <w:noProof/>
          <w:spacing w:val="-6"/>
          <w:lang w:val="sk-SK"/>
        </w:rPr>
        <w:t>cieľom znížiť náklady daňovníkov na dodržiavanie predpisov</w:t>
      </w:r>
      <w:r w:rsidR="00326E55" w:rsidRPr="00326E55">
        <w:rPr>
          <w:noProof/>
          <w:spacing w:val="-6"/>
          <w:lang w:val="sk-SK"/>
        </w:rPr>
        <w:t xml:space="preserve"> a </w:t>
      </w:r>
      <w:r w:rsidRPr="00326E55">
        <w:rPr>
          <w:noProof/>
          <w:spacing w:val="-6"/>
          <w:lang w:val="sk-SK"/>
        </w:rPr>
        <w:t>zvýšiť príjmy verejnej správy, čím sa prispeje</w:t>
      </w:r>
      <w:r w:rsidR="00326E55" w:rsidRPr="00326E55">
        <w:rPr>
          <w:noProof/>
          <w:spacing w:val="-6"/>
          <w:lang w:val="sk-SK"/>
        </w:rPr>
        <w:t xml:space="preserve"> k </w:t>
      </w:r>
      <w:r w:rsidRPr="00326E55">
        <w:rPr>
          <w:noProof/>
          <w:spacing w:val="-6"/>
          <w:lang w:val="sk-SK"/>
        </w:rPr>
        <w:t>zlepšeniu udržateľnosti verejných financií. Na strane výda</w:t>
      </w:r>
      <w:r w:rsidRPr="00326E55">
        <w:rPr>
          <w:noProof/>
          <w:spacing w:val="-6"/>
          <w:lang w:val="sk-SK"/>
        </w:rPr>
        <w:t>vkov sa reformy zameriavajú na zlepšenie efektívnosti verejných výdavkov na ústrednej úrovni posilnením existujúceho rámca pre ročné preskúmania výdavkov, ako aj na nižšej ako celoštátnej úrovni dokončením reformy fiškálnych vzťahov na rôznych úrovniach ve</w:t>
      </w:r>
      <w:r w:rsidRPr="00326E55">
        <w:rPr>
          <w:noProof/>
          <w:spacing w:val="-6"/>
          <w:lang w:val="sk-SK"/>
        </w:rPr>
        <w:t>rejnej správy.</w:t>
      </w:r>
    </w:p>
    <w:p w14:paraId="1C38AE81" w14:textId="0B707BF3" w:rsidR="00BF03AA" w:rsidRPr="00326E55" w:rsidRDefault="00FB452D">
      <w:pPr>
        <w:pStyle w:val="P68B1DB1-Heading34"/>
        <w:ind w:left="850" w:hanging="850"/>
        <w:rPr>
          <w:b/>
          <w:bCs/>
          <w:i/>
          <w:iCs/>
          <w:noProof/>
          <w:spacing w:val="-6"/>
          <w:u w:val="single"/>
          <w:lang w:val="sk-SK"/>
        </w:rPr>
      </w:pPr>
      <w:r w:rsidRPr="00326E55">
        <w:rPr>
          <w:b/>
          <w:noProof/>
          <w:spacing w:val="-6"/>
          <w:u w:val="single"/>
          <w:lang w:val="sk-SK"/>
        </w:rPr>
        <w:t xml:space="preserve">A.1.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nenávratnej finančnej podpory</w:t>
      </w:r>
    </w:p>
    <w:p w14:paraId="458B5471" w14:textId="77777777" w:rsidR="00BF03AA" w:rsidRPr="00326E55" w:rsidRDefault="00FB452D">
      <w:pPr>
        <w:pStyle w:val="Axistitle"/>
        <w:ind w:left="0"/>
        <w:rPr>
          <w:noProof/>
          <w:spacing w:val="-6"/>
          <w:lang w:val="sk-SK"/>
        </w:rPr>
      </w:pPr>
      <w:r w:rsidRPr="00326E55">
        <w:rPr>
          <w:noProof/>
          <w:spacing w:val="-6"/>
          <w:lang w:val="sk-SK"/>
        </w:rPr>
        <w:t>Os 1 – Digitalizácia verejnej správy</w:t>
      </w:r>
    </w:p>
    <w:p w14:paraId="0D335B21" w14:textId="77777777" w:rsidR="00BF03AA" w:rsidRPr="00326E55" w:rsidRDefault="00FB452D">
      <w:pPr>
        <w:pStyle w:val="P68B1DB1-Normal5"/>
        <w:spacing w:before="240" w:after="120"/>
        <w:jc w:val="both"/>
        <w:rPr>
          <w:noProof/>
          <w:spacing w:val="-6"/>
          <w:lang w:val="sk-SK"/>
        </w:rPr>
      </w:pPr>
      <w:r w:rsidRPr="00326E55">
        <w:rPr>
          <w:noProof/>
          <w:spacing w:val="-6"/>
          <w:lang w:val="sk-SK"/>
        </w:rPr>
        <w:t>Investícia 1.1 – Digitálna infraštruktúra</w:t>
      </w:r>
    </w:p>
    <w:p w14:paraId="063BBFEF" w14:textId="4B20867B" w:rsidR="00BF03AA" w:rsidRPr="00326E55" w:rsidRDefault="00FB452D">
      <w:pPr>
        <w:pStyle w:val="Descriptiontitle"/>
        <w:ind w:left="0"/>
        <w:rPr>
          <w:noProof/>
          <w:spacing w:val="-6"/>
          <w:lang w:val="sk-SK"/>
        </w:rPr>
      </w:pPr>
      <w:r w:rsidRPr="00326E55">
        <w:rPr>
          <w:noProof/>
          <w:spacing w:val="-6"/>
          <w:lang w:val="sk-SK"/>
        </w:rPr>
        <w:t>Cieľom tejto investície je zabezpečiť, aby systémy, súbory údajov</w:t>
      </w:r>
      <w:r w:rsidR="00326E55" w:rsidRPr="00326E55">
        <w:rPr>
          <w:noProof/>
          <w:spacing w:val="-6"/>
          <w:lang w:val="sk-SK"/>
        </w:rPr>
        <w:t xml:space="preserve"> a </w:t>
      </w:r>
      <w:r w:rsidRPr="00326E55">
        <w:rPr>
          <w:noProof/>
          <w:spacing w:val="-6"/>
          <w:lang w:val="sk-SK"/>
        </w:rPr>
        <w:t xml:space="preserve">aplikácie verejnej </w:t>
      </w:r>
      <w:r w:rsidRPr="00326E55">
        <w:rPr>
          <w:noProof/>
          <w:spacing w:val="-6"/>
          <w:lang w:val="sk-SK"/>
        </w:rPr>
        <w:t>správy boli umiestnené</w:t>
      </w:r>
      <w:r w:rsidR="00326E55" w:rsidRPr="00326E55">
        <w:rPr>
          <w:noProof/>
          <w:spacing w:val="-6"/>
          <w:lang w:val="sk-SK"/>
        </w:rPr>
        <w:t xml:space="preserve"> v </w:t>
      </w:r>
      <w:r w:rsidRPr="00326E55">
        <w:rPr>
          <w:noProof/>
          <w:spacing w:val="-6"/>
          <w:lang w:val="sk-SK"/>
        </w:rPr>
        <w:t>dátových centrách</w:t>
      </w:r>
      <w:r w:rsidR="00326E55" w:rsidRPr="00326E55">
        <w:rPr>
          <w:noProof/>
          <w:spacing w:val="-6"/>
          <w:lang w:val="sk-SK"/>
        </w:rPr>
        <w:t xml:space="preserve"> s </w:t>
      </w:r>
      <w:r w:rsidRPr="00326E55">
        <w:rPr>
          <w:noProof/>
          <w:spacing w:val="-6"/>
          <w:lang w:val="sk-SK"/>
        </w:rPr>
        <w:t>vysokými normami kvality</w:t>
      </w:r>
      <w:r w:rsidR="00326E55" w:rsidRPr="00326E55">
        <w:rPr>
          <w:noProof/>
          <w:spacing w:val="-6"/>
          <w:lang w:val="sk-SK"/>
        </w:rPr>
        <w:t xml:space="preserve"> v </w:t>
      </w:r>
      <w:r w:rsidRPr="00326E55">
        <w:rPr>
          <w:noProof/>
          <w:spacing w:val="-6"/>
          <w:lang w:val="sk-SK"/>
        </w:rPr>
        <w:t>oblasti bezpečnosti, výkonnosti, rozšíriteľnosti, európskej interoperability</w:t>
      </w:r>
      <w:r w:rsidR="00326E55" w:rsidRPr="00326E55">
        <w:rPr>
          <w:noProof/>
          <w:spacing w:val="-6"/>
          <w:lang w:val="sk-SK"/>
        </w:rPr>
        <w:t xml:space="preserve"> a </w:t>
      </w:r>
      <w:r w:rsidRPr="00326E55">
        <w:rPr>
          <w:noProof/>
          <w:spacing w:val="-6"/>
          <w:lang w:val="sk-SK"/>
        </w:rPr>
        <w:t>energetickej efektívnosti. Investícia pozostáva</w:t>
      </w:r>
      <w:r w:rsidR="00326E55" w:rsidRPr="00326E55">
        <w:rPr>
          <w:noProof/>
          <w:spacing w:val="-6"/>
          <w:lang w:val="sk-SK"/>
        </w:rPr>
        <w:t xml:space="preserve"> z </w:t>
      </w:r>
      <w:r w:rsidRPr="00326E55">
        <w:rPr>
          <w:noProof/>
          <w:spacing w:val="-6"/>
          <w:lang w:val="sk-SK"/>
        </w:rPr>
        <w:t>migrácie súborov údajov</w:t>
      </w:r>
      <w:r w:rsidR="00326E55" w:rsidRPr="00326E55">
        <w:rPr>
          <w:noProof/>
          <w:spacing w:val="-6"/>
          <w:lang w:val="sk-SK"/>
        </w:rPr>
        <w:t xml:space="preserve"> a </w:t>
      </w:r>
      <w:r w:rsidRPr="00326E55">
        <w:rPr>
          <w:noProof/>
          <w:spacing w:val="-6"/>
          <w:lang w:val="sk-SK"/>
        </w:rPr>
        <w:t>aplikácií verejnej správy sme</w:t>
      </w:r>
      <w:r w:rsidRPr="00326E55">
        <w:rPr>
          <w:noProof/>
          <w:spacing w:val="-6"/>
          <w:lang w:val="sk-SK"/>
        </w:rPr>
        <w:t>rom</w:t>
      </w:r>
      <w:r w:rsidR="00326E55" w:rsidRPr="00326E55">
        <w:rPr>
          <w:noProof/>
          <w:spacing w:val="-6"/>
          <w:lang w:val="sk-SK"/>
        </w:rPr>
        <w:t xml:space="preserve"> k </w:t>
      </w:r>
      <w:r w:rsidRPr="00326E55">
        <w:rPr>
          <w:noProof/>
          <w:spacing w:val="-6"/>
          <w:lang w:val="sk-SK"/>
        </w:rPr>
        <w:t>PSN alebo</w:t>
      </w:r>
      <w:r w:rsidR="00326E55" w:rsidRPr="00326E55">
        <w:rPr>
          <w:noProof/>
          <w:spacing w:val="-6"/>
          <w:lang w:val="sk-SK"/>
        </w:rPr>
        <w:t xml:space="preserve"> k </w:t>
      </w:r>
      <w:r w:rsidRPr="00326E55">
        <w:rPr>
          <w:noProof/>
          <w:spacing w:val="-6"/>
          <w:lang w:val="sk-SK"/>
        </w:rPr>
        <w:t>bezpečným certifikovaným verejným poskytovateľom cloudu.</w:t>
      </w:r>
    </w:p>
    <w:p w14:paraId="2F8ACD25"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1.2 – Umožnenie cloud computingu pre miestnu platobnú agentúru</w:t>
      </w:r>
    </w:p>
    <w:p w14:paraId="7F0E78DA" w14:textId="142C5E47" w:rsidR="00326E55" w:rsidRPr="00326E55" w:rsidRDefault="00FB452D">
      <w:pPr>
        <w:pStyle w:val="Descriptiontitle"/>
        <w:ind w:left="0"/>
        <w:rPr>
          <w:noProof/>
          <w:spacing w:val="-6"/>
          <w:lang w:val="sk-SK"/>
        </w:rPr>
      </w:pPr>
      <w:r w:rsidRPr="00326E55">
        <w:rPr>
          <w:noProof/>
          <w:spacing w:val="-6"/>
          <w:lang w:val="sk-SK"/>
        </w:rPr>
        <w:t>Cieľom tejto investície je presunúť súbory údajov</w:t>
      </w:r>
      <w:r w:rsidR="00326E55" w:rsidRPr="00326E55">
        <w:rPr>
          <w:noProof/>
          <w:spacing w:val="-6"/>
          <w:lang w:val="sk-SK"/>
        </w:rPr>
        <w:t xml:space="preserve"> a </w:t>
      </w:r>
      <w:r w:rsidRPr="00326E55">
        <w:rPr>
          <w:noProof/>
          <w:spacing w:val="-6"/>
          <w:lang w:val="sk-SK"/>
        </w:rPr>
        <w:t xml:space="preserve">aplikácie podstatnej časti miestnej verejnej správy na </w:t>
      </w:r>
      <w:r w:rsidRPr="00326E55">
        <w:rPr>
          <w:noProof/>
          <w:spacing w:val="-6"/>
          <w:lang w:val="sk-SK"/>
        </w:rPr>
        <w:t>bezpečnú cloudovú infraštruktúru, čo každej správe umožní slobodne si vybrať</w:t>
      </w:r>
      <w:r w:rsidR="00326E55" w:rsidRPr="00326E55">
        <w:rPr>
          <w:noProof/>
          <w:spacing w:val="-6"/>
          <w:lang w:val="sk-SK"/>
        </w:rPr>
        <w:t xml:space="preserve"> v </w:t>
      </w:r>
      <w:r w:rsidRPr="00326E55">
        <w:rPr>
          <w:noProof/>
          <w:spacing w:val="-6"/>
          <w:lang w:val="sk-SK"/>
        </w:rPr>
        <w:t>rámci súboru certifikovaných verejných cloudových prostredí</w:t>
      </w:r>
      <w:r w:rsidR="00326E55" w:rsidRPr="00326E55">
        <w:rPr>
          <w:noProof/>
          <w:spacing w:val="-6"/>
          <w:lang w:val="sk-SK"/>
        </w:rPr>
        <w:t>.</w:t>
      </w:r>
    </w:p>
    <w:p w14:paraId="6B9F8742" w14:textId="06A37747" w:rsidR="00BF03AA" w:rsidRPr="00326E55" w:rsidRDefault="00FB452D">
      <w:pPr>
        <w:pStyle w:val="Descriptiontitle"/>
        <w:ind w:left="0"/>
        <w:rPr>
          <w:noProof/>
          <w:spacing w:val="-6"/>
          <w:lang w:val="sk-SK"/>
        </w:rPr>
      </w:pPr>
      <w:r w:rsidRPr="00326E55">
        <w:rPr>
          <w:noProof/>
          <w:spacing w:val="-6"/>
          <w:lang w:val="sk-SK"/>
        </w:rPr>
        <w:t>V opatrení sa počíta aj</w:t>
      </w:r>
      <w:r w:rsidR="00326E55" w:rsidRPr="00326E55">
        <w:rPr>
          <w:noProof/>
          <w:spacing w:val="-6"/>
          <w:lang w:val="sk-SK"/>
        </w:rPr>
        <w:t xml:space="preserve"> s </w:t>
      </w:r>
      <w:r w:rsidRPr="00326E55">
        <w:rPr>
          <w:noProof/>
          <w:spacing w:val="-6"/>
          <w:lang w:val="sk-SK"/>
        </w:rPr>
        <w:t>balíkom podpory „migrácie ako služby“ pre správne orgány, ktorý zahŕňa: I) počiatočné posú</w:t>
      </w:r>
      <w:r w:rsidRPr="00326E55">
        <w:rPr>
          <w:noProof/>
          <w:spacing w:val="-6"/>
          <w:lang w:val="sk-SK"/>
        </w:rPr>
        <w:t>denie, ii) procesnú/administratívnu podporu potrebnú na začatie úsilia, iii) rokovanie</w:t>
      </w:r>
      <w:r w:rsidR="00326E55" w:rsidRPr="00326E55">
        <w:rPr>
          <w:noProof/>
          <w:spacing w:val="-6"/>
          <w:lang w:val="sk-SK"/>
        </w:rPr>
        <w:t xml:space="preserve"> o </w:t>
      </w:r>
      <w:r w:rsidRPr="00326E55">
        <w:rPr>
          <w:noProof/>
          <w:spacing w:val="-6"/>
          <w:lang w:val="sk-SK"/>
        </w:rPr>
        <w:t>potrebnej vonkajšej podpore</w:t>
      </w:r>
      <w:r w:rsidR="00326E55" w:rsidRPr="00326E55">
        <w:rPr>
          <w:noProof/>
          <w:spacing w:val="-6"/>
          <w:lang w:val="sk-SK"/>
        </w:rPr>
        <w:t xml:space="preserve"> a </w:t>
      </w:r>
      <w:r w:rsidRPr="00326E55">
        <w:rPr>
          <w:noProof/>
          <w:spacing w:val="-6"/>
          <w:lang w:val="sk-SK"/>
        </w:rPr>
        <w:t>iv) celkové riadenie projektu počas realizácie. Očakáva sa, že tím pod dohľadom ministerstva pre technologické inovácie</w:t>
      </w:r>
      <w:r w:rsidR="00326E55" w:rsidRPr="00326E55">
        <w:rPr>
          <w:noProof/>
          <w:spacing w:val="-6"/>
          <w:lang w:val="sk-SK"/>
        </w:rPr>
        <w:t xml:space="preserve"> a </w:t>
      </w:r>
      <w:r w:rsidRPr="00326E55">
        <w:rPr>
          <w:noProof/>
          <w:spacing w:val="-6"/>
          <w:lang w:val="sk-SK"/>
        </w:rPr>
        <w:t>digitálnu trans</w:t>
      </w:r>
      <w:r w:rsidRPr="00326E55">
        <w:rPr>
          <w:noProof/>
          <w:spacing w:val="-6"/>
          <w:lang w:val="sk-SK"/>
        </w:rPr>
        <w:t>formáciu (MITD) identifikuje</w:t>
      </w:r>
      <w:r w:rsidR="00326E55" w:rsidRPr="00326E55">
        <w:rPr>
          <w:noProof/>
          <w:spacing w:val="-6"/>
          <w:lang w:val="sk-SK"/>
        </w:rPr>
        <w:t xml:space="preserve"> a </w:t>
      </w:r>
      <w:r w:rsidRPr="00326E55">
        <w:rPr>
          <w:noProof/>
          <w:spacing w:val="-6"/>
          <w:lang w:val="sk-SK"/>
        </w:rPr>
        <w:t>certifikuje široký zoznam kvalifikovaných poskytovateľov</w:t>
      </w:r>
      <w:r w:rsidR="00326E55" w:rsidRPr="00326E55">
        <w:rPr>
          <w:noProof/>
          <w:spacing w:val="-6"/>
          <w:lang w:val="sk-SK"/>
        </w:rPr>
        <w:t xml:space="preserve"> a </w:t>
      </w:r>
      <w:r w:rsidRPr="00326E55">
        <w:rPr>
          <w:noProof/>
          <w:spacing w:val="-6"/>
          <w:lang w:val="sk-SK"/>
        </w:rPr>
        <w:t>rokuje</w:t>
      </w:r>
      <w:r w:rsidR="00326E55" w:rsidRPr="00326E55">
        <w:rPr>
          <w:noProof/>
          <w:spacing w:val="-6"/>
          <w:lang w:val="sk-SK"/>
        </w:rPr>
        <w:t xml:space="preserve"> o </w:t>
      </w:r>
      <w:r w:rsidRPr="00326E55">
        <w:rPr>
          <w:noProof/>
          <w:spacing w:val="-6"/>
          <w:lang w:val="sk-SK"/>
        </w:rPr>
        <w:t>súbore štandardných podporných balíkov prispôsobených veľkosti administratívy</w:t>
      </w:r>
      <w:r w:rsidR="00326E55" w:rsidRPr="00326E55">
        <w:rPr>
          <w:noProof/>
          <w:spacing w:val="-6"/>
          <w:lang w:val="sk-SK"/>
        </w:rPr>
        <w:t xml:space="preserve"> a </w:t>
      </w:r>
      <w:r w:rsidRPr="00326E55">
        <w:rPr>
          <w:noProof/>
          <w:spacing w:val="-6"/>
          <w:lang w:val="sk-SK"/>
        </w:rPr>
        <w:t>služieb zapojených do migrácie.</w:t>
      </w:r>
    </w:p>
    <w:p w14:paraId="3D3ED71E" w14:textId="1A7252ED" w:rsidR="00BF03AA" w:rsidRPr="00326E55" w:rsidRDefault="00FB452D">
      <w:pPr>
        <w:pStyle w:val="P68B1DB1-Normal5"/>
        <w:spacing w:before="240" w:after="120"/>
        <w:jc w:val="both"/>
        <w:rPr>
          <w:noProof/>
          <w:spacing w:val="-6"/>
          <w:lang w:val="sk-SK"/>
        </w:rPr>
      </w:pPr>
      <w:r w:rsidRPr="00326E55">
        <w:rPr>
          <w:noProof/>
          <w:spacing w:val="-6"/>
          <w:lang w:val="sk-SK"/>
        </w:rPr>
        <w:t>Investícia 1.3 – Údaje</w:t>
      </w:r>
      <w:r w:rsidR="00326E55" w:rsidRPr="00326E55">
        <w:rPr>
          <w:noProof/>
          <w:spacing w:val="-6"/>
          <w:lang w:val="sk-SK"/>
        </w:rPr>
        <w:t xml:space="preserve"> a </w:t>
      </w:r>
      <w:r w:rsidRPr="00326E55">
        <w:rPr>
          <w:noProof/>
          <w:spacing w:val="-6"/>
          <w:lang w:val="sk-SK"/>
        </w:rPr>
        <w:t>interoperabilita</w:t>
      </w:r>
    </w:p>
    <w:p w14:paraId="2ECF6295" w14:textId="7DD50D09" w:rsidR="00BF03AA" w:rsidRPr="00326E55" w:rsidRDefault="00FB452D">
      <w:pPr>
        <w:pStyle w:val="Descriptiontitle"/>
        <w:ind w:left="0"/>
        <w:rPr>
          <w:noProof/>
          <w:spacing w:val="-6"/>
          <w:lang w:val="sk-SK"/>
        </w:rPr>
      </w:pPr>
      <w:r w:rsidRPr="00326E55">
        <w:rPr>
          <w:noProof/>
          <w:spacing w:val="-6"/>
          <w:lang w:val="sk-SK"/>
        </w:rPr>
        <w:t>Cieľom tejto investície je zabezpečiť úplnú interoperabilitu kľúčových súborov údajov</w:t>
      </w:r>
      <w:r w:rsidR="00326E55" w:rsidRPr="00326E55">
        <w:rPr>
          <w:noProof/>
          <w:spacing w:val="-6"/>
          <w:lang w:val="sk-SK"/>
        </w:rPr>
        <w:t xml:space="preserve"> a </w:t>
      </w:r>
      <w:r w:rsidRPr="00326E55">
        <w:rPr>
          <w:noProof/>
          <w:spacing w:val="-6"/>
          <w:lang w:val="sk-SK"/>
        </w:rPr>
        <w:t>služieb</w:t>
      </w:r>
      <w:r w:rsidR="00326E55" w:rsidRPr="00326E55">
        <w:rPr>
          <w:noProof/>
          <w:spacing w:val="-6"/>
          <w:lang w:val="sk-SK"/>
        </w:rPr>
        <w:t xml:space="preserve"> v </w:t>
      </w:r>
      <w:r w:rsidRPr="00326E55">
        <w:rPr>
          <w:noProof/>
          <w:spacing w:val="-6"/>
          <w:lang w:val="sk-SK"/>
        </w:rPr>
        <w:t>rámci ústrednej</w:t>
      </w:r>
      <w:r w:rsidR="00326E55" w:rsidRPr="00326E55">
        <w:rPr>
          <w:noProof/>
          <w:spacing w:val="-6"/>
          <w:lang w:val="sk-SK"/>
        </w:rPr>
        <w:t xml:space="preserve"> a </w:t>
      </w:r>
      <w:r w:rsidRPr="00326E55">
        <w:rPr>
          <w:noProof/>
          <w:spacing w:val="-6"/>
          <w:lang w:val="sk-SK"/>
        </w:rPr>
        <w:t>miestnej verejnej správy. Opatrenie pozostáva zo zriadenia národnej platformy digitálnych údajov („Piattaforma Digitale Nazionale Dati“), kt</w:t>
      </w:r>
      <w:r w:rsidRPr="00326E55">
        <w:rPr>
          <w:noProof/>
          <w:spacing w:val="-6"/>
          <w:lang w:val="sk-SK"/>
        </w:rPr>
        <w:t>orá umožňuje interoperabilitu súborov údajov prostredníctvom katalógu aplikačných programovacích rozhraní (API) zdieľaných medzi ústrednými</w:t>
      </w:r>
      <w:r w:rsidR="00326E55" w:rsidRPr="00326E55">
        <w:rPr>
          <w:noProof/>
          <w:spacing w:val="-6"/>
          <w:lang w:val="sk-SK"/>
        </w:rPr>
        <w:t xml:space="preserve"> a </w:t>
      </w:r>
      <w:r w:rsidRPr="00326E55">
        <w:rPr>
          <w:noProof/>
          <w:spacing w:val="-6"/>
          <w:lang w:val="sk-SK"/>
        </w:rPr>
        <w:t>miestnymi správami.</w:t>
      </w:r>
    </w:p>
    <w:p w14:paraId="65C6D9AA" w14:textId="77777777" w:rsidR="00BF03AA" w:rsidRPr="00326E55" w:rsidRDefault="00FB452D">
      <w:pPr>
        <w:rPr>
          <w:rFonts w:ascii="Times New Roman" w:eastAsia="Times New Roman" w:hAnsi="Times New Roman" w:cs="Times New Roman"/>
          <w:b/>
          <w:noProof/>
          <w:spacing w:val="-6"/>
          <w:lang w:val="sk-SK"/>
        </w:rPr>
      </w:pPr>
      <w:r w:rsidRPr="00326E55">
        <w:rPr>
          <w:rFonts w:ascii="Times New Roman" w:hAnsi="Times New Roman"/>
          <w:noProof/>
          <w:spacing w:val="-6"/>
          <w:lang w:val="sk-SK"/>
        </w:rPr>
        <w:br w:type="page"/>
      </w:r>
    </w:p>
    <w:p w14:paraId="6FD7811A" w14:textId="5BE40CD6" w:rsidR="00BF03AA" w:rsidRPr="00326E55" w:rsidRDefault="00FB452D">
      <w:pPr>
        <w:pStyle w:val="P68B1DB1-Descriptiontitle6"/>
        <w:ind w:left="0"/>
        <w:rPr>
          <w:noProof/>
          <w:spacing w:val="-6"/>
          <w:lang w:val="sk-SK"/>
        </w:rPr>
      </w:pPr>
      <w:r w:rsidRPr="00326E55">
        <w:rPr>
          <w:noProof/>
          <w:spacing w:val="-6"/>
          <w:lang w:val="sk-SK"/>
        </w:rPr>
        <w:t>Investícia 1.4 – Digitálne služby</w:t>
      </w:r>
      <w:r w:rsidR="00326E55" w:rsidRPr="00326E55">
        <w:rPr>
          <w:noProof/>
          <w:spacing w:val="-6"/>
          <w:lang w:val="sk-SK"/>
        </w:rPr>
        <w:t xml:space="preserve"> a </w:t>
      </w:r>
      <w:r w:rsidRPr="00326E55">
        <w:rPr>
          <w:noProof/>
          <w:spacing w:val="-6"/>
          <w:lang w:val="sk-SK"/>
        </w:rPr>
        <w:t>skúsenosti občanov</w:t>
      </w:r>
    </w:p>
    <w:p w14:paraId="3C961FF4" w14:textId="3ED826B6" w:rsidR="00326E55" w:rsidRPr="00326E55" w:rsidRDefault="00FB452D">
      <w:pPr>
        <w:pStyle w:val="Descriptiontitle"/>
        <w:ind w:left="0"/>
        <w:rPr>
          <w:noProof/>
          <w:spacing w:val="-6"/>
          <w:lang w:val="sk-SK"/>
        </w:rPr>
      </w:pPr>
      <w:r w:rsidRPr="00326E55">
        <w:rPr>
          <w:noProof/>
          <w:spacing w:val="-6"/>
          <w:lang w:val="sk-SK"/>
        </w:rPr>
        <w:t>Cieľom tejto investície je vytvoriť i</w:t>
      </w:r>
      <w:r w:rsidRPr="00326E55">
        <w:rPr>
          <w:noProof/>
          <w:spacing w:val="-6"/>
          <w:lang w:val="sk-SK"/>
        </w:rPr>
        <w:t>ntegrovaný ekosystém digitálnych verejných služieb orientovaný na občanov, zabezpečiť ich široké prijatie</w:t>
      </w:r>
      <w:r w:rsidR="00326E55" w:rsidRPr="00326E55">
        <w:rPr>
          <w:noProof/>
          <w:spacing w:val="-6"/>
          <w:lang w:val="sk-SK"/>
        </w:rPr>
        <w:t xml:space="preserve"> v </w:t>
      </w:r>
      <w:r w:rsidRPr="00326E55">
        <w:rPr>
          <w:noProof/>
          <w:spacing w:val="-6"/>
          <w:lang w:val="sk-SK"/>
        </w:rPr>
        <w:t>ústrednej</w:t>
      </w:r>
      <w:r w:rsidR="00326E55" w:rsidRPr="00326E55">
        <w:rPr>
          <w:noProof/>
          <w:spacing w:val="-6"/>
          <w:lang w:val="sk-SK"/>
        </w:rPr>
        <w:t xml:space="preserve"> a </w:t>
      </w:r>
      <w:r w:rsidRPr="00326E55">
        <w:rPr>
          <w:noProof/>
          <w:spacing w:val="-6"/>
          <w:lang w:val="sk-SK"/>
        </w:rPr>
        <w:t>miestnej správe</w:t>
      </w:r>
      <w:r w:rsidR="00326E55" w:rsidRPr="00326E55">
        <w:rPr>
          <w:noProof/>
          <w:spacing w:val="-6"/>
          <w:lang w:val="sk-SK"/>
        </w:rPr>
        <w:t xml:space="preserve"> a </w:t>
      </w:r>
      <w:r w:rsidRPr="00326E55">
        <w:rPr>
          <w:noProof/>
          <w:spacing w:val="-6"/>
          <w:lang w:val="sk-SK"/>
        </w:rPr>
        <w:t>zlepšiť celkové skúsenosti používateľov</w:t>
      </w:r>
      <w:r w:rsidR="00326E55" w:rsidRPr="00326E55">
        <w:rPr>
          <w:noProof/>
          <w:spacing w:val="-6"/>
          <w:lang w:val="sk-SK"/>
        </w:rPr>
        <w:t>.</w:t>
      </w:r>
    </w:p>
    <w:p w14:paraId="196F144B" w14:textId="77777777" w:rsidR="00326E55" w:rsidRPr="00326E55" w:rsidRDefault="00FB452D">
      <w:pPr>
        <w:pStyle w:val="Descriptiontitle"/>
        <w:ind w:left="0"/>
        <w:rPr>
          <w:noProof/>
          <w:spacing w:val="-6"/>
          <w:lang w:val="sk-SK"/>
        </w:rPr>
      </w:pPr>
      <w:r w:rsidRPr="00326E55">
        <w:rPr>
          <w:noProof/>
          <w:spacing w:val="-6"/>
          <w:lang w:val="sk-SK"/>
        </w:rPr>
        <w:t>Opatrenie</w:t>
      </w:r>
      <w:r w:rsidR="00326E55" w:rsidRPr="00326E55">
        <w:rPr>
          <w:noProof/>
          <w:spacing w:val="-6"/>
          <w:lang w:val="sk-SK"/>
        </w:rPr>
        <w:t>:</w:t>
      </w:r>
    </w:p>
    <w:p w14:paraId="7C217909" w14:textId="2FC4487A"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vymedzuje modely poskytovania opakovane použiteľných služieb zabez</w:t>
      </w:r>
      <w:r w:rsidRPr="00326E55">
        <w:rPr>
          <w:noProof/>
          <w:spacing w:val="-6"/>
          <w:lang w:val="sk-SK"/>
        </w:rPr>
        <w:t>pečujúce úplné požiadavky na prístupnosť (investícia 1.4.1 – Občianske skúsenosti – Zlepšenie kvality</w:t>
      </w:r>
      <w:r w:rsidR="00326E55" w:rsidRPr="00326E55">
        <w:rPr>
          <w:noProof/>
          <w:spacing w:val="-6"/>
          <w:lang w:val="sk-SK"/>
        </w:rPr>
        <w:t xml:space="preserve"> a </w:t>
      </w:r>
      <w:r w:rsidRPr="00326E55">
        <w:rPr>
          <w:noProof/>
          <w:spacing w:val="-6"/>
          <w:lang w:val="sk-SK"/>
        </w:rPr>
        <w:t>použiteľnosti digitálnych verejných služieb);</w:t>
      </w:r>
    </w:p>
    <w:p w14:paraId="2B2D4B2D" w14:textId="77777777"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zvyšuje dostupnosť digitálnych verejných služieb (investícia 1.4.2 – Začlenenie občanov: Zlepšenie prístup</w:t>
      </w:r>
      <w:r w:rsidRPr="00326E55">
        <w:rPr>
          <w:noProof/>
          <w:spacing w:val="-6"/>
          <w:lang w:val="sk-SK"/>
        </w:rPr>
        <w:t>nosti digitálnych verejných služieb);</w:t>
      </w:r>
    </w:p>
    <w:p w14:paraId="03A9CF66" w14:textId="5338A892"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zahŕňa prijatie digitálnej aplikácie pre platby medzi občanmi</w:t>
      </w:r>
      <w:r w:rsidR="00326E55" w:rsidRPr="00326E55">
        <w:rPr>
          <w:noProof/>
          <w:spacing w:val="-6"/>
          <w:lang w:val="sk-SK"/>
        </w:rPr>
        <w:t xml:space="preserve"> a </w:t>
      </w:r>
      <w:r w:rsidRPr="00326E55">
        <w:rPr>
          <w:noProof/>
          <w:spacing w:val="-6"/>
          <w:lang w:val="sk-SK"/>
        </w:rPr>
        <w:t>orgánmi verejnej správy (PagoPa)</w:t>
      </w:r>
      <w:r w:rsidR="00326E55" w:rsidRPr="00326E55">
        <w:rPr>
          <w:noProof/>
          <w:spacing w:val="-6"/>
          <w:lang w:val="sk-SK"/>
        </w:rPr>
        <w:t xml:space="preserve"> a </w:t>
      </w:r>
      <w:r w:rsidRPr="00326E55">
        <w:rPr>
          <w:noProof/>
          <w:spacing w:val="-6"/>
          <w:lang w:val="sk-SK"/>
        </w:rPr>
        <w:t>prijatie aplikácie „IO“ (investícia 1.4.3 – rozšírenie služieb platformy PagoPA</w:t>
      </w:r>
      <w:r w:rsidR="00326E55" w:rsidRPr="00326E55">
        <w:rPr>
          <w:noProof/>
          <w:spacing w:val="-6"/>
          <w:lang w:val="sk-SK"/>
        </w:rPr>
        <w:t xml:space="preserve"> a </w:t>
      </w:r>
      <w:r w:rsidRPr="00326E55">
        <w:rPr>
          <w:noProof/>
          <w:spacing w:val="-6"/>
          <w:lang w:val="sk-SK"/>
        </w:rPr>
        <w:t>aplikácie IZ);</w:t>
      </w:r>
    </w:p>
    <w:p w14:paraId="24862B90" w14:textId="6628D4CF"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podporuje prijatie nár</w:t>
      </w:r>
      <w:r w:rsidRPr="00326E55">
        <w:rPr>
          <w:noProof/>
          <w:spacing w:val="-6"/>
          <w:lang w:val="sk-SK"/>
        </w:rPr>
        <w:t>odných platforiem digitálnej identity (Sistema Pubblico di Identità Digitale, SPID</w:t>
      </w:r>
      <w:r w:rsidR="00326E55" w:rsidRPr="00326E55">
        <w:rPr>
          <w:noProof/>
          <w:spacing w:val="-6"/>
          <w:lang w:val="sk-SK"/>
        </w:rPr>
        <w:t xml:space="preserve"> a </w:t>
      </w:r>
      <w:r w:rsidRPr="00326E55">
        <w:rPr>
          <w:noProof/>
          <w:spacing w:val="-6"/>
          <w:lang w:val="sk-SK"/>
        </w:rPr>
        <w:t>Carta d’Identità Elettronica, CIE)</w:t>
      </w:r>
      <w:r w:rsidR="00326E55" w:rsidRPr="00326E55">
        <w:rPr>
          <w:noProof/>
          <w:spacing w:val="-6"/>
          <w:lang w:val="sk-SK"/>
        </w:rPr>
        <w:t xml:space="preserve"> a </w:t>
      </w:r>
      <w:r w:rsidRPr="00326E55">
        <w:rPr>
          <w:noProof/>
          <w:spacing w:val="-6"/>
          <w:lang w:val="sk-SK"/>
        </w:rPr>
        <w:t>národného registra (Anagrafe nazionale della popolazione residente, ANPR) [investícia 1.4.4 – Rozšírenie národných platforiem digitáln</w:t>
      </w:r>
      <w:r w:rsidRPr="00326E55">
        <w:rPr>
          <w:noProof/>
          <w:spacing w:val="-6"/>
          <w:lang w:val="sk-SK"/>
        </w:rPr>
        <w:t>ej identity (SPID, CIE)</w:t>
      </w:r>
      <w:r w:rsidR="00326E55" w:rsidRPr="00326E55">
        <w:rPr>
          <w:noProof/>
          <w:spacing w:val="-6"/>
          <w:lang w:val="sk-SK"/>
        </w:rPr>
        <w:t xml:space="preserve"> a </w:t>
      </w:r>
      <w:r w:rsidRPr="00326E55">
        <w:rPr>
          <w:noProof/>
          <w:spacing w:val="-6"/>
          <w:lang w:val="sk-SK"/>
        </w:rPr>
        <w:t>národného registra (ANPR)];</w:t>
      </w:r>
    </w:p>
    <w:p w14:paraId="4A41ECEF" w14:textId="77777777"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zriaďuje jednotnú platformu pre oznámenia (investícia 1.4.5 – Digitalizácia verejných oznámení);</w:t>
      </w:r>
    </w:p>
    <w:p w14:paraId="5E2B5A73" w14:textId="6FBAB085"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 xml:space="preserve">zahŕňa prijatie mobility ako služby (MaaS) (investícia 1.4.6 – Mobilita ako služba pre Taliansko, pričom </w:t>
      </w:r>
      <w:r w:rsidRPr="00326E55">
        <w:rPr>
          <w:noProof/>
          <w:spacing w:val="-6"/>
          <w:lang w:val="sk-SK"/>
        </w:rPr>
        <w:t>toto posledné opatrenie sa financuje na základe nenávratnej finančnej podpory).</w:t>
      </w:r>
    </w:p>
    <w:p w14:paraId="6505A8F2" w14:textId="77777777" w:rsidR="00BF03AA" w:rsidRPr="00326E55" w:rsidRDefault="00FB452D">
      <w:pPr>
        <w:pStyle w:val="P68B1DB1-Normal5"/>
        <w:spacing w:before="240" w:after="120"/>
        <w:jc w:val="both"/>
        <w:rPr>
          <w:noProof/>
          <w:spacing w:val="-6"/>
          <w:lang w:val="sk-SK"/>
        </w:rPr>
      </w:pPr>
      <w:r w:rsidRPr="00326E55">
        <w:rPr>
          <w:noProof/>
          <w:spacing w:val="-6"/>
          <w:lang w:val="sk-SK"/>
        </w:rPr>
        <w:t>Investícia 1.5 – Kybernetická bezpečnosť</w:t>
      </w:r>
    </w:p>
    <w:p w14:paraId="252F3C4F" w14:textId="51569721" w:rsidR="00BF03AA" w:rsidRPr="00326E55" w:rsidRDefault="00FB452D">
      <w:pPr>
        <w:pStyle w:val="Descriptiontitle"/>
        <w:ind w:left="0"/>
        <w:rPr>
          <w:noProof/>
          <w:spacing w:val="-6"/>
          <w:lang w:val="sk-SK"/>
        </w:rPr>
      </w:pPr>
      <w:r w:rsidRPr="00326E55">
        <w:rPr>
          <w:noProof/>
          <w:spacing w:val="-6"/>
          <w:lang w:val="sk-SK"/>
        </w:rPr>
        <w:t>Cieľom tejto investície je posilniť obranu Talianska proti rizikám, ktoré predstavuje počítačová kriminalita, najmä</w:t>
      </w:r>
      <w:r w:rsidRPr="00326E55">
        <w:rPr>
          <w:noProof/>
          <w:spacing w:val="-6"/>
          <w:lang w:val="sk-SK"/>
        </w:rPr>
        <w:t xml:space="preserve"> zavedením „národného rámca kybernetickej bezpečnosti“ (PSNC)</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bezpečnostnými požiadavkami stanovenými</w:t>
      </w:r>
      <w:r w:rsidR="00326E55" w:rsidRPr="00326E55">
        <w:rPr>
          <w:noProof/>
          <w:spacing w:val="-6"/>
          <w:lang w:val="sk-SK"/>
        </w:rPr>
        <w:t xml:space="preserve"> v </w:t>
      </w:r>
      <w:r w:rsidRPr="00326E55">
        <w:rPr>
          <w:noProof/>
          <w:spacing w:val="-6"/>
          <w:lang w:val="sk-SK"/>
        </w:rPr>
        <w:t>smernici (EÚ) 2016/1148</w:t>
      </w:r>
      <w:r w:rsidR="00326E55" w:rsidRPr="00326E55">
        <w:rPr>
          <w:noProof/>
          <w:spacing w:val="-6"/>
          <w:lang w:val="sk-SK"/>
        </w:rPr>
        <w:t xml:space="preserve"> o </w:t>
      </w:r>
      <w:r w:rsidRPr="00326E55">
        <w:rPr>
          <w:noProof/>
          <w:spacing w:val="-6"/>
          <w:lang w:val="sk-SK"/>
        </w:rPr>
        <w:t>bezpečnosti sietí</w:t>
      </w:r>
      <w:r w:rsidR="00326E55" w:rsidRPr="00326E55">
        <w:rPr>
          <w:noProof/>
          <w:spacing w:val="-6"/>
          <w:lang w:val="sk-SK"/>
        </w:rPr>
        <w:t xml:space="preserve"> a </w:t>
      </w:r>
      <w:r w:rsidRPr="00326E55">
        <w:rPr>
          <w:noProof/>
          <w:spacing w:val="-6"/>
          <w:lang w:val="sk-SK"/>
        </w:rPr>
        <w:t>informačných systémov (smernica NIS)</w:t>
      </w:r>
      <w:r w:rsidR="00326E55" w:rsidRPr="00326E55">
        <w:rPr>
          <w:noProof/>
          <w:spacing w:val="-6"/>
          <w:lang w:val="sk-SK"/>
        </w:rPr>
        <w:t xml:space="preserve"> a </w:t>
      </w:r>
      <w:r w:rsidRPr="00326E55">
        <w:rPr>
          <w:noProof/>
          <w:spacing w:val="-6"/>
          <w:lang w:val="sk-SK"/>
        </w:rPr>
        <w:t>posilnením vnútroštátnych spôsobilostí</w:t>
      </w:r>
      <w:r w:rsidR="00326E55" w:rsidRPr="00326E55">
        <w:rPr>
          <w:noProof/>
          <w:spacing w:val="-6"/>
          <w:lang w:val="sk-SK"/>
        </w:rPr>
        <w:t xml:space="preserve"> v </w:t>
      </w:r>
      <w:r w:rsidRPr="00326E55">
        <w:rPr>
          <w:noProof/>
          <w:spacing w:val="-6"/>
          <w:lang w:val="sk-SK"/>
        </w:rPr>
        <w:t>oblasti kyberne</w:t>
      </w:r>
      <w:r w:rsidRPr="00326E55">
        <w:rPr>
          <w:noProof/>
          <w:spacing w:val="-6"/>
          <w:lang w:val="sk-SK"/>
        </w:rPr>
        <w:t>tickej obrany</w:t>
      </w:r>
      <w:r w:rsidR="00326E55" w:rsidRPr="00326E55">
        <w:rPr>
          <w:noProof/>
          <w:spacing w:val="-6"/>
          <w:lang w:val="sk-SK"/>
        </w:rPr>
        <w:t xml:space="preserve"> v </w:t>
      </w:r>
      <w:r w:rsidRPr="00326E55">
        <w:rPr>
          <w:noProof/>
          <w:spacing w:val="-6"/>
          <w:lang w:val="sk-SK"/>
        </w:rPr>
        <w:t>oblasti technickej kontroly</w:t>
      </w:r>
      <w:r w:rsidR="00326E55" w:rsidRPr="00326E55">
        <w:rPr>
          <w:noProof/>
          <w:spacing w:val="-6"/>
          <w:lang w:val="sk-SK"/>
        </w:rPr>
        <w:t xml:space="preserve"> a </w:t>
      </w:r>
      <w:r w:rsidRPr="00326E55">
        <w:rPr>
          <w:noProof/>
          <w:spacing w:val="-6"/>
          <w:lang w:val="sk-SK"/>
        </w:rPr>
        <w:t>monitorovania rizík.</w:t>
      </w:r>
    </w:p>
    <w:p w14:paraId="202967DC" w14:textId="4424363B" w:rsidR="00BF03AA" w:rsidRPr="00326E55" w:rsidRDefault="00FB452D">
      <w:pPr>
        <w:pStyle w:val="Descriptiontitle"/>
        <w:ind w:left="0"/>
        <w:rPr>
          <w:noProof/>
          <w:spacing w:val="-6"/>
          <w:lang w:val="sk-SK"/>
        </w:rPr>
      </w:pPr>
      <w:r w:rsidRPr="00326E55">
        <w:rPr>
          <w:noProof/>
          <w:spacing w:val="-6"/>
          <w:lang w:val="sk-SK"/>
        </w:rPr>
        <w:t>V opatrení sa predpokladá vývoj najmodernejšieho integrovaného systému, ktorý by úzko prepájal rôzne subjekty</w:t>
      </w:r>
      <w:r w:rsidR="00326E55" w:rsidRPr="00326E55">
        <w:rPr>
          <w:noProof/>
          <w:spacing w:val="-6"/>
          <w:lang w:val="sk-SK"/>
        </w:rPr>
        <w:t xml:space="preserve"> v </w:t>
      </w:r>
      <w:r w:rsidRPr="00326E55">
        <w:rPr>
          <w:noProof/>
          <w:spacing w:val="-6"/>
          <w:lang w:val="sk-SK"/>
        </w:rPr>
        <w:t>celej krajine</w:t>
      </w:r>
      <w:r w:rsidR="00326E55" w:rsidRPr="00326E55">
        <w:rPr>
          <w:noProof/>
          <w:spacing w:val="-6"/>
          <w:lang w:val="sk-SK"/>
        </w:rPr>
        <w:t xml:space="preserve"> a </w:t>
      </w:r>
      <w:r w:rsidRPr="00326E55">
        <w:rPr>
          <w:noProof/>
          <w:spacing w:val="-6"/>
          <w:lang w:val="sk-SK"/>
        </w:rPr>
        <w:t>medzinárodné prepojenie</w:t>
      </w:r>
      <w:r w:rsidR="00326E55" w:rsidRPr="00326E55">
        <w:rPr>
          <w:noProof/>
          <w:spacing w:val="-6"/>
          <w:lang w:val="sk-SK"/>
        </w:rPr>
        <w:t xml:space="preserve"> s </w:t>
      </w:r>
      <w:r w:rsidRPr="00326E55">
        <w:rPr>
          <w:noProof/>
          <w:spacing w:val="-6"/>
          <w:lang w:val="sk-SK"/>
        </w:rPr>
        <w:t>partnermi</w:t>
      </w:r>
      <w:r w:rsidR="00326E55" w:rsidRPr="00326E55">
        <w:rPr>
          <w:noProof/>
          <w:spacing w:val="-6"/>
          <w:lang w:val="sk-SK"/>
        </w:rPr>
        <w:t xml:space="preserve"> a </w:t>
      </w:r>
      <w:r w:rsidRPr="00326E55">
        <w:rPr>
          <w:noProof/>
          <w:spacing w:val="-6"/>
          <w:lang w:val="sk-SK"/>
        </w:rPr>
        <w:t>dôveryhodnými poskytova</w:t>
      </w:r>
      <w:r w:rsidRPr="00326E55">
        <w:rPr>
          <w:noProof/>
          <w:spacing w:val="-6"/>
          <w:lang w:val="sk-SK"/>
        </w:rPr>
        <w:t>teľmi technológií. Toto je vyjadrené na štyroch pilieroch: I) posilniť spôsobilosti</w:t>
      </w:r>
      <w:r w:rsidR="00326E55" w:rsidRPr="00326E55">
        <w:rPr>
          <w:noProof/>
          <w:spacing w:val="-6"/>
          <w:lang w:val="sk-SK"/>
        </w:rPr>
        <w:t xml:space="preserve"> v </w:t>
      </w:r>
      <w:r w:rsidRPr="00326E55">
        <w:rPr>
          <w:noProof/>
          <w:spacing w:val="-6"/>
          <w:lang w:val="sk-SK"/>
        </w:rPr>
        <w:t>prvej línii vo vzťahu</w:t>
      </w:r>
      <w:r w:rsidR="00326E55" w:rsidRPr="00326E55">
        <w:rPr>
          <w:noProof/>
          <w:spacing w:val="-6"/>
          <w:lang w:val="sk-SK"/>
        </w:rPr>
        <w:t xml:space="preserve"> k </w:t>
      </w:r>
      <w:r w:rsidRPr="00326E55">
        <w:rPr>
          <w:noProof/>
          <w:spacing w:val="-6"/>
          <w:lang w:val="sk-SK"/>
        </w:rPr>
        <w:t>verejnosti</w:t>
      </w:r>
      <w:r w:rsidR="00326E55" w:rsidRPr="00326E55">
        <w:rPr>
          <w:noProof/>
          <w:spacing w:val="-6"/>
          <w:lang w:val="sk-SK"/>
        </w:rPr>
        <w:t xml:space="preserve"> a </w:t>
      </w:r>
      <w:r w:rsidRPr="00326E55">
        <w:rPr>
          <w:noProof/>
          <w:spacing w:val="-6"/>
          <w:lang w:val="sk-SK"/>
        </w:rPr>
        <w:t>spoločnostiam/subjektom</w:t>
      </w:r>
      <w:r w:rsidR="00326E55" w:rsidRPr="00326E55">
        <w:rPr>
          <w:noProof/>
          <w:spacing w:val="-6"/>
          <w:lang w:val="sk-SK"/>
        </w:rPr>
        <w:t xml:space="preserve"> s </w:t>
      </w:r>
      <w:r w:rsidRPr="00326E55">
        <w:rPr>
          <w:noProof/>
          <w:spacing w:val="-6"/>
          <w:lang w:val="sk-SK"/>
        </w:rPr>
        <w:t>cieľom riadiť varovania</w:t>
      </w:r>
      <w:r w:rsidR="00326E55" w:rsidRPr="00326E55">
        <w:rPr>
          <w:noProof/>
          <w:spacing w:val="-6"/>
          <w:lang w:val="sk-SK"/>
        </w:rPr>
        <w:t xml:space="preserve"> a </w:t>
      </w:r>
      <w:r w:rsidRPr="00326E55">
        <w:rPr>
          <w:noProof/>
          <w:spacing w:val="-6"/>
          <w:lang w:val="sk-SK"/>
        </w:rPr>
        <w:t>skutočné verejne uznávané udalosti; II) vybudovať/posilniť kapacity krajiny</w:t>
      </w:r>
      <w:r w:rsidR="00326E55" w:rsidRPr="00326E55">
        <w:rPr>
          <w:noProof/>
          <w:spacing w:val="-6"/>
          <w:lang w:val="sk-SK"/>
        </w:rPr>
        <w:t xml:space="preserve"> v </w:t>
      </w:r>
      <w:r w:rsidRPr="00326E55">
        <w:rPr>
          <w:noProof/>
          <w:spacing w:val="-6"/>
          <w:lang w:val="sk-SK"/>
        </w:rPr>
        <w:t>obl</w:t>
      </w:r>
      <w:r w:rsidRPr="00326E55">
        <w:rPr>
          <w:noProof/>
          <w:spacing w:val="-6"/>
          <w:lang w:val="sk-SK"/>
        </w:rPr>
        <w:t>asti kontroly</w:t>
      </w:r>
      <w:r w:rsidR="00326E55" w:rsidRPr="00326E55">
        <w:rPr>
          <w:noProof/>
          <w:spacing w:val="-6"/>
          <w:lang w:val="sk-SK"/>
        </w:rPr>
        <w:t xml:space="preserve"> a </w:t>
      </w:r>
      <w:r w:rsidRPr="00326E55">
        <w:rPr>
          <w:noProof/>
          <w:spacing w:val="-6"/>
          <w:lang w:val="sk-SK"/>
        </w:rPr>
        <w:t>auditu hardvéru</w:t>
      </w:r>
      <w:r w:rsidR="00326E55" w:rsidRPr="00326E55">
        <w:rPr>
          <w:noProof/>
          <w:spacing w:val="-6"/>
          <w:lang w:val="sk-SK"/>
        </w:rPr>
        <w:t xml:space="preserve"> a </w:t>
      </w:r>
      <w:r w:rsidRPr="00326E55">
        <w:rPr>
          <w:noProof/>
          <w:spacing w:val="-6"/>
          <w:lang w:val="sk-SK"/>
        </w:rPr>
        <w:t>softvéru používaného subjektmi so základnými funkciami na osvedčovanie dôveryhodnosti/predchádzanie hrozbám; III) posilnenie jednotiek presadzovania práva</w:t>
      </w:r>
      <w:r w:rsidR="00326E55" w:rsidRPr="00326E55">
        <w:rPr>
          <w:noProof/>
          <w:spacing w:val="-6"/>
          <w:lang w:val="sk-SK"/>
        </w:rPr>
        <w:t xml:space="preserve"> a </w:t>
      </w:r>
      <w:r w:rsidRPr="00326E55">
        <w:rPr>
          <w:noProof/>
          <w:spacing w:val="-6"/>
          <w:lang w:val="sk-SK"/>
        </w:rPr>
        <w:t>kybernetických jednotiek</w:t>
      </w:r>
      <w:r w:rsidR="00326E55" w:rsidRPr="00326E55">
        <w:rPr>
          <w:noProof/>
          <w:spacing w:val="-6"/>
          <w:lang w:val="sk-SK"/>
        </w:rPr>
        <w:t xml:space="preserve"> v </w:t>
      </w:r>
      <w:r w:rsidRPr="00326E55">
        <w:rPr>
          <w:noProof/>
          <w:spacing w:val="-6"/>
          <w:lang w:val="sk-SK"/>
        </w:rPr>
        <w:t xml:space="preserve">rámci policajných síl zodpovedných za </w:t>
      </w:r>
      <w:r w:rsidRPr="00326E55">
        <w:rPr>
          <w:noProof/>
          <w:spacing w:val="-6"/>
          <w:lang w:val="sk-SK"/>
        </w:rPr>
        <w:t>vyšetrovanie trestnej činnosti; IV) výrazne posilniť kybernetické aktíva</w:t>
      </w:r>
      <w:r w:rsidR="00326E55" w:rsidRPr="00326E55">
        <w:rPr>
          <w:noProof/>
          <w:spacing w:val="-6"/>
          <w:lang w:val="sk-SK"/>
        </w:rPr>
        <w:t xml:space="preserve"> a </w:t>
      </w:r>
      <w:r w:rsidRPr="00326E55">
        <w:rPr>
          <w:noProof/>
          <w:spacing w:val="-6"/>
          <w:lang w:val="sk-SK"/>
        </w:rPr>
        <w:t>ľudské zdroje zodpovedné za národnú bezpečnosť</w:t>
      </w:r>
      <w:r w:rsidR="00326E55" w:rsidRPr="00326E55">
        <w:rPr>
          <w:noProof/>
          <w:spacing w:val="-6"/>
          <w:lang w:val="sk-SK"/>
        </w:rPr>
        <w:t xml:space="preserve"> a </w:t>
      </w:r>
      <w:r w:rsidRPr="00326E55">
        <w:rPr>
          <w:noProof/>
          <w:spacing w:val="-6"/>
          <w:lang w:val="sk-SK"/>
        </w:rPr>
        <w:t>reakciu na kybernetické hrozby.</w:t>
      </w:r>
    </w:p>
    <w:p w14:paraId="27D750DD"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1.6 – Digitálna transformácia veľkých centrálnych správ</w:t>
      </w:r>
    </w:p>
    <w:p w14:paraId="0A45E656" w14:textId="4FDDDAC6" w:rsidR="00BF03AA" w:rsidRPr="00326E55" w:rsidRDefault="00FB452D">
      <w:pPr>
        <w:pStyle w:val="P68B1DB1-Normal7"/>
        <w:jc w:val="both"/>
        <w:rPr>
          <w:noProof/>
          <w:spacing w:val="-6"/>
          <w:lang w:val="sk-SK"/>
        </w:rPr>
      </w:pPr>
      <w:r w:rsidRPr="00326E55">
        <w:rPr>
          <w:noProof/>
          <w:spacing w:val="-6"/>
          <w:lang w:val="sk-SK"/>
        </w:rPr>
        <w:t>Cieľom tejto investície je zvýšiť</w:t>
      </w:r>
      <w:r w:rsidRPr="00326E55">
        <w:rPr>
          <w:noProof/>
          <w:spacing w:val="-6"/>
          <w:lang w:val="sk-SK"/>
        </w:rPr>
        <w:t xml:space="preserve"> efektívnosť</w:t>
      </w:r>
      <w:r w:rsidR="00326E55" w:rsidRPr="00326E55">
        <w:rPr>
          <w:noProof/>
          <w:spacing w:val="-6"/>
          <w:lang w:val="sk-SK"/>
        </w:rPr>
        <w:t xml:space="preserve"> a </w:t>
      </w:r>
      <w:r w:rsidRPr="00326E55">
        <w:rPr>
          <w:noProof/>
          <w:spacing w:val="-6"/>
          <w:lang w:val="sk-SK"/>
        </w:rPr>
        <w:t>zjednodušiť postupy hlavných ústredných správnych orgánov – vrátane i) ministerstva vnútra, ii) ministerstva spravodlivosti, iii) Národného inštitútu sociálneho zabezpečenia (INPS)</w:t>
      </w:r>
      <w:r w:rsidR="00326E55" w:rsidRPr="00326E55">
        <w:rPr>
          <w:noProof/>
          <w:spacing w:val="-6"/>
          <w:lang w:val="sk-SK"/>
        </w:rPr>
        <w:t xml:space="preserve"> a </w:t>
      </w:r>
      <w:r w:rsidRPr="00326E55">
        <w:rPr>
          <w:noProof/>
          <w:spacing w:val="-6"/>
          <w:lang w:val="sk-SK"/>
        </w:rPr>
        <w:t>Národného inštitútu poistenia proti pracovným úrazom (INAI</w:t>
      </w:r>
      <w:r w:rsidRPr="00326E55">
        <w:rPr>
          <w:noProof/>
          <w:spacing w:val="-6"/>
          <w:lang w:val="sk-SK"/>
        </w:rPr>
        <w:t>L), iv) ministerstva obrany, v) Štátnej rady</w:t>
      </w:r>
      <w:r w:rsidR="00326E55" w:rsidRPr="00326E55">
        <w:rPr>
          <w:noProof/>
          <w:spacing w:val="-6"/>
          <w:lang w:val="sk-SK"/>
        </w:rPr>
        <w:t xml:space="preserve"> a </w:t>
      </w:r>
      <w:r w:rsidRPr="00326E55">
        <w:rPr>
          <w:noProof/>
          <w:spacing w:val="-6"/>
          <w:lang w:val="sk-SK"/>
        </w:rPr>
        <w:t>vi) finančnej polície. Investícia spočíva</w:t>
      </w:r>
      <w:r w:rsidR="00326E55" w:rsidRPr="00326E55">
        <w:rPr>
          <w:noProof/>
          <w:spacing w:val="-6"/>
          <w:lang w:val="sk-SK"/>
        </w:rPr>
        <w:t xml:space="preserve"> v </w:t>
      </w:r>
      <w:r w:rsidRPr="00326E55">
        <w:rPr>
          <w:noProof/>
          <w:spacing w:val="-6"/>
          <w:lang w:val="sk-SK"/>
        </w:rPr>
        <w:t>rekonštrukcii</w:t>
      </w:r>
      <w:r w:rsidR="00326E55" w:rsidRPr="00326E55">
        <w:rPr>
          <w:noProof/>
          <w:spacing w:val="-6"/>
          <w:lang w:val="sk-SK"/>
        </w:rPr>
        <w:t xml:space="preserve"> a </w:t>
      </w:r>
      <w:r w:rsidRPr="00326E55">
        <w:rPr>
          <w:noProof/>
          <w:spacing w:val="-6"/>
          <w:lang w:val="sk-SK"/>
        </w:rPr>
        <w:t>digitalizácii súboru prioritných procesov, činností</w:t>
      </w:r>
      <w:r w:rsidR="00326E55" w:rsidRPr="00326E55">
        <w:rPr>
          <w:noProof/>
          <w:spacing w:val="-6"/>
          <w:lang w:val="sk-SK"/>
        </w:rPr>
        <w:t xml:space="preserve"> a </w:t>
      </w:r>
      <w:r w:rsidRPr="00326E55">
        <w:rPr>
          <w:noProof/>
          <w:spacing w:val="-6"/>
          <w:lang w:val="sk-SK"/>
        </w:rPr>
        <w:t>služieb</w:t>
      </w:r>
      <w:r w:rsidR="00326E55" w:rsidRPr="00326E55">
        <w:rPr>
          <w:noProof/>
          <w:spacing w:val="-6"/>
          <w:lang w:val="sk-SK"/>
        </w:rPr>
        <w:t xml:space="preserve"> v </w:t>
      </w:r>
      <w:r w:rsidRPr="00326E55">
        <w:rPr>
          <w:noProof/>
          <w:spacing w:val="-6"/>
          <w:lang w:val="sk-SK"/>
        </w:rPr>
        <w:t>rámci ich pôsobnosti.</w:t>
      </w:r>
    </w:p>
    <w:p w14:paraId="6F822F7F" w14:textId="77777777" w:rsidR="00BF03AA" w:rsidRPr="00326E55" w:rsidRDefault="00FB452D">
      <w:pPr>
        <w:pStyle w:val="P68B1DB1-Normal5"/>
        <w:spacing w:before="240" w:after="120"/>
        <w:jc w:val="both"/>
        <w:rPr>
          <w:noProof/>
          <w:spacing w:val="-6"/>
          <w:lang w:val="sk-SK"/>
        </w:rPr>
      </w:pPr>
      <w:r w:rsidRPr="00326E55">
        <w:rPr>
          <w:noProof/>
          <w:spacing w:val="-6"/>
          <w:lang w:val="sk-SK"/>
        </w:rPr>
        <w:t>Investícia 1.7 – Základné digitálne zručnosti</w:t>
      </w:r>
    </w:p>
    <w:p w14:paraId="70650D66" w14:textId="6E7152C1" w:rsidR="00BF03AA" w:rsidRPr="00326E55" w:rsidRDefault="00FB452D">
      <w:pPr>
        <w:pStyle w:val="Descriptiontitle"/>
        <w:ind w:left="0"/>
        <w:rPr>
          <w:noProof/>
          <w:spacing w:val="-6"/>
          <w:lang w:val="sk-SK"/>
        </w:rPr>
      </w:pPr>
      <w:r w:rsidRPr="00326E55">
        <w:rPr>
          <w:rFonts w:eastAsiaTheme="minorEastAsia"/>
          <w:noProof/>
          <w:spacing w:val="-6"/>
          <w:lang w:val="sk-SK"/>
        </w:rPr>
        <w:t xml:space="preserve">Cieľom tejto </w:t>
      </w:r>
      <w:r w:rsidRPr="00326E55">
        <w:rPr>
          <w:rFonts w:eastAsiaTheme="minorEastAsia"/>
          <w:noProof/>
          <w:spacing w:val="-6"/>
          <w:lang w:val="sk-SK"/>
        </w:rPr>
        <w:t>investície je znížiť podiel obyvateľstva</w:t>
      </w:r>
      <w:r w:rsidRPr="00326E55">
        <w:rPr>
          <w:noProof/>
          <w:spacing w:val="-6"/>
          <w:lang w:val="sk-SK"/>
        </w:rPr>
        <w:t xml:space="preserve"> ohrozeného digitálnym vylúčením</w:t>
      </w:r>
      <w:r w:rsidRPr="00326E55">
        <w:rPr>
          <w:rFonts w:eastAsiaTheme="minorEastAsia"/>
          <w:noProof/>
          <w:spacing w:val="-6"/>
          <w:lang w:val="sk-SK"/>
        </w:rPr>
        <w:t xml:space="preserve"> prostredníctvom poskytovania digitálneho vzdelávania</w:t>
      </w:r>
      <w:r w:rsidRPr="00326E55">
        <w:rPr>
          <w:noProof/>
          <w:spacing w:val="-6"/>
          <w:lang w:val="sk-SK"/>
        </w:rPr>
        <w:t xml:space="preserve">. </w:t>
      </w:r>
      <w:r w:rsidRPr="00326E55">
        <w:rPr>
          <w:rFonts w:eastAsiaTheme="minorEastAsia"/>
          <w:noProof/>
          <w:spacing w:val="-6"/>
          <w:lang w:val="sk-SK"/>
        </w:rPr>
        <w:t>M e</w:t>
      </w:r>
      <w:r w:rsidRPr="00326E55">
        <w:rPr>
          <w:noProof/>
          <w:spacing w:val="-6"/>
          <w:lang w:val="sk-SK"/>
        </w:rPr>
        <w:t>asure</w:t>
      </w:r>
      <w:r w:rsidRPr="00326E55">
        <w:rPr>
          <w:rFonts w:eastAsiaTheme="minorEastAsia"/>
          <w:noProof/>
          <w:spacing w:val="-6"/>
          <w:lang w:val="sk-SK"/>
        </w:rPr>
        <w:t>pozostáva</w:t>
      </w:r>
      <w:r w:rsidR="00326E55" w:rsidRPr="00326E55">
        <w:rPr>
          <w:rFonts w:eastAsiaTheme="minorEastAsia"/>
          <w:noProof/>
          <w:spacing w:val="-6"/>
          <w:lang w:val="sk-SK"/>
        </w:rPr>
        <w:t xml:space="preserve"> z </w:t>
      </w:r>
      <w:r w:rsidRPr="00326E55">
        <w:rPr>
          <w:rFonts w:eastAsiaTheme="minorEastAsia"/>
          <w:noProof/>
          <w:spacing w:val="-6"/>
          <w:lang w:val="sk-SK"/>
        </w:rPr>
        <w:t>odbornej prípravy</w:t>
      </w:r>
      <w:r w:rsidRPr="00326E55">
        <w:rPr>
          <w:noProof/>
          <w:spacing w:val="-6"/>
          <w:lang w:val="sk-SK"/>
        </w:rPr>
        <w:t>volu</w:t>
      </w:r>
      <w:r w:rsidRPr="00326E55">
        <w:rPr>
          <w:rFonts w:eastAsiaTheme="minorEastAsia"/>
          <w:noProof/>
          <w:spacing w:val="-6"/>
          <w:lang w:val="sk-SK"/>
        </w:rPr>
        <w:t>n teers</w:t>
      </w:r>
      <w:r w:rsidR="00326E55" w:rsidRPr="00326E55">
        <w:rPr>
          <w:rFonts w:eastAsiaTheme="minorEastAsia"/>
          <w:noProof/>
          <w:spacing w:val="-6"/>
          <w:lang w:val="sk-SK"/>
        </w:rPr>
        <w:t xml:space="preserve"> s </w:t>
      </w:r>
      <w:r w:rsidRPr="00326E55">
        <w:rPr>
          <w:rFonts w:eastAsiaTheme="minorEastAsia"/>
          <w:noProof/>
          <w:spacing w:val="-6"/>
          <w:lang w:val="sk-SK"/>
        </w:rPr>
        <w:t>cieľom poskytovať digitálne</w:t>
      </w:r>
      <w:r w:rsidRPr="00326E55">
        <w:rPr>
          <w:noProof/>
          <w:spacing w:val="-6"/>
          <w:lang w:val="sk-SK"/>
        </w:rPr>
        <w:t>vzdelávanie ľuďom, ktorým hrozí digitálne vylú</w:t>
      </w:r>
      <w:r w:rsidRPr="00326E55">
        <w:rPr>
          <w:noProof/>
          <w:spacing w:val="-6"/>
          <w:lang w:val="sk-SK"/>
        </w:rPr>
        <w:t>čenie,</w:t>
      </w:r>
      <w:r w:rsidR="00326E55" w:rsidRPr="00326E55">
        <w:rPr>
          <w:noProof/>
          <w:spacing w:val="-6"/>
          <w:lang w:val="sk-SK"/>
        </w:rPr>
        <w:t xml:space="preserve"> a z </w:t>
      </w:r>
      <w:r w:rsidRPr="00326E55">
        <w:rPr>
          <w:noProof/>
          <w:spacing w:val="-6"/>
          <w:lang w:val="sk-SK"/>
        </w:rPr>
        <w:t>posilnenia siete centier digitálnej podpory.</w:t>
      </w:r>
    </w:p>
    <w:p w14:paraId="34292F77" w14:textId="70C0E751" w:rsidR="00BF03AA" w:rsidRPr="00326E55" w:rsidRDefault="00FB452D">
      <w:pPr>
        <w:pStyle w:val="P68B1DB1-Normal5"/>
        <w:rPr>
          <w:noProof/>
          <w:spacing w:val="-6"/>
          <w:lang w:val="sk-SK"/>
        </w:rPr>
      </w:pPr>
      <w:r w:rsidRPr="00326E55">
        <w:rPr>
          <w:noProof/>
          <w:spacing w:val="-6"/>
          <w:lang w:val="sk-SK"/>
        </w:rPr>
        <w:t>Reforma 1.1 – Obstarávanie IKT</w:t>
      </w:r>
    </w:p>
    <w:p w14:paraId="2B0EC06C" w14:textId="5869A610" w:rsidR="00BF03AA" w:rsidRPr="00326E55" w:rsidRDefault="00FB452D">
      <w:pPr>
        <w:pStyle w:val="P68B1DB1-Normal8"/>
        <w:spacing w:before="120" w:after="120"/>
        <w:jc w:val="both"/>
        <w:rPr>
          <w:noProof/>
          <w:spacing w:val="-6"/>
          <w:lang w:val="sk-SK"/>
        </w:rPr>
      </w:pPr>
      <w:r w:rsidRPr="00326E55">
        <w:rPr>
          <w:noProof/>
          <w:spacing w:val="-6"/>
          <w:lang w:val="sk-SK"/>
        </w:rPr>
        <w:t>Cieľom tejto reformy je zabezpečiť, aby verejná správa mohla obstarávať riešenia</w:t>
      </w:r>
      <w:r w:rsidR="00326E55" w:rsidRPr="00326E55">
        <w:rPr>
          <w:noProof/>
          <w:spacing w:val="-6"/>
          <w:lang w:val="sk-SK"/>
        </w:rPr>
        <w:t xml:space="preserve"> v </w:t>
      </w:r>
      <w:r w:rsidRPr="00326E55">
        <w:rPr>
          <w:noProof/>
          <w:spacing w:val="-6"/>
          <w:lang w:val="sk-SK"/>
        </w:rPr>
        <w:t>oblasti informačných</w:t>
      </w:r>
      <w:r w:rsidR="00326E55" w:rsidRPr="00326E55">
        <w:rPr>
          <w:noProof/>
          <w:spacing w:val="-6"/>
          <w:lang w:val="sk-SK"/>
        </w:rPr>
        <w:t xml:space="preserve"> a </w:t>
      </w:r>
      <w:r w:rsidRPr="00326E55">
        <w:rPr>
          <w:noProof/>
          <w:spacing w:val="-6"/>
          <w:lang w:val="sk-SK"/>
        </w:rPr>
        <w:t>komunikačných technológií (IKT) včasnejším</w:t>
      </w:r>
      <w:r w:rsidR="00326E55" w:rsidRPr="00326E55">
        <w:rPr>
          <w:noProof/>
          <w:spacing w:val="-6"/>
          <w:lang w:val="sk-SK"/>
        </w:rPr>
        <w:t xml:space="preserve"> a </w:t>
      </w:r>
      <w:r w:rsidRPr="00326E55">
        <w:rPr>
          <w:noProof/>
          <w:spacing w:val="-6"/>
          <w:lang w:val="sk-SK"/>
        </w:rPr>
        <w:t>efektívnejším spôs</w:t>
      </w:r>
      <w:r w:rsidRPr="00326E55">
        <w:rPr>
          <w:noProof/>
          <w:spacing w:val="-6"/>
          <w:lang w:val="sk-SK"/>
        </w:rPr>
        <w:t>obom zefektívnením</w:t>
      </w:r>
      <w:r w:rsidR="00326E55" w:rsidRPr="00326E55">
        <w:rPr>
          <w:noProof/>
          <w:spacing w:val="-6"/>
          <w:lang w:val="sk-SK"/>
        </w:rPr>
        <w:t xml:space="preserve"> a </w:t>
      </w:r>
      <w:r w:rsidRPr="00326E55">
        <w:rPr>
          <w:noProof/>
          <w:spacing w:val="-6"/>
          <w:lang w:val="sk-SK"/>
        </w:rPr>
        <w:t>urýchlením procesu obstarávania služieb</w:t>
      </w:r>
      <w:r w:rsidR="00326E55" w:rsidRPr="00326E55">
        <w:rPr>
          <w:noProof/>
          <w:spacing w:val="-6"/>
          <w:lang w:val="sk-SK"/>
        </w:rPr>
        <w:t xml:space="preserve"> a </w:t>
      </w:r>
      <w:r w:rsidRPr="00326E55">
        <w:rPr>
          <w:noProof/>
          <w:spacing w:val="-6"/>
          <w:lang w:val="sk-SK"/>
        </w:rPr>
        <w:t>aktív IKT.</w:t>
      </w:r>
    </w:p>
    <w:p w14:paraId="5B8CE277" w14:textId="43AE8354" w:rsidR="00326E55" w:rsidRPr="00326E55" w:rsidRDefault="00FB452D">
      <w:pPr>
        <w:spacing w:before="120" w:after="120"/>
        <w:jc w:val="both"/>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spacing w:val="-6"/>
          <w:lang w:val="sk-SK"/>
        </w:rPr>
        <w:t>Vykonávanie reformy pozostáva</w:t>
      </w:r>
      <w:r w:rsidR="00326E55" w:rsidRPr="00326E55">
        <w:rPr>
          <w:rFonts w:ascii="Times New Roman" w:eastAsia="Times New Roman" w:hAnsi="Times New Roman" w:cs="Times New Roman"/>
          <w:noProof/>
          <w:spacing w:val="-6"/>
          <w:lang w:val="sk-SK"/>
        </w:rPr>
        <w:t xml:space="preserve"> z </w:t>
      </w:r>
      <w:r w:rsidRPr="00326E55">
        <w:rPr>
          <w:rFonts w:ascii="Times New Roman" w:eastAsia="Times New Roman" w:hAnsi="Times New Roman" w:cs="Times New Roman"/>
          <w:noProof/>
          <w:spacing w:val="-6"/>
          <w:lang w:val="sk-SK"/>
        </w:rPr>
        <w:t>troch línií opatrení. Po prvé, zriadi sa jednotná databáza obsahujúca biely zoznam hospodárskych subjektov oprávnených poskytovať tovar</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služby orgán</w:t>
      </w:r>
      <w:r w:rsidRPr="00326E55">
        <w:rPr>
          <w:rFonts w:ascii="Times New Roman" w:eastAsia="Times New Roman" w:hAnsi="Times New Roman" w:cs="Times New Roman"/>
          <w:noProof/>
          <w:spacing w:val="-6"/>
          <w:lang w:val="sk-SK"/>
        </w:rPr>
        <w:t>om verejnej správy</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zavedie sa vyhradená technologická infraštruktúra, ktorá umožní certifikáciu dodávateľov. Po druhé sa prijme zjednodušený prístup („zrýchlený postup“) na zefektívnenie nákupov IKT pre projekty PNRR. Po tretie, zriadi sa služba digitáln</w:t>
      </w:r>
      <w:r w:rsidRPr="00326E55">
        <w:rPr>
          <w:rFonts w:ascii="Times New Roman" w:eastAsia="Times New Roman" w:hAnsi="Times New Roman" w:cs="Times New Roman"/>
          <w:noProof/>
          <w:spacing w:val="-6"/>
          <w:lang w:val="sk-SK"/>
        </w:rPr>
        <w:t>eho obstarávania</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cieľom i) zahŕňať len certifikovaných dodávateľov (hospodárske subjekty môžu kedykoľvek požiadať</w:t>
      </w:r>
      <w:r w:rsidR="00326E55" w:rsidRPr="00326E55">
        <w:rPr>
          <w:rFonts w:ascii="Times New Roman" w:eastAsia="Times New Roman" w:hAnsi="Times New Roman" w:cs="Times New Roman"/>
          <w:noProof/>
          <w:spacing w:val="-6"/>
          <w:lang w:val="sk-SK"/>
        </w:rPr>
        <w:t xml:space="preserve"> o </w:t>
      </w:r>
      <w:r w:rsidRPr="00326E55">
        <w:rPr>
          <w:rFonts w:ascii="Times New Roman" w:eastAsia="Times New Roman" w:hAnsi="Times New Roman" w:cs="Times New Roman"/>
          <w:noProof/>
          <w:spacing w:val="-6"/>
          <w:lang w:val="sk-SK"/>
        </w:rPr>
        <w:t>certifikáciu</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súlade</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článkom 64 smernice 2014/24/EÚ); II) umožniť rýchlu identifikáciu dodávateľov spĺňajúcich stanovenú potrebu (napr.</w:t>
      </w:r>
      <w:r w:rsidRPr="00326E55">
        <w:rPr>
          <w:rFonts w:ascii="Times New Roman" w:eastAsia="Times New Roman" w:hAnsi="Times New Roman" w:cs="Times New Roman"/>
          <w:noProof/>
          <w:spacing w:val="-6"/>
          <w:lang w:val="sk-SK"/>
        </w:rPr>
        <w:t xml:space="preserve"> prostredníctvom konfigurátora); III) poskytnúť správam intuitívne používateľské skúsenosti (napr. jasný opis ponúkaných služieb, porovnávacie hodnotenie dodávateľov). Toto celkové usporiadanie bude vychádzať</w:t>
      </w:r>
      <w:r w:rsidR="00326E55" w:rsidRPr="00326E55">
        <w:rPr>
          <w:rFonts w:ascii="Times New Roman" w:eastAsia="Times New Roman" w:hAnsi="Times New Roman" w:cs="Times New Roman"/>
          <w:noProof/>
          <w:spacing w:val="-6"/>
          <w:lang w:val="sk-SK"/>
        </w:rPr>
        <w:t xml:space="preserve"> z </w:t>
      </w:r>
      <w:r w:rsidRPr="00326E55">
        <w:rPr>
          <w:rFonts w:ascii="Times New Roman" w:eastAsia="Times New Roman" w:hAnsi="Times New Roman" w:cs="Times New Roman"/>
          <w:noProof/>
          <w:spacing w:val="-6"/>
          <w:lang w:val="sk-SK"/>
        </w:rPr>
        <w:t>existujúcich kapacít talianskeho štátneho sub</w:t>
      </w:r>
      <w:r w:rsidRPr="00326E55">
        <w:rPr>
          <w:rFonts w:ascii="Times New Roman" w:eastAsia="Times New Roman" w:hAnsi="Times New Roman" w:cs="Times New Roman"/>
          <w:noProof/>
          <w:spacing w:val="-6"/>
          <w:lang w:val="sk-SK"/>
        </w:rPr>
        <w:t>jektu CONSIP</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oblasti verejného obstarávania</w:t>
      </w:r>
      <w:r w:rsidR="00326E55" w:rsidRPr="00326E55">
        <w:rPr>
          <w:rFonts w:ascii="Times New Roman" w:eastAsia="Times New Roman" w:hAnsi="Times New Roman" w:cs="Times New Roman"/>
          <w:noProof/>
          <w:spacing w:val="-6"/>
          <w:lang w:val="sk-SK"/>
        </w:rPr>
        <w:t>.</w:t>
      </w:r>
    </w:p>
    <w:p w14:paraId="0474091B" w14:textId="77777777" w:rsidR="00326E55" w:rsidRPr="00326E55" w:rsidRDefault="00FB452D">
      <w:pPr>
        <w:spacing w:before="120" w:after="120"/>
        <w:jc w:val="both"/>
        <w:rPr>
          <w:rFonts w:ascii="Times New Roman" w:hAnsi="Times New Roman"/>
          <w:noProof/>
          <w:spacing w:val="-6"/>
          <w:lang w:val="sk-SK"/>
        </w:rPr>
      </w:pPr>
      <w:r w:rsidRPr="00326E55">
        <w:rPr>
          <w:rFonts w:ascii="Times New Roman" w:hAnsi="Times New Roman" w:cs="Times New Roman"/>
          <w:b/>
          <w:noProof/>
          <w:spacing w:val="-6"/>
          <w:lang w:val="sk-SK"/>
        </w:rPr>
        <w:t>Reforma 1.2 – Podpora transformácie</w:t>
      </w:r>
    </w:p>
    <w:p w14:paraId="05812AE5" w14:textId="4B39D382" w:rsidR="00326E55" w:rsidRPr="00326E55" w:rsidRDefault="00FB452D">
      <w:pPr>
        <w:pStyle w:val="P68B1DB1-Normal8"/>
        <w:spacing w:before="120" w:after="120"/>
        <w:jc w:val="both"/>
        <w:rPr>
          <w:noProof/>
          <w:spacing w:val="-6"/>
          <w:lang w:val="sk-SK"/>
        </w:rPr>
      </w:pPr>
      <w:r w:rsidRPr="00326E55">
        <w:rPr>
          <w:noProof/>
          <w:spacing w:val="-6"/>
          <w:lang w:val="sk-SK"/>
        </w:rPr>
        <w:t>Cieľom tejto reformy je podporiť digitálnu transformáciu všetkých ústredných</w:t>
      </w:r>
      <w:r w:rsidR="00326E55" w:rsidRPr="00326E55">
        <w:rPr>
          <w:noProof/>
          <w:spacing w:val="-6"/>
          <w:lang w:val="sk-SK"/>
        </w:rPr>
        <w:t xml:space="preserve"> a </w:t>
      </w:r>
      <w:r w:rsidRPr="00326E55">
        <w:rPr>
          <w:noProof/>
          <w:spacing w:val="-6"/>
          <w:lang w:val="sk-SK"/>
        </w:rPr>
        <w:t>miestnych orgánov verejnej správy zriadením osobitného úradu pre digitálnu transformáciu p</w:t>
      </w:r>
      <w:r w:rsidRPr="00326E55">
        <w:rPr>
          <w:noProof/>
          <w:spacing w:val="-6"/>
          <w:lang w:val="sk-SK"/>
        </w:rPr>
        <w:t>alestínskej samosprávy. Úrad pre transformáciu pozostáva</w:t>
      </w:r>
      <w:r w:rsidR="00326E55" w:rsidRPr="00326E55">
        <w:rPr>
          <w:noProof/>
          <w:spacing w:val="-6"/>
          <w:lang w:val="sk-SK"/>
        </w:rPr>
        <w:t xml:space="preserve"> z </w:t>
      </w:r>
      <w:r w:rsidRPr="00326E55">
        <w:rPr>
          <w:noProof/>
          <w:spacing w:val="-6"/>
          <w:lang w:val="sk-SK"/>
        </w:rPr>
        <w:t>dočasného technologického fondu zdrojov, ktorý organizuje</w:t>
      </w:r>
      <w:r w:rsidR="00326E55" w:rsidRPr="00326E55">
        <w:rPr>
          <w:noProof/>
          <w:spacing w:val="-6"/>
          <w:lang w:val="sk-SK"/>
        </w:rPr>
        <w:t xml:space="preserve"> a </w:t>
      </w:r>
      <w:r w:rsidRPr="00326E55">
        <w:rPr>
          <w:noProof/>
          <w:spacing w:val="-6"/>
          <w:lang w:val="sk-SK"/>
        </w:rPr>
        <w:t>podporuje migračné úsilie</w:t>
      </w:r>
      <w:r w:rsidR="00326E55" w:rsidRPr="00326E55">
        <w:rPr>
          <w:noProof/>
          <w:spacing w:val="-6"/>
          <w:lang w:val="sk-SK"/>
        </w:rPr>
        <w:t xml:space="preserve"> a </w:t>
      </w:r>
      <w:r w:rsidRPr="00326E55">
        <w:rPr>
          <w:noProof/>
          <w:spacing w:val="-6"/>
          <w:lang w:val="sk-SK"/>
        </w:rPr>
        <w:t>centralizované rokovanie</w:t>
      </w:r>
      <w:r w:rsidR="00326E55" w:rsidRPr="00326E55">
        <w:rPr>
          <w:noProof/>
          <w:spacing w:val="-6"/>
          <w:lang w:val="sk-SK"/>
        </w:rPr>
        <w:t xml:space="preserve"> o </w:t>
      </w:r>
      <w:r w:rsidRPr="00326E55">
        <w:rPr>
          <w:noProof/>
          <w:spacing w:val="-6"/>
          <w:lang w:val="sk-SK"/>
        </w:rPr>
        <w:t>„balíkoch“ certifikovanej externej podpory</w:t>
      </w:r>
      <w:r w:rsidR="00326E55" w:rsidRPr="00326E55">
        <w:rPr>
          <w:noProof/>
          <w:spacing w:val="-6"/>
          <w:lang w:val="sk-SK"/>
        </w:rPr>
        <w:t>.</w:t>
      </w:r>
    </w:p>
    <w:p w14:paraId="4043819E" w14:textId="5BF9571B" w:rsidR="00BF03AA" w:rsidRPr="00326E55" w:rsidRDefault="00FB452D">
      <w:pPr>
        <w:pStyle w:val="P68B1DB1-Normal7"/>
        <w:spacing w:before="120" w:after="120"/>
        <w:jc w:val="both"/>
        <w:rPr>
          <w:noProof/>
          <w:spacing w:val="-6"/>
          <w:lang w:val="sk-SK"/>
        </w:rPr>
      </w:pPr>
      <w:r w:rsidRPr="00326E55">
        <w:rPr>
          <w:noProof/>
          <w:spacing w:val="-6"/>
          <w:lang w:val="sk-SK"/>
        </w:rPr>
        <w:t>Okrem toho sa</w:t>
      </w:r>
      <w:r w:rsidR="00326E55" w:rsidRPr="00326E55">
        <w:rPr>
          <w:noProof/>
          <w:spacing w:val="-6"/>
          <w:lang w:val="sk-SK"/>
        </w:rPr>
        <w:t xml:space="preserve"> v </w:t>
      </w:r>
      <w:r w:rsidRPr="00326E55">
        <w:rPr>
          <w:noProof/>
          <w:spacing w:val="-6"/>
          <w:lang w:val="sk-SK"/>
        </w:rPr>
        <w:t>opatrení predpokladá z</w:t>
      </w:r>
      <w:r w:rsidRPr="00326E55">
        <w:rPr>
          <w:noProof/>
          <w:spacing w:val="-6"/>
          <w:lang w:val="sk-SK"/>
        </w:rPr>
        <w:t>riadenie spoločnosti zameranej na vývoj softvéru</w:t>
      </w:r>
      <w:r w:rsidR="00326E55" w:rsidRPr="00326E55">
        <w:rPr>
          <w:noProof/>
          <w:spacing w:val="-6"/>
          <w:lang w:val="sk-SK"/>
        </w:rPr>
        <w:t xml:space="preserve"> a </w:t>
      </w:r>
      <w:r w:rsidRPr="00326E55">
        <w:rPr>
          <w:noProof/>
          <w:spacing w:val="-6"/>
          <w:lang w:val="sk-SK"/>
        </w:rPr>
        <w:t>prevádzkové riadenie</w:t>
      </w:r>
      <w:r w:rsidR="00326E55" w:rsidRPr="00326E55">
        <w:rPr>
          <w:noProof/>
          <w:spacing w:val="-6"/>
          <w:lang w:val="sk-SK"/>
        </w:rPr>
        <w:t xml:space="preserve"> s </w:t>
      </w:r>
      <w:r w:rsidRPr="00326E55">
        <w:rPr>
          <w:noProof/>
          <w:spacing w:val="-6"/>
          <w:lang w:val="sk-SK"/>
        </w:rPr>
        <w:t>cieľom podporiť digitálne stupňovanie ústredných správ. Úrad pre transformáciu podporuje najmä verejnú správu pri vykonávaní investícií 1.1 až 1.7 zahrnutých do tohto komponentu</w:t>
      </w:r>
      <w:r w:rsidR="00326E55" w:rsidRPr="00326E55">
        <w:rPr>
          <w:noProof/>
          <w:spacing w:val="-6"/>
          <w:lang w:val="sk-SK"/>
        </w:rPr>
        <w:t xml:space="preserve"> a </w:t>
      </w:r>
      <w:r w:rsidRPr="00326E55">
        <w:rPr>
          <w:noProof/>
          <w:spacing w:val="-6"/>
          <w:lang w:val="sk-SK"/>
        </w:rPr>
        <w:t>po</w:t>
      </w:r>
      <w:r w:rsidRPr="00326E55">
        <w:rPr>
          <w:noProof/>
          <w:spacing w:val="-6"/>
          <w:lang w:val="sk-SK"/>
        </w:rPr>
        <w:t>dporuje aj realizáciu investícií</w:t>
      </w:r>
      <w:r w:rsidR="00326E55" w:rsidRPr="00326E55">
        <w:rPr>
          <w:noProof/>
          <w:spacing w:val="-6"/>
          <w:lang w:val="sk-SK"/>
        </w:rPr>
        <w:t xml:space="preserve"> a </w:t>
      </w:r>
      <w:r w:rsidRPr="00326E55">
        <w:rPr>
          <w:noProof/>
          <w:spacing w:val="-6"/>
          <w:lang w:val="sk-SK"/>
        </w:rPr>
        <w:t>reforiem</w:t>
      </w:r>
      <w:r w:rsidR="00326E55" w:rsidRPr="00326E55">
        <w:rPr>
          <w:noProof/>
          <w:spacing w:val="-6"/>
          <w:lang w:val="sk-SK"/>
        </w:rPr>
        <w:t xml:space="preserve"> v </w:t>
      </w:r>
      <w:r w:rsidRPr="00326E55">
        <w:rPr>
          <w:noProof/>
          <w:spacing w:val="-6"/>
          <w:lang w:val="sk-SK"/>
        </w:rPr>
        <w:t>oblasti digitalizácie zdravotnej starostlivosti zahrnutých do úlohy 6.</w:t>
      </w:r>
    </w:p>
    <w:p w14:paraId="78D068CE" w14:textId="2721D3A9" w:rsidR="00BF03AA" w:rsidRPr="00326E55" w:rsidRDefault="00FB452D">
      <w:pPr>
        <w:pStyle w:val="P68B1DB1-Normal5"/>
        <w:spacing w:before="240" w:after="120"/>
        <w:jc w:val="both"/>
        <w:rPr>
          <w:noProof/>
          <w:spacing w:val="-6"/>
          <w:lang w:val="sk-SK"/>
        </w:rPr>
      </w:pPr>
      <w:r w:rsidRPr="00326E55">
        <w:rPr>
          <w:noProof/>
          <w:spacing w:val="-6"/>
          <w:lang w:val="sk-SK"/>
        </w:rPr>
        <w:t>Reforma 1.3 – Prvé cloud</w:t>
      </w:r>
      <w:r w:rsidR="00326E55" w:rsidRPr="00326E55">
        <w:rPr>
          <w:noProof/>
          <w:spacing w:val="-6"/>
          <w:lang w:val="sk-SK"/>
        </w:rPr>
        <w:t xml:space="preserve"> a </w:t>
      </w:r>
      <w:r w:rsidRPr="00326E55">
        <w:rPr>
          <w:noProof/>
          <w:spacing w:val="-6"/>
          <w:lang w:val="sk-SK"/>
        </w:rPr>
        <w:t>interoperabilita</w:t>
      </w:r>
    </w:p>
    <w:p w14:paraId="6E51A1F1" w14:textId="3B0B538D" w:rsidR="00BF03AA" w:rsidRPr="00326E55" w:rsidRDefault="00FB452D">
      <w:pPr>
        <w:pStyle w:val="P68B1DB1-Normal8"/>
        <w:spacing w:before="120" w:after="120"/>
        <w:jc w:val="both"/>
        <w:rPr>
          <w:noProof/>
          <w:spacing w:val="-6"/>
          <w:lang w:val="sk-SK"/>
        </w:rPr>
      </w:pPr>
      <w:r w:rsidRPr="00326E55">
        <w:rPr>
          <w:noProof/>
          <w:spacing w:val="-6"/>
          <w:lang w:val="sk-SK"/>
        </w:rPr>
        <w:t>Cieľom tejto reformy je odstrániť prekážky zavádzania cloud computingu</w:t>
      </w:r>
      <w:r w:rsidR="00326E55" w:rsidRPr="00326E55">
        <w:rPr>
          <w:noProof/>
          <w:spacing w:val="-6"/>
          <w:lang w:val="sk-SK"/>
        </w:rPr>
        <w:t xml:space="preserve"> a </w:t>
      </w:r>
      <w:r w:rsidRPr="00326E55">
        <w:rPr>
          <w:noProof/>
          <w:spacing w:val="-6"/>
          <w:lang w:val="sk-SK"/>
        </w:rPr>
        <w:t>zefektívniť byrokraciu</w:t>
      </w:r>
      <w:r w:rsidRPr="00326E55">
        <w:rPr>
          <w:noProof/>
          <w:spacing w:val="-6"/>
          <w:lang w:val="sk-SK"/>
        </w:rPr>
        <w:t>, ktorá spomaľuje procesy výmeny údajov medzi orgánmi verejnej správy,</w:t>
      </w:r>
      <w:r w:rsidR="00326E55" w:rsidRPr="00326E55">
        <w:rPr>
          <w:noProof/>
          <w:spacing w:val="-6"/>
          <w:lang w:val="sk-SK"/>
        </w:rPr>
        <w:t xml:space="preserve"> a </w:t>
      </w:r>
      <w:r w:rsidRPr="00326E55">
        <w:rPr>
          <w:noProof/>
          <w:spacing w:val="-6"/>
          <w:lang w:val="sk-SK"/>
        </w:rPr>
        <w:t>to zavedením súboru stimulov</w:t>
      </w:r>
      <w:r w:rsidR="00326E55" w:rsidRPr="00326E55">
        <w:rPr>
          <w:noProof/>
          <w:spacing w:val="-6"/>
          <w:lang w:val="sk-SK"/>
        </w:rPr>
        <w:t xml:space="preserve"> a </w:t>
      </w:r>
      <w:r w:rsidRPr="00326E55">
        <w:rPr>
          <w:noProof/>
          <w:spacing w:val="-6"/>
          <w:lang w:val="sk-SK"/>
        </w:rPr>
        <w:t>povinností zameraných na uľahčenie migrácie na cloud</w:t>
      </w:r>
      <w:r w:rsidR="00326E55" w:rsidRPr="00326E55">
        <w:rPr>
          <w:noProof/>
          <w:spacing w:val="-6"/>
          <w:lang w:val="sk-SK"/>
        </w:rPr>
        <w:t xml:space="preserve"> a </w:t>
      </w:r>
      <w:r w:rsidRPr="00326E55">
        <w:rPr>
          <w:noProof/>
          <w:spacing w:val="-6"/>
          <w:lang w:val="sk-SK"/>
        </w:rPr>
        <w:t>odstránením procedurálnych obmedzení širokého zavádzania digitálnych služieb.</w:t>
      </w:r>
    </w:p>
    <w:p w14:paraId="7C752650" w14:textId="25E5FC38" w:rsidR="00326E55" w:rsidRPr="00326E55" w:rsidRDefault="00FB452D">
      <w:pPr>
        <w:pStyle w:val="P68B1DB1-Normal8"/>
        <w:spacing w:before="120" w:after="120"/>
        <w:jc w:val="both"/>
        <w:rPr>
          <w:noProof/>
          <w:spacing w:val="-6"/>
          <w:lang w:val="sk-SK"/>
        </w:rPr>
      </w:pPr>
      <w:r w:rsidRPr="00326E55">
        <w:rPr>
          <w:noProof/>
          <w:spacing w:val="-6"/>
          <w:lang w:val="sk-SK"/>
        </w:rPr>
        <w:t xml:space="preserve">Reforma zahŕňa tri </w:t>
      </w:r>
      <w:r w:rsidRPr="00326E55">
        <w:rPr>
          <w:noProof/>
          <w:spacing w:val="-6"/>
          <w:lang w:val="sk-SK"/>
        </w:rPr>
        <w:t>línie činnosti. Po prvé, keďže cloudové riešenia stimulujú nákladovú efektívnosť výdavkov na informačné</w:t>
      </w:r>
      <w:r w:rsidR="00326E55" w:rsidRPr="00326E55">
        <w:rPr>
          <w:noProof/>
          <w:spacing w:val="-6"/>
          <w:lang w:val="sk-SK"/>
        </w:rPr>
        <w:t xml:space="preserve"> a </w:t>
      </w:r>
      <w:r w:rsidRPr="00326E55">
        <w:rPr>
          <w:noProof/>
          <w:spacing w:val="-6"/>
          <w:lang w:val="sk-SK"/>
        </w:rPr>
        <w:t>komunikačné technológie (IKT) po vopred vymedzenom „období odkladu“ (napr. tri roky po začatí transformácie), správne orgány, ktoré nerešpektovali clo</w:t>
      </w:r>
      <w:r w:rsidRPr="00326E55">
        <w:rPr>
          <w:noProof/>
          <w:spacing w:val="-6"/>
          <w:lang w:val="sk-SK"/>
        </w:rPr>
        <w:t>udovú transformáciu, zaznamenajú obmedzenie vo svojom rozpočte výdavkov na IKT</w:t>
      </w:r>
      <w:r w:rsidR="00326E55" w:rsidRPr="00326E55">
        <w:rPr>
          <w:noProof/>
          <w:spacing w:val="-6"/>
          <w:lang w:val="sk-SK"/>
        </w:rPr>
        <w:t>.</w:t>
      </w:r>
    </w:p>
    <w:p w14:paraId="4407D51B" w14:textId="40BB6C72" w:rsidR="00BF03AA" w:rsidRPr="00326E55" w:rsidRDefault="00FB452D">
      <w:pPr>
        <w:pStyle w:val="P68B1DB1-Normal8"/>
        <w:spacing w:before="120" w:after="120"/>
        <w:jc w:val="both"/>
        <w:rPr>
          <w:noProof/>
          <w:spacing w:val="-6"/>
          <w:lang w:val="sk-SK"/>
        </w:rPr>
      </w:pPr>
      <w:r w:rsidRPr="00326E55">
        <w:rPr>
          <w:noProof/>
          <w:spacing w:val="-6"/>
          <w:lang w:val="sk-SK"/>
        </w:rPr>
        <w:t>Po druhé, ako súčasť stimulov na migráciu cloud computingu sa zrevidujú súčasné pravidlá verejného účtovníctva pre výdavky súvisiace</w:t>
      </w:r>
      <w:r w:rsidR="00326E55" w:rsidRPr="00326E55">
        <w:rPr>
          <w:noProof/>
          <w:spacing w:val="-6"/>
          <w:lang w:val="sk-SK"/>
        </w:rPr>
        <w:t xml:space="preserve"> s </w:t>
      </w:r>
      <w:r w:rsidRPr="00326E55">
        <w:rPr>
          <w:noProof/>
          <w:spacing w:val="-6"/>
          <w:lang w:val="sk-SK"/>
        </w:rPr>
        <w:t>cloudovými službami. Vzhľadom na to, že m</w:t>
      </w:r>
      <w:r w:rsidRPr="00326E55">
        <w:rPr>
          <w:noProof/>
          <w:spacing w:val="-6"/>
          <w:lang w:val="sk-SK"/>
        </w:rPr>
        <w:t>igrácia na cloud</w:t>
      </w:r>
      <w:r w:rsidR="00326E55" w:rsidRPr="00326E55">
        <w:rPr>
          <w:noProof/>
          <w:spacing w:val="-6"/>
          <w:lang w:val="sk-SK"/>
        </w:rPr>
        <w:t xml:space="preserve"> v </w:t>
      </w:r>
      <w:r w:rsidRPr="00326E55">
        <w:rPr>
          <w:noProof/>
          <w:spacing w:val="-6"/>
          <w:lang w:val="sk-SK"/>
        </w:rPr>
        <w:t>súčasnosti zahŕňa presun rozpočtových prostriedkov</w:t>
      </w:r>
      <w:r w:rsidR="00326E55" w:rsidRPr="00326E55">
        <w:rPr>
          <w:noProof/>
          <w:spacing w:val="-6"/>
          <w:lang w:val="sk-SK"/>
        </w:rPr>
        <w:t xml:space="preserve"> z </w:t>
      </w:r>
      <w:r w:rsidRPr="00326E55">
        <w:rPr>
          <w:noProof/>
          <w:spacing w:val="-6"/>
          <w:lang w:val="sk-SK"/>
        </w:rPr>
        <w:t>kapitálových výdavkov na prevádzkové výdavky, pravidlá verejného účtovníctva pre výdavky súvisiace</w:t>
      </w:r>
      <w:r w:rsidR="00326E55" w:rsidRPr="00326E55">
        <w:rPr>
          <w:noProof/>
          <w:spacing w:val="-6"/>
          <w:lang w:val="sk-SK"/>
        </w:rPr>
        <w:t xml:space="preserve"> s </w:t>
      </w:r>
      <w:r w:rsidRPr="00326E55">
        <w:rPr>
          <w:noProof/>
          <w:spacing w:val="-6"/>
          <w:lang w:val="sk-SK"/>
        </w:rPr>
        <w:t>cloudovými službami sa zrevidujú, aby sa neodrádzalo od migrácie cloud computingu p</w:t>
      </w:r>
      <w:r w:rsidRPr="00326E55">
        <w:rPr>
          <w:noProof/>
          <w:spacing w:val="-6"/>
          <w:lang w:val="sk-SK"/>
        </w:rPr>
        <w:t>re orgány verejnej správy.</w:t>
      </w:r>
    </w:p>
    <w:p w14:paraId="7B874AC4" w14:textId="4CF05C88" w:rsidR="00BF03AA" w:rsidRPr="00326E55" w:rsidRDefault="00FB452D">
      <w:pPr>
        <w:spacing w:before="120" w:after="120"/>
        <w:jc w:val="both"/>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spacing w:val="-6"/>
          <w:lang w:val="sk-SK"/>
        </w:rPr>
        <w:t>Po tretie, zrevidujú sa normy týkajúce sa pravidiel interoperability údajov</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súlade</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ustanoveniami</w:t>
      </w:r>
      <w:r w:rsidR="00326E55" w:rsidRPr="00326E55">
        <w:rPr>
          <w:rFonts w:ascii="Times New Roman" w:eastAsia="Times New Roman" w:hAnsi="Times New Roman" w:cs="Times New Roman"/>
          <w:noProof/>
          <w:spacing w:val="-6"/>
          <w:lang w:val="sk-SK"/>
        </w:rPr>
        <w:t xml:space="preserve"> o </w:t>
      </w:r>
      <w:r w:rsidRPr="00326E55">
        <w:rPr>
          <w:rFonts w:ascii="Times New Roman" w:eastAsia="Times New Roman" w:hAnsi="Times New Roman" w:cs="Times New Roman"/>
          <w:noProof/>
          <w:spacing w:val="-6"/>
          <w:lang w:val="sk-SK"/>
        </w:rPr>
        <w:t>otvorených údajoch</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spracúvaní osobných údajov</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súčasné postupy výmeny údajov medzi orgánmi verejnej správy sa zjednodušia</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cieľom zefektívniť procesné aspekty</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urýchliť vykonávanie interoperability medzi databázami verejnej správy. Okrem toho sa digitálne bydlisko preskúma</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začlení do národného registra rezidentov (ANPR), aby sa umožnila určitá</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bezpečná digitálna</w:t>
      </w:r>
      <w:r w:rsidRPr="00326E55">
        <w:rPr>
          <w:rFonts w:ascii="Times New Roman" w:hAnsi="Times New Roman"/>
          <w:noProof/>
          <w:spacing w:val="-6"/>
          <w:lang w:val="sk-SK"/>
        </w:rPr>
        <w:t>korešpo</w:t>
      </w:r>
      <w:r w:rsidRPr="00326E55">
        <w:rPr>
          <w:rFonts w:ascii="Times New Roman" w:hAnsi="Times New Roman"/>
          <w:noProof/>
          <w:spacing w:val="-6"/>
          <w:lang w:val="sk-SK"/>
        </w:rPr>
        <w:t>ndencia</w:t>
      </w:r>
      <w:r w:rsidRPr="00326E55">
        <w:rPr>
          <w:rFonts w:ascii="Times New Roman" w:eastAsia="Times New Roman" w:hAnsi="Times New Roman" w:cs="Times New Roman"/>
          <w:noProof/>
          <w:spacing w:val="-6"/>
          <w:lang w:val="sk-SK"/>
        </w:rPr>
        <w:t>medzi občanmi</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orgánmi verejnej správy.</w:t>
      </w:r>
    </w:p>
    <w:p w14:paraId="104C38DE" w14:textId="77777777" w:rsidR="00BF03AA" w:rsidRPr="00326E55" w:rsidRDefault="00FB452D">
      <w:pPr>
        <w:pStyle w:val="Axistitle"/>
        <w:ind w:left="0"/>
        <w:rPr>
          <w:noProof/>
          <w:spacing w:val="-6"/>
          <w:lang w:val="sk-SK"/>
        </w:rPr>
      </w:pPr>
      <w:r w:rsidRPr="00326E55">
        <w:rPr>
          <w:noProof/>
          <w:spacing w:val="-6"/>
          <w:lang w:val="sk-SK"/>
        </w:rPr>
        <w:t>Os 2 – Spravodlivosť</w:t>
      </w:r>
    </w:p>
    <w:p w14:paraId="572E5345" w14:textId="77777777" w:rsidR="00BF03AA" w:rsidRPr="00326E55" w:rsidRDefault="00FB452D">
      <w:pPr>
        <w:pStyle w:val="P68B1DB1-Normal5"/>
        <w:spacing w:before="240" w:after="120"/>
        <w:jc w:val="both"/>
        <w:rPr>
          <w:noProof/>
          <w:spacing w:val="-6"/>
          <w:lang w:val="sk-SK"/>
        </w:rPr>
      </w:pPr>
      <w:r w:rsidRPr="00326E55">
        <w:rPr>
          <w:noProof/>
          <w:spacing w:val="-6"/>
          <w:lang w:val="sk-SK"/>
        </w:rPr>
        <w:t>Reforma 1.4 – Civilná justícia</w:t>
      </w:r>
    </w:p>
    <w:p w14:paraId="273D67DE" w14:textId="7BF79A92" w:rsidR="00BF03AA" w:rsidRPr="00326E55" w:rsidRDefault="00FB452D">
      <w:pPr>
        <w:pStyle w:val="P68B1DB1-Normal8"/>
        <w:spacing w:before="120" w:after="120"/>
        <w:jc w:val="both"/>
        <w:rPr>
          <w:noProof/>
          <w:spacing w:val="-6"/>
          <w:lang w:val="sk-SK"/>
        </w:rPr>
      </w:pPr>
      <w:r w:rsidRPr="00326E55">
        <w:rPr>
          <w:noProof/>
          <w:spacing w:val="-6"/>
          <w:lang w:val="sk-SK"/>
        </w:rPr>
        <w:t>Cieľom tejto reformy je skrátiť dĺžku občianskoprávnych konaní</w:t>
      </w:r>
      <w:r w:rsidR="00326E55" w:rsidRPr="00326E55">
        <w:rPr>
          <w:noProof/>
          <w:spacing w:val="-6"/>
          <w:lang w:val="sk-SK"/>
        </w:rPr>
        <w:t xml:space="preserve"> a </w:t>
      </w:r>
      <w:r w:rsidRPr="00326E55">
        <w:rPr>
          <w:noProof/>
          <w:spacing w:val="-6"/>
          <w:lang w:val="sk-SK"/>
        </w:rPr>
        <w:t>riešiť počet nevybavených prípadov na občianskych súdoch. Reforma pozostáva</w:t>
      </w:r>
      <w:r w:rsidR="00326E55" w:rsidRPr="00326E55">
        <w:rPr>
          <w:noProof/>
          <w:spacing w:val="-6"/>
          <w:lang w:val="sk-SK"/>
        </w:rPr>
        <w:t xml:space="preserve"> z </w:t>
      </w:r>
      <w:r w:rsidRPr="00326E55">
        <w:rPr>
          <w:noProof/>
          <w:spacing w:val="-6"/>
          <w:lang w:val="sk-SK"/>
        </w:rPr>
        <w:t>prijatia legi</w:t>
      </w:r>
      <w:r w:rsidRPr="00326E55">
        <w:rPr>
          <w:noProof/>
          <w:spacing w:val="-6"/>
          <w:lang w:val="sk-SK"/>
        </w:rPr>
        <w:t>slatívnych opatrení na zníženie počtu nových prípadov na súdoch, zjednodušenie existujúcich postupov</w:t>
      </w:r>
      <w:r w:rsidR="00326E55" w:rsidRPr="00326E55">
        <w:rPr>
          <w:noProof/>
          <w:spacing w:val="-6"/>
          <w:lang w:val="sk-SK"/>
        </w:rPr>
        <w:t xml:space="preserve"> a </w:t>
      </w:r>
      <w:r w:rsidRPr="00326E55">
        <w:rPr>
          <w:noProof/>
          <w:spacing w:val="-6"/>
          <w:lang w:val="sk-SK"/>
        </w:rPr>
        <w:t>zvýšenie produktivity súdov.</w:t>
      </w:r>
    </w:p>
    <w:p w14:paraId="79C67567" w14:textId="77777777" w:rsidR="00BF03AA" w:rsidRPr="00326E55" w:rsidRDefault="00FB452D">
      <w:pPr>
        <w:pStyle w:val="P68B1DB1-Normal5"/>
        <w:spacing w:before="120" w:after="120"/>
        <w:jc w:val="both"/>
        <w:rPr>
          <w:noProof/>
          <w:spacing w:val="-6"/>
          <w:lang w:val="sk-SK"/>
        </w:rPr>
      </w:pPr>
      <w:r w:rsidRPr="00326E55">
        <w:rPr>
          <w:noProof/>
          <w:spacing w:val="-6"/>
          <w:lang w:val="sk-SK"/>
        </w:rPr>
        <w:t>Reforma 1.5 – Trestná justícia</w:t>
      </w:r>
    </w:p>
    <w:p w14:paraId="4D92F4BE" w14:textId="2AEE9288" w:rsidR="00BF03AA" w:rsidRPr="00326E55" w:rsidRDefault="00FB452D">
      <w:pPr>
        <w:pStyle w:val="P68B1DB1-Normal8"/>
        <w:spacing w:before="120" w:after="120"/>
        <w:jc w:val="both"/>
        <w:rPr>
          <w:noProof/>
          <w:spacing w:val="-6"/>
          <w:lang w:val="sk-SK"/>
        </w:rPr>
      </w:pPr>
      <w:r w:rsidRPr="00326E55">
        <w:rPr>
          <w:noProof/>
          <w:spacing w:val="-6"/>
          <w:lang w:val="sk-SK"/>
        </w:rPr>
        <w:t>Cieľom tejto reformy je skrátiť dĺžku trestného konania. Reforma pozostáva</w:t>
      </w:r>
      <w:r w:rsidR="00326E55" w:rsidRPr="00326E55">
        <w:rPr>
          <w:noProof/>
          <w:spacing w:val="-6"/>
          <w:lang w:val="sk-SK"/>
        </w:rPr>
        <w:t xml:space="preserve"> z </w:t>
      </w:r>
      <w:r w:rsidRPr="00326E55">
        <w:rPr>
          <w:noProof/>
          <w:spacing w:val="-6"/>
          <w:lang w:val="sk-SK"/>
        </w:rPr>
        <w:t>prijatia opatren</w:t>
      </w:r>
      <w:r w:rsidRPr="00326E55">
        <w:rPr>
          <w:noProof/>
          <w:spacing w:val="-6"/>
          <w:lang w:val="sk-SK"/>
        </w:rPr>
        <w:t>í, ktoré zjednodušujú existujúce postupy</w:t>
      </w:r>
      <w:r w:rsidR="00326E55" w:rsidRPr="00326E55">
        <w:rPr>
          <w:noProof/>
          <w:spacing w:val="-6"/>
          <w:lang w:val="sk-SK"/>
        </w:rPr>
        <w:t xml:space="preserve"> a </w:t>
      </w:r>
      <w:r w:rsidRPr="00326E55">
        <w:rPr>
          <w:noProof/>
          <w:spacing w:val="-6"/>
          <w:lang w:val="sk-SK"/>
        </w:rPr>
        <w:t>zvyšujú produktivitu súdov.</w:t>
      </w:r>
    </w:p>
    <w:p w14:paraId="19C3EE79" w14:textId="77777777" w:rsidR="00BF03AA" w:rsidRPr="00326E55" w:rsidRDefault="00FB452D">
      <w:pPr>
        <w:pStyle w:val="P68B1DB1-Normal5"/>
        <w:spacing w:before="240" w:after="120"/>
        <w:jc w:val="both"/>
        <w:rPr>
          <w:noProof/>
          <w:spacing w:val="-6"/>
          <w:lang w:val="sk-SK"/>
        </w:rPr>
      </w:pPr>
      <w:r w:rsidRPr="00326E55">
        <w:rPr>
          <w:noProof/>
          <w:spacing w:val="-6"/>
          <w:lang w:val="sk-SK"/>
        </w:rPr>
        <w:t>Reforma 1.6 – Insolvencia</w:t>
      </w:r>
    </w:p>
    <w:p w14:paraId="36C1ED09" w14:textId="5A1952D3" w:rsidR="00326E55" w:rsidRPr="00326E55" w:rsidRDefault="00FB452D">
      <w:pPr>
        <w:pStyle w:val="P68B1DB1-Normal8"/>
        <w:spacing w:before="120" w:after="120"/>
        <w:jc w:val="both"/>
        <w:rPr>
          <w:noProof/>
          <w:spacing w:val="-6"/>
          <w:lang w:val="sk-SK"/>
        </w:rPr>
      </w:pPr>
      <w:r w:rsidRPr="00326E55">
        <w:rPr>
          <w:noProof/>
          <w:spacing w:val="-6"/>
          <w:lang w:val="sk-SK"/>
        </w:rPr>
        <w:t>Cieľom reformy je digitalizácia</w:t>
      </w:r>
      <w:r w:rsidR="00326E55" w:rsidRPr="00326E55">
        <w:rPr>
          <w:noProof/>
          <w:spacing w:val="-6"/>
          <w:lang w:val="sk-SK"/>
        </w:rPr>
        <w:t xml:space="preserve"> a </w:t>
      </w:r>
      <w:r w:rsidRPr="00326E55">
        <w:rPr>
          <w:noProof/>
          <w:spacing w:val="-6"/>
          <w:lang w:val="sk-SK"/>
        </w:rPr>
        <w:t>posilnenie insolvenčných konaní zavedením mechanizmov včasného varovania pred platobnou neschopnosťou, špecializácia súdov</w:t>
      </w:r>
      <w:r w:rsidR="00326E55" w:rsidRPr="00326E55">
        <w:rPr>
          <w:noProof/>
          <w:spacing w:val="-6"/>
          <w:lang w:val="sk-SK"/>
        </w:rPr>
        <w:t xml:space="preserve"> a </w:t>
      </w:r>
      <w:r w:rsidRPr="00326E55">
        <w:rPr>
          <w:noProof/>
          <w:spacing w:val="-6"/>
          <w:lang w:val="sk-SK"/>
        </w:rPr>
        <w:t>predsúdnych inštitúcií</w:t>
      </w:r>
      <w:r w:rsidR="00326E55" w:rsidRPr="00326E55">
        <w:rPr>
          <w:noProof/>
          <w:spacing w:val="-6"/>
          <w:lang w:val="sk-SK"/>
        </w:rPr>
        <w:t xml:space="preserve"> s </w:t>
      </w:r>
      <w:r w:rsidRPr="00326E55">
        <w:rPr>
          <w:noProof/>
          <w:spacing w:val="-6"/>
          <w:lang w:val="sk-SK"/>
        </w:rPr>
        <w:t>cieľom účinnejšie riadiť všetky fázy insolvenčného konania,</w:t>
      </w:r>
      <w:r w:rsidR="00326E55" w:rsidRPr="00326E55">
        <w:rPr>
          <w:noProof/>
          <w:spacing w:val="-6"/>
          <w:lang w:val="sk-SK"/>
        </w:rPr>
        <w:t xml:space="preserve"> a </w:t>
      </w:r>
      <w:r w:rsidRPr="00326E55">
        <w:rPr>
          <w:noProof/>
          <w:spacing w:val="-6"/>
          <w:lang w:val="sk-SK"/>
        </w:rPr>
        <w:t>to aj prostredníctvom odbornej prípravy</w:t>
      </w:r>
      <w:r w:rsidR="00326E55" w:rsidRPr="00326E55">
        <w:rPr>
          <w:noProof/>
          <w:spacing w:val="-6"/>
          <w:lang w:val="sk-SK"/>
        </w:rPr>
        <w:t xml:space="preserve"> a </w:t>
      </w:r>
      <w:r w:rsidRPr="00326E55">
        <w:rPr>
          <w:noProof/>
          <w:spacing w:val="-6"/>
          <w:lang w:val="sk-SK"/>
        </w:rPr>
        <w:t>špecializácie pre členov súdnych</w:t>
      </w:r>
      <w:r w:rsidR="00326E55" w:rsidRPr="00326E55">
        <w:rPr>
          <w:noProof/>
          <w:spacing w:val="-6"/>
          <w:lang w:val="sk-SK"/>
        </w:rPr>
        <w:t xml:space="preserve"> a </w:t>
      </w:r>
      <w:r w:rsidRPr="00326E55">
        <w:rPr>
          <w:noProof/>
          <w:spacing w:val="-6"/>
          <w:lang w:val="sk-SK"/>
        </w:rPr>
        <w:t>správnych orgánov</w:t>
      </w:r>
      <w:r w:rsidR="00326E55" w:rsidRPr="00326E55">
        <w:rPr>
          <w:noProof/>
          <w:spacing w:val="-6"/>
          <w:lang w:val="sk-SK"/>
        </w:rPr>
        <w:t>.</w:t>
      </w:r>
    </w:p>
    <w:p w14:paraId="7F0735A3" w14:textId="354BC499" w:rsidR="00BF03AA" w:rsidRPr="00326E55" w:rsidRDefault="00FB452D">
      <w:pPr>
        <w:pStyle w:val="P68B1DB1-Normal5"/>
        <w:spacing w:before="240" w:after="120"/>
        <w:jc w:val="both"/>
        <w:rPr>
          <w:noProof/>
          <w:spacing w:val="-6"/>
          <w:lang w:val="sk-SK"/>
        </w:rPr>
      </w:pPr>
      <w:r w:rsidRPr="00326E55">
        <w:rPr>
          <w:noProof/>
          <w:spacing w:val="-6"/>
          <w:lang w:val="sk-SK"/>
        </w:rPr>
        <w:t>Reforma 1.7 – Daňové súdy</w:t>
      </w:r>
    </w:p>
    <w:p w14:paraId="52A19F35" w14:textId="33AD747D" w:rsidR="00BF03AA" w:rsidRPr="00326E55" w:rsidRDefault="00FB452D">
      <w:pPr>
        <w:pStyle w:val="P68B1DB1-Normal8"/>
        <w:spacing w:before="120" w:after="120"/>
        <w:jc w:val="both"/>
        <w:rPr>
          <w:noProof/>
          <w:spacing w:val="-6"/>
          <w:lang w:val="sk-SK"/>
        </w:rPr>
      </w:pPr>
      <w:r w:rsidRPr="00326E55">
        <w:rPr>
          <w:noProof/>
          <w:spacing w:val="-6"/>
          <w:lang w:val="sk-SK"/>
        </w:rPr>
        <w:t>Cieľom reformy je zefektívniť presadzovanie daň</w:t>
      </w:r>
      <w:r w:rsidRPr="00326E55">
        <w:rPr>
          <w:noProof/>
          <w:spacing w:val="-6"/>
          <w:lang w:val="sk-SK"/>
        </w:rPr>
        <w:t>ového práva</w:t>
      </w:r>
      <w:r w:rsidR="00326E55" w:rsidRPr="00326E55">
        <w:rPr>
          <w:noProof/>
          <w:spacing w:val="-6"/>
          <w:lang w:val="sk-SK"/>
        </w:rPr>
        <w:t xml:space="preserve"> a </w:t>
      </w:r>
      <w:r w:rsidRPr="00326E55">
        <w:rPr>
          <w:noProof/>
          <w:spacing w:val="-6"/>
          <w:lang w:val="sk-SK"/>
        </w:rPr>
        <w:t>znížiť vysoký počet odvolaní na kasačnom súde.</w:t>
      </w:r>
    </w:p>
    <w:p w14:paraId="1D658ACC" w14:textId="77777777" w:rsidR="00BF03AA" w:rsidRPr="00326E55" w:rsidRDefault="00FB452D">
      <w:pPr>
        <w:pStyle w:val="P68B1DB1-Normal5"/>
        <w:spacing w:before="240" w:after="120"/>
        <w:jc w:val="both"/>
        <w:rPr>
          <w:noProof/>
          <w:spacing w:val="-6"/>
          <w:lang w:val="sk-SK"/>
        </w:rPr>
      </w:pPr>
      <w:r w:rsidRPr="00326E55">
        <w:rPr>
          <w:noProof/>
          <w:spacing w:val="-6"/>
          <w:lang w:val="sk-SK"/>
        </w:rPr>
        <w:t>Reforma 1.8 – Digitalizácia justičného systému</w:t>
      </w:r>
    </w:p>
    <w:p w14:paraId="5B8A8614" w14:textId="1FD97C99" w:rsidR="00BF03AA" w:rsidRPr="00326E55" w:rsidRDefault="00FB452D">
      <w:pPr>
        <w:pStyle w:val="P68B1DB1-Normal7"/>
        <w:spacing w:before="120" w:after="120"/>
        <w:jc w:val="both"/>
        <w:rPr>
          <w:noProof/>
          <w:spacing w:val="-6"/>
          <w:lang w:val="sk-SK"/>
        </w:rPr>
      </w:pPr>
      <w:r w:rsidRPr="00326E55">
        <w:rPr>
          <w:noProof/>
          <w:spacing w:val="-6"/>
          <w:lang w:val="sk-SK"/>
        </w:rPr>
        <w:t>Cieľom tejto reformy je digitalizácia občianskych</w:t>
      </w:r>
      <w:r w:rsidR="00326E55" w:rsidRPr="00326E55">
        <w:rPr>
          <w:noProof/>
          <w:spacing w:val="-6"/>
          <w:lang w:val="sk-SK"/>
        </w:rPr>
        <w:t xml:space="preserve"> a </w:t>
      </w:r>
      <w:r w:rsidRPr="00326E55">
        <w:rPr>
          <w:noProof/>
          <w:spacing w:val="-6"/>
          <w:lang w:val="sk-SK"/>
        </w:rPr>
        <w:t xml:space="preserve">trestných konaní. Táto reforma pozostáva zo zavedenia povinného elektronického podávania </w:t>
      </w:r>
      <w:r w:rsidRPr="00326E55">
        <w:rPr>
          <w:noProof/>
          <w:spacing w:val="-6"/>
          <w:lang w:val="sk-SK"/>
        </w:rPr>
        <w:t>dokumentov, zavedenia elektronického pracovného postupu pre občianskoprávne konania, digitalizácie trestných konaní na prvom stupni</w:t>
      </w:r>
      <w:r w:rsidR="00326E55" w:rsidRPr="00326E55">
        <w:rPr>
          <w:noProof/>
          <w:spacing w:val="-6"/>
          <w:lang w:val="sk-SK"/>
        </w:rPr>
        <w:t xml:space="preserve"> a </w:t>
      </w:r>
      <w:r w:rsidRPr="00326E55">
        <w:rPr>
          <w:noProof/>
          <w:spacing w:val="-6"/>
          <w:lang w:val="sk-SK"/>
        </w:rPr>
        <w:t>vytvorenia databázy občianskoprávnych rozhodnutí.</w:t>
      </w:r>
    </w:p>
    <w:p w14:paraId="6C46A287" w14:textId="5AB2E1E6" w:rsidR="00BF03AA" w:rsidRPr="00326E55" w:rsidRDefault="00FB452D">
      <w:pPr>
        <w:pStyle w:val="P68B1DB1-Normal5"/>
        <w:spacing w:before="240" w:after="120"/>
        <w:jc w:val="both"/>
        <w:rPr>
          <w:noProof/>
          <w:spacing w:val="-6"/>
          <w:lang w:val="sk-SK"/>
        </w:rPr>
      </w:pPr>
      <w:r w:rsidRPr="00326E55">
        <w:rPr>
          <w:noProof/>
          <w:spacing w:val="-6"/>
          <w:lang w:val="sk-SK"/>
        </w:rPr>
        <w:t>Investícia 1.8 – Postupy prijímania zamestnancov pre občianske, trestné</w:t>
      </w:r>
      <w:r w:rsidR="00326E55" w:rsidRPr="00326E55">
        <w:rPr>
          <w:noProof/>
          <w:spacing w:val="-6"/>
          <w:lang w:val="sk-SK"/>
        </w:rPr>
        <w:t xml:space="preserve"> a </w:t>
      </w:r>
      <w:r w:rsidRPr="00326E55">
        <w:rPr>
          <w:noProof/>
          <w:spacing w:val="-6"/>
          <w:lang w:val="sk-SK"/>
        </w:rPr>
        <w:t>správne súdy</w:t>
      </w:r>
    </w:p>
    <w:p w14:paraId="6CD5F925" w14:textId="095F6092"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zvýšiť kvalitu justície podporou činností správnych, občianskych</w:t>
      </w:r>
      <w:r w:rsidR="00326E55" w:rsidRPr="00326E55">
        <w:rPr>
          <w:noProof/>
          <w:spacing w:val="-6"/>
          <w:lang w:val="sk-SK"/>
        </w:rPr>
        <w:t xml:space="preserve"> a </w:t>
      </w:r>
      <w:r w:rsidRPr="00326E55">
        <w:rPr>
          <w:noProof/>
          <w:spacing w:val="-6"/>
          <w:lang w:val="sk-SK"/>
        </w:rPr>
        <w:t>trestných súdov, ako aj územných</w:t>
      </w:r>
      <w:r w:rsidR="00326E55" w:rsidRPr="00326E55">
        <w:rPr>
          <w:noProof/>
          <w:spacing w:val="-6"/>
          <w:lang w:val="sk-SK"/>
        </w:rPr>
        <w:t xml:space="preserve"> a </w:t>
      </w:r>
      <w:r w:rsidRPr="00326E55">
        <w:rPr>
          <w:noProof/>
          <w:spacing w:val="-6"/>
          <w:lang w:val="sk-SK"/>
        </w:rPr>
        <w:t>ústredných útvarov ministerstva spravodlivosti zodpovedných za presadzovanie plánu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a </w:t>
      </w:r>
      <w:r w:rsidRPr="00326E55">
        <w:rPr>
          <w:noProof/>
          <w:spacing w:val="-6"/>
          <w:lang w:val="sk-SK"/>
        </w:rPr>
        <w:t>digitálnu</w:t>
      </w:r>
      <w:r w:rsidRPr="00326E55">
        <w:rPr>
          <w:noProof/>
          <w:spacing w:val="-6"/>
          <w:lang w:val="sk-SK"/>
        </w:rPr>
        <w:t xml:space="preserve"> transformáciu justičného systému. Investícia pozostáva</w:t>
      </w:r>
      <w:r w:rsidR="00326E55" w:rsidRPr="00326E55">
        <w:rPr>
          <w:noProof/>
          <w:spacing w:val="-6"/>
          <w:lang w:val="sk-SK"/>
        </w:rPr>
        <w:t xml:space="preserve"> z </w:t>
      </w:r>
      <w:r w:rsidRPr="00326E55">
        <w:rPr>
          <w:noProof/>
          <w:spacing w:val="-6"/>
          <w:lang w:val="sk-SK"/>
        </w:rPr>
        <w:t>dočasného prijímania zamestnancov do kancelárie skúšania</w:t>
      </w:r>
      <w:r w:rsidR="00326E55" w:rsidRPr="00326E55">
        <w:rPr>
          <w:noProof/>
          <w:spacing w:val="-6"/>
          <w:lang w:val="sk-SK"/>
        </w:rPr>
        <w:t xml:space="preserve"> a </w:t>
      </w:r>
      <w:r w:rsidRPr="00326E55">
        <w:rPr>
          <w:noProof/>
          <w:spacing w:val="-6"/>
          <w:lang w:val="sk-SK"/>
        </w:rPr>
        <w:t>technického</w:t>
      </w:r>
      <w:r w:rsidR="00326E55" w:rsidRPr="00326E55">
        <w:rPr>
          <w:noProof/>
          <w:spacing w:val="-6"/>
          <w:lang w:val="sk-SK"/>
        </w:rPr>
        <w:t xml:space="preserve"> a </w:t>
      </w:r>
      <w:r w:rsidRPr="00326E55">
        <w:rPr>
          <w:noProof/>
          <w:spacing w:val="-6"/>
          <w:lang w:val="sk-SK"/>
        </w:rPr>
        <w:t>administratívneho personálu na podporu vykonávania cieľov plánu obnovy</w:t>
      </w:r>
      <w:r w:rsidR="00326E55" w:rsidRPr="00326E55">
        <w:rPr>
          <w:noProof/>
          <w:spacing w:val="-6"/>
          <w:lang w:val="sk-SK"/>
        </w:rPr>
        <w:t xml:space="preserve"> a </w:t>
      </w:r>
      <w:r w:rsidRPr="00326E55">
        <w:rPr>
          <w:noProof/>
          <w:spacing w:val="-6"/>
          <w:lang w:val="sk-SK"/>
        </w:rPr>
        <w:t>odolnosti.</w:t>
      </w:r>
    </w:p>
    <w:p w14:paraId="67C3F40E" w14:textId="77777777" w:rsidR="00BF03AA" w:rsidRPr="00326E55" w:rsidRDefault="00FB452D">
      <w:pPr>
        <w:pStyle w:val="Axistitle"/>
        <w:ind w:left="0"/>
        <w:rPr>
          <w:noProof/>
          <w:spacing w:val="-6"/>
          <w:lang w:val="sk-SK"/>
        </w:rPr>
      </w:pPr>
      <w:r w:rsidRPr="00326E55">
        <w:rPr>
          <w:noProof/>
          <w:spacing w:val="-6"/>
          <w:lang w:val="sk-SK"/>
        </w:rPr>
        <w:t>Os 3 – Verejná správa</w:t>
      </w:r>
    </w:p>
    <w:p w14:paraId="6376A16A" w14:textId="7FB26EE1" w:rsidR="00BF03AA" w:rsidRPr="00326E55" w:rsidRDefault="00FB452D">
      <w:pPr>
        <w:pStyle w:val="P68B1DB1-Normal5"/>
        <w:spacing w:before="240" w:after="120"/>
        <w:jc w:val="both"/>
        <w:rPr>
          <w:noProof/>
          <w:spacing w:val="-6"/>
          <w:lang w:val="sk-SK"/>
        </w:rPr>
      </w:pPr>
      <w:r w:rsidRPr="00326E55">
        <w:rPr>
          <w:noProof/>
          <w:spacing w:val="-6"/>
          <w:lang w:val="sk-SK"/>
        </w:rPr>
        <w:t>Reforma 1.9 – Refor</w:t>
      </w:r>
      <w:r w:rsidRPr="00326E55">
        <w:rPr>
          <w:noProof/>
          <w:spacing w:val="-6"/>
          <w:lang w:val="sk-SK"/>
        </w:rPr>
        <w:t>ma zamestnanosti vo verejnom sektore</w:t>
      </w:r>
      <w:r w:rsidR="00326E55" w:rsidRPr="00326E55">
        <w:rPr>
          <w:noProof/>
          <w:spacing w:val="-6"/>
          <w:lang w:val="sk-SK"/>
        </w:rPr>
        <w:t xml:space="preserve"> a </w:t>
      </w:r>
      <w:r w:rsidRPr="00326E55">
        <w:rPr>
          <w:noProof/>
          <w:spacing w:val="-6"/>
          <w:lang w:val="sk-SK"/>
        </w:rPr>
        <w:t>reforma zjednodušovania</w:t>
      </w:r>
    </w:p>
    <w:p w14:paraId="591B41AA" w14:textId="26053F7A" w:rsidR="00BF03AA" w:rsidRPr="00326E55" w:rsidRDefault="00FB452D">
      <w:pPr>
        <w:pStyle w:val="P68B1DB1-Normal7"/>
        <w:spacing w:before="120" w:after="120"/>
        <w:jc w:val="both"/>
        <w:rPr>
          <w:noProof/>
          <w:spacing w:val="-6"/>
          <w:lang w:val="sk-SK"/>
        </w:rPr>
      </w:pPr>
      <w:r w:rsidRPr="00326E55">
        <w:rPr>
          <w:noProof/>
          <w:spacing w:val="-6"/>
          <w:lang w:val="sk-SK"/>
        </w:rPr>
        <w:t>Cieľom tejto reformy je posilniť verejný rámec zamestnanosti</w:t>
      </w:r>
      <w:r w:rsidR="00326E55" w:rsidRPr="00326E55">
        <w:rPr>
          <w:noProof/>
          <w:spacing w:val="-6"/>
          <w:lang w:val="sk-SK"/>
        </w:rPr>
        <w:t xml:space="preserve"> a </w:t>
      </w:r>
      <w:r w:rsidRPr="00326E55">
        <w:rPr>
          <w:noProof/>
          <w:spacing w:val="-6"/>
          <w:lang w:val="sk-SK"/>
        </w:rPr>
        <w:t>zjednodušiť administratívne postupy</w:t>
      </w:r>
      <w:r w:rsidR="00326E55" w:rsidRPr="00326E55">
        <w:rPr>
          <w:noProof/>
          <w:spacing w:val="-6"/>
          <w:lang w:val="sk-SK"/>
        </w:rPr>
        <w:t xml:space="preserve"> v </w:t>
      </w:r>
      <w:r w:rsidRPr="00326E55">
        <w:rPr>
          <w:noProof/>
          <w:spacing w:val="-6"/>
          <w:lang w:val="sk-SK"/>
        </w:rPr>
        <w:t>prospech podnikov</w:t>
      </w:r>
      <w:r w:rsidR="00326E55" w:rsidRPr="00326E55">
        <w:rPr>
          <w:noProof/>
          <w:spacing w:val="-6"/>
          <w:lang w:val="sk-SK"/>
        </w:rPr>
        <w:t xml:space="preserve"> a </w:t>
      </w:r>
      <w:r w:rsidRPr="00326E55">
        <w:rPr>
          <w:noProof/>
          <w:spacing w:val="-6"/>
          <w:lang w:val="sk-SK"/>
        </w:rPr>
        <w:t>občanov. Reforma pozostáva</w:t>
      </w:r>
      <w:r w:rsidR="00326E55" w:rsidRPr="00326E55">
        <w:rPr>
          <w:noProof/>
          <w:spacing w:val="-6"/>
          <w:lang w:val="sk-SK"/>
        </w:rPr>
        <w:t xml:space="preserve"> z </w:t>
      </w:r>
      <w:r w:rsidRPr="00326E55">
        <w:rPr>
          <w:noProof/>
          <w:spacing w:val="-6"/>
          <w:lang w:val="sk-SK"/>
        </w:rPr>
        <w:t xml:space="preserve">prijatia viacerých opatrení na odstránenie </w:t>
      </w:r>
      <w:r w:rsidRPr="00326E55">
        <w:rPr>
          <w:noProof/>
          <w:spacing w:val="-6"/>
          <w:lang w:val="sk-SK"/>
        </w:rPr>
        <w:t>zbytočných povinností, zavedenia mechanizmov tichého súhlasu, zjednodušenia komunikácie, zjednotenia režimov spoločných pre regióny</w:t>
      </w:r>
      <w:r w:rsidR="00326E55" w:rsidRPr="00326E55">
        <w:rPr>
          <w:noProof/>
          <w:spacing w:val="-6"/>
          <w:lang w:val="sk-SK"/>
        </w:rPr>
        <w:t xml:space="preserve"> a </w:t>
      </w:r>
      <w:r w:rsidRPr="00326E55">
        <w:rPr>
          <w:noProof/>
          <w:spacing w:val="-6"/>
          <w:lang w:val="sk-SK"/>
        </w:rPr>
        <w:t>obce, zabezpečenia interoperability postupov podnikania</w:t>
      </w:r>
      <w:r w:rsidR="00326E55" w:rsidRPr="00326E55">
        <w:rPr>
          <w:noProof/>
          <w:spacing w:val="-6"/>
          <w:lang w:val="sk-SK"/>
        </w:rPr>
        <w:t xml:space="preserve"> a </w:t>
      </w:r>
      <w:r w:rsidRPr="00326E55">
        <w:rPr>
          <w:noProof/>
          <w:spacing w:val="-6"/>
          <w:lang w:val="sk-SK"/>
        </w:rPr>
        <w:t>výstavby (SUAP &amp; SUE)</w:t>
      </w:r>
      <w:r w:rsidR="00326E55" w:rsidRPr="00326E55">
        <w:rPr>
          <w:noProof/>
          <w:spacing w:val="-6"/>
          <w:lang w:val="sk-SK"/>
        </w:rPr>
        <w:t xml:space="preserve"> a </w:t>
      </w:r>
      <w:r w:rsidRPr="00326E55">
        <w:rPr>
          <w:noProof/>
          <w:spacing w:val="-6"/>
          <w:lang w:val="sk-SK"/>
        </w:rPr>
        <w:t>vymedzenia súboru kľúčových ukazovateľov</w:t>
      </w:r>
      <w:r w:rsidRPr="00326E55">
        <w:rPr>
          <w:noProof/>
          <w:spacing w:val="-6"/>
          <w:lang w:val="sk-SK"/>
        </w:rPr>
        <w:t xml:space="preserve"> výkonnosti (KPI) na riadenie organizačných zmien</w:t>
      </w:r>
      <w:r w:rsidR="00326E55" w:rsidRPr="00326E55">
        <w:rPr>
          <w:noProof/>
          <w:spacing w:val="-6"/>
          <w:lang w:val="sk-SK"/>
        </w:rPr>
        <w:t xml:space="preserve"> v </w:t>
      </w:r>
      <w:r w:rsidRPr="00326E55">
        <w:rPr>
          <w:noProof/>
          <w:spacing w:val="-6"/>
          <w:lang w:val="sk-SK"/>
        </w:rPr>
        <w:t>správnych orgánoch.</w:t>
      </w:r>
    </w:p>
    <w:p w14:paraId="05B2EEA7" w14:textId="77777777" w:rsidR="00BF03AA" w:rsidRPr="00326E55" w:rsidRDefault="00FB452D">
      <w:pPr>
        <w:pStyle w:val="P68B1DB1-Normal5"/>
        <w:spacing w:before="120" w:after="120"/>
        <w:jc w:val="both"/>
        <w:rPr>
          <w:noProof/>
          <w:spacing w:val="-6"/>
          <w:lang w:val="sk-SK"/>
        </w:rPr>
      </w:pPr>
      <w:r w:rsidRPr="00326E55">
        <w:rPr>
          <w:noProof/>
          <w:spacing w:val="-6"/>
          <w:lang w:val="sk-SK"/>
        </w:rPr>
        <w:t>Reforma 1.9a – Reforma na urýchlenie vykonávania politiky súdržnosti</w:t>
      </w:r>
    </w:p>
    <w:p w14:paraId="3C7A329E" w14:textId="3257A120" w:rsidR="00BF03AA" w:rsidRPr="00326E55" w:rsidRDefault="00FB452D">
      <w:pPr>
        <w:spacing w:before="120" w:after="120"/>
        <w:jc w:val="both"/>
        <w:rPr>
          <w:rFonts w:ascii="Times New Roman" w:hAnsi="Times New Roman" w:cs="Times New Roman"/>
          <w:b/>
          <w:noProof/>
          <w:spacing w:val="-6"/>
          <w:lang w:val="sk-SK"/>
        </w:rPr>
      </w:pPr>
      <w:r w:rsidRPr="00326E55">
        <w:rPr>
          <w:rFonts w:ascii="Times New Roman" w:hAnsi="Times New Roman" w:cs="Times New Roman"/>
          <w:noProof/>
          <w:spacing w:val="-6"/>
          <w:lang w:val="sk-SK"/>
        </w:rPr>
        <w:t>Cieľom reformy je urýchliť vykonávanie</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efektívnosť politiky súdržnosti</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komplementárnosti</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národným plánom obno</w:t>
      </w:r>
      <w:r w:rsidRPr="00326E55">
        <w:rPr>
          <w:rFonts w:ascii="Times New Roman" w:hAnsi="Times New Roman" w:cs="Times New Roman"/>
          <w:noProof/>
          <w:spacing w:val="-6"/>
          <w:lang w:val="sk-SK"/>
        </w:rPr>
        <w:t>vy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odolnosti. Stanoví sa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 xml:space="preserve">ňom dátum schválenia strategického plánu jednotnej osobitnej hospodárskej zóny. </w:t>
      </w:r>
      <w:r w:rsidRPr="00326E55">
        <w:rPr>
          <w:rStyle w:val="s10"/>
          <w:rFonts w:ascii="Times New Roman" w:hAnsi="Times New Roman" w:cs="Times New Roman"/>
          <w:noProof/>
          <w:color w:val="000000" w:themeColor="text1"/>
          <w:spacing w:val="-6"/>
          <w:lang w:val="sk-SK"/>
        </w:rPr>
        <w:t xml:space="preserve">Vo </w:t>
      </w:r>
      <w:r w:rsidRPr="00326E55">
        <w:rPr>
          <w:rFonts w:ascii="Times New Roman" w:hAnsi="Times New Roman" w:cs="Times New Roman"/>
          <w:noProof/>
          <w:spacing w:val="-6"/>
          <w:lang w:val="sk-SK"/>
        </w:rPr>
        <w:t xml:space="preserve">vnútroštátnych </w:t>
      </w:r>
      <w:r w:rsidRPr="00326E55">
        <w:rPr>
          <w:rStyle w:val="s10"/>
          <w:rFonts w:ascii="Times New Roman" w:hAnsi="Times New Roman" w:cs="Times New Roman"/>
          <w:noProof/>
          <w:color w:val="000000" w:themeColor="text1"/>
          <w:spacing w:val="-6"/>
          <w:lang w:val="sk-SK"/>
        </w:rPr>
        <w:t>právnych predpisoch sa vyžaduje stanovisko jednotnej konferencie pred jej zmenou na zákon, ako sa stanovuje</w:t>
      </w:r>
      <w:r w:rsidR="00326E55" w:rsidRPr="00326E55">
        <w:rPr>
          <w:rStyle w:val="s10"/>
          <w:rFonts w:ascii="Times New Roman" w:hAnsi="Times New Roman" w:cs="Times New Roman"/>
          <w:noProof/>
          <w:color w:val="000000" w:themeColor="text1"/>
          <w:spacing w:val="-6"/>
          <w:lang w:val="sk-SK"/>
        </w:rPr>
        <w:t xml:space="preserve"> v </w:t>
      </w:r>
      <w:r w:rsidRPr="00326E55">
        <w:rPr>
          <w:rStyle w:val="s10"/>
          <w:rFonts w:ascii="Times New Roman" w:hAnsi="Times New Roman" w:cs="Times New Roman"/>
          <w:noProof/>
          <w:color w:val="000000" w:themeColor="text1"/>
          <w:spacing w:val="-6"/>
          <w:lang w:val="sk-SK"/>
        </w:rPr>
        <w:t>legislatívnom dekré</w:t>
      </w:r>
      <w:r w:rsidRPr="00326E55">
        <w:rPr>
          <w:rStyle w:val="s10"/>
          <w:rFonts w:ascii="Times New Roman" w:hAnsi="Times New Roman" w:cs="Times New Roman"/>
          <w:noProof/>
          <w:color w:val="000000" w:themeColor="text1"/>
          <w:spacing w:val="-6"/>
          <w:lang w:val="sk-SK"/>
        </w:rPr>
        <w:t xml:space="preserve">te </w:t>
      </w:r>
      <w:r w:rsidR="00326E55" w:rsidRPr="00326E55">
        <w:rPr>
          <w:rStyle w:val="s10"/>
          <w:rFonts w:ascii="Times New Roman" w:hAnsi="Times New Roman" w:cs="Times New Roman"/>
          <w:noProof/>
          <w:color w:val="000000" w:themeColor="text1"/>
          <w:spacing w:val="-6"/>
          <w:lang w:val="sk-SK"/>
        </w:rPr>
        <w:t>č. </w:t>
      </w:r>
      <w:r w:rsidRPr="00326E55">
        <w:rPr>
          <w:rStyle w:val="s10"/>
          <w:rFonts w:ascii="Times New Roman" w:hAnsi="Times New Roman" w:cs="Times New Roman"/>
          <w:noProof/>
          <w:color w:val="000000" w:themeColor="text1"/>
          <w:spacing w:val="-6"/>
          <w:lang w:val="sk-SK"/>
        </w:rPr>
        <w:t>211/1997.</w:t>
      </w:r>
      <w:r w:rsidR="00326E55" w:rsidRPr="00326E55">
        <w:rPr>
          <w:rStyle w:val="s10"/>
          <w:rFonts w:ascii="Times New Roman" w:hAnsi="Times New Roman" w:cs="Times New Roman"/>
          <w:noProof/>
          <w:color w:val="000000" w:themeColor="text1"/>
          <w:spacing w:val="-6"/>
          <w:lang w:val="sk-SK"/>
        </w:rPr>
        <w:t xml:space="preserve"> V </w:t>
      </w:r>
      <w:r w:rsidRPr="00326E55">
        <w:rPr>
          <w:rFonts w:ascii="Times New Roman" w:hAnsi="Times New Roman" w:cs="Times New Roman"/>
          <w:noProof/>
          <w:spacing w:val="-6"/>
          <w:lang w:val="sk-SK"/>
        </w:rPr>
        <w:t>súlade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článkom 9 nariadenia (EÚ) 2021/241 sa na reformu môže poskytnúť podpora</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iných programov</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nástrojov Únie za predpokladu, že takáto podpora nepokrýva rovnaké náklady. Mechanizmus na podporu obnovy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odolnosti nepokrýva žiadne ná</w:t>
      </w:r>
      <w:r w:rsidRPr="00326E55">
        <w:rPr>
          <w:rFonts w:ascii="Times New Roman" w:hAnsi="Times New Roman" w:cs="Times New Roman"/>
          <w:noProof/>
          <w:spacing w:val="-6"/>
          <w:lang w:val="sk-SK"/>
        </w:rPr>
        <w:t>klady na reformu.</w:t>
      </w:r>
    </w:p>
    <w:p w14:paraId="36F4A8D9" w14:textId="7FFC280A" w:rsidR="00BF03AA" w:rsidRPr="00326E55" w:rsidRDefault="00FB452D">
      <w:pPr>
        <w:pStyle w:val="P68B1DB1-Normal5"/>
        <w:spacing w:before="240" w:after="120"/>
        <w:jc w:val="both"/>
        <w:rPr>
          <w:noProof/>
          <w:spacing w:val="-6"/>
          <w:lang w:val="sk-SK"/>
        </w:rPr>
      </w:pPr>
      <w:r w:rsidRPr="00326E55">
        <w:rPr>
          <w:noProof/>
          <w:spacing w:val="-6"/>
          <w:lang w:val="sk-SK"/>
        </w:rPr>
        <w:t>Investícia 1.9 – Poskytovanie technickej pomoci</w:t>
      </w:r>
      <w:r w:rsidR="00326E55" w:rsidRPr="00326E55">
        <w:rPr>
          <w:noProof/>
          <w:spacing w:val="-6"/>
          <w:lang w:val="sk-SK"/>
        </w:rPr>
        <w:t xml:space="preserve"> a </w:t>
      </w:r>
      <w:r w:rsidRPr="00326E55">
        <w:rPr>
          <w:noProof/>
          <w:spacing w:val="-6"/>
          <w:lang w:val="sk-SK"/>
        </w:rPr>
        <w:t>posilňovanie budovania kapacít na vykonávanie talianskeho plánu obnovy</w:t>
      </w:r>
      <w:r w:rsidR="00326E55" w:rsidRPr="00326E55">
        <w:rPr>
          <w:noProof/>
          <w:spacing w:val="-6"/>
          <w:lang w:val="sk-SK"/>
        </w:rPr>
        <w:t xml:space="preserve"> a </w:t>
      </w:r>
      <w:r w:rsidRPr="00326E55">
        <w:rPr>
          <w:noProof/>
          <w:spacing w:val="-6"/>
          <w:lang w:val="sk-SK"/>
        </w:rPr>
        <w:t>odolnosti</w:t>
      </w:r>
    </w:p>
    <w:p w14:paraId="078645AB" w14:textId="465B5931" w:rsidR="00326E55" w:rsidRPr="00326E55" w:rsidRDefault="00FB452D">
      <w:pPr>
        <w:pStyle w:val="P68B1DB1-Normal7"/>
        <w:spacing w:before="120" w:after="120"/>
        <w:jc w:val="both"/>
        <w:rPr>
          <w:noProof/>
          <w:spacing w:val="-6"/>
          <w:lang w:val="sk-SK"/>
        </w:rPr>
      </w:pPr>
      <w:r w:rsidRPr="00326E55">
        <w:rPr>
          <w:noProof/>
          <w:spacing w:val="-6"/>
          <w:lang w:val="sk-SK"/>
        </w:rPr>
        <w:t>Cieľom tejto investície je posilniť administratívne kapacity na vykonávanie talianskeho plánu obnovy</w:t>
      </w:r>
      <w:r w:rsidR="00326E55" w:rsidRPr="00326E55">
        <w:rPr>
          <w:noProof/>
          <w:spacing w:val="-6"/>
          <w:lang w:val="sk-SK"/>
        </w:rPr>
        <w:t xml:space="preserve"> a </w:t>
      </w:r>
      <w:r w:rsidRPr="00326E55">
        <w:rPr>
          <w:noProof/>
          <w:spacing w:val="-6"/>
          <w:lang w:val="sk-SK"/>
        </w:rPr>
        <w:t>odolnosti. Investícia pozostáva</w:t>
      </w:r>
      <w:r w:rsidR="00326E55" w:rsidRPr="00326E55">
        <w:rPr>
          <w:noProof/>
          <w:spacing w:val="-6"/>
          <w:lang w:val="sk-SK"/>
        </w:rPr>
        <w:t xml:space="preserve"> z </w:t>
      </w:r>
      <w:r w:rsidRPr="00326E55">
        <w:rPr>
          <w:noProof/>
          <w:spacing w:val="-6"/>
          <w:lang w:val="sk-SK"/>
        </w:rPr>
        <w:t>dočasného náboru skupiny odborníkov, ktorí poskytnú technickú pomoc správnym orgánom</w:t>
      </w:r>
      <w:r w:rsidR="00326E55" w:rsidRPr="00326E55">
        <w:rPr>
          <w:noProof/>
          <w:spacing w:val="-6"/>
          <w:lang w:val="sk-SK"/>
        </w:rPr>
        <w:t xml:space="preserve"> a </w:t>
      </w:r>
      <w:r w:rsidRPr="00326E55">
        <w:rPr>
          <w:noProof/>
          <w:spacing w:val="-6"/>
          <w:lang w:val="sk-SK"/>
        </w:rPr>
        <w:t>posilnia ich kapacity na vykonávanie konkrétnych iniciatív plánovaných</w:t>
      </w:r>
      <w:r w:rsidR="00326E55" w:rsidRPr="00326E55">
        <w:rPr>
          <w:noProof/>
          <w:spacing w:val="-6"/>
          <w:lang w:val="sk-SK"/>
        </w:rPr>
        <w:t xml:space="preserve"> v </w:t>
      </w:r>
      <w:r w:rsidRPr="00326E55">
        <w:rPr>
          <w:noProof/>
          <w:spacing w:val="-6"/>
          <w:lang w:val="sk-SK"/>
        </w:rPr>
        <w:t>rámci plánu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a </w:t>
      </w:r>
      <w:r w:rsidRPr="00326E55">
        <w:rPr>
          <w:noProof/>
          <w:spacing w:val="-6"/>
          <w:lang w:val="sk-SK"/>
        </w:rPr>
        <w:t>zahŕňajú programy odbornej p</w:t>
      </w:r>
      <w:r w:rsidRPr="00326E55">
        <w:rPr>
          <w:noProof/>
          <w:spacing w:val="-6"/>
          <w:lang w:val="sk-SK"/>
        </w:rPr>
        <w:t>rípravy zamestnancov verejnej správy na posilnenie budovania kapacít</w:t>
      </w:r>
      <w:r w:rsidR="00326E55" w:rsidRPr="00326E55">
        <w:rPr>
          <w:noProof/>
          <w:spacing w:val="-6"/>
          <w:lang w:val="sk-SK"/>
        </w:rPr>
        <w:t>.</w:t>
      </w:r>
    </w:p>
    <w:p w14:paraId="51826B03" w14:textId="04CD8329" w:rsidR="00BF03AA" w:rsidRPr="00326E55" w:rsidRDefault="00FB452D">
      <w:pPr>
        <w:pStyle w:val="Axistitle"/>
        <w:ind w:left="0"/>
        <w:rPr>
          <w:noProof/>
          <w:spacing w:val="-6"/>
          <w:lang w:val="sk-SK"/>
        </w:rPr>
      </w:pPr>
      <w:r w:rsidRPr="00326E55">
        <w:rPr>
          <w:noProof/>
          <w:spacing w:val="-6"/>
          <w:lang w:val="sk-SK"/>
        </w:rPr>
        <w:t>Os 4 – Verejné obstarávanie</w:t>
      </w:r>
      <w:r w:rsidR="00326E55" w:rsidRPr="00326E55">
        <w:rPr>
          <w:noProof/>
          <w:spacing w:val="-6"/>
          <w:lang w:val="sk-SK"/>
        </w:rPr>
        <w:t xml:space="preserve"> a </w:t>
      </w:r>
      <w:r w:rsidRPr="00326E55">
        <w:rPr>
          <w:noProof/>
          <w:spacing w:val="-6"/>
          <w:lang w:val="sk-SK"/>
        </w:rPr>
        <w:t>platby verejnej správy</w:t>
      </w:r>
    </w:p>
    <w:p w14:paraId="13504316" w14:textId="77777777" w:rsidR="00BF03AA" w:rsidRPr="00326E55" w:rsidRDefault="00FB452D">
      <w:pPr>
        <w:pStyle w:val="P68B1DB1-Normal5"/>
        <w:spacing w:before="240" w:after="120"/>
        <w:jc w:val="both"/>
        <w:rPr>
          <w:bCs/>
          <w:noProof/>
          <w:spacing w:val="-6"/>
          <w:lang w:val="sk-SK"/>
        </w:rPr>
      </w:pPr>
      <w:r w:rsidRPr="00326E55">
        <w:rPr>
          <w:noProof/>
          <w:spacing w:val="-6"/>
          <w:lang w:val="sk-SK"/>
        </w:rPr>
        <w:t>Reforma 1.10 – Reforma legislatívneho rámca pre verejné obstarávanie</w:t>
      </w:r>
    </w:p>
    <w:p w14:paraId="092A532D" w14:textId="16ECBF52" w:rsidR="00BF03AA" w:rsidRPr="00326E55" w:rsidRDefault="00FB452D">
      <w:pPr>
        <w:pStyle w:val="P68B1DB1-Normal7"/>
        <w:jc w:val="both"/>
        <w:rPr>
          <w:b/>
          <w:noProof/>
          <w:spacing w:val="-6"/>
          <w:lang w:val="sk-SK"/>
        </w:rPr>
      </w:pPr>
      <w:r w:rsidRPr="00326E55">
        <w:rPr>
          <w:noProof/>
          <w:spacing w:val="-6"/>
          <w:lang w:val="sk-SK"/>
        </w:rPr>
        <w:t>Cieľom tejto reformy je zvýšiť kvalifikáciu</w:t>
      </w:r>
      <w:r w:rsidR="00326E55" w:rsidRPr="00326E55">
        <w:rPr>
          <w:noProof/>
          <w:spacing w:val="-6"/>
          <w:lang w:val="sk-SK"/>
        </w:rPr>
        <w:t xml:space="preserve"> a </w:t>
      </w:r>
      <w:r w:rsidRPr="00326E55">
        <w:rPr>
          <w:noProof/>
          <w:spacing w:val="-6"/>
          <w:lang w:val="sk-SK"/>
        </w:rPr>
        <w:t xml:space="preserve">profesionalizáciu </w:t>
      </w:r>
      <w:r w:rsidRPr="00326E55">
        <w:rPr>
          <w:noProof/>
          <w:spacing w:val="-6"/>
          <w:lang w:val="sk-SK"/>
        </w:rPr>
        <w:t>verejných obstarávateľov, zvýšiť hospodársku súťaž, zjednodušiť</w:t>
      </w:r>
      <w:r w:rsidR="00326E55" w:rsidRPr="00326E55">
        <w:rPr>
          <w:noProof/>
          <w:spacing w:val="-6"/>
          <w:lang w:val="sk-SK"/>
        </w:rPr>
        <w:t xml:space="preserve"> a </w:t>
      </w:r>
      <w:r w:rsidRPr="00326E55">
        <w:rPr>
          <w:noProof/>
          <w:spacing w:val="-6"/>
          <w:lang w:val="sk-SK"/>
        </w:rPr>
        <w:t>digitalizovať postupy centrálnych obstarávacích organizácií</w:t>
      </w:r>
      <w:r w:rsidR="00326E55" w:rsidRPr="00326E55">
        <w:rPr>
          <w:noProof/>
          <w:spacing w:val="-6"/>
          <w:lang w:val="sk-SK"/>
        </w:rPr>
        <w:t xml:space="preserve"> a </w:t>
      </w:r>
      <w:r w:rsidRPr="00326E55">
        <w:rPr>
          <w:noProof/>
          <w:spacing w:val="-6"/>
          <w:lang w:val="sk-SK"/>
        </w:rPr>
        <w:t>sfunkčniť vnútroštátny systém elektronického obstarávania. Na tento účel reforma zahŕňa prijatie právnych aktov vrátane zmien kó</w:t>
      </w:r>
      <w:r w:rsidRPr="00326E55">
        <w:rPr>
          <w:noProof/>
          <w:spacing w:val="-6"/>
          <w:lang w:val="sk-SK"/>
        </w:rPr>
        <w:t>dexu verejného obstarávania.</w:t>
      </w:r>
    </w:p>
    <w:p w14:paraId="37C590F5" w14:textId="73D73447" w:rsidR="00BF03AA" w:rsidRPr="00326E55" w:rsidRDefault="00FB452D">
      <w:pPr>
        <w:pStyle w:val="P68B1DB1-Normal5"/>
        <w:spacing w:before="240" w:after="120"/>
        <w:jc w:val="both"/>
        <w:rPr>
          <w:noProof/>
          <w:spacing w:val="-6"/>
          <w:lang w:val="sk-SK"/>
        </w:rPr>
      </w:pPr>
      <w:r w:rsidRPr="00326E55">
        <w:rPr>
          <w:noProof/>
          <w:spacing w:val="-6"/>
          <w:lang w:val="sk-SK"/>
        </w:rPr>
        <w:t>Reforma 1.11 –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p w14:paraId="3156D5E8" w14:textId="7BC54601" w:rsidR="00BF03AA" w:rsidRPr="00326E55" w:rsidRDefault="00FB452D">
      <w:pPr>
        <w:pStyle w:val="P68B1DB1-Normal7"/>
        <w:spacing w:before="240" w:after="120"/>
        <w:jc w:val="both"/>
        <w:rPr>
          <w:noProof/>
          <w:spacing w:val="-6"/>
          <w:lang w:val="sk-SK"/>
        </w:rPr>
      </w:pPr>
      <w:r w:rsidRPr="00326E55">
        <w:rPr>
          <w:noProof/>
          <w:spacing w:val="-6"/>
          <w:lang w:val="sk-SK"/>
        </w:rPr>
        <w:t>Cieľom reformy je riešiť prekážky, ktoré spôsobujú oneskorenia pri realizácii platieb talianskych verejných správ</w:t>
      </w:r>
      <w:r w:rsidR="00326E55" w:rsidRPr="00326E55">
        <w:rPr>
          <w:noProof/>
          <w:spacing w:val="-6"/>
          <w:lang w:val="sk-SK"/>
        </w:rPr>
        <w:t xml:space="preserve"> a </w:t>
      </w:r>
      <w:r w:rsidRPr="00326E55">
        <w:rPr>
          <w:noProof/>
          <w:spacing w:val="-6"/>
          <w:lang w:val="sk-SK"/>
        </w:rPr>
        <w:t>orgánov</w:t>
      </w:r>
      <w:r w:rsidRPr="00326E55">
        <w:rPr>
          <w:noProof/>
          <w:spacing w:val="-6"/>
          <w:lang w:val="sk-SK"/>
        </w:rPr>
        <w:t xml:space="preserve"> ústrednej, regionálnej, miestnej</w:t>
      </w:r>
      <w:r w:rsidR="00326E55" w:rsidRPr="00326E55">
        <w:rPr>
          <w:noProof/>
          <w:spacing w:val="-6"/>
          <w:lang w:val="sk-SK"/>
        </w:rPr>
        <w:t xml:space="preserve"> a </w:t>
      </w:r>
      <w:r w:rsidRPr="00326E55">
        <w:rPr>
          <w:noProof/>
          <w:spacing w:val="-6"/>
          <w:lang w:val="sk-SK"/>
        </w:rPr>
        <w:t>zdravotnej starostlivosti podnikom,</w:t>
      </w:r>
      <w:r w:rsidR="00326E55" w:rsidRPr="00326E55">
        <w:rPr>
          <w:noProof/>
          <w:spacing w:val="-6"/>
          <w:lang w:val="sk-SK"/>
        </w:rPr>
        <w:t xml:space="preserve"> a </w:t>
      </w:r>
      <w:r w:rsidRPr="00326E55">
        <w:rPr>
          <w:noProof/>
          <w:spacing w:val="-6"/>
          <w:lang w:val="sk-SK"/>
        </w:rPr>
        <w:t>to najmä prostredníctvom prijatia štrukturálnych opatrení</w:t>
      </w:r>
      <w:r w:rsidR="00326E55" w:rsidRPr="00326E55">
        <w:rPr>
          <w:noProof/>
          <w:spacing w:val="-6"/>
          <w:lang w:val="sk-SK"/>
        </w:rPr>
        <w:t xml:space="preserve"> a </w:t>
      </w:r>
      <w:r w:rsidRPr="00326E55">
        <w:rPr>
          <w:noProof/>
          <w:spacing w:val="-6"/>
          <w:lang w:val="sk-SK"/>
        </w:rPr>
        <w:t>cielených legislatívnych opatrení.</w:t>
      </w:r>
    </w:p>
    <w:p w14:paraId="6B58E305" w14:textId="6EC9144D" w:rsidR="00BF03AA" w:rsidRPr="00326E55" w:rsidRDefault="00FB452D">
      <w:pPr>
        <w:pStyle w:val="Axistitle"/>
        <w:ind w:left="0"/>
        <w:rPr>
          <w:noProof/>
          <w:spacing w:val="-6"/>
          <w:lang w:val="sk-SK"/>
        </w:rPr>
      </w:pPr>
      <w:r w:rsidRPr="00326E55">
        <w:rPr>
          <w:noProof/>
          <w:spacing w:val="-6"/>
          <w:lang w:val="sk-SK"/>
        </w:rPr>
        <w:t>Os 5 – Fiškálno-štrukturálne reformy (zdaňovanie</w:t>
      </w:r>
      <w:r w:rsidR="00326E55" w:rsidRPr="00326E55">
        <w:rPr>
          <w:noProof/>
          <w:spacing w:val="-6"/>
          <w:lang w:val="sk-SK"/>
        </w:rPr>
        <w:t xml:space="preserve"> a </w:t>
      </w:r>
      <w:r w:rsidRPr="00326E55">
        <w:rPr>
          <w:noProof/>
          <w:spacing w:val="-6"/>
          <w:lang w:val="sk-SK"/>
        </w:rPr>
        <w:t>verejné výdavky)</w:t>
      </w:r>
    </w:p>
    <w:p w14:paraId="4C0A2A6E" w14:textId="77777777" w:rsidR="00BF03AA" w:rsidRPr="00326E55" w:rsidRDefault="00FB452D">
      <w:pPr>
        <w:pStyle w:val="P68B1DB1-Normal5"/>
        <w:spacing w:before="240" w:after="120"/>
        <w:jc w:val="both"/>
        <w:rPr>
          <w:noProof/>
          <w:spacing w:val="-6"/>
          <w:lang w:val="sk-SK"/>
        </w:rPr>
      </w:pPr>
      <w:r w:rsidRPr="00326E55">
        <w:rPr>
          <w:noProof/>
          <w:spacing w:val="-6"/>
          <w:lang w:val="sk-SK"/>
        </w:rPr>
        <w:t>Reforma 1.12 – Refo</w:t>
      </w:r>
      <w:r w:rsidRPr="00326E55">
        <w:rPr>
          <w:noProof/>
          <w:spacing w:val="-6"/>
          <w:lang w:val="sk-SK"/>
        </w:rPr>
        <w:t>rma daňovej správy</w:t>
      </w:r>
    </w:p>
    <w:p w14:paraId="3D0AA24A" w14:textId="1AF5A5B2" w:rsidR="00BF03AA" w:rsidRPr="00326E55" w:rsidRDefault="00FB452D">
      <w:pPr>
        <w:pStyle w:val="P68B1DB1-Normal7"/>
        <w:jc w:val="both"/>
        <w:rPr>
          <w:noProof/>
          <w:spacing w:val="-6"/>
          <w:lang w:val="sk-SK"/>
        </w:rPr>
      </w:pPr>
      <w:r w:rsidRPr="00326E55">
        <w:rPr>
          <w:noProof/>
          <w:spacing w:val="-6"/>
          <w:lang w:val="sk-SK"/>
        </w:rPr>
        <w:t>Cieľom tejto reformy daňovej správy je podporiť dodržiavanie daňových predpisov, zvýšiť účinnosť auditov</w:t>
      </w:r>
      <w:r w:rsidR="00326E55" w:rsidRPr="00326E55">
        <w:rPr>
          <w:noProof/>
          <w:spacing w:val="-6"/>
          <w:lang w:val="sk-SK"/>
        </w:rPr>
        <w:t xml:space="preserve"> a </w:t>
      </w:r>
      <w:r w:rsidRPr="00326E55">
        <w:rPr>
          <w:noProof/>
          <w:spacing w:val="-6"/>
          <w:lang w:val="sk-SK"/>
        </w:rPr>
        <w:t>kontrol</w:t>
      </w:r>
      <w:r w:rsidR="00326E55" w:rsidRPr="00326E55">
        <w:rPr>
          <w:noProof/>
          <w:spacing w:val="-6"/>
          <w:lang w:val="sk-SK"/>
        </w:rPr>
        <w:t xml:space="preserve"> a </w:t>
      </w:r>
      <w:r w:rsidRPr="00326E55">
        <w:rPr>
          <w:noProof/>
          <w:spacing w:val="-6"/>
          <w:lang w:val="sk-SK"/>
        </w:rPr>
        <w:t>znížiť náklady daňovníkov na dodržiavanie predpisov prostredníctvom prijatia</w:t>
      </w:r>
      <w:r w:rsidR="00326E55" w:rsidRPr="00326E55">
        <w:rPr>
          <w:noProof/>
          <w:spacing w:val="-6"/>
          <w:lang w:val="sk-SK"/>
        </w:rPr>
        <w:t xml:space="preserve"> a </w:t>
      </w:r>
      <w:r w:rsidRPr="00326E55">
        <w:rPr>
          <w:noProof/>
          <w:spacing w:val="-6"/>
          <w:lang w:val="sk-SK"/>
        </w:rPr>
        <w:t>presadzovania cielených legislatívnych</w:t>
      </w:r>
      <w:r w:rsidR="00326E55" w:rsidRPr="00326E55">
        <w:rPr>
          <w:noProof/>
          <w:spacing w:val="-6"/>
          <w:lang w:val="sk-SK"/>
        </w:rPr>
        <w:t xml:space="preserve"> a </w:t>
      </w:r>
      <w:r w:rsidRPr="00326E55">
        <w:rPr>
          <w:noProof/>
          <w:spacing w:val="-6"/>
          <w:lang w:val="sk-SK"/>
        </w:rPr>
        <w:t>regulačných opatrení.</w:t>
      </w:r>
    </w:p>
    <w:p w14:paraId="5C00D30A" w14:textId="77777777" w:rsidR="00BF03AA" w:rsidRPr="00326E55" w:rsidRDefault="00FB452D">
      <w:pPr>
        <w:pStyle w:val="P68B1DB1-Normal5"/>
        <w:spacing w:before="240" w:after="120"/>
        <w:jc w:val="both"/>
        <w:rPr>
          <w:noProof/>
          <w:spacing w:val="-6"/>
          <w:lang w:val="sk-SK"/>
        </w:rPr>
      </w:pPr>
      <w:r w:rsidRPr="00326E55">
        <w:rPr>
          <w:noProof/>
          <w:spacing w:val="-6"/>
          <w:lang w:val="sk-SK"/>
        </w:rPr>
        <w:t>Reforma 1.13 – Reforma rámca preskúmania výdavkov</w:t>
      </w:r>
    </w:p>
    <w:p w14:paraId="26ACFE87" w14:textId="445C3BFF" w:rsidR="00BF03AA" w:rsidRPr="00326E55" w:rsidRDefault="00FB452D">
      <w:pPr>
        <w:pStyle w:val="P68B1DB1-Normal7"/>
        <w:jc w:val="both"/>
        <w:rPr>
          <w:noProof/>
          <w:spacing w:val="-6"/>
          <w:lang w:val="sk-SK"/>
        </w:rPr>
      </w:pPr>
      <w:r w:rsidRPr="00326E55">
        <w:rPr>
          <w:noProof/>
          <w:spacing w:val="-6"/>
          <w:lang w:val="sk-SK"/>
        </w:rPr>
        <w:t>Cieľom tejto reformy je zvýšiť účinnosť vnútroštátneho rámca preskúmania výdavkov. Reforma pozostáva zo záväzku vykonávať ročné preskúmania výdavkov</w:t>
      </w:r>
      <w:r w:rsidR="00326E55" w:rsidRPr="00326E55">
        <w:rPr>
          <w:noProof/>
          <w:spacing w:val="-6"/>
          <w:lang w:val="sk-SK"/>
        </w:rPr>
        <w:t xml:space="preserve"> v </w:t>
      </w:r>
      <w:r w:rsidRPr="00326E55">
        <w:rPr>
          <w:noProof/>
          <w:spacing w:val="-6"/>
          <w:lang w:val="sk-SK"/>
        </w:rPr>
        <w:t>období 2023 – 2025</w:t>
      </w:r>
      <w:r w:rsidR="00326E55" w:rsidRPr="00326E55">
        <w:rPr>
          <w:noProof/>
          <w:spacing w:val="-6"/>
          <w:lang w:val="sk-SK"/>
        </w:rPr>
        <w:t xml:space="preserve"> a </w:t>
      </w:r>
      <w:r w:rsidRPr="00326E55">
        <w:rPr>
          <w:noProof/>
          <w:spacing w:val="-6"/>
          <w:lang w:val="sk-SK"/>
        </w:rPr>
        <w:t xml:space="preserve">zlepšiť </w:t>
      </w:r>
      <w:r w:rsidRPr="00326E55">
        <w:rPr>
          <w:noProof/>
          <w:spacing w:val="-6"/>
          <w:lang w:val="sk-SK"/>
        </w:rPr>
        <w:t>postupy zeleného</w:t>
      </w:r>
      <w:r w:rsidR="00326E55" w:rsidRPr="00326E55">
        <w:rPr>
          <w:noProof/>
          <w:spacing w:val="-6"/>
          <w:lang w:val="sk-SK"/>
        </w:rPr>
        <w:t xml:space="preserve"> a </w:t>
      </w:r>
      <w:r w:rsidRPr="00326E55">
        <w:rPr>
          <w:noProof/>
          <w:spacing w:val="-6"/>
          <w:lang w:val="sk-SK"/>
        </w:rPr>
        <w:t>rodového rozpočtovania.</w:t>
      </w:r>
    </w:p>
    <w:p w14:paraId="55AD36FE" w14:textId="77777777" w:rsidR="00BF03AA" w:rsidRPr="00326E55" w:rsidRDefault="00FB452D">
      <w:pPr>
        <w:pStyle w:val="P68B1DB1-Normal5"/>
        <w:rPr>
          <w:noProof/>
          <w:spacing w:val="-6"/>
          <w:lang w:val="sk-SK"/>
        </w:rPr>
      </w:pPr>
      <w:r w:rsidRPr="00326E55">
        <w:rPr>
          <w:noProof/>
          <w:spacing w:val="-6"/>
          <w:lang w:val="sk-SK"/>
        </w:rPr>
        <w:t>Reforma 1.14 – Reforma fiškálneho rámca na nižšej ako celoštátnej úrovni</w:t>
      </w:r>
    </w:p>
    <w:p w14:paraId="71237FB8" w14:textId="12B45C6F" w:rsidR="00BF03AA" w:rsidRPr="00326E55" w:rsidRDefault="00FB452D" w:rsidP="00326E55">
      <w:pPr>
        <w:pStyle w:val="P68B1DB1-Normal7"/>
        <w:spacing w:after="0" w:line="240" w:lineRule="auto"/>
        <w:jc w:val="both"/>
        <w:rPr>
          <w:noProof/>
          <w:spacing w:val="-6"/>
          <w:lang w:val="sk-SK"/>
        </w:rPr>
      </w:pPr>
      <w:r w:rsidRPr="00326E55">
        <w:rPr>
          <w:noProof/>
          <w:spacing w:val="-6"/>
          <w:lang w:val="sk-SK"/>
        </w:rPr>
        <w:t>Cieľom tejto reformy je zvýšiť transparentnosť fiškálnych vzťahov na rôznych úrovniach verejnej správy. Reforma pozostáva</w:t>
      </w:r>
      <w:r w:rsidR="00326E55" w:rsidRPr="00326E55">
        <w:rPr>
          <w:noProof/>
          <w:spacing w:val="-6"/>
          <w:lang w:val="sk-SK"/>
        </w:rPr>
        <w:t xml:space="preserve"> z </w:t>
      </w:r>
      <w:r w:rsidRPr="00326E55">
        <w:rPr>
          <w:noProof/>
          <w:spacing w:val="-6"/>
          <w:lang w:val="sk-SK"/>
        </w:rPr>
        <w:t xml:space="preserve">vymedzenia </w:t>
      </w:r>
      <w:r w:rsidRPr="00326E55">
        <w:rPr>
          <w:noProof/>
          <w:spacing w:val="-6"/>
          <w:lang w:val="sk-SK"/>
        </w:rPr>
        <w:t>parametrov „fiškálneho federalizmu“ pre regióny</w:t>
      </w:r>
      <w:r w:rsidR="00326E55" w:rsidRPr="00326E55">
        <w:rPr>
          <w:noProof/>
          <w:spacing w:val="-6"/>
          <w:lang w:val="sk-SK"/>
        </w:rPr>
        <w:t xml:space="preserve"> s </w:t>
      </w:r>
      <w:r w:rsidRPr="00326E55">
        <w:rPr>
          <w:noProof/>
          <w:spacing w:val="-6"/>
          <w:lang w:val="sk-SK"/>
        </w:rPr>
        <w:t>riadnym postavením</w:t>
      </w:r>
      <w:r w:rsidR="00326E55" w:rsidRPr="00326E55">
        <w:rPr>
          <w:noProof/>
          <w:spacing w:val="-6"/>
          <w:lang w:val="sk-SK"/>
        </w:rPr>
        <w:t xml:space="preserve"> a z </w:t>
      </w:r>
      <w:r w:rsidRPr="00326E55">
        <w:rPr>
          <w:noProof/>
          <w:spacing w:val="-6"/>
          <w:lang w:val="sk-SK"/>
        </w:rPr>
        <w:t>prijatia právnych aktov pre „fiškálny federalizmus“ pre provincie</w:t>
      </w:r>
      <w:r w:rsidR="00326E55" w:rsidRPr="00326E55">
        <w:rPr>
          <w:noProof/>
          <w:spacing w:val="-6"/>
          <w:lang w:val="sk-SK"/>
        </w:rPr>
        <w:t xml:space="preserve"> a </w:t>
      </w:r>
      <w:r w:rsidRPr="00326E55">
        <w:rPr>
          <w:noProof/>
          <w:spacing w:val="-6"/>
          <w:lang w:val="sk-SK"/>
        </w:rPr>
        <w:t>metropolitné mestá.</w:t>
      </w:r>
    </w:p>
    <w:p w14:paraId="6733BACD" w14:textId="77777777" w:rsidR="00BF03AA" w:rsidRPr="00326E55" w:rsidRDefault="00FB452D">
      <w:pPr>
        <w:pStyle w:val="P68B1DB1-Normal7"/>
        <w:rPr>
          <w:b/>
          <w:noProof/>
          <w:spacing w:val="-6"/>
          <w:lang w:val="sk-SK"/>
        </w:rPr>
      </w:pPr>
      <w:r w:rsidRPr="00326E55">
        <w:rPr>
          <w:noProof/>
          <w:spacing w:val="-6"/>
          <w:lang w:val="sk-SK"/>
        </w:rPr>
        <w:br w:type="page"/>
      </w:r>
    </w:p>
    <w:p w14:paraId="79E7A0B0" w14:textId="02F0B3F0" w:rsidR="00BF03AA" w:rsidRPr="00326E55" w:rsidRDefault="00FB452D">
      <w:pPr>
        <w:pStyle w:val="P68B1DB1-Normal5"/>
        <w:spacing w:before="240" w:after="120"/>
        <w:jc w:val="both"/>
        <w:rPr>
          <w:noProof/>
          <w:spacing w:val="-6"/>
          <w:lang w:val="sk-SK"/>
        </w:rPr>
      </w:pPr>
      <w:r w:rsidRPr="00326E55">
        <w:rPr>
          <w:noProof/>
          <w:spacing w:val="-6"/>
          <w:lang w:val="sk-SK"/>
        </w:rPr>
        <w:t>Reforma 1.15 – Reforma pravidiel verejného účtovníctva</w:t>
      </w:r>
    </w:p>
    <w:p w14:paraId="460C810A" w14:textId="4B64025C" w:rsidR="00BF03AA" w:rsidRPr="00326E55" w:rsidRDefault="00FB452D">
      <w:pPr>
        <w:pStyle w:val="P68B1DB1-Normal7"/>
        <w:jc w:val="both"/>
        <w:rPr>
          <w:noProof/>
          <w:spacing w:val="-6"/>
          <w:lang w:val="sk-SK"/>
        </w:rPr>
      </w:pPr>
      <w:r w:rsidRPr="00326E55">
        <w:rPr>
          <w:noProof/>
          <w:spacing w:val="-6"/>
          <w:lang w:val="sk-SK"/>
        </w:rPr>
        <w:t>Cieľom tejto reformy je zaviesť jednot</w:t>
      </w:r>
      <w:r w:rsidRPr="00326E55">
        <w:rPr>
          <w:noProof/>
          <w:spacing w:val="-6"/>
          <w:lang w:val="sk-SK"/>
        </w:rPr>
        <w:t>ný systém akruálneho účtovníctva pre verejný sektor bez štátnych podnikov. Reforma pozostáva</w:t>
      </w:r>
      <w:r w:rsidR="00326E55" w:rsidRPr="00326E55">
        <w:rPr>
          <w:noProof/>
          <w:spacing w:val="-6"/>
          <w:lang w:val="sk-SK"/>
        </w:rPr>
        <w:t xml:space="preserve"> z </w:t>
      </w:r>
      <w:r w:rsidRPr="00326E55">
        <w:rPr>
          <w:noProof/>
          <w:spacing w:val="-6"/>
          <w:lang w:val="sk-SK"/>
        </w:rPr>
        <w:t>prijatia koncepčného rámca, súboru štandardov akruálneho účtovníctva</w:t>
      </w:r>
      <w:r w:rsidR="00326E55" w:rsidRPr="00326E55">
        <w:rPr>
          <w:noProof/>
          <w:spacing w:val="-6"/>
          <w:lang w:val="sk-SK"/>
        </w:rPr>
        <w:t xml:space="preserve"> a </w:t>
      </w:r>
      <w:r w:rsidRPr="00326E55">
        <w:rPr>
          <w:noProof/>
          <w:spacing w:val="-6"/>
          <w:lang w:val="sk-SK"/>
        </w:rPr>
        <w:t>viacrozmernej účtovnej osnovy, ako aj</w:t>
      </w:r>
      <w:r w:rsidR="00326E55" w:rsidRPr="00326E55">
        <w:rPr>
          <w:noProof/>
          <w:spacing w:val="-6"/>
          <w:lang w:val="sk-SK"/>
        </w:rPr>
        <w:t xml:space="preserve"> z </w:t>
      </w:r>
      <w:r w:rsidRPr="00326E55">
        <w:rPr>
          <w:noProof/>
          <w:spacing w:val="-6"/>
          <w:lang w:val="sk-SK"/>
        </w:rPr>
        <w:t>poskytovania školení na prechod na nový systém akr</w:t>
      </w:r>
      <w:r w:rsidRPr="00326E55">
        <w:rPr>
          <w:noProof/>
          <w:spacing w:val="-6"/>
          <w:lang w:val="sk-SK"/>
        </w:rPr>
        <w:t>uálneho účtovníctva.</w:t>
      </w:r>
    </w:p>
    <w:p w14:paraId="4F88FC32" w14:textId="77777777" w:rsidR="00326E55" w:rsidRPr="00326E55" w:rsidRDefault="00FB452D">
      <w:pPr>
        <w:pStyle w:val="P68B1DB1-Normal5"/>
        <w:spacing w:before="120" w:after="120"/>
        <w:jc w:val="both"/>
        <w:rPr>
          <w:noProof/>
          <w:spacing w:val="-6"/>
          <w:lang w:val="sk-SK"/>
        </w:rPr>
      </w:pPr>
      <w:r w:rsidRPr="00326E55">
        <w:rPr>
          <w:noProof/>
          <w:spacing w:val="-6"/>
          <w:lang w:val="sk-SK"/>
        </w:rPr>
        <w:t>Investícia 1.10 – Podpora kvalifikácie</w:t>
      </w:r>
      <w:r w:rsidR="00326E55" w:rsidRPr="00326E55">
        <w:rPr>
          <w:noProof/>
          <w:spacing w:val="-6"/>
          <w:lang w:val="sk-SK"/>
        </w:rPr>
        <w:t xml:space="preserve"> a </w:t>
      </w:r>
      <w:r w:rsidRPr="00326E55">
        <w:rPr>
          <w:noProof/>
          <w:spacing w:val="-6"/>
          <w:lang w:val="sk-SK"/>
        </w:rPr>
        <w:t>elektronického obstarávania</w:t>
      </w:r>
    </w:p>
    <w:p w14:paraId="0A6B93B4" w14:textId="728E1358" w:rsidR="00BF03AA" w:rsidRPr="00326E55" w:rsidRDefault="00FB452D">
      <w:pPr>
        <w:pStyle w:val="P68B1DB1-Normal7"/>
        <w:spacing w:before="120" w:after="120"/>
        <w:jc w:val="both"/>
        <w:rPr>
          <w:noProof/>
          <w:spacing w:val="-6"/>
          <w:lang w:val="sk-SK"/>
        </w:rPr>
      </w:pPr>
      <w:r w:rsidRPr="00326E55">
        <w:rPr>
          <w:noProof/>
          <w:spacing w:val="-6"/>
          <w:lang w:val="sk-SK"/>
        </w:rPr>
        <w:t>Touto investíciou sa</w:t>
      </w:r>
      <w:r w:rsidR="00326E55" w:rsidRPr="00326E55">
        <w:rPr>
          <w:noProof/>
          <w:spacing w:val="-6"/>
          <w:lang w:val="sk-SK"/>
        </w:rPr>
        <w:t xml:space="preserve"> v </w:t>
      </w:r>
      <w:r w:rsidRPr="00326E55">
        <w:rPr>
          <w:noProof/>
          <w:spacing w:val="-6"/>
          <w:lang w:val="sk-SK"/>
        </w:rPr>
        <w:t>rámci stratégie profesionalizácie verejných obstarávateľov zriadi podporná funkcia pre verejné obstarávanie určená pre verejných obstarávateľov</w:t>
      </w:r>
      <w:r w:rsidR="00326E55" w:rsidRPr="00326E55">
        <w:rPr>
          <w:noProof/>
          <w:spacing w:val="-6"/>
          <w:lang w:val="sk-SK"/>
        </w:rPr>
        <w:t xml:space="preserve"> s </w:t>
      </w:r>
      <w:r w:rsidRPr="00326E55">
        <w:rPr>
          <w:noProof/>
          <w:spacing w:val="-6"/>
          <w:lang w:val="sk-SK"/>
        </w:rPr>
        <w:t>cieľom splniť požiadavky prílohy II.4 kódexu verejného obstarávania</w:t>
      </w:r>
      <w:r w:rsidR="00326E55" w:rsidRPr="00326E55">
        <w:rPr>
          <w:noProof/>
          <w:spacing w:val="-6"/>
          <w:lang w:val="sk-SK"/>
        </w:rPr>
        <w:t xml:space="preserve"> a </w:t>
      </w:r>
      <w:r w:rsidRPr="00326E55">
        <w:rPr>
          <w:noProof/>
          <w:spacing w:val="-6"/>
          <w:lang w:val="sk-SK"/>
        </w:rPr>
        <w:t>podporiť ich</w:t>
      </w:r>
      <w:r w:rsidR="00326E55" w:rsidRPr="00326E55">
        <w:rPr>
          <w:noProof/>
          <w:spacing w:val="-6"/>
          <w:lang w:val="sk-SK"/>
        </w:rPr>
        <w:t xml:space="preserve"> v </w:t>
      </w:r>
      <w:r w:rsidRPr="00326E55">
        <w:rPr>
          <w:noProof/>
          <w:spacing w:val="-6"/>
          <w:lang w:val="sk-SK"/>
        </w:rPr>
        <w:t>procese elektronického obstarávania, podporiť nadobúdanie digitálnych zručností</w:t>
      </w:r>
      <w:r w:rsidR="00326E55" w:rsidRPr="00326E55">
        <w:rPr>
          <w:noProof/>
          <w:spacing w:val="-6"/>
          <w:lang w:val="sk-SK"/>
        </w:rPr>
        <w:t xml:space="preserve"> a </w:t>
      </w:r>
      <w:r w:rsidRPr="00326E55">
        <w:rPr>
          <w:noProof/>
          <w:spacing w:val="-6"/>
          <w:lang w:val="sk-SK"/>
        </w:rPr>
        <w:t>poskytovať technickú podporu pri prijímaní digitalizácie verejného obstarávania vrátan</w:t>
      </w:r>
      <w:r w:rsidRPr="00326E55">
        <w:rPr>
          <w:noProof/>
          <w:spacing w:val="-6"/>
          <w:lang w:val="sk-SK"/>
        </w:rPr>
        <w:t>e používania dynamických obstarávacích systémov.</w:t>
      </w:r>
    </w:p>
    <w:p w14:paraId="5C0E08A0" w14:textId="77777777" w:rsidR="00BF03AA" w:rsidRPr="00326E55" w:rsidRDefault="00BF03AA">
      <w:pPr>
        <w:spacing w:before="120" w:after="120"/>
        <w:jc w:val="both"/>
        <w:rPr>
          <w:rFonts w:ascii="Times New Roman" w:hAnsi="Times New Roman"/>
          <w:noProof/>
          <w:spacing w:val="-6"/>
          <w:lang w:val="sk-SK"/>
        </w:rPr>
        <w:sectPr w:rsidR="00BF03AA" w:rsidRPr="00326E55" w:rsidSect="005F11B9">
          <w:headerReference w:type="even" r:id="rId18"/>
          <w:headerReference w:type="default" r:id="rId19"/>
          <w:footerReference w:type="even" r:id="rId20"/>
          <w:footerReference w:type="default" r:id="rId21"/>
          <w:headerReference w:type="first" r:id="rId22"/>
          <w:footerReference w:type="first" r:id="rId23"/>
          <w:pgSz w:w="11907" w:h="16839"/>
          <w:pgMar w:top="1440" w:right="1440" w:bottom="1440" w:left="1440" w:header="567" w:footer="567" w:gutter="0"/>
          <w:cols w:space="720"/>
          <w:docGrid w:linePitch="360"/>
        </w:sectPr>
      </w:pPr>
    </w:p>
    <w:p w14:paraId="216DD0B9" w14:textId="21EE638A"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A.2.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15735"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135"/>
        <w:gridCol w:w="1417"/>
        <w:gridCol w:w="992"/>
        <w:gridCol w:w="1418"/>
        <w:gridCol w:w="1559"/>
        <w:gridCol w:w="1276"/>
        <w:gridCol w:w="1417"/>
        <w:gridCol w:w="1418"/>
        <w:gridCol w:w="992"/>
        <w:gridCol w:w="852"/>
        <w:gridCol w:w="3259"/>
      </w:tblGrid>
      <w:tr w:rsidR="00BF03AA" w:rsidRPr="00326E55" w14:paraId="4D5CE700" w14:textId="77777777">
        <w:trPr>
          <w:trHeight w:val="765"/>
          <w:tblHeader/>
        </w:trPr>
        <w:tc>
          <w:tcPr>
            <w:tcW w:w="1135" w:type="dxa"/>
            <w:vMerge w:val="restart"/>
            <w:shd w:val="clear" w:color="auto" w:fill="BDD7EE"/>
            <w:vAlign w:val="center"/>
            <w:hideMark/>
          </w:tcPr>
          <w:p w14:paraId="0CED0095"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Poradové číslo</w:t>
            </w:r>
          </w:p>
        </w:tc>
        <w:tc>
          <w:tcPr>
            <w:tcW w:w="1417" w:type="dxa"/>
            <w:vMerge w:val="restart"/>
            <w:shd w:val="clear" w:color="auto" w:fill="BDD7EE"/>
            <w:vAlign w:val="center"/>
            <w:hideMark/>
          </w:tcPr>
          <w:p w14:paraId="7B3C1085"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Súvisiace opatrenie (reforma alebo</w:t>
            </w:r>
            <w:r w:rsidRPr="00326E55">
              <w:rPr>
                <w:rFonts w:ascii="Times New Roman" w:hAnsi="Times New Roman"/>
                <w:noProof/>
                <w:spacing w:val="-6"/>
                <w:lang w:val="sk-SK"/>
              </w:rPr>
              <w:t xml:space="preserve"> investícia)</w:t>
            </w:r>
          </w:p>
        </w:tc>
        <w:tc>
          <w:tcPr>
            <w:tcW w:w="992" w:type="dxa"/>
            <w:vMerge w:val="restart"/>
            <w:shd w:val="clear" w:color="auto" w:fill="BDD7EE"/>
            <w:vAlign w:val="center"/>
            <w:hideMark/>
          </w:tcPr>
          <w:p w14:paraId="5FF42DA3" w14:textId="7C89005B"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Míľnik/cieľ</w:t>
            </w:r>
          </w:p>
        </w:tc>
        <w:tc>
          <w:tcPr>
            <w:tcW w:w="1418" w:type="dxa"/>
            <w:vMerge w:val="restart"/>
            <w:shd w:val="clear" w:color="auto" w:fill="BDD7EE"/>
            <w:vAlign w:val="center"/>
            <w:hideMark/>
          </w:tcPr>
          <w:p w14:paraId="3587A1A1"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Názov</w:t>
            </w:r>
          </w:p>
        </w:tc>
        <w:tc>
          <w:tcPr>
            <w:tcW w:w="1559" w:type="dxa"/>
            <w:vMerge w:val="restart"/>
            <w:shd w:val="clear" w:color="auto" w:fill="BDD7EE"/>
            <w:vAlign w:val="center"/>
            <w:hideMark/>
          </w:tcPr>
          <w:p w14:paraId="2F50680B" w14:textId="77777777" w:rsidR="00BF03AA" w:rsidRPr="00326E55" w:rsidRDefault="00FB452D">
            <w:pPr>
              <w:jc w:val="center"/>
              <w:rPr>
                <w:rFonts w:ascii="Times New Roman" w:hAnsi="Times New Roman" w:cs="Arial"/>
                <w:b/>
                <w:bCs/>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sz w:val="20"/>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4111" w:type="dxa"/>
            <w:gridSpan w:val="3"/>
            <w:shd w:val="clear" w:color="auto" w:fill="BDD7EE"/>
            <w:vAlign w:val="center"/>
            <w:hideMark/>
          </w:tcPr>
          <w:p w14:paraId="3AB43D92" w14:textId="77777777" w:rsidR="00BF03AA" w:rsidRPr="00326E55" w:rsidRDefault="00FB452D">
            <w:pPr>
              <w:jc w:val="center"/>
              <w:rPr>
                <w:rFonts w:ascii="Times New Roman" w:hAnsi="Times New Roman" w:cs="Arial"/>
                <w:b/>
                <w:bCs/>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sz w:val="20"/>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844" w:type="dxa"/>
            <w:gridSpan w:val="2"/>
            <w:shd w:val="clear" w:color="auto" w:fill="BDD7EE"/>
            <w:vAlign w:val="center"/>
            <w:hideMark/>
          </w:tcPr>
          <w:p w14:paraId="2FAAE022"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Orientačný harmonogram dokončenia</w:t>
            </w:r>
          </w:p>
        </w:tc>
        <w:tc>
          <w:tcPr>
            <w:tcW w:w="3259" w:type="dxa"/>
            <w:vMerge w:val="restart"/>
            <w:shd w:val="clear" w:color="auto" w:fill="BDD7EE"/>
            <w:vAlign w:val="center"/>
            <w:hideMark/>
          </w:tcPr>
          <w:p w14:paraId="496546E0" w14:textId="6B57858E"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32D29FD6" w14:textId="77777777">
        <w:trPr>
          <w:trHeight w:val="561"/>
          <w:tblHeader/>
        </w:trPr>
        <w:tc>
          <w:tcPr>
            <w:tcW w:w="1135" w:type="dxa"/>
            <w:vMerge/>
            <w:vAlign w:val="center"/>
            <w:hideMark/>
          </w:tcPr>
          <w:p w14:paraId="0016CCDC" w14:textId="77777777" w:rsidR="00BF03AA" w:rsidRPr="00326E55" w:rsidRDefault="00BF03AA">
            <w:pPr>
              <w:jc w:val="center"/>
              <w:rPr>
                <w:rFonts w:ascii="Times New Roman" w:hAnsi="Times New Roman" w:cs="Arial"/>
                <w:b/>
                <w:bCs/>
                <w:noProof/>
                <w:spacing w:val="-6"/>
                <w:sz w:val="20"/>
                <w:szCs w:val="20"/>
                <w:lang w:val="sk-SK"/>
              </w:rPr>
            </w:pPr>
          </w:p>
        </w:tc>
        <w:tc>
          <w:tcPr>
            <w:tcW w:w="1417" w:type="dxa"/>
            <w:vMerge/>
            <w:vAlign w:val="center"/>
            <w:hideMark/>
          </w:tcPr>
          <w:p w14:paraId="05BDCFF1" w14:textId="77777777" w:rsidR="00BF03AA" w:rsidRPr="00326E55" w:rsidRDefault="00BF03AA">
            <w:pPr>
              <w:jc w:val="center"/>
              <w:rPr>
                <w:rFonts w:ascii="Times New Roman" w:hAnsi="Times New Roman" w:cs="Arial"/>
                <w:b/>
                <w:bCs/>
                <w:noProof/>
                <w:spacing w:val="-6"/>
                <w:sz w:val="20"/>
                <w:szCs w:val="20"/>
                <w:lang w:val="sk-SK"/>
              </w:rPr>
            </w:pPr>
          </w:p>
        </w:tc>
        <w:tc>
          <w:tcPr>
            <w:tcW w:w="992" w:type="dxa"/>
            <w:vMerge/>
            <w:vAlign w:val="center"/>
            <w:hideMark/>
          </w:tcPr>
          <w:p w14:paraId="5DDF16FC" w14:textId="77777777" w:rsidR="00BF03AA" w:rsidRPr="00326E55" w:rsidRDefault="00BF03AA">
            <w:pPr>
              <w:jc w:val="center"/>
              <w:rPr>
                <w:rFonts w:ascii="Times New Roman" w:hAnsi="Times New Roman" w:cs="Arial"/>
                <w:b/>
                <w:bCs/>
                <w:noProof/>
                <w:spacing w:val="-6"/>
                <w:sz w:val="20"/>
                <w:szCs w:val="20"/>
                <w:lang w:val="sk-SK"/>
              </w:rPr>
            </w:pPr>
          </w:p>
        </w:tc>
        <w:tc>
          <w:tcPr>
            <w:tcW w:w="1418" w:type="dxa"/>
            <w:vMerge/>
            <w:vAlign w:val="center"/>
            <w:hideMark/>
          </w:tcPr>
          <w:p w14:paraId="52819F26" w14:textId="77777777" w:rsidR="00BF03AA" w:rsidRPr="00326E55" w:rsidRDefault="00BF03AA">
            <w:pPr>
              <w:jc w:val="center"/>
              <w:rPr>
                <w:rFonts w:ascii="Times New Roman" w:hAnsi="Times New Roman" w:cs="Arial"/>
                <w:b/>
                <w:bCs/>
                <w:noProof/>
                <w:spacing w:val="-6"/>
                <w:sz w:val="20"/>
                <w:szCs w:val="20"/>
                <w:lang w:val="sk-SK"/>
              </w:rPr>
            </w:pPr>
          </w:p>
        </w:tc>
        <w:tc>
          <w:tcPr>
            <w:tcW w:w="1559" w:type="dxa"/>
            <w:vMerge/>
            <w:vAlign w:val="center"/>
            <w:hideMark/>
          </w:tcPr>
          <w:p w14:paraId="51C3681E" w14:textId="77777777" w:rsidR="00BF03AA" w:rsidRPr="00326E55" w:rsidRDefault="00BF03AA">
            <w:pPr>
              <w:jc w:val="center"/>
              <w:rPr>
                <w:rFonts w:ascii="Times New Roman" w:hAnsi="Times New Roman" w:cs="Arial"/>
                <w:b/>
                <w:bCs/>
                <w:noProof/>
                <w:spacing w:val="-6"/>
                <w:sz w:val="20"/>
                <w:szCs w:val="20"/>
                <w:lang w:val="sk-SK"/>
              </w:rPr>
            </w:pPr>
          </w:p>
        </w:tc>
        <w:tc>
          <w:tcPr>
            <w:tcW w:w="1276" w:type="dxa"/>
            <w:shd w:val="clear" w:color="auto" w:fill="BDD7EE"/>
            <w:vAlign w:val="center"/>
            <w:hideMark/>
          </w:tcPr>
          <w:p w14:paraId="507E35A4"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Merná jednotka</w:t>
            </w:r>
          </w:p>
        </w:tc>
        <w:tc>
          <w:tcPr>
            <w:tcW w:w="1417" w:type="dxa"/>
            <w:shd w:val="clear" w:color="auto" w:fill="BDD7EE"/>
            <w:vAlign w:val="center"/>
            <w:hideMark/>
          </w:tcPr>
          <w:p w14:paraId="14DCC041"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Základná</w:t>
            </w:r>
          </w:p>
        </w:tc>
        <w:tc>
          <w:tcPr>
            <w:tcW w:w="1418" w:type="dxa"/>
            <w:shd w:val="clear" w:color="auto" w:fill="BDD7EE"/>
            <w:vAlign w:val="center"/>
            <w:hideMark/>
          </w:tcPr>
          <w:p w14:paraId="73C831C3"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Cieľ</w:t>
            </w:r>
          </w:p>
        </w:tc>
        <w:tc>
          <w:tcPr>
            <w:tcW w:w="992" w:type="dxa"/>
            <w:shd w:val="clear" w:color="auto" w:fill="BDD7EE"/>
            <w:vAlign w:val="center"/>
            <w:hideMark/>
          </w:tcPr>
          <w:p w14:paraId="6229EFDD"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Štvrtina</w:t>
            </w:r>
          </w:p>
        </w:tc>
        <w:tc>
          <w:tcPr>
            <w:tcW w:w="852" w:type="dxa"/>
            <w:shd w:val="clear" w:color="auto" w:fill="BDD7EE"/>
            <w:vAlign w:val="center"/>
            <w:hideMark/>
          </w:tcPr>
          <w:p w14:paraId="7DE3CC05" w14:textId="77777777" w:rsidR="00BF03AA" w:rsidRPr="00326E55" w:rsidRDefault="00FB452D">
            <w:pPr>
              <w:pStyle w:val="P68B1DB1-Normal10"/>
              <w:jc w:val="center"/>
              <w:rPr>
                <w:rFonts w:ascii="Times New Roman" w:hAnsi="Times New Roman" w:cs="Arial"/>
                <w:bCs/>
                <w:noProof/>
                <w:spacing w:val="-6"/>
                <w:szCs w:val="20"/>
                <w:lang w:val="sk-SK"/>
              </w:rPr>
            </w:pPr>
            <w:r w:rsidRPr="00326E55">
              <w:rPr>
                <w:rFonts w:ascii="Times New Roman" w:hAnsi="Times New Roman"/>
                <w:noProof/>
                <w:spacing w:val="-6"/>
                <w:lang w:val="sk-SK"/>
              </w:rPr>
              <w:t>Rok</w:t>
            </w:r>
          </w:p>
        </w:tc>
        <w:tc>
          <w:tcPr>
            <w:tcW w:w="3259" w:type="dxa"/>
            <w:vMerge/>
            <w:vAlign w:val="center"/>
            <w:hideMark/>
          </w:tcPr>
          <w:p w14:paraId="2716DABF" w14:textId="77777777" w:rsidR="00BF03AA" w:rsidRPr="00326E55" w:rsidRDefault="00BF03AA">
            <w:pPr>
              <w:jc w:val="center"/>
              <w:rPr>
                <w:rFonts w:ascii="Times New Roman" w:hAnsi="Times New Roman" w:cs="Arial"/>
                <w:b/>
                <w:bCs/>
                <w:noProof/>
                <w:spacing w:val="-6"/>
                <w:sz w:val="20"/>
                <w:szCs w:val="20"/>
                <w:lang w:val="sk-SK"/>
              </w:rPr>
            </w:pPr>
          </w:p>
        </w:tc>
      </w:tr>
      <w:tr w:rsidR="00BF03AA" w:rsidRPr="00326E55" w14:paraId="2805B3B2" w14:textId="77777777">
        <w:trPr>
          <w:trHeight w:val="309"/>
        </w:trPr>
        <w:tc>
          <w:tcPr>
            <w:tcW w:w="1135" w:type="dxa"/>
            <w:shd w:val="clear" w:color="auto" w:fill="C6EFCE"/>
            <w:noWrap/>
            <w:vAlign w:val="center"/>
          </w:tcPr>
          <w:p w14:paraId="554AB566" w14:textId="77777777" w:rsidR="00BF03AA" w:rsidRPr="00326E55" w:rsidRDefault="00FB452D">
            <w:pPr>
              <w:pStyle w:val="P68B1DB1-Normal11"/>
              <w:jc w:val="both"/>
              <w:rPr>
                <w:rFonts w:ascii="Times New Roman" w:hAnsi="Times New Roman" w:cs="Arial"/>
                <w:noProof/>
                <w:spacing w:val="-6"/>
                <w:szCs w:val="20"/>
                <w:lang w:val="sk-SK"/>
              </w:rPr>
            </w:pPr>
            <w:r w:rsidRPr="00326E55">
              <w:rPr>
                <w:rFonts w:ascii="Times New Roman" w:hAnsi="Times New Roman"/>
                <w:noProof/>
                <w:spacing w:val="-6"/>
                <w:lang w:val="sk-SK"/>
              </w:rPr>
              <w:t>M1C1 – 1</w:t>
            </w:r>
          </w:p>
        </w:tc>
        <w:tc>
          <w:tcPr>
            <w:tcW w:w="1417" w:type="dxa"/>
            <w:shd w:val="clear" w:color="auto" w:fill="C6EFCE"/>
            <w:noWrap/>
            <w:vAlign w:val="center"/>
          </w:tcPr>
          <w:p w14:paraId="2E1DF00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Reforma 1.1: </w:t>
            </w:r>
            <w:r w:rsidRPr="00326E55">
              <w:rPr>
                <w:rFonts w:ascii="Times New Roman" w:hAnsi="Times New Roman"/>
                <w:noProof/>
                <w:spacing w:val="-6"/>
                <w:lang w:val="sk-SK"/>
              </w:rPr>
              <w:t>Obstarávanie IKT</w:t>
            </w:r>
          </w:p>
        </w:tc>
        <w:tc>
          <w:tcPr>
            <w:tcW w:w="992" w:type="dxa"/>
            <w:shd w:val="clear" w:color="auto" w:fill="C6EFCE"/>
            <w:noWrap/>
            <w:vAlign w:val="center"/>
          </w:tcPr>
          <w:p w14:paraId="4D8E44E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65F68EF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zákonných vyhlášok pre reformu 1.1 „Obstarávanie IKT“</w:t>
            </w:r>
          </w:p>
        </w:tc>
        <w:tc>
          <w:tcPr>
            <w:tcW w:w="1559" w:type="dxa"/>
            <w:shd w:val="clear" w:color="auto" w:fill="C6EFCE"/>
            <w:noWrap/>
            <w:vAlign w:val="center"/>
          </w:tcPr>
          <w:p w14:paraId="3ED757EC" w14:textId="72B24F82"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zákonného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reforme obstarávania IKT</w:t>
            </w:r>
          </w:p>
        </w:tc>
        <w:tc>
          <w:tcPr>
            <w:tcW w:w="1276" w:type="dxa"/>
            <w:shd w:val="clear" w:color="auto" w:fill="C6EFCE"/>
            <w:noWrap/>
            <w:vAlign w:val="center"/>
          </w:tcPr>
          <w:p w14:paraId="6654C96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5DC072D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3B02F2A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7B22F7B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0786BAB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shd w:val="clear" w:color="auto" w:fill="C6EFCE"/>
            <w:noWrap/>
            <w:vAlign w:val="center"/>
          </w:tcPr>
          <w:p w14:paraId="56B4F895" w14:textId="6B064923"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Potrebné </w:t>
            </w:r>
            <w:r w:rsidRPr="00326E55">
              <w:rPr>
                <w:rFonts w:ascii="Times New Roman" w:hAnsi="Times New Roman"/>
                <w:noProof/>
                <w:spacing w:val="-6"/>
                <w:lang w:val="sk-SK"/>
              </w:rPr>
              <w:t>právne akty zahŕňajú legislatívne zásahy do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zjednodušení („Decreto Legge Semplificazioni“). Stanovujú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nich:</w:t>
            </w:r>
          </w:p>
          <w:p w14:paraId="77B155A0" w14:textId="2D256E4D" w:rsidR="00BF03AA" w:rsidRPr="00326E55" w:rsidRDefault="00FB452D">
            <w:pPr>
              <w:pStyle w:val="P68B1DB1-ListParagraph13"/>
              <w:ind w:left="0"/>
              <w:rPr>
                <w:rFonts w:ascii="Times New Roman" w:hAnsi="Times New Roman" w:cs="Arial"/>
                <w:noProof/>
                <w:spacing w:val="-6"/>
                <w:lang w:val="sk-SK"/>
              </w:rPr>
            </w:pPr>
            <w:r w:rsidRPr="00326E55">
              <w:rPr>
                <w:rFonts w:ascii="Times New Roman" w:hAnsi="Times New Roman"/>
                <w:noProof/>
                <w:spacing w:val="-6"/>
                <w:lang w:val="sk-SK"/>
              </w:rPr>
              <w:t>I) Možnosť použiť postup uvedený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48 ods. 3 zákonníka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verejných zákazkách aj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zákaziek presahujúcich prahové hodn</w:t>
            </w:r>
            <w:r w:rsidRPr="00326E55">
              <w:rPr>
                <w:rFonts w:ascii="Times New Roman" w:hAnsi="Times New Roman"/>
                <w:noProof/>
                <w:spacing w:val="-6"/>
                <w:lang w:val="sk-SK"/>
              </w:rPr>
              <w:t>oty uvedené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35 zákonníka verejných zákaziek na nákupy týkajúce sa nákupu počítačového tovaru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služieb, najmä založených na cloudových technológiách, ako aj služieb pripojenia, ktoré sú úplne alebo čiastočne financované zo zdrojov určených na real</w:t>
            </w:r>
            <w:r w:rsidRPr="00326E55">
              <w:rPr>
                <w:rFonts w:ascii="Times New Roman" w:hAnsi="Times New Roman"/>
                <w:noProof/>
                <w:spacing w:val="-6"/>
                <w:lang w:val="sk-SK"/>
              </w:rPr>
              <w:t>izáciu projektov PNRR;</w:t>
            </w:r>
          </w:p>
          <w:p w14:paraId="692ED1BC" w14:textId="359A36E3" w:rsidR="00BF03AA" w:rsidRPr="00326E55" w:rsidRDefault="00FB452D">
            <w:pPr>
              <w:pStyle w:val="P68B1DB1-ListParagraph13"/>
              <w:ind w:left="0"/>
              <w:rPr>
                <w:rFonts w:ascii="Times New Roman" w:hAnsi="Times New Roman" w:cs="Arial"/>
                <w:noProof/>
                <w:spacing w:val="-6"/>
                <w:lang w:val="sk-SK"/>
              </w:rPr>
            </w:pPr>
            <w:r w:rsidRPr="00326E55">
              <w:rPr>
                <w:rFonts w:ascii="Times New Roman" w:hAnsi="Times New Roman"/>
                <w:noProof/>
                <w:spacing w:val="-6"/>
                <w:lang w:val="sk-SK"/>
              </w:rPr>
              <w:t>II) Interoperabilita medzi rôznymi databázami, ktoré spravujú certifikačné orgány zapojené do procesu overovania požiadaviek uvedených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80 zákonníka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verejných zákazkách;</w:t>
            </w:r>
          </w:p>
          <w:p w14:paraId="443107D1" w14:textId="01DD8976" w:rsidR="00BF03AA" w:rsidRPr="00326E55" w:rsidRDefault="00FB452D">
            <w:pPr>
              <w:pStyle w:val="P68B1DB1-ListParagraph13"/>
              <w:ind w:left="0"/>
              <w:rPr>
                <w:rFonts w:ascii="Times New Roman" w:hAnsi="Times New Roman" w:cs="Arial"/>
                <w:noProof/>
                <w:spacing w:val="-6"/>
                <w:lang w:val="sk-SK"/>
              </w:rPr>
            </w:pPr>
            <w:r w:rsidRPr="00326E55">
              <w:rPr>
                <w:rFonts w:ascii="Times New Roman" w:hAnsi="Times New Roman"/>
                <w:noProof/>
                <w:spacing w:val="-6"/>
                <w:lang w:val="sk-SK"/>
              </w:rPr>
              <w:t>III) Vytvorenie virtuálneho súboru hospodárskych subj</w:t>
            </w:r>
            <w:r w:rsidRPr="00326E55">
              <w:rPr>
                <w:rFonts w:ascii="Times New Roman" w:hAnsi="Times New Roman"/>
                <w:noProof/>
                <w:spacing w:val="-6"/>
                <w:lang w:val="sk-SK"/>
              </w:rPr>
              <w:t>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uvádzajú údaje na overenie neexistencie dôvodov na vylúčenie uvedených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80, čo umožní vymedzenie bieleho zoznamu hospodárskych subjektov,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ktorých sa overenie už vykonalo.</w:t>
            </w:r>
          </w:p>
        </w:tc>
      </w:tr>
      <w:tr w:rsidR="00BF03AA" w:rsidRPr="00326E55" w14:paraId="0BE7AD67" w14:textId="77777777">
        <w:trPr>
          <w:trHeight w:val="789"/>
        </w:trPr>
        <w:tc>
          <w:tcPr>
            <w:tcW w:w="1135" w:type="dxa"/>
            <w:shd w:val="clear" w:color="auto" w:fill="C6EFCE"/>
            <w:noWrap/>
            <w:vAlign w:val="center"/>
          </w:tcPr>
          <w:p w14:paraId="7DCB742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w:t>
            </w:r>
          </w:p>
        </w:tc>
        <w:tc>
          <w:tcPr>
            <w:tcW w:w="1417" w:type="dxa"/>
            <w:shd w:val="clear" w:color="auto" w:fill="C6EFCE"/>
            <w:noWrap/>
            <w:vAlign w:val="center"/>
          </w:tcPr>
          <w:p w14:paraId="0134CB40" w14:textId="36060CBF"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1.3: Prvé cloud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interoperabilita</w:t>
            </w:r>
          </w:p>
        </w:tc>
        <w:tc>
          <w:tcPr>
            <w:tcW w:w="992" w:type="dxa"/>
            <w:shd w:val="clear" w:color="auto" w:fill="C6EFCE"/>
            <w:noWrap/>
            <w:vAlign w:val="center"/>
          </w:tcPr>
          <w:p w14:paraId="6166151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2444E296" w14:textId="76C64318"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zákonných vyhlášok pre reformu 1.3 „Prvý cloud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interoperabilita“</w:t>
            </w:r>
          </w:p>
        </w:tc>
        <w:tc>
          <w:tcPr>
            <w:tcW w:w="1559" w:type="dxa"/>
            <w:shd w:val="clear" w:color="auto" w:fill="C6EFCE"/>
            <w:noWrap/>
            <w:vAlign w:val="center"/>
          </w:tcPr>
          <w:p w14:paraId="01B56CC3" w14:textId="01C146E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zákonného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prvom cloude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reforme interoperability</w:t>
            </w:r>
          </w:p>
        </w:tc>
        <w:tc>
          <w:tcPr>
            <w:tcW w:w="1276" w:type="dxa"/>
            <w:shd w:val="clear" w:color="auto" w:fill="C6EFCE"/>
            <w:noWrap/>
            <w:vAlign w:val="center"/>
          </w:tcPr>
          <w:p w14:paraId="281A274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0E613EE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43B74E0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6A3862A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ŠTVRTÝ </w:t>
            </w:r>
            <w:r w:rsidRPr="00326E55">
              <w:rPr>
                <w:rFonts w:ascii="Times New Roman" w:hAnsi="Times New Roman"/>
                <w:noProof/>
                <w:spacing w:val="-6"/>
                <w:lang w:val="sk-SK"/>
              </w:rPr>
              <w:t>ŠTVRŤROK</w:t>
            </w:r>
          </w:p>
        </w:tc>
        <w:tc>
          <w:tcPr>
            <w:tcW w:w="852" w:type="dxa"/>
            <w:shd w:val="clear" w:color="auto" w:fill="C6EFCE"/>
            <w:noWrap/>
            <w:vAlign w:val="center"/>
          </w:tcPr>
          <w:p w14:paraId="102D051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shd w:val="clear" w:color="auto" w:fill="C6EFCE"/>
            <w:noWrap/>
            <w:vAlign w:val="center"/>
          </w:tcPr>
          <w:p w14:paraId="2A29498E"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Potrebné právne akty zahŕňajú:</w:t>
            </w:r>
          </w:p>
          <w:p w14:paraId="0CF78C47" w14:textId="0FB018D1"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Vykonávacie regulačné akty týkajúce sa najmä i) nariadenia Agenzia per l’Italia digitale (AgID)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Polo Strategico Nazionale (PSN)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33f zákonného dekrétu 179/212)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 usmernení AgID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interop</w:t>
            </w:r>
            <w:r w:rsidRPr="00326E55">
              <w:rPr>
                <w:rFonts w:ascii="Times New Roman" w:hAnsi="Times New Roman"/>
                <w:noProof/>
                <w:spacing w:val="-6"/>
                <w:lang w:val="sk-SK"/>
              </w:rPr>
              <w:t>erabilite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článkoch 50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50b Codice dell’Amministrazione Digitale (CAD).</w:t>
            </w:r>
          </w:p>
          <w:p w14:paraId="0FCD4268" w14:textId="53BEF3EE"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Zmeny článku 50 smernice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chemických faktoroch:</w:t>
            </w:r>
          </w:p>
          <w:p w14:paraId="5079559D" w14:textId="7427BD1F"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 zrušenie povinnosti uzatvárať rámcové dohody pre správne orgány, ktoré majú 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vnútroštátnej platforme digitálny</w:t>
            </w:r>
            <w:r w:rsidRPr="00326E55">
              <w:rPr>
                <w:rFonts w:ascii="Times New Roman" w:hAnsi="Times New Roman"/>
                <w:noProof/>
                <w:spacing w:val="-6"/>
                <w:lang w:val="sk-SK"/>
              </w:rPr>
              <w:t>ch údajov;</w:t>
            </w:r>
          </w:p>
          <w:p w14:paraId="59D64CF6" w14:textId="6DCA9156"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II) objasnenie otázky súkromia: prenosom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jedného informačného systému do druhého sa nemení vlastníctvo údajov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spracúvanie bez toho, aby boli dotknuté povinnosti orgánov verejnej správy, ktoré prijímajú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spracúvajú údaje ako nezávislí</w:t>
            </w:r>
            <w:r w:rsidRPr="00326E55">
              <w:rPr>
                <w:rFonts w:ascii="Times New Roman" w:hAnsi="Times New Roman"/>
                <w:noProof/>
                <w:spacing w:val="-6"/>
                <w:lang w:val="sk-SK"/>
              </w:rPr>
              <w:t xml:space="preserve"> prevádzkovatelia údajov.</w:t>
            </w:r>
          </w:p>
          <w:p w14:paraId="0D536CE9" w14:textId="194C793A"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Zmeny Decreto del Presidente della Repubblica (DPR) 445/2000 týkajúce sa prístupu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údajom:</w:t>
            </w:r>
          </w:p>
          <w:p w14:paraId="5485DD91" w14:textId="3B131F85"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 zrušenie povolenia potrebného na priamy 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údajom;</w:t>
            </w:r>
          </w:p>
          <w:p w14:paraId="2E91E2FC" w14:textId="7C4F35BD"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II) vypustenie odkazu na rámcové dohody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72.</w:t>
            </w:r>
          </w:p>
          <w:p w14:paraId="2DBDB930" w14:textId="4D8CC44F"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Zmeny článku 33f zákonné</w:t>
            </w:r>
            <w:r w:rsidRPr="00326E55">
              <w:rPr>
                <w:rFonts w:ascii="Times New Roman" w:hAnsi="Times New Roman"/>
                <w:noProof/>
                <w:spacing w:val="-6"/>
                <w:lang w:val="sk-SK"/>
              </w:rPr>
              <w:t xml:space="preserv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179/2012:</w:t>
            </w:r>
          </w:p>
          <w:p w14:paraId="62761F88" w14:textId="4EC4A342"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 zaviesť pre AgID možnosť regulovať prostredníctvom nariadení Centri Elaborazione Dati (CED)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cloud computingu podmienky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metódy, ktorými musia orgány verejnej správy vykonávať migráciu jednotného vstupného dokladu;</w:t>
            </w:r>
          </w:p>
          <w:p w14:paraId="68A48DFA" w14:textId="7777777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II) zaviesť </w:t>
            </w:r>
            <w:r w:rsidRPr="00326E55">
              <w:rPr>
                <w:rFonts w:ascii="Times New Roman" w:hAnsi="Times New Roman"/>
                <w:noProof/>
                <w:spacing w:val="-6"/>
                <w:lang w:val="sk-SK"/>
              </w:rPr>
              <w:t>sankcie za nesplnenie povinností týkajúcich sa migrácie do cloudu.</w:t>
            </w:r>
          </w:p>
        </w:tc>
      </w:tr>
      <w:tr w:rsidR="00BF03AA" w:rsidRPr="00326E55" w14:paraId="6BF5A39D" w14:textId="77777777">
        <w:trPr>
          <w:trHeight w:val="309"/>
        </w:trPr>
        <w:tc>
          <w:tcPr>
            <w:tcW w:w="1135" w:type="dxa"/>
            <w:shd w:val="clear" w:color="auto" w:fill="C6EFCE"/>
            <w:noWrap/>
            <w:vAlign w:val="center"/>
            <w:hideMark/>
          </w:tcPr>
          <w:p w14:paraId="51F40C6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w:t>
            </w:r>
          </w:p>
        </w:tc>
        <w:tc>
          <w:tcPr>
            <w:tcW w:w="1417" w:type="dxa"/>
            <w:shd w:val="clear" w:color="auto" w:fill="C6EFCE"/>
            <w:noWrap/>
            <w:vAlign w:val="center"/>
            <w:hideMark/>
          </w:tcPr>
          <w:p w14:paraId="1A8BB56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1.1: Digitálna infraštruktúra</w:t>
            </w:r>
          </w:p>
        </w:tc>
        <w:tc>
          <w:tcPr>
            <w:tcW w:w="992" w:type="dxa"/>
            <w:shd w:val="clear" w:color="auto" w:fill="C6EFCE"/>
            <w:noWrap/>
            <w:vAlign w:val="center"/>
            <w:hideMark/>
          </w:tcPr>
          <w:p w14:paraId="7CBB649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hideMark/>
          </w:tcPr>
          <w:p w14:paraId="3C0FFBAF"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Dokončenie Polo Strategico Nazionale (PSN)</w:t>
            </w:r>
          </w:p>
        </w:tc>
        <w:tc>
          <w:tcPr>
            <w:tcW w:w="1559" w:type="dxa"/>
            <w:shd w:val="clear" w:color="auto" w:fill="C6EFCE"/>
            <w:noWrap/>
            <w:vAlign w:val="center"/>
            <w:hideMark/>
          </w:tcPr>
          <w:p w14:paraId="4C372CD5" w14:textId="72467DF8"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Správa ministerstva pre technologické inovácie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digitálnu transformáciu (MITD)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zavádzaní cloudu</w:t>
            </w:r>
          </w:p>
        </w:tc>
        <w:tc>
          <w:tcPr>
            <w:tcW w:w="1276" w:type="dxa"/>
            <w:shd w:val="clear" w:color="auto" w:fill="C6EFCE"/>
            <w:noWrap/>
            <w:vAlign w:val="center"/>
          </w:tcPr>
          <w:p w14:paraId="7BBFD36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091ED39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7EA81D5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hideMark/>
          </w:tcPr>
          <w:p w14:paraId="127AC2D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hideMark/>
          </w:tcPr>
          <w:p w14:paraId="0A916DF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shd w:val="clear" w:color="auto" w:fill="C6EFCE"/>
            <w:noWrap/>
            <w:vAlign w:val="center"/>
            <w:hideMark/>
          </w:tcPr>
          <w:p w14:paraId="0834C852" w14:textId="7165DFD3"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Úplné dokončenie celkového projektu sa dosiahne, keď všetky cieľové orgány verejnej správy dokončia presun identifikovaných stojanov do Polo Strategico Nazionale (PSN)</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úspešne sa dokončí</w:t>
            </w:r>
            <w:r w:rsidRPr="00326E55">
              <w:rPr>
                <w:rFonts w:ascii="Times New Roman" w:hAnsi="Times New Roman"/>
                <w:noProof/>
                <w:spacing w:val="-6"/>
                <w:lang w:val="sk-SK"/>
              </w:rPr>
              <w:t xml:space="preserve"> testovanie štyroch dátových centier, čo umožní začatie procesu prechodu súborov údajov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aplikácií cieľových orgánov verejnej správy na sieť PSN.</w:t>
            </w:r>
          </w:p>
        </w:tc>
      </w:tr>
      <w:tr w:rsidR="00BF03AA" w:rsidRPr="00326E55" w14:paraId="2EB45B54" w14:textId="77777777">
        <w:trPr>
          <w:trHeight w:val="309"/>
        </w:trPr>
        <w:tc>
          <w:tcPr>
            <w:tcW w:w="1135" w:type="dxa"/>
            <w:shd w:val="clear" w:color="auto" w:fill="C6EFCE"/>
            <w:noWrap/>
            <w:vAlign w:val="center"/>
          </w:tcPr>
          <w:p w14:paraId="4992B63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w:t>
            </w:r>
          </w:p>
        </w:tc>
        <w:tc>
          <w:tcPr>
            <w:tcW w:w="1417" w:type="dxa"/>
            <w:shd w:val="clear" w:color="auto" w:fill="C6EFCE"/>
            <w:noWrap/>
            <w:vAlign w:val="center"/>
          </w:tcPr>
          <w:p w14:paraId="1C6569A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1.3.1: Vnútroštátna platforma digitálnych údajov</w:t>
            </w:r>
          </w:p>
        </w:tc>
        <w:tc>
          <w:tcPr>
            <w:tcW w:w="992" w:type="dxa"/>
            <w:shd w:val="clear" w:color="auto" w:fill="C6EFCE"/>
            <w:noWrap/>
            <w:vAlign w:val="center"/>
          </w:tcPr>
          <w:p w14:paraId="7993B17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320C151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Prevádzkyschopnosť vnútroštátnej</w:t>
            </w:r>
            <w:r w:rsidRPr="00326E55">
              <w:rPr>
                <w:rFonts w:ascii="Times New Roman" w:hAnsi="Times New Roman"/>
                <w:noProof/>
                <w:spacing w:val="-6"/>
                <w:lang w:val="sk-SK"/>
              </w:rPr>
              <w:t xml:space="preserve"> platformy digitálnych údajov</w:t>
            </w:r>
          </w:p>
        </w:tc>
        <w:tc>
          <w:tcPr>
            <w:tcW w:w="1559" w:type="dxa"/>
            <w:shd w:val="clear" w:color="auto" w:fill="C6EFCE"/>
            <w:noWrap/>
            <w:vAlign w:val="center"/>
          </w:tcPr>
          <w:p w14:paraId="14922518" w14:textId="3A08B9C9"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Správa ministerstva pre technologické inovácie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digitálnu transformáciu (MITD)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spustení národnej platformy digitálnych údajov</w:t>
            </w:r>
          </w:p>
        </w:tc>
        <w:tc>
          <w:tcPr>
            <w:tcW w:w="1276" w:type="dxa"/>
            <w:shd w:val="clear" w:color="auto" w:fill="C6EFCE"/>
            <w:noWrap/>
            <w:vAlign w:val="center"/>
          </w:tcPr>
          <w:p w14:paraId="45A5C85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0404459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32EDA4D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61D9ABC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76A03C7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shd w:val="clear" w:color="auto" w:fill="C6EFCE"/>
            <w:noWrap/>
            <w:vAlign w:val="center"/>
          </w:tcPr>
          <w:p w14:paraId="7C3DC55A"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Platforma umožňuje agentúram:</w:t>
            </w:r>
          </w:p>
          <w:p w14:paraId="68C8F937" w14:textId="3C49649D"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 uverejnia </w:t>
            </w:r>
            <w:r w:rsidRPr="00326E55">
              <w:rPr>
                <w:rFonts w:ascii="Times New Roman" w:hAnsi="Times New Roman"/>
                <w:noProof/>
                <w:spacing w:val="-6"/>
                <w:lang w:val="sk-SK"/>
              </w:rPr>
              <w:t>svoje aplikačné programovacie rozhrania (API)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katalógu API platformy,</w:t>
            </w:r>
          </w:p>
          <w:p w14:paraId="010DA600" w14:textId="62502ADE"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uzavrieť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podpísať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digitálnej interoperabilite prostredníctvom platformy,</w:t>
            </w:r>
          </w:p>
          <w:p w14:paraId="03A5FA83" w14:textId="0E43B3A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autentifikovať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povoliť prístup API pomocou funkcií platformy,</w:t>
            </w:r>
          </w:p>
          <w:p w14:paraId="11882306" w14:textId="5F9FE011"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potvrdiť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posúdiť súlad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vnú</w:t>
            </w:r>
            <w:r w:rsidRPr="00326E55">
              <w:rPr>
                <w:rFonts w:ascii="Times New Roman" w:hAnsi="Times New Roman"/>
                <w:noProof/>
                <w:spacing w:val="-6"/>
                <w:lang w:val="sk-SK"/>
              </w:rPr>
              <w:t>troštátnym rámcom interoperability.</w:t>
            </w:r>
          </w:p>
        </w:tc>
      </w:tr>
      <w:tr w:rsidR="00BF03AA" w:rsidRPr="00326E55" w14:paraId="6ED6DAE6" w14:textId="77777777">
        <w:trPr>
          <w:trHeight w:val="309"/>
        </w:trPr>
        <w:tc>
          <w:tcPr>
            <w:tcW w:w="1135" w:type="dxa"/>
            <w:shd w:val="clear" w:color="auto" w:fill="C6EFCE"/>
            <w:noWrap/>
            <w:vAlign w:val="center"/>
          </w:tcPr>
          <w:p w14:paraId="58207E4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w:t>
            </w:r>
          </w:p>
        </w:tc>
        <w:tc>
          <w:tcPr>
            <w:tcW w:w="1417" w:type="dxa"/>
            <w:shd w:val="clear" w:color="auto" w:fill="C6EFCE"/>
            <w:noWrap/>
            <w:vAlign w:val="center"/>
          </w:tcPr>
          <w:p w14:paraId="7199A19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1.5: Kybernetická bezpečnosť</w:t>
            </w:r>
          </w:p>
        </w:tc>
        <w:tc>
          <w:tcPr>
            <w:tcW w:w="992" w:type="dxa"/>
            <w:shd w:val="clear" w:color="auto" w:fill="C6EFCE"/>
            <w:noWrap/>
            <w:vAlign w:val="center"/>
          </w:tcPr>
          <w:p w14:paraId="2DD90D5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7AE1F3F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Vytvorenie novej Národnej agentúry pre kybernetickú bezpečnosť</w:t>
            </w:r>
          </w:p>
        </w:tc>
        <w:tc>
          <w:tcPr>
            <w:tcW w:w="1559" w:type="dxa"/>
            <w:shd w:val="clear" w:color="auto" w:fill="C6EFCE"/>
            <w:noWrap/>
            <w:vAlign w:val="center"/>
          </w:tcPr>
          <w:p w14:paraId="4958FC08" w14:textId="3E14BA09"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Akt</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administratívnej ústave</w:t>
            </w:r>
          </w:p>
        </w:tc>
        <w:tc>
          <w:tcPr>
            <w:tcW w:w="1276" w:type="dxa"/>
            <w:shd w:val="clear" w:color="auto" w:fill="C6EFCE"/>
            <w:noWrap/>
            <w:vAlign w:val="center"/>
          </w:tcPr>
          <w:p w14:paraId="75C9ACD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54F8066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4A1A58B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6FC9256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12AD264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shd w:val="clear" w:color="auto" w:fill="C6EFCE"/>
            <w:noWrap/>
            <w:vAlign w:val="center"/>
          </w:tcPr>
          <w:p w14:paraId="17A34D3D" w14:textId="50DB32F6"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Míľnik sa dosiahne </w:t>
            </w:r>
            <w:r w:rsidRPr="00326E55">
              <w:rPr>
                <w:rFonts w:ascii="Times New Roman" w:hAnsi="Times New Roman"/>
                <w:noProof/>
                <w:spacing w:val="-6"/>
                <w:lang w:val="sk-SK"/>
              </w:rPr>
              <w:t>1. zmenou zákonného dekrétu, ktorým sa zriaďuje Národná agentúra pre kybernetickú bezpečnosť, na zákon, ktorý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súčasnosti finalizuje; 2. uverejnenie vyhlášky predsedu vlády (Decreto del Presidente del Consiglio dei Ministri, DPCM) obsahujúcej vnútorné </w:t>
            </w:r>
            <w:r w:rsidRPr="00326E55">
              <w:rPr>
                <w:rFonts w:ascii="Times New Roman" w:hAnsi="Times New Roman"/>
                <w:noProof/>
                <w:spacing w:val="-6"/>
                <w:lang w:val="sk-SK"/>
              </w:rPr>
              <w:t>predpisy Národnej agentúry pre kybernetickú bezpečnosť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úradnom vestníku.</w:t>
            </w:r>
          </w:p>
        </w:tc>
      </w:tr>
      <w:tr w:rsidR="00BF03AA" w:rsidRPr="00326E55" w14:paraId="19389E19" w14:textId="77777777">
        <w:trPr>
          <w:trHeight w:val="309"/>
        </w:trPr>
        <w:tc>
          <w:tcPr>
            <w:tcW w:w="1135" w:type="dxa"/>
            <w:shd w:val="clear" w:color="auto" w:fill="C6EFCE"/>
            <w:noWrap/>
            <w:vAlign w:val="center"/>
          </w:tcPr>
          <w:p w14:paraId="43989D2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6</w:t>
            </w:r>
          </w:p>
        </w:tc>
        <w:tc>
          <w:tcPr>
            <w:tcW w:w="1417" w:type="dxa"/>
            <w:shd w:val="clear" w:color="auto" w:fill="C6EFCE"/>
            <w:noWrap/>
            <w:vAlign w:val="center"/>
          </w:tcPr>
          <w:p w14:paraId="50D25EF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1.5: Kybernetická bezpečnosť</w:t>
            </w:r>
          </w:p>
        </w:tc>
        <w:tc>
          <w:tcPr>
            <w:tcW w:w="992" w:type="dxa"/>
            <w:shd w:val="clear" w:color="auto" w:fill="C6EFCE"/>
            <w:noWrap/>
            <w:vAlign w:val="center"/>
          </w:tcPr>
          <w:p w14:paraId="3191726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33DFE43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Počiatočné zavedenie vnútroštátnych služieb kybernetickej bezpečnosti</w:t>
            </w:r>
          </w:p>
        </w:tc>
        <w:tc>
          <w:tcPr>
            <w:tcW w:w="1559" w:type="dxa"/>
            <w:shd w:val="clear" w:color="auto" w:fill="C6EFCE"/>
            <w:noWrap/>
            <w:vAlign w:val="center"/>
          </w:tcPr>
          <w:p w14:paraId="2F42EE4B"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Správa preukazujúca úplnú architektúru vnútroštátnych </w:t>
            </w:r>
            <w:r w:rsidRPr="00326E55">
              <w:rPr>
                <w:rFonts w:ascii="Times New Roman" w:hAnsi="Times New Roman"/>
                <w:noProof/>
                <w:spacing w:val="-6"/>
                <w:lang w:val="sk-SK"/>
              </w:rPr>
              <w:t>služieb kybernetickej bezpečnosti</w:t>
            </w:r>
          </w:p>
        </w:tc>
        <w:tc>
          <w:tcPr>
            <w:tcW w:w="1276" w:type="dxa"/>
            <w:shd w:val="clear" w:color="auto" w:fill="C6EFCE"/>
            <w:noWrap/>
            <w:vAlign w:val="center"/>
          </w:tcPr>
          <w:p w14:paraId="35BC84B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1C3B652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2DA43D6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10D4165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33691E5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shd w:val="clear" w:color="auto" w:fill="C6EFCE"/>
            <w:noWrap/>
            <w:vAlign w:val="center"/>
          </w:tcPr>
          <w:p w14:paraId="62BD74D9" w14:textId="7AB81F2F"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Míľnik sa dosiahne vymedzením podrobnej architektúry celého ekosystému vnútroštátnej architektúry kybernetickej bezpečnosti [t. j. vnútroštátneho strediska na výmenu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analýzu informácií (ISAC), siete tímov reakcie na núdzové počítačové situácie (CERT), národného HyperSOC, vysokovýkonnej výpočtovej techniky integrovanej</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nástrojmi umelej inteligencie/strojového učenia (AI/ML) na analýzu kybernetických incidentov na vnút</w:t>
            </w:r>
            <w:r w:rsidRPr="00326E55">
              <w:rPr>
                <w:rFonts w:ascii="Times New Roman" w:hAnsi="Times New Roman"/>
                <w:noProof/>
                <w:spacing w:val="-6"/>
                <w:lang w:val="sk-SK"/>
              </w:rPr>
              <w:t>roštátnej úrovni].</w:t>
            </w:r>
          </w:p>
        </w:tc>
      </w:tr>
      <w:tr w:rsidR="00BF03AA" w:rsidRPr="00326E55" w14:paraId="12A0E0A5" w14:textId="77777777">
        <w:trPr>
          <w:trHeight w:val="309"/>
        </w:trPr>
        <w:tc>
          <w:tcPr>
            <w:tcW w:w="1135" w:type="dxa"/>
            <w:shd w:val="clear" w:color="auto" w:fill="C6EFCE"/>
            <w:noWrap/>
            <w:vAlign w:val="center"/>
          </w:tcPr>
          <w:p w14:paraId="2C15E2D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w:t>
            </w:r>
          </w:p>
        </w:tc>
        <w:tc>
          <w:tcPr>
            <w:tcW w:w="1417" w:type="dxa"/>
            <w:shd w:val="clear" w:color="auto" w:fill="C6EFCE"/>
            <w:noWrap/>
            <w:vAlign w:val="center"/>
          </w:tcPr>
          <w:p w14:paraId="5EAB85E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1.5: Kybernetická bezpečnosť</w:t>
            </w:r>
          </w:p>
        </w:tc>
        <w:tc>
          <w:tcPr>
            <w:tcW w:w="992" w:type="dxa"/>
            <w:shd w:val="clear" w:color="auto" w:fill="C6EFCE"/>
            <w:noWrap/>
            <w:vAlign w:val="center"/>
          </w:tcPr>
          <w:p w14:paraId="753CD32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397E1A2C" w14:textId="54AB949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Spustenie siete laboratórií na preverovanie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certifikáciu kybernetickej bezpečnosti</w:t>
            </w:r>
          </w:p>
        </w:tc>
        <w:tc>
          <w:tcPr>
            <w:tcW w:w="1559" w:type="dxa"/>
            <w:shd w:val="clear" w:color="auto" w:fill="C6EFCE"/>
            <w:noWrap/>
            <w:vAlign w:val="center"/>
          </w:tcPr>
          <w:p w14:paraId="35BEE612" w14:textId="434A1CA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Poskytnutá dokumentácia preukazujúca identifikované procesy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postupy, ktoré sa majú zdieľať </w:t>
            </w:r>
            <w:r w:rsidRPr="00326E55">
              <w:rPr>
                <w:rFonts w:ascii="Times New Roman" w:hAnsi="Times New Roman"/>
                <w:noProof/>
                <w:spacing w:val="-6"/>
                <w:lang w:val="sk-SK"/>
              </w:rPr>
              <w:t>medzi laboratóriami,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poskytnutá správa preukazujúca aktiváciu aspoň jedného laboratória</w:t>
            </w:r>
          </w:p>
        </w:tc>
        <w:tc>
          <w:tcPr>
            <w:tcW w:w="1276" w:type="dxa"/>
            <w:shd w:val="clear" w:color="auto" w:fill="C6EFCE"/>
            <w:noWrap/>
            <w:vAlign w:val="center"/>
          </w:tcPr>
          <w:p w14:paraId="778D237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7C959D4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12BEECE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41924FF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2512F44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shd w:val="clear" w:color="auto" w:fill="C6EFCE"/>
            <w:noWrap/>
            <w:vAlign w:val="center"/>
          </w:tcPr>
          <w:p w14:paraId="6332F694"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Míľnik sa dosiahne:</w:t>
            </w:r>
          </w:p>
          <w:p w14:paraId="352A65FB" w14:textId="56619569"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I) Národná agentúra pre kybernetickú bezpečnosť určí, kde sa vytvoria skríningové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certifikačn</w:t>
            </w:r>
            <w:r w:rsidRPr="00326E55">
              <w:rPr>
                <w:rFonts w:ascii="Times New Roman" w:hAnsi="Times New Roman"/>
                <w:noProof/>
                <w:spacing w:val="-6"/>
                <w:lang w:val="sk-SK"/>
              </w:rPr>
              <w:t>é laboratóriá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centrá, profily odborníkov, ktorí sa majú prijať, úplné vymedzenie procesov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postupov, ktoré sa majú zdieľať medzi laboratóriami.</w:t>
            </w:r>
          </w:p>
          <w:p w14:paraId="36971C56" w14:textId="77777777" w:rsidR="00BF03AA" w:rsidRPr="00326E55" w:rsidRDefault="00FB452D">
            <w:pPr>
              <w:pStyle w:val="P68B1DB1-Normal11"/>
              <w:spacing w:before="120" w:after="120"/>
              <w:rPr>
                <w:rFonts w:ascii="Times New Roman" w:hAnsi="Times New Roman" w:cs="Arial"/>
                <w:noProof/>
                <w:spacing w:val="-6"/>
                <w:szCs w:val="20"/>
                <w:lang w:val="sk-SK"/>
              </w:rPr>
            </w:pPr>
            <w:r w:rsidRPr="00326E55">
              <w:rPr>
                <w:rFonts w:ascii="Times New Roman" w:hAnsi="Times New Roman"/>
                <w:noProof/>
                <w:spacing w:val="-6"/>
                <w:lang w:val="sk-SK"/>
              </w:rPr>
              <w:t>II) Aktivácia jedného laboratória.</w:t>
            </w:r>
          </w:p>
          <w:p w14:paraId="5E26D406" w14:textId="73CF6A0F" w:rsidR="00BF03AA" w:rsidRPr="00326E55" w:rsidRDefault="00FB452D">
            <w:pPr>
              <w:pStyle w:val="P68B1DB1-Normal12"/>
              <w:spacing w:after="120"/>
              <w:rPr>
                <w:rFonts w:ascii="Times New Roman" w:hAnsi="Times New Roman" w:cs="Arial"/>
                <w:noProof/>
                <w:color w:val="FF0000"/>
                <w:spacing w:val="-6"/>
                <w:lang w:val="sk-SK"/>
              </w:rPr>
            </w:pPr>
            <w:r w:rsidRPr="00326E55">
              <w:rPr>
                <w:rFonts w:ascii="Times New Roman" w:hAnsi="Times New Roman"/>
                <w:noProof/>
                <w:spacing w:val="-6"/>
                <w:lang w:val="sk-SK"/>
              </w:rPr>
              <w:t>Nad činnosťami vytvorenými na vytvorenie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aktiváciu kontrolných laboratór</w:t>
            </w:r>
            <w:r w:rsidRPr="00326E55">
              <w:rPr>
                <w:rFonts w:ascii="Times New Roman" w:hAnsi="Times New Roman"/>
                <w:noProof/>
                <w:spacing w:val="-6"/>
                <w:lang w:val="sk-SK"/>
              </w:rPr>
              <w:t>ií dohliada Ministero dello Sviluppo Economico (MISE)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CVCN (Národné skríningové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certifikačné laboratórium pre kybernetickú bezpečnosť)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integruje 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hodnotiacim centrom (CV) ministerstvo vnútra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ministerstvo obrany.</w:t>
            </w:r>
          </w:p>
        </w:tc>
      </w:tr>
      <w:tr w:rsidR="00BF03AA" w:rsidRPr="00326E55" w14:paraId="63637089" w14:textId="77777777">
        <w:trPr>
          <w:trHeight w:val="309"/>
        </w:trPr>
        <w:tc>
          <w:tcPr>
            <w:tcW w:w="1135" w:type="dxa"/>
            <w:shd w:val="clear" w:color="auto" w:fill="C6EFCE"/>
            <w:noWrap/>
            <w:vAlign w:val="center"/>
          </w:tcPr>
          <w:p w14:paraId="40D6D41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8</w:t>
            </w:r>
          </w:p>
        </w:tc>
        <w:tc>
          <w:tcPr>
            <w:tcW w:w="1417" w:type="dxa"/>
            <w:shd w:val="clear" w:color="auto" w:fill="C6EFCE"/>
            <w:noWrap/>
            <w:vAlign w:val="center"/>
          </w:tcPr>
          <w:p w14:paraId="0C93280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Investícia 1.5: </w:t>
            </w:r>
            <w:r w:rsidRPr="00326E55">
              <w:rPr>
                <w:rFonts w:ascii="Times New Roman" w:hAnsi="Times New Roman"/>
                <w:noProof/>
                <w:spacing w:val="-6"/>
                <w:lang w:val="sk-SK"/>
              </w:rPr>
              <w:t>Kybernetická bezpečnosť</w:t>
            </w:r>
          </w:p>
        </w:tc>
        <w:tc>
          <w:tcPr>
            <w:tcW w:w="992" w:type="dxa"/>
            <w:shd w:val="clear" w:color="auto" w:fill="C6EFCE"/>
            <w:noWrap/>
            <w:vAlign w:val="center"/>
          </w:tcPr>
          <w:p w14:paraId="0473A52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6393B8BC" w14:textId="53F8A586"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Aktivácia centrálnej audítorskej jednotky pre bezpečnostné opatrenia PSNC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NIS</w:t>
            </w:r>
          </w:p>
        </w:tc>
        <w:tc>
          <w:tcPr>
            <w:tcW w:w="1559" w:type="dxa"/>
            <w:shd w:val="clear" w:color="auto" w:fill="C6EFCE"/>
            <w:noWrap/>
            <w:vAlign w:val="center"/>
          </w:tcPr>
          <w:p w14:paraId="3522EFE5"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Poskytnuté správy preukazujúce spustenie centrálneho útvaru auditu</w:t>
            </w:r>
          </w:p>
        </w:tc>
        <w:tc>
          <w:tcPr>
            <w:tcW w:w="1276" w:type="dxa"/>
            <w:shd w:val="clear" w:color="auto" w:fill="C6EFCE"/>
            <w:noWrap/>
            <w:vAlign w:val="center"/>
          </w:tcPr>
          <w:p w14:paraId="1859F7B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4E81D57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65E62A5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49F320B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0F3B403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shd w:val="clear" w:color="auto" w:fill="C6EFCE"/>
            <w:noWrap/>
            <w:vAlign w:val="center"/>
          </w:tcPr>
          <w:p w14:paraId="6F1C0E44" w14:textId="75393A31"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V</w:t>
            </w:r>
            <w:r w:rsidRPr="00326E55">
              <w:rPr>
                <w:rFonts w:ascii="Times New Roman" w:hAnsi="Times New Roman"/>
                <w:noProof/>
                <w:spacing w:val="-6"/>
                <w:lang w:val="sk-SK"/>
              </w:rPr>
              <w:t xml:space="preserve"> rámci národnej agentúry pre kybernetickú bezpečnosť sa vymenuje interná jednotka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mandátom na vykonávanie činností centrálnej audítorskej jednotky, ktorá bude zodpovedať za bezpečnostné opatrenia PSNC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NIS.</w:t>
            </w:r>
          </w:p>
          <w:p w14:paraId="225C4A0E" w14:textId="2930BEAA"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Procesy, logistika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prevádzkové opatrenia sa </w:t>
            </w:r>
            <w:r w:rsidRPr="00326E55">
              <w:rPr>
                <w:rFonts w:ascii="Times New Roman" w:hAnsi="Times New Roman"/>
                <w:noProof/>
                <w:spacing w:val="-6"/>
                <w:lang w:val="sk-SK"/>
              </w:rPr>
              <w:t>formalizujú do primeranej dokumentácie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osobitným zameraním na prevádzkové procesy, t. j. pravidlá zapájania, auditu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postupov podávania správ.</w:t>
            </w:r>
          </w:p>
          <w:p w14:paraId="4991BE99" w14:textId="3AE52FF2"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IT nástroje zhromažďujú, riadia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analyzujú údaje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auditu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vyvíja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používa ich oddelenie auditu.</w:t>
            </w:r>
          </w:p>
          <w:p w14:paraId="7749C04E" w14:textId="7BDC79B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Poskytne s</w:t>
            </w:r>
            <w:r w:rsidRPr="00326E55">
              <w:rPr>
                <w:rFonts w:ascii="Times New Roman" w:hAnsi="Times New Roman"/>
                <w:noProof/>
                <w:spacing w:val="-6"/>
                <w:lang w:val="sk-SK"/>
              </w:rPr>
              <w:t>a dokumentácia,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sa uvádza dokončenie vývoja nástrojov.</w:t>
            </w:r>
          </w:p>
        </w:tc>
      </w:tr>
      <w:tr w:rsidR="00BF03AA" w:rsidRPr="00326E55" w14:paraId="448539D5" w14:textId="77777777">
        <w:trPr>
          <w:trHeight w:val="309"/>
        </w:trPr>
        <w:tc>
          <w:tcPr>
            <w:tcW w:w="1135" w:type="dxa"/>
            <w:shd w:val="clear" w:color="auto" w:fill="C6EFCE"/>
            <w:noWrap/>
            <w:vAlign w:val="center"/>
          </w:tcPr>
          <w:p w14:paraId="78E12FE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9</w:t>
            </w:r>
          </w:p>
        </w:tc>
        <w:tc>
          <w:tcPr>
            <w:tcW w:w="1417" w:type="dxa"/>
            <w:shd w:val="clear" w:color="auto" w:fill="C6EFCE"/>
            <w:noWrap/>
            <w:vAlign w:val="center"/>
          </w:tcPr>
          <w:p w14:paraId="71F6AB1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1.5: Kybernetická bezpečnosť</w:t>
            </w:r>
          </w:p>
        </w:tc>
        <w:tc>
          <w:tcPr>
            <w:tcW w:w="992" w:type="dxa"/>
            <w:shd w:val="clear" w:color="auto" w:fill="C6EFCE"/>
            <w:noWrap/>
            <w:vAlign w:val="center"/>
          </w:tcPr>
          <w:p w14:paraId="1F0EA85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105CC56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Podpora modernizácie bezpečnostných štruktúr T1</w:t>
            </w:r>
          </w:p>
        </w:tc>
        <w:tc>
          <w:tcPr>
            <w:tcW w:w="1559" w:type="dxa"/>
            <w:shd w:val="clear" w:color="auto" w:fill="C6EFCE"/>
            <w:noWrap/>
            <w:vAlign w:val="center"/>
          </w:tcPr>
          <w:p w14:paraId="520D07C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58F072E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1B75BDD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shd w:val="clear" w:color="auto" w:fill="C6EFCE"/>
            <w:noWrap/>
            <w:vAlign w:val="center"/>
          </w:tcPr>
          <w:p w14:paraId="0F00055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5</w:t>
            </w:r>
          </w:p>
        </w:tc>
        <w:tc>
          <w:tcPr>
            <w:tcW w:w="992" w:type="dxa"/>
            <w:shd w:val="clear" w:color="auto" w:fill="C6EFCE"/>
            <w:noWrap/>
            <w:vAlign w:val="center"/>
          </w:tcPr>
          <w:p w14:paraId="0ED8E11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313F57E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shd w:val="clear" w:color="auto" w:fill="C6EFCE"/>
            <w:noWrap/>
            <w:vAlign w:val="center"/>
          </w:tcPr>
          <w:p w14:paraId="661C86D2" w14:textId="28A55A36"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Najmenej päť posilnených intervencií na </w:t>
            </w:r>
            <w:r w:rsidRPr="00326E55">
              <w:rPr>
                <w:rFonts w:ascii="Times New Roman" w:hAnsi="Times New Roman"/>
                <w:noProof/>
                <w:spacing w:val="-6"/>
                <w:lang w:val="sk-SK"/>
              </w:rPr>
              <w:t>zlepšenie bezpečnostných štruktúr dokončených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sektoroch Národného bezpečnostného priestoru pre kybernetickú bezpečnosť (PSNC)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sieťových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informačných systémov (NIS).</w:t>
            </w:r>
          </w:p>
          <w:p w14:paraId="6F6D05D2" w14:textId="4171E992"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Typy intervencií zahŕňajú modernizáciu operačných bezpečnostných centier (SOC), zlepš</w:t>
            </w:r>
            <w:r w:rsidRPr="00326E55">
              <w:rPr>
                <w:rFonts w:ascii="Times New Roman" w:hAnsi="Times New Roman"/>
                <w:noProof/>
                <w:spacing w:val="-6"/>
                <w:lang w:val="sk-SK"/>
              </w:rPr>
              <w:t>enie ochrany kybernetických hraníc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kapacity vnútorného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kontroly. Intervencie sa zameriavajú na odvetvia zdravotnej starostlivosti, energetiky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životného prostredia (zásobovanie pitnou vodou).</w:t>
            </w:r>
          </w:p>
        </w:tc>
      </w:tr>
      <w:tr w:rsidR="00BF03AA" w:rsidRPr="00326E55" w14:paraId="7B3E28DB" w14:textId="77777777">
        <w:trPr>
          <w:trHeight w:val="309"/>
        </w:trPr>
        <w:tc>
          <w:tcPr>
            <w:tcW w:w="1135" w:type="dxa"/>
            <w:shd w:val="clear" w:color="auto" w:fill="C6EFCE"/>
            <w:noWrap/>
            <w:vAlign w:val="center"/>
          </w:tcPr>
          <w:p w14:paraId="460873A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w:t>
            </w:r>
          </w:p>
        </w:tc>
        <w:tc>
          <w:tcPr>
            <w:tcW w:w="1417" w:type="dxa"/>
            <w:shd w:val="clear" w:color="auto" w:fill="C6EFCE"/>
            <w:noWrap/>
            <w:vAlign w:val="center"/>
          </w:tcPr>
          <w:p w14:paraId="4D48936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1.2: Podpora transformácie</w:t>
            </w:r>
          </w:p>
        </w:tc>
        <w:tc>
          <w:tcPr>
            <w:tcW w:w="992" w:type="dxa"/>
            <w:shd w:val="clear" w:color="auto" w:fill="C6EFCE"/>
            <w:noWrap/>
            <w:vAlign w:val="center"/>
          </w:tcPr>
          <w:p w14:paraId="744B747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0DBFCCDB" w14:textId="702514AF"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Nadobudnutie účinnosti zriadenia transformačného tímu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NewCo</w:t>
            </w:r>
          </w:p>
        </w:tc>
        <w:tc>
          <w:tcPr>
            <w:tcW w:w="1559" w:type="dxa"/>
            <w:shd w:val="clear" w:color="auto" w:fill="C6EFCE"/>
            <w:noWrap/>
            <w:vAlign w:val="center"/>
          </w:tcPr>
          <w:p w14:paraId="122295F3" w14:textId="22F7D618"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právnom akte,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právneho aktu na vytvorenie úradu pre transformáciu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nadobudnutie účinnosti právneho aktu na vytvorenie NewCo</w:t>
            </w:r>
          </w:p>
        </w:tc>
        <w:tc>
          <w:tcPr>
            <w:tcW w:w="1276" w:type="dxa"/>
            <w:shd w:val="clear" w:color="auto" w:fill="C6EFCE"/>
            <w:noWrap/>
            <w:vAlign w:val="center"/>
          </w:tcPr>
          <w:p w14:paraId="53DF3B1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35EA6A1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7CF60AC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0607E37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77ACF84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shd w:val="clear" w:color="auto" w:fill="C6EFCE"/>
            <w:noWrap/>
            <w:vAlign w:val="center"/>
          </w:tcPr>
          <w:p w14:paraId="41BCDB23" w14:textId="77777777" w:rsidR="00BF03AA" w:rsidRPr="00326E55" w:rsidRDefault="00FB452D">
            <w:pPr>
              <w:pStyle w:val="P68B1DB1-Normal14"/>
              <w:spacing w:after="120"/>
              <w:rPr>
                <w:rFonts w:ascii="Times New Roman" w:hAnsi="Times New Roman" w:cs="Arial"/>
                <w:noProof/>
                <w:color w:val="006100"/>
                <w:spacing w:val="-6"/>
                <w:szCs w:val="20"/>
                <w:lang w:val="sk-SK"/>
              </w:rPr>
            </w:pPr>
            <w:r w:rsidRPr="00326E55">
              <w:rPr>
                <w:rFonts w:ascii="Times New Roman" w:hAnsi="Times New Roman"/>
                <w:noProof/>
                <w:color w:val="006100"/>
                <w:spacing w:val="-6"/>
                <w:lang w:val="sk-SK"/>
              </w:rPr>
              <w:t>Potrebné právne akty na zriadenie úradu pre transformáciu zahŕňajú:</w:t>
            </w:r>
          </w:p>
          <w:p w14:paraId="052F9B92" w14:textId="2D056AAE" w:rsidR="00BF03AA" w:rsidRPr="00326E55" w:rsidRDefault="00FB452D">
            <w:pPr>
              <w:pStyle w:val="P68B1DB1-ListParagraph13"/>
              <w:numPr>
                <w:ilvl w:val="0"/>
                <w:numId w:val="19"/>
              </w:numPr>
              <w:spacing w:before="120" w:after="120" w:line="240" w:lineRule="auto"/>
              <w:ind w:left="314" w:hanging="232"/>
              <w:rPr>
                <w:rFonts w:ascii="Times New Roman" w:hAnsi="Times New Roman" w:cs="Arial"/>
                <w:noProof/>
                <w:spacing w:val="-6"/>
                <w:lang w:val="sk-SK"/>
              </w:rPr>
            </w:pPr>
            <w:r w:rsidRPr="00326E55">
              <w:rPr>
                <w:rFonts w:ascii="Times New Roman" w:hAnsi="Times New Roman"/>
                <w:noProof/>
                <w:spacing w:val="-6"/>
                <w:lang w:val="sk-SK"/>
              </w:rPr>
              <w:t xml:space="preserve">Uverejnenie zákonného dekrétu „reclutamento“ [už schváleného Radou ministrov </w:t>
            </w:r>
            <w:r w:rsidR="00326E55" w:rsidRPr="00326E55">
              <w:rPr>
                <w:rFonts w:ascii="Times New Roman" w:hAnsi="Times New Roman"/>
                <w:noProof/>
                <w:spacing w:val="-6"/>
                <w:lang w:val="sk-SK"/>
              </w:rPr>
              <w:t>č. </w:t>
            </w:r>
            <w:r w:rsidRPr="00326E55">
              <w:rPr>
                <w:rFonts w:ascii="Times New Roman" w:hAnsi="Times New Roman"/>
                <w:noProof/>
                <w:spacing w:val="-6"/>
                <w:lang w:val="sk-SK"/>
              </w:rPr>
              <w:t>22 zo 4</w:t>
            </w:r>
            <w:r w:rsidR="00326E55" w:rsidRPr="00326E55">
              <w:rPr>
                <w:rFonts w:ascii="Times New Roman" w:hAnsi="Times New Roman"/>
                <w:noProof/>
                <w:spacing w:val="-6"/>
                <w:lang w:val="sk-SK"/>
              </w:rPr>
              <w:t>. júna</w:t>
            </w:r>
            <w:r w:rsidRPr="00326E55">
              <w:rPr>
                <w:rFonts w:ascii="Times New Roman" w:hAnsi="Times New Roman"/>
                <w:noProof/>
                <w:spacing w:val="-6"/>
                <w:vertAlign w:val="superscript"/>
                <w:lang w:val="sk-SK"/>
              </w:rPr>
              <w:t>2021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uverejneného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úradnom vestníku (Gazz</w:t>
            </w:r>
            <w:r w:rsidRPr="00326E55">
              <w:rPr>
                <w:rFonts w:ascii="Times New Roman" w:hAnsi="Times New Roman"/>
                <w:noProof/>
                <w:spacing w:val="-6"/>
                <w:lang w:val="sk-SK"/>
              </w:rPr>
              <w:t>etta Ufficiale) 10</w:t>
            </w:r>
            <w:r w:rsidR="00326E55" w:rsidRPr="00326E55">
              <w:rPr>
                <w:rFonts w:ascii="Times New Roman" w:hAnsi="Times New Roman"/>
                <w:noProof/>
                <w:spacing w:val="-6"/>
                <w:lang w:val="sk-SK"/>
              </w:rPr>
              <w:t>. júna</w:t>
            </w:r>
            <w:r w:rsidRPr="00326E55">
              <w:rPr>
                <w:rFonts w:ascii="Times New Roman" w:hAnsi="Times New Roman"/>
                <w:noProof/>
                <w:spacing w:val="-6"/>
                <w:vertAlign w:val="superscript"/>
                <w:lang w:val="sk-SK"/>
              </w:rPr>
              <w:t>2021</w:t>
            </w:r>
            <w:r w:rsidRPr="00326E55">
              <w:rPr>
                <w:rFonts w:ascii="Times New Roman" w:hAnsi="Times New Roman"/>
                <w:noProof/>
                <w:spacing w:val="-6"/>
                <w:lang w:val="sk-SK"/>
              </w:rPr>
              <w:t>],</w:t>
            </w:r>
          </w:p>
          <w:p w14:paraId="0E6FD8F4" w14:textId="77777777" w:rsidR="00BF03AA" w:rsidRPr="00326E55" w:rsidRDefault="00FB452D">
            <w:pPr>
              <w:pStyle w:val="P68B1DB1-ListParagraph15"/>
              <w:numPr>
                <w:ilvl w:val="0"/>
                <w:numId w:val="19"/>
              </w:numPr>
              <w:spacing w:before="120" w:after="120" w:line="240" w:lineRule="auto"/>
              <w:ind w:left="314" w:hanging="232"/>
              <w:rPr>
                <w:rFonts w:ascii="Times New Roman" w:hAnsi="Times New Roman" w:cs="Arial"/>
                <w:noProof/>
                <w:spacing w:val="-6"/>
                <w:szCs w:val="20"/>
                <w:lang w:val="sk-SK"/>
              </w:rPr>
            </w:pPr>
            <w:r w:rsidRPr="00326E55">
              <w:rPr>
                <w:rFonts w:ascii="Times New Roman" w:hAnsi="Times New Roman"/>
                <w:noProof/>
                <w:spacing w:val="-6"/>
                <w:lang w:val="sk-SK"/>
              </w:rPr>
              <w:t>Uverejnenie výzvy na vyjadrenie záujmu;</w:t>
            </w:r>
          </w:p>
          <w:p w14:paraId="73E2C2DB" w14:textId="0706330D" w:rsidR="00BF03AA" w:rsidRPr="00326E55" w:rsidRDefault="00FB452D">
            <w:pPr>
              <w:pStyle w:val="P68B1DB1-ListParagraph13"/>
              <w:numPr>
                <w:ilvl w:val="0"/>
                <w:numId w:val="19"/>
              </w:numPr>
              <w:spacing w:before="120" w:after="120" w:line="240" w:lineRule="auto"/>
              <w:ind w:left="314" w:hanging="232"/>
              <w:rPr>
                <w:rFonts w:ascii="Times New Roman" w:hAnsi="Times New Roman" w:cs="Arial"/>
                <w:noProof/>
                <w:spacing w:val="-6"/>
                <w:lang w:val="sk-SK"/>
              </w:rPr>
            </w:pPr>
            <w:r w:rsidRPr="00326E55">
              <w:rPr>
                <w:rFonts w:ascii="Times New Roman" w:hAnsi="Times New Roman"/>
                <w:noProof/>
                <w:spacing w:val="-6"/>
                <w:lang w:val="sk-SK"/>
              </w:rPr>
              <w:t>Výber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pridelenie úlohy odborníkom (dočasne počas trvania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5D5A50EE" w14:textId="5994F52D"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NewCo, požadované kľúčové kroky zahŕňajú:</w:t>
            </w:r>
          </w:p>
          <w:p w14:paraId="6CDFA096" w14:textId="77777777" w:rsidR="00BF03AA" w:rsidRPr="00326E55" w:rsidRDefault="00FB452D">
            <w:pPr>
              <w:pStyle w:val="P68B1DB1-ListParagraph15"/>
              <w:numPr>
                <w:ilvl w:val="0"/>
                <w:numId w:val="19"/>
              </w:numPr>
              <w:spacing w:before="120" w:after="120" w:line="240" w:lineRule="auto"/>
              <w:ind w:left="314" w:hanging="232"/>
              <w:rPr>
                <w:rFonts w:ascii="Times New Roman" w:hAnsi="Times New Roman" w:cs="Arial"/>
                <w:noProof/>
                <w:spacing w:val="-6"/>
                <w:szCs w:val="20"/>
                <w:lang w:val="sk-SK"/>
              </w:rPr>
            </w:pPr>
            <w:r w:rsidRPr="00326E55">
              <w:rPr>
                <w:rFonts w:ascii="Times New Roman" w:hAnsi="Times New Roman"/>
                <w:noProof/>
                <w:spacing w:val="-6"/>
                <w:lang w:val="sk-SK"/>
              </w:rPr>
              <w:t>Legislatívne povolenie;</w:t>
            </w:r>
          </w:p>
          <w:p w14:paraId="5A208A6F" w14:textId="2FFE7338" w:rsidR="00BF03AA" w:rsidRPr="00326E55" w:rsidRDefault="00FB452D">
            <w:pPr>
              <w:pStyle w:val="P68B1DB1-ListParagraph13"/>
              <w:numPr>
                <w:ilvl w:val="0"/>
                <w:numId w:val="19"/>
              </w:numPr>
              <w:spacing w:before="120" w:after="120" w:line="240" w:lineRule="auto"/>
              <w:ind w:left="314" w:hanging="232"/>
              <w:rPr>
                <w:rFonts w:ascii="Times New Roman" w:hAnsi="Times New Roman" w:cs="Arial"/>
                <w:noProof/>
                <w:spacing w:val="-6"/>
                <w:lang w:val="sk-SK"/>
              </w:rPr>
            </w:pPr>
            <w:r w:rsidRPr="00326E55">
              <w:rPr>
                <w:rFonts w:ascii="Times New Roman" w:hAnsi="Times New Roman"/>
                <w:noProof/>
                <w:spacing w:val="-6"/>
                <w:lang w:val="sk-SK"/>
              </w:rPr>
              <w:t>Decr</w:t>
            </w:r>
            <w:r w:rsidRPr="00326E55">
              <w:rPr>
                <w:rFonts w:ascii="Times New Roman" w:hAnsi="Times New Roman"/>
                <w:noProof/>
                <w:spacing w:val="-6"/>
                <w:lang w:val="sk-SK"/>
              </w:rPr>
              <w:t>eto del Presidente del Consiglio dei Ministri (DPCM) povoľuje založenie spoločnosti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stanovuje jej ciele, základné imanie, trvanie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členov predstavenstva;</w:t>
            </w:r>
          </w:p>
          <w:p w14:paraId="2D6BAC8D" w14:textId="2B7527CC" w:rsidR="00BF03AA" w:rsidRPr="00326E55" w:rsidRDefault="00FB452D">
            <w:pPr>
              <w:pStyle w:val="P68B1DB1-ListParagraph15"/>
              <w:numPr>
                <w:ilvl w:val="0"/>
                <w:numId w:val="19"/>
              </w:numPr>
              <w:spacing w:before="120" w:after="120" w:line="240" w:lineRule="auto"/>
              <w:ind w:left="314" w:hanging="232"/>
              <w:rPr>
                <w:rFonts w:ascii="Times New Roman" w:hAnsi="Times New Roman" w:cs="Arial"/>
                <w:noProof/>
                <w:spacing w:val="-6"/>
                <w:szCs w:val="20"/>
                <w:lang w:val="sk-SK"/>
              </w:rPr>
            </w:pPr>
            <w:r w:rsidRPr="00326E55">
              <w:rPr>
                <w:rFonts w:ascii="Times New Roman" w:hAnsi="Times New Roman"/>
                <w:noProof/>
                <w:spacing w:val="-6"/>
                <w:lang w:val="sk-SK"/>
              </w:rPr>
              <w:t>Inštitúcia spoločnosti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notárskou listinou;</w:t>
            </w:r>
          </w:p>
          <w:p w14:paraId="16C76A1A" w14:textId="6F8F0F2B" w:rsidR="00BF03AA" w:rsidRPr="00326E55" w:rsidRDefault="00FB452D">
            <w:pPr>
              <w:pStyle w:val="P68B1DB1-ListParagraph15"/>
              <w:numPr>
                <w:ilvl w:val="0"/>
                <w:numId w:val="19"/>
              </w:numPr>
              <w:spacing w:before="120" w:after="120" w:line="240" w:lineRule="auto"/>
              <w:ind w:left="314" w:hanging="232"/>
              <w:rPr>
                <w:rFonts w:ascii="Times New Roman" w:hAnsi="Times New Roman" w:cs="Arial"/>
                <w:noProof/>
                <w:spacing w:val="-6"/>
                <w:szCs w:val="20"/>
                <w:lang w:val="sk-SK"/>
              </w:rPr>
            </w:pPr>
            <w:r w:rsidRPr="00326E55">
              <w:rPr>
                <w:rFonts w:ascii="Times New Roman" w:hAnsi="Times New Roman"/>
                <w:noProof/>
                <w:spacing w:val="-6"/>
                <w:lang w:val="sk-SK"/>
              </w:rPr>
              <w:t>Úkony potrebné na sprevádzkovanie spoločnosti – stanov</w:t>
            </w:r>
            <w:r w:rsidRPr="00326E55">
              <w:rPr>
                <w:rFonts w:ascii="Times New Roman" w:hAnsi="Times New Roman"/>
                <w:noProof/>
                <w:spacing w:val="-6"/>
                <w:lang w:val="sk-SK"/>
              </w:rPr>
              <w: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rôzne nariadenia.</w:t>
            </w:r>
          </w:p>
        </w:tc>
      </w:tr>
      <w:tr w:rsidR="00BF03AA" w:rsidRPr="00326E55" w14:paraId="0DEC7F26" w14:textId="77777777">
        <w:trPr>
          <w:trHeight w:val="309"/>
        </w:trPr>
        <w:tc>
          <w:tcPr>
            <w:tcW w:w="1135" w:type="dxa"/>
            <w:shd w:val="clear" w:color="auto" w:fill="C6EFCE"/>
            <w:noWrap/>
            <w:vAlign w:val="center"/>
          </w:tcPr>
          <w:p w14:paraId="1AB2495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w:t>
            </w:r>
          </w:p>
        </w:tc>
        <w:tc>
          <w:tcPr>
            <w:tcW w:w="1417" w:type="dxa"/>
            <w:shd w:val="clear" w:color="auto" w:fill="C6EFCE"/>
            <w:noWrap/>
            <w:vAlign w:val="center"/>
          </w:tcPr>
          <w:p w14:paraId="44B4DBD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1.6.6: Digitalizácia finančnej polície</w:t>
            </w:r>
          </w:p>
        </w:tc>
        <w:tc>
          <w:tcPr>
            <w:tcW w:w="992" w:type="dxa"/>
            <w:shd w:val="clear" w:color="auto" w:fill="C6EFCE"/>
            <w:noWrap/>
            <w:vAlign w:val="center"/>
          </w:tcPr>
          <w:p w14:paraId="696267E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7F39B800" w14:textId="42EB73AD"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Finančná polícia – Nákup odborných služieb</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dátovej vedy T1</w:t>
            </w:r>
          </w:p>
        </w:tc>
        <w:tc>
          <w:tcPr>
            <w:tcW w:w="1559" w:type="dxa"/>
            <w:shd w:val="clear" w:color="auto" w:fill="C6EFCE"/>
            <w:noWrap/>
            <w:vAlign w:val="center"/>
          </w:tcPr>
          <w:p w14:paraId="6454CE1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2473060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6BBADA7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shd w:val="clear" w:color="auto" w:fill="C6EFCE"/>
            <w:noWrap/>
            <w:vAlign w:val="center"/>
          </w:tcPr>
          <w:p w14:paraId="7A5BC93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5</w:t>
            </w:r>
          </w:p>
        </w:tc>
        <w:tc>
          <w:tcPr>
            <w:tcW w:w="992" w:type="dxa"/>
            <w:shd w:val="clear" w:color="auto" w:fill="C6EFCE"/>
            <w:noWrap/>
            <w:vAlign w:val="center"/>
          </w:tcPr>
          <w:p w14:paraId="2E442A6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shd w:val="clear" w:color="auto" w:fill="C6EFCE"/>
            <w:noWrap/>
            <w:vAlign w:val="center"/>
          </w:tcPr>
          <w:p w14:paraId="081BE4B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shd w:val="clear" w:color="auto" w:fill="C6EFCE"/>
            <w:noWrap/>
            <w:vAlign w:val="center"/>
          </w:tcPr>
          <w:p w14:paraId="31225A3C" w14:textId="6E025BD8"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Nákup odborných služieb dátovej vedy na základe zmluvy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poskytovateľom konzultačných služieb, ktorý zahŕňa päť ľudských zdrojov celkovo zodpovedných za navrhovanie dátovej architektúry, ako aj za písanie algoritmov oddelenia analýzy veľkých dát. Uverejnenie zadanej zákazky na nákup služieb dátovej vedy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zverej</w:t>
            </w:r>
            <w:r w:rsidRPr="00326E55">
              <w:rPr>
                <w:rFonts w:ascii="Times New Roman" w:hAnsi="Times New Roman"/>
                <w:noProof/>
                <w:spacing w:val="-6"/>
                <w:lang w:val="sk-SK"/>
              </w:rPr>
              <w:t>nenie nových nástrojov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prvého analytického modulu (IT chrbtica)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celoštátnom meradle.</w:t>
            </w:r>
          </w:p>
        </w:tc>
      </w:tr>
      <w:tr w:rsidR="00BF03AA" w:rsidRPr="00326E55" w14:paraId="4A883ED1" w14:textId="77777777">
        <w:trPr>
          <w:trHeight w:val="309"/>
        </w:trPr>
        <w:tc>
          <w:tcPr>
            <w:tcW w:w="1135" w:type="dxa"/>
            <w:shd w:val="clear" w:color="auto" w:fill="C6EFCE"/>
            <w:noWrap/>
            <w:vAlign w:val="center"/>
          </w:tcPr>
          <w:p w14:paraId="44D695F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12</w:t>
            </w:r>
          </w:p>
        </w:tc>
        <w:tc>
          <w:tcPr>
            <w:tcW w:w="1417" w:type="dxa"/>
            <w:shd w:val="clear" w:color="auto" w:fill="C6EFCE"/>
            <w:noWrap/>
            <w:vAlign w:val="center"/>
          </w:tcPr>
          <w:p w14:paraId="77450C29"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Investícia 1.3.2:Jednotná digitálna brána</w:t>
            </w:r>
          </w:p>
        </w:tc>
        <w:tc>
          <w:tcPr>
            <w:tcW w:w="992" w:type="dxa"/>
            <w:shd w:val="clear" w:color="auto" w:fill="C6EFCE"/>
            <w:noWrap/>
            <w:vAlign w:val="center"/>
          </w:tcPr>
          <w:p w14:paraId="2EF0676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57BB7A1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Jednotná digitálna brána</w:t>
            </w:r>
          </w:p>
        </w:tc>
        <w:tc>
          <w:tcPr>
            <w:tcW w:w="1559" w:type="dxa"/>
            <w:shd w:val="clear" w:color="auto" w:fill="C6EFCE"/>
            <w:noWrap/>
            <w:vAlign w:val="center"/>
          </w:tcPr>
          <w:p w14:paraId="4E487E0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4E16D38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5CBE338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shd w:val="clear" w:color="auto" w:fill="C6EFCE"/>
            <w:noWrap/>
            <w:vAlign w:val="center"/>
          </w:tcPr>
          <w:p w14:paraId="07CC303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19</w:t>
            </w:r>
          </w:p>
        </w:tc>
        <w:tc>
          <w:tcPr>
            <w:tcW w:w="992" w:type="dxa"/>
            <w:shd w:val="clear" w:color="auto" w:fill="C6EFCE"/>
            <w:noWrap/>
            <w:vAlign w:val="center"/>
          </w:tcPr>
          <w:p w14:paraId="3F637E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6700CAD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shd w:val="clear" w:color="auto" w:fill="C6EFCE"/>
            <w:noWrap/>
            <w:vAlign w:val="center"/>
          </w:tcPr>
          <w:p w14:paraId="2472287E" w14:textId="14266870"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19 prioritných administratívnych </w:t>
            </w:r>
            <w:r w:rsidRPr="00326E55">
              <w:rPr>
                <w:rFonts w:ascii="Times New Roman" w:hAnsi="Times New Roman"/>
                <w:noProof/>
                <w:spacing w:val="-6"/>
                <w:lang w:val="sk-SK"/>
              </w:rPr>
              <w:t>postupov uplatniteľných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21 vymedzených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nariadení (EÚ) 2018/1724 je plne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požiadavkami vymedzenými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6 nariadenia (EÚ) 2018/1724. Konkrétnejšie: a) identifikácia používateľov, poskytovanie informácií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podporných dôkazov, po</w:t>
            </w:r>
            <w:r w:rsidRPr="00326E55">
              <w:rPr>
                <w:rFonts w:ascii="Times New Roman" w:hAnsi="Times New Roman"/>
                <w:noProof/>
                <w:spacing w:val="-6"/>
                <w:lang w:val="sk-SK"/>
              </w:rPr>
              <w:t>dpis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konečné predloženie sa vykonávajú elektronicky na diaľku prostredníctvom servisného kanála, ktorý používateľom umožňuje splniť požiadavky týkajúce sa postupu používateľsky ústretovým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štruktúrovaným spôsobom; b) používateľom sa poskytne automatické</w:t>
            </w:r>
            <w:r w:rsidRPr="00326E55">
              <w:rPr>
                <w:rFonts w:ascii="Times New Roman" w:hAnsi="Times New Roman"/>
                <w:noProof/>
                <w:spacing w:val="-6"/>
                <w:lang w:val="sk-SK"/>
              </w:rPr>
              <w:t xml:space="preserve"> potvrdenie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 pokiaľ sa výstup postupu nedoručí okamžite; C) výstup postupu sa doručuje elektronicky, alebo ak je to potrebné na dosiahnutie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uplatniteľným právom Únie alebo vnútroštátnym právom,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fyzickými prostriedkami; d) používateľ</w:t>
            </w:r>
            <w:r w:rsidRPr="00326E55">
              <w:rPr>
                <w:rFonts w:ascii="Times New Roman" w:hAnsi="Times New Roman"/>
                <w:noProof/>
                <w:spacing w:val="-6"/>
                <w:lang w:val="sk-SK"/>
              </w:rPr>
              <w:t>om sa poskytne elektronické 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ukončení postupu.</w:t>
            </w:r>
          </w:p>
        </w:tc>
      </w:tr>
      <w:tr w:rsidR="00BF03AA" w:rsidRPr="00326E55" w14:paraId="32DD049A" w14:textId="77777777">
        <w:trPr>
          <w:trHeight w:val="309"/>
        </w:trPr>
        <w:tc>
          <w:tcPr>
            <w:tcW w:w="1135" w:type="dxa"/>
            <w:shd w:val="clear" w:color="auto" w:fill="C6EFCE"/>
            <w:noWrap/>
            <w:vAlign w:val="center"/>
          </w:tcPr>
          <w:p w14:paraId="67DEB7F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13</w:t>
            </w:r>
          </w:p>
        </w:tc>
        <w:tc>
          <w:tcPr>
            <w:tcW w:w="1417" w:type="dxa"/>
            <w:shd w:val="clear" w:color="auto" w:fill="C6EFCE"/>
            <w:noWrap/>
            <w:vAlign w:val="center"/>
          </w:tcPr>
          <w:p w14:paraId="6645132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1.4.6:</w:t>
            </w:r>
          </w:p>
          <w:p w14:paraId="02FC28B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Mobilita ako služba pre Taliansko</w:t>
            </w:r>
          </w:p>
        </w:tc>
        <w:tc>
          <w:tcPr>
            <w:tcW w:w="992" w:type="dxa"/>
            <w:shd w:val="clear" w:color="auto" w:fill="C6EFCE"/>
            <w:noWrap/>
            <w:vAlign w:val="center"/>
          </w:tcPr>
          <w:p w14:paraId="1EB1D54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274F1F5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Mobilita ako servisné riešenia M1</w:t>
            </w:r>
          </w:p>
        </w:tc>
        <w:tc>
          <w:tcPr>
            <w:tcW w:w="1559" w:type="dxa"/>
            <w:shd w:val="clear" w:color="auto" w:fill="C6EFCE"/>
            <w:noWrap/>
            <w:vAlign w:val="center"/>
          </w:tcPr>
          <w:p w14:paraId="21723FB3" w14:textId="1C543796"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Správa Ministero delle Infrastrutture e della Mobilità Sostenibili (MIMS)</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spolupráci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univerzitami,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sa opisuje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hodnotenie výsledkov troch pilotných projektov</w:t>
            </w:r>
          </w:p>
        </w:tc>
        <w:tc>
          <w:tcPr>
            <w:tcW w:w="1276" w:type="dxa"/>
            <w:shd w:val="clear" w:color="auto" w:fill="C6EFCE"/>
            <w:noWrap/>
            <w:vAlign w:val="center"/>
          </w:tcPr>
          <w:p w14:paraId="3702698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72964B8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0ADCA02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4CF9133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0A6237E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shd w:val="clear" w:color="auto" w:fill="C6EFCE"/>
            <w:noWrap/>
            <w:vAlign w:val="center"/>
          </w:tcPr>
          <w:p w14:paraId="7506C751" w14:textId="64E92980"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Realizovali sa tri pilotné projekty zamerané na testovanie mobility ako servisných riešení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technologicky vys</w:t>
            </w:r>
            <w:r w:rsidRPr="00326E55">
              <w:rPr>
                <w:rFonts w:ascii="Times New Roman" w:hAnsi="Times New Roman"/>
                <w:noProof/>
                <w:spacing w:val="-6"/>
                <w:lang w:val="sk-SK"/>
              </w:rPr>
              <w:t>pelých metropolitných mestách.</w:t>
            </w:r>
          </w:p>
          <w:p w14:paraId="2019760C"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Počas pilotného obdobia použilo každé riešenie najmenej 1000 používateľov.</w:t>
            </w:r>
          </w:p>
          <w:p w14:paraId="0BD27B83" w14:textId="2F941FC8"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Každý pilotný projekt je otvorený minimálne pre 1000 používateľov, ktorí</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nemu budú mať prístup na dobrovoľnom základe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vlastné náklady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posk</w:t>
            </w:r>
            <w:r w:rsidRPr="00326E55">
              <w:rPr>
                <w:rFonts w:ascii="Times New Roman" w:hAnsi="Times New Roman"/>
                <w:noProof/>
                <w:spacing w:val="-6"/>
                <w:lang w:val="sk-SK"/>
              </w:rPr>
              <w:t>ytnú individuálne posúdenie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možnosťou výberu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nákupu služieb mobility spomedzi tých, ktoré sú dostupné na platforme.</w:t>
            </w:r>
          </w:p>
          <w:p w14:paraId="24D8F934" w14:textId="60175A7B"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Služba MaaS prostredníctvom jednotnej technologickej platformy navrhne občanovi-používateľovi najlepšie cestovné riešenie na základe jeh</w:t>
            </w:r>
            <w:r w:rsidRPr="00326E55">
              <w:rPr>
                <w:rFonts w:ascii="Times New Roman" w:hAnsi="Times New Roman"/>
                <w:noProof/>
                <w:spacing w:val="-6"/>
                <w:lang w:val="sk-SK"/>
              </w:rPr>
              <w:t>o potrieb, pričom využije integráciu medzi rôznymi dostupnými možnosťami mobility (miestna verejná doprava, spoločné využívanie, kabína, prenájom áut)</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optimalizovať cestovné skúsenosti</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hľadiska plánovania (plánovač intermodálnych trás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informác</w:t>
            </w:r>
            <w:r w:rsidRPr="00326E55">
              <w:rPr>
                <w:rFonts w:ascii="Times New Roman" w:hAnsi="Times New Roman"/>
                <w:noProof/>
                <w:spacing w:val="-6"/>
                <w:lang w:val="sk-SK"/>
              </w:rPr>
              <w:t>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časoch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vzdialenostiach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reálnom čase), ako aj</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hľadiska využívania (rezervácia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platba za služby).</w:t>
            </w:r>
          </w:p>
        </w:tc>
      </w:tr>
      <w:tr w:rsidR="00BF03AA" w:rsidRPr="00326E55" w14:paraId="559E5AA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065113"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M1C1 – 14bis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12A88"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Reforma 1.9a: Reforma na urýchlenie vykonávania politiky súdržnosti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A97B12"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 xml:space="preserve">Míľnik </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34F4F"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 xml:space="preserve">Nadobudnutie účinnosti vnútroštátnych právnych predpisov </w:t>
            </w:r>
            <w:r w:rsidRPr="00326E55">
              <w:rPr>
                <w:rFonts w:ascii="Times New Roman" w:hAnsi="Times New Roman"/>
                <w:noProof/>
                <w:spacing w:val="-6"/>
                <w:lang w:val="sk-SK"/>
              </w:rPr>
              <w:t>na urýchlenie vykonávania politiky súdržnosti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666783" w14:textId="692A020F"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účinnosti vnútroštátnych právnych predpisov na urýchlenie vykonávania politiky súdržnosti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9DCFF4"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3F826E"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7B980B"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84AEEB"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74DCD"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983824" w14:textId="6F0A0F00"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vnútroštátnych právnych predpisov,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partnerskej dohody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 všetky súčasné programy určujú opatrenia potrebné na urýchlenie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vykonávania politiky súdržnosti</w:t>
            </w:r>
            <w:r w:rsidR="00326E55" w:rsidRPr="00326E55">
              <w:rPr>
                <w:rFonts w:ascii="Times New Roman" w:hAnsi="Times New Roman"/>
                <w:noProof/>
                <w:spacing w:val="-6"/>
                <w:lang w:val="sk-SK"/>
              </w:rPr>
              <w:t>.</w:t>
            </w:r>
          </w:p>
          <w:p w14:paraId="364CBAA7" w14:textId="044FF336"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S cieľom zabezpečiť inštitucionálny dialóg</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spoluprácu, ako aj sp</w:t>
            </w:r>
            <w:r w:rsidRPr="00326E55">
              <w:rPr>
                <w:rFonts w:ascii="Times New Roman" w:hAnsi="Times New Roman"/>
                <w:noProof/>
                <w:spacing w:val="-6"/>
                <w:lang w:val="sk-SK"/>
              </w:rPr>
              <w:t>oločné chápanie potrebných opatrení vláda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2023 zriadi technickú pracovnú skupinu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riadiacimi orgánmi všetkých regionálnych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národných programov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Cabina di regia PNRR bez toho, aby boli dotknuté vnútroštátne právne predpisy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jedn</w:t>
            </w:r>
            <w:r w:rsidRPr="00326E55">
              <w:rPr>
                <w:rFonts w:ascii="Times New Roman" w:hAnsi="Times New Roman"/>
                <w:noProof/>
                <w:spacing w:val="-6"/>
                <w:lang w:val="sk-SK"/>
              </w:rPr>
              <w:t>otnej konferencii.</w:t>
            </w:r>
          </w:p>
          <w:p w14:paraId="38A16180" w14:textId="0FD5B031" w:rsidR="00BF03AA" w:rsidRPr="00326E55" w:rsidRDefault="00FB452D">
            <w:pPr>
              <w:pStyle w:val="P68B1DB1-Normal12"/>
              <w:spacing w:after="0" w:line="240" w:lineRule="auto"/>
              <w:rPr>
                <w:rFonts w:ascii="Times New Roman" w:hAnsi="Times New Roman" w:cs="Arial"/>
                <w:noProof/>
                <w:spacing w:val="-6"/>
                <w:lang w:val="sk-SK"/>
              </w:rPr>
            </w:pPr>
            <w:r w:rsidRPr="00326E55">
              <w:rPr>
                <w:rFonts w:ascii="Times New Roman" w:hAnsi="Times New Roman"/>
                <w:noProof/>
                <w:spacing w:val="-6"/>
                <w:lang w:val="sk-SK"/>
              </w:rPr>
              <w:t>V právnych predpisoch sa stanovia opatrenia potrebné na uprednostňovanie intervencií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strategických odvetviach,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prísnom 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plánovacími dokumentmi vymedzenými pre príslušné základné podmienky,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ich konkrétne vykon</w:t>
            </w:r>
            <w:r w:rsidRPr="00326E55">
              <w:rPr>
                <w:rFonts w:ascii="Times New Roman" w:hAnsi="Times New Roman"/>
                <w:noProof/>
                <w:spacing w:val="-6"/>
                <w:lang w:val="sk-SK"/>
              </w:rPr>
              <w:t>ávanie vrátane zásahu osobitne na posilnenie administratívnych kapacít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sektoroch:</w:t>
            </w:r>
          </w:p>
          <w:p w14:paraId="22263442" w14:textId="77777777" w:rsidR="00BF03AA" w:rsidRPr="00326E55" w:rsidRDefault="00FB452D">
            <w:pPr>
              <w:pStyle w:val="P68B1DB1-Normal11"/>
              <w:tabs>
                <w:tab w:val="left" w:pos="195"/>
              </w:tabs>
              <w:spacing w:after="0" w:line="240" w:lineRule="auto"/>
              <w:rPr>
                <w:rFonts w:ascii="Times New Roman" w:hAnsi="Times New Roman" w:cs="Arial"/>
                <w:noProof/>
                <w:spacing w:val="-6"/>
                <w:lang w:val="sk-SK"/>
              </w:rPr>
            </w:pPr>
            <w:r w:rsidRPr="00326E55">
              <w:rPr>
                <w:rFonts w:ascii="Times New Roman" w:hAnsi="Times New Roman"/>
                <w:noProof/>
                <w:spacing w:val="-6"/>
                <w:lang w:val="sk-SK"/>
              </w:rPr>
              <w:t>—</w:t>
            </w:r>
            <w:r w:rsidRPr="00326E55">
              <w:rPr>
                <w:rFonts w:ascii="Times New Roman" w:hAnsi="Times New Roman"/>
                <w:noProof/>
                <w:spacing w:val="-6"/>
                <w:lang w:val="sk-SK"/>
              </w:rPr>
              <w:tab/>
              <w:t>Vody;</w:t>
            </w:r>
          </w:p>
          <w:p w14:paraId="2EAF89C4" w14:textId="6D07B0E8" w:rsidR="00BF03AA" w:rsidRPr="00326E55" w:rsidRDefault="00FB452D">
            <w:pPr>
              <w:pStyle w:val="P68B1DB1-Normal11"/>
              <w:tabs>
                <w:tab w:val="left" w:pos="195"/>
              </w:tabs>
              <w:spacing w:after="0" w:line="240" w:lineRule="auto"/>
              <w:rPr>
                <w:rFonts w:ascii="Times New Roman" w:hAnsi="Times New Roman" w:cs="Arial"/>
                <w:noProof/>
                <w:spacing w:val="-6"/>
                <w:lang w:val="sk-SK"/>
              </w:rPr>
            </w:pPr>
            <w:r w:rsidRPr="00326E55">
              <w:rPr>
                <w:rFonts w:ascii="Times New Roman" w:hAnsi="Times New Roman"/>
                <w:noProof/>
                <w:spacing w:val="-6"/>
                <w:lang w:val="sk-SK"/>
              </w:rPr>
              <w:t>—</w:t>
            </w:r>
            <w:r w:rsidRPr="00326E55">
              <w:rPr>
                <w:rFonts w:ascii="Times New Roman" w:hAnsi="Times New Roman"/>
                <w:noProof/>
                <w:spacing w:val="-6"/>
                <w:lang w:val="sk-SK"/>
              </w:rPr>
              <w:tab/>
              <w:t>infraštruktúry pre hydrogeologické riziká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ochranu životného prostredia;</w:t>
            </w:r>
          </w:p>
          <w:p w14:paraId="1F44EA1D" w14:textId="77777777" w:rsidR="00BF03AA" w:rsidRPr="00326E55" w:rsidRDefault="00FB452D">
            <w:pPr>
              <w:pStyle w:val="P68B1DB1-Normal11"/>
              <w:tabs>
                <w:tab w:val="left" w:pos="195"/>
              </w:tabs>
              <w:spacing w:after="0" w:line="240" w:lineRule="auto"/>
              <w:rPr>
                <w:rFonts w:ascii="Times New Roman" w:hAnsi="Times New Roman" w:cs="Arial"/>
                <w:noProof/>
                <w:spacing w:val="-6"/>
                <w:lang w:val="sk-SK"/>
              </w:rPr>
            </w:pPr>
            <w:r w:rsidRPr="00326E55">
              <w:rPr>
                <w:rFonts w:ascii="Times New Roman" w:hAnsi="Times New Roman"/>
                <w:noProof/>
                <w:spacing w:val="-6"/>
                <w:lang w:val="sk-SK"/>
              </w:rPr>
              <w:t>—</w:t>
            </w:r>
            <w:r w:rsidRPr="00326E55">
              <w:rPr>
                <w:rFonts w:ascii="Times New Roman" w:hAnsi="Times New Roman"/>
                <w:noProof/>
                <w:spacing w:val="-6"/>
                <w:lang w:val="sk-SK"/>
              </w:rPr>
              <w:tab/>
              <w:t>Odpad</w:t>
            </w:r>
          </w:p>
          <w:p w14:paraId="31D62012" w14:textId="27DD39AD" w:rsidR="00BF03AA" w:rsidRPr="00326E55" w:rsidRDefault="00FB452D">
            <w:pPr>
              <w:pStyle w:val="P68B1DB1-Normal11"/>
              <w:tabs>
                <w:tab w:val="left" w:pos="195"/>
              </w:tabs>
              <w:spacing w:after="0" w:line="240" w:lineRule="auto"/>
              <w:rPr>
                <w:rFonts w:ascii="Times New Roman" w:hAnsi="Times New Roman" w:cs="Arial"/>
                <w:noProof/>
                <w:spacing w:val="-6"/>
                <w:lang w:val="sk-SK"/>
              </w:rPr>
            </w:pPr>
            <w:r w:rsidRPr="00326E55">
              <w:rPr>
                <w:rFonts w:ascii="Times New Roman" w:hAnsi="Times New Roman"/>
                <w:noProof/>
                <w:spacing w:val="-6"/>
                <w:lang w:val="sk-SK"/>
              </w:rPr>
              <w:t>—</w:t>
            </w:r>
            <w:r w:rsidRPr="00326E55">
              <w:rPr>
                <w:rFonts w:ascii="Times New Roman" w:hAnsi="Times New Roman"/>
                <w:noProof/>
                <w:spacing w:val="-6"/>
                <w:lang w:val="sk-SK"/>
              </w:rPr>
              <w:tab/>
              <w:t>Doprava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udržateľná mobilita;</w:t>
            </w:r>
          </w:p>
          <w:p w14:paraId="7E991B97" w14:textId="77777777" w:rsidR="00BF03AA" w:rsidRPr="00326E55" w:rsidRDefault="00FB452D">
            <w:pPr>
              <w:pStyle w:val="P68B1DB1-Normal11"/>
              <w:tabs>
                <w:tab w:val="left" w:pos="195"/>
              </w:tabs>
              <w:spacing w:after="0" w:line="240" w:lineRule="auto"/>
              <w:rPr>
                <w:rFonts w:ascii="Times New Roman" w:hAnsi="Times New Roman" w:cs="Arial"/>
                <w:noProof/>
                <w:spacing w:val="-6"/>
                <w:lang w:val="sk-SK"/>
              </w:rPr>
            </w:pPr>
            <w:r w:rsidRPr="00326E55">
              <w:rPr>
                <w:rFonts w:ascii="Times New Roman" w:hAnsi="Times New Roman"/>
                <w:noProof/>
                <w:spacing w:val="-6"/>
                <w:lang w:val="sk-SK"/>
              </w:rPr>
              <w:t>—</w:t>
            </w:r>
            <w:r w:rsidRPr="00326E55">
              <w:rPr>
                <w:rFonts w:ascii="Times New Roman" w:hAnsi="Times New Roman"/>
                <w:noProof/>
                <w:spacing w:val="-6"/>
                <w:lang w:val="sk-SK"/>
              </w:rPr>
              <w:tab/>
              <w:t>Energetiky,</w:t>
            </w:r>
          </w:p>
          <w:p w14:paraId="52C473E1" w14:textId="38A415DA" w:rsidR="00BF03AA" w:rsidRPr="00326E55" w:rsidRDefault="00FB452D">
            <w:pPr>
              <w:pStyle w:val="P68B1DB1-Normal11"/>
              <w:tabs>
                <w:tab w:val="left" w:pos="195"/>
              </w:tabs>
              <w:spacing w:after="0" w:line="240" w:lineRule="auto"/>
              <w:rPr>
                <w:rFonts w:ascii="Times New Roman" w:hAnsi="Times New Roman" w:cs="Arial"/>
                <w:noProof/>
                <w:spacing w:val="-6"/>
                <w:lang w:val="sk-SK"/>
              </w:rPr>
            </w:pPr>
            <w:r w:rsidRPr="00326E55">
              <w:rPr>
                <w:rFonts w:ascii="Times New Roman" w:hAnsi="Times New Roman"/>
                <w:noProof/>
                <w:spacing w:val="-6"/>
                <w:lang w:val="sk-SK"/>
              </w:rPr>
              <w:t>—</w:t>
            </w:r>
            <w:r w:rsidRPr="00326E55">
              <w:rPr>
                <w:rFonts w:ascii="Times New Roman" w:hAnsi="Times New Roman"/>
                <w:noProof/>
                <w:spacing w:val="-6"/>
                <w:lang w:val="sk-SK"/>
              </w:rPr>
              <w:tab/>
              <w:t>Podpora rozvoja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atrakt</w:t>
            </w:r>
            <w:r w:rsidRPr="00326E55">
              <w:rPr>
                <w:rFonts w:ascii="Times New Roman" w:hAnsi="Times New Roman"/>
                <w:noProof/>
                <w:spacing w:val="-6"/>
                <w:lang w:val="sk-SK"/>
              </w:rPr>
              <w:t>ívnosti podnikania,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pre digitálnu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zelenú transformáciu.</w:t>
            </w:r>
          </w:p>
        </w:tc>
      </w:tr>
      <w:tr w:rsidR="00BF03AA" w:rsidRPr="00326E55" w14:paraId="16AAA73C" w14:textId="77777777">
        <w:trPr>
          <w:trHeight w:val="309"/>
        </w:trPr>
        <w:tc>
          <w:tcPr>
            <w:tcW w:w="1135" w:type="dxa"/>
            <w:shd w:val="clear" w:color="auto" w:fill="C6EFCE"/>
            <w:noWrap/>
            <w:vAlign w:val="center"/>
          </w:tcPr>
          <w:p w14:paraId="370973D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15</w:t>
            </w:r>
          </w:p>
        </w:tc>
        <w:tc>
          <w:tcPr>
            <w:tcW w:w="1417" w:type="dxa"/>
            <w:shd w:val="clear" w:color="auto" w:fill="C6EFCE"/>
            <w:noWrap/>
            <w:vAlign w:val="center"/>
          </w:tcPr>
          <w:p w14:paraId="00ACF20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1.6.6: Digitalizácia finančnej polície</w:t>
            </w:r>
          </w:p>
        </w:tc>
        <w:tc>
          <w:tcPr>
            <w:tcW w:w="992" w:type="dxa"/>
            <w:shd w:val="clear" w:color="auto" w:fill="C6EFCE"/>
            <w:noWrap/>
            <w:vAlign w:val="center"/>
          </w:tcPr>
          <w:p w14:paraId="05CD5C2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3255B9D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Finančná polícia – Nákup odborných dátových vied T2</w:t>
            </w:r>
          </w:p>
        </w:tc>
        <w:tc>
          <w:tcPr>
            <w:tcW w:w="1559" w:type="dxa"/>
            <w:shd w:val="clear" w:color="auto" w:fill="C6EFCE"/>
            <w:noWrap/>
            <w:vAlign w:val="center"/>
          </w:tcPr>
          <w:p w14:paraId="1DC802E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D24012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094D950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5</w:t>
            </w:r>
          </w:p>
        </w:tc>
        <w:tc>
          <w:tcPr>
            <w:tcW w:w="1418" w:type="dxa"/>
            <w:shd w:val="clear" w:color="auto" w:fill="C6EFCE"/>
            <w:noWrap/>
            <w:vAlign w:val="center"/>
          </w:tcPr>
          <w:p w14:paraId="005A9A1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w:t>
            </w:r>
          </w:p>
        </w:tc>
        <w:tc>
          <w:tcPr>
            <w:tcW w:w="992" w:type="dxa"/>
            <w:shd w:val="clear" w:color="auto" w:fill="C6EFCE"/>
            <w:noWrap/>
            <w:vAlign w:val="center"/>
          </w:tcPr>
          <w:p w14:paraId="2ED698E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shd w:val="clear" w:color="auto" w:fill="C6EFCE"/>
            <w:noWrap/>
            <w:vAlign w:val="center"/>
          </w:tcPr>
          <w:p w14:paraId="79B4694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shd w:val="clear" w:color="auto" w:fill="C6EFCE"/>
            <w:noWrap/>
            <w:vAlign w:val="center"/>
          </w:tcPr>
          <w:p w14:paraId="19380F2B" w14:textId="5291EFE9"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Nákup odborných služieb dátovej </w:t>
            </w:r>
            <w:r w:rsidRPr="00326E55">
              <w:rPr>
                <w:rFonts w:ascii="Times New Roman" w:hAnsi="Times New Roman"/>
                <w:noProof/>
                <w:spacing w:val="-6"/>
                <w:lang w:val="sk-SK"/>
              </w:rPr>
              <w:t>vedy na základe zmluvy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poskytovateľom konzultačných služieb, ktorý zahŕňa ďalších päť ľudských zdrojov (spolu desať) zodpovedných za navrhovanie dátovej architektúry, ako aj za písanie algoritmov oddelenia analýzy veľkých dát. Uverejnenie zadanej zákazky</w:t>
            </w:r>
            <w:r w:rsidRPr="00326E55">
              <w:rPr>
                <w:rFonts w:ascii="Times New Roman" w:hAnsi="Times New Roman"/>
                <w:noProof/>
                <w:spacing w:val="-6"/>
                <w:lang w:val="sk-SK"/>
              </w:rPr>
              <w:t xml:space="preserve"> na nákup služieb dátovej vedy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zverejnenie nových nástrojov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prvého analytického modulu (IT chrbtica)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celoštátnom meradle.</w:t>
            </w:r>
          </w:p>
        </w:tc>
      </w:tr>
      <w:tr w:rsidR="00BF03AA" w:rsidRPr="00326E55" w14:paraId="771E9DE4" w14:textId="77777777">
        <w:trPr>
          <w:trHeight w:val="309"/>
        </w:trPr>
        <w:tc>
          <w:tcPr>
            <w:tcW w:w="1135" w:type="dxa"/>
            <w:shd w:val="clear" w:color="auto" w:fill="C6EFCE"/>
            <w:noWrap/>
            <w:vAlign w:val="center"/>
            <w:hideMark/>
          </w:tcPr>
          <w:p w14:paraId="2BDE6EA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17</w:t>
            </w:r>
          </w:p>
        </w:tc>
        <w:tc>
          <w:tcPr>
            <w:tcW w:w="1417" w:type="dxa"/>
            <w:shd w:val="clear" w:color="auto" w:fill="C6EFCE"/>
            <w:noWrap/>
            <w:vAlign w:val="center"/>
            <w:hideMark/>
          </w:tcPr>
          <w:p w14:paraId="0F46FB6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1.1: Digitálna infraštruktúra</w:t>
            </w:r>
          </w:p>
        </w:tc>
        <w:tc>
          <w:tcPr>
            <w:tcW w:w="992" w:type="dxa"/>
            <w:shd w:val="clear" w:color="auto" w:fill="C6EFCE"/>
            <w:noWrap/>
            <w:vAlign w:val="center"/>
            <w:hideMark/>
          </w:tcPr>
          <w:p w14:paraId="3128050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hideMark/>
          </w:tcPr>
          <w:p w14:paraId="67567AA5"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Migrácia na Polo Strategico Nazionale T1</w:t>
            </w:r>
          </w:p>
        </w:tc>
        <w:tc>
          <w:tcPr>
            <w:tcW w:w="1559" w:type="dxa"/>
            <w:shd w:val="clear" w:color="auto" w:fill="C6EFCE"/>
            <w:noWrap/>
            <w:vAlign w:val="center"/>
          </w:tcPr>
          <w:p w14:paraId="7BABEB3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hideMark/>
          </w:tcPr>
          <w:p w14:paraId="0D6CD1E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hideMark/>
          </w:tcPr>
          <w:p w14:paraId="22BCD10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shd w:val="clear" w:color="auto" w:fill="C6EFCE"/>
            <w:noWrap/>
            <w:vAlign w:val="center"/>
            <w:hideMark/>
          </w:tcPr>
          <w:p w14:paraId="40AAB72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992" w:type="dxa"/>
            <w:shd w:val="clear" w:color="auto" w:fill="C6EFCE"/>
            <w:noWrap/>
            <w:vAlign w:val="center"/>
            <w:hideMark/>
          </w:tcPr>
          <w:p w14:paraId="704232C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TRETÍ ŠTVRŤROK</w:t>
            </w:r>
          </w:p>
        </w:tc>
        <w:tc>
          <w:tcPr>
            <w:tcW w:w="852" w:type="dxa"/>
            <w:shd w:val="clear" w:color="auto" w:fill="C6EFCE"/>
            <w:noWrap/>
            <w:vAlign w:val="center"/>
            <w:hideMark/>
          </w:tcPr>
          <w:p w14:paraId="36A3F38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shd w:val="clear" w:color="auto" w:fill="C6EFCE"/>
            <w:noWrap/>
            <w:vAlign w:val="center"/>
            <w:hideMark/>
          </w:tcPr>
          <w:p w14:paraId="4AC29B6C" w14:textId="211A102F"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Najmenej 100 ústredných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miestnych orgánov zdravotnej starostlivosti (Aziende Sanitarie Locali/Aziende ospedaliere) úplne migruje aspoň jednu službu správy (systémy, súbor údajov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aplikácie) do infraštruktúry (</w:t>
            </w:r>
            <w:r w:rsidRPr="00326E55">
              <w:rPr>
                <w:rFonts w:ascii="Times New Roman" w:hAnsi="Times New Roman"/>
                <w:noProof/>
                <w:spacing w:val="-6"/>
                <w:lang w:val="sk-SK"/>
              </w:rPr>
              <w:t>Polo Strategico Nazionale). Úplne migrovaný môže pre každú inštitúciu znamenať kombináciu: nie sú pripravené na cloud pri čisto hosťovaní, migrácii výťahu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posunu, modernizácii na infraštruktúru ako službu (IaaS), platformu ako službu (Paas) alebo softvér</w:t>
            </w:r>
            <w:r w:rsidRPr="00326E55">
              <w:rPr>
                <w:rFonts w:ascii="Times New Roman" w:hAnsi="Times New Roman"/>
                <w:noProof/>
                <w:spacing w:val="-6"/>
                <w:lang w:val="sk-SK"/>
              </w:rPr>
              <w:t xml:space="preserve"> ako službu (SaaS). Migráciu na Polo Strategico Nazionale možno vykonať rôznymi spôsobmi podľa aktuálneho stavu IT architektúry softvéru na mieste, ktorú vlastní každá migrujúca verejná správa. Tieto stratégie sa môžu líšiť od čistej migrácie hostingu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w:t>
            </w:r>
            <w:r w:rsidRPr="00326E55">
              <w:rPr>
                <w:rFonts w:ascii="Times New Roman" w:hAnsi="Times New Roman"/>
                <w:noProof/>
                <w:spacing w:val="-6"/>
                <w:lang w:val="sk-SK"/>
              </w:rPr>
              <w:t>vihu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posunu softvéru, ktorý nie je pripravený na cloud, až po migráciu softvéru pripraveného na cloud do IaaS, PaaS alebo SaaS. Sieť PSN ponúkne každej migrujúcej verejnej správe všetky migračné stratégie, ktoré sú oprávnené zohľadniť dosiahnutý cieľ „mi</w:t>
            </w:r>
            <w:r w:rsidRPr="00326E55">
              <w:rPr>
                <w:rFonts w:ascii="Times New Roman" w:hAnsi="Times New Roman"/>
                <w:noProof/>
                <w:spacing w:val="-6"/>
                <w:lang w:val="sk-SK"/>
              </w:rPr>
              <w:t>grácia na Polo Strategico Nazionale“.</w:t>
            </w:r>
          </w:p>
          <w:p w14:paraId="26D1511B" w14:textId="77777777" w:rsidR="00BF03AA" w:rsidRPr="00326E55" w:rsidRDefault="00FB452D">
            <w:pPr>
              <w:pStyle w:val="P68B1DB1-Normal11"/>
              <w:rPr>
                <w:rFonts w:ascii="Times New Roman" w:hAnsi="Times New Roman" w:cs="Arial"/>
                <w:noProof/>
                <w:spacing w:val="-6"/>
                <w:szCs w:val="20"/>
                <w:lang w:val="sk-SK"/>
              </w:rPr>
            </w:pPr>
            <w:r w:rsidRPr="00326E55">
              <w:rPr>
                <w:rFonts w:ascii="Times New Roman" w:hAnsi="Times New Roman"/>
                <w:noProof/>
                <w:spacing w:val="-6"/>
                <w:lang w:val="sk-SK"/>
              </w:rPr>
              <w:t>Orgány verejnej správy „v rozsahu pôsobnosti“ spolu zahŕňajú:</w:t>
            </w:r>
          </w:p>
          <w:p w14:paraId="47214E9A" w14:textId="30B0CF7D"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 Ústredné orgány verejnej správy, ktoré predstavujú najväčší podiel výdavkov na informačné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komunikačné technológie (IKT) (napr. Národný inštitút sociálne</w:t>
            </w:r>
            <w:r w:rsidRPr="00326E55">
              <w:rPr>
                <w:rFonts w:ascii="Times New Roman" w:hAnsi="Times New Roman"/>
                <w:noProof/>
                <w:spacing w:val="-6"/>
                <w:lang w:val="sk-SK"/>
              </w:rPr>
              <w:t>ho zabezpečenia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ministerstvo spravodlivosti),</w:t>
            </w:r>
          </w:p>
          <w:p w14:paraId="63D142F5" w14:textId="46E7B056"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 Ústredné orgány verejnej správy, ktoré prijímajú údaje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zastaraných dátových centrách, ako sa uvádza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nedávnom prieskume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„chudovej pripravenosti“;</w:t>
            </w:r>
          </w:p>
          <w:p w14:paraId="6E02A91D" w14:textId="59339DDA"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 xml:space="preserve">• Miestne orgány zdravotnej starostlivosti (Aziende </w:t>
            </w:r>
            <w:r w:rsidRPr="00326E55">
              <w:rPr>
                <w:rFonts w:ascii="Times New Roman" w:hAnsi="Times New Roman"/>
                <w:noProof/>
                <w:spacing w:val="-6"/>
                <w:lang w:val="sk-SK"/>
              </w:rPr>
              <w:t>Sanitarie Locali/Aziende Ospedaliere) so sídlom najmä</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strednom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južnom Taliansku, ktoré nemajú primeranú infraštruktúru na zaistenie bezpečnosti údajov.</w:t>
            </w:r>
          </w:p>
        </w:tc>
      </w:tr>
      <w:tr w:rsidR="00BF03AA" w:rsidRPr="00326E55" w14:paraId="56078194" w14:textId="77777777">
        <w:trPr>
          <w:trHeight w:val="309"/>
        </w:trPr>
        <w:tc>
          <w:tcPr>
            <w:tcW w:w="1135" w:type="dxa"/>
            <w:shd w:val="clear" w:color="auto" w:fill="C6EFCE"/>
            <w:noWrap/>
            <w:vAlign w:val="center"/>
          </w:tcPr>
          <w:p w14:paraId="6C9C247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18</w:t>
            </w:r>
          </w:p>
        </w:tc>
        <w:tc>
          <w:tcPr>
            <w:tcW w:w="1417" w:type="dxa"/>
            <w:shd w:val="clear" w:color="auto" w:fill="C6EFCE"/>
            <w:noWrap/>
            <w:vAlign w:val="center"/>
          </w:tcPr>
          <w:p w14:paraId="3D2F038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1.3.1: Vnútroštátna platforma digitálnych údajov</w:t>
            </w:r>
          </w:p>
        </w:tc>
        <w:tc>
          <w:tcPr>
            <w:tcW w:w="992" w:type="dxa"/>
            <w:shd w:val="clear" w:color="auto" w:fill="C6EFCE"/>
            <w:noWrap/>
            <w:vAlign w:val="center"/>
          </w:tcPr>
          <w:p w14:paraId="4FA825D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00C09F5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API na národnej </w:t>
            </w:r>
            <w:r w:rsidRPr="00326E55">
              <w:rPr>
                <w:rFonts w:ascii="Times New Roman" w:hAnsi="Times New Roman"/>
                <w:noProof/>
                <w:spacing w:val="-6"/>
                <w:lang w:val="sk-SK"/>
              </w:rPr>
              <w:t>platforme digitálnych údajov T1</w:t>
            </w:r>
          </w:p>
        </w:tc>
        <w:tc>
          <w:tcPr>
            <w:tcW w:w="1559" w:type="dxa"/>
            <w:shd w:val="clear" w:color="auto" w:fill="C6EFCE"/>
            <w:noWrap/>
            <w:vAlign w:val="center"/>
          </w:tcPr>
          <w:p w14:paraId="78ADBE9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3C74CB7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67ADA2B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shd w:val="clear" w:color="auto" w:fill="C6EFCE"/>
            <w:noWrap/>
            <w:vAlign w:val="center"/>
          </w:tcPr>
          <w:p w14:paraId="0B48193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3 000</w:t>
            </w:r>
          </w:p>
        </w:tc>
        <w:tc>
          <w:tcPr>
            <w:tcW w:w="992" w:type="dxa"/>
            <w:shd w:val="clear" w:color="auto" w:fill="C6EFCE"/>
            <w:noWrap/>
            <w:vAlign w:val="center"/>
          </w:tcPr>
          <w:p w14:paraId="67FBA7B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3C5F2BA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shd w:val="clear" w:color="auto" w:fill="C6EFCE"/>
            <w:noWrap/>
            <w:vAlign w:val="center"/>
          </w:tcPr>
          <w:p w14:paraId="2A1A29F1" w14:textId="07F7D094"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Tento cieľ spočíva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dosiahnutí najmenej 3000 aplikačných programovacích rozhraní (API) vytvorených orgánmi verejnej správy, uverejnených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katalógu API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integrovaných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národnou</w:t>
            </w:r>
            <w:r w:rsidRPr="00326E55">
              <w:rPr>
                <w:rFonts w:ascii="Times New Roman" w:hAnsi="Times New Roman"/>
                <w:noProof/>
                <w:spacing w:val="-6"/>
                <w:lang w:val="sk-SK"/>
              </w:rPr>
              <w:t xml:space="preserve"> platformou digitálnych údajov. Uverejnené API majú vplyv na niekoľko oblastí, ktoré môžu okrem iného zahŕňať:</w:t>
            </w:r>
          </w:p>
          <w:p w14:paraId="48C7C397" w14:textId="2550CE59" w:rsidR="00BF03AA" w:rsidRPr="00326E55" w:rsidRDefault="00FB452D">
            <w:pPr>
              <w:spacing w:after="120"/>
              <w:rPr>
                <w:rFonts w:ascii="Times New Roman" w:hAnsi="Times New Roman" w:cs="Arial"/>
                <w:noProof/>
                <w:color w:val="006100"/>
                <w:spacing w:val="-6"/>
                <w:sz w:val="20"/>
                <w:szCs w:val="20"/>
                <w:lang w:val="sk-SK"/>
              </w:rPr>
            </w:pPr>
            <w:r w:rsidRPr="00326E55">
              <w:rPr>
                <w:rFonts w:ascii="Times New Roman" w:hAnsi="Times New Roman"/>
                <w:noProof/>
                <w:color w:val="006100"/>
                <w:spacing w:val="-6"/>
                <w:sz w:val="20"/>
                <w:szCs w:val="20"/>
                <w:lang w:val="sk-SK"/>
              </w:rPr>
              <w:t>I) Služby sociálneho zabezpečenia</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 xml:space="preserve">sociálneho zabezpečenia, riadenie služieb verejného obstarávania alebo základné vnútroštátne registre </w:t>
            </w:r>
            <w:r w:rsidRPr="00326E55">
              <w:rPr>
                <w:rFonts w:ascii="Times New Roman" w:hAnsi="Times New Roman"/>
                <w:noProof/>
                <w:color w:val="006100"/>
                <w:spacing w:val="-6"/>
                <w:sz w:val="20"/>
                <w:szCs w:val="20"/>
                <w:lang w:val="sk-SK"/>
              </w:rPr>
              <w:t>(napríklad register obyvateľstva</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register licencií na automobily);</w:t>
            </w:r>
          </w:p>
          <w:p w14:paraId="32A744CF" w14:textId="7A0E3C62"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Každá implementácia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dokumentácia API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vnútroštátnymi normami interoperability. Rámec národnej platformy digitálnych údajov poskytuje funkcie na posúdenie tohto súladu</w:t>
            </w:r>
            <w:r w:rsidRPr="00326E55">
              <w:rPr>
                <w:rFonts w:ascii="Times New Roman" w:hAnsi="Times New Roman"/>
                <w:noProof/>
                <w:spacing w:val="-6"/>
                <w:lang w:val="sk-SK"/>
              </w:rPr>
              <w:t>.</w:t>
            </w:r>
          </w:p>
        </w:tc>
      </w:tr>
      <w:tr w:rsidR="00BF03AA" w:rsidRPr="00326E55" w14:paraId="00BAEB66" w14:textId="77777777">
        <w:trPr>
          <w:trHeight w:val="309"/>
        </w:trPr>
        <w:tc>
          <w:tcPr>
            <w:tcW w:w="1135" w:type="dxa"/>
            <w:shd w:val="clear" w:color="auto" w:fill="C6EFCE"/>
            <w:noWrap/>
            <w:vAlign w:val="center"/>
          </w:tcPr>
          <w:p w14:paraId="7902F66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19</w:t>
            </w:r>
          </w:p>
        </w:tc>
        <w:tc>
          <w:tcPr>
            <w:tcW w:w="1417" w:type="dxa"/>
            <w:shd w:val="clear" w:color="auto" w:fill="C6EFCE"/>
            <w:noWrap/>
            <w:vAlign w:val="center"/>
          </w:tcPr>
          <w:p w14:paraId="01B5013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1.5: Kybernetická bezpečnosť</w:t>
            </w:r>
          </w:p>
        </w:tc>
        <w:tc>
          <w:tcPr>
            <w:tcW w:w="992" w:type="dxa"/>
            <w:shd w:val="clear" w:color="auto" w:fill="C6EFCE"/>
            <w:noWrap/>
            <w:vAlign w:val="center"/>
          </w:tcPr>
          <w:p w14:paraId="17FBEB8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36885AE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Podpora modernizácie bezpečnostných štruktúr T2</w:t>
            </w:r>
          </w:p>
        </w:tc>
        <w:tc>
          <w:tcPr>
            <w:tcW w:w="1559" w:type="dxa"/>
            <w:shd w:val="clear" w:color="auto" w:fill="C6EFCE"/>
            <w:noWrap/>
            <w:vAlign w:val="center"/>
          </w:tcPr>
          <w:p w14:paraId="28139F1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3CA188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4B1BEC9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5</w:t>
            </w:r>
          </w:p>
        </w:tc>
        <w:tc>
          <w:tcPr>
            <w:tcW w:w="1418" w:type="dxa"/>
            <w:shd w:val="clear" w:color="auto" w:fill="C6EFCE"/>
            <w:noWrap/>
            <w:vAlign w:val="center"/>
          </w:tcPr>
          <w:p w14:paraId="094FB51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50</w:t>
            </w:r>
          </w:p>
        </w:tc>
        <w:tc>
          <w:tcPr>
            <w:tcW w:w="992" w:type="dxa"/>
            <w:shd w:val="clear" w:color="auto" w:fill="C6EFCE"/>
            <w:noWrap/>
            <w:vAlign w:val="center"/>
          </w:tcPr>
          <w:p w14:paraId="51E23C1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6F2751C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shd w:val="clear" w:color="auto" w:fill="C6EFCE"/>
            <w:noWrap/>
            <w:vAlign w:val="center"/>
          </w:tcPr>
          <w:p w14:paraId="52795E4A" w14:textId="08FB2C34"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Najmenej 50 opatrení na posilnenie dokončených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sektoroch Národného bezpečnostného rámca pre kybernetickú </w:t>
            </w:r>
            <w:r w:rsidRPr="00326E55">
              <w:rPr>
                <w:rFonts w:ascii="Times New Roman" w:hAnsi="Times New Roman"/>
                <w:noProof/>
                <w:spacing w:val="-6"/>
                <w:lang w:val="sk-SK"/>
              </w:rPr>
              <w:t>bezpečnosť (PSNC)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sieťových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informačných systémov (NIS).</w:t>
            </w:r>
          </w:p>
          <w:p w14:paraId="152327CF" w14:textId="16F92634"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Typy intervencií zahŕňajú napríklad bezpečnostné operačné centrá (SOC), zlepšenia ochrany kybernetických hraníc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kapacity vnútorného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kontroly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požiadavkami NIS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PSNC. </w:t>
            </w:r>
            <w:r w:rsidRPr="00326E55">
              <w:rPr>
                <w:rFonts w:ascii="Times New Roman" w:hAnsi="Times New Roman"/>
                <w:noProof/>
                <w:spacing w:val="-6"/>
                <w:lang w:val="sk-SK"/>
              </w:rPr>
              <w:t>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sektoroch sieťovej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informačnej bezpečnosti sa osobitne zameriavajú na sektory zdravotnej starostlivosti, energetiky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životného prostredia (zásobovanie pitnou vodou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p>
        </w:tc>
      </w:tr>
      <w:tr w:rsidR="00BF03AA" w:rsidRPr="00326E55" w14:paraId="3A22A535" w14:textId="77777777">
        <w:trPr>
          <w:trHeight w:val="309"/>
        </w:trPr>
        <w:tc>
          <w:tcPr>
            <w:tcW w:w="1135" w:type="dxa"/>
            <w:shd w:val="clear" w:color="auto" w:fill="C6EFCE"/>
            <w:noWrap/>
            <w:vAlign w:val="center"/>
          </w:tcPr>
          <w:p w14:paraId="1DE5483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20</w:t>
            </w:r>
          </w:p>
        </w:tc>
        <w:tc>
          <w:tcPr>
            <w:tcW w:w="1417" w:type="dxa"/>
            <w:shd w:val="clear" w:color="auto" w:fill="C6EFCE"/>
            <w:noWrap/>
            <w:vAlign w:val="center"/>
          </w:tcPr>
          <w:p w14:paraId="000FA37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1.5: Kybernetická bezpečnosť</w:t>
            </w:r>
          </w:p>
        </w:tc>
        <w:tc>
          <w:tcPr>
            <w:tcW w:w="992" w:type="dxa"/>
            <w:shd w:val="clear" w:color="auto" w:fill="C6EFCE"/>
            <w:noWrap/>
            <w:vAlign w:val="center"/>
          </w:tcPr>
          <w:p w14:paraId="72FE265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1B12AD1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Úplné zavedenie vnútroštátnych služieb kybernetickej bezpečnosti</w:t>
            </w:r>
          </w:p>
        </w:tc>
        <w:tc>
          <w:tcPr>
            <w:tcW w:w="1559" w:type="dxa"/>
            <w:shd w:val="clear" w:color="auto" w:fill="C6EFCE"/>
            <w:noWrap/>
            <w:vAlign w:val="center"/>
          </w:tcPr>
          <w:p w14:paraId="36873F6C"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Správa preukazujúca úplnú aktiváciu vnútroštátnych služieb kybernetickej bezpečnosti</w:t>
            </w:r>
          </w:p>
        </w:tc>
        <w:tc>
          <w:tcPr>
            <w:tcW w:w="1276" w:type="dxa"/>
            <w:shd w:val="clear" w:color="auto" w:fill="C6EFCE"/>
            <w:noWrap/>
            <w:vAlign w:val="center"/>
          </w:tcPr>
          <w:p w14:paraId="7D98D39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6AF970D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7E6BAC9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03CA1D9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7BDEDF6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shd w:val="clear" w:color="auto" w:fill="C6EFCE"/>
            <w:noWrap/>
            <w:vAlign w:val="center"/>
          </w:tcPr>
          <w:p w14:paraId="302C9A27" w14:textId="49B07265"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Tento míľnik sa dokončí aktiváciou územných </w:t>
            </w:r>
            <w:r w:rsidRPr="00326E55">
              <w:rPr>
                <w:rFonts w:ascii="Times New Roman" w:hAnsi="Times New Roman"/>
                <w:noProof/>
                <w:spacing w:val="-6"/>
                <w:lang w:val="sk-SK"/>
              </w:rPr>
              <w:t>tímov reakcie na núdzové počítačové situácie (CERT), ktoré sú prepojené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talianskou jednotkou pre riešenie počítačových bezpečnostných incidentov (CSIRT), aktiváciou Centra pre výmenu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analýzu informácií (ISAC), integráciou najmenej piatich bezpečnostnýc</w:t>
            </w:r>
            <w:r w:rsidRPr="00326E55">
              <w:rPr>
                <w:rFonts w:ascii="Times New Roman" w:hAnsi="Times New Roman"/>
                <w:noProof/>
                <w:spacing w:val="-6"/>
                <w:lang w:val="sk-SK"/>
              </w:rPr>
              <w:t>h operačných centier (SOC)</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národným HyperSOC, plnou prevádzkou služieb riadenia kybernetickobezpečnostných rizík vrátane služieb analýzy dodávateľského reťazca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služieb poistenia kybernetických rizík.</w:t>
            </w:r>
          </w:p>
        </w:tc>
      </w:tr>
      <w:tr w:rsidR="00BF03AA" w:rsidRPr="00326E55" w14:paraId="7C17F838" w14:textId="77777777">
        <w:trPr>
          <w:trHeight w:val="309"/>
        </w:trPr>
        <w:tc>
          <w:tcPr>
            <w:tcW w:w="1135" w:type="dxa"/>
            <w:shd w:val="clear" w:color="auto" w:fill="C6EFCE"/>
            <w:noWrap/>
            <w:vAlign w:val="center"/>
          </w:tcPr>
          <w:p w14:paraId="5E28B05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21</w:t>
            </w:r>
          </w:p>
        </w:tc>
        <w:tc>
          <w:tcPr>
            <w:tcW w:w="1417" w:type="dxa"/>
            <w:shd w:val="clear" w:color="auto" w:fill="C6EFCE"/>
            <w:noWrap/>
            <w:vAlign w:val="center"/>
          </w:tcPr>
          <w:p w14:paraId="5A016AB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1.5: Kybernetická bezpečnosť</w:t>
            </w:r>
          </w:p>
        </w:tc>
        <w:tc>
          <w:tcPr>
            <w:tcW w:w="992" w:type="dxa"/>
            <w:shd w:val="clear" w:color="auto" w:fill="C6EFCE"/>
            <w:noWrap/>
            <w:vAlign w:val="center"/>
          </w:tcPr>
          <w:p w14:paraId="036702E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21E6783D" w14:textId="49EB7B21"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Dokončenie siete laboratórií na preverovanie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certifikáciu kybernetickej bezpečnosti, hodnotiace centrá</w:t>
            </w:r>
          </w:p>
        </w:tc>
        <w:tc>
          <w:tcPr>
            <w:tcW w:w="1559" w:type="dxa"/>
            <w:shd w:val="clear" w:color="auto" w:fill="C6EFCE"/>
            <w:noWrap/>
            <w:vAlign w:val="center"/>
          </w:tcPr>
          <w:p w14:paraId="219F715D" w14:textId="3DBCE596"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Poskytnuté správy, ktorými sa preukazuje úplná aktivácia najmenej 10 laboratórií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dvoch hodnotiacich centier (CV)</w:t>
            </w:r>
          </w:p>
        </w:tc>
        <w:tc>
          <w:tcPr>
            <w:tcW w:w="1276" w:type="dxa"/>
            <w:shd w:val="clear" w:color="auto" w:fill="C6EFCE"/>
            <w:noWrap/>
            <w:vAlign w:val="center"/>
          </w:tcPr>
          <w:p w14:paraId="7CCCAEE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535F0E5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00B5F67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5FBC614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58EC05C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shd w:val="clear" w:color="auto" w:fill="C6EFCE"/>
            <w:noWrap/>
            <w:vAlign w:val="center"/>
          </w:tcPr>
          <w:p w14:paraId="71A5AE2D" w14:textId="1922A11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Aktivácia najmenej 10 skríningových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certifikačných laboratórií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dvoch hodnotiacich stredísk (CV).</w:t>
            </w:r>
          </w:p>
        </w:tc>
      </w:tr>
      <w:tr w:rsidR="00BF03AA" w:rsidRPr="00326E55" w14:paraId="4AEA97CB" w14:textId="77777777">
        <w:trPr>
          <w:trHeight w:val="309"/>
        </w:trPr>
        <w:tc>
          <w:tcPr>
            <w:tcW w:w="1135" w:type="dxa"/>
            <w:shd w:val="clear" w:color="auto" w:fill="C6EFCE"/>
            <w:noWrap/>
            <w:vAlign w:val="center"/>
          </w:tcPr>
          <w:p w14:paraId="3E9A708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22</w:t>
            </w:r>
          </w:p>
        </w:tc>
        <w:tc>
          <w:tcPr>
            <w:tcW w:w="1417" w:type="dxa"/>
            <w:shd w:val="clear" w:color="auto" w:fill="C6EFCE"/>
            <w:noWrap/>
            <w:vAlign w:val="center"/>
          </w:tcPr>
          <w:p w14:paraId="45DCED4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1.5: Kybernetická bezpečnosť</w:t>
            </w:r>
          </w:p>
        </w:tc>
        <w:tc>
          <w:tcPr>
            <w:tcW w:w="992" w:type="dxa"/>
            <w:shd w:val="clear" w:color="auto" w:fill="C6EFCE"/>
            <w:noWrap/>
            <w:vAlign w:val="center"/>
          </w:tcPr>
          <w:p w14:paraId="4788642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567753C8" w14:textId="55EB4CD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Úplná prevádzka Centrálnej audítorskej jednotky pre bezpečnostné opatrenia </w:t>
            </w:r>
            <w:r w:rsidRPr="00326E55">
              <w:rPr>
                <w:rFonts w:ascii="Times New Roman" w:hAnsi="Times New Roman"/>
                <w:noProof/>
                <w:spacing w:val="-6"/>
                <w:lang w:val="sk-SK"/>
              </w:rPr>
              <w:t>PSNC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NIS</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ukončením najmenej 30 inšpekcií</w:t>
            </w:r>
          </w:p>
        </w:tc>
        <w:tc>
          <w:tcPr>
            <w:tcW w:w="1559" w:type="dxa"/>
            <w:shd w:val="clear" w:color="auto" w:fill="C6EFCE"/>
            <w:noWrap/>
            <w:vAlign w:val="center"/>
          </w:tcPr>
          <w:p w14:paraId="3AD6062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Poskytnuté správy, inšpekčné správy</w:t>
            </w:r>
          </w:p>
        </w:tc>
        <w:tc>
          <w:tcPr>
            <w:tcW w:w="1276" w:type="dxa"/>
            <w:shd w:val="clear" w:color="auto" w:fill="C6EFCE"/>
            <w:noWrap/>
            <w:vAlign w:val="center"/>
          </w:tcPr>
          <w:p w14:paraId="3FB718F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6E451C1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6C54455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77F545D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17843EB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shd w:val="clear" w:color="auto" w:fill="C6EFCE"/>
            <w:noWrap/>
            <w:vAlign w:val="center"/>
          </w:tcPr>
          <w:p w14:paraId="4766B996" w14:textId="3E979ECE"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Úplná prevádzka centrálnej audítorskej jednotky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ukončením najmenej 30 inšpekcií.</w:t>
            </w:r>
          </w:p>
        </w:tc>
      </w:tr>
      <w:tr w:rsidR="00BF03AA" w:rsidRPr="00326E55" w14:paraId="45292BA0" w14:textId="77777777">
        <w:trPr>
          <w:trHeight w:val="309"/>
        </w:trPr>
        <w:tc>
          <w:tcPr>
            <w:tcW w:w="1135" w:type="dxa"/>
            <w:shd w:val="clear" w:color="auto" w:fill="C6EFCE"/>
            <w:noWrap/>
            <w:vAlign w:val="center"/>
          </w:tcPr>
          <w:p w14:paraId="24CE1A98" w14:textId="77777777" w:rsidR="00BF03AA" w:rsidRPr="00326E55" w:rsidRDefault="00FB452D">
            <w:pPr>
              <w:pStyle w:val="P68B1DB1-Normal12"/>
              <w:jc w:val="center"/>
              <w:rPr>
                <w:rFonts w:ascii="Times New Roman" w:hAnsi="Times New Roman" w:cs="Arial"/>
                <w:noProof/>
                <w:spacing w:val="-6"/>
                <w:highlight w:val="yellow"/>
                <w:lang w:val="sk-SK"/>
              </w:rPr>
            </w:pPr>
            <w:r w:rsidRPr="00326E55">
              <w:rPr>
                <w:rFonts w:ascii="Times New Roman" w:hAnsi="Times New Roman"/>
                <w:noProof/>
                <w:spacing w:val="-6"/>
                <w:lang w:val="sk-SK"/>
              </w:rPr>
              <w:t>M1C1 – 23</w:t>
            </w:r>
          </w:p>
        </w:tc>
        <w:tc>
          <w:tcPr>
            <w:tcW w:w="1417" w:type="dxa"/>
            <w:shd w:val="clear" w:color="auto" w:fill="C6EFCE"/>
            <w:noWrap/>
            <w:vAlign w:val="center"/>
          </w:tcPr>
          <w:p w14:paraId="11DEF68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1.4.6: Mobilita ako</w:t>
            </w:r>
            <w:r w:rsidRPr="00326E55">
              <w:rPr>
                <w:rFonts w:ascii="Times New Roman" w:hAnsi="Times New Roman"/>
                <w:noProof/>
                <w:spacing w:val="-6"/>
                <w:lang w:val="sk-SK"/>
              </w:rPr>
              <w:t xml:space="preserve"> služba pre Taliansko</w:t>
            </w:r>
          </w:p>
        </w:tc>
        <w:tc>
          <w:tcPr>
            <w:tcW w:w="992" w:type="dxa"/>
            <w:shd w:val="clear" w:color="auto" w:fill="C6EFCE"/>
            <w:noWrap/>
            <w:vAlign w:val="center"/>
          </w:tcPr>
          <w:p w14:paraId="31A3C96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7371FE4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Mobilita ako servisné riešenia M2</w:t>
            </w:r>
          </w:p>
        </w:tc>
        <w:tc>
          <w:tcPr>
            <w:tcW w:w="1559" w:type="dxa"/>
            <w:shd w:val="clear" w:color="auto" w:fill="C6EFCE"/>
            <w:noWrap/>
            <w:vAlign w:val="center"/>
          </w:tcPr>
          <w:p w14:paraId="7735F5A3" w14:textId="353DE87B"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Mobilita ako pilotné projekty služieb </w:t>
            </w:r>
          </w:p>
        </w:tc>
        <w:tc>
          <w:tcPr>
            <w:tcW w:w="1276" w:type="dxa"/>
            <w:shd w:val="clear" w:color="auto" w:fill="C6EFCE"/>
            <w:noWrap/>
            <w:vAlign w:val="center"/>
          </w:tcPr>
          <w:p w14:paraId="6C1D5F6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3DE2EA7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454A63B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51DF9CE6"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DRUHÝ ŠTVRŤROK</w:t>
            </w:r>
          </w:p>
        </w:tc>
        <w:tc>
          <w:tcPr>
            <w:tcW w:w="852" w:type="dxa"/>
            <w:shd w:val="clear" w:color="auto" w:fill="C6EFCE"/>
            <w:noWrap/>
            <w:vAlign w:val="center"/>
          </w:tcPr>
          <w:p w14:paraId="0A92F95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shd w:val="clear" w:color="auto" w:fill="C6EFCE"/>
            <w:noWrap/>
            <w:vAlign w:val="center"/>
          </w:tcPr>
          <w:p w14:paraId="4374A459" w14:textId="75F03389"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Sedem pilotných projektov,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 najmenej tri na juhu, testuje mobilitu ako riešenia služby (MaaS).</w:t>
            </w:r>
          </w:p>
          <w:p w14:paraId="6CD1BC14" w14:textId="14F38F9F"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Mobilita ako služba poskytuje používateľom prostredníctvom jednotnej technologickej platformy najlepšie možnosti cestovania na základe ich potrieb,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to integráciou rôznych možností mobility (napríklad verejná doprava, spoločné využívanie služieb, taxíky, </w:t>
            </w:r>
            <w:r w:rsidRPr="00326E55">
              <w:rPr>
                <w:rFonts w:ascii="Times New Roman" w:hAnsi="Times New Roman"/>
                <w:noProof/>
                <w:spacing w:val="-6"/>
                <w:lang w:val="sk-SK"/>
              </w:rPr>
              <w:t>prenájom automobilov)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optimalizáciou plánovania ciest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celkových skúseností používateľov.</w:t>
            </w:r>
          </w:p>
        </w:tc>
      </w:tr>
      <w:tr w:rsidR="00BF03AA" w:rsidRPr="00326E55" w14:paraId="7C63440E" w14:textId="77777777">
        <w:trPr>
          <w:trHeight w:val="309"/>
        </w:trPr>
        <w:tc>
          <w:tcPr>
            <w:tcW w:w="1135" w:type="dxa"/>
            <w:shd w:val="clear" w:color="auto" w:fill="C6EFCE"/>
            <w:noWrap/>
            <w:vAlign w:val="center"/>
          </w:tcPr>
          <w:p w14:paraId="577B636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24</w:t>
            </w:r>
          </w:p>
        </w:tc>
        <w:tc>
          <w:tcPr>
            <w:tcW w:w="1417" w:type="dxa"/>
            <w:shd w:val="clear" w:color="auto" w:fill="C6EFCE"/>
            <w:noWrap/>
            <w:vAlign w:val="center"/>
          </w:tcPr>
          <w:p w14:paraId="33A05A4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1.7.1: Digitálna verejná služba</w:t>
            </w:r>
          </w:p>
        </w:tc>
        <w:tc>
          <w:tcPr>
            <w:tcW w:w="992" w:type="dxa"/>
            <w:shd w:val="clear" w:color="auto" w:fill="C6EFCE"/>
            <w:noWrap/>
            <w:vAlign w:val="center"/>
          </w:tcPr>
          <w:p w14:paraId="29B5228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24FB4840"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Dobrovoľníci absolvovali odbornú prípravu</w:t>
            </w:r>
          </w:p>
        </w:tc>
        <w:tc>
          <w:tcPr>
            <w:tcW w:w="1559" w:type="dxa"/>
            <w:shd w:val="clear" w:color="auto" w:fill="C6EFCE"/>
            <w:noWrap/>
            <w:vAlign w:val="center"/>
          </w:tcPr>
          <w:p w14:paraId="570F8E9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0ADE6B2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11C0D23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shd w:val="clear" w:color="auto" w:fill="C6EFCE"/>
            <w:noWrap/>
            <w:vAlign w:val="center"/>
          </w:tcPr>
          <w:p w14:paraId="2D4E54AA"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8 300</w:t>
            </w:r>
          </w:p>
        </w:tc>
        <w:tc>
          <w:tcPr>
            <w:tcW w:w="992" w:type="dxa"/>
            <w:shd w:val="clear" w:color="auto" w:fill="C6EFCE"/>
            <w:noWrap/>
            <w:vAlign w:val="center"/>
          </w:tcPr>
          <w:p w14:paraId="3112C3D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37EEFC6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shd w:val="clear" w:color="auto" w:fill="C6EFCE"/>
            <w:noWrap/>
            <w:vAlign w:val="center"/>
          </w:tcPr>
          <w:p w14:paraId="665595DE" w14:textId="6F61A142"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 xml:space="preserve">Oddelenie pre </w:t>
            </w:r>
            <w:r w:rsidRPr="00326E55">
              <w:rPr>
                <w:rFonts w:ascii="Times New Roman" w:hAnsi="Times New Roman"/>
                <w:noProof/>
                <w:spacing w:val="-6"/>
                <w:lang w:val="sk-SK"/>
              </w:rPr>
              <w:t>digitálnu transformáciu vyškolilo najmenej 8300 dobrovoľníkov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digitálnych kompetencií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poskytovať digitálne vzdelávanie ľuďom, ktorým hrozí digitálne vylúčenie,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organizácií zaregistrovaných vo vnútroštátnom registri organizácií un</w:t>
            </w:r>
            <w:r w:rsidRPr="00326E55">
              <w:rPr>
                <w:rFonts w:ascii="Times New Roman" w:hAnsi="Times New Roman"/>
                <w:noProof/>
                <w:spacing w:val="-6"/>
                <w:lang w:val="sk-SK"/>
              </w:rPr>
              <w:t xml:space="preserve">iverzálnej verejnej služby. </w:t>
            </w:r>
          </w:p>
        </w:tc>
      </w:tr>
      <w:tr w:rsidR="00BF03AA" w:rsidRPr="00326E55" w14:paraId="649B1C7A" w14:textId="77777777">
        <w:trPr>
          <w:trHeight w:val="309"/>
        </w:trPr>
        <w:tc>
          <w:tcPr>
            <w:tcW w:w="1135" w:type="dxa"/>
            <w:shd w:val="clear" w:color="auto" w:fill="C6EFCE"/>
            <w:noWrap/>
            <w:vAlign w:val="center"/>
          </w:tcPr>
          <w:p w14:paraId="0736C83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25</w:t>
            </w:r>
          </w:p>
        </w:tc>
        <w:tc>
          <w:tcPr>
            <w:tcW w:w="1417" w:type="dxa"/>
            <w:shd w:val="clear" w:color="auto" w:fill="C6EFCE"/>
            <w:noWrap/>
            <w:vAlign w:val="center"/>
          </w:tcPr>
          <w:p w14:paraId="5BAAEA6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1.6.6: Digitalizácia finančnej polície</w:t>
            </w:r>
          </w:p>
        </w:tc>
        <w:tc>
          <w:tcPr>
            <w:tcW w:w="992" w:type="dxa"/>
            <w:shd w:val="clear" w:color="auto" w:fill="C6EFCE"/>
            <w:noWrap/>
            <w:vAlign w:val="center"/>
          </w:tcPr>
          <w:p w14:paraId="46F01D4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shd w:val="clear" w:color="auto" w:fill="C6EFCE"/>
            <w:noWrap/>
            <w:vAlign w:val="center"/>
          </w:tcPr>
          <w:p w14:paraId="04A02A27"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Rozvíjať informačné systémy používané na boj proti hospodárskej trestnej činnosti</w:t>
            </w:r>
          </w:p>
        </w:tc>
        <w:tc>
          <w:tcPr>
            <w:tcW w:w="1559" w:type="dxa"/>
            <w:shd w:val="clear" w:color="auto" w:fill="C6EFCE"/>
            <w:noWrap/>
            <w:vAlign w:val="center"/>
          </w:tcPr>
          <w:p w14:paraId="0F7DC93A" w14:textId="00FBD972"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IT systémy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novými funkciami</w:t>
            </w:r>
          </w:p>
        </w:tc>
        <w:tc>
          <w:tcPr>
            <w:tcW w:w="1276" w:type="dxa"/>
            <w:shd w:val="clear" w:color="auto" w:fill="C6EFCE"/>
            <w:noWrap/>
            <w:vAlign w:val="center"/>
          </w:tcPr>
          <w:p w14:paraId="679D6C3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1D4E6CE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shd w:val="clear" w:color="auto" w:fill="C6EFCE"/>
            <w:noWrap/>
            <w:vAlign w:val="center"/>
          </w:tcPr>
          <w:p w14:paraId="64B3ABD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tcPr>
          <w:p w14:paraId="5BD4F2A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shd w:val="clear" w:color="auto" w:fill="C6EFCE"/>
            <w:noWrap/>
            <w:vAlign w:val="center"/>
          </w:tcPr>
          <w:p w14:paraId="136D174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shd w:val="clear" w:color="auto" w:fill="C6EFCE"/>
            <w:noWrap/>
            <w:vAlign w:val="center"/>
          </w:tcPr>
          <w:p w14:paraId="5B22E43F" w14:textId="77777777"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Uvoľnenie nových funkcií informačných systémov používaných na boj proti hospodárskej trestnej činnosti.</w:t>
            </w:r>
          </w:p>
        </w:tc>
      </w:tr>
      <w:tr w:rsidR="00BF03AA" w:rsidRPr="00326E55" w14:paraId="04472B31" w14:textId="77777777">
        <w:trPr>
          <w:trHeight w:val="309"/>
        </w:trPr>
        <w:tc>
          <w:tcPr>
            <w:tcW w:w="1135" w:type="dxa"/>
            <w:shd w:val="clear" w:color="auto" w:fill="C6EFCE"/>
            <w:noWrap/>
            <w:vAlign w:val="center"/>
            <w:hideMark/>
          </w:tcPr>
          <w:p w14:paraId="2DA05B2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26</w:t>
            </w:r>
          </w:p>
        </w:tc>
        <w:tc>
          <w:tcPr>
            <w:tcW w:w="1417" w:type="dxa"/>
            <w:shd w:val="clear" w:color="auto" w:fill="C6EFCE"/>
            <w:noWrap/>
            <w:vAlign w:val="center"/>
            <w:hideMark/>
          </w:tcPr>
          <w:p w14:paraId="7BD4963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1.1: Digitálna infraštruktúra</w:t>
            </w:r>
          </w:p>
        </w:tc>
        <w:tc>
          <w:tcPr>
            <w:tcW w:w="992" w:type="dxa"/>
            <w:shd w:val="clear" w:color="auto" w:fill="C6EFCE"/>
            <w:noWrap/>
            <w:vAlign w:val="center"/>
            <w:hideMark/>
          </w:tcPr>
          <w:p w14:paraId="2592BF2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hideMark/>
          </w:tcPr>
          <w:p w14:paraId="09BBFDA2"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Migrácia do Polo Strategico Nazionale alebo do bezpečného, certifikovaného verejného </w:t>
            </w:r>
            <w:r w:rsidRPr="00326E55">
              <w:rPr>
                <w:rFonts w:ascii="Times New Roman" w:hAnsi="Times New Roman"/>
                <w:noProof/>
                <w:spacing w:val="-6"/>
                <w:lang w:val="sk-SK"/>
              </w:rPr>
              <w:t>cloudového prostredia</w:t>
            </w:r>
          </w:p>
        </w:tc>
        <w:tc>
          <w:tcPr>
            <w:tcW w:w="1559" w:type="dxa"/>
            <w:shd w:val="clear" w:color="auto" w:fill="C6EFCE"/>
            <w:noWrap/>
            <w:vAlign w:val="center"/>
            <w:hideMark/>
          </w:tcPr>
          <w:p w14:paraId="0BFDE7C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hideMark/>
          </w:tcPr>
          <w:p w14:paraId="26B0778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hideMark/>
          </w:tcPr>
          <w:p w14:paraId="5AE7756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shd w:val="clear" w:color="auto" w:fill="C6EFCE"/>
            <w:noWrap/>
            <w:vAlign w:val="center"/>
            <w:hideMark/>
          </w:tcPr>
          <w:p w14:paraId="7C8EC83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280</w:t>
            </w:r>
          </w:p>
        </w:tc>
        <w:tc>
          <w:tcPr>
            <w:tcW w:w="992" w:type="dxa"/>
            <w:shd w:val="clear" w:color="auto" w:fill="C6EFCE"/>
            <w:noWrap/>
            <w:vAlign w:val="center"/>
            <w:hideMark/>
          </w:tcPr>
          <w:p w14:paraId="0CA3550D"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DRUHÝ ŠTVRŤROK</w:t>
            </w:r>
          </w:p>
        </w:tc>
        <w:tc>
          <w:tcPr>
            <w:tcW w:w="852" w:type="dxa"/>
            <w:shd w:val="clear" w:color="auto" w:fill="C6EFCE"/>
            <w:noWrap/>
            <w:vAlign w:val="center"/>
            <w:hideMark/>
          </w:tcPr>
          <w:p w14:paraId="71028566"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2026</w:t>
            </w:r>
          </w:p>
        </w:tc>
        <w:tc>
          <w:tcPr>
            <w:tcW w:w="3259" w:type="dxa"/>
            <w:shd w:val="clear" w:color="auto" w:fill="C6EFCE"/>
            <w:noWrap/>
            <w:vAlign w:val="center"/>
            <w:hideMark/>
          </w:tcPr>
          <w:p w14:paraId="08C4844F" w14:textId="5A4CCFA6" w:rsidR="00BF03AA" w:rsidRPr="00326E55" w:rsidRDefault="00FB452D">
            <w:pPr>
              <w:pStyle w:val="P68B1DB1-Normal16"/>
              <w:spacing w:after="120"/>
              <w:rPr>
                <w:rFonts w:ascii="Times New Roman" w:hAnsi="Times New Roman" w:cs="Arial"/>
                <w:noProof/>
                <w:color w:val="006100"/>
                <w:spacing w:val="-6"/>
                <w:lang w:val="sk-SK"/>
              </w:rPr>
            </w:pPr>
            <w:r w:rsidRPr="00326E55">
              <w:rPr>
                <w:rFonts w:ascii="Times New Roman" w:hAnsi="Times New Roman"/>
                <w:noProof/>
                <w:color w:val="006100"/>
                <w:spacing w:val="-6"/>
                <w:lang w:val="sk-SK"/>
              </w:rPr>
              <w:t>Najmenej 280 ústredných orgánov verejnej správy</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miestnych orgánov zdravotnej starostlivosti (Aziende Sanitarie Locali/Aziende Ospedaliere) prešlo na „Polo Strategico Nazionale“ (PSN) alebo</w:t>
            </w:r>
            <w:r w:rsidRPr="00326E55">
              <w:rPr>
                <w:rFonts w:ascii="Times New Roman" w:hAnsi="Times New Roman"/>
                <w:noProof/>
                <w:color w:val="006100"/>
                <w:spacing w:val="-6"/>
                <w:lang w:val="sk-SK"/>
              </w:rPr>
              <w:t xml:space="preserve"> do bezpečného, certifikovaného verejného cloudového prostredia  podľa plánu migrácie schváleného ministerstvom digitálnej transformácie.</w:t>
            </w:r>
          </w:p>
          <w:p w14:paraId="76146DB0" w14:textId="7ACA412E"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Migráciu možno vykonať rôznymi spôsobmi podľa najnovšieho vývoja IT architektúry softvéru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prevádzkových priestoroch,</w:t>
            </w:r>
            <w:r w:rsidRPr="00326E55">
              <w:rPr>
                <w:rFonts w:ascii="Times New Roman" w:hAnsi="Times New Roman"/>
                <w:noProof/>
                <w:spacing w:val="-6"/>
                <w:lang w:val="sk-SK"/>
              </w:rPr>
              <w:t xml:space="preserve"> ktorú vlastní každá migrujúca verejná správa.</w:t>
            </w:r>
          </w:p>
          <w:p w14:paraId="08C0F27A" w14:textId="579FCAFB"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Tieto stratégie sa môžu líšiť od čistej migrácie hostingu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zdvihu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posunu softvéru, ktorý nie je pripravený na cloud, až po migráciu do infraštruktúry ako služby (IaaS), platformy ako služby (PaaS) alebo sof</w:t>
            </w:r>
            <w:r w:rsidRPr="00326E55">
              <w:rPr>
                <w:rFonts w:ascii="Times New Roman" w:hAnsi="Times New Roman"/>
                <w:noProof/>
                <w:spacing w:val="-6"/>
                <w:lang w:val="sk-SK"/>
              </w:rPr>
              <w:t>tvéru ako služby (SaaS) pre softvér pripravený na cloud.</w:t>
            </w:r>
          </w:p>
          <w:p w14:paraId="6D22D768" w14:textId="349EBB24"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Najmenej 40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migrujúcich služieb sa realizuje prostredníctvom riešení IaaS, PaaS alebo SaaS.</w:t>
            </w:r>
          </w:p>
          <w:p w14:paraId="6CAEAD9C" w14:textId="7777777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Sieť PSN alebo alternatívny certifikovaný verejný poskytovateľ cloudu ponúkne každej migračnej verejnej </w:t>
            </w:r>
            <w:r w:rsidRPr="00326E55">
              <w:rPr>
                <w:rFonts w:ascii="Times New Roman" w:hAnsi="Times New Roman"/>
                <w:noProof/>
                <w:spacing w:val="-6"/>
                <w:lang w:val="sk-SK"/>
              </w:rPr>
              <w:t>správe všetky migračné stratégie, ktoré sú oprávnené zohľadniť dosiahnutý cieľ.</w:t>
            </w:r>
          </w:p>
        </w:tc>
      </w:tr>
      <w:tr w:rsidR="00BF03AA" w:rsidRPr="00326E55" w14:paraId="4731F318" w14:textId="77777777">
        <w:trPr>
          <w:trHeight w:val="309"/>
        </w:trPr>
        <w:tc>
          <w:tcPr>
            <w:tcW w:w="1135" w:type="dxa"/>
            <w:shd w:val="clear" w:color="auto" w:fill="C6EFCE"/>
            <w:noWrap/>
            <w:vAlign w:val="center"/>
          </w:tcPr>
          <w:p w14:paraId="3950B17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27</w:t>
            </w:r>
          </w:p>
        </w:tc>
        <w:tc>
          <w:tcPr>
            <w:tcW w:w="1417" w:type="dxa"/>
            <w:shd w:val="clear" w:color="auto" w:fill="C6EFCE"/>
            <w:noWrap/>
            <w:vAlign w:val="center"/>
          </w:tcPr>
          <w:p w14:paraId="67B52B0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1.3.1: Vnútroštátna platforma digitálnych údajov</w:t>
            </w:r>
          </w:p>
        </w:tc>
        <w:tc>
          <w:tcPr>
            <w:tcW w:w="992" w:type="dxa"/>
            <w:shd w:val="clear" w:color="auto" w:fill="C6EFCE"/>
            <w:noWrap/>
            <w:vAlign w:val="center"/>
          </w:tcPr>
          <w:p w14:paraId="2C415F2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62EB1A7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API na národnej platforme digitálnych údajov T2</w:t>
            </w:r>
          </w:p>
        </w:tc>
        <w:tc>
          <w:tcPr>
            <w:tcW w:w="1559" w:type="dxa"/>
            <w:shd w:val="clear" w:color="auto" w:fill="C6EFCE"/>
            <w:noWrap/>
            <w:vAlign w:val="center"/>
          </w:tcPr>
          <w:p w14:paraId="7062A71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3B0D3C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01B8682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3 000</w:t>
            </w:r>
          </w:p>
        </w:tc>
        <w:tc>
          <w:tcPr>
            <w:tcW w:w="1418" w:type="dxa"/>
            <w:shd w:val="clear" w:color="auto" w:fill="C6EFCE"/>
            <w:noWrap/>
            <w:vAlign w:val="center"/>
          </w:tcPr>
          <w:p w14:paraId="1A80A69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7 000</w:t>
            </w:r>
          </w:p>
        </w:tc>
        <w:tc>
          <w:tcPr>
            <w:tcW w:w="992" w:type="dxa"/>
            <w:shd w:val="clear" w:color="auto" w:fill="C6EFCE"/>
            <w:noWrap/>
            <w:vAlign w:val="center"/>
          </w:tcPr>
          <w:p w14:paraId="5483C373"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ŠTVRTÝ ŠTVRŤROK</w:t>
            </w:r>
          </w:p>
        </w:tc>
        <w:tc>
          <w:tcPr>
            <w:tcW w:w="852" w:type="dxa"/>
            <w:shd w:val="clear" w:color="auto" w:fill="C6EFCE"/>
            <w:noWrap/>
            <w:vAlign w:val="center"/>
          </w:tcPr>
          <w:p w14:paraId="5DEE0664"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2025</w:t>
            </w:r>
          </w:p>
        </w:tc>
        <w:tc>
          <w:tcPr>
            <w:tcW w:w="3259" w:type="dxa"/>
            <w:shd w:val="clear" w:color="auto" w:fill="C6EFCE"/>
            <w:noWrap/>
            <w:vAlign w:val="center"/>
          </w:tcPr>
          <w:p w14:paraId="0F780E96" w14:textId="7387F522"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Tento cieľ spočíva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dosiahnutí aspoň 4000 ďalších aplikačných programovacích rozhraní (API) uverejnených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katalógu API (celkovo 7000).</w:t>
            </w:r>
          </w:p>
          <w:p w14:paraId="0BD44552" w14:textId="7777777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Uverejnené API majú vplyv na niekoľko oblastí, ktoré môžu okrem iného zahŕňať:</w:t>
            </w:r>
          </w:p>
          <w:p w14:paraId="6974106F" w14:textId="40282F47" w:rsidR="00BF03AA" w:rsidRPr="00326E55" w:rsidRDefault="00FB452D">
            <w:pPr>
              <w:pStyle w:val="P68B1DB1-Normal12"/>
              <w:spacing w:after="120"/>
              <w:ind w:right="-62"/>
              <w:rPr>
                <w:rFonts w:ascii="Times New Roman" w:hAnsi="Times New Roman" w:cs="Arial"/>
                <w:noProof/>
                <w:spacing w:val="-6"/>
                <w:lang w:val="sk-SK"/>
              </w:rPr>
            </w:pPr>
            <w:r w:rsidRPr="00326E55">
              <w:rPr>
                <w:rFonts w:ascii="Times New Roman" w:hAnsi="Times New Roman"/>
                <w:noProof/>
                <w:spacing w:val="-6"/>
                <w:lang w:val="sk-SK"/>
              </w:rPr>
              <w:t>I) vnútroštátne údaje týkajúce sa prijím</w:t>
            </w:r>
            <w:r w:rsidRPr="00326E55">
              <w:rPr>
                <w:rFonts w:ascii="Times New Roman" w:hAnsi="Times New Roman"/>
                <w:noProof/>
                <w:spacing w:val="-6"/>
                <w:lang w:val="sk-SK"/>
              </w:rPr>
              <w:t>ania do zamestnania, odchodu do dôchodku, zápisu do škôl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univerzít (napríklad národný register študentov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register verejnej správy), dodržiavania daňových predpisov alebo vnútroštátneho informačného systému pre zdravotné údaje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núdzové zdravotné situác</w:t>
            </w:r>
            <w:r w:rsidRPr="00326E55">
              <w:rPr>
                <w:rFonts w:ascii="Times New Roman" w:hAnsi="Times New Roman"/>
                <w:noProof/>
                <w:spacing w:val="-6"/>
                <w:lang w:val="sk-SK"/>
              </w:rPr>
              <w:t>ie.</w:t>
            </w:r>
          </w:p>
          <w:p w14:paraId="24A774A0" w14:textId="0ADA4442" w:rsidR="00BF03AA" w:rsidRPr="00326E55" w:rsidRDefault="00FB452D">
            <w:pPr>
              <w:pStyle w:val="P68B1DB1-Normal12"/>
              <w:spacing w:after="120"/>
              <w:ind w:right="-62"/>
              <w:rPr>
                <w:rFonts w:ascii="Times New Roman" w:hAnsi="Times New Roman" w:cs="Arial"/>
                <w:noProof/>
                <w:spacing w:val="-6"/>
                <w:lang w:val="sk-SK"/>
              </w:rPr>
            </w:pPr>
            <w:r w:rsidRPr="00326E55">
              <w:rPr>
                <w:rFonts w:ascii="Times New Roman" w:hAnsi="Times New Roman"/>
                <w:noProof/>
                <w:spacing w:val="-6"/>
                <w:lang w:val="sk-SK"/>
              </w:rPr>
              <w:t>Každá implementácia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dokumentácia API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vnútroštátnymi normami interoperability. Rámec národnej platformy digitálnych údajov poskytuje funkcie na posúdenie tohto súladu.</w:t>
            </w:r>
          </w:p>
        </w:tc>
      </w:tr>
      <w:tr w:rsidR="00BF03AA" w:rsidRPr="00326E55" w14:paraId="02288AA6" w14:textId="77777777">
        <w:trPr>
          <w:trHeight w:val="309"/>
        </w:trPr>
        <w:tc>
          <w:tcPr>
            <w:tcW w:w="1135" w:type="dxa"/>
            <w:shd w:val="clear" w:color="auto" w:fill="C6EFCE"/>
            <w:noWrap/>
            <w:vAlign w:val="center"/>
          </w:tcPr>
          <w:p w14:paraId="6247B8C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28</w:t>
            </w:r>
          </w:p>
        </w:tc>
        <w:tc>
          <w:tcPr>
            <w:tcW w:w="1417" w:type="dxa"/>
            <w:shd w:val="clear" w:color="auto" w:fill="C6EFCE"/>
            <w:noWrap/>
            <w:vAlign w:val="center"/>
          </w:tcPr>
          <w:p w14:paraId="7489B5E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Investícia 1.7.2: Sieť digitálnych </w:t>
            </w:r>
            <w:r w:rsidRPr="00326E55">
              <w:rPr>
                <w:rFonts w:ascii="Times New Roman" w:hAnsi="Times New Roman"/>
                <w:noProof/>
                <w:spacing w:val="-6"/>
                <w:lang w:val="sk-SK"/>
              </w:rPr>
              <w:t>sprostredkovateľských služieb</w:t>
            </w:r>
          </w:p>
        </w:tc>
        <w:tc>
          <w:tcPr>
            <w:tcW w:w="992" w:type="dxa"/>
            <w:shd w:val="clear" w:color="auto" w:fill="C6EFCE"/>
            <w:noWrap/>
            <w:vAlign w:val="center"/>
          </w:tcPr>
          <w:p w14:paraId="6214AE3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shd w:val="clear" w:color="auto" w:fill="C6EFCE"/>
            <w:noWrap/>
            <w:vAlign w:val="center"/>
          </w:tcPr>
          <w:p w14:paraId="4E6D7171"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Počet občanov zúčastňujúcich sa na digitálnych vzdelávacích a/alebo podporných iniciatívach, ktoré poskytujú centrá digitálneho uľahčenia</w:t>
            </w:r>
          </w:p>
        </w:tc>
        <w:tc>
          <w:tcPr>
            <w:tcW w:w="1559" w:type="dxa"/>
            <w:shd w:val="clear" w:color="auto" w:fill="C6EFCE"/>
            <w:noWrap/>
            <w:vAlign w:val="center"/>
          </w:tcPr>
          <w:p w14:paraId="57A5CBA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0E818F3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shd w:val="clear" w:color="auto" w:fill="C6EFCE"/>
            <w:noWrap/>
            <w:vAlign w:val="center"/>
          </w:tcPr>
          <w:p w14:paraId="1B6025D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shd w:val="clear" w:color="auto" w:fill="C6EFCE"/>
            <w:noWrap/>
            <w:vAlign w:val="center"/>
          </w:tcPr>
          <w:p w14:paraId="52999D4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2 000 000</w:t>
            </w:r>
          </w:p>
        </w:tc>
        <w:tc>
          <w:tcPr>
            <w:tcW w:w="992" w:type="dxa"/>
            <w:shd w:val="clear" w:color="auto" w:fill="C6EFCE"/>
            <w:noWrap/>
            <w:vAlign w:val="center"/>
          </w:tcPr>
          <w:p w14:paraId="6A33684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shd w:val="clear" w:color="auto" w:fill="C6EFCE"/>
            <w:noWrap/>
            <w:vAlign w:val="center"/>
          </w:tcPr>
          <w:p w14:paraId="51349AE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shd w:val="clear" w:color="auto" w:fill="C6EFCE"/>
            <w:noWrap/>
            <w:vAlign w:val="center"/>
          </w:tcPr>
          <w:p w14:paraId="6A275659" w14:textId="28D1A348"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Najmenej 2000000 občanov,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ktorých</w:t>
            </w:r>
            <w:r w:rsidRPr="00326E55">
              <w:rPr>
                <w:rFonts w:ascii="Times New Roman" w:hAnsi="Times New Roman"/>
                <w:noProof/>
                <w:spacing w:val="-6"/>
                <w:lang w:val="sk-SK"/>
              </w:rPr>
              <w:t xml:space="preserve"> 30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sa nachádza na juhu Talianska, sa zúčastnilo na digitálnych vzdelávacích a/alebo podporných iniciatívach podľa registrácie na platforme „Facilita“ oddelenia digitálnej transformácie.</w:t>
            </w:r>
          </w:p>
        </w:tc>
      </w:tr>
      <w:tr w:rsidR="00BF03AA" w:rsidRPr="00326E55" w14:paraId="5F000AB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5BAE8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29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2B7E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1.4: Reforma občianskeho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94E68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C1D2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právnych predpisov umožňujúcich reformu občianskeho súdnictva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D6909F" w14:textId="6400E2AC"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splnomocňujúcich právnych predpisov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76F39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6A9FF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6EF7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9C847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919F8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17B32" w14:textId="1CDC2266"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 xml:space="preserve">Splnomocňujúce právne predpisy zahŕňajú </w:t>
            </w:r>
            <w:r w:rsidRPr="00326E55">
              <w:rPr>
                <w:rFonts w:ascii="Times New Roman" w:hAnsi="Times New Roman"/>
                <w:noProof/>
                <w:spacing w:val="-6"/>
                <w:lang w:val="sk-SK"/>
              </w:rPr>
              <w:t>aspoň tieto opatrenia: zavedenie zjednodušeného konania na úrovni prvého stupňa/súdneho konania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uplatňovania „postupov filtrovania“ na úrovni odvolania vrátane rozšíreného používania zjednodušených postupov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rozsahu prípadov,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má prá</w:t>
            </w:r>
            <w:r w:rsidRPr="00326E55">
              <w:rPr>
                <w:rFonts w:ascii="Times New Roman" w:hAnsi="Times New Roman"/>
                <w:noProof/>
                <w:spacing w:val="-6"/>
                <w:lang w:val="sk-SK"/>
              </w:rPr>
              <w:t>vomoc rozhodovať samosudca; II) zabezpečiť skutočné vykonávanie záväzných lehôt pre postupy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kalendár na zhromažďovanie dôkazov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elektronické podávanie všetkých príslušných aktov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dokumentov; III) reformovať využívanie mediácie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alternatívneho riešenia</w:t>
            </w:r>
            <w:r w:rsidRPr="00326E55">
              <w:rPr>
                <w:rFonts w:ascii="Times New Roman" w:hAnsi="Times New Roman"/>
                <w:noProof/>
                <w:spacing w:val="-6"/>
                <w:lang w:val="sk-SK"/>
              </w:rPr>
              <w:t xml:space="preserve"> sporov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asistovanou mediáciou, arbitrážou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akoukoľvek inou možnou alternatívou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zefektívniť tieto inštitúty pri znižovaní tlaku na systém občianskeho súdnictva,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prostredníctvom stimulov; IV) reformovať postup núteného výkonu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w:t>
            </w:r>
            <w:r w:rsidRPr="00326E55">
              <w:rPr>
                <w:rFonts w:ascii="Times New Roman" w:hAnsi="Times New Roman"/>
                <w:noProof/>
                <w:spacing w:val="-6"/>
                <w:lang w:val="sk-SK"/>
              </w:rPr>
              <w:t>om skrátiť existujúci priemerný čas vrátane rýchlejšieho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lacnejšieho vymáhania splatných súm; reformovať súčasný systém kvantifikácie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vymáhateľnosti právnych poplatkov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počet neopodstatnených súdnych sporov; v) zaviesť monitorovací systé</w:t>
            </w:r>
            <w:r w:rsidRPr="00326E55">
              <w:rPr>
                <w:rFonts w:ascii="Times New Roman" w:hAnsi="Times New Roman"/>
                <w:noProof/>
                <w:spacing w:val="-6"/>
                <w:lang w:val="sk-SK"/>
              </w:rPr>
              <w:t>m na úrovni súdov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zvýšiť produktivitu občianskych súdov prostredníctvom stimulov na zabezpečenie primeranej dĺžky konaní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jednotného výkonu na súdoch.</w:t>
            </w:r>
          </w:p>
        </w:tc>
      </w:tr>
      <w:tr w:rsidR="00BF03AA" w:rsidRPr="00326E55" w14:paraId="580A756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93C9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85783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1.5: Reforma trestného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60D0C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57DF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Nadobudnutie účinnosti právnych predpisov </w:t>
            </w:r>
            <w:r w:rsidRPr="00326E55">
              <w:rPr>
                <w:rFonts w:ascii="Times New Roman" w:hAnsi="Times New Roman"/>
                <w:noProof/>
                <w:spacing w:val="-6"/>
                <w:lang w:val="sk-SK"/>
              </w:rPr>
              <w:t>umožňujúcich reformu trestného súdnictva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E3E40" w14:textId="7FA8DA16"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splnomocňujúcich právnych predpisov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170F1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9D5B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78C5E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4C91C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1198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CCCD3" w14:textId="4D21D02E"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Splnomocňujúce právne predpisy, ktoré zahŕňajú aspoň tieto opatrenia: I) preskúmaný s</w:t>
            </w:r>
            <w:r w:rsidRPr="00326E55">
              <w:rPr>
                <w:rFonts w:ascii="Times New Roman" w:hAnsi="Times New Roman"/>
                <w:noProof/>
                <w:spacing w:val="-6"/>
                <w:lang w:val="sk-SK"/>
              </w:rPr>
              <w:t>ystém oznamovania, ii) širšie využívanie zjednodušených postupov, iii) širšie používanie elektronického podávania dokumentov, iv) zjednodušené pravidlá týkajúce sa dôkazov, v) vymedzenie lehôt trvania predbežného vyšetrovania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opatrení na zabránenie stagn</w:t>
            </w:r>
            <w:r w:rsidRPr="00326E55">
              <w:rPr>
                <w:rFonts w:ascii="Times New Roman" w:hAnsi="Times New Roman"/>
                <w:noProof/>
                <w:spacing w:val="-6"/>
                <w:lang w:val="sk-SK"/>
              </w:rPr>
              <w:t>ácii vo fáze vyšetrovania, vi) rozšírenie možnosti ukončiť trestný čin</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vrátenia škody, vii) zavedenie monitorovacieho systému na úrovni súdov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zvýšenie produktivity trestných súdov prostredníctvom stimulov na zabezpečenie primeranej dĺžky konaní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jednotného výkonu na súdoch.</w:t>
            </w:r>
          </w:p>
        </w:tc>
      </w:tr>
      <w:tr w:rsidR="00BF03AA" w:rsidRPr="00326E55" w14:paraId="7DB9A1F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468D1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0812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1.6: Reforma rámca pre platobnú neschopnosť</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888DE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B9196F" w14:textId="1C92B001"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splnomocňujúcich právnych predpisov pre rámec reformy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platobnej neschopnosti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117F7B" w14:textId="63910F92"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účinnosti </w:t>
            </w:r>
            <w:r w:rsidRPr="00326E55">
              <w:rPr>
                <w:rFonts w:ascii="Times New Roman" w:hAnsi="Times New Roman"/>
                <w:noProof/>
                <w:spacing w:val="-6"/>
                <w:lang w:val="sk-SK"/>
              </w:rPr>
              <w:t>splnomocňujúcich právnych predpisov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54687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37EAA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1F19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D2CE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8082F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2D30E5" w14:textId="4802E54C"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Reforma platobnej neschopnosti zahŕňa aspoň tieto opatrenia: I) preskúmať mechanizmy mimosúdneho urovnania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identifikovať oblasti,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môžu byť potrebné ďa</w:t>
            </w:r>
            <w:r w:rsidRPr="00326E55">
              <w:rPr>
                <w:rFonts w:ascii="Times New Roman" w:hAnsi="Times New Roman"/>
                <w:noProof/>
                <w:spacing w:val="-6"/>
                <w:lang w:val="sk-SK"/>
              </w:rPr>
              <w:t>lšie zlepšenia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motivovať dotknuté strany, aby lepšie využívali takéto konania; II) zaviesť mechanizmy včasného varovania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informáciám pred fázou platobnej neschopnosti; III) prechod na špecializáciu súdov (obchodné právo, insolvenčné </w:t>
            </w:r>
            <w:r w:rsidRPr="00326E55">
              <w:rPr>
                <w:rFonts w:ascii="Times New Roman" w:hAnsi="Times New Roman"/>
                <w:noProof/>
                <w:spacing w:val="-6"/>
                <w:lang w:val="sk-SK"/>
              </w:rPr>
              <w:t>oddelenie/komora), ako aj predsúdnych inštitúcií na riadenie insolvenčných konaní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platobnej neschopnosti; IV) umožniť vyplatenie zabezpečených veriteľov najprv (pred zdanením pohľadávok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nárokov zamestnancov); v) umožniť podnikom udeliť nevlastn</w:t>
            </w:r>
            <w:r w:rsidRPr="00326E55">
              <w:rPr>
                <w:rFonts w:ascii="Times New Roman" w:hAnsi="Times New Roman"/>
                <w:noProof/>
                <w:spacing w:val="-6"/>
                <w:lang w:val="sk-SK"/>
              </w:rPr>
              <w:t>ícke bezpečnostné právo. Ako doplnok</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reforme platobnej neschopnosti sa zabezpečí odborná príprava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špecializácia pre členov súdnych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správnych orgánov zaoberajúcich sa reštrukturalizačnými konaniami, ako aj celková digitalizácia reštrukturalizačných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insolvenčných konaní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vytvorenie online platformy na mimosúdne riešenie sporov, najmä vo fáze pred vyhlásením platobnej neschopnosti, ktorej využívanie sa stimuluje na zníženie zaťaženia súdnictva (žiadosti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reštrukturalizáciu pred platobnou neschopnosťo</w:t>
            </w:r>
            <w:r w:rsidRPr="00326E55">
              <w:rPr>
                <w:rFonts w:ascii="Times New Roman" w:hAnsi="Times New Roman"/>
                <w:noProof/>
                <w:spacing w:val="-6"/>
                <w:lang w:val="sk-SK"/>
              </w:rPr>
              <w:t>u, podpora mnohostranných reštrukturalizácií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umožnenie vopred schválených automatizovaných reštrukturalizačných postupov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riešení prípadov nízkej hodnoty). Takáto online platforma zabezpečí aj interoperabilitu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informačnými systémami bánk, ako aj</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iný</w:t>
            </w:r>
            <w:r w:rsidRPr="00326E55">
              <w:rPr>
                <w:rFonts w:ascii="Times New Roman" w:hAnsi="Times New Roman"/>
                <w:noProof/>
                <w:spacing w:val="-6"/>
                <w:lang w:val="sk-SK"/>
              </w:rPr>
              <w:t>mi orgánmi verejnej moci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databázami, aby sa zabezpečila rýchla elektronická výmena dokumentácie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údajov medzi dlžníkmi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veriteľmi. Na tento účel by žiadateľ (dlžník) udelil súhlas</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výmenou svojich osobných údajov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všeobecným nariadením</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oc</w:t>
            </w:r>
            <w:r w:rsidRPr="00326E55">
              <w:rPr>
                <w:rFonts w:ascii="Times New Roman" w:hAnsi="Times New Roman"/>
                <w:noProof/>
                <w:spacing w:val="-6"/>
                <w:lang w:val="sk-SK"/>
              </w:rPr>
              <w:t>hrane údajov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toto ustanovenie by sa malo zahrnúť do zákona. Reformou sa zriadi register kolaterálov.</w:t>
            </w:r>
          </w:p>
        </w:tc>
      </w:tr>
      <w:tr w:rsidR="00BF03AA" w:rsidRPr="00326E55" w14:paraId="7BFBE34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88A78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90A60F" w14:textId="15C6B2A4"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Investícia 1.8: Postupy prijímania zamestnancov na občianske, trestné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správne súdy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3F857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0BF95" w14:textId="18B1F635"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Nadobudnutie účinnosti osobitných právnych </w:t>
            </w:r>
            <w:r w:rsidRPr="00326E55">
              <w:rPr>
                <w:rFonts w:ascii="Times New Roman" w:hAnsi="Times New Roman"/>
                <w:noProof/>
                <w:spacing w:val="-6"/>
                <w:lang w:val="sk-SK"/>
              </w:rPr>
              <w:t>predpisov upravujúcich prijímanie zamestnancov do národného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F2B9A7" w14:textId="565DBA4F"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osobitných právnych predpisov upravujúcich prijímanie zamestnancov do národného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C925B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7D1F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FEC25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71E2E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1BE38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F4CA25" w14:textId="0EFCF71F"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Schváliť osobitné právne predpisy upravujúce prijímanie zamestnancov do národného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povolením na reklamu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prijímanie zamestnancov.</w:t>
            </w:r>
          </w:p>
        </w:tc>
      </w:tr>
      <w:tr w:rsidR="00BF03AA" w:rsidRPr="00326E55" w14:paraId="1B00597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BF67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ADF8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Investícia 1.8: Postupy prijímania zamestnancov na </w:t>
            </w:r>
            <w:r w:rsidRPr="00326E55">
              <w:rPr>
                <w:rFonts w:ascii="Times New Roman" w:hAnsi="Times New Roman"/>
                <w:noProof/>
                <w:spacing w:val="-6"/>
                <w:lang w:val="sk-SK"/>
              </w:rPr>
              <w:t>správne súdy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9D8BD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0A9C7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Začiatok postupov prijímania zamestnancov na správne súdy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211A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0CB80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D5F8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7911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168</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961CA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567A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F6C56A" w14:textId="31A1E50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Začať postupy prijímania do zamestnania najmenej 168 personálnych oddelení pre súdnictvo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správne súdy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uviesť jednotky do služby. </w:t>
            </w:r>
            <w:r w:rsidRPr="00326E55">
              <w:rPr>
                <w:rFonts w:ascii="Times New Roman" w:hAnsi="Times New Roman"/>
                <w:noProof/>
                <w:spacing w:val="-6"/>
                <w:lang w:val="sk-SK"/>
              </w:rPr>
              <w:t>Základným scenárom je počet zamestnancov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službe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31. decembru 2021.</w:t>
            </w:r>
          </w:p>
        </w:tc>
      </w:tr>
      <w:tr w:rsidR="00BF03AA" w:rsidRPr="00326E55" w14:paraId="6038784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5CC0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1FF09" w14:textId="67ED2A52"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1.8: Postupy prijímania zamestnancov do kancelárie súdnych konaní na občianskych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trestných súdoch</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074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1D6D15" w14:textId="36B35786"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Začiatok postupov náboru na občianske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trestné súdy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EE8D0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4390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2D91E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2E6D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8 764</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9FA2F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3BF98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FBBE7" w14:textId="2076CCA3"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Začať postupy náboru najmenej 8764 jednotiek personálu pre úrad súdnych konaní na občianskych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trestných súdoch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umiestniť jednotky do služby. Základným scenárom je počet zamestnancov na konci roka 2021.</w:t>
            </w:r>
          </w:p>
        </w:tc>
      </w:tr>
      <w:tr w:rsidR="00BF03AA" w:rsidRPr="00326E55" w14:paraId="1E1321D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6B93E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w:t>
            </w:r>
            <w:r w:rsidRPr="00326E55">
              <w:rPr>
                <w:rFonts w:ascii="Times New Roman" w:hAnsi="Times New Roman"/>
                <w:noProof/>
                <w:spacing w:val="-6"/>
                <w:lang w:val="sk-SK"/>
              </w:rPr>
              <w:t xml:space="preserve"> – 35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153F9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1.7: Reforma daňových súdov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361CE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FFFD4C" w14:textId="6398FDB1"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Komplexná reforma daňových súdov prvého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druhého stupňa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5209B" w14:textId="53BBF610"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revidovaného právneho rámca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E0A58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3B60B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F9640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7F58C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7E9EC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9DAD6E" w14:textId="3AA16F14"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Revidovaný právny rámec </w:t>
            </w:r>
            <w:r w:rsidRPr="00326E55">
              <w:rPr>
                <w:rFonts w:ascii="Times New Roman" w:hAnsi="Times New Roman"/>
                <w:noProof/>
                <w:spacing w:val="-6"/>
                <w:lang w:val="sk-SK"/>
              </w:rPr>
              <w:t>zefektívni presadzovanie daňového práva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zníži vysoký počet odvolaní na kasačnom súde.</w:t>
            </w:r>
          </w:p>
        </w:tc>
      </w:tr>
      <w:tr w:rsidR="00BF03AA" w:rsidRPr="00326E55" w14:paraId="62BD747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5F68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CF15C0" w14:textId="7A857BD2"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Reformy 1.4, 1.5</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1.6: Reforma občianskeho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trestného súdnictva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reforma platobnej neschopnosti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821A8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40743A" w14:textId="75A95CCF"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Nadobudnutie účinnosti delegovaných aktov </w:t>
            </w:r>
            <w:r w:rsidRPr="00326E55">
              <w:rPr>
                <w:rFonts w:ascii="Times New Roman" w:hAnsi="Times New Roman"/>
                <w:noProof/>
                <w:spacing w:val="-6"/>
                <w:lang w:val="sk-SK"/>
              </w:rPr>
              <w:t>týkajúcich sa reformy občianskeho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trestného súdnictva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reformy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platobnej neschopnosti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B7B4FB" w14:textId="3FAF9E50"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delegovaných aktoch</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delegovaných aktov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A6C7D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4D67F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9A0E9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DFEE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980A0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C4A368" w14:textId="7833A0F1"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všetkých delegovaných aktov, ktorých obsah je uvedený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splnomocňujúcich právnych predpisoch pre reformy občianskeho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trestného súdnictva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 reformu platobnej neschopnosti.</w:t>
            </w:r>
          </w:p>
        </w:tc>
      </w:tr>
      <w:tr w:rsidR="00BF03AA" w:rsidRPr="00326E55" w14:paraId="3BE651D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2AE9F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5E09DD" w14:textId="1D6A71EA"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Reformy 1.4</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1.5: Reforma občianskeho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trestného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AD1D0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407DA6" w14:textId="0EDF32BE"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reformy občianskeho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trestného súdnictva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2121CB" w14:textId="07C2D24F"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sekundárnych aktoch</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sekundárnych aktov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1A567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303E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92FA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56BE4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CDF5F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610415" w14:textId="5B23C2E2"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Dokončiť prijímanie všetkých nariadení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zdrojov pr</w:t>
            </w:r>
            <w:r w:rsidRPr="00326E55">
              <w:rPr>
                <w:rFonts w:ascii="Times New Roman" w:hAnsi="Times New Roman"/>
                <w:noProof/>
                <w:spacing w:val="-6"/>
                <w:lang w:val="sk-SK"/>
              </w:rPr>
              <w:t>ávnych predpisov potrebných na účinné uplatňovanie zákonov umožňujúcich reformy súdnictva.</w:t>
            </w:r>
          </w:p>
        </w:tc>
      </w:tr>
      <w:tr w:rsidR="00BF03AA" w:rsidRPr="00326E55" w14:paraId="0DA629F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DDEE5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D1530"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1.8: Digitalizácia justície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F291E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D41EFE"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Digitalizácia justičného systému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A21C" w14:textId="1F7B06E3"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primárnych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ktorom sa uvádza </w:t>
            </w:r>
            <w:r w:rsidRPr="00326E55">
              <w:rPr>
                <w:rFonts w:ascii="Times New Roman" w:hAnsi="Times New Roman"/>
                <w:noProof/>
                <w:spacing w:val="-6"/>
                <w:lang w:val="sk-SK"/>
              </w:rPr>
              <w:t>nadobudnutie účinnosti príslušných aktov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18C99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FB63C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F97A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A605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DAF8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34DA44" w14:textId="75864CAD"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Zavedie sa povinné elektronické podávanie všetkých dokumentov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úplný elektronický pracovný postup pre občianskoprávne konania. Digitalizované trestné konania na pr</w:t>
            </w:r>
            <w:r w:rsidRPr="00326E55">
              <w:rPr>
                <w:rFonts w:ascii="Times New Roman" w:hAnsi="Times New Roman"/>
                <w:noProof/>
                <w:spacing w:val="-6"/>
                <w:lang w:val="sk-SK"/>
              </w:rPr>
              <w:t>vom stupni (okrem úradu pre predbežné pojednávanie). Vytvorenie bezplatnej, plne prístupnej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vyhľadávateľnej databázy občianskoprávnych rozhodnutí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právnymi predpismi.</w:t>
            </w:r>
          </w:p>
        </w:tc>
      </w:tr>
      <w:tr w:rsidR="00BF03AA" w:rsidRPr="00326E55" w14:paraId="62D786D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4923E"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M1C1 – 38bis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B2020"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1.8: Digitalizácia justície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5C5008"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705AC"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Digitalizácia </w:t>
            </w:r>
            <w:r w:rsidRPr="00326E55">
              <w:rPr>
                <w:rFonts w:ascii="Times New Roman" w:hAnsi="Times New Roman"/>
                <w:noProof/>
                <w:spacing w:val="-6"/>
                <w:lang w:val="sk-SK"/>
              </w:rPr>
              <w:t>justičného systému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2144E4" w14:textId="474E53E3"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Trestné konania na prvom stupni sú digitalizované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PNR, PDP</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APP sú interoperabilné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CBB85"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284E2"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0081FC"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8756A5"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13D754" w14:textId="77777777" w:rsidR="00BF03AA" w:rsidRPr="00326E55" w:rsidRDefault="00FB452D">
            <w:pPr>
              <w:pStyle w:val="P68B1DB1-Normal11"/>
              <w:jc w:val="center"/>
              <w:rPr>
                <w:rFonts w:ascii="Times New Roman" w:hAnsi="Times New Roman" w:cs="Arial"/>
                <w:noProof/>
                <w:spacing w:val="-6"/>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386DC1" w14:textId="2E57A1CF"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Digitalizácia trestného konania na prvom stupni až po záverečný akt prostredníctvom „portale delle n</w:t>
            </w:r>
            <w:r w:rsidRPr="00326E55">
              <w:rPr>
                <w:rFonts w:ascii="Times New Roman" w:hAnsi="Times New Roman"/>
                <w:noProof/>
                <w:spacing w:val="-6"/>
                <w:lang w:val="sk-SK"/>
              </w:rPr>
              <w:t>otizie di reato“ (PNR), „portale dei depositi penali“ (PDP)</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„applicativo processo penale“ (APP). Platformy musia byť navzájom interoperabilné.</w:t>
            </w:r>
          </w:p>
        </w:tc>
      </w:tr>
      <w:tr w:rsidR="00BF03AA" w:rsidRPr="00326E55" w14:paraId="39F9B75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5BC39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6B2C28" w14:textId="2F0AF118"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1.8: Postupy prijímania zamestnancov na občianske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trestné súdy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89CC2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68EBDF" w14:textId="2F3BB80B"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Postupy prijímania </w:t>
            </w:r>
            <w:r w:rsidRPr="00326E55">
              <w:rPr>
                <w:rFonts w:ascii="Times New Roman" w:hAnsi="Times New Roman"/>
                <w:noProof/>
                <w:spacing w:val="-6"/>
                <w:lang w:val="sk-SK"/>
              </w:rPr>
              <w:t>alebo rozširovania pre občianske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trestné súdy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územné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ústredné útvary ministerstva spravodlivosti zodpovedné za vykonávanie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2DBAB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60838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A1A5D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64CA0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A6FC1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226D0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C86FE" w14:textId="58B6A6BE"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Dokončiť postupy prijímania alebo rozšírenia najmenej 100</w:t>
            </w:r>
            <w:r w:rsidRPr="00326E55">
              <w:rPr>
                <w:rFonts w:ascii="Times New Roman" w:hAnsi="Times New Roman"/>
                <w:noProof/>
                <w:spacing w:val="-6"/>
                <w:lang w:val="sk-SK"/>
              </w:rPr>
              <w:t>00 jednotiek personálu kancelárie súdneho konania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technického administratívneho personálu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uviesť ich do prevádzky.</w:t>
            </w:r>
          </w:p>
          <w:p w14:paraId="2193B0FE" w14:textId="3AE67FD9"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Do tohto cieľa sa započítavajú len postupy náboru alebo predĺženia, ktoré boli ukončené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2022.</w:t>
            </w:r>
          </w:p>
        </w:tc>
      </w:tr>
      <w:tr w:rsidR="00BF03AA" w:rsidRPr="00326E55" w14:paraId="361DBF5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B983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0B4960" w14:textId="77777777" w:rsidR="00BF03AA" w:rsidRPr="00326E55" w:rsidRDefault="00FB452D">
            <w:pPr>
              <w:pStyle w:val="P68B1DB1-Normal11"/>
              <w:jc w:val="center"/>
              <w:rPr>
                <w:rFonts w:ascii="Times New Roman" w:hAnsi="Times New Roman" w:cs="Arial"/>
                <w:noProof/>
                <w:spacing w:val="-6"/>
                <w:szCs w:val="20"/>
                <w:lang w:val="sk-SK"/>
              </w:rPr>
            </w:pPr>
            <w:bookmarkStart w:id="2" w:name="_Hlk160473086"/>
            <w:r w:rsidRPr="00326E55">
              <w:rPr>
                <w:rFonts w:ascii="Times New Roman" w:hAnsi="Times New Roman"/>
                <w:noProof/>
                <w:spacing w:val="-6"/>
                <w:lang w:val="sk-SK"/>
              </w:rPr>
              <w:t xml:space="preserve">Investícia 1.8: </w:t>
            </w:r>
            <w:r w:rsidRPr="00326E55">
              <w:rPr>
                <w:rFonts w:ascii="Times New Roman" w:hAnsi="Times New Roman"/>
                <w:noProof/>
                <w:spacing w:val="-6"/>
                <w:lang w:val="sk-SK"/>
              </w:rPr>
              <w:t>Postupy prijímania zamestnancov na správne súdy</w:t>
            </w:r>
            <w:bookmarkEnd w:id="2"/>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0AC81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AAB02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Postupy prijímania do zamestnania alebo predĺženia pre správne súdy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34E94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E59D6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D4AF7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5C5EC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158</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AC6CA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D2232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9A939D" w14:textId="5FE870F6"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Dokončiť postupy prijímania alebo rozšírenia najmenej 158 personálnych jednotiek pre </w:t>
            </w:r>
            <w:r w:rsidRPr="00326E55">
              <w:rPr>
                <w:rFonts w:ascii="Times New Roman" w:hAnsi="Times New Roman"/>
                <w:noProof/>
                <w:spacing w:val="-6"/>
                <w:lang w:val="sk-SK"/>
              </w:rPr>
              <w:t>súdnictvo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správne súdy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uviesť jednotky do služby. Do tohto cieľa sa započítavajú len postupy náboru alebo predĺženia, ktoré boli ukončené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2022.</w:t>
            </w:r>
          </w:p>
        </w:tc>
      </w:tr>
      <w:tr w:rsidR="00BF03AA" w:rsidRPr="00326E55" w14:paraId="116D05F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41FCC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8BB43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1.8: Postupy prijímania zamestnancov na správne súdy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D6BD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FB48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w:t>
            </w:r>
            <w:r w:rsidRPr="00326E55">
              <w:rPr>
                <w:rFonts w:ascii="Times New Roman" w:hAnsi="Times New Roman"/>
                <w:noProof/>
                <w:spacing w:val="-6"/>
                <w:lang w:val="sk-SK"/>
              </w:rPr>
              <w:t xml:space="preserve"> nevybavených prípadov na krajinských správnych súdoch</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6CB41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6DB6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B1B7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8738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75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B5B63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1C85E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A60B7" w14:textId="61983514"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Znížiť počet prebiehajúcich konaní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25</w:t>
            </w:r>
            <w:r w:rsidR="00326E55" w:rsidRPr="00326E55">
              <w:rPr>
                <w:rFonts w:ascii="Times New Roman" w:hAnsi="Times New Roman"/>
                <w:noProof/>
                <w:spacing w:val="-6"/>
                <w:lang w:val="sk-SK"/>
              </w:rPr>
              <w:t> % v </w:t>
            </w:r>
            <w:r w:rsidRPr="00326E55">
              <w:rPr>
                <w:rFonts w:ascii="Times New Roman" w:hAnsi="Times New Roman"/>
                <w:noProof/>
                <w:spacing w:val="-6"/>
                <w:lang w:val="sk-SK"/>
              </w:rPr>
              <w:t>roku 2019 (109029) na správnych krajských súdoch (správnych súdoch prvého stupňa).</w:t>
            </w:r>
          </w:p>
        </w:tc>
      </w:tr>
      <w:tr w:rsidR="00BF03AA" w:rsidRPr="00326E55" w14:paraId="4B9EC16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8A215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2D7C7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Investícia 1.8: </w:t>
            </w:r>
            <w:r w:rsidRPr="00326E55">
              <w:rPr>
                <w:rFonts w:ascii="Times New Roman" w:hAnsi="Times New Roman"/>
                <w:noProof/>
                <w:spacing w:val="-6"/>
                <w:lang w:val="sk-SK"/>
              </w:rPr>
              <w:t>Postupy prijímania zamestnancov na správne súdy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0DB39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0263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 nevybavených prípadov Štátnej rady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B7BF5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4238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3D15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C3455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65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47AD5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D1A5D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D31A24" w14:textId="55F5E09B"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Znížiť počet prebiehajúcich konaní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2019 (24010)</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Štátnej rade (druhá inštancia)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35</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tc>
      </w:tr>
      <w:tr w:rsidR="00BF03AA" w:rsidRPr="00326E55" w14:paraId="084D85A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E5C9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2F45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1.4: Reforma občianskeho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434C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2A60B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 nevyriešených prípadov na občianskoprávnych všeobecných súdoch (prvý stupeň)</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CDD20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00410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CC51A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65386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30AA5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4BCC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AF608" w14:textId="7A38DD71"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Znížiť počet prebiehajúcich konaní</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31. januáru 2020 (333218) na </w:t>
            </w:r>
            <w:r w:rsidRPr="00326E55">
              <w:rPr>
                <w:rFonts w:ascii="Times New Roman" w:hAnsi="Times New Roman"/>
                <w:noProof/>
                <w:spacing w:val="-6"/>
                <w:lang w:val="sk-SK"/>
              </w:rPr>
              <w:t>občianskych všeobecných súdoch (prvý stupeň)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95</w:t>
            </w:r>
            <w:r w:rsidR="00326E55" w:rsidRPr="00326E55">
              <w:rPr>
                <w:rFonts w:ascii="Times New Roman" w:hAnsi="Times New Roman"/>
                <w:noProof/>
                <w:spacing w:val="-6"/>
                <w:lang w:val="sk-SK"/>
              </w:rPr>
              <w:t> %</w:t>
            </w:r>
            <w:r w:rsidRPr="00326E55">
              <w:rPr>
                <w:rFonts w:ascii="Times New Roman" w:hAnsi="Times New Roman"/>
                <w:noProof/>
                <w:spacing w:val="-6"/>
                <w:lang w:val="sk-SK"/>
              </w:rPr>
              <w:t>. Základným scenárom je počet prebiehajúcich konaní pred občianskoprávnymi všeobecnými súdmi (31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2020), ktoré trvajú viac ako tri roky.</w:t>
            </w:r>
          </w:p>
        </w:tc>
      </w:tr>
      <w:tr w:rsidR="00BF03AA" w:rsidRPr="00326E55" w14:paraId="66173C6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0CE4A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BDE9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1.4: Reforma občianskeho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87022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9531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 nevyriešených prípadov na občianskom odvolacom súde (druhá inštancia)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A5DF3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21C6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B93F6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C299B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9054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0E58F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0CAA2A" w14:textId="3BAF0264"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Znížiť počet prebiehajúcich konaní</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31. januáru 2020 (97251) na občianskych odvolacích súdoch (druhá inštancia)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95</w:t>
            </w:r>
            <w:r w:rsidR="00326E55" w:rsidRPr="00326E55">
              <w:rPr>
                <w:rFonts w:ascii="Times New Roman" w:hAnsi="Times New Roman"/>
                <w:noProof/>
                <w:spacing w:val="-6"/>
                <w:lang w:val="sk-SK"/>
              </w:rPr>
              <w:t> %.</w:t>
            </w:r>
          </w:p>
          <w:p w14:paraId="39D61CAF" w14:textId="119E003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Zákl</w:t>
            </w:r>
            <w:r w:rsidRPr="00326E55">
              <w:rPr>
                <w:rFonts w:ascii="Times New Roman" w:hAnsi="Times New Roman"/>
                <w:noProof/>
                <w:spacing w:val="-6"/>
                <w:lang w:val="sk-SK"/>
              </w:rPr>
              <w:t>adným scenárom je počet konaní prebiehajúcich pred odvolacími občianskoprávnymi súdmi viac ako dva roky (31</w:t>
            </w:r>
            <w:r w:rsidR="00326E55" w:rsidRPr="00326E55">
              <w:rPr>
                <w:rFonts w:ascii="Times New Roman" w:hAnsi="Times New Roman"/>
                <w:noProof/>
                <w:spacing w:val="-6"/>
                <w:lang w:val="sk-SK"/>
              </w:rPr>
              <w:t>. januára</w:t>
            </w:r>
            <w:r w:rsidRPr="00326E55">
              <w:rPr>
                <w:rFonts w:ascii="Times New Roman" w:hAnsi="Times New Roman"/>
                <w:noProof/>
                <w:spacing w:val="-6"/>
                <w:szCs w:val="20"/>
                <w:lang w:val="sk-SK"/>
              </w:rPr>
              <w:t xml:space="preserve"> 2020</w:t>
            </w:r>
            <w:r w:rsidRPr="00326E55">
              <w:rPr>
                <w:rFonts w:ascii="Times New Roman" w:hAnsi="Times New Roman"/>
                <w:noProof/>
                <w:spacing w:val="-6"/>
                <w:lang w:val="sk-SK"/>
              </w:rPr>
              <w:t>).</w:t>
            </w:r>
          </w:p>
        </w:tc>
      </w:tr>
      <w:tr w:rsidR="00BF03AA" w:rsidRPr="00326E55" w14:paraId="2F1E77A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759C5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37bis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FC0D7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1.4: Reforma občianskeho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9DC09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1137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Nadobudnutie účinnosti opatrení zameraných na zníženie počtu </w:t>
            </w:r>
            <w:r w:rsidRPr="00326E55">
              <w:rPr>
                <w:rFonts w:ascii="Times New Roman" w:hAnsi="Times New Roman"/>
                <w:noProof/>
                <w:spacing w:val="-6"/>
                <w:lang w:val="sk-SK"/>
              </w:rPr>
              <w:t>nevybavených prípadov</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850DE2" w14:textId="3E8C7BFC"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primárnych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aktov na zníženie počtu nevybavených prípadov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2536B" w14:textId="77777777" w:rsidR="00BF03AA" w:rsidRPr="00326E55" w:rsidRDefault="00BF03AA">
            <w:pPr>
              <w:jc w:val="center"/>
              <w:rPr>
                <w:rFonts w:ascii="Times New Roman" w:hAnsi="Times New Roman" w:cs="Arial"/>
                <w:noProof/>
                <w:color w:val="006100"/>
                <w:spacing w:val="-6"/>
                <w:sz w:val="20"/>
                <w:szCs w:val="20"/>
                <w:lang w:val="sk-SK"/>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F7122D" w14:textId="77777777" w:rsidR="00BF03AA" w:rsidRPr="00326E55" w:rsidRDefault="00BF03AA">
            <w:pPr>
              <w:jc w:val="center"/>
              <w:rPr>
                <w:rFonts w:ascii="Times New Roman" w:hAnsi="Times New Roman" w:cs="Arial"/>
                <w:noProof/>
                <w:color w:val="006100"/>
                <w:spacing w:val="-6"/>
                <w:sz w:val="20"/>
                <w:szCs w:val="20"/>
                <w:lang w:val="sk-SK"/>
              </w:rPr>
            </w:pP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12E2D" w14:textId="77777777" w:rsidR="00BF03AA" w:rsidRPr="00326E55" w:rsidRDefault="00BF03AA">
            <w:pPr>
              <w:jc w:val="center"/>
              <w:rPr>
                <w:rFonts w:ascii="Times New Roman" w:hAnsi="Times New Roman" w:cs="Arial"/>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D5486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8031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A86FB" w14:textId="15224395" w:rsidR="00BF03AA" w:rsidRPr="00326E55" w:rsidRDefault="00FB452D">
            <w:pPr>
              <w:pStyle w:val="P68B1DB1-Normal11"/>
              <w:rPr>
                <w:rFonts w:ascii="Times New Roman" w:hAnsi="Times New Roman" w:cs="Arial"/>
                <w:noProof/>
                <w:spacing w:val="-6"/>
                <w:szCs w:val="20"/>
                <w:lang w:val="sk-SK"/>
              </w:rPr>
            </w:pPr>
            <w:r w:rsidRPr="00326E55">
              <w:rPr>
                <w:rFonts w:ascii="Times New Roman" w:hAnsi="Times New Roman"/>
                <w:noProof/>
                <w:spacing w:val="-6"/>
                <w:lang w:val="sk-SK"/>
              </w:rPr>
              <w:t>Nadobudnutie účinnosti primárnych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zdrojov právnych predpisov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umožniť:</w:t>
            </w:r>
          </w:p>
          <w:p w14:paraId="440922ED" w14:textId="752A2684" w:rsidR="00BF03AA" w:rsidRPr="00326E55" w:rsidRDefault="00FB452D">
            <w:pPr>
              <w:pStyle w:val="P68B1DB1-ListParagraph13"/>
              <w:numPr>
                <w:ilvl w:val="0"/>
                <w:numId w:val="59"/>
              </w:numPr>
              <w:spacing w:before="120" w:after="120" w:line="240" w:lineRule="auto"/>
              <w:ind w:left="304" w:hanging="142"/>
              <w:rPr>
                <w:rFonts w:ascii="Times New Roman" w:hAnsi="Times New Roman" w:cs="Arial"/>
                <w:noProof/>
                <w:spacing w:val="-6"/>
                <w:lang w:val="sk-SK"/>
              </w:rPr>
            </w:pPr>
            <w:r w:rsidRPr="00326E55">
              <w:rPr>
                <w:rFonts w:ascii="Times New Roman" w:hAnsi="Times New Roman"/>
                <w:noProof/>
                <w:spacing w:val="-6"/>
                <w:lang w:val="sk-SK"/>
              </w:rPr>
              <w:t>Posilnenie procedúr,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prostredníctvom stimulov,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prilákať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udržať si jednotky zamestnancov prijatých na základe systému prijímania zamestnancov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národného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w:t>
            </w:r>
            <w:r w:rsidRPr="00326E55">
              <w:rPr>
                <w:rFonts w:ascii="Times New Roman" w:hAnsi="Times New Roman"/>
                <w:noProof/>
                <w:spacing w:val="-6"/>
                <w:lang w:val="sk-SK"/>
              </w:rPr>
              <w:t>osti;</w:t>
            </w:r>
          </w:p>
          <w:p w14:paraId="2D8DAC79" w14:textId="4034CBF5" w:rsidR="00BF03AA" w:rsidRPr="00326E55" w:rsidRDefault="00FB452D">
            <w:pPr>
              <w:pStyle w:val="P68B1DB1-ListParagraph13"/>
              <w:numPr>
                <w:ilvl w:val="0"/>
                <w:numId w:val="59"/>
              </w:numPr>
              <w:spacing w:before="120" w:after="120" w:line="240" w:lineRule="auto"/>
              <w:ind w:left="304" w:hanging="142"/>
              <w:rPr>
                <w:rFonts w:ascii="Times New Roman" w:hAnsi="Times New Roman" w:cs="Arial"/>
                <w:noProof/>
                <w:spacing w:val="-6"/>
                <w:lang w:val="sk-SK"/>
              </w:rPr>
            </w:pPr>
            <w:r w:rsidRPr="00326E55">
              <w:rPr>
                <w:rFonts w:ascii="Times New Roman" w:hAnsi="Times New Roman"/>
                <w:noProof/>
                <w:spacing w:val="-6"/>
                <w:lang w:val="sk-SK"/>
              </w:rPr>
              <w:t>Vytvorenie stimulov na: 1. podporovať menej efektívne súdy pri znižovaní počtu nevyriešených prípadov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občianskeho súdnictva; 2. odmeňovať súdne úrady, ktoré dosahujú konkrétne ročné ciele zníženia počtu prebiehajúcich konaní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občianskom sú</w:t>
            </w:r>
            <w:r w:rsidRPr="00326E55">
              <w:rPr>
                <w:rFonts w:ascii="Times New Roman" w:hAnsi="Times New Roman"/>
                <w:noProof/>
                <w:spacing w:val="-6"/>
                <w:lang w:val="sk-SK"/>
              </w:rPr>
              <w:t>dnom systéme.</w:t>
            </w:r>
          </w:p>
        </w:tc>
      </w:tr>
      <w:tr w:rsidR="00BF03AA" w:rsidRPr="00326E55" w14:paraId="67453C1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E0DF0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9644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Reformy 1.4: Reforma občianskeho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8522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5818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Skrátenie dĺžky občianskoprávneho konania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6270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F4FAD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89B4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7A701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2C5A5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925F7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66534" w14:textId="25C8086E"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Skrátiť čas rozsúdenia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40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všetkých prípadov občianskoprávnych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obchodných sporových konaní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31. decembrom 2019 (2512 dní).</w:t>
            </w:r>
          </w:p>
        </w:tc>
      </w:tr>
      <w:tr w:rsidR="00BF03AA" w:rsidRPr="00326E55" w14:paraId="0AF6A40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FA4D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03751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1.5: Reforma trestného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AFDAE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6DD12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Skrátenie dĺžky trestného konania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FE451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EA2A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3E71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E6580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75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C784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2F5DA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81D3E" w14:textId="1F33F57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Skrátiť čas rozsúdenia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25</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všetkých trestných prípadov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31. decembrom 2019 (1392 dní).</w:t>
            </w:r>
          </w:p>
        </w:tc>
      </w:tr>
      <w:tr w:rsidR="00BF03AA" w:rsidRPr="00326E55" w14:paraId="643F6D4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FE4AA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819F8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1.4: Reforma občianskeho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D31D1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F198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 nevyriešených prípadov na občianskoprávnych všeobecných súdoch (prvý stupeň)</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214C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F4B30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4A9A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6D0F3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EC5BA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5373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A40422" w14:textId="34E7F4F5"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Znížiť</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90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počet prebiehajúcich konaní, ktoré sa začali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od 1</w:t>
            </w:r>
            <w:r w:rsidR="00326E55" w:rsidRPr="00326E55">
              <w:rPr>
                <w:rFonts w:ascii="Times New Roman" w:hAnsi="Times New Roman"/>
                <w:noProof/>
                <w:spacing w:val="-6"/>
                <w:lang w:val="sk-SK"/>
              </w:rPr>
              <w:t>. februára</w:t>
            </w:r>
            <w:r w:rsidRPr="00326E55">
              <w:rPr>
                <w:rFonts w:ascii="Times New Roman" w:hAnsi="Times New Roman"/>
                <w:noProof/>
                <w:spacing w:val="-6"/>
                <w:lang w:val="sk-SK"/>
              </w:rPr>
              <w:t xml:space="preserve"> 2017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ktoré boli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31. decembru 2022 stále otvorené na občianskych všeobecných súdoch (prvý stupeň). </w:t>
            </w:r>
          </w:p>
        </w:tc>
      </w:tr>
      <w:tr w:rsidR="00BF03AA" w:rsidRPr="00326E55" w14:paraId="171F21E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514B2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BE41F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1.4: Reforma občianskeho súdnictva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F545D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845FD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 nevyriešených prípadov na občianskom odvolacom súde (druhá inštancia)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5D405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A8B9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4A2A6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495F4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D8E09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2BCFF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57CBD" w14:textId="28B5037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Znížiť</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90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počet prebiehajúcich konaní, ktoré sa začali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od 1</w:t>
            </w:r>
            <w:r w:rsidR="00326E55" w:rsidRPr="00326E55">
              <w:rPr>
                <w:rFonts w:ascii="Times New Roman" w:hAnsi="Times New Roman"/>
                <w:noProof/>
                <w:spacing w:val="-6"/>
                <w:lang w:val="sk-SK"/>
              </w:rPr>
              <w:t>. februára</w:t>
            </w:r>
            <w:r w:rsidRPr="00326E55">
              <w:rPr>
                <w:rFonts w:ascii="Times New Roman" w:hAnsi="Times New Roman"/>
                <w:noProof/>
                <w:spacing w:val="-6"/>
                <w:lang w:val="sk-SK"/>
              </w:rPr>
              <w:t xml:space="preserve"> 2018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ktoré boli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3</w:t>
            </w:r>
            <w:r w:rsidRPr="00326E55">
              <w:rPr>
                <w:rFonts w:ascii="Times New Roman" w:hAnsi="Times New Roman"/>
                <w:noProof/>
                <w:spacing w:val="-6"/>
                <w:lang w:val="sk-SK"/>
              </w:rPr>
              <w:t xml:space="preserve">1. decembru 2022 stále otvorené na občianskych odvolacích súdoch (druhá inštancia). </w:t>
            </w:r>
          </w:p>
        </w:tc>
      </w:tr>
      <w:tr w:rsidR="00BF03AA" w:rsidRPr="00326E55" w14:paraId="5823CD7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33F3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49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D7E6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1.8: Postupy prijímania zamestnancov na správne súdy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66B8D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CEDDC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 nevybavených prípadov pre správne krajské súdy (prvý stupeň)</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1E55C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CCDE1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71512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42362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23735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CCB4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DEB071" w14:textId="66C5599B"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Znížiť celkový počet prebiehajúcich konaní, ktoré sú</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30. júnu 2023 stále otvorené,</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80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na všetkých správnych krajských súdoch (správny súd prvého stupňa) (102144).</w:t>
            </w:r>
          </w:p>
        </w:tc>
      </w:tr>
      <w:tr w:rsidR="00BF03AA" w:rsidRPr="00326E55" w14:paraId="5C7C723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F511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268B9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Investícia 1.8: Postupy prijímania </w:t>
            </w:r>
            <w:r w:rsidRPr="00326E55">
              <w:rPr>
                <w:rFonts w:ascii="Times New Roman" w:hAnsi="Times New Roman"/>
                <w:noProof/>
                <w:spacing w:val="-6"/>
                <w:lang w:val="sk-SK"/>
              </w:rPr>
              <w:t>zamestnancov na správne súdy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C4F3B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C7B77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 nevybavených prípadov Štátnej rady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5F20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2A6F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BB78F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1B860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F1712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8F420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E5FF35" w14:textId="1E20D938"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Znížiť počet prebiehajúcich konaní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Štátnej rade (druhá inštancia)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70</w:t>
            </w:r>
            <w:r w:rsidR="00326E55" w:rsidRPr="00326E55">
              <w:rPr>
                <w:rFonts w:ascii="Times New Roman" w:hAnsi="Times New Roman"/>
                <w:noProof/>
                <w:spacing w:val="-6"/>
                <w:lang w:val="sk-SK"/>
              </w:rPr>
              <w:t> %</w:t>
            </w:r>
            <w:r w:rsidRPr="00326E55">
              <w:rPr>
                <w:rFonts w:ascii="Times New Roman" w:hAnsi="Times New Roman"/>
                <w:noProof/>
                <w:spacing w:val="-6"/>
                <w:lang w:val="sk-SK"/>
              </w:rPr>
              <w:t>, ktoré sú</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30. júnu 2024 stále otvorené (12287).</w:t>
            </w:r>
          </w:p>
        </w:tc>
      </w:tr>
      <w:tr w:rsidR="00BF03AA" w:rsidRPr="00326E55" w14:paraId="04A1B22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36794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D775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CB5D3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C41D96" w14:textId="0D486DE8"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primárnych právnych predpisov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riadení 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FE13A" w14:textId="467F4AC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6050D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0997E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640C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C0F34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41DFD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4BD94"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Primárne právne predpisy sa týkajú minimálne:</w:t>
            </w:r>
          </w:p>
          <w:p w14:paraId="5759B074" w14:textId="7AAFF075"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1. koordinácia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monitorovanie talianskych projektov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na centrálnej úrovni;</w:t>
            </w:r>
          </w:p>
          <w:p w14:paraId="26D33C3E" w14:textId="3E3AF775"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Vymedzenie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oddelenie právomocí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schválenie príslušných mandátov rôznych orgánov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správnych orgánov </w:t>
            </w:r>
            <w:r w:rsidRPr="00326E55">
              <w:rPr>
                <w:rFonts w:ascii="Times New Roman" w:hAnsi="Times New Roman"/>
                <w:noProof/>
                <w:spacing w:val="-6"/>
                <w:lang w:val="sk-SK"/>
              </w:rPr>
              <w:t>zapojených do koordinácie,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vykonávania 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10BAD1CC" w14:textId="73C842A9"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3.vymedzenie systému včasného odhaľovania problémov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vykonávaním;</w:t>
            </w:r>
          </w:p>
          <w:p w14:paraId="6A0F2638" w14:textId="234E420D"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Ex ante vymedzenie mechanizmu presadzovania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vyriešiť problémy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vykonávaním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zabrániť </w:t>
            </w:r>
            <w:r w:rsidRPr="00326E55">
              <w:rPr>
                <w:rFonts w:ascii="Times New Roman" w:hAnsi="Times New Roman"/>
                <w:noProof/>
                <w:spacing w:val="-6"/>
                <w:lang w:val="sk-SK"/>
              </w:rPr>
              <w:t>oneskoreniam, najmä vo vzťahu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rôznym úrovniam verejnej správy;</w:t>
            </w:r>
          </w:p>
          <w:p w14:paraId="623A2B80" w14:textId="3095BD73"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Vymedzenie zamestnancov (počet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odborné znalosti) určených na koordináciu, monitorovanie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vykonávanie 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zapojených správnych orgánoch;</w:t>
            </w:r>
          </w:p>
          <w:p w14:paraId="6CA3C2AF" w14:textId="216D0385"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Vymedzenie techni</w:t>
            </w:r>
            <w:r w:rsidRPr="00326E55">
              <w:rPr>
                <w:rFonts w:ascii="Times New Roman" w:hAnsi="Times New Roman"/>
                <w:noProof/>
                <w:spacing w:val="-6"/>
                <w:lang w:val="sk-SK"/>
              </w:rPr>
              <w:t>ckej pomoci poskytovanej správnym orgánom zapojeným do vykonávania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Talianska, najmä na miestnej úrovni, čím sa zabezpečí budovanie administratívnych kapacít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verejnej správy;</w:t>
            </w:r>
          </w:p>
          <w:p w14:paraId="6170B712" w14:textId="6412F84D"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Vymedzenie „zrýchlených“ postupov na vykonávanie </w:t>
            </w:r>
            <w:r w:rsidRPr="00326E55">
              <w:rPr>
                <w:rFonts w:ascii="Times New Roman" w:hAnsi="Times New Roman"/>
                <w:noProof/>
                <w:spacing w:val="-6"/>
                <w:lang w:val="sk-SK"/>
              </w:rPr>
              <w:t>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včasné čerpanie finančných prostriedkov;</w:t>
            </w:r>
          </w:p>
          <w:p w14:paraId="3C2C255A" w14:textId="46DCFCC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8) Organizácia auditu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kontroly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postupy týkajúce sa 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r>
      <w:tr w:rsidR="00BF03AA" w:rsidRPr="00326E55" w14:paraId="69A7CE0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D694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D799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2EDF7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409062" w14:textId="308DE853"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primárnych právnych predpisov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zjednodušení administratívnych postupov na vykonávanie 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EFCE80" w14:textId="7A63AEA1"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1E89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54F8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5A053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86771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93164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A7DBC"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Opatrenia zahŕňajú:</w:t>
            </w:r>
          </w:p>
          <w:p w14:paraId="734643E6" w14:textId="041111B8"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1. odstráne</w:t>
            </w:r>
            <w:r w:rsidRPr="00326E55">
              <w:rPr>
                <w:rFonts w:ascii="Times New Roman" w:hAnsi="Times New Roman"/>
                <w:noProof/>
                <w:spacing w:val="-6"/>
                <w:lang w:val="sk-SK"/>
              </w:rPr>
              <w:t>nie kritických prekážok týkajúcich sa najmä štátneho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regionálneho hodnotenia vplyvov na životné prostredie, povoľovania nových zariadení na recykláciu odpadu, postupov schvaľovania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postupov potrebných na dosiahnutie ener</w:t>
            </w:r>
            <w:r w:rsidRPr="00326E55">
              <w:rPr>
                <w:rFonts w:ascii="Times New Roman" w:hAnsi="Times New Roman"/>
                <w:noProof/>
                <w:spacing w:val="-6"/>
                <w:lang w:val="sk-SK"/>
              </w:rPr>
              <w:t>getickej hospodárnosti budov (tzv. Super Bonus)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obnovy miest. Osobitné opatrenia sa venujú zjednodušeniu postupov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konferencie „Conferenza di servizi“ (formálna dohoda medzi dvoma alebo viacerými orgánmi verejnej správy).</w:t>
            </w:r>
          </w:p>
        </w:tc>
      </w:tr>
      <w:tr w:rsidR="00BF03AA" w:rsidRPr="00326E55" w14:paraId="1214E88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97070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6863D" w14:textId="07ED1525"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Investícia </w:t>
            </w:r>
            <w:r w:rsidRPr="00326E55">
              <w:rPr>
                <w:rFonts w:ascii="Times New Roman" w:hAnsi="Times New Roman"/>
                <w:noProof/>
                <w:spacing w:val="-6"/>
                <w:lang w:val="sk-SK"/>
              </w:rPr>
              <w:t>1.9: Poskytnúť technickú pomoc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posilniť budovanie kapacít na vykonávanie 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88D06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B04EE6" w14:textId="3B8D06AD"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Nadobudnutie účinnosti primárnych právnych predpisov na poskytovanie technickej pomoci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budovania kapacít na vykonávanie tali</w:t>
            </w:r>
            <w:r w:rsidRPr="00326E55">
              <w:rPr>
                <w:rFonts w:ascii="Times New Roman" w:hAnsi="Times New Roman"/>
                <w:noProof/>
                <w:spacing w:val="-6"/>
                <w:lang w:val="sk-SK"/>
              </w:rPr>
              <w:t>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F7F9B" w14:textId="7C4E73C5"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F440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1E83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70CE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B6E23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11523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8ADF18"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Opatrenia zahŕňajú ustanovenie umožňujúce dočasný nábor:</w:t>
            </w:r>
          </w:p>
          <w:p w14:paraId="379D6586" w14:textId="7777777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I) 2800 technických údajov na posilnenie verejných správ na juhu </w:t>
            </w:r>
            <w:r w:rsidRPr="00326E55">
              <w:rPr>
                <w:rFonts w:ascii="Times New Roman" w:hAnsi="Times New Roman"/>
                <w:noProof/>
                <w:spacing w:val="-6"/>
                <w:lang w:val="sk-SK"/>
              </w:rPr>
              <w:t>platených zo štátneho rozpočtu;</w:t>
            </w:r>
          </w:p>
          <w:p w14:paraId="2C4C9C4C" w14:textId="7777777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II) skupina 1000 expertov, ktorí budú vyslaní na tri roky na podporu správnych orgánov pri riadení nových postupov poskytovania technickej pomoci.</w:t>
            </w:r>
          </w:p>
        </w:tc>
      </w:tr>
      <w:tr w:rsidR="00BF03AA" w:rsidRPr="00326E55" w14:paraId="26EEDEC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A340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19C87B" w14:textId="6EE34639"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Investícia 1.9: Poskytnúť technickú pomoc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posilniť budovanie </w:t>
            </w:r>
            <w:r w:rsidRPr="00326E55">
              <w:rPr>
                <w:rFonts w:ascii="Times New Roman" w:hAnsi="Times New Roman"/>
                <w:noProof/>
                <w:spacing w:val="-6"/>
                <w:lang w:val="sk-SK"/>
              </w:rPr>
              <w:t>kapacít na vykonávanie 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2CE06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AA1228" w14:textId="3928F9C5"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Ukončený nábor expertov na vykonávanie 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7659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142A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75B5D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CDB80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A6E0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FB582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70F189" w14:textId="7777777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Dokončiť postupy prijímania do skupiny 1000 expertov, ktorí budú vysla</w:t>
            </w:r>
            <w:r w:rsidRPr="00326E55">
              <w:rPr>
                <w:rFonts w:ascii="Times New Roman" w:hAnsi="Times New Roman"/>
                <w:noProof/>
                <w:spacing w:val="-6"/>
                <w:lang w:val="sk-SK"/>
              </w:rPr>
              <w:t>ní na tri roky na podporu administratívy pri riadení nových postupov poskytovania technickej pomoci.</w:t>
            </w:r>
          </w:p>
        </w:tc>
      </w:tr>
      <w:tr w:rsidR="00BF03AA" w:rsidRPr="00326E55" w14:paraId="20EC640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623A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F1CA6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EFA9D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5D46" w14:textId="2A341B9F"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Rozšírenie metodiky uplatňovanej na taliansky plán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na štátny rozpočet</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w:t>
            </w:r>
            <w:r w:rsidRPr="00326E55">
              <w:rPr>
                <w:rFonts w:ascii="Times New Roman" w:hAnsi="Times New Roman"/>
                <w:noProof/>
                <w:spacing w:val="-6"/>
                <w:lang w:val="sk-SK"/>
              </w:rPr>
              <w:t>zvýšiť absorpciu investícií</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B2609" w14:textId="4943DAD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rozšírenia metodiky</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F1EC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8CAD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0C46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AC9B5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FF0E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58E23F" w14:textId="3B768575"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Vytvoriť zjednodušený systém míľnikov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cieľov podobný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na plánovanie,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financovanie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doplnkového investičného fondu (30,5 miliardy EUR).</w:t>
            </w:r>
          </w:p>
        </w:tc>
      </w:tr>
      <w:tr w:rsidR="00BF03AA" w:rsidRPr="00326E55" w14:paraId="2FE6088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C731D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D1081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30FAA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0DBD4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právnych predpisov umožňujúcich reformu zamestnanosti vo</w:t>
            </w:r>
            <w:r w:rsidRPr="00326E55">
              <w:rPr>
                <w:rFonts w:ascii="Times New Roman" w:hAnsi="Times New Roman"/>
                <w:noProof/>
                <w:spacing w:val="-6"/>
                <w:lang w:val="sk-SK"/>
              </w:rPr>
              <w:t xml:space="preserve"> verejnom sektore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222A80" w14:textId="1BC888A8"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C539B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399F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77527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A31A4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343CD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DA651"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Splnomocňujúce právne predpisy zahŕňajú tieto opatrenia:</w:t>
            </w:r>
          </w:p>
          <w:p w14:paraId="64B25873" w14:textId="60D2A0F4"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vymedziť profily pracovných miest špecifické pre verejný sektor</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prilák</w:t>
            </w:r>
            <w:r w:rsidRPr="00326E55">
              <w:rPr>
                <w:rFonts w:ascii="Times New Roman" w:hAnsi="Times New Roman"/>
                <w:noProof/>
                <w:spacing w:val="-6"/>
                <w:lang w:val="sk-SK"/>
              </w:rPr>
              <w:t>ať potrebné kompetencie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zručnosti,</w:t>
            </w:r>
          </w:p>
          <w:p w14:paraId="28F82A9E" w14:textId="7777777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vytvorenie jednotnej náborovej platformy na centralizáciu postupov prijímania verejných zamestnancov pre všetky ústredné orgány verejnej správy so záväzkom rozšíriť používanie platformy aj na miestne správy,</w:t>
            </w:r>
          </w:p>
          <w:p w14:paraId="5387A605" w14:textId="3B060E15"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reforma</w:t>
            </w:r>
            <w:r w:rsidRPr="00326E55">
              <w:rPr>
                <w:rFonts w:ascii="Times New Roman" w:hAnsi="Times New Roman"/>
                <w:noProof/>
                <w:spacing w:val="-6"/>
                <w:lang w:val="sk-SK"/>
              </w:rPr>
              <w:t xml:space="preserve"> procesu prijímania zamestnancov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I) prejsť od systému založeného výlučne na vedomostiach</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systému založenému predovšetkým na kompetenciách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vhodných schopnostiach; II) posúdiť kompetencie na výkon štátnych zamestnancov; III) rozlišovať postupy </w:t>
            </w:r>
            <w:r w:rsidRPr="00326E55">
              <w:rPr>
                <w:rFonts w:ascii="Times New Roman" w:hAnsi="Times New Roman"/>
                <w:noProof/>
                <w:spacing w:val="-6"/>
                <w:lang w:val="sk-SK"/>
              </w:rPr>
              <w:t>prijímania zamestnancov medzi nástupným náborom, ktorý je výlučne založený na spôsobilostiach,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náborom špecializovaných profilov, ktoré by mali spájať kompetencie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pracovnými skúsenosťami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viesť by</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prístupu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kariére na vyššej úrovni. Min</w:t>
            </w:r>
            <w:r w:rsidRPr="00326E55">
              <w:rPr>
                <w:rFonts w:ascii="Times New Roman" w:hAnsi="Times New Roman"/>
                <w:noProof/>
                <w:spacing w:val="-6"/>
                <w:lang w:val="sk-SK"/>
              </w:rPr>
              <w:t>isterstvo verejnej správy zabezpečuje jednotné vykonávanie nového procesu vo všetkých správnych orgánoch;</w:t>
            </w:r>
          </w:p>
          <w:p w14:paraId="15F8F79E" w14:textId="1249C97C"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reforma vyššej štátnej služby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zjednotiť postupy menovania vo verejnej správe, vymedziť profily pracovných miest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vyhodnotiť ich výkonnosť,</w:t>
            </w:r>
          </w:p>
          <w:p w14:paraId="0B402E29" w14:textId="3562F0D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posilnili prepojenie medzi príležitosťami celoživotného vzdelávania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odbornej prípravy pre zamestnancov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stimulmi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účasti, napríklad plánovaním mechanizmov odmeňovania alebo osobitných kariérnych dráh,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osobitným dôrazom na dvojakú transformáciu;</w:t>
            </w:r>
          </w:p>
          <w:p w14:paraId="3837927E" w14:textId="305F3950"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vymedziť alebo aktualizovať etické zásady verejnej správy prostredníctvom jasných pravidiel, kódexov správania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modulov odbornej prípravy na túto tému,</w:t>
            </w:r>
          </w:p>
          <w:p w14:paraId="46FBBD12"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posilniť záväzok týkajúci sa rodovej rovnováhy,</w:t>
            </w:r>
          </w:p>
          <w:p w14:paraId="42913873" w14:textId="600D867C"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—prepracovať regulačný rámec pre vertikálnu mobilit</w:t>
            </w:r>
            <w:r w:rsidRPr="00326E55">
              <w:rPr>
                <w:rFonts w:ascii="Times New Roman" w:hAnsi="Times New Roman"/>
                <w:noProof/>
                <w:spacing w:val="-6"/>
                <w:lang w:val="sk-SK"/>
              </w:rPr>
              <w:t>u, reformovať kariérne dráhy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vytvoriť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získať 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pozíciám stredného manažmentu („quadri“)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vyšším občianskym pozíciám („dirigenti di prima e seconda fascia“)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administratívy. To zahŕňa reformu systému hodnotenia výkonnosti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w:t>
            </w:r>
            <w:r w:rsidRPr="00326E55">
              <w:rPr>
                <w:rFonts w:ascii="Times New Roman" w:hAnsi="Times New Roman"/>
                <w:noProof/>
                <w:spacing w:val="-6"/>
                <w:lang w:val="sk-SK"/>
              </w:rPr>
              <w:t>silnenie prepojenia medzi kariérnym postupom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hodnotením výkonnosti;</w:t>
            </w:r>
          </w:p>
          <w:p w14:paraId="582F769B" w14:textId="24626630"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—prepracovať regulačný rámec pre horizontálnu mobilitu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dosiahnuť efektívny trh práce vo verejnej správe vrátane a) vytvorenia transparentného jednotného reklamného systému pre v</w:t>
            </w:r>
            <w:r w:rsidRPr="00326E55">
              <w:rPr>
                <w:rFonts w:ascii="Times New Roman" w:hAnsi="Times New Roman"/>
                <w:noProof/>
                <w:spacing w:val="-6"/>
                <w:lang w:val="sk-SK"/>
              </w:rPr>
              <w:t>šetky voľné pracovné miesta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ústrednej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miestnej správe; b) možnosti požiadať</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akúkoľvek dostupnú pozíciu kdekoľvek; c) zrušenia povolenia na mobilitu od správy pôvodu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d) zavedenia významných obmedzení používania alternatívnych prostriedkov mobility, </w:t>
            </w:r>
            <w:r w:rsidRPr="00326E55">
              <w:rPr>
                <w:rFonts w:ascii="Times New Roman" w:hAnsi="Times New Roman"/>
                <w:noProof/>
                <w:spacing w:val="-6"/>
                <w:lang w:val="sk-SK"/>
              </w:rPr>
              <w:t>ktoré nevedú</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presunom (t. j. „comandi“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„distacchi“), aby sa stali výnimočnými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prísne časovo obmedzenými.</w:t>
            </w:r>
          </w:p>
        </w:tc>
      </w:tr>
      <w:tr w:rsidR="00BF03AA" w:rsidRPr="00326E55" w14:paraId="2B55368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2E6C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BD680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4C52F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17D50D" w14:textId="3B5AECEC"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Nadobudnutie účinnosti administratívnych postupov pre zjednodušujúcu reformu zameranú na </w:t>
            </w:r>
            <w:r w:rsidRPr="00326E55">
              <w:rPr>
                <w:rFonts w:ascii="Times New Roman" w:hAnsi="Times New Roman"/>
                <w:noProof/>
                <w:spacing w:val="-6"/>
                <w:lang w:val="sk-SK"/>
              </w:rPr>
              <w:t>vykonávanie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552F35" w14:textId="5561F34D"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sekundárnych právnych predpisov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00FC2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D5BC8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AE83D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05F36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56A34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1FEB5" w14:textId="7AA5D8CA"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Nadobudnutie účinnosti všetkých súvisiacich delegovaných aktov, ministerských</w:t>
            </w:r>
            <w:r w:rsidRPr="00326E55">
              <w:rPr>
                <w:rFonts w:ascii="Times New Roman" w:hAnsi="Times New Roman"/>
                <w:noProof/>
                <w:spacing w:val="-6"/>
                <w:lang w:val="sk-SK"/>
              </w:rPr>
              <w:t xml:space="preserve"> vyhlášok, sekundárnych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všetkých ostatných nariadení potrebných na účinné vykonávanie zjednodušenia vrátane dohôd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regiónmi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výlučnej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súbežnej regionálnej právomoci.</w:t>
            </w:r>
          </w:p>
        </w:tc>
      </w:tr>
      <w:tr w:rsidR="00BF03AA" w:rsidRPr="00326E55" w14:paraId="7907740C"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19B9E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DD5A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AD99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7B235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právnych aktov na reformu zamestnanosti vo verejnom sektore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08A3FD" w14:textId="3A648F96"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právnych aktov týkajúcich sa reformy zamestnanosti vo verejnom sektore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880EC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AAE70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6E5E2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1F9B4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94856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CD8F83" w14:textId="4705007D"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Nadobudnutie úči</w:t>
            </w:r>
            <w:r w:rsidRPr="00326E55">
              <w:rPr>
                <w:rFonts w:ascii="Times New Roman" w:hAnsi="Times New Roman"/>
                <w:noProof/>
                <w:spacing w:val="-6"/>
                <w:lang w:val="sk-SK"/>
              </w:rPr>
              <w:t>nnosti všetkých súvisiacich delegovaných aktov, ministerských vyhlášok, sekundárnych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všetkých ostatných nariadení potrebných na účinné vykonávanie reformy.</w:t>
            </w:r>
          </w:p>
        </w:tc>
      </w:tr>
      <w:tr w:rsidR="00BF03AA" w:rsidRPr="00326E55" w14:paraId="0DC6F82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FBD9E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E47D1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0B2D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F93B1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strategického riadenia ľudských zdrojov vo verejnej správe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5BE308" w14:textId="7CDFFA32"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právnych predpisov na zavedenie strategického riadenia ľudských zdrojov vo verejnej správe</w:t>
            </w:r>
          </w:p>
          <w:p w14:paraId="242153F1" w14:textId="77777777" w:rsidR="00BF03AA" w:rsidRPr="00326E55" w:rsidRDefault="00BF03AA">
            <w:pPr>
              <w:jc w:val="center"/>
              <w:rPr>
                <w:rFonts w:ascii="Times New Roman" w:hAnsi="Times New Roman" w:cs="Arial"/>
                <w:noProof/>
                <w:color w:val="006100"/>
                <w:spacing w:val="-6"/>
                <w:sz w:val="20"/>
                <w:szCs w:val="20"/>
                <w:lang w:val="sk-SK"/>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E1A9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E1A9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FF24F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39F93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1A728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8335A" w14:textId="51A65AE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Právne predpisy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delegované akty na zavedenie strategického riadenia ľudských zdrojov vo verejnej správe zahŕňajú: vymedzenie strategických plánov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ľudských zdrojov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kontexte integrovaného plánu činnosti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organizácie (PIAO) pre nábor, kariérny rozvoj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odbornú p</w:t>
            </w:r>
            <w:r w:rsidRPr="00326E55">
              <w:rPr>
                <w:rFonts w:ascii="Times New Roman" w:hAnsi="Times New Roman"/>
                <w:noProof/>
                <w:spacing w:val="-6"/>
                <w:lang w:val="sk-SK"/>
              </w:rPr>
              <w:t>rípravu pre všetky ústredné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regionálne správy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podporou integrovanej databázy so zručnosťami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profilmi; vytvorenie centrálnej doručovacej jednotky, ktorá koordinuje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podporuje systém plánovania ľudských zdrojov.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druhej fáze sa strategické plány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w:t>
            </w:r>
            <w:r w:rsidRPr="00326E55">
              <w:rPr>
                <w:rFonts w:ascii="Times New Roman" w:hAnsi="Times New Roman"/>
                <w:noProof/>
                <w:spacing w:val="-6"/>
                <w:lang w:val="sk-SK"/>
              </w:rPr>
              <w:t>lasti ľudských zdrojov rozšíria na veľké obce, zatiaľ čo malé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stredné obce sú predmetom osobitných investícií do budovania kapacít.</w:t>
            </w:r>
          </w:p>
        </w:tc>
      </w:tr>
      <w:tr w:rsidR="00BF03AA" w:rsidRPr="00326E55" w14:paraId="161961A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A148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59BIS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6279A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p w14:paraId="0EE0CF43" w14:textId="77777777" w:rsidR="00BF03AA" w:rsidRPr="00326E55" w:rsidRDefault="00BF03AA">
            <w:pPr>
              <w:jc w:val="center"/>
              <w:rPr>
                <w:rFonts w:ascii="Times New Roman" w:hAnsi="Times New Roman" w:cs="Arial"/>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7BF28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14709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Vykonávanie strategického riadenia ľudských zdrojov vo verejnej</w:t>
            </w:r>
            <w:r w:rsidRPr="00326E55">
              <w:rPr>
                <w:rFonts w:ascii="Times New Roman" w:hAnsi="Times New Roman"/>
                <w:noProof/>
                <w:spacing w:val="-6"/>
                <w:lang w:val="sk-SK"/>
              </w:rPr>
              <w:t xml:space="preserve"> správe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17176" w14:textId="66F3773F"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Uverejnenie prvej polročnej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KPI.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A6C5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7B59D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31655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09A03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3F6C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2F3538" w14:textId="1EC81C2B" w:rsidR="00BF03AA" w:rsidRPr="00326E55" w:rsidRDefault="00FB452D">
            <w:pPr>
              <w:pStyle w:val="P68B1DB1-Normal11"/>
              <w:rPr>
                <w:rFonts w:ascii="Times New Roman" w:hAnsi="Times New Roman" w:cs="Arial"/>
                <w:noProof/>
                <w:spacing w:val="-6"/>
                <w:szCs w:val="20"/>
                <w:lang w:val="sk-SK"/>
              </w:rPr>
            </w:pPr>
            <w:r w:rsidRPr="00326E55">
              <w:rPr>
                <w:rFonts w:ascii="Times New Roman" w:hAnsi="Times New Roman"/>
                <w:noProof/>
                <w:spacing w:val="-6"/>
                <w:lang w:val="sk-SK"/>
              </w:rPr>
              <w:t>Uverejní sa prvá polročná správa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KPI.</w:t>
            </w:r>
          </w:p>
        </w:tc>
      </w:tr>
      <w:tr w:rsidR="00BF03AA" w:rsidRPr="00326E55" w14:paraId="688BDC2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472B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59b</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7122D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Reforma 1.9: Reforma verejnej správy</w:t>
            </w:r>
          </w:p>
          <w:p w14:paraId="2452FFA1" w14:textId="77777777" w:rsidR="00BF03AA" w:rsidRPr="00326E55" w:rsidRDefault="00BF03AA">
            <w:pPr>
              <w:jc w:val="center"/>
              <w:rPr>
                <w:rFonts w:ascii="Times New Roman" w:hAnsi="Times New Roman"/>
                <w:noProof/>
                <w:color w:val="006100"/>
                <w:spacing w:val="-6"/>
                <w:sz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2595B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EC3E6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Vykonávanie strategického riadenia ľudských zdrojov vo </w:t>
            </w:r>
            <w:r w:rsidRPr="00326E55">
              <w:rPr>
                <w:rFonts w:ascii="Times New Roman" w:hAnsi="Times New Roman"/>
                <w:noProof/>
                <w:spacing w:val="-6"/>
                <w:lang w:val="sk-SK"/>
              </w:rPr>
              <w:t>verejnej správe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1E6FB" w14:textId="410CE66B"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Funkčná „nástroj HRM-Minerva“, interoperabilná</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inPA, Syllabusom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digitálnou platformou PIAO,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overovanie strategických plánov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ľudských zdrojov.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A6F9A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C39C8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80D3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FF65E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F4F28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3060FD" w14:textId="77777777" w:rsidR="00326E55" w:rsidRPr="00326E55" w:rsidRDefault="00FB452D">
            <w:pPr>
              <w:pStyle w:val="P68B1DB1-Normal12"/>
              <w:spacing w:before="120"/>
              <w:contextualSpacing/>
              <w:rPr>
                <w:rFonts w:ascii="Times New Roman" w:hAnsi="Times New Roman"/>
                <w:noProof/>
                <w:spacing w:val="-6"/>
                <w:lang w:val="sk-SK"/>
              </w:rPr>
            </w:pPr>
            <w:r w:rsidRPr="00326E55">
              <w:rPr>
                <w:rFonts w:ascii="Times New Roman" w:hAnsi="Times New Roman"/>
                <w:i/>
                <w:noProof/>
                <w:spacing w:val="-6"/>
                <w:lang w:val="sk-SK"/>
              </w:rPr>
              <w:t>„Verbale di collaudo e verifica</w:t>
            </w:r>
            <w:r w:rsidRPr="00326E55">
              <w:rPr>
                <w:rFonts w:ascii="Times New Roman" w:hAnsi="Times New Roman"/>
                <w:i/>
                <w:noProof/>
                <w:spacing w:val="-6"/>
                <w:lang w:val="sk-SK"/>
              </w:rPr>
              <w:t xml:space="preserve"> di conformità“</w:t>
            </w:r>
            <w:r w:rsidRPr="00326E55">
              <w:rPr>
                <w:rFonts w:ascii="Times New Roman" w:hAnsi="Times New Roman"/>
                <w:noProof/>
                <w:spacing w:val="-6"/>
                <w:lang w:val="sk-SK"/>
              </w:rPr>
              <w:t>, čo dokazuje i) že „Toolkit HRM-Minerva“ je funkčný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 je interoperabilný</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náborovou platformou (inPA), platformou „Syllabus“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digitálnou platformou PIAO,</w:t>
            </w:r>
          </w:p>
          <w:p w14:paraId="60062E39" w14:textId="722EB05A" w:rsidR="00BF03AA" w:rsidRPr="00326E55" w:rsidRDefault="00BF03AA">
            <w:pPr>
              <w:spacing w:before="120"/>
              <w:contextualSpacing/>
              <w:rPr>
                <w:rFonts w:ascii="Times New Roman" w:hAnsi="Times New Roman"/>
                <w:noProof/>
                <w:color w:val="006100"/>
                <w:spacing w:val="-6"/>
                <w:sz w:val="20"/>
                <w:szCs w:val="20"/>
                <w:lang w:val="sk-SK"/>
              </w:rPr>
            </w:pPr>
          </w:p>
          <w:p w14:paraId="68282E7A" w14:textId="4629E01B"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V správe ministerstva verejných funkcií sa overuje obsah príslušných </w:t>
            </w:r>
            <w:r w:rsidRPr="00326E55">
              <w:rPr>
                <w:rFonts w:ascii="Times New Roman" w:hAnsi="Times New Roman"/>
                <w:noProof/>
                <w:spacing w:val="-6"/>
                <w:lang w:val="sk-SK"/>
              </w:rPr>
              <w:t>strategických plánov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ľudských zdrojov (Programma Triennale dei fabbisogni del Personale) zahrnutých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PIAO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vnútroštátnych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regionálnych správnych orgánov zapojených do pilotného projektu „Toolkit HRM – Minerva“.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správe sa uvedú násle</w:t>
            </w:r>
            <w:r w:rsidRPr="00326E55">
              <w:rPr>
                <w:rFonts w:ascii="Times New Roman" w:hAnsi="Times New Roman"/>
                <w:noProof/>
                <w:spacing w:val="-6"/>
                <w:lang w:val="sk-SK"/>
              </w:rPr>
              <w:t>dné opatrenia odporúčané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DFP</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spôsob zohľadnenia výsledkov polročných správ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KPI.</w:t>
            </w:r>
          </w:p>
        </w:tc>
      </w:tr>
      <w:tr w:rsidR="00BF03AA" w:rsidRPr="00326E55" w14:paraId="257241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8C7B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60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62764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60172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4DDBB" w14:textId="165382C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Zjednodušenie a/alebo digitalizácia 200 kritických postupov, ktoré majú vplyv na občanov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podniky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B090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B53C6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C5CB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CE19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C66DC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6DB5D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E6F24C" w14:textId="77777777" w:rsidR="00BF03AA" w:rsidRPr="00326E55" w:rsidRDefault="00FB452D">
            <w:pPr>
              <w:pStyle w:val="P68B1DB1-Normal12"/>
              <w:spacing w:before="120"/>
              <w:contextualSpacing/>
              <w:rPr>
                <w:rFonts w:ascii="Times New Roman" w:hAnsi="Times New Roman"/>
                <w:noProof/>
                <w:spacing w:val="-6"/>
                <w:lang w:val="sk-SK"/>
              </w:rPr>
            </w:pPr>
            <w:r w:rsidRPr="00326E55">
              <w:rPr>
                <w:rFonts w:ascii="Times New Roman" w:hAnsi="Times New Roman"/>
                <w:noProof/>
                <w:spacing w:val="-6"/>
                <w:lang w:val="sk-SK"/>
              </w:rPr>
              <w:t>Zjednodušenie a/alebo digitalizácia postupov sa týka aspoň tejto oblasti:</w:t>
            </w:r>
          </w:p>
          <w:p w14:paraId="1CEA0FA0" w14:textId="3D086B63"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Životné prostredie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energetika, obnoviteľné zdroje energie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ekologické hospodárstvo;</w:t>
            </w:r>
          </w:p>
          <w:p w14:paraId="7EB7C829" w14:textId="09C64FE1"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2. výstavba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rekvalifikácia miest</w:t>
            </w:r>
            <w:r w:rsidR="00326E55" w:rsidRPr="00326E55">
              <w:rPr>
                <w:rFonts w:ascii="Times New Roman" w:hAnsi="Times New Roman"/>
                <w:noProof/>
                <w:spacing w:val="-6"/>
                <w:lang w:val="sk-SK"/>
              </w:rPr>
              <w:t>;</w:t>
            </w:r>
          </w:p>
          <w:p w14:paraId="1B22E3F0" w14:textId="648934B4"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3. infraštruktúra elektronických </w:t>
            </w:r>
            <w:r w:rsidRPr="00326E55">
              <w:rPr>
                <w:rFonts w:ascii="Times New Roman" w:hAnsi="Times New Roman"/>
                <w:noProof/>
                <w:spacing w:val="-6"/>
                <w:lang w:val="sk-SK"/>
              </w:rPr>
              <w:t>komunikácií;</w:t>
            </w:r>
          </w:p>
          <w:p w14:paraId="248F385E" w14:textId="65F1C91B"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4) Zakladanie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prevádzkovanie hospodárskych činností.</w:t>
            </w:r>
          </w:p>
        </w:tc>
      </w:tr>
      <w:tr w:rsidR="00BF03AA" w:rsidRPr="00326E55" w14:paraId="48CC60C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3DD239"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M1C1 – 62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B6A15B" w14:textId="77777777" w:rsidR="00BF03AA" w:rsidRPr="00326E55" w:rsidRDefault="00FB452D">
            <w:pPr>
              <w:pStyle w:val="P68B1DB1-Normal11"/>
              <w:jc w:val="center"/>
              <w:rPr>
                <w:rFonts w:ascii="Times New Roman" w:hAnsi="Times New Roman" w:cs="Arial"/>
                <w:noProof/>
                <w:spacing w:val="-6"/>
                <w:szCs w:val="20"/>
                <w:lang w:val="sk-SK"/>
              </w:rPr>
            </w:pPr>
            <w:bookmarkStart w:id="3" w:name="_Hlk160472673"/>
            <w:r w:rsidRPr="00326E55">
              <w:rPr>
                <w:rFonts w:ascii="Times New Roman" w:hAnsi="Times New Roman"/>
                <w:noProof/>
                <w:spacing w:val="-6"/>
                <w:lang w:val="sk-SK"/>
              </w:rPr>
              <w:t>Reforma 1.9: Reforma verejnej správy</w:t>
            </w:r>
            <w:bookmarkEnd w:id="3"/>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59194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2C283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Zvýšiť absorpciu investícií</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0EA06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Uverejnenie správy ministerstvom financií</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2BE5D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CFD7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35677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CF563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2C2E5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FB7536" w14:textId="508B82AC"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Uverejnenie </w:t>
            </w:r>
            <w:r w:rsidRPr="00326E55">
              <w:rPr>
                <w:rFonts w:ascii="Times New Roman" w:hAnsi="Times New Roman"/>
                <w:noProof/>
                <w:spacing w:val="-6"/>
                <w:lang w:val="sk-SK"/>
              </w:rPr>
              <w:t>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absorpcii zdrojov doplnkového fondu pridelených do roku 2024.</w:t>
            </w:r>
          </w:p>
        </w:tc>
      </w:tr>
      <w:tr w:rsidR="00BF03AA" w:rsidRPr="00326E55" w14:paraId="44A591D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A962B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63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3C2D8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ABF00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44823"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Uverejnenie registra všetkých zjednodušených a/alebo digitalizovaných postupov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F0296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Uverejnenie úložiska na webovom sídle ministerstva</w:t>
            </w:r>
            <w:r w:rsidRPr="00326E55">
              <w:rPr>
                <w:rFonts w:ascii="Times New Roman" w:hAnsi="Times New Roman"/>
                <w:noProof/>
                <w:spacing w:val="-6"/>
                <w:lang w:val="sk-SK"/>
              </w:rPr>
              <w:t xml:space="preserve"> verejných funkcií</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71213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4422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3A9FB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E2F9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53E6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76C664" w14:textId="78C72E57" w:rsidR="00BF03AA" w:rsidRPr="00326E55" w:rsidRDefault="00FB452D">
            <w:pPr>
              <w:pStyle w:val="P68B1DB1-Normal11"/>
              <w:rPr>
                <w:rFonts w:ascii="Times New Roman" w:hAnsi="Times New Roman" w:cs="Arial"/>
                <w:noProof/>
                <w:spacing w:val="-6"/>
                <w:szCs w:val="20"/>
                <w:lang w:val="sk-SK"/>
              </w:rPr>
            </w:pPr>
            <w:r w:rsidRPr="00326E55">
              <w:rPr>
                <w:rFonts w:ascii="Times New Roman" w:hAnsi="Times New Roman"/>
                <w:noProof/>
                <w:spacing w:val="-6"/>
                <w:szCs w:val="20"/>
                <w:lang w:val="sk-SK"/>
              </w:rPr>
              <w:t>Register zjednodušených a/alebo digitalizovaných postupov je</w:t>
            </w:r>
            <w:r w:rsidR="00326E55" w:rsidRPr="00326E55">
              <w:rPr>
                <w:rFonts w:ascii="Times New Roman" w:hAnsi="Times New Roman"/>
                <w:noProof/>
                <w:spacing w:val="-6"/>
                <w:szCs w:val="20"/>
                <w:lang w:val="sk-SK"/>
              </w:rPr>
              <w:t xml:space="preserve"> k </w:t>
            </w:r>
            <w:r w:rsidRPr="00326E55">
              <w:rPr>
                <w:rFonts w:ascii="Times New Roman" w:hAnsi="Times New Roman"/>
                <w:noProof/>
                <w:spacing w:val="-6"/>
                <w:szCs w:val="20"/>
                <w:lang w:val="sk-SK"/>
              </w:rPr>
              <w:t>dispozícii na webovej stránke spravovanej ministerstvom verejnej funkcie (www.italiasemplice.gov.it). Údaje</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 xml:space="preserve">dostupnosti </w:t>
            </w:r>
            <w:r w:rsidRPr="00326E55">
              <w:rPr>
                <w:rFonts w:ascii="Times New Roman" w:hAnsi="Times New Roman"/>
                <w:noProof/>
                <w:spacing w:val="-6"/>
                <w:szCs w:val="20"/>
                <w:lang w:val="sk-SK"/>
              </w:rPr>
              <w:t>Sportello Unico Attività Produttive (SUAP)</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Sportello Unico Edilizia (SUE) na celom území štátu sú dostupné na webovej stránke www.impresainungiorno.gov.it</w:t>
            </w:r>
            <w:r w:rsidRPr="00326E55">
              <w:rPr>
                <w:rFonts w:ascii="Times New Roman" w:hAnsi="Times New Roman"/>
                <w:noProof/>
                <w:spacing w:val="-6"/>
                <w:lang w:val="sk-SK"/>
              </w:rPr>
              <w:t>.</w:t>
            </w:r>
          </w:p>
        </w:tc>
      </w:tr>
      <w:tr w:rsidR="00BF03AA" w:rsidRPr="00326E55" w14:paraId="4355ABF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D7CE34"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M1C1 – 66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0E6693" w14:textId="32A52676"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Investícia 1.9: Poskytnúť technickú pomoc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posilniť budovanie kapacít na vykonávanie </w:t>
            </w:r>
            <w:r w:rsidRPr="00326E55">
              <w:rPr>
                <w:rFonts w:ascii="Times New Roman" w:hAnsi="Times New Roman"/>
                <w:noProof/>
                <w:spacing w:val="-6"/>
                <w:lang w:val="sk-SK"/>
              </w:rPr>
              <w:t>talianskeho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1EC6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56B41D" w14:textId="081CAFF2"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Vzdelávanie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odborná príprava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4872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5701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8AB14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C08340" w14:textId="6BC559C6"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441 750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783BD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D72D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4A7420" w14:textId="5FAF1453"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 platforme Syllabus je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dispozícii najmenej 441750 osvedčení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odbornej príprave pre zamestnancov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najmenej 1500000 </w:t>
            </w:r>
            <w:r w:rsidRPr="00326E55">
              <w:rPr>
                <w:rFonts w:ascii="Times New Roman" w:hAnsi="Times New Roman"/>
                <w:noProof/>
                <w:spacing w:val="-6"/>
                <w:lang w:val="sk-SK"/>
              </w:rPr>
              <w:t>osvedčení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účasti na vzdelávacích činnostiach, ktoré sú</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dispozícii na platforme Syllabus. </w:t>
            </w:r>
          </w:p>
        </w:tc>
      </w:tr>
      <w:tr w:rsidR="00BF03AA" w:rsidRPr="00326E55" w14:paraId="651E05D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3E30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68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9A6F7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1.9: Reforma verejnej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B3313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35855" w14:textId="02731AF3"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Registračný systém pre audit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kontroly: informácie na monitorovanie vykonávania RRF</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0707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Audítorská správa </w:t>
            </w:r>
            <w:r w:rsidRPr="00326E55">
              <w:rPr>
                <w:rFonts w:ascii="Times New Roman" w:hAnsi="Times New Roman"/>
                <w:noProof/>
                <w:spacing w:val="-6"/>
                <w:lang w:val="sk-SK"/>
              </w:rPr>
              <w:t>potvrdzujúca funkcie registračného systému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6AEC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5B578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39334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0F9D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D9F2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F39D0" w14:textId="12CF7191"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Musí byť zavedený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funkčný systém registra na monitorovanie vykonávania RRF.</w:t>
            </w:r>
          </w:p>
          <w:p w14:paraId="5099C591"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Systém zahŕňa minimálne tieto funkcie:</w:t>
            </w:r>
          </w:p>
          <w:p w14:paraId="363D1FD2" w14:textId="5C58637D"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a) zbierať údaje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monitorovať dosahovanie mí</w:t>
            </w:r>
            <w:r w:rsidRPr="00326E55">
              <w:rPr>
                <w:rFonts w:ascii="Times New Roman" w:hAnsi="Times New Roman"/>
                <w:noProof/>
                <w:spacing w:val="-6"/>
                <w:lang w:val="sk-SK"/>
              </w:rPr>
              <w:t>ľnikov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cieľov;</w:t>
            </w:r>
          </w:p>
          <w:p w14:paraId="61FA9474" w14:textId="0F58B275"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b) zhromažďovať, uchovávať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zabezpečovať 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údajom požadovaným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22 ods. 2 písm. d) bodoch i) až iii) nariadenia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r>
      <w:tr w:rsidR="00BF03AA" w:rsidRPr="00326E55" w14:paraId="11B518A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D247C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69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181B6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Reforma 1.10: Reforma legislatívneho rámca pre verejné </w:t>
            </w:r>
            <w:r w:rsidRPr="00326E55">
              <w:rPr>
                <w:rFonts w:ascii="Times New Roman" w:hAnsi="Times New Roman"/>
                <w:noProof/>
                <w:spacing w:val="-6"/>
                <w:lang w:val="sk-SK"/>
              </w:rPr>
              <w:t>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E0C35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B1E666" w14:textId="0237FC99"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zjednodušení systému verejného obstarávania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E0A714" w14:textId="2A5E4EE1"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zákonného dekrétu na zjednodušenie systému verejného obstarávania.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68F4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31E3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8AD6D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1764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3A97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89C127"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Zákonným dekrétom sa zjednoduší systém verejného obstarávania aspoň týmito naliehavými opatreniami:</w:t>
            </w:r>
          </w:p>
          <w:p w14:paraId="7AC3DD77" w14:textId="49C6AB4B"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 Stanovuje ciele na skrátenie času medzi uverejnením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zadaním zákazky.</w:t>
            </w:r>
          </w:p>
          <w:p w14:paraId="47141870" w14:textId="2DCCC080"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II. Stanovuje ciele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monitorovací systém na skráten</w:t>
            </w:r>
            <w:r w:rsidRPr="00326E55">
              <w:rPr>
                <w:rFonts w:ascii="Times New Roman" w:hAnsi="Times New Roman"/>
                <w:noProof/>
                <w:spacing w:val="-6"/>
                <w:lang w:val="sk-SK"/>
              </w:rPr>
              <w:t>ie času medzi zadaním zákazky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dokončením infraštruktúry („fase esecutiva“).</w:t>
            </w:r>
          </w:p>
          <w:p w14:paraId="68FA646A" w14:textId="76B132EA"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III. Vyžaduje, aby boli údaje zo všetkých zmlúv zaznamenané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protikorupčnej databáze národného protikorupčného orgánu (ANAC).</w:t>
            </w:r>
          </w:p>
          <w:p w14:paraId="68EB2DA4" w14:textId="1621E6C6"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IV. Zaviesť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stimulovať mechanizmy alternatívneho </w:t>
            </w:r>
            <w:r w:rsidRPr="00326E55">
              <w:rPr>
                <w:rFonts w:ascii="Times New Roman" w:hAnsi="Times New Roman"/>
                <w:noProof/>
                <w:spacing w:val="-6"/>
                <w:lang w:val="sk-SK"/>
              </w:rPr>
              <w:t>riešenia sporov vo fáze vykonávania verejných zákaziek.</w:t>
            </w:r>
          </w:p>
          <w:p w14:paraId="2142E571" w14:textId="4462A7D3"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zriaďuje špecializované kancelárie zodpovedné za postupy verejného obstarávania na ministerstvách, regiónoch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metropolitných mestách.</w:t>
            </w:r>
          </w:p>
          <w:p w14:paraId="1E68D301"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Ďalšie špecifikácie:</w:t>
            </w:r>
          </w:p>
          <w:p w14:paraId="3673949F" w14:textId="347B4313"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Zjednodušenie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digitalizácia postupov cen</w:t>
            </w:r>
            <w:r w:rsidRPr="00326E55">
              <w:rPr>
                <w:rFonts w:ascii="Times New Roman" w:hAnsi="Times New Roman"/>
                <w:noProof/>
                <w:spacing w:val="-6"/>
                <w:lang w:val="sk-SK"/>
              </w:rPr>
              <w:t>trálnych obstarávacích inštitúcií („centrali di committenza“),</w:t>
            </w:r>
          </w:p>
          <w:p w14:paraId="0B1967A4" w14:textId="75C1389E"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Vykonávať články 41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44 súčasného zákonníka verejného obstarávania,</w:t>
            </w:r>
          </w:p>
          <w:p w14:paraId="68A9A3D1" w14:textId="183D1A93"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Vymedziť, ako by sa mali digitalizovať postupy pre všetky verejné zákazky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koncesie,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vymedziť požiadavky na interoper</w:t>
            </w:r>
            <w:r w:rsidRPr="00326E55">
              <w:rPr>
                <w:rFonts w:ascii="Times New Roman" w:hAnsi="Times New Roman"/>
                <w:noProof/>
                <w:spacing w:val="-6"/>
                <w:lang w:val="sk-SK"/>
              </w:rPr>
              <w:t>abilitu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prepojenosť,</w:t>
            </w:r>
          </w:p>
          <w:p w14:paraId="4EFE6D54"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Implementovať článok 44 platného Zákonníka verejného obstarávania.0</w:t>
            </w:r>
          </w:p>
        </w:tc>
      </w:tr>
      <w:tr w:rsidR="00BF03AA" w:rsidRPr="00326E55" w14:paraId="2EA8A20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7F1F5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E2760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D66BD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F30E24" w14:textId="2CE622C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Nadobudnutie účinnosti revízie kódexu verejného obstarávania (D.Lgs. </w:t>
            </w:r>
            <w:r w:rsidR="00326E55" w:rsidRPr="00326E55">
              <w:rPr>
                <w:rFonts w:ascii="Times New Roman" w:hAnsi="Times New Roman"/>
                <w:noProof/>
                <w:spacing w:val="-6"/>
                <w:lang w:val="sk-SK"/>
              </w:rPr>
              <w:t>č. </w:t>
            </w:r>
            <w:r w:rsidRPr="00326E55">
              <w:rPr>
                <w:rFonts w:ascii="Times New Roman" w:hAnsi="Times New Roman"/>
                <w:noProof/>
                <w:spacing w:val="-6"/>
                <w:lang w:val="sk-SK"/>
              </w:rPr>
              <w:t>50/2016)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722D0E" w14:textId="6CE231F8"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delegovaní, ktorým sa mení súčasný zákonník systému verejného obstarávania (D.Lgs. n. 50/2016)</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751D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4BAA8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AD06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797F1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0E863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0413B" w14:textId="2CA136BA"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Tento zákon stanoví všetky presné kritériá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zásady pre systémovú reformu zákonníka verejného obstarávania.</w:t>
            </w:r>
          </w:p>
          <w:p w14:paraId="751325F5" w14:textId="5945DD10"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V 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delegovaní sa stanovia aspoň tieto zásady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kritériá:</w:t>
            </w:r>
          </w:p>
          <w:p w14:paraId="7AA42AAD" w14:textId="444666BC"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 Znížiť fragmentáciu verejných obstarávateľov (1) stanovením základných prvkov kvalifikačného systému, 2. požiadavkou na stano</w:t>
            </w:r>
            <w:r w:rsidRPr="00326E55">
              <w:rPr>
                <w:rFonts w:ascii="Times New Roman" w:hAnsi="Times New Roman"/>
                <w:noProof/>
                <w:spacing w:val="-6"/>
                <w:lang w:val="sk-SK"/>
              </w:rPr>
              <w:t>venie elektronickej platformy ako základnej požiadavky na účasť na celoštátnom hodnotení obstarávacej kapacity, (3) splnomocnením národného protikorupčného orgánu (ANAC) preskúmať kvalifikáciu verejných obstarávateľov,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obstarávaciu kapacitu (d</w:t>
            </w:r>
            <w:r w:rsidRPr="00326E55">
              <w:rPr>
                <w:rFonts w:ascii="Times New Roman" w:hAnsi="Times New Roman"/>
                <w:noProof/>
                <w:spacing w:val="-6"/>
                <w:lang w:val="sk-SK"/>
              </w:rPr>
              <w:t>ruhy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objemy nákupov), 4. poskytovaním stimulov na využívanie existujúcich odborných centrálnych obstarávacích organizácií.</w:t>
            </w:r>
          </w:p>
          <w:p w14:paraId="070626A9" w14:textId="3CD36703"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II. Zjednodušiť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digitalizovať postupy centrálnych obstarávacích inštitúcií („centrali di committenza“)</w:t>
            </w:r>
          </w:p>
          <w:p w14:paraId="1205E5F5" w14:textId="7D3D1C1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III. Vymedziť spôsob digit</w:t>
            </w:r>
            <w:r w:rsidRPr="00326E55">
              <w:rPr>
                <w:rFonts w:ascii="Times New Roman" w:hAnsi="Times New Roman"/>
                <w:noProof/>
                <w:spacing w:val="-6"/>
                <w:lang w:val="sk-SK"/>
              </w:rPr>
              <w:t>alizácie postupov pre všetky verejné zákazky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koncesie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vymedziť požiadavky na interoperabilitu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prepojenosť.</w:t>
            </w:r>
          </w:p>
          <w:p w14:paraId="0753A333"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IV. Postupne znižovať obmedzenia týkajúce sa subdodávok.</w:t>
            </w:r>
          </w:p>
        </w:tc>
      </w:tr>
      <w:tr w:rsidR="00BF03AA" w:rsidRPr="00326E55" w14:paraId="333E1CA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5D0A3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5CA1E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BB622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B0253E" w14:textId="34338DCA"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všetkých potrebných právnych predpisov, nariadení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vykonávacích aktov (vrátane sekundárnych právnych predpisov) pre systém verejného obstarávania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1772B" w14:textId="1BE1576E"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všetkých potrebných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vykonávacích aktov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95769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w:t>
            </w:r>
            <w:r w:rsidRPr="00326E55">
              <w:rPr>
                <w:rFonts w:ascii="Times New Roman" w:hAnsi="Times New Roman"/>
                <w:noProof/>
                <w:spacing w:val="-6"/>
                <w:lang w:val="sk-SK"/>
              </w:rPr>
              <w:t>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F2C9F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A8C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34A0E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0E34D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CBB8C" w14:textId="746C95C3"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Všetky potrebné právne predpisy, nariadenia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vykonávacie akty (v prípade potreby vrátane sekundárnych právnych predpisov) musia mať tieto výsledky:</w:t>
            </w:r>
          </w:p>
          <w:p w14:paraId="7383B53C" w14:textId="0367F313"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I. Jednotný koordinačný orgán pre politiku verejného </w:t>
            </w:r>
            <w:r w:rsidRPr="00326E55">
              <w:rPr>
                <w:rFonts w:ascii="Times New Roman" w:hAnsi="Times New Roman"/>
                <w:noProof/>
                <w:spacing w:val="-6"/>
                <w:lang w:val="sk-SK"/>
              </w:rPr>
              <w:t>obstarávania musí mať primeranú (uvedenú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operačnej dohode) personálne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finančné zdroje, aby bol plne funkčný,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vďaka podpore, ktorú poskytuje špecializovaná štruktúra ANAC.</w:t>
            </w:r>
          </w:p>
          <w:p w14:paraId="1ECCB4A9" w14:textId="7C661858"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II. Jednotný koordinačný orgán pre politiku verejného obstarávania prijím</w:t>
            </w:r>
            <w:r w:rsidRPr="00326E55">
              <w:rPr>
                <w:rFonts w:ascii="Times New Roman" w:hAnsi="Times New Roman"/>
                <w:noProof/>
                <w:spacing w:val="-6"/>
                <w:lang w:val="sk-SK"/>
              </w:rPr>
              <w:t>a stratégiu profesionalizácie (porovnaj</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navrhovanou reformou NRPP</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 2.1.6), ktorá obsahuje typy odbornej prípravy na rôznych úrovniach, špeciálne tútorstvo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vypracovanie operačných usmernení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podporou ANAC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Národnej školy verejnej správy.</w:t>
            </w:r>
          </w:p>
          <w:p w14:paraId="2E3B8698" w14:textId="49F6B8F9"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II</w:t>
            </w:r>
            <w:r w:rsidRPr="00326E55">
              <w:rPr>
                <w:rFonts w:ascii="Times New Roman" w:hAnsi="Times New Roman"/>
                <w:noProof/>
                <w:spacing w:val="-6"/>
                <w:lang w:val="sk-SK"/>
              </w:rPr>
              <w:t>I. Dynamické nákupné systémy poskytuje spoločnosť Consip</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smernicami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verejnom obstarávaní.</w:t>
            </w:r>
          </w:p>
          <w:p w14:paraId="3CA74ED5" w14:textId="2562BC73"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IV. ANAC</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nadväznosti na vykonávanie článku 38 zákonníka verejného obstarávania dokončuje výkon kvalifikácie verejných obstarávateľov,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obstarávaciu kapacitu.</w:t>
            </w:r>
          </w:p>
          <w:p w14:paraId="79882481" w14:textId="702FE2DD"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systém monitorovania času medzi zadaním zákazky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dokončením prác na infraštruktúre je funkčný.</w:t>
            </w:r>
          </w:p>
          <w:p w14:paraId="76ED74FA" w14:textId="6D0678A6"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VI. Údaje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všetkých zmluvách sú zaznamenané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protikorupčnej databáze národného protikorupčného orgánu (ANAC).</w:t>
            </w:r>
          </w:p>
          <w:p w14:paraId="0EAD8E70" w14:textId="5EE9BAA0"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VII. Všetky špecializov</w:t>
            </w:r>
            <w:r w:rsidRPr="00326E55">
              <w:rPr>
                <w:rFonts w:ascii="Times New Roman" w:hAnsi="Times New Roman"/>
                <w:noProof/>
                <w:spacing w:val="-6"/>
                <w:lang w:val="sk-SK"/>
              </w:rPr>
              <w:t>ané kancelárie zodpovedné za postupy verejného obstarávania na ministerstvách, regiónoch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metropolitných mestách.</w:t>
            </w:r>
          </w:p>
        </w:tc>
      </w:tr>
      <w:tr w:rsidR="00BF03AA" w:rsidRPr="00326E55" w14:paraId="5025E30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E14D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D1BA8C" w14:textId="48BF4625"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EE42E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88B084"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Schvaľujú sa opatrenia na zníženie oneskorených platieb zo strany verejnej správy podnikom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89EAD" w14:textId="6A969A1A"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pravidiel na zníženie oneskorených platieb platobnej agentúry podnikom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1C542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D6099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3B4F3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989A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03964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A7FE5F" w14:textId="77777777"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Nadobudnutie účinnosti nových pravidiel na zníženie oneskorených platieb zo strany verejnej správy podnikom.</w:t>
            </w:r>
          </w:p>
          <w:p w14:paraId="60D67CA5"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Opatrenia zahŕňajú aspoň tieto kľúčové prvky:</w:t>
            </w:r>
          </w:p>
          <w:p w14:paraId="1F78A2C8" w14:textId="31C5043A" w:rsidR="00BF03AA" w:rsidRPr="00326E55" w:rsidRDefault="00FB452D">
            <w:pPr>
              <w:pStyle w:val="P68B1DB1-Normal16"/>
              <w:spacing w:after="120"/>
              <w:rPr>
                <w:rFonts w:ascii="Times New Roman" w:hAnsi="Times New Roman" w:cs="Arial"/>
                <w:noProof/>
                <w:color w:val="006100"/>
                <w:spacing w:val="-6"/>
                <w:lang w:val="sk-SK"/>
              </w:rPr>
            </w:pPr>
            <w:r w:rsidRPr="00326E55">
              <w:rPr>
                <w:rFonts w:ascii="Times New Roman" w:hAnsi="Times New Roman"/>
                <w:noProof/>
                <w:color w:val="006100"/>
                <w:spacing w:val="-6"/>
                <w:lang w:val="sk-SK"/>
              </w:rPr>
              <w:t>I. Systém</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InIT sa zavedie</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ústrednej verejnej správe</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cieľom podporiť hospodársk</w:t>
            </w:r>
            <w:r w:rsidRPr="00326E55">
              <w:rPr>
                <w:rFonts w:ascii="Times New Roman" w:hAnsi="Times New Roman"/>
                <w:noProof/>
                <w:color w:val="006100"/>
                <w:spacing w:val="-6"/>
                <w:lang w:val="sk-SK"/>
              </w:rPr>
              <w:t>e</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finančné účtovníctvo</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plnenie verejných výdavkov.</w:t>
            </w:r>
          </w:p>
          <w:p w14:paraId="72098827" w14:textId="2884BDEC" w:rsidR="00BF03AA" w:rsidRPr="00326E55" w:rsidRDefault="00FB452D">
            <w:pPr>
              <w:pStyle w:val="P68B1DB1-Normal16"/>
              <w:spacing w:after="120"/>
              <w:rPr>
                <w:rFonts w:ascii="Times New Roman" w:hAnsi="Times New Roman" w:cs="Arial"/>
                <w:noProof/>
                <w:color w:val="006100"/>
                <w:spacing w:val="-6"/>
                <w:lang w:val="sk-SK"/>
              </w:rPr>
            </w:pPr>
            <w:r w:rsidRPr="00326E55">
              <w:rPr>
                <w:rFonts w:ascii="Times New Roman" w:hAnsi="Times New Roman"/>
                <w:noProof/>
                <w:color w:val="006100"/>
                <w:spacing w:val="-6"/>
                <w:lang w:val="sk-SK"/>
              </w:rPr>
              <w:t>II.</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Oneskorené platby: ukazovateľmi založenými na databáze IT systému MF (komerčná úverová platforma – PCC) je vážený priemer času platieb verejných orgánov podnikom</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vážený priemer oneskorenia platie</w:t>
            </w:r>
            <w:r w:rsidRPr="00326E55">
              <w:rPr>
                <w:rFonts w:ascii="Times New Roman" w:hAnsi="Times New Roman"/>
                <w:noProof/>
                <w:color w:val="006100"/>
                <w:spacing w:val="-6"/>
                <w:lang w:val="sk-SK"/>
              </w:rPr>
              <w:t>b orgánov verejnej moci podnikom za každú</w:t>
            </w:r>
            <w:r w:rsidR="00326E55" w:rsidRPr="00326E55">
              <w:rPr>
                <w:rFonts w:ascii="Times New Roman" w:hAnsi="Times New Roman"/>
                <w:noProof/>
                <w:color w:val="006100"/>
                <w:spacing w:val="-6"/>
                <w:lang w:val="sk-SK"/>
              </w:rPr>
              <w:t xml:space="preserve"> z </w:t>
            </w:r>
            <w:r w:rsidRPr="00326E55">
              <w:rPr>
                <w:rFonts w:ascii="Times New Roman" w:hAnsi="Times New Roman"/>
                <w:noProof/>
                <w:color w:val="006100"/>
                <w:spacing w:val="-6"/>
                <w:lang w:val="sk-SK"/>
              </w:rPr>
              <w:t>týchto úrovní verejnej správy:</w:t>
            </w:r>
          </w:p>
          <w:p w14:paraId="72B93487" w14:textId="77777777" w:rsidR="00BF03AA" w:rsidRPr="00326E55" w:rsidRDefault="00FB452D">
            <w:pPr>
              <w:pStyle w:val="P68B1DB1-Normal12"/>
              <w:numPr>
                <w:ilvl w:val="0"/>
                <w:numId w:val="20"/>
              </w:numPr>
              <w:spacing w:after="120" w:line="240" w:lineRule="auto"/>
              <w:ind w:left="341" w:hanging="283"/>
              <w:rPr>
                <w:rFonts w:ascii="Times New Roman" w:hAnsi="Times New Roman" w:cs="Arial"/>
                <w:noProof/>
                <w:spacing w:val="-6"/>
                <w:lang w:val="sk-SK"/>
              </w:rPr>
            </w:pPr>
            <w:r w:rsidRPr="00326E55">
              <w:rPr>
                <w:rFonts w:ascii="Times New Roman" w:hAnsi="Times New Roman"/>
                <w:noProof/>
                <w:spacing w:val="-6"/>
                <w:lang w:val="sk-SK"/>
              </w:rPr>
              <w:t>ústredné orgány (Amministrazioni dello Stato, enti pubblici nazionali e altri enti)</w:t>
            </w:r>
          </w:p>
          <w:p w14:paraId="462122B1" w14:textId="72C0E50B" w:rsidR="00BF03AA" w:rsidRPr="00326E55" w:rsidRDefault="00FB452D">
            <w:pPr>
              <w:pStyle w:val="P68B1DB1-Normal12"/>
              <w:numPr>
                <w:ilvl w:val="0"/>
                <w:numId w:val="20"/>
              </w:numPr>
              <w:spacing w:after="120" w:line="240" w:lineRule="auto"/>
              <w:ind w:left="341" w:hanging="283"/>
              <w:rPr>
                <w:rFonts w:ascii="Times New Roman" w:hAnsi="Times New Roman" w:cs="Arial"/>
                <w:noProof/>
                <w:spacing w:val="-6"/>
                <w:lang w:val="sk-SK"/>
              </w:rPr>
            </w:pPr>
            <w:r w:rsidRPr="00326E55">
              <w:rPr>
                <w:rFonts w:ascii="Times New Roman" w:hAnsi="Times New Roman"/>
                <w:noProof/>
                <w:spacing w:val="-6"/>
                <w:lang w:val="sk-SK"/>
              </w:rPr>
              <w:t>regionálne orgány (Regioni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provincia Autonome),</w:t>
            </w:r>
          </w:p>
          <w:p w14:paraId="003CBFB0" w14:textId="77777777" w:rsidR="00BF03AA" w:rsidRPr="00326E55" w:rsidRDefault="00FB452D">
            <w:pPr>
              <w:pStyle w:val="P68B1DB1-Normal12"/>
              <w:numPr>
                <w:ilvl w:val="0"/>
                <w:numId w:val="20"/>
              </w:numPr>
              <w:spacing w:after="120" w:line="240" w:lineRule="auto"/>
              <w:ind w:left="341" w:hanging="283"/>
              <w:rPr>
                <w:rFonts w:ascii="Times New Roman" w:hAnsi="Times New Roman" w:cs="Arial"/>
                <w:noProof/>
                <w:spacing w:val="-6"/>
                <w:lang w:val="sk-SK"/>
              </w:rPr>
            </w:pPr>
            <w:r w:rsidRPr="00326E55">
              <w:rPr>
                <w:rFonts w:ascii="Times New Roman" w:hAnsi="Times New Roman"/>
                <w:noProof/>
                <w:spacing w:val="-6"/>
                <w:lang w:val="sk-SK"/>
              </w:rPr>
              <w:t>miestne orgány (enti locali)</w:t>
            </w:r>
          </w:p>
          <w:p w14:paraId="35927F2E" w14:textId="77777777" w:rsidR="00BF03AA" w:rsidRPr="00326E55" w:rsidRDefault="00FB452D">
            <w:pPr>
              <w:pStyle w:val="P68B1DB1-Normal12"/>
              <w:numPr>
                <w:ilvl w:val="0"/>
                <w:numId w:val="20"/>
              </w:numPr>
              <w:spacing w:after="120" w:line="240" w:lineRule="auto"/>
              <w:ind w:left="341" w:hanging="283"/>
              <w:rPr>
                <w:rFonts w:ascii="Times New Roman" w:hAnsi="Times New Roman" w:cs="Arial"/>
                <w:noProof/>
                <w:spacing w:val="-6"/>
                <w:lang w:val="sk-SK"/>
              </w:rPr>
            </w:pPr>
            <w:r w:rsidRPr="00326E55">
              <w:rPr>
                <w:rFonts w:ascii="Times New Roman" w:hAnsi="Times New Roman"/>
                <w:noProof/>
                <w:spacing w:val="-6"/>
                <w:lang w:val="sk-SK"/>
              </w:rPr>
              <w:t xml:space="preserve">orgány verejného </w:t>
            </w:r>
            <w:r w:rsidRPr="00326E55">
              <w:rPr>
                <w:rFonts w:ascii="Times New Roman" w:hAnsi="Times New Roman"/>
                <w:noProof/>
                <w:spacing w:val="-6"/>
                <w:lang w:val="sk-SK"/>
              </w:rPr>
              <w:t>zdravotníctva (enti del Servizio sanitario nazionale).</w:t>
            </w:r>
          </w:p>
        </w:tc>
      </w:tr>
      <w:tr w:rsidR="00BF03AA" w:rsidRPr="00326E55" w14:paraId="644BA1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43BB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72bis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F2EA90" w14:textId="76C0F19A"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1D7A6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EE281E" w14:textId="50B83EBD"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Legislatívne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osobitné opatrenia na zníženie oneskorených platieb na </w:t>
            </w:r>
            <w:r w:rsidRPr="00326E55">
              <w:rPr>
                <w:rFonts w:ascii="Times New Roman" w:hAnsi="Times New Roman"/>
                <w:noProof/>
                <w:spacing w:val="-6"/>
                <w:lang w:val="sk-SK"/>
              </w:rPr>
              <w:t>centrálnej/miestnej úrovni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861198" w14:textId="41DFDE12"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právnych predpisoch,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prijaté obežníky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prijaté opatrenia na zníženie oneskorených platieb zo strany verejnej správy podnikom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5DB01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391AD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C7F56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1DA8C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E10E5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w:t>
            </w:r>
            <w:r w:rsidRPr="00326E55">
              <w:rPr>
                <w:rFonts w:ascii="Times New Roman" w:hAnsi="Times New Roman"/>
                <w:noProof/>
                <w:spacing w:val="-6"/>
                <w:lang w:val="sk-SK"/>
              </w:rPr>
              <w:t>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F03250" w14:textId="77777777" w:rsidR="00BF03AA" w:rsidRPr="00326E55" w:rsidRDefault="00FB452D">
            <w:pPr>
              <w:pStyle w:val="P68B1DB1-Normal11"/>
              <w:spacing w:after="120"/>
              <w:rPr>
                <w:rFonts w:ascii="Times New Roman" w:hAnsi="Times New Roman" w:cs="Arial"/>
                <w:noProof/>
                <w:spacing w:val="-6"/>
                <w:lang w:val="sk-SK"/>
              </w:rPr>
            </w:pPr>
            <w:r w:rsidRPr="00326E55">
              <w:rPr>
                <w:rFonts w:ascii="Times New Roman" w:hAnsi="Times New Roman"/>
                <w:noProof/>
                <w:spacing w:val="-6"/>
                <w:lang w:val="sk-SK"/>
              </w:rPr>
              <w:t>Účinnosť nadobúdajú tieto akty:</w:t>
            </w:r>
          </w:p>
          <w:p w14:paraId="201E16D9" w14:textId="77777777" w:rsidR="00326E55"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 obežníka objasňujúceho rozsah obchodných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neobchodných transakcií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smernicou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oneskorených platbách,</w:t>
            </w:r>
          </w:p>
          <w:p w14:paraId="513A8478" w14:textId="4F0579C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obežník objasňujúci rozsah pôsobnosti článku 4 ods. 6 smernice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oneskorených platbách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touto</w:t>
            </w:r>
            <w:r w:rsidRPr="00326E55">
              <w:rPr>
                <w:rFonts w:ascii="Times New Roman" w:hAnsi="Times New Roman"/>
                <w:noProof/>
                <w:spacing w:val="-6"/>
                <w:lang w:val="sk-SK"/>
              </w:rPr>
              <w:t xml:space="preserve"> smernicou,</w:t>
            </w:r>
          </w:p>
          <w:p w14:paraId="4CF8D499" w14:textId="38BD549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právne predpisy na zabezpečenie toho, aby bežné regióny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miestne orgány dostávali finančné prostriedky na včasné vybavenie faktúr od centrálnej úrovne,</w:t>
            </w:r>
          </w:p>
          <w:p w14:paraId="0100C5BB"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 právne predpisy vyžadujúce od verejných orgánov, aby prijímali ročné plány peňažných </w:t>
            </w:r>
            <w:r w:rsidRPr="00326E55">
              <w:rPr>
                <w:rFonts w:ascii="Times New Roman" w:hAnsi="Times New Roman"/>
                <w:noProof/>
                <w:spacing w:val="-6"/>
                <w:lang w:val="sk-SK"/>
              </w:rPr>
              <w:t>tokov, ktorými sa zabezpečí dodržiavanie zákonných platobných lehôt,</w:t>
            </w:r>
          </w:p>
          <w:p w14:paraId="15AE49BD"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právne predpisy, ktorými sa zavádzajú ustanovenia umožňujúce pridelenie úverov tretím stranám po 30 dňoch mlčania/nekonania orgánov verejnej správy.</w:t>
            </w:r>
          </w:p>
          <w:p w14:paraId="3B46B555" w14:textId="77777777" w:rsidR="00326E55" w:rsidRPr="00326E55" w:rsidRDefault="00FB452D">
            <w:pPr>
              <w:pStyle w:val="P68B1DB1-Normal11"/>
              <w:rPr>
                <w:rFonts w:ascii="Times New Roman" w:hAnsi="Times New Roman"/>
                <w:b/>
                <w:noProof/>
                <w:spacing w:val="-6"/>
                <w:lang w:val="sk-SK"/>
              </w:rPr>
            </w:pPr>
            <w:r w:rsidRPr="00326E55">
              <w:rPr>
                <w:rFonts w:ascii="Times New Roman" w:hAnsi="Times New Roman"/>
                <w:noProof/>
                <w:spacing w:val="-6"/>
                <w:lang w:val="sk-SK"/>
              </w:rPr>
              <w:t xml:space="preserve">Na </w:t>
            </w:r>
            <w:r w:rsidRPr="00326E55">
              <w:rPr>
                <w:rFonts w:ascii="Times New Roman" w:hAnsi="Times New Roman"/>
                <w:b/>
                <w:noProof/>
                <w:spacing w:val="-6"/>
                <w:lang w:val="sk-SK"/>
              </w:rPr>
              <w:t>centrálnej úrovni sa prijímajú ti</w:t>
            </w:r>
            <w:r w:rsidRPr="00326E55">
              <w:rPr>
                <w:rFonts w:ascii="Times New Roman" w:hAnsi="Times New Roman"/>
                <w:b/>
                <w:noProof/>
                <w:spacing w:val="-6"/>
                <w:lang w:val="sk-SK"/>
              </w:rPr>
              <w:t>eto opatrenia</w:t>
            </w:r>
            <w:r w:rsidR="00326E55" w:rsidRPr="00326E55">
              <w:rPr>
                <w:rFonts w:ascii="Times New Roman" w:hAnsi="Times New Roman"/>
                <w:b/>
                <w:noProof/>
                <w:spacing w:val="-6"/>
                <w:lang w:val="sk-SK"/>
              </w:rPr>
              <w:t>:</w:t>
            </w:r>
          </w:p>
          <w:p w14:paraId="0987FCCE" w14:textId="77777777"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Nadobudnutie účinnosti právnych predpisov,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identifikujú oneskorení platitelia na centrálnej úrovni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ktorými sa vyžaduje prijatie opatrení na zabezpečenie toho, aby platili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30-dňovej lehoty,</w:t>
            </w:r>
          </w:p>
          <w:p w14:paraId="30BEC962" w14:textId="3D5F3BD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 Zverejňovanie štvrťročne </w:t>
            </w:r>
            <w:r w:rsidRPr="00326E55">
              <w:rPr>
                <w:rFonts w:ascii="Times New Roman" w:hAnsi="Times New Roman"/>
                <w:noProof/>
                <w:spacing w:val="-6"/>
                <w:lang w:val="sk-SK"/>
              </w:rPr>
              <w:t>aktualizovaného stavu nedoplatkov ministerstiev,</w:t>
            </w:r>
          </w:p>
          <w:p w14:paraId="0B2FF92C" w14:textId="77777777"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Zriadenie pracovných skupín, ak to vyžadujú právne predpisy</w:t>
            </w:r>
            <w:r w:rsidR="00326E55" w:rsidRPr="00326E55">
              <w:rPr>
                <w:rFonts w:ascii="Times New Roman" w:hAnsi="Times New Roman"/>
                <w:noProof/>
                <w:spacing w:val="-6"/>
                <w:lang w:val="sk-SK"/>
              </w:rPr>
              <w:t>.</w:t>
            </w:r>
          </w:p>
          <w:p w14:paraId="0A8F0BFE" w14:textId="77777777" w:rsidR="00326E55"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 xml:space="preserve">Na </w:t>
            </w:r>
            <w:r w:rsidRPr="00326E55">
              <w:rPr>
                <w:rFonts w:ascii="Times New Roman" w:hAnsi="Times New Roman"/>
                <w:b/>
                <w:noProof/>
                <w:spacing w:val="-6"/>
                <w:lang w:val="sk-SK"/>
              </w:rPr>
              <w:t>miestnej úrovni</w:t>
            </w:r>
            <w:r w:rsidRPr="00326E55">
              <w:rPr>
                <w:rFonts w:ascii="Times New Roman" w:hAnsi="Times New Roman"/>
                <w:noProof/>
                <w:spacing w:val="-6"/>
                <w:lang w:val="sk-SK"/>
              </w:rPr>
              <w:t>sa prijmú tieto opatrenia</w:t>
            </w:r>
            <w:r w:rsidR="00326E55" w:rsidRPr="00326E55">
              <w:rPr>
                <w:rFonts w:ascii="Times New Roman" w:hAnsi="Times New Roman"/>
                <w:noProof/>
                <w:spacing w:val="-6"/>
                <w:lang w:val="sk-SK"/>
              </w:rPr>
              <w:t>:</w:t>
            </w:r>
          </w:p>
          <w:p w14:paraId="56A33226" w14:textId="77777777"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Nadobudnutie účinnosti právnych predpisov,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ktorých sa identifikujú oneskorení platitelia na </w:t>
            </w:r>
            <w:r w:rsidRPr="00326E55">
              <w:rPr>
                <w:rFonts w:ascii="Times New Roman" w:hAnsi="Times New Roman"/>
                <w:noProof/>
                <w:spacing w:val="-6"/>
                <w:lang w:val="sk-SK"/>
              </w:rPr>
              <w:t>miestnej úrovni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ktorými sa vyžaduje prijatie opatrení na zabezpečenie toho, aby platili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30-dňovej lehoty,</w:t>
            </w:r>
          </w:p>
          <w:p w14:paraId="026B2A8A" w14:textId="40FA1FCF"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Zverejňovanie stavu nedoplatkov týchto orgánov aktualizované štvrťročne.</w:t>
            </w:r>
          </w:p>
        </w:tc>
      </w:tr>
      <w:tr w:rsidR="00BF03AA" w:rsidRPr="00326E55" w14:paraId="4EEB828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774D5B"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M1C1 – 72b</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DF72C0" w14:textId="00A5B10B"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1.11: Zníženie oneskorených platieb zo strany</w:t>
            </w:r>
            <w:r w:rsidRPr="00326E55">
              <w:rPr>
                <w:rFonts w:ascii="Times New Roman" w:hAnsi="Times New Roman"/>
                <w:noProof/>
                <w:spacing w:val="-6"/>
                <w:lang w:val="sk-SK"/>
              </w:rPr>
              <w:t xml:space="preserve">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20FA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F8D0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Zvýšenie ľudských zdrojov zaoberajúcich sa platbami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B31094" w14:textId="689CDB99"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právnych predpisov, ktoré umožňujú zvýšiť ľudské zdroje zaoberajúce sa platbami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8FC3F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5E08D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86E53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4749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C9266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D453E7" w14:textId="2123495E"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Nadobudnutie účinnosti právnych aktov, ktorými sa stanovuje možnosť zvýšiť ľudské zdroje zaoberajúce sa platbami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oblastiach:</w:t>
            </w:r>
          </w:p>
          <w:p w14:paraId="1BA3AE32" w14:textId="7CD15045"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Ministerstvá identifikované ako oneskorení platitelia, ktorí predložili plán in</w:t>
            </w:r>
            <w:r w:rsidRPr="00326E55">
              <w:rPr>
                <w:rFonts w:ascii="Times New Roman" w:hAnsi="Times New Roman"/>
                <w:noProof/>
                <w:spacing w:val="-6"/>
                <w:lang w:val="sk-SK"/>
              </w:rPr>
              <w:t>tervencií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súlade so zákonným dekrétom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19</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w:t>
            </w:r>
            <w:r w:rsidR="00326E55" w:rsidRPr="00326E55">
              <w:rPr>
                <w:rFonts w:ascii="Times New Roman" w:hAnsi="Times New Roman"/>
                <w:noProof/>
                <w:spacing w:val="-6"/>
                <w:lang w:val="sk-SK"/>
              </w:rPr>
              <w:t>. marca</w:t>
            </w:r>
            <w:r w:rsidRPr="00326E55">
              <w:rPr>
                <w:rFonts w:ascii="Times New Roman" w:hAnsi="Times New Roman"/>
                <w:noProof/>
                <w:spacing w:val="-6"/>
                <w:lang w:val="sk-SK"/>
              </w:rPr>
              <w:t xml:space="preserve"> 2024 zmeneným zákonom </w:t>
            </w:r>
            <w:r w:rsidR="00326E55" w:rsidRPr="00326E55">
              <w:rPr>
                <w:rFonts w:ascii="Times New Roman" w:hAnsi="Times New Roman"/>
                <w:noProof/>
                <w:spacing w:val="-6"/>
                <w:lang w:val="sk-SK"/>
              </w:rPr>
              <w:t>č. </w:t>
            </w:r>
            <w:r w:rsidRPr="00326E55">
              <w:rPr>
                <w:rFonts w:ascii="Times New Roman" w:hAnsi="Times New Roman"/>
                <w:noProof/>
                <w:spacing w:val="-6"/>
                <w:lang w:val="sk-SK"/>
              </w:rPr>
              <w:t>56</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29</w:t>
            </w:r>
            <w:r w:rsidR="00326E55" w:rsidRPr="00326E55">
              <w:rPr>
                <w:rFonts w:ascii="Times New Roman" w:hAnsi="Times New Roman"/>
                <w:noProof/>
                <w:spacing w:val="-6"/>
                <w:lang w:val="sk-SK"/>
              </w:rPr>
              <w:t>. apríla</w:t>
            </w:r>
            <w:r w:rsidRPr="00326E55">
              <w:rPr>
                <w:rFonts w:ascii="Times New Roman" w:hAnsi="Times New Roman"/>
                <w:noProof/>
                <w:spacing w:val="-6"/>
                <w:lang w:val="sk-SK"/>
              </w:rPr>
              <w:t xml:space="preserve"> 2024,</w:t>
            </w:r>
          </w:p>
          <w:p w14:paraId="715E6F94" w14:textId="10BD6615"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obce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viac ako 60000 obyvateľmi, provincie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metropolitné mestá identifikované ako oneskorení platitelia, ktorí predložili plán intervencií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súlade </w:t>
            </w:r>
            <w:r w:rsidRPr="00326E55">
              <w:rPr>
                <w:rFonts w:ascii="Times New Roman" w:hAnsi="Times New Roman"/>
                <w:noProof/>
                <w:spacing w:val="-6"/>
                <w:lang w:val="sk-SK"/>
              </w:rPr>
              <w:t xml:space="preserve">so zákonným dekrétom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19</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w:t>
            </w:r>
            <w:r w:rsidR="00326E55" w:rsidRPr="00326E55">
              <w:rPr>
                <w:rFonts w:ascii="Times New Roman" w:hAnsi="Times New Roman"/>
                <w:noProof/>
                <w:spacing w:val="-6"/>
                <w:lang w:val="sk-SK"/>
              </w:rPr>
              <w:t>. marca</w:t>
            </w:r>
            <w:r w:rsidRPr="00326E55">
              <w:rPr>
                <w:rFonts w:ascii="Times New Roman" w:hAnsi="Times New Roman"/>
                <w:noProof/>
                <w:spacing w:val="-6"/>
                <w:lang w:val="sk-SK"/>
              </w:rPr>
              <w:t xml:space="preserve"> 2024 zmeneným zákonom </w:t>
            </w:r>
            <w:r w:rsidR="00326E55" w:rsidRPr="00326E55">
              <w:rPr>
                <w:rFonts w:ascii="Times New Roman" w:hAnsi="Times New Roman"/>
                <w:noProof/>
                <w:spacing w:val="-6"/>
                <w:lang w:val="sk-SK"/>
              </w:rPr>
              <w:t>č. </w:t>
            </w:r>
            <w:r w:rsidRPr="00326E55">
              <w:rPr>
                <w:rFonts w:ascii="Times New Roman" w:hAnsi="Times New Roman"/>
                <w:noProof/>
                <w:spacing w:val="-6"/>
                <w:lang w:val="sk-SK"/>
              </w:rPr>
              <w:t>56</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29</w:t>
            </w:r>
            <w:r w:rsidR="00326E55" w:rsidRPr="00326E55">
              <w:rPr>
                <w:rFonts w:ascii="Times New Roman" w:hAnsi="Times New Roman"/>
                <w:noProof/>
                <w:spacing w:val="-6"/>
                <w:lang w:val="sk-SK"/>
              </w:rPr>
              <w:t>. apríla</w:t>
            </w:r>
            <w:r w:rsidRPr="00326E55">
              <w:rPr>
                <w:rFonts w:ascii="Times New Roman" w:hAnsi="Times New Roman"/>
                <w:noProof/>
                <w:spacing w:val="-6"/>
                <w:lang w:val="sk-SK"/>
              </w:rPr>
              <w:t xml:space="preserve"> 2024.</w:t>
            </w:r>
          </w:p>
        </w:tc>
      </w:tr>
      <w:tr w:rsidR="00BF03AA" w:rsidRPr="00326E55" w14:paraId="0B0A6D1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BD90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72cc</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C2974C" w14:textId="0961E372"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3314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AE0BE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Prijatie plánu auditu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0BF7A2" w14:textId="77777777" w:rsidR="00BF03AA" w:rsidRPr="00326E55" w:rsidRDefault="00BF03AA">
            <w:pPr>
              <w:jc w:val="center"/>
              <w:rPr>
                <w:rFonts w:ascii="Times New Roman" w:hAnsi="Times New Roman"/>
                <w:noProof/>
                <w:color w:val="006100"/>
                <w:spacing w:val="-6"/>
                <w:sz w:val="20"/>
                <w:szCs w:val="20"/>
                <w:lang w:val="sk-SK"/>
              </w:rPr>
            </w:pPr>
          </w:p>
          <w:p w14:paraId="7327E3B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Prijatie plánu auditu</w:t>
            </w:r>
          </w:p>
          <w:p w14:paraId="5C577949"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D4B9F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F076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BEFF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3249C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5FA3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DDBE9" w14:textId="37A85218"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Prijatie plánu auditu vrátane plánu jeho vykonávania,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primeranosť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včasnosť existujúcich platobných procesov najmenej 130 orgánov verejnej správy identifikovaných ako oneskorení platitelia sp</w:t>
            </w:r>
            <w:r w:rsidRPr="00326E55">
              <w:rPr>
                <w:rFonts w:ascii="Times New Roman" w:hAnsi="Times New Roman"/>
                <w:noProof/>
                <w:spacing w:val="-6"/>
                <w:lang w:val="sk-SK"/>
              </w:rPr>
              <w:t>omedzi: I) na ústrednej úrovni (vrátane územných pobočiek ministerstiev); II) obce;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iii) orgány verejného zdravotníctva.</w:t>
            </w:r>
          </w:p>
        </w:tc>
      </w:tr>
      <w:tr w:rsidR="00BF03AA" w:rsidRPr="00326E55" w14:paraId="79CEF00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8A17E" w14:textId="77777777" w:rsidR="00BF03AA" w:rsidRPr="00326E55" w:rsidRDefault="00FB452D">
            <w:pPr>
              <w:pStyle w:val="P68B1DB1-Normal11"/>
              <w:jc w:val="center"/>
              <w:rPr>
                <w:rFonts w:ascii="Times New Roman" w:hAnsi="Times New Roman" w:cs="Arial"/>
                <w:noProof/>
                <w:spacing w:val="-6"/>
                <w:szCs w:val="20"/>
                <w:lang w:val="sk-SK"/>
              </w:rPr>
            </w:pPr>
            <w:bookmarkStart w:id="4" w:name="_Hlk160473292"/>
            <w:r w:rsidRPr="00326E55">
              <w:rPr>
                <w:rFonts w:ascii="Times New Roman" w:hAnsi="Times New Roman"/>
                <w:noProof/>
                <w:spacing w:val="-6"/>
                <w:lang w:val="sk-SK"/>
              </w:rPr>
              <w:t>M1C1 – 72quinquies</w:t>
            </w:r>
            <w:bookmarkEnd w:id="4"/>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281BD7" w14:textId="07BCBFFC" w:rsidR="00BF03AA" w:rsidRPr="00326E55" w:rsidRDefault="00FB452D">
            <w:pPr>
              <w:pStyle w:val="P68B1DB1-Normal12"/>
              <w:jc w:val="center"/>
              <w:rPr>
                <w:rFonts w:ascii="Times New Roman" w:hAnsi="Times New Roman" w:cs="Arial"/>
                <w:noProof/>
                <w:spacing w:val="-6"/>
                <w:lang w:val="sk-SK"/>
              </w:rPr>
            </w:pPr>
            <w:bookmarkStart w:id="5" w:name="_Hlk160473280"/>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bookmarkEnd w:id="5"/>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0E25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D4E47" w14:textId="3BC8A0F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Webová stránka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informáciami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údajmi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platbách verejnej správy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2B7AC7" w14:textId="777688C9"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Webová stránka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informáciami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údajmi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platbách verejnej správy</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1207E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C4DF3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3F55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D87C9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1D49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B4EC0F" w14:textId="681F0C55"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 Na osobitnej webovej stránke sa uverejnia tieto informácie:</w:t>
            </w:r>
          </w:p>
          <w:p w14:paraId="3664F49B" w14:textId="2542D95B"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Vysvetleni</w:t>
            </w:r>
            <w:r w:rsidRPr="00326E55">
              <w:rPr>
                <w:rFonts w:ascii="Times New Roman" w:hAnsi="Times New Roman"/>
                <w:noProof/>
                <w:spacing w:val="-6"/>
                <w:lang w:val="sk-SK"/>
              </w:rPr>
              <w:t>e regulačného rámca týkajúceho sa lehôt splatnosti obchodných faktúr orgánov verejnej správy vrátane platobných lehôt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opravných prostriedkov, ktoré majú veritelia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dispozícii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oneskorených platieb,</w:t>
            </w:r>
          </w:p>
          <w:p w14:paraId="5A08A843" w14:textId="64E5159C"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 Analýzy založené na monitorovaní platobných </w:t>
            </w:r>
            <w:r w:rsidRPr="00326E55">
              <w:rPr>
                <w:rFonts w:ascii="Times New Roman" w:hAnsi="Times New Roman"/>
                <w:noProof/>
                <w:spacing w:val="-6"/>
                <w:lang w:val="sk-SK"/>
              </w:rPr>
              <w:t>lehôt verejnej správy,</w:t>
            </w:r>
          </w:p>
          <w:p w14:paraId="192BF6E5" w14:textId="03306566"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Údaje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váženej priemernej lehote splatnosti, váženom priemernom oneskorení platby, pomere medzi zaplatenou obchodnou sumou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splatnou obchodnou sumou, sume obchodných faktúr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sume nekomerčných faktúr, aktualizované štvrťročne, as</w:t>
            </w:r>
            <w:r w:rsidRPr="00326E55">
              <w:rPr>
                <w:rFonts w:ascii="Times New Roman" w:hAnsi="Times New Roman"/>
                <w:noProof/>
                <w:spacing w:val="-6"/>
                <w:lang w:val="sk-SK"/>
              </w:rPr>
              <w:t>poň pre každé ministerstvo výdavkov (každý Ministero con Portafoglio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Presidenza del Consiglio dei Ministri), každý región</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autonómnu provinciu, každú obec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každý zdravotnícky orgán (každá Azienda Sanitaria Locale),</w:t>
            </w:r>
          </w:p>
          <w:p w14:paraId="46AB7FE4"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Najčastejšie otázky týkajúce sa pla</w:t>
            </w:r>
            <w:r w:rsidRPr="00326E55">
              <w:rPr>
                <w:rFonts w:ascii="Times New Roman" w:hAnsi="Times New Roman"/>
                <w:noProof/>
                <w:spacing w:val="-6"/>
                <w:lang w:val="sk-SK"/>
              </w:rPr>
              <w:t>tieb verejnej správy.</w:t>
            </w:r>
          </w:p>
          <w:p w14:paraId="4E17957E" w14:textId="3318C283"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Webová stránka všetkých zodpovedných ministerstiev (Ministeri con Portafoglio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Presidenza del Consiglio dei Ministri) má odkaz na túto webovú stránku.</w:t>
            </w:r>
          </w:p>
        </w:tc>
      </w:tr>
      <w:tr w:rsidR="00BF03AA" w:rsidRPr="00326E55" w14:paraId="650E583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DAC33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Zmesi M1C1 – 72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FCEE6" w14:textId="69C5666D"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Reforma 1.11: Zníženie oneskorených platieb zo strany orgánov </w:t>
            </w:r>
            <w:r w:rsidRPr="00326E55">
              <w:rPr>
                <w:rFonts w:ascii="Times New Roman" w:hAnsi="Times New Roman"/>
                <w:noProof/>
                <w:spacing w:val="-6"/>
                <w:lang w:val="sk-SK"/>
              </w:rPr>
              <w:t>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31370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19E45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Prijatie záverečnej audítorskej správy plánu auditu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597F5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Prijatie záverečnej audítorskej správy plánu auditu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7662F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EEF4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EE38F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0BD16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6CC09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65EC5"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Prijatie záverečnej audítorskej správy plánu auditu v</w:t>
            </w:r>
            <w:r w:rsidRPr="00326E55">
              <w:rPr>
                <w:rFonts w:ascii="Times New Roman" w:hAnsi="Times New Roman"/>
                <w:noProof/>
                <w:spacing w:val="-6"/>
                <w:lang w:val="sk-SK"/>
              </w:rPr>
              <w:t>rátane nápravných opatrení vykonaných do 4. štvrťroka 2025 podľa výsledkov audítorských činností.</w:t>
            </w:r>
          </w:p>
        </w:tc>
      </w:tr>
      <w:tr w:rsidR="00BF03AA" w:rsidRPr="00326E55" w14:paraId="278E618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5B666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5A77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62C8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684D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reformy zákonníka verejného obstarávania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3117B" w14:textId="374D56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legislatívneho dekrétu, ktorým sa vykonávajú všetky ustanovenia delegačného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reforme zákonníka verejného obstarávania.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292B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474F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28F25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4D03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3953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FEEF1" w14:textId="02CB9CBC"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Nadobudnutie úči</w:t>
            </w:r>
            <w:r w:rsidRPr="00326E55">
              <w:rPr>
                <w:rFonts w:ascii="Times New Roman" w:hAnsi="Times New Roman"/>
                <w:noProof/>
                <w:spacing w:val="-6"/>
                <w:lang w:val="sk-SK"/>
              </w:rPr>
              <w:t>nnosti legislatívneho dekrétu na vykonanie všetkých ustanovení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delegovaní na reformu zákonníka verejného obstarávania.</w:t>
            </w:r>
          </w:p>
        </w:tc>
      </w:tr>
      <w:tr w:rsidR="00BF03AA" w:rsidRPr="00326E55" w14:paraId="09EEF92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13B7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91E9A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BDFE8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D9ED09" w14:textId="30525171"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všetkých potrebných</w:t>
            </w:r>
            <w:r w:rsidRPr="00326E55">
              <w:rPr>
                <w:rFonts w:ascii="Times New Roman" w:hAnsi="Times New Roman"/>
                <w:noProof/>
                <w:spacing w:val="-6"/>
                <w:lang w:val="sk-SK"/>
              </w:rPr>
              <w:t xml:space="preserve"> vykonávacích opatrení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 na reformu zjednodušenia kódexu verejného obstarávania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675F5E" w14:textId="0361DD0F"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všetkých potrebných vykonávacích opatrení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25E9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448C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81C4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40EB7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9605C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678890" w14:textId="73AEF793"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Nadobudnutie účinnosti všetkých potrebných vykonávacích opatrení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 na reformu/zjednodušenie systému verejného obstarávania (ktoré vyplývajú aj</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revízie zákonníka verejného obstarávania).</w:t>
            </w:r>
          </w:p>
        </w:tc>
      </w:tr>
      <w:tr w:rsidR="00BF03AA" w:rsidRPr="00326E55" w14:paraId="7745D0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D8CB72" w14:textId="77777777" w:rsidR="00BF03AA" w:rsidRPr="00326E55" w:rsidRDefault="00FB452D">
            <w:pPr>
              <w:pStyle w:val="P68B1DB1-Normal11"/>
              <w:spacing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M1C1 – 73bis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01A770" w14:textId="77777777" w:rsidR="00BF03AA" w:rsidRPr="00326E55" w:rsidRDefault="00FB452D">
            <w:pPr>
              <w:pStyle w:val="P68B1DB1-Normal11"/>
              <w:spacing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 xml:space="preserve">Reforma 1.10: </w:t>
            </w:r>
            <w:r w:rsidRPr="00326E55">
              <w:rPr>
                <w:rFonts w:ascii="Times New Roman" w:hAnsi="Times New Roman"/>
                <w:noProof/>
                <w:spacing w:val="-6"/>
                <w:lang w:val="sk-SK"/>
              </w:rPr>
              <w:t>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81310D" w14:textId="77777777" w:rsidR="00BF03AA" w:rsidRPr="00326E55" w:rsidRDefault="00FB452D">
            <w:pPr>
              <w:pStyle w:val="P68B1DB1-Normal11"/>
              <w:spacing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43B6DB" w14:textId="77777777" w:rsidR="00BF03AA" w:rsidRPr="00326E55" w:rsidRDefault="00FB452D">
            <w:pPr>
              <w:pStyle w:val="P68B1DB1-Normal11"/>
              <w:spacing w:beforeAutospacing="1" w:after="120"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Prijatie obežníka poskytujúceho usmernenia týkajúce sa kvalifikačného systému pre verejných obstarávateľov</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CAE890" w14:textId="77777777" w:rsidR="00BF03AA" w:rsidRPr="00326E55" w:rsidRDefault="00FB452D">
            <w:pPr>
              <w:pStyle w:val="P68B1DB1-Normal11"/>
              <w:spacing w:beforeAutospacing="1" w:after="120"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 xml:space="preserve">Prijatie obežníka poskytujúceho usmernenia týkajúce sa kvalifikačného systému pre </w:t>
            </w:r>
            <w:r w:rsidRPr="00326E55">
              <w:rPr>
                <w:rFonts w:ascii="Times New Roman" w:hAnsi="Times New Roman"/>
                <w:noProof/>
                <w:spacing w:val="-6"/>
                <w:lang w:val="sk-SK"/>
              </w:rPr>
              <w:t>verejných obstarávateľov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8EA01" w14:textId="77777777" w:rsidR="00BF03AA" w:rsidRPr="00326E55" w:rsidRDefault="00FB452D">
            <w:pPr>
              <w:pStyle w:val="P68B1DB1-Normal11"/>
              <w:spacing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5EE6B" w14:textId="77777777" w:rsidR="00BF03AA" w:rsidRPr="00326E55" w:rsidRDefault="00FB452D">
            <w:pPr>
              <w:pStyle w:val="P68B1DB1-Normal11"/>
              <w:spacing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878B4" w14:textId="77777777" w:rsidR="00BF03AA" w:rsidRPr="00326E55" w:rsidRDefault="00FB452D">
            <w:pPr>
              <w:pStyle w:val="P68B1DB1-Normal11"/>
              <w:spacing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9B78B8" w14:textId="77777777" w:rsidR="00BF03AA" w:rsidRPr="00326E55" w:rsidRDefault="00FB452D">
            <w:pPr>
              <w:pStyle w:val="P68B1DB1-Normal11"/>
              <w:spacing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2F0D4" w14:textId="77777777" w:rsidR="00BF03AA" w:rsidRPr="00326E55" w:rsidRDefault="00FB452D">
            <w:pPr>
              <w:pStyle w:val="P68B1DB1-Normal11"/>
              <w:spacing w:line="25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8DC185" w14:textId="1ED28DEA" w:rsidR="00BF03AA" w:rsidRPr="00326E55" w:rsidRDefault="00FB452D">
            <w:pPr>
              <w:pStyle w:val="P68B1DB1-Normal11"/>
              <w:spacing w:beforeAutospacing="1" w:after="120" w:line="256" w:lineRule="auto"/>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Prijatie obežníka,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po konzultácii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ANAC poskytnú usmernenia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súčasným uplatniteľným pravidlám kvalifikácie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centralizácie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vysvetliť, že kvalifikácia a/alebo </w:t>
            </w:r>
            <w:r w:rsidRPr="00326E55">
              <w:rPr>
                <w:rFonts w:ascii="Times New Roman" w:hAnsi="Times New Roman"/>
                <w:noProof/>
                <w:spacing w:val="-6"/>
                <w:lang w:val="sk-SK"/>
              </w:rPr>
              <w:t>využívanie centrálnych obstarávacích organizácií aj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zadávania zákaziek pod prahovými hodnotami je možné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vhodné </w:t>
            </w:r>
          </w:p>
        </w:tc>
      </w:tr>
      <w:tr w:rsidR="00BF03AA" w:rsidRPr="00326E55" w14:paraId="3982244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30549"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M1C1 – 73b</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E99D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616CAE" w14:textId="77777777" w:rsidR="00BF03AA" w:rsidRPr="00326E55" w:rsidRDefault="00FB452D">
            <w:pPr>
              <w:pStyle w:val="P68B1DB1-Normal11"/>
              <w:spacing w:before="100" w:beforeAutospacing="1" w:after="120"/>
              <w:jc w:val="center"/>
              <w:rPr>
                <w:rFonts w:ascii="Times New Roman" w:hAnsi="Times New Roman" w:cs="Arial"/>
                <w:noProof/>
                <w:spacing w:val="-6"/>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932E4B" w14:textId="6E11CC27" w:rsidR="00BF03AA" w:rsidRPr="00326E55" w:rsidRDefault="00FB452D">
            <w:pPr>
              <w:pStyle w:val="P68B1DB1-Normal12"/>
              <w:spacing w:before="100" w:beforeAutospacing="1" w:after="120"/>
              <w:jc w:val="center"/>
              <w:rPr>
                <w:rFonts w:ascii="Times New Roman" w:hAnsi="Times New Roman" w:cs="Arial"/>
                <w:noProof/>
                <w:spacing w:val="-6"/>
                <w:lang w:val="sk-SK"/>
              </w:rPr>
            </w:pPr>
            <w:r w:rsidRPr="00326E55">
              <w:rPr>
                <w:rFonts w:ascii="Times New Roman" w:hAnsi="Times New Roman"/>
                <w:noProof/>
                <w:spacing w:val="-6"/>
                <w:lang w:val="sk-SK"/>
              </w:rPr>
              <w:t>Stimuly na kvalifikáciu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profesionalizáciu verejných obstarávateľov.</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3E06B" w14:textId="7943D236" w:rsidR="00BF03AA" w:rsidRPr="00326E55" w:rsidRDefault="00FB452D">
            <w:pPr>
              <w:pStyle w:val="P68B1DB1-Normal12"/>
              <w:spacing w:before="100" w:beforeAutospacing="1" w:after="120"/>
              <w:jc w:val="center"/>
              <w:rPr>
                <w:rFonts w:ascii="Times New Roman" w:hAnsi="Times New Roman" w:cs="Arial"/>
                <w:noProof/>
                <w:spacing w:val="-6"/>
                <w:lang w:val="sk-SK"/>
              </w:rPr>
            </w:pPr>
            <w:r w:rsidRPr="00326E55">
              <w:rPr>
                <w:rFonts w:ascii="Times New Roman" w:hAnsi="Times New Roman"/>
                <w:noProof/>
                <w:spacing w:val="-6"/>
                <w:lang w:val="sk-SK"/>
              </w:rPr>
              <w:t>Analýza, ktorú vypracovala Cabina di Regia, zverejnenie výsledkov účasti na činnostiach odbornej prípravy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sebahodnotení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prijatie iniciatív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nástrojov</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A5354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A88F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64416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E84B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A6D21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500D0" w14:textId="49113D57" w:rsidR="00326E55"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Analýz</w:t>
            </w:r>
            <w:r w:rsidRPr="00326E55">
              <w:rPr>
                <w:rFonts w:ascii="Times New Roman" w:hAnsi="Times New Roman"/>
                <w:noProof/>
                <w:spacing w:val="-6"/>
                <w:lang w:val="sk-SK"/>
              </w:rPr>
              <w:t>a Cabina di Regia (podľa článku 221 zákonníka verejného obstarávania) po konzultácii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ANAC týkajúca sa účinkov uplatňovania zákonníka verejného obstarávania na</w:t>
            </w:r>
            <w:r w:rsidR="00326E55" w:rsidRPr="00326E55">
              <w:rPr>
                <w:rFonts w:ascii="Times New Roman" w:hAnsi="Times New Roman"/>
                <w:noProof/>
                <w:spacing w:val="-6"/>
                <w:lang w:val="sk-SK"/>
              </w:rPr>
              <w:t>:</w:t>
            </w:r>
          </w:p>
          <w:p w14:paraId="2C88747D" w14:textId="06000FB4" w:rsidR="00326E55" w:rsidRPr="00326E55" w:rsidRDefault="00FB452D">
            <w:pPr>
              <w:pStyle w:val="P68B1DB1-ListParagraph13"/>
              <w:numPr>
                <w:ilvl w:val="0"/>
                <w:numId w:val="21"/>
              </w:numPr>
              <w:spacing w:before="100" w:beforeAutospacing="1" w:after="120" w:line="240" w:lineRule="auto"/>
              <w:rPr>
                <w:rFonts w:ascii="Times New Roman" w:hAnsi="Times New Roman"/>
                <w:noProof/>
                <w:spacing w:val="-6"/>
                <w:lang w:val="sk-SK"/>
              </w:rPr>
            </w:pPr>
            <w:r w:rsidRPr="00326E55">
              <w:rPr>
                <w:rFonts w:ascii="Times New Roman" w:hAnsi="Times New Roman"/>
                <w:noProof/>
                <w:spacing w:val="-6"/>
                <w:lang w:val="sk-SK"/>
              </w:rPr>
              <w:t>počet kvalifikovaných verejných obstarávateľov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centralizovaných obstarávacích inštitúcií</w:t>
            </w:r>
            <w:r w:rsidR="00326E55" w:rsidRPr="00326E55">
              <w:rPr>
                <w:rFonts w:ascii="Times New Roman" w:hAnsi="Times New Roman"/>
                <w:noProof/>
                <w:spacing w:val="-6"/>
                <w:lang w:val="sk-SK"/>
              </w:rPr>
              <w:t>;</w:t>
            </w:r>
          </w:p>
          <w:p w14:paraId="65EAA421" w14:textId="668868E3" w:rsidR="00326E55" w:rsidRPr="00326E55" w:rsidRDefault="00FB452D">
            <w:pPr>
              <w:pStyle w:val="P68B1DB1-ListParagraph13"/>
              <w:numPr>
                <w:ilvl w:val="0"/>
                <w:numId w:val="21"/>
              </w:numPr>
              <w:spacing w:before="100" w:beforeAutospacing="1" w:after="120" w:line="240" w:lineRule="auto"/>
              <w:rPr>
                <w:rFonts w:ascii="Times New Roman" w:hAnsi="Times New Roman"/>
                <w:noProof/>
                <w:spacing w:val="-6"/>
                <w:lang w:val="sk-SK"/>
              </w:rPr>
            </w:pPr>
            <w:r w:rsidRPr="00326E55">
              <w:rPr>
                <w:rFonts w:ascii="Times New Roman" w:hAnsi="Times New Roman"/>
                <w:noProof/>
                <w:spacing w:val="-6"/>
                <w:lang w:val="sk-SK"/>
              </w:rPr>
              <w:t>po</w:t>
            </w:r>
            <w:r w:rsidRPr="00326E55">
              <w:rPr>
                <w:rFonts w:ascii="Times New Roman" w:hAnsi="Times New Roman"/>
                <w:noProof/>
                <w:spacing w:val="-6"/>
                <w:lang w:val="sk-SK"/>
              </w:rPr>
              <w:t>čet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hodnotu verejných zákaziek spravovaných kvalifikovanými obstarávateľskými orgánmi vo vlastnom mene</w:t>
            </w:r>
            <w:r w:rsidR="00326E55" w:rsidRPr="00326E55">
              <w:rPr>
                <w:rFonts w:ascii="Times New Roman" w:hAnsi="Times New Roman"/>
                <w:noProof/>
                <w:spacing w:val="-6"/>
                <w:lang w:val="sk-SK"/>
              </w:rPr>
              <w:t xml:space="preserve"> a v </w:t>
            </w:r>
            <w:r w:rsidRPr="00326E55">
              <w:rPr>
                <w:rFonts w:ascii="Times New Roman" w:hAnsi="Times New Roman"/>
                <w:noProof/>
                <w:spacing w:val="-6"/>
                <w:lang w:val="sk-SK"/>
              </w:rPr>
              <w:t>mene nekvalifikovaných subjektov</w:t>
            </w:r>
            <w:r w:rsidR="00326E55" w:rsidRPr="00326E55">
              <w:rPr>
                <w:rFonts w:ascii="Times New Roman" w:hAnsi="Times New Roman"/>
                <w:noProof/>
                <w:spacing w:val="-6"/>
                <w:lang w:val="sk-SK"/>
              </w:rPr>
              <w:t>;</w:t>
            </w:r>
          </w:p>
          <w:p w14:paraId="47D68B25" w14:textId="09E9B5A8" w:rsidR="00326E55" w:rsidRPr="00326E55" w:rsidRDefault="00FB452D">
            <w:pPr>
              <w:pStyle w:val="P68B1DB1-ListParagraph13"/>
              <w:numPr>
                <w:ilvl w:val="0"/>
                <w:numId w:val="21"/>
              </w:numPr>
              <w:spacing w:before="100" w:beforeAutospacing="1" w:after="120" w:line="240" w:lineRule="auto"/>
              <w:rPr>
                <w:rFonts w:ascii="Times New Roman" w:hAnsi="Times New Roman"/>
                <w:noProof/>
                <w:spacing w:val="-6"/>
                <w:lang w:val="sk-SK"/>
              </w:rPr>
            </w:pPr>
            <w:r w:rsidRPr="00326E55">
              <w:rPr>
                <w:rFonts w:ascii="Times New Roman" w:hAnsi="Times New Roman"/>
                <w:noProof/>
                <w:spacing w:val="-6"/>
                <w:lang w:val="sk-SK"/>
              </w:rPr>
              <w:t>kvalifikačný postup na zlepšenie rýchlosti rozhodovania pri zadávaní verejných zákaziek</w:t>
            </w:r>
            <w:r w:rsidR="00326E55" w:rsidRPr="00326E55">
              <w:rPr>
                <w:rFonts w:ascii="Times New Roman" w:hAnsi="Times New Roman"/>
                <w:noProof/>
                <w:spacing w:val="-6"/>
                <w:lang w:val="sk-SK"/>
              </w:rPr>
              <w:t>.</w:t>
            </w:r>
          </w:p>
          <w:p w14:paraId="2BAB7D48" w14:textId="42951ABA" w:rsidR="00326E55" w:rsidRPr="00326E55" w:rsidRDefault="00FB452D">
            <w:pPr>
              <w:pStyle w:val="P68B1DB1-Normal11"/>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Uverejnenie výsledkov ma</w:t>
            </w:r>
            <w:r w:rsidRPr="00326E55">
              <w:rPr>
                <w:rFonts w:ascii="Times New Roman" w:hAnsi="Times New Roman"/>
                <w:noProof/>
                <w:spacing w:val="-6"/>
                <w:lang w:val="sk-SK"/>
              </w:rPr>
              <w:t>povania účasti nekvalifikovaných subjektov na činnostiach odbornej prípravy</w:t>
            </w:r>
            <w:r w:rsidR="00326E55" w:rsidRPr="00326E55">
              <w:rPr>
                <w:rFonts w:ascii="Times New Roman" w:hAnsi="Times New Roman"/>
                <w:noProof/>
                <w:spacing w:val="-6"/>
                <w:lang w:val="sk-SK"/>
              </w:rPr>
              <w:t xml:space="preserve"> a </w:t>
            </w:r>
            <w:r w:rsidRPr="00326E55">
              <w:rPr>
                <w:rFonts w:ascii="Times New Roman" w:hAnsi="Times New Roman"/>
                <w:noProof/>
                <w:spacing w:val="-6"/>
                <w:szCs w:val="20"/>
                <w:lang w:val="sk-SK"/>
              </w:rPr>
              <w:t>sebahodnotení</w:t>
            </w:r>
            <w:r w:rsidR="00326E55" w:rsidRPr="00326E55">
              <w:rPr>
                <w:rFonts w:ascii="Times New Roman" w:hAnsi="Times New Roman"/>
                <w:noProof/>
                <w:spacing w:val="-6"/>
                <w:lang w:val="sk-SK"/>
              </w:rPr>
              <w:t>.</w:t>
            </w:r>
          </w:p>
          <w:p w14:paraId="18155BEC" w14:textId="44147EAA" w:rsidR="00326E55"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Prijmú sa iniciatívy zamerané na zlepšenie kvalifikácie verejných obstarávateľov, zníženie fragmentácie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profesionalizáciu nekvalifikovaných subjektov</w:t>
            </w:r>
            <w:r w:rsidR="00326E55" w:rsidRPr="00326E55">
              <w:rPr>
                <w:rFonts w:ascii="Times New Roman" w:hAnsi="Times New Roman"/>
                <w:noProof/>
                <w:spacing w:val="-6"/>
                <w:lang w:val="sk-SK"/>
              </w:rPr>
              <w:t>.</w:t>
            </w:r>
          </w:p>
          <w:p w14:paraId="3EA0CA6A" w14:textId="6CF1ECC6"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 xml:space="preserve">Verejným </w:t>
            </w:r>
            <w:r w:rsidRPr="00326E55">
              <w:rPr>
                <w:rFonts w:ascii="Times New Roman" w:hAnsi="Times New Roman"/>
                <w:noProof/>
                <w:spacing w:val="-6"/>
                <w:lang w:val="sk-SK"/>
              </w:rPr>
              <w:t>obstarávateľom sa poskytnú nástroje technickej/administratívnej podpory.</w:t>
            </w:r>
          </w:p>
        </w:tc>
      </w:tr>
      <w:tr w:rsidR="00BF03AA" w:rsidRPr="00326E55" w14:paraId="67C1807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623C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73c</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7C31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551B5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75A95" w14:textId="726359E3" w:rsidR="00BF03AA" w:rsidRPr="00326E55" w:rsidRDefault="00FB452D">
            <w:pPr>
              <w:pStyle w:val="P68B1DB1-Normal11"/>
              <w:spacing w:before="100" w:beforeAutospacing="1" w:after="120"/>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usmernení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obstarávaní pod prahovou hodnotou EÚ</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AEEE1" w14:textId="01B1B31A" w:rsidR="00BF03AA" w:rsidRPr="00326E55" w:rsidRDefault="00FB452D">
            <w:pPr>
              <w:pStyle w:val="P68B1DB1-Normal11"/>
              <w:spacing w:before="100" w:beforeAutospacing="1" w:after="120"/>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usmernení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obstarávaní pod prahovou hodnotou EÚ</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1B050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9CCED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7B3C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795A9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56FF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F5C633" w14:textId="39263020"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Obežník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obstarávaní pod prahovou hodnotou EÚ prijatý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uverejnený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talianskom úradnom vestníku.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obežníku sa objasní, že verejní obstarávatelia môžu pou</w:t>
            </w:r>
            <w:r w:rsidRPr="00326E55">
              <w:rPr>
                <w:rFonts w:ascii="Times New Roman" w:hAnsi="Times New Roman"/>
                <w:noProof/>
                <w:spacing w:val="-6"/>
                <w:lang w:val="sk-SK"/>
              </w:rPr>
              <w:t>žiť otvorené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užšie súťaže na obstarávanie pod prahovou hodnotou EÚ.</w:t>
            </w:r>
          </w:p>
        </w:tc>
      </w:tr>
      <w:tr w:rsidR="00BF03AA" w:rsidRPr="00326E55" w14:paraId="549F295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69812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73quinquies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CE36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BBFC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F91055" w14:textId="19047A0E" w:rsidR="00BF03AA" w:rsidRPr="00326E55" w:rsidRDefault="00FB452D">
            <w:pPr>
              <w:pStyle w:val="P68B1DB1-Normal11"/>
              <w:spacing w:before="100" w:beforeAutospacing="1" w:after="120"/>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nových právnych ustanovení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 projektov</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F45AF4" w14:textId="3DEDD1C5" w:rsidR="00BF03AA" w:rsidRPr="00326E55" w:rsidRDefault="00FB452D">
            <w:pPr>
              <w:pStyle w:val="P68B1DB1-Normal12"/>
              <w:spacing w:before="100" w:beforeAutospacing="1" w:after="120"/>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nových právnych ustanovení</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226D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A81A8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0DCD5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8C1DF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67253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A77B5" w14:textId="6C40ECA1"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Nadobudnutie účinnosti nových právnych ustanovení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 projektov zameraných na zvýšenie efektívnosti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hospodárskej súťaže, najmä na zvýše</w:t>
            </w:r>
            <w:r w:rsidRPr="00326E55">
              <w:rPr>
                <w:rFonts w:ascii="Times New Roman" w:hAnsi="Times New Roman"/>
                <w:noProof/>
                <w:spacing w:val="-6"/>
                <w:lang w:val="sk-SK"/>
              </w:rPr>
              <w:t>nie súťažeschopnosti koncesií.</w:t>
            </w:r>
          </w:p>
        </w:tc>
      </w:tr>
      <w:tr w:rsidR="00BF03AA" w:rsidRPr="00326E55" w14:paraId="2BE0521B"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504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CF049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1043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C155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Úplná prevádzka vnútroštátneho systému elektronického obstarávania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A7BA5" w14:textId="63A43A58"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Dostupnosť funkcií vymedzených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štúdii uskutočniteľnosti (vypracuje sa ako projektová úloha 1)</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36642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BF65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5615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43E6E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FDEA6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16845A" w14:textId="69B3AA5F"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Vnútroštátny systém elektronického obstarávania musí byť funkčný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smernicami EÚ</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verejnom obstarávaní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zahŕňať úplnú digit</w:t>
            </w:r>
            <w:r w:rsidRPr="00326E55">
              <w:rPr>
                <w:rFonts w:ascii="Times New Roman" w:hAnsi="Times New Roman"/>
                <w:noProof/>
                <w:spacing w:val="-6"/>
                <w:lang w:val="sk-SK"/>
              </w:rPr>
              <w:t>alizáciu postupov až po plnenie zákazky (inteligentné obstarávanie), musí byť interoperabilný so systémami riadenia verejnej správy, musí obsahovať digitálnu habilitáciu OV, aukčné relácie, strojové učenie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odhaliť trendy, kritické suroviny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chatb</w:t>
            </w:r>
            <w:r w:rsidRPr="00326E55">
              <w:rPr>
                <w:rFonts w:ascii="Times New Roman" w:hAnsi="Times New Roman"/>
                <w:noProof/>
                <w:spacing w:val="-6"/>
                <w:lang w:val="sk-SK"/>
              </w:rPr>
              <w:t>otmi, digitálnu angažovanosť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reťazec statusov.</w:t>
            </w:r>
          </w:p>
        </w:tc>
      </w:tr>
      <w:tr w:rsidR="00BF03AA" w:rsidRPr="00326E55" w14:paraId="7D295CC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A8E6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75bis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F4FE66" w14:textId="77CF60EB"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Investícia 1.10: Podpora kvalifikácie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elektronického obstarávania</w:t>
            </w:r>
          </w:p>
          <w:p w14:paraId="13D05CC2" w14:textId="77777777" w:rsidR="00BF03AA" w:rsidRPr="00326E55" w:rsidRDefault="00BF03AA">
            <w:pPr>
              <w:jc w:val="center"/>
              <w:rPr>
                <w:rFonts w:ascii="Times New Roman" w:hAnsi="Times New Roman" w:cs="Arial"/>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33FD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33F763" w14:textId="6B810264"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Podpora kvalifikácie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elektronického obstarávania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66F3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Uvedenie do prevádzky funkcie podpory obstarávania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5CAE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44E62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3EBD9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C05A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71893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91F7B" w14:textId="0F2CF105"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V rámci stratégie profesionalizácie verejných kupujúcich sa zriadi funkcia podpory verejného obstarávania. Funkcia podpory obstarávania je určená pre verejných obstarávateľov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splniť požiadavky prílohy II.4 </w:t>
            </w:r>
            <w:r w:rsidRPr="00326E55">
              <w:rPr>
                <w:rFonts w:ascii="Times New Roman" w:hAnsi="Times New Roman"/>
                <w:noProof/>
                <w:spacing w:val="-6"/>
                <w:lang w:val="sk-SK"/>
              </w:rPr>
              <w:t>kódexu verejného obstarávania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podporovať ich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procese elektronického obstarávania, podporovať nadobúdanie digitálnych zručností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poskytovať technickú podporu pri prijímaní digitalizácie verejného obstarávania vrátane používania dynamických obstarávacíc</w:t>
            </w:r>
            <w:r w:rsidRPr="00326E55">
              <w:rPr>
                <w:rFonts w:ascii="Times New Roman" w:hAnsi="Times New Roman"/>
                <w:noProof/>
                <w:spacing w:val="-6"/>
                <w:lang w:val="sk-SK"/>
              </w:rPr>
              <w:t>h systémov.</w:t>
            </w:r>
          </w:p>
        </w:tc>
      </w:tr>
      <w:tr w:rsidR="00BF03AA" w:rsidRPr="00326E55" w14:paraId="5B566A2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D8B60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CEB76" w14:textId="538862D5"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1E66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A1FE9F"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Priemerný počet dní, počas ktorých ústredné orgány verejnej moci platia podnikom, sa znižuje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B212E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8CB6A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Vážený priemer lehoty </w:t>
            </w:r>
            <w:r w:rsidRPr="00326E55">
              <w:rPr>
                <w:rFonts w:ascii="Times New Roman" w:hAnsi="Times New Roman"/>
                <w:noProof/>
                <w:spacing w:val="-6"/>
                <w:lang w:val="sk-SK"/>
              </w:rPr>
              <w:t>splatnosti (v dňoch)</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748F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C6AC4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CB1DD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45A8F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14C138" w14:textId="2A8E8BC1" w:rsidR="00326E55" w:rsidRPr="00326E55" w:rsidRDefault="00FB452D">
            <w:pPr>
              <w:pStyle w:val="P68B1DB1-Normal12"/>
              <w:spacing w:before="100" w:beforeAutospacing="1" w:after="0" w:line="240" w:lineRule="auto"/>
              <w:rPr>
                <w:rFonts w:ascii="Times New Roman" w:hAnsi="Times New Roman"/>
                <w:noProof/>
                <w:spacing w:val="-6"/>
                <w:lang w:val="sk-SK"/>
              </w:rPr>
            </w:pPr>
            <w:r w:rsidRPr="00326E55">
              <w:rPr>
                <w:rFonts w:ascii="Times New Roman" w:hAnsi="Times New Roman"/>
                <w:noProof/>
                <w:spacing w:val="-6"/>
                <w:lang w:val="sk-SK"/>
              </w:rPr>
              <w:t>Na základe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obchodnej úverovej platformy („Piattaforma Crediti Commerciali“) týkajúcich sa faktúr vystavených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2024 sú pre platby od ústredných orgánov verejnej moci (</w:t>
            </w:r>
            <w:r w:rsidRPr="00326E55">
              <w:rPr>
                <w:rFonts w:ascii="Times New Roman" w:hAnsi="Times New Roman"/>
                <w:i/>
                <w:noProof/>
                <w:spacing w:val="-6"/>
                <w:lang w:val="sk-SK"/>
              </w:rPr>
              <w:t xml:space="preserve">Amministrazioni </w:t>
            </w:r>
            <w:r w:rsidRPr="00326E55">
              <w:rPr>
                <w:rFonts w:ascii="Times New Roman" w:hAnsi="Times New Roman"/>
                <w:i/>
                <w:noProof/>
                <w:spacing w:val="-6"/>
                <w:lang w:val="sk-SK"/>
              </w:rPr>
              <w:t>centrali</w:t>
            </w:r>
            <w:r w:rsidRPr="00326E55">
              <w:rPr>
                <w:rFonts w:ascii="Times New Roman" w:hAnsi="Times New Roman"/>
                <w:noProof/>
                <w:spacing w:val="-6"/>
                <w:lang w:val="sk-SK"/>
              </w:rPr>
              <w:t>) podnikom tieto ukazovatele</w:t>
            </w:r>
            <w:r w:rsidR="00326E55" w:rsidRPr="00326E55">
              <w:rPr>
                <w:rFonts w:ascii="Times New Roman" w:hAnsi="Times New Roman"/>
                <w:noProof/>
                <w:spacing w:val="-6"/>
                <w:lang w:val="sk-SK"/>
              </w:rPr>
              <w:t>:</w:t>
            </w:r>
          </w:p>
          <w:p w14:paraId="31E8D01E" w14:textId="3B1CFCA3" w:rsidR="00326E55" w:rsidRPr="00326E55" w:rsidRDefault="00FB452D">
            <w:pPr>
              <w:pStyle w:val="P68B1DB1-Normal12"/>
              <w:spacing w:before="100" w:beforeAutospacing="1" w:after="0" w:line="240" w:lineRule="auto"/>
              <w:rPr>
                <w:rFonts w:ascii="Times New Roman" w:hAnsi="Times New Roman"/>
                <w:noProof/>
                <w:spacing w:val="-6"/>
                <w:lang w:val="sk-SK"/>
              </w:rPr>
            </w:pPr>
            <w:r w:rsidRPr="00326E55">
              <w:rPr>
                <w:rFonts w:ascii="Times New Roman" w:hAnsi="Times New Roman"/>
                <w:noProof/>
                <w:spacing w:val="-6"/>
                <w:lang w:val="sk-SK"/>
              </w:rPr>
              <w:t>— pre vážený priemerný čas platby („tempo medio di pagamento ponderato“): najviac 30 dní</w:t>
            </w:r>
            <w:r w:rsidR="00326E55" w:rsidRPr="00326E55">
              <w:rPr>
                <w:rFonts w:ascii="Times New Roman" w:hAnsi="Times New Roman"/>
                <w:noProof/>
                <w:spacing w:val="-6"/>
                <w:lang w:val="sk-SK"/>
              </w:rPr>
              <w:t>;</w:t>
            </w:r>
          </w:p>
          <w:p w14:paraId="310CFD64" w14:textId="75A7655E" w:rsidR="00326E55" w:rsidRPr="00326E55" w:rsidRDefault="00FB452D">
            <w:pPr>
              <w:pStyle w:val="P68B1DB1-Normal12"/>
              <w:spacing w:before="100" w:beforeAutospacing="1" w:after="0" w:line="240" w:lineRule="auto"/>
              <w:rPr>
                <w:rFonts w:ascii="Times New Roman" w:hAnsi="Times New Roman"/>
                <w:noProof/>
                <w:spacing w:val="-6"/>
                <w:lang w:val="sk-SK"/>
              </w:rPr>
            </w:pPr>
            <w:r w:rsidRPr="00326E55">
              <w:rPr>
                <w:rFonts w:ascii="Times New Roman" w:hAnsi="Times New Roman"/>
                <w:noProof/>
                <w:spacing w:val="-6"/>
                <w:lang w:val="sk-SK"/>
              </w:rPr>
              <w:t>— pre vážené priemerné oneskorenie platby („tempo medio di ritardo ponderato“): najviac 0 dní</w:t>
            </w:r>
            <w:r w:rsidR="00326E55" w:rsidRPr="00326E55">
              <w:rPr>
                <w:rFonts w:ascii="Times New Roman" w:hAnsi="Times New Roman"/>
                <w:noProof/>
                <w:spacing w:val="-6"/>
                <w:lang w:val="sk-SK"/>
              </w:rPr>
              <w:t>.</w:t>
            </w:r>
          </w:p>
          <w:p w14:paraId="4E48D669" w14:textId="071395D8" w:rsidR="00BF03AA" w:rsidRPr="00326E55" w:rsidRDefault="00FB452D">
            <w:pPr>
              <w:pStyle w:val="P68B1DB1-Normal12"/>
              <w:spacing w:before="100" w:beforeAutospacing="1" w:after="0" w:line="240" w:lineRule="auto"/>
              <w:rPr>
                <w:rFonts w:ascii="Times New Roman" w:eastAsia="Times New Roman" w:hAnsi="Times New Roman" w:cs="Times New Roman"/>
                <w:b/>
                <w:noProof/>
                <w:spacing w:val="-6"/>
                <w:lang w:val="sk-SK"/>
              </w:rPr>
            </w:pPr>
            <w:r w:rsidRPr="00326E55">
              <w:rPr>
                <w:rFonts w:ascii="Times New Roman" w:hAnsi="Times New Roman"/>
                <w:noProof/>
                <w:spacing w:val="-6"/>
                <w:lang w:val="sk-SK"/>
              </w:rPr>
              <w:t>Okrem toho rozdiel medzi nevážený</w:t>
            </w:r>
            <w:r w:rsidRPr="00326E55">
              <w:rPr>
                <w:rFonts w:ascii="Times New Roman" w:hAnsi="Times New Roman"/>
                <w:noProof/>
                <w:spacing w:val="-6"/>
                <w:lang w:val="sk-SK"/>
              </w:rPr>
              <w:t>m priemerným časom platby („tempo medio di pagamento semplice“)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váženým priemerným časom platby nesmie presiahnuť 20 dní, pokiaľ nevážený priemerný čas platby nie je kratší ako 30 dní.</w:t>
            </w:r>
          </w:p>
        </w:tc>
      </w:tr>
      <w:tr w:rsidR="00BF03AA" w:rsidRPr="00326E55" w14:paraId="6D25A7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395F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BF95E" w14:textId="58240ED8"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Reforma 1.11: Zníženie oneskorených platieb zo strany </w:t>
            </w:r>
            <w:r w:rsidRPr="00326E55">
              <w:rPr>
                <w:rFonts w:ascii="Times New Roman" w:hAnsi="Times New Roman"/>
                <w:noProof/>
                <w:spacing w:val="-6"/>
                <w:lang w:val="sk-SK"/>
              </w:rPr>
              <w:t>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6A7B8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248A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Priemerný počet dní, počas ktorých majú regionálne verejné orgány platiť podnikom, sa znižuje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7A219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8299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Vážený priemer lehoty splatnosti (v dňoch)</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FC65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7EA1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B637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C2DB0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58F0AF" w14:textId="038E6B36" w:rsidR="00BF03AA" w:rsidRPr="00326E55" w:rsidRDefault="00FB452D">
            <w:pPr>
              <w:pStyle w:val="P68B1DB1-Normal12"/>
              <w:spacing w:before="100" w:beforeAutospacing="1" w:after="0" w:line="240" w:lineRule="auto"/>
              <w:rPr>
                <w:rFonts w:ascii="Times New Roman" w:hAnsi="Times New Roman"/>
                <w:noProof/>
                <w:spacing w:val="-6"/>
                <w:lang w:val="sk-SK"/>
              </w:rPr>
            </w:pPr>
            <w:r w:rsidRPr="00326E55">
              <w:rPr>
                <w:rFonts w:ascii="Times New Roman" w:hAnsi="Times New Roman"/>
                <w:noProof/>
                <w:spacing w:val="-6"/>
                <w:lang w:val="sk-SK"/>
              </w:rPr>
              <w:t>Na základe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obchodnej úverovej platformy („Piattaforma Crediti Commerciali“) týkajúcich sa faktúr vystavených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2024 sú pre platby od regionálnych orgánov verejnej moci (</w:t>
            </w:r>
            <w:r w:rsidRPr="00326E55">
              <w:rPr>
                <w:rFonts w:ascii="Times New Roman" w:hAnsi="Times New Roman"/>
                <w:i/>
                <w:noProof/>
                <w:spacing w:val="-6"/>
                <w:lang w:val="sk-SK"/>
              </w:rPr>
              <w:t>Regi – samospráva provincie</w:t>
            </w:r>
            <w:r w:rsidRPr="00326E55">
              <w:rPr>
                <w:rFonts w:ascii="Times New Roman" w:hAnsi="Times New Roman"/>
                <w:noProof/>
                <w:spacing w:val="-6"/>
                <w:lang w:val="sk-SK"/>
              </w:rPr>
              <w:t>) podnikom tieto ukazovatele:</w:t>
            </w:r>
          </w:p>
          <w:p w14:paraId="451AE9BF" w14:textId="77777777" w:rsidR="00326E55" w:rsidRPr="00326E55" w:rsidRDefault="00FB452D">
            <w:pPr>
              <w:pStyle w:val="ListParagraph"/>
              <w:numPr>
                <w:ilvl w:val="0"/>
                <w:numId w:val="69"/>
              </w:numPr>
              <w:spacing w:before="100" w:beforeAutospacing="1" w:after="0" w:line="240" w:lineRule="auto"/>
              <w:jc w:val="both"/>
              <w:rPr>
                <w:rFonts w:ascii="Times New Roman" w:hAnsi="Times New Roman"/>
                <w:noProof/>
                <w:color w:val="006100"/>
                <w:spacing w:val="-6"/>
                <w:sz w:val="20"/>
                <w:lang w:val="sk-SK"/>
              </w:rPr>
            </w:pPr>
            <w:r w:rsidRPr="00326E55">
              <w:rPr>
                <w:rFonts w:ascii="Times New Roman" w:hAnsi="Times New Roman"/>
                <w:noProof/>
                <w:color w:val="006100"/>
                <w:spacing w:val="-6"/>
                <w:sz w:val="20"/>
                <w:lang w:val="sk-SK"/>
              </w:rPr>
              <w:t>pre vážený priemer času platby</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(„tem</w:t>
            </w:r>
            <w:r w:rsidRPr="00326E55">
              <w:rPr>
                <w:rFonts w:ascii="Times New Roman" w:hAnsi="Times New Roman"/>
                <w:noProof/>
                <w:color w:val="006100"/>
                <w:spacing w:val="-6"/>
                <w:sz w:val="20"/>
                <w:lang w:val="sk-SK"/>
              </w:rPr>
              <w:t>po medio di pagamento ponderato“): najviac 30 dní</w:t>
            </w:r>
            <w:r w:rsidR="00326E55" w:rsidRPr="00326E55">
              <w:rPr>
                <w:rFonts w:ascii="Times New Roman" w:hAnsi="Times New Roman"/>
                <w:noProof/>
                <w:color w:val="006100"/>
                <w:spacing w:val="-6"/>
                <w:sz w:val="20"/>
                <w:lang w:val="sk-SK"/>
              </w:rPr>
              <w:t>;</w:t>
            </w:r>
          </w:p>
          <w:p w14:paraId="7FBA8473" w14:textId="4B84EA3C" w:rsidR="00BF03AA" w:rsidRPr="00326E55" w:rsidRDefault="00FB452D">
            <w:pPr>
              <w:pStyle w:val="P68B1DB1-ListParagraph15"/>
              <w:numPr>
                <w:ilvl w:val="0"/>
                <w:numId w:val="69"/>
              </w:numPr>
              <w:spacing w:before="100" w:beforeAutospacing="1" w:after="120" w:line="240" w:lineRule="auto"/>
              <w:jc w:val="both"/>
              <w:rPr>
                <w:rFonts w:ascii="Times New Roman" w:hAnsi="Times New Roman" w:cs="Arial"/>
                <w:noProof/>
                <w:spacing w:val="-6"/>
                <w:szCs w:val="20"/>
                <w:lang w:val="sk-SK"/>
              </w:rPr>
            </w:pPr>
            <w:r w:rsidRPr="00326E55">
              <w:rPr>
                <w:rFonts w:ascii="Times New Roman" w:hAnsi="Times New Roman"/>
                <w:noProof/>
                <w:spacing w:val="-6"/>
                <w:lang w:val="sk-SK"/>
              </w:rPr>
              <w:t>v prípade váženého priemerného oneskorenia platby („tempo medio di ritardo ponderato“): najviac 0 dní.</w:t>
            </w:r>
          </w:p>
          <w:p w14:paraId="31783F6B" w14:textId="794C5266" w:rsidR="00BF03AA" w:rsidRPr="00326E55" w:rsidRDefault="00FB452D">
            <w:pPr>
              <w:pStyle w:val="P68B1DB1-Normal17"/>
              <w:spacing w:before="100" w:beforeAutospacing="1"/>
              <w:rPr>
                <w:rFonts w:ascii="Times New Roman" w:hAnsi="Times New Roman"/>
                <w:noProof/>
                <w:spacing w:val="-6"/>
                <w:lang w:val="sk-SK"/>
              </w:rPr>
            </w:pPr>
            <w:r w:rsidRPr="00326E55">
              <w:rPr>
                <w:rFonts w:ascii="Times New Roman" w:hAnsi="Times New Roman"/>
                <w:noProof/>
                <w:spacing w:val="-6"/>
                <w:lang w:val="sk-SK"/>
              </w:rPr>
              <w:t>Okrem toho rozdiel medzi neváženým priemerným časom platby („tempo medio di pagamento semplice“)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váž</w:t>
            </w:r>
            <w:r w:rsidRPr="00326E55">
              <w:rPr>
                <w:rFonts w:ascii="Times New Roman" w:hAnsi="Times New Roman"/>
                <w:noProof/>
                <w:spacing w:val="-6"/>
                <w:lang w:val="sk-SK"/>
              </w:rPr>
              <w:t>eným priemerným časom platby nesmie presiahnuť 20 dní, pokiaľ nevážený priemerný čas platby nie je kratší ako 30 dní.</w:t>
            </w:r>
          </w:p>
        </w:tc>
      </w:tr>
      <w:tr w:rsidR="00BF03AA" w:rsidRPr="00326E55" w14:paraId="230B4D4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F9D4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92372A" w14:textId="679BBFE6"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B15D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61627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Priemerný počet dní, počas ktorých majú miestne verejné orgány platiť podnikom, sa znižuje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0B8A7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050A1" w14:textId="520CB974"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Vážený priemer lehoty splatnosti (v dňoch)</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9219D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F60F9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C00BE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96BCF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DD4F10" w14:textId="4C21116F" w:rsidR="00BF03AA"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Na základe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 xml:space="preserve">platformy komerčných úverov („Piattaforma Crediti </w:t>
            </w:r>
            <w:r w:rsidRPr="00326E55">
              <w:rPr>
                <w:rFonts w:ascii="Times New Roman" w:hAnsi="Times New Roman"/>
                <w:noProof/>
                <w:spacing w:val="-6"/>
                <w:lang w:val="sk-SK"/>
              </w:rPr>
              <w:t>Commerciali“) týkajúcich sa faktúr vystavených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2024 sú pre platby od miestnych orgánov verejnej moci (</w:t>
            </w:r>
            <w:r w:rsidRPr="00326E55">
              <w:rPr>
                <w:rFonts w:ascii="Times New Roman" w:hAnsi="Times New Roman"/>
                <w:i/>
                <w:noProof/>
                <w:spacing w:val="-6"/>
                <w:lang w:val="sk-SK"/>
              </w:rPr>
              <w:t>enti locali</w:t>
            </w:r>
            <w:r w:rsidRPr="00326E55">
              <w:rPr>
                <w:rFonts w:ascii="Times New Roman" w:hAnsi="Times New Roman"/>
                <w:noProof/>
                <w:spacing w:val="-6"/>
                <w:lang w:val="sk-SK"/>
              </w:rPr>
              <w:t>) podnikom tieto ukazovatele:</w:t>
            </w:r>
          </w:p>
          <w:p w14:paraId="1756B35A" w14:textId="77777777" w:rsidR="00326E55" w:rsidRPr="00326E55" w:rsidRDefault="00FB452D">
            <w:pPr>
              <w:pStyle w:val="P68B1DB1-ListParagraph18"/>
              <w:numPr>
                <w:ilvl w:val="0"/>
                <w:numId w:val="69"/>
              </w:numPr>
              <w:spacing w:before="100" w:beforeAutospacing="1" w:after="120" w:line="240" w:lineRule="auto"/>
              <w:jc w:val="both"/>
              <w:rPr>
                <w:rFonts w:ascii="Times New Roman" w:hAnsi="Times New Roman"/>
                <w:noProof/>
                <w:spacing w:val="-6"/>
                <w:lang w:val="sk-SK"/>
              </w:rPr>
            </w:pPr>
            <w:r w:rsidRPr="00326E55">
              <w:rPr>
                <w:rFonts w:ascii="Times New Roman" w:hAnsi="Times New Roman" w:cs="Arial"/>
                <w:noProof/>
                <w:spacing w:val="-6"/>
                <w:szCs w:val="20"/>
                <w:lang w:val="sk-SK"/>
              </w:rPr>
              <w:t>Pre vážený priemerný čas platby („tempo medio di pagamento ponderato“):</w:t>
            </w:r>
            <w:r w:rsidRPr="00326E55">
              <w:rPr>
                <w:rFonts w:ascii="Times New Roman" w:hAnsi="Times New Roman"/>
                <w:noProof/>
                <w:spacing w:val="-6"/>
                <w:lang w:val="sk-SK"/>
              </w:rPr>
              <w:t xml:space="preserve"> najviac 30 dní</w:t>
            </w:r>
            <w:r w:rsidR="00326E55" w:rsidRPr="00326E55">
              <w:rPr>
                <w:rFonts w:ascii="Times New Roman" w:hAnsi="Times New Roman"/>
                <w:noProof/>
                <w:spacing w:val="-6"/>
                <w:lang w:val="sk-SK"/>
              </w:rPr>
              <w:t>;</w:t>
            </w:r>
          </w:p>
          <w:p w14:paraId="3AB2303C" w14:textId="34861815" w:rsidR="00BF03AA" w:rsidRPr="00326E55" w:rsidRDefault="00FB452D">
            <w:pPr>
              <w:pStyle w:val="P68B1DB1-ListParagraph15"/>
              <w:numPr>
                <w:ilvl w:val="0"/>
                <w:numId w:val="69"/>
              </w:numPr>
              <w:spacing w:before="100" w:beforeAutospacing="1" w:after="120" w:line="240" w:lineRule="auto"/>
              <w:jc w:val="both"/>
              <w:rPr>
                <w:rFonts w:ascii="Times New Roman" w:hAnsi="Times New Roman" w:cs="Arial"/>
                <w:noProof/>
                <w:spacing w:val="-6"/>
                <w:szCs w:val="20"/>
                <w:lang w:val="sk-SK"/>
              </w:rPr>
            </w:pPr>
            <w:r w:rsidRPr="00326E55">
              <w:rPr>
                <w:rFonts w:ascii="Times New Roman" w:hAnsi="Times New Roman"/>
                <w:noProof/>
                <w:spacing w:val="-6"/>
                <w:lang w:val="sk-SK"/>
              </w:rPr>
              <w:t>v prípade váženého</w:t>
            </w:r>
            <w:r w:rsidRPr="00326E55">
              <w:rPr>
                <w:rFonts w:ascii="Times New Roman" w:hAnsi="Times New Roman"/>
                <w:noProof/>
                <w:spacing w:val="-6"/>
                <w:lang w:val="sk-SK"/>
              </w:rPr>
              <w:t xml:space="preserve"> priemerného oneskorenia platby („tempo medio di ritardo ponderato“): najviac 0 dní.</w:t>
            </w:r>
          </w:p>
          <w:p w14:paraId="60F145B0" w14:textId="59DA6C7D" w:rsidR="00BF03AA" w:rsidRPr="00326E55" w:rsidRDefault="00FB452D">
            <w:pPr>
              <w:pStyle w:val="P68B1DB1-Normal17"/>
              <w:spacing w:before="100" w:beforeAutospacing="1"/>
              <w:rPr>
                <w:rFonts w:ascii="Times New Roman" w:hAnsi="Times New Roman"/>
                <w:noProof/>
                <w:spacing w:val="-6"/>
                <w:lang w:val="sk-SK"/>
              </w:rPr>
            </w:pPr>
            <w:r w:rsidRPr="00326E55">
              <w:rPr>
                <w:rFonts w:ascii="Times New Roman" w:hAnsi="Times New Roman"/>
                <w:noProof/>
                <w:spacing w:val="-6"/>
                <w:lang w:val="sk-SK"/>
              </w:rPr>
              <w:t>Okrem toho rozdiel medzi neváženým priemerným časom platby („tempo medio di pagamento semplice“)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váženým priemerným časom platby nesmie presiahnuť 20 dní, pokiaľ nevážen</w:t>
            </w:r>
            <w:r w:rsidRPr="00326E55">
              <w:rPr>
                <w:rFonts w:ascii="Times New Roman" w:hAnsi="Times New Roman"/>
                <w:noProof/>
                <w:spacing w:val="-6"/>
                <w:lang w:val="sk-SK"/>
              </w:rPr>
              <w:t>ý priemerný čas platby nie je kratší ako 30 dní.</w:t>
            </w:r>
          </w:p>
        </w:tc>
      </w:tr>
      <w:tr w:rsidR="00BF03AA" w:rsidRPr="00326E55" w14:paraId="3C0D497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9F61B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79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73D484" w14:textId="092487B3"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C802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E2F5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Priemerný počet dní, počas ktorých majú orgány verejného zdravotníctva zaplatiť </w:t>
            </w:r>
            <w:r w:rsidRPr="00326E55">
              <w:rPr>
                <w:rFonts w:ascii="Times New Roman" w:hAnsi="Times New Roman"/>
                <w:noProof/>
                <w:spacing w:val="-6"/>
                <w:lang w:val="sk-SK"/>
              </w:rPr>
              <w:t>podnikom, sa znižuje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2AF32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BECAC8" w14:textId="77777777" w:rsidR="00BF03AA" w:rsidRPr="00326E55" w:rsidRDefault="00FB452D">
            <w:pPr>
              <w:pStyle w:val="P68B1DB1-Normal11"/>
              <w:rPr>
                <w:rFonts w:ascii="Times New Roman" w:hAnsi="Times New Roman" w:cs="Arial"/>
                <w:noProof/>
                <w:spacing w:val="-6"/>
                <w:szCs w:val="20"/>
                <w:lang w:val="sk-SK"/>
              </w:rPr>
            </w:pPr>
            <w:r w:rsidRPr="00326E55">
              <w:rPr>
                <w:rFonts w:ascii="Times New Roman" w:hAnsi="Times New Roman"/>
                <w:noProof/>
                <w:spacing w:val="-6"/>
                <w:lang w:val="sk-SK"/>
              </w:rPr>
              <w:t>Vážený priemer lehoty splatnosti (v dňoch)</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6033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552E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2A5B8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654A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EAB294" w14:textId="34BA1629" w:rsidR="00BF03AA"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Na základe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obchodnej úverovej platformy („Piattaforma Crediti Commerciali“) týkajúcich sa faktúr vystavených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2024 sú tieto ukazovatele</w:t>
            </w:r>
            <w:r w:rsidRPr="00326E55">
              <w:rPr>
                <w:rFonts w:ascii="Times New Roman" w:hAnsi="Times New Roman"/>
                <w:noProof/>
                <w:spacing w:val="-6"/>
                <w:lang w:val="sk-SK"/>
              </w:rPr>
              <w:t xml:space="preserve"> platieb od orgánov verejného zdravotníctva (</w:t>
            </w:r>
            <w:r w:rsidRPr="00326E55">
              <w:rPr>
                <w:rFonts w:ascii="Times New Roman" w:hAnsi="Times New Roman"/>
                <w:i/>
                <w:noProof/>
                <w:spacing w:val="-6"/>
                <w:lang w:val="sk-SK"/>
              </w:rPr>
              <w:t>enti del Servizio sanitario nazionale</w:t>
            </w:r>
            <w:r w:rsidRPr="00326E55">
              <w:rPr>
                <w:rFonts w:ascii="Times New Roman" w:hAnsi="Times New Roman"/>
                <w:noProof/>
                <w:spacing w:val="-6"/>
                <w:lang w:val="sk-SK"/>
              </w:rPr>
              <w:t>) podnikom:</w:t>
            </w:r>
          </w:p>
          <w:p w14:paraId="37C5721B" w14:textId="77777777" w:rsidR="00326E55" w:rsidRPr="00326E55" w:rsidRDefault="00FB452D">
            <w:pPr>
              <w:pStyle w:val="P68B1DB1-Normal12"/>
              <w:spacing w:beforeAutospacing="1" w:after="120"/>
              <w:rPr>
                <w:rFonts w:ascii="Times New Roman" w:hAnsi="Times New Roman"/>
                <w:noProof/>
                <w:spacing w:val="-6"/>
                <w:lang w:val="sk-SK"/>
              </w:rPr>
            </w:pPr>
            <w:r w:rsidRPr="00326E55">
              <w:rPr>
                <w:rFonts w:ascii="Times New Roman" w:hAnsi="Times New Roman"/>
                <w:noProof/>
                <w:spacing w:val="-6"/>
                <w:lang w:val="sk-SK"/>
              </w:rPr>
              <w:t>— pre vážený priemerný čas platby („tempo medio di pagamento ponderato“): najviac 60 dní</w:t>
            </w:r>
            <w:r w:rsidR="00326E55" w:rsidRPr="00326E55">
              <w:rPr>
                <w:rFonts w:ascii="Times New Roman" w:hAnsi="Times New Roman"/>
                <w:noProof/>
                <w:spacing w:val="-6"/>
                <w:lang w:val="sk-SK"/>
              </w:rPr>
              <w:t>;</w:t>
            </w:r>
          </w:p>
          <w:p w14:paraId="1068DA1E" w14:textId="77777777" w:rsidR="00326E55" w:rsidRPr="00326E55" w:rsidRDefault="00FB452D">
            <w:pPr>
              <w:pStyle w:val="P68B1DB1-Normal12"/>
              <w:spacing w:beforeAutospacing="1" w:after="120"/>
              <w:rPr>
                <w:rFonts w:ascii="Times New Roman" w:hAnsi="Times New Roman"/>
                <w:noProof/>
                <w:spacing w:val="-6"/>
                <w:lang w:val="sk-SK"/>
              </w:rPr>
            </w:pPr>
            <w:r w:rsidRPr="00326E55">
              <w:rPr>
                <w:rFonts w:ascii="Times New Roman" w:hAnsi="Times New Roman"/>
                <w:noProof/>
                <w:spacing w:val="-6"/>
                <w:lang w:val="sk-SK"/>
              </w:rPr>
              <w:t>— pre vážené priemerné oneskorenie platby („tempo medio di ritardo ponde</w:t>
            </w:r>
            <w:r w:rsidRPr="00326E55">
              <w:rPr>
                <w:rFonts w:ascii="Times New Roman" w:hAnsi="Times New Roman"/>
                <w:noProof/>
                <w:spacing w:val="-6"/>
                <w:lang w:val="sk-SK"/>
              </w:rPr>
              <w:t>rato“): najviac 0 dní</w:t>
            </w:r>
            <w:r w:rsidR="00326E55" w:rsidRPr="00326E55">
              <w:rPr>
                <w:rFonts w:ascii="Times New Roman" w:hAnsi="Times New Roman"/>
                <w:noProof/>
                <w:spacing w:val="-6"/>
                <w:lang w:val="sk-SK"/>
              </w:rPr>
              <w:t>;</w:t>
            </w:r>
          </w:p>
          <w:p w14:paraId="0F0B356D" w14:textId="35B5C828" w:rsidR="00BF03AA" w:rsidRPr="00326E55" w:rsidRDefault="00FB452D">
            <w:pPr>
              <w:pStyle w:val="P68B1DB1-Normal12"/>
              <w:spacing w:beforeAutospacing="1" w:after="120"/>
              <w:rPr>
                <w:rFonts w:ascii="Times New Roman" w:hAnsi="Times New Roman" w:cs="Arial"/>
                <w:noProof/>
                <w:spacing w:val="-6"/>
                <w:lang w:val="sk-SK"/>
              </w:rPr>
            </w:pPr>
            <w:r w:rsidRPr="00326E55">
              <w:rPr>
                <w:rFonts w:ascii="Times New Roman" w:hAnsi="Times New Roman"/>
                <w:noProof/>
                <w:spacing w:val="-6"/>
                <w:lang w:val="sk-SK"/>
              </w:rPr>
              <w:t>Okrem toho rozdiel medzi neváženým priemerným časom platby („tempo medio di pagamento semplice“)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váženým priemerným časom platby nesmie presiahnuť 30 dní, pokiaľ nevážený priemerný čas platby nie je kratší ako 60 dní.</w:t>
            </w:r>
          </w:p>
        </w:tc>
      </w:tr>
      <w:tr w:rsidR="00BF03AA" w:rsidRPr="00326E55" w14:paraId="2E25C6F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60CCF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84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A414B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AB8E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406ED" w14:textId="52B96CF6"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Priemerný čas medzi uverejnením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zadaním zákazky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9A94E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0385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E3F3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139</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1B0FA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3311E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31EF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7C537" w14:textId="4CD06532"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Na základe metód prijatých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Úradnom vestníku EÚ (databáza TED)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použitím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IT národnej databázy pre verejné zákazky (BDNCP), ktorú spravuje ANAC, sa priemerný čas medzi termínom na predloženie ponúk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zadaním zákazky skráti na menej ako 100 dní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zákaziek presahujúcich prahové hodnoty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smerniciach EÚ</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verejnom</w:t>
            </w:r>
            <w:r w:rsidRPr="00326E55">
              <w:rPr>
                <w:rFonts w:ascii="Times New Roman" w:hAnsi="Times New Roman"/>
                <w:noProof/>
                <w:spacing w:val="-6"/>
                <w:lang w:val="sk-SK"/>
              </w:rPr>
              <w:t xml:space="preserve"> obstarávaní. </w:t>
            </w:r>
          </w:p>
        </w:tc>
      </w:tr>
      <w:tr w:rsidR="00BF03AA" w:rsidRPr="00326E55" w14:paraId="366E076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4DDE0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84bis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4C4BA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FFF31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E22A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Opatrenia na zlepšenie rýchlosti rozhodovania verejných obstarávateľov pri zadávaní zákaziek</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55F2E"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Prijatie opatrení týkajúcich sa rýchlosti rozhodovania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125C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D21FE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DA82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C8702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826FE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C3A41" w14:textId="7AAA451E"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Cabina di regia podľa článku 221 kódexu verejných zákaziek po konzultácii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ANAC prijme:</w:t>
            </w:r>
          </w:p>
          <w:p w14:paraId="612385B6" w14:textId="109BE29D"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—analýzu,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sa hodnotí vplyv elektronického obstarávania na harmonogram zadania zákazky, od termínu na predlo</w:t>
            </w:r>
            <w:r w:rsidRPr="00326E55">
              <w:rPr>
                <w:rFonts w:ascii="Times New Roman" w:hAnsi="Times New Roman"/>
                <w:noProof/>
                <w:spacing w:val="-6"/>
                <w:lang w:val="sk-SK"/>
              </w:rPr>
              <w:t>ženie ponúk až po podpísanie zmluvy,</w:t>
            </w:r>
          </w:p>
          <w:p w14:paraId="6ED7CADF" w14:textId="7E745D38" w:rsidR="00326E55"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—správa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údajoch za rok 2024 pre ukazovateľ TED „rýchlosť rozhodovania“; „Rýchlosť rozhodovania“ je čas medzi konečným termínom na predloženie ponúk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dátumom podpisu zmluvy</w:t>
            </w:r>
            <w:r w:rsidR="00326E55" w:rsidRPr="00326E55">
              <w:rPr>
                <w:rFonts w:ascii="Times New Roman" w:hAnsi="Times New Roman"/>
                <w:noProof/>
                <w:spacing w:val="-6"/>
                <w:lang w:val="sk-SK"/>
              </w:rPr>
              <w:t>;</w:t>
            </w:r>
          </w:p>
          <w:p w14:paraId="2747EF1C" w14:textId="31414294" w:rsidR="00BF03AA"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 správu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najlepších postupoch verejných </w:t>
            </w:r>
            <w:r w:rsidRPr="00326E55">
              <w:rPr>
                <w:rFonts w:ascii="Times New Roman" w:hAnsi="Times New Roman"/>
                <w:noProof/>
                <w:spacing w:val="-6"/>
                <w:lang w:val="sk-SK"/>
              </w:rPr>
              <w:t>obstarávateľov zameraných na skrátenie harmonogramu zadávania zákaziek</w:t>
            </w:r>
            <w:r w:rsidR="00326E55" w:rsidRPr="00326E55">
              <w:rPr>
                <w:rFonts w:ascii="Times New Roman" w:hAnsi="Times New Roman"/>
                <w:noProof/>
                <w:spacing w:val="-6"/>
                <w:lang w:val="sk-SK"/>
              </w:rPr>
              <w:t xml:space="preserve"> a o </w:t>
            </w:r>
            <w:r w:rsidRPr="00326E55">
              <w:rPr>
                <w:rFonts w:ascii="Times New Roman" w:hAnsi="Times New Roman"/>
                <w:noProof/>
                <w:spacing w:val="-6"/>
                <w:lang w:val="sk-SK"/>
              </w:rPr>
              <w:t>iniciatívach na skrátenie rýchlosti rozhodovania.</w:t>
            </w:r>
          </w:p>
          <w:p w14:paraId="0DACBA26" w14:textId="15D65AC2"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Kvalifikovaní verejní obstarávatelia, ktorých priemerná rýchlosť rozhodovania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TED je vyššia ako 160 dní, sú povinní vykonať nápra</w:t>
            </w:r>
            <w:r w:rsidRPr="00326E55">
              <w:rPr>
                <w:rFonts w:ascii="Times New Roman" w:hAnsi="Times New Roman"/>
                <w:noProof/>
                <w:spacing w:val="-6"/>
                <w:lang w:val="sk-SK"/>
              </w:rPr>
              <w:t xml:space="preserve">vné opatrenia. </w:t>
            </w:r>
          </w:p>
        </w:tc>
      </w:tr>
      <w:tr w:rsidR="00BF03AA" w:rsidRPr="00326E55" w14:paraId="268873F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1E5B0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85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96CAE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2AB9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AE08D1" w14:textId="3D74BBCE"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Priemerný čas medzi zadaním zákazky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realizáciou infraštruktúry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4F38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00F7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6EE8C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5073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38D3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C8F6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F747C1" w14:textId="640AF144"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Priemerný čas medzi zadaním zákazky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realizáciou infraštruktúry (ďalej len „výkonná fáza“) sa skráti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10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na základe porovnania medzi i) prácami zadanými medzi 1. januárom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31. decembrom 2019</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uzatvorenými do 30</w:t>
            </w:r>
            <w:r w:rsidR="00326E55" w:rsidRPr="00326E55">
              <w:rPr>
                <w:rFonts w:ascii="Times New Roman" w:hAnsi="Times New Roman"/>
                <w:noProof/>
                <w:spacing w:val="-6"/>
                <w:lang w:val="sk-SK"/>
              </w:rPr>
              <w:t>. júna</w:t>
            </w:r>
            <w:r w:rsidRPr="00326E55">
              <w:rPr>
                <w:rFonts w:ascii="Times New Roman" w:hAnsi="Times New Roman"/>
                <w:noProof/>
                <w:spacing w:val="-6"/>
                <w:lang w:val="sk-SK"/>
              </w:rPr>
              <w:t xml:space="preserve"> 2021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 prácami zadanými medzi 1. júlom 2021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30. júnom 2022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ukončenými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2023.</w:t>
            </w:r>
          </w:p>
        </w:tc>
      </w:tr>
      <w:tr w:rsidR="00BF03AA" w:rsidRPr="00326E55" w14:paraId="1395373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D5445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86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C6CC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D571E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7F3E19" w14:textId="37B6C4A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Štátni zamestnanci vyškolení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stratégie profesionalizácie verejných kupujúcich</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7E321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54F46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2FD40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E6D40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60300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1FA4E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0637BE" w14:textId="2EF857CF" w:rsidR="00BF03AA" w:rsidRPr="00326E55" w:rsidRDefault="00FB452D">
            <w:pPr>
              <w:pStyle w:val="P68B1DB1-Normal11"/>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Najmenej 20000 štátnych zamestnancov absolvovalo odbornú prípravu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rámci stratégie profesionalizácie verejných kupujúcich. </w:t>
            </w:r>
          </w:p>
        </w:tc>
      </w:tr>
      <w:tr w:rsidR="00BF03AA" w:rsidRPr="00326E55" w14:paraId="53C87EF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74D00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87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5CED6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CCBA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EEB9B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Verejní obstarávatelia používajúci dynamické </w:t>
            </w:r>
            <w:r w:rsidRPr="00326E55">
              <w:rPr>
                <w:rFonts w:ascii="Times New Roman" w:hAnsi="Times New Roman"/>
                <w:noProof/>
                <w:spacing w:val="-6"/>
                <w:lang w:val="sk-SK"/>
              </w:rPr>
              <w:t>nákupné systémy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5668D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019B2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AB3D0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219E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8884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5047E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E379E8" w14:textId="5220CBE3"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Aspoň 15</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verejných obstarávateľov používa dynamické nákupné systémy podľa smernice EÚ 2014/24 (dvojročný časový rámec na pozorovanie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vzhľadom na to, že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 je používanie dynamického n</w:t>
            </w:r>
            <w:r w:rsidRPr="00326E55">
              <w:rPr>
                <w:rFonts w:ascii="Times New Roman" w:hAnsi="Times New Roman"/>
                <w:noProof/>
                <w:spacing w:val="-6"/>
                <w:lang w:val="sk-SK"/>
              </w:rPr>
              <w:t>ákupného systému zamerané najmä na nákupy nad prahovou hodnotou, keďže podlimitné nákupy sa vykonávajú najmä prostredníctvom elektronických trhovísk). Cieľ sa vzťahuje na verejných obstarávateľov ústrednej štátnej správy (250 PA zaevidovaných 30</w:t>
            </w:r>
            <w:r w:rsidR="00326E55" w:rsidRPr="00326E55">
              <w:rPr>
                <w:rFonts w:ascii="Times New Roman" w:hAnsi="Times New Roman"/>
                <w:noProof/>
                <w:spacing w:val="-6"/>
                <w:lang w:val="sk-SK"/>
              </w:rPr>
              <w:t>. apríla</w:t>
            </w:r>
            <w:r w:rsidRPr="00326E55">
              <w:rPr>
                <w:rFonts w:ascii="Times New Roman" w:hAnsi="Times New Roman"/>
                <w:noProof/>
                <w:spacing w:val="-6"/>
                <w:lang w:val="sk-SK"/>
              </w:rPr>
              <w:t xml:space="preserve"> 20</w:t>
            </w:r>
            <w:r w:rsidRPr="00326E55">
              <w:rPr>
                <w:rFonts w:ascii="Times New Roman" w:hAnsi="Times New Roman"/>
                <w:noProof/>
                <w:spacing w:val="-6"/>
                <w:lang w:val="sk-SK"/>
              </w:rPr>
              <w:t>21 na vnútroštátny systém elektronického obstarávania, ktorý spravuje Consip</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mene MEF).</w:t>
            </w:r>
          </w:p>
        </w:tc>
      </w:tr>
      <w:tr w:rsidR="00BF03AA" w:rsidRPr="00326E55" w14:paraId="64BD8E2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BBA0B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88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11AEA0" w14:textId="67D38630"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650CA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395C0"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Priemerný počet dní, počas ktorých ústredné </w:t>
            </w:r>
            <w:r w:rsidRPr="00326E55">
              <w:rPr>
                <w:rFonts w:ascii="Times New Roman" w:hAnsi="Times New Roman"/>
                <w:noProof/>
                <w:spacing w:val="-6"/>
                <w:lang w:val="sk-SK"/>
              </w:rPr>
              <w:t>orgány verejnej moci platia podnikom, sa znižuje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B49F0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56C7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Vážený priemer lehoty splatnosti (v dňoch)</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5EEF6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 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39BB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4965A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E0EB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1741CB" w14:textId="0BC73187" w:rsidR="00BF03AA" w:rsidRPr="00326E55" w:rsidRDefault="00FB452D">
            <w:pPr>
              <w:spacing w:before="100" w:beforeAutospacing="1" w:after="120"/>
              <w:rPr>
                <w:rStyle w:val="CommentReference"/>
                <w:rFonts w:ascii="Times New Roman" w:hAnsi="Times New Roman"/>
                <w:i/>
                <w:noProof/>
                <w:color w:val="006100"/>
                <w:spacing w:val="-6"/>
                <w:sz w:val="20"/>
                <w:szCs w:val="20"/>
                <w:lang w:val="sk-SK"/>
              </w:rPr>
            </w:pPr>
            <w:r w:rsidRPr="00326E55">
              <w:rPr>
                <w:rFonts w:ascii="Times New Roman" w:hAnsi="Times New Roman"/>
                <w:noProof/>
                <w:color w:val="006100"/>
                <w:spacing w:val="-6"/>
                <w:sz w:val="20"/>
                <w:szCs w:val="20"/>
                <w:lang w:val="sk-SK"/>
              </w:rPr>
              <w:t>Na základe údajov</w:t>
            </w:r>
            <w:r w:rsidR="00326E55" w:rsidRPr="00326E55">
              <w:rPr>
                <w:rFonts w:ascii="Times New Roman" w:hAnsi="Times New Roman"/>
                <w:noProof/>
                <w:color w:val="006100"/>
                <w:spacing w:val="-6"/>
                <w:sz w:val="20"/>
                <w:szCs w:val="20"/>
                <w:lang w:val="sk-SK"/>
              </w:rPr>
              <w:t xml:space="preserve"> z </w:t>
            </w:r>
            <w:r w:rsidRPr="00326E55">
              <w:rPr>
                <w:rFonts w:ascii="Times New Roman" w:hAnsi="Times New Roman"/>
                <w:noProof/>
                <w:color w:val="006100"/>
                <w:spacing w:val="-6"/>
                <w:sz w:val="20"/>
                <w:szCs w:val="20"/>
                <w:lang w:val="sk-SK"/>
              </w:rPr>
              <w:t>obchodnej úverovej platformy („Piattaforma Crediti Commerciali“) týkajúcich sa faktúr vystavených</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r</w:t>
            </w:r>
            <w:r w:rsidRPr="00326E55">
              <w:rPr>
                <w:rFonts w:ascii="Times New Roman" w:hAnsi="Times New Roman"/>
                <w:noProof/>
                <w:color w:val="006100"/>
                <w:spacing w:val="-6"/>
                <w:sz w:val="20"/>
                <w:szCs w:val="20"/>
                <w:lang w:val="sk-SK"/>
              </w:rPr>
              <w:t>oku 2025 sú pre platby od ústredných orgánov verejnej moci (</w:t>
            </w:r>
            <w:r w:rsidRPr="00326E55">
              <w:rPr>
                <w:rFonts w:ascii="Times New Roman" w:hAnsi="Times New Roman"/>
                <w:i/>
                <w:noProof/>
                <w:color w:val="006100"/>
                <w:spacing w:val="-6"/>
                <w:sz w:val="20"/>
                <w:szCs w:val="20"/>
                <w:lang w:val="sk-SK"/>
              </w:rPr>
              <w:t>Amministrazioni centrali</w:t>
            </w:r>
            <w:r w:rsidRPr="00326E55">
              <w:rPr>
                <w:rFonts w:ascii="Times New Roman" w:hAnsi="Times New Roman"/>
                <w:noProof/>
                <w:color w:val="006100"/>
                <w:spacing w:val="-6"/>
                <w:sz w:val="20"/>
                <w:szCs w:val="20"/>
                <w:lang w:val="sk-SK"/>
              </w:rPr>
              <w:t>) podnikom tieto ukazovatele</w:t>
            </w:r>
            <w:r w:rsidRPr="00326E55">
              <w:rPr>
                <w:rStyle w:val="CommentReference"/>
                <w:rFonts w:ascii="Times New Roman" w:hAnsi="Times New Roman"/>
                <w:noProof/>
                <w:spacing w:val="-6"/>
                <w:lang w:val="sk-SK"/>
              </w:rPr>
              <w:t>:</w:t>
            </w:r>
          </w:p>
          <w:p w14:paraId="6BF08DE6" w14:textId="77777777" w:rsidR="00326E55"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 pre vážený priemerný čas platby („tempo medio di pagamento ponderato“): najviac 30 dní</w:t>
            </w:r>
            <w:r w:rsidR="00326E55" w:rsidRPr="00326E55">
              <w:rPr>
                <w:rFonts w:ascii="Times New Roman" w:hAnsi="Times New Roman"/>
                <w:noProof/>
                <w:spacing w:val="-6"/>
                <w:lang w:val="sk-SK"/>
              </w:rPr>
              <w:t>;</w:t>
            </w:r>
          </w:p>
          <w:p w14:paraId="0EF9179C" w14:textId="77777777" w:rsidR="00326E55"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 xml:space="preserve">— pre vážené priemerné oneskorenie platby („tempo </w:t>
            </w:r>
            <w:r w:rsidRPr="00326E55">
              <w:rPr>
                <w:rFonts w:ascii="Times New Roman" w:hAnsi="Times New Roman"/>
                <w:noProof/>
                <w:spacing w:val="-6"/>
                <w:lang w:val="sk-SK"/>
              </w:rPr>
              <w:t>medio di ritardo ponderato“): najviac 0 dní</w:t>
            </w:r>
            <w:r w:rsidR="00326E55" w:rsidRPr="00326E55">
              <w:rPr>
                <w:rFonts w:ascii="Times New Roman" w:hAnsi="Times New Roman"/>
                <w:noProof/>
                <w:spacing w:val="-6"/>
                <w:lang w:val="sk-SK"/>
              </w:rPr>
              <w:t>;</w:t>
            </w:r>
          </w:p>
          <w:p w14:paraId="648BDD81" w14:textId="18FFF10C"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Okrem toho rozdiel medzi neváženým priemerným časom platby („tempo medio di pagamento semplice“):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vážená priemerná lehota splatnosti nesmie presiahnuť 15 dní, pokiaľ nie je nevážená priemerná lehota splatnosti</w:t>
            </w:r>
            <w:r w:rsidRPr="00326E55">
              <w:rPr>
                <w:rFonts w:ascii="Times New Roman" w:hAnsi="Times New Roman"/>
                <w:noProof/>
                <w:spacing w:val="-6"/>
                <w:lang w:val="sk-SK"/>
              </w:rPr>
              <w:t xml:space="preserve"> kratšia ako 30 dní. </w:t>
            </w:r>
          </w:p>
        </w:tc>
      </w:tr>
      <w:tr w:rsidR="00BF03AA" w:rsidRPr="00326E55" w14:paraId="35137D4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046AB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89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F509D" w14:textId="7CDB6C03"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4783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C4C66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Priemerný počet dní, počas ktorých majú regionálne verejné orgány platiť podnikom, sa znižuje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FB160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8923D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Vážený </w:t>
            </w:r>
            <w:r w:rsidRPr="00326E55">
              <w:rPr>
                <w:rFonts w:ascii="Times New Roman" w:hAnsi="Times New Roman"/>
                <w:noProof/>
                <w:spacing w:val="-6"/>
                <w:lang w:val="sk-SK"/>
              </w:rPr>
              <w:t>priemer lehoty splatnosti (v dňoch)</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3107B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913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99D4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2C25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C5996E" w14:textId="36EF4FA3" w:rsidR="00BF03AA"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Na základe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obchodnej úverovej platformy („Piattaforma Crediti Commerciali“) týkajúcich sa faktúr vystavených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2025 sú pre platby od regionálnych orgánov verejnej moci (</w:t>
            </w:r>
            <w:r w:rsidRPr="00326E55">
              <w:rPr>
                <w:rFonts w:ascii="Times New Roman" w:hAnsi="Times New Roman"/>
                <w:i/>
                <w:noProof/>
                <w:spacing w:val="-6"/>
                <w:lang w:val="sk-SK"/>
              </w:rPr>
              <w:t xml:space="preserve">Regi </w:t>
            </w:r>
            <w:r w:rsidRPr="00326E55">
              <w:rPr>
                <w:rFonts w:ascii="Times New Roman" w:hAnsi="Times New Roman"/>
                <w:i/>
                <w:noProof/>
                <w:spacing w:val="-6"/>
                <w:lang w:val="sk-SK"/>
              </w:rPr>
              <w:t>– Autonómia provincie</w:t>
            </w:r>
            <w:r w:rsidRPr="00326E55">
              <w:rPr>
                <w:rFonts w:ascii="Times New Roman" w:hAnsi="Times New Roman"/>
                <w:noProof/>
                <w:spacing w:val="-6"/>
                <w:lang w:val="sk-SK"/>
              </w:rPr>
              <w:t>) podnikom tieto ukazovatele:</w:t>
            </w:r>
          </w:p>
          <w:p w14:paraId="669C0266" w14:textId="77777777" w:rsidR="00BF03AA" w:rsidRPr="00326E55" w:rsidRDefault="00FB452D">
            <w:pPr>
              <w:pStyle w:val="P68B1DB1-ListParagraph13"/>
              <w:numPr>
                <w:ilvl w:val="0"/>
                <w:numId w:val="70"/>
              </w:numPr>
              <w:spacing w:before="100" w:beforeAutospacing="1" w:after="120" w:line="240" w:lineRule="auto"/>
              <w:jc w:val="both"/>
              <w:rPr>
                <w:rFonts w:ascii="Times New Roman" w:hAnsi="Times New Roman" w:cs="Arial"/>
                <w:noProof/>
                <w:spacing w:val="-6"/>
                <w:lang w:val="sk-SK"/>
              </w:rPr>
            </w:pPr>
            <w:r w:rsidRPr="00326E55">
              <w:rPr>
                <w:rFonts w:ascii="Times New Roman" w:hAnsi="Times New Roman"/>
                <w:noProof/>
                <w:spacing w:val="-6"/>
                <w:lang w:val="sk-SK"/>
              </w:rPr>
              <w:t>pre vážený priemerný čas platby („tempo medio di pagamento ponderato“): najviac 30 dní;</w:t>
            </w:r>
          </w:p>
          <w:p w14:paraId="0A15038F" w14:textId="77777777" w:rsidR="00BF03AA" w:rsidRPr="00326E55" w:rsidRDefault="00FB452D">
            <w:pPr>
              <w:pStyle w:val="P68B1DB1-ListParagraph13"/>
              <w:numPr>
                <w:ilvl w:val="0"/>
                <w:numId w:val="70"/>
              </w:numPr>
              <w:spacing w:before="100" w:beforeAutospacing="1" w:after="120" w:line="240" w:lineRule="auto"/>
              <w:jc w:val="both"/>
              <w:rPr>
                <w:rFonts w:ascii="Times New Roman" w:hAnsi="Times New Roman" w:cs="Arial"/>
                <w:noProof/>
                <w:spacing w:val="-6"/>
                <w:lang w:val="sk-SK"/>
              </w:rPr>
            </w:pPr>
            <w:r w:rsidRPr="00326E55">
              <w:rPr>
                <w:rFonts w:ascii="Times New Roman" w:hAnsi="Times New Roman"/>
                <w:noProof/>
                <w:spacing w:val="-6"/>
                <w:lang w:val="sk-SK"/>
              </w:rPr>
              <w:t>v prípade váženého priemerného oneskorenia platby („tempo medio di ritardo ponderato“): najviac 0 dní.</w:t>
            </w:r>
          </w:p>
          <w:p w14:paraId="63364C21" w14:textId="0858AA46" w:rsidR="00BF03AA" w:rsidRPr="00326E55" w:rsidRDefault="00FB452D">
            <w:pPr>
              <w:pStyle w:val="P68B1DB1-Normal17"/>
              <w:spacing w:before="100" w:beforeAutospacing="1"/>
              <w:rPr>
                <w:rFonts w:ascii="Times New Roman" w:hAnsi="Times New Roman"/>
                <w:noProof/>
                <w:spacing w:val="-6"/>
                <w:lang w:val="sk-SK"/>
              </w:rPr>
            </w:pPr>
            <w:r w:rsidRPr="00326E55">
              <w:rPr>
                <w:rFonts w:ascii="Times New Roman" w:hAnsi="Times New Roman"/>
                <w:noProof/>
                <w:spacing w:val="-6"/>
                <w:lang w:val="sk-SK"/>
              </w:rPr>
              <w:t>Okrem toho roz</w:t>
            </w:r>
            <w:r w:rsidRPr="00326E55">
              <w:rPr>
                <w:rFonts w:ascii="Times New Roman" w:hAnsi="Times New Roman"/>
                <w:noProof/>
                <w:spacing w:val="-6"/>
                <w:lang w:val="sk-SK"/>
              </w:rPr>
              <w:t>diel medzi neváženým priemerným časom platby („tempo medio di pagamento semplice“)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váženým priemerným časom platby nesmie presiahnuť 15 dní, pokiaľ nevážený priemerný čas platby nie je kratší ako 30 dní.</w:t>
            </w:r>
          </w:p>
        </w:tc>
      </w:tr>
      <w:tr w:rsidR="00BF03AA" w:rsidRPr="00326E55" w14:paraId="566EB07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B91CB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90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8EE30F" w14:textId="3D1D9CFB"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97CB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2FA4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Priemerný počet dní, počas ktorých majú miestne verejné orgány platiť podnikom, sa znižuje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E9838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67182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Vážený priemer lehoty splatnosti (v dňoch)</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154DC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 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6AAE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E862C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2188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2C6C9" w14:textId="3DA41C0E" w:rsidR="00BF03AA"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Na základe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obchodnej úverovej platformy (Piattaforma Crediti Commerciali) týkajúcich sa faktúr vystavených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2025 sú pre platby od miestnych orgánov verejnej moci (</w:t>
            </w:r>
            <w:r w:rsidRPr="00326E55">
              <w:rPr>
                <w:rFonts w:ascii="Times New Roman" w:hAnsi="Times New Roman"/>
                <w:i/>
                <w:noProof/>
                <w:spacing w:val="-6"/>
                <w:lang w:val="sk-SK"/>
              </w:rPr>
              <w:t>enti locali</w:t>
            </w:r>
            <w:r w:rsidRPr="00326E55">
              <w:rPr>
                <w:rFonts w:ascii="Times New Roman" w:hAnsi="Times New Roman"/>
                <w:noProof/>
                <w:spacing w:val="-6"/>
                <w:lang w:val="sk-SK"/>
              </w:rPr>
              <w:t>) podnikom tieto ukazovatele:</w:t>
            </w:r>
          </w:p>
          <w:p w14:paraId="5260D028" w14:textId="1ECC7F20" w:rsidR="00BF03AA" w:rsidRPr="00326E55" w:rsidRDefault="00FB452D">
            <w:pPr>
              <w:pStyle w:val="P68B1DB1-ListParagraph13"/>
              <w:numPr>
                <w:ilvl w:val="0"/>
                <w:numId w:val="71"/>
              </w:numPr>
              <w:spacing w:before="100" w:beforeAutospacing="1" w:after="120" w:line="240" w:lineRule="auto"/>
              <w:jc w:val="both"/>
              <w:rPr>
                <w:rFonts w:ascii="Times New Roman" w:hAnsi="Times New Roman" w:cs="Arial"/>
                <w:noProof/>
                <w:spacing w:val="-6"/>
                <w:lang w:val="sk-SK"/>
              </w:rPr>
            </w:pPr>
            <w:r w:rsidRPr="00326E55">
              <w:rPr>
                <w:rFonts w:ascii="Times New Roman" w:hAnsi="Times New Roman"/>
                <w:noProof/>
                <w:spacing w:val="-6"/>
                <w:lang w:val="sk-SK"/>
              </w:rPr>
              <w:t xml:space="preserve">pre </w:t>
            </w:r>
            <w:r w:rsidRPr="00326E55">
              <w:rPr>
                <w:rFonts w:ascii="Times New Roman" w:hAnsi="Times New Roman"/>
                <w:noProof/>
                <w:spacing w:val="-6"/>
                <w:lang w:val="sk-SK"/>
              </w:rPr>
              <w:t>vážený priemerný čas platby („tempo medio di pagamento ponderato“): najviac 30 dní;</w:t>
            </w:r>
          </w:p>
          <w:p w14:paraId="671E5EC7" w14:textId="37B7BCA3" w:rsidR="00BF03AA" w:rsidRPr="00326E55" w:rsidRDefault="00FB452D">
            <w:pPr>
              <w:pStyle w:val="P68B1DB1-ListParagraph13"/>
              <w:numPr>
                <w:ilvl w:val="0"/>
                <w:numId w:val="71"/>
              </w:numPr>
              <w:spacing w:before="100" w:beforeAutospacing="1" w:after="120" w:line="240" w:lineRule="auto"/>
              <w:jc w:val="both"/>
              <w:rPr>
                <w:rFonts w:ascii="Times New Roman" w:hAnsi="Times New Roman" w:cs="Arial"/>
                <w:noProof/>
                <w:spacing w:val="-6"/>
                <w:lang w:val="sk-SK"/>
              </w:rPr>
            </w:pPr>
            <w:r w:rsidRPr="00326E55">
              <w:rPr>
                <w:rFonts w:ascii="Times New Roman" w:hAnsi="Times New Roman"/>
                <w:noProof/>
                <w:spacing w:val="-6"/>
                <w:lang w:val="sk-SK"/>
              </w:rPr>
              <w:t>v prípade váženého priemerného oneskorenia platby („tempo medio di ritardo ponderato“): najviac 0 dní.</w:t>
            </w:r>
          </w:p>
          <w:p w14:paraId="1326E6BE" w14:textId="33B26ECC" w:rsidR="00BF03AA" w:rsidRPr="00326E55" w:rsidRDefault="00FB452D">
            <w:pPr>
              <w:pStyle w:val="P68B1DB1-Normal12"/>
              <w:spacing w:before="100" w:beforeAutospacing="1"/>
              <w:rPr>
                <w:rFonts w:ascii="Times New Roman" w:hAnsi="Times New Roman" w:cs="Arial"/>
                <w:noProof/>
                <w:spacing w:val="-6"/>
                <w:lang w:val="sk-SK"/>
              </w:rPr>
            </w:pPr>
            <w:r w:rsidRPr="00326E55">
              <w:rPr>
                <w:rFonts w:ascii="Times New Roman" w:hAnsi="Times New Roman"/>
                <w:noProof/>
                <w:spacing w:val="-6"/>
                <w:lang w:val="sk-SK"/>
              </w:rPr>
              <w:t>Okrem toho rozdiel medzi neváženým priemerným časom platby („tempo me</w:t>
            </w:r>
            <w:r w:rsidRPr="00326E55">
              <w:rPr>
                <w:rFonts w:ascii="Times New Roman" w:hAnsi="Times New Roman"/>
                <w:noProof/>
                <w:spacing w:val="-6"/>
                <w:lang w:val="sk-SK"/>
              </w:rPr>
              <w:t>dio di pagamento semplice“)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váženým priemerným časom platby nesmie presiahnuť 15 dní, pokiaľ nevážený priemerný čas platby nie je kratší ako 30 dní.</w:t>
            </w:r>
          </w:p>
        </w:tc>
      </w:tr>
      <w:tr w:rsidR="00BF03AA" w:rsidRPr="00326E55" w14:paraId="6791A38C"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4638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91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1A0E06" w14:textId="4D6738A2"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Reforma 1.11: Zníženie oneskorených platieb zo strany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zdravotníckych</w:t>
            </w:r>
            <w:r w:rsidRPr="00326E55">
              <w:rPr>
                <w:rFonts w:ascii="Times New Roman" w:hAnsi="Times New Roman"/>
                <w:noProof/>
                <w:spacing w:val="-6"/>
                <w:lang w:val="sk-SK"/>
              </w:rPr>
              <w:t xml:space="preserve"> orgánov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98E50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96359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Priemerný počet dní, počas ktorých majú orgány verejného zdravotníctva zaplatiť podnikom, sa znižuje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9401E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1AFA41"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Vážený priemer času platby (jn dní)</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F4D9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008E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731DA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445F6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0E1D22" w14:textId="19F93CCF" w:rsidR="00BF03AA"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Na základe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platformy komerčných úverov („Piattaforma C</w:t>
            </w:r>
            <w:r w:rsidRPr="00326E55">
              <w:rPr>
                <w:rFonts w:ascii="Times New Roman" w:hAnsi="Times New Roman"/>
                <w:noProof/>
                <w:spacing w:val="-6"/>
                <w:lang w:val="sk-SK"/>
              </w:rPr>
              <w:t>rediti Commerciali“) týkajúcich sa faktúr vystavených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2025 sú tieto ukazovatele platieb od orgánov verejného zdravotníctva (</w:t>
            </w:r>
            <w:r w:rsidRPr="00326E55">
              <w:rPr>
                <w:rFonts w:ascii="Times New Roman" w:hAnsi="Times New Roman"/>
                <w:i/>
                <w:noProof/>
                <w:spacing w:val="-6"/>
                <w:lang w:val="sk-SK"/>
              </w:rPr>
              <w:t>enti del Servizio sanitario nazionale</w:t>
            </w:r>
            <w:r w:rsidRPr="00326E55">
              <w:rPr>
                <w:rFonts w:ascii="Times New Roman" w:hAnsi="Times New Roman"/>
                <w:noProof/>
                <w:spacing w:val="-6"/>
                <w:lang w:val="sk-SK"/>
              </w:rPr>
              <w:t>) podnikom:</w:t>
            </w:r>
          </w:p>
          <w:p w14:paraId="20D98BD1" w14:textId="77777777" w:rsidR="00326E55" w:rsidRPr="00326E55" w:rsidRDefault="00FB452D">
            <w:pPr>
              <w:pStyle w:val="P68B1DB1-Normal12"/>
              <w:spacing w:beforeAutospacing="1" w:after="120"/>
              <w:rPr>
                <w:rFonts w:ascii="Times New Roman" w:hAnsi="Times New Roman"/>
                <w:noProof/>
                <w:spacing w:val="-6"/>
                <w:lang w:val="sk-SK"/>
              </w:rPr>
            </w:pPr>
            <w:r w:rsidRPr="00326E55">
              <w:rPr>
                <w:rFonts w:ascii="Times New Roman" w:hAnsi="Times New Roman"/>
                <w:noProof/>
                <w:spacing w:val="-6"/>
                <w:lang w:val="sk-SK"/>
              </w:rPr>
              <w:t>— pre vážený priemerný čas platby („tempo medio di pagamento ponderato“): na</w:t>
            </w:r>
            <w:r w:rsidRPr="00326E55">
              <w:rPr>
                <w:rFonts w:ascii="Times New Roman" w:hAnsi="Times New Roman"/>
                <w:noProof/>
                <w:spacing w:val="-6"/>
                <w:lang w:val="sk-SK"/>
              </w:rPr>
              <w:t>jviac 60 dní</w:t>
            </w:r>
            <w:r w:rsidR="00326E55" w:rsidRPr="00326E55">
              <w:rPr>
                <w:rFonts w:ascii="Times New Roman" w:hAnsi="Times New Roman"/>
                <w:noProof/>
                <w:spacing w:val="-6"/>
                <w:lang w:val="sk-SK"/>
              </w:rPr>
              <w:t>;</w:t>
            </w:r>
          </w:p>
          <w:p w14:paraId="225E65E3" w14:textId="77777777" w:rsidR="00326E55" w:rsidRPr="00326E55" w:rsidRDefault="00FB452D">
            <w:pPr>
              <w:pStyle w:val="P68B1DB1-Normal12"/>
              <w:spacing w:beforeAutospacing="1" w:after="120"/>
              <w:rPr>
                <w:rFonts w:ascii="Times New Roman" w:hAnsi="Times New Roman"/>
                <w:noProof/>
                <w:spacing w:val="-6"/>
                <w:lang w:val="sk-SK"/>
              </w:rPr>
            </w:pPr>
            <w:r w:rsidRPr="00326E55">
              <w:rPr>
                <w:rFonts w:ascii="Times New Roman" w:hAnsi="Times New Roman"/>
                <w:noProof/>
                <w:spacing w:val="-6"/>
                <w:lang w:val="sk-SK"/>
              </w:rPr>
              <w:t>— pre vážené priemerné oneskorenie platby („tempo medio di ritardo ponderato“): najviac 0 dní</w:t>
            </w:r>
            <w:r w:rsidR="00326E55" w:rsidRPr="00326E55">
              <w:rPr>
                <w:rFonts w:ascii="Times New Roman" w:hAnsi="Times New Roman"/>
                <w:noProof/>
                <w:spacing w:val="-6"/>
                <w:lang w:val="sk-SK"/>
              </w:rPr>
              <w:t>;</w:t>
            </w:r>
          </w:p>
          <w:p w14:paraId="61F0A25D" w14:textId="3E8A3BAB" w:rsidR="00BF03AA"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Okrem toho rozdiel medzi neváženým priemerným časom platby („tempo medio di pagamento semplice“)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váženým priemerným časom platby nesmie </w:t>
            </w:r>
            <w:r w:rsidRPr="00326E55">
              <w:rPr>
                <w:rFonts w:ascii="Times New Roman" w:hAnsi="Times New Roman"/>
                <w:noProof/>
                <w:spacing w:val="-6"/>
                <w:lang w:val="sk-SK"/>
              </w:rPr>
              <w:t>presiahnuť 20 dní, pokiaľ nevážený priemerný čas platby nie je kratší ako 60 dní.</w:t>
            </w:r>
          </w:p>
        </w:tc>
      </w:tr>
      <w:tr w:rsidR="00BF03AA" w:rsidRPr="00326E55" w14:paraId="7125BB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C2E64" w14:textId="61C60670"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96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CC87D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8366C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B5BF9" w14:textId="5BEE0EE4"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Priemerný čas medzi lehotou na prijatie ponúk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dátumom podpisu zmluvy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464A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273F8D" w14:textId="45A56336"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DE3FA" w14:textId="66C3C40A"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DFF344" w14:textId="3118E7FB"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80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8464E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1EB1CD"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F13FB3" w14:textId="1524DCDC" w:rsidR="00BF03AA" w:rsidRPr="00326E55" w:rsidRDefault="00FB452D">
            <w:pPr>
              <w:pStyle w:val="P68B1DB1-Normal19"/>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Na základe údajov získaných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databázy ANAC Banca Dati Nazionale Contratti Pubblici ako IT national eSender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databázy TED sa priemerný čas medzi lehotou na prijatie ponúk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dátumom podpisu zmluvy počas 12-mesačného obdobia, pri</w:t>
            </w:r>
            <w:r w:rsidRPr="00326E55">
              <w:rPr>
                <w:rFonts w:ascii="Times New Roman" w:hAnsi="Times New Roman"/>
                <w:noProof/>
                <w:spacing w:val="-6"/>
                <w:lang w:val="sk-SK"/>
              </w:rPr>
              <w:t>čom referenčným dátumom je dátum podpisu zmluvy, ktorý sa začína najskôr 1</w:t>
            </w:r>
            <w:r w:rsidR="00326E55" w:rsidRPr="00326E55">
              <w:rPr>
                <w:rFonts w:ascii="Times New Roman" w:hAnsi="Times New Roman"/>
                <w:noProof/>
                <w:spacing w:val="-6"/>
                <w:lang w:val="sk-SK"/>
              </w:rPr>
              <w:t>. septembra</w:t>
            </w:r>
            <w:r w:rsidRPr="00326E55">
              <w:rPr>
                <w:rFonts w:ascii="Times New Roman" w:hAnsi="Times New Roman"/>
                <w:noProof/>
                <w:spacing w:val="-6"/>
                <w:lang w:val="sk-SK"/>
              </w:rPr>
              <w:t xml:space="preserve"> 2024, skráti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20</w:t>
            </w:r>
            <w:r w:rsidR="00326E55" w:rsidRPr="00326E55">
              <w:rPr>
                <w:rFonts w:ascii="Times New Roman" w:hAnsi="Times New Roman"/>
                <w:noProof/>
                <w:spacing w:val="-6"/>
                <w:lang w:val="sk-SK"/>
              </w:rPr>
              <w:t> %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ukazovateľom rýchlosti rozhodovania za rok 2018, ktorý je uverejnený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hodnotiacej tabuľke jednotného trhu EÚ pre zákazky nad prah</w:t>
            </w:r>
            <w:r w:rsidRPr="00326E55">
              <w:rPr>
                <w:rFonts w:ascii="Times New Roman" w:hAnsi="Times New Roman"/>
                <w:noProof/>
                <w:spacing w:val="-6"/>
                <w:lang w:val="sk-SK"/>
              </w:rPr>
              <w:t>ovou hodnotou smerníc EÚ</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verejnom obstarávaní.</w:t>
            </w:r>
          </w:p>
        </w:tc>
      </w:tr>
      <w:tr w:rsidR="00BF03AA" w:rsidRPr="00326E55" w14:paraId="248E972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8D5E9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97ter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72A6A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7193F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473A09" w14:textId="5B280DA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Opatrenia týkajúce sa rýchlosti vykonania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8A3F0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Prijatie opatrení týkajúcich sa rýchlosti vykonania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13F5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6FAB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D14B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A0D9A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B548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5BB78" w14:textId="61CC5F0D" w:rsidR="00BF03AA" w:rsidRPr="00326E55" w:rsidRDefault="00FB452D">
            <w:pPr>
              <w:pStyle w:val="P68B1DB1-ListParagraph13"/>
              <w:numPr>
                <w:ilvl w:val="0"/>
                <w:numId w:val="72"/>
              </w:numPr>
              <w:spacing w:before="100" w:beforeAutospacing="1" w:after="120" w:line="240" w:lineRule="auto"/>
              <w:ind w:left="245" w:hanging="284"/>
              <w:jc w:val="both"/>
              <w:rPr>
                <w:rFonts w:ascii="Times New Roman" w:hAnsi="Times New Roman"/>
                <w:noProof/>
                <w:spacing w:val="-6"/>
                <w:lang w:val="sk-SK"/>
              </w:rPr>
            </w:pPr>
            <w:r w:rsidRPr="00326E55">
              <w:rPr>
                <w:rFonts w:ascii="Times New Roman" w:hAnsi="Times New Roman"/>
                <w:noProof/>
                <w:spacing w:val="-6"/>
                <w:lang w:val="sk-SK"/>
              </w:rPr>
              <w:t>Uverejnenie na webovom sídle spoločnosti Agenzia per l’Italia Digitale (AGID) nových technických pravidiel umožňujúcich zber informácií na digitálne monitorovanie plnenia verejných zákaziek.</w:t>
            </w:r>
          </w:p>
          <w:p w14:paraId="37A5C5EF" w14:textId="77777777" w:rsidR="00BF03AA" w:rsidRPr="00326E55" w:rsidRDefault="00BF03AA">
            <w:pPr>
              <w:pStyle w:val="ListParagraph"/>
              <w:spacing w:before="100" w:beforeAutospacing="1"/>
              <w:ind w:left="245"/>
              <w:rPr>
                <w:rFonts w:ascii="Times New Roman" w:hAnsi="Times New Roman"/>
                <w:noProof/>
                <w:color w:val="006100"/>
                <w:spacing w:val="-6"/>
                <w:sz w:val="20"/>
                <w:szCs w:val="20"/>
                <w:lang w:val="sk-SK"/>
              </w:rPr>
            </w:pPr>
          </w:p>
          <w:p w14:paraId="6DA72568" w14:textId="695FD152" w:rsidR="00BF03AA" w:rsidRPr="00326E55" w:rsidRDefault="00FB452D">
            <w:pPr>
              <w:pStyle w:val="P68B1DB1-ListParagraph13"/>
              <w:numPr>
                <w:ilvl w:val="0"/>
                <w:numId w:val="72"/>
              </w:numPr>
              <w:spacing w:before="100" w:beforeAutospacing="1" w:after="120" w:line="240" w:lineRule="auto"/>
              <w:ind w:left="245" w:hanging="284"/>
              <w:jc w:val="both"/>
              <w:rPr>
                <w:rFonts w:ascii="Times New Roman" w:hAnsi="Times New Roman"/>
                <w:noProof/>
                <w:spacing w:val="-6"/>
                <w:lang w:val="sk-SK"/>
              </w:rPr>
            </w:pPr>
            <w:r w:rsidRPr="00326E55">
              <w:rPr>
                <w:rFonts w:ascii="Times New Roman" w:hAnsi="Times New Roman"/>
                <w:noProof/>
                <w:spacing w:val="-6"/>
                <w:lang w:val="sk-SK"/>
              </w:rPr>
              <w:t>Podpísanie memoranda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porozumení</w:t>
            </w:r>
            <w:r w:rsidRPr="00326E55">
              <w:rPr>
                <w:rFonts w:ascii="Times New Roman" w:hAnsi="Times New Roman"/>
                <w:noProof/>
                <w:spacing w:val="-6"/>
                <w:lang w:val="sk-SK"/>
              </w:rPr>
              <w:t xml:space="preserve"> medzi ministerstvom 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Autorità Nazionale Anticorruzione (ANAC), ktorým sa zavádzajú technické pravidlá</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interoperabilite údajov týkajúcich sa verejných financií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platieb za verejné práce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databázou ANAC (Banca Dati Nazionale dei</w:t>
            </w:r>
            <w:r w:rsidRPr="00326E55">
              <w:rPr>
                <w:rFonts w:ascii="Times New Roman" w:hAnsi="Times New Roman"/>
                <w:noProof/>
                <w:spacing w:val="-6"/>
                <w:lang w:val="sk-SK"/>
              </w:rPr>
              <w:t xml:space="preserve"> Contratti Pubblici).</w:t>
            </w:r>
          </w:p>
          <w:p w14:paraId="405300D7" w14:textId="77777777" w:rsidR="00BF03AA" w:rsidRPr="00326E55" w:rsidRDefault="00BF03AA">
            <w:pPr>
              <w:pStyle w:val="ListParagraph"/>
              <w:rPr>
                <w:rFonts w:ascii="Times New Roman" w:hAnsi="Times New Roman"/>
                <w:noProof/>
                <w:color w:val="006100"/>
                <w:spacing w:val="-6"/>
                <w:sz w:val="20"/>
                <w:szCs w:val="20"/>
                <w:lang w:val="sk-SK"/>
              </w:rPr>
            </w:pPr>
          </w:p>
          <w:p w14:paraId="738ADF4E" w14:textId="187F10F6" w:rsidR="00326E55" w:rsidRPr="00326E55" w:rsidRDefault="00FB452D">
            <w:pPr>
              <w:pStyle w:val="P68B1DB1-ListParagraph13"/>
              <w:numPr>
                <w:ilvl w:val="0"/>
                <w:numId w:val="72"/>
              </w:numPr>
              <w:spacing w:before="100" w:beforeAutospacing="1" w:after="120" w:line="240" w:lineRule="auto"/>
              <w:ind w:left="245" w:hanging="284"/>
              <w:jc w:val="both"/>
              <w:rPr>
                <w:rFonts w:ascii="Times New Roman" w:hAnsi="Times New Roman"/>
                <w:noProof/>
                <w:spacing w:val="-6"/>
                <w:lang w:val="sk-SK"/>
              </w:rPr>
            </w:pPr>
            <w:r w:rsidRPr="00326E55">
              <w:rPr>
                <w:rFonts w:ascii="Times New Roman" w:hAnsi="Times New Roman"/>
                <w:noProof/>
                <w:spacing w:val="-6"/>
                <w:lang w:val="sk-SK"/>
              </w:rPr>
              <w:t>Nadobudnutie účinnosti právnych aktov, ktoré verejným obstarávateľom umožňujú predvídať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využívať úspory vyplývajúce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zákaziek pod základnú cenu na financovanie prémií za predčasné dokončenie prác</w:t>
            </w:r>
            <w:r w:rsidR="00326E55" w:rsidRPr="00326E55">
              <w:rPr>
                <w:rFonts w:ascii="Times New Roman" w:hAnsi="Times New Roman"/>
                <w:noProof/>
                <w:spacing w:val="-6"/>
                <w:lang w:val="sk-SK"/>
              </w:rPr>
              <w:t>.</w:t>
            </w:r>
          </w:p>
          <w:p w14:paraId="72A60991" w14:textId="5A61C336" w:rsidR="00BF03AA" w:rsidRPr="00326E55" w:rsidRDefault="00BF03AA">
            <w:pPr>
              <w:pStyle w:val="ListParagraph"/>
              <w:rPr>
                <w:rFonts w:ascii="Times New Roman" w:hAnsi="Times New Roman"/>
                <w:noProof/>
                <w:color w:val="006100"/>
                <w:spacing w:val="-6"/>
                <w:sz w:val="20"/>
                <w:szCs w:val="20"/>
                <w:lang w:val="sk-SK"/>
              </w:rPr>
            </w:pPr>
          </w:p>
          <w:p w14:paraId="3DF97A77" w14:textId="5CDAEAAD" w:rsidR="00326E55" w:rsidRPr="00326E55" w:rsidRDefault="00FB452D">
            <w:pPr>
              <w:pStyle w:val="P68B1DB1-ListParagraph13"/>
              <w:numPr>
                <w:ilvl w:val="0"/>
                <w:numId w:val="72"/>
              </w:numPr>
              <w:spacing w:before="100" w:beforeAutospacing="1" w:after="120" w:line="240" w:lineRule="auto"/>
              <w:ind w:left="245" w:hanging="284"/>
              <w:jc w:val="both"/>
              <w:rPr>
                <w:rFonts w:ascii="Times New Roman" w:hAnsi="Times New Roman"/>
                <w:noProof/>
                <w:spacing w:val="-6"/>
                <w:lang w:val="sk-SK"/>
              </w:rPr>
            </w:pPr>
            <w:r w:rsidRPr="00326E55">
              <w:rPr>
                <w:rFonts w:ascii="Times New Roman" w:hAnsi="Times New Roman"/>
                <w:noProof/>
                <w:spacing w:val="-6"/>
                <w:lang w:val="sk-SK"/>
              </w:rPr>
              <w:t>Uverejnenie usmernení na webovom</w:t>
            </w:r>
            <w:r w:rsidRPr="00326E55">
              <w:rPr>
                <w:rFonts w:ascii="Times New Roman" w:hAnsi="Times New Roman"/>
                <w:noProof/>
                <w:spacing w:val="-6"/>
                <w:lang w:val="sk-SK"/>
              </w:rPr>
              <w:t xml:space="preserve"> sídle ministerstva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 (MIT), ktoré prijalo ministerstvo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 po konzultácii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ANAC,</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doložkách</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prémiách za predčasné dokončenie</w:t>
            </w:r>
            <w:r w:rsidR="00326E55" w:rsidRPr="00326E55">
              <w:rPr>
                <w:rFonts w:ascii="Times New Roman" w:hAnsi="Times New Roman"/>
                <w:noProof/>
                <w:spacing w:val="-6"/>
                <w:lang w:val="sk-SK"/>
              </w:rPr>
              <w:t xml:space="preserve"> a o </w:t>
            </w:r>
            <w:r w:rsidRPr="00326E55">
              <w:rPr>
                <w:rFonts w:ascii="Times New Roman" w:hAnsi="Times New Roman"/>
                <w:noProof/>
                <w:spacing w:val="-6"/>
                <w:lang w:val="sk-SK"/>
              </w:rPr>
              <w:t>vzorovom obsahu dohôd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spolupráci podľa článku 82a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36/2023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verejnom obstarávaní)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skrátiť čas dokončenia prác</w:t>
            </w:r>
            <w:r w:rsidR="00326E55" w:rsidRPr="00326E55">
              <w:rPr>
                <w:rFonts w:ascii="Times New Roman" w:hAnsi="Times New Roman"/>
                <w:noProof/>
                <w:spacing w:val="-6"/>
                <w:lang w:val="sk-SK"/>
              </w:rPr>
              <w:t>.</w:t>
            </w:r>
          </w:p>
          <w:p w14:paraId="6D33BA73" w14:textId="31A5BABC" w:rsidR="00BF03AA" w:rsidRPr="00326E55" w:rsidRDefault="00BF03AA">
            <w:pPr>
              <w:pStyle w:val="ListParagraph"/>
              <w:rPr>
                <w:rFonts w:ascii="Times New Roman" w:hAnsi="Times New Roman"/>
                <w:noProof/>
                <w:color w:val="006100"/>
                <w:spacing w:val="-6"/>
                <w:sz w:val="20"/>
                <w:szCs w:val="20"/>
                <w:lang w:val="sk-SK"/>
              </w:rPr>
            </w:pPr>
          </w:p>
          <w:p w14:paraId="7484C536" w14:textId="55184685" w:rsidR="00BF03AA" w:rsidRPr="00326E55" w:rsidRDefault="00FB452D">
            <w:pPr>
              <w:pStyle w:val="P68B1DB1-ListParagraph13"/>
              <w:numPr>
                <w:ilvl w:val="0"/>
                <w:numId w:val="72"/>
              </w:numPr>
              <w:spacing w:before="100" w:beforeAutospacing="1" w:after="120" w:line="240" w:lineRule="auto"/>
              <w:ind w:left="245" w:hanging="284"/>
              <w:jc w:val="both"/>
              <w:rPr>
                <w:rFonts w:ascii="Times New Roman" w:hAnsi="Times New Roman"/>
                <w:noProof/>
                <w:spacing w:val="-6"/>
                <w:lang w:val="sk-SK"/>
              </w:rPr>
            </w:pPr>
            <w:r w:rsidRPr="00326E55">
              <w:rPr>
                <w:rFonts w:ascii="Times New Roman" w:hAnsi="Times New Roman"/>
                <w:noProof/>
                <w:spacing w:val="-6"/>
                <w:lang w:val="sk-SK"/>
              </w:rPr>
              <w:t>Uverejnenie usmernení na podporu verejných obstarávateľov pri využívaní informačného modelovania budov (BIM) pre verejné práce na webovom sídle ministerstva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w:t>
            </w:r>
            <w:r w:rsidRPr="00326E55">
              <w:rPr>
                <w:rFonts w:ascii="Times New Roman" w:hAnsi="Times New Roman"/>
                <w:noProof/>
                <w:spacing w:val="-6"/>
                <w:lang w:val="sk-SK"/>
              </w:rPr>
              <w:t>avy.</w:t>
            </w:r>
          </w:p>
        </w:tc>
      </w:tr>
      <w:tr w:rsidR="00BF03AA" w:rsidRPr="00326E55" w14:paraId="2B12BC5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8F08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98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41656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D11B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E6543" w14:textId="73571AE4"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Štátni zamestnanci vyškolení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stratégie profesionalizácie verejných kupujúcich</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FA0D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B434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610AC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E85F0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40 000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2290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3C755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F54BD" w14:textId="3CF79256"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 xml:space="preserve">Najmenej 40000 štátnych </w:t>
            </w:r>
            <w:r w:rsidRPr="00326E55">
              <w:rPr>
                <w:rFonts w:ascii="Times New Roman" w:hAnsi="Times New Roman"/>
                <w:noProof/>
                <w:spacing w:val="-6"/>
                <w:lang w:val="sk-SK"/>
              </w:rPr>
              <w:t>zamestnancov absolvovalo odbornú prípravu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stratégie profesionalizácie verejných kupujúcich.</w:t>
            </w:r>
          </w:p>
        </w:tc>
      </w:tr>
      <w:tr w:rsidR="00BF03AA" w:rsidRPr="00326E55" w14:paraId="37C3BA6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D01BB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98bis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4FC1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1.10: 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082E2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DED380" w14:textId="581F0840"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Štátni zamestnanci vyškolení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rámci stratégie profesionalizácie </w:t>
            </w:r>
            <w:r w:rsidRPr="00326E55">
              <w:rPr>
                <w:rFonts w:ascii="Times New Roman" w:hAnsi="Times New Roman"/>
                <w:noProof/>
                <w:spacing w:val="-6"/>
                <w:lang w:val="sk-SK"/>
              </w:rPr>
              <w:t>verejných kupujúcich</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4A6B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5CDD2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9CE1C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40 000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8D98F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60 000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2B64A"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881E4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FF85FA" w14:textId="5B742378" w:rsidR="00BF03AA" w:rsidRPr="00326E55" w:rsidRDefault="00FB452D">
            <w:pPr>
              <w:pStyle w:val="P68B1DB1-Normal12"/>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Najmenej 60000 štátnych zamestnancov absolvovalo odbornú prípravu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stratégie profesionalizácie verejných kupujúcich. Celkový počet môže zahŕňať štátnych zamestnancov, ktorí už ab</w:t>
            </w:r>
            <w:r w:rsidRPr="00326E55">
              <w:rPr>
                <w:rFonts w:ascii="Times New Roman" w:hAnsi="Times New Roman"/>
                <w:noProof/>
                <w:spacing w:val="-6"/>
                <w:lang w:val="sk-SK"/>
              </w:rPr>
              <w:t>solvovali odbornú prípravu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predchádzajúcich rokoch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ktorých odborná príprava bola nahlásená pre ciele M1C1 – 86</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M1C1 – 98, len ak absolvovali odbornú prípravu na vyššej úrovni, špecializovanú alebo pokročilú odbornú prípravu.</w:t>
            </w:r>
          </w:p>
        </w:tc>
      </w:tr>
      <w:tr w:rsidR="00BF03AA" w:rsidRPr="00326E55" w14:paraId="214E74A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D2377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99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A69F5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Reforma 1.10: </w:t>
            </w:r>
            <w:r w:rsidRPr="00326E55">
              <w:rPr>
                <w:rFonts w:ascii="Times New Roman" w:hAnsi="Times New Roman"/>
                <w:noProof/>
                <w:spacing w:val="-6"/>
                <w:lang w:val="sk-SK"/>
              </w:rPr>
              <w:t>Reforma legislatívneho rámca pre verejné obstarávanie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C38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838A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Verejní obstarávatelia používajúci dynamické nákupné systémy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1D0F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Percentuálny podiel verejných obstarávateľov ústrednej štátnej správy používajúcich dynamické nákupné systémy podľa smernice EÚ 2014/24</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3A17A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A9400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15</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0AEDE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5617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E4C7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888B22" w14:textId="355E0225"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Aspoň 20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verejných obstarávateľov používa dynamické nákupné systémy podľa smernice 2014/24 (lehota na pozorovanie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2022). Verejní obstarávatelia ústrednej štátnej správy sú 250 verejných správ (zaregistrovaných 30</w:t>
            </w:r>
            <w:r w:rsidR="00326E55" w:rsidRPr="00326E55">
              <w:rPr>
                <w:rFonts w:ascii="Times New Roman" w:hAnsi="Times New Roman"/>
                <w:noProof/>
                <w:spacing w:val="-6"/>
                <w:lang w:val="sk-SK"/>
              </w:rPr>
              <w:t>. apríla</w:t>
            </w:r>
            <w:r w:rsidRPr="00326E55">
              <w:rPr>
                <w:rFonts w:ascii="Times New Roman" w:hAnsi="Times New Roman"/>
                <w:noProof/>
                <w:spacing w:val="-6"/>
                <w:lang w:val="sk-SK"/>
              </w:rPr>
              <w:t xml:space="preserve"> 2021 do vnútroštátneho systému elektronického obstarávania spravovaného spoločnosťou Consip</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mene MEF).</w:t>
            </w:r>
          </w:p>
        </w:tc>
      </w:tr>
      <w:tr w:rsidR="00BF03AA" w:rsidRPr="00326E55" w14:paraId="151ADB6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43D0F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B5397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Reforma 1.13: Reforma rámca </w:t>
            </w:r>
            <w:r w:rsidRPr="00326E55">
              <w:rPr>
                <w:rFonts w:ascii="Times New Roman" w:hAnsi="Times New Roman"/>
                <w:noProof/>
                <w:spacing w:val="-6"/>
                <w:lang w:val="sk-SK"/>
              </w:rPr>
              <w:t>preskúmania výdavkov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69CBD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CDF0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legislatívnych ustanovení, ktorými sa zlepšuje účinnosť preskúmania výdavkov – posilnenie ministerstva financií</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C3E72F" w14:textId="7E87C11C"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88A3E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05C19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0BFC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2A342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ŠTVRTÝ </w:t>
            </w:r>
            <w:r w:rsidRPr="00326E55">
              <w:rPr>
                <w:rFonts w:ascii="Times New Roman" w:hAnsi="Times New Roman"/>
                <w:noProof/>
                <w:spacing w:val="-6"/>
                <w:lang w:val="sk-SK"/>
              </w:rPr>
              <w:t>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1F5D2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4DE8E" w14:textId="26E24A7C"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Revidovaný rámec pre preskúmanie výdavkov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ústredných štátnych správach (ministerstvách) zlepší jeho účinnosť posilnením úlohy ministerstva 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financií. Predovšetkým sa ním zabezpečí posilnená úloha ministerstva 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w:t>
            </w:r>
            <w:r w:rsidRPr="00326E55">
              <w:rPr>
                <w:rFonts w:ascii="Times New Roman" w:hAnsi="Times New Roman"/>
                <w:noProof/>
                <w:spacing w:val="-6"/>
                <w:lang w:val="sk-SK"/>
              </w:rPr>
              <w:t>nancií pri hodnotení ex ante, procesoch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hodnotení ex post, čo umožní dôkladne presadzovať vykonávanie preskúmaní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dosahovanie zamýšľaných cieľov.</w:t>
            </w:r>
          </w:p>
        </w:tc>
      </w:tr>
      <w:tr w:rsidR="00BF03AA" w:rsidRPr="00326E55" w14:paraId="7DABC09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0EFB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DA0B4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w:t>
            </w:r>
          </w:p>
          <w:p w14:paraId="16EEEED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daňovej správy</w:t>
            </w:r>
          </w:p>
          <w:p w14:paraId="674E9935" w14:textId="77777777" w:rsidR="00BF03AA" w:rsidRPr="00326E55" w:rsidRDefault="00BF03AA">
            <w:pPr>
              <w:jc w:val="center"/>
              <w:rPr>
                <w:rFonts w:ascii="Times New Roman" w:hAnsi="Times New Roman" w:cs="Arial"/>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868E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BE7B21"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 xml:space="preserve">Prijatie preskúmania možných </w:t>
            </w:r>
            <w:r w:rsidRPr="00326E55">
              <w:rPr>
                <w:rFonts w:ascii="Times New Roman" w:hAnsi="Times New Roman"/>
                <w:noProof/>
                <w:spacing w:val="-6"/>
                <w:lang w:val="sk-SK"/>
              </w:rPr>
              <w:t>opatrení na zníženie daňových únikov</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686D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Uverejnenie preskúmania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ED3F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7AFD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31622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907CD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112C4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D5FAA" w14:textId="6CC07735"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Prijať správu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informovať vládne opatrenia na zníženie daňových únikov spôsobených vynechanou fakturáciou, najmä</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odvetviach, ktoré sú </w:t>
            </w:r>
            <w:r w:rsidRPr="00326E55">
              <w:rPr>
                <w:rFonts w:ascii="Times New Roman" w:hAnsi="Times New Roman"/>
                <w:noProof/>
                <w:spacing w:val="-6"/>
                <w:lang w:val="sk-SK"/>
              </w:rPr>
              <w:t>najviac vystavené daňovým únikom,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prostredníctvom cielených stimulov pre spotrebiteľov.</w:t>
            </w:r>
          </w:p>
        </w:tc>
      </w:tr>
      <w:tr w:rsidR="00BF03AA" w:rsidRPr="00326E55" w14:paraId="48FA3CE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07634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8642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1.13: Reforma rámca preskúmania výdavkov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6D8F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EBA20" w14:textId="4CAFCD58"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Prijatie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účinnosti postupov, ktoré používajú vybrané orgány verejnej správy pri </w:t>
            </w:r>
            <w:r w:rsidRPr="00326E55">
              <w:rPr>
                <w:rFonts w:ascii="Times New Roman" w:hAnsi="Times New Roman"/>
                <w:noProof/>
                <w:spacing w:val="-6"/>
                <w:lang w:val="sk-SK"/>
              </w:rPr>
              <w:t>formulovaní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vykonávaní plánov úspor</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97262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Uverejnenie správy</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9F9FC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167A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1C9F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9D8B8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FDA2F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62968F" w14:textId="38BAFE1A"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Správu pripraví oddelenie účtovníctva ministerstva financií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spolupráci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vybranými správnymi orgánmi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w:t>
            </w:r>
          </w:p>
          <w:p w14:paraId="1636ACD7" w14:textId="43F37566" w:rsidR="00BF03AA" w:rsidRPr="00326E55" w:rsidRDefault="00FB452D">
            <w:pPr>
              <w:pStyle w:val="P68B1DB1-ListParagraph15"/>
              <w:numPr>
                <w:ilvl w:val="0"/>
                <w:numId w:val="22"/>
              </w:numPr>
              <w:spacing w:before="120" w:after="120" w:line="240" w:lineRule="auto"/>
              <w:ind w:left="324" w:hanging="283"/>
              <w:rPr>
                <w:rFonts w:ascii="Times New Roman" w:hAnsi="Times New Roman" w:cs="Arial"/>
                <w:noProof/>
                <w:spacing w:val="-6"/>
                <w:szCs w:val="20"/>
                <w:lang w:val="sk-SK"/>
              </w:rPr>
            </w:pPr>
            <w:r w:rsidRPr="00326E55">
              <w:rPr>
                <w:rFonts w:ascii="Times New Roman" w:hAnsi="Times New Roman"/>
                <w:noProof/>
                <w:spacing w:val="-6"/>
                <w:lang w:val="sk-SK"/>
              </w:rPr>
              <w:t>Posúdiť svoje postupy pri formulova</w:t>
            </w:r>
            <w:r w:rsidRPr="00326E55">
              <w:rPr>
                <w:rFonts w:ascii="Times New Roman" w:hAnsi="Times New Roman"/>
                <w:noProof/>
                <w:spacing w:val="-6"/>
                <w:lang w:val="sk-SK"/>
              </w:rPr>
              <w:t>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vykonávaní plánov sporenia.</w:t>
            </w:r>
          </w:p>
          <w:p w14:paraId="4A91731F" w14:textId="77777777" w:rsidR="00BF03AA" w:rsidRPr="00326E55" w:rsidRDefault="00FB452D">
            <w:pPr>
              <w:pStyle w:val="P68B1DB1-ListParagraph15"/>
              <w:numPr>
                <w:ilvl w:val="0"/>
                <w:numId w:val="22"/>
              </w:numPr>
              <w:spacing w:before="120" w:after="120" w:line="240" w:lineRule="auto"/>
              <w:ind w:left="324" w:hanging="283"/>
              <w:rPr>
                <w:rFonts w:ascii="Times New Roman" w:hAnsi="Times New Roman" w:cs="Arial"/>
                <w:noProof/>
                <w:spacing w:val="-6"/>
                <w:szCs w:val="20"/>
                <w:lang w:val="sk-SK"/>
              </w:rPr>
            </w:pPr>
            <w:r w:rsidRPr="00326E55">
              <w:rPr>
                <w:rFonts w:ascii="Times New Roman" w:hAnsi="Times New Roman"/>
                <w:noProof/>
                <w:spacing w:val="-6"/>
                <w:lang w:val="sk-SK"/>
              </w:rPr>
              <w:t>Vymedziť usmernenia pre všetky orgány verejnej správy.</w:t>
            </w:r>
          </w:p>
        </w:tc>
      </w:tr>
      <w:tr w:rsidR="00BF03AA" w:rsidRPr="00326E55" w14:paraId="04A2166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E950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7E8B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98612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D48589" w14:textId="4304335D"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Nadobudnutie účinnosti primárnych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regulačných ustanovení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dokončenie </w:t>
            </w:r>
            <w:r w:rsidRPr="00326E55">
              <w:rPr>
                <w:rFonts w:ascii="Times New Roman" w:hAnsi="Times New Roman"/>
                <w:noProof/>
                <w:spacing w:val="-6"/>
                <w:lang w:val="sk-SK"/>
              </w:rPr>
              <w:t>administratívnych postupov na podporu dodržiavania daňových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auditov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kontrol</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3CD96" w14:textId="34B12464"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Ustanovenia zákona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iných právnych predpisov,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uvádza nadobudnutie účinnosti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2ADD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94BDD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44CB8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1111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9CD1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7EB3FE" w14:textId="77777777"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Ustanovenia </w:t>
            </w:r>
            <w:r w:rsidRPr="00326E55">
              <w:rPr>
                <w:rFonts w:ascii="Times New Roman" w:hAnsi="Times New Roman"/>
                <w:noProof/>
                <w:spacing w:val="-6"/>
                <w:lang w:val="sk-SK"/>
              </w:rPr>
              <w:t>obsahujú:</w:t>
            </w:r>
          </w:p>
          <w:p w14:paraId="1DCBE4AD" w14:textId="5AF383AE"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 úplné sprevádzkovanie databázy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špecializovanej IT infraštruktúry na vydanie vopred vyplneného daňového priznania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DPH, ako sa stanovuje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článku 4 ods. 1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127/2015.</w:t>
            </w:r>
          </w:p>
          <w:p w14:paraId="32108CAD" w14:textId="70206731"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II) databáza používaná pre „listy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dodržiavaní pr</w:t>
            </w:r>
            <w:r w:rsidRPr="00326E55">
              <w:rPr>
                <w:rFonts w:ascii="Times New Roman" w:hAnsi="Times New Roman"/>
                <w:noProof/>
                <w:spacing w:val="-6"/>
                <w:lang w:val="sk-SK"/>
              </w:rPr>
              <w:t>edpisov“ (poskytovanie včasnej komunikácie daňovníkom,</w:t>
            </w:r>
            <w:r w:rsidR="00326E55" w:rsidRPr="00326E55">
              <w:rPr>
                <w:rFonts w:ascii="Times New Roman" w:hAnsi="Times New Roman"/>
                <w:noProof/>
                <w:spacing w:val="-6"/>
                <w:lang w:val="sk-SK"/>
              </w:rPr>
              <w:t xml:space="preserve"> u </w:t>
            </w:r>
            <w:r w:rsidRPr="00326E55">
              <w:rPr>
                <w:rFonts w:ascii="Times New Roman" w:hAnsi="Times New Roman"/>
                <w:noProof/>
                <w:spacing w:val="-6"/>
                <w:lang w:val="sk-SK"/>
              </w:rPr>
              <w:t>ktorých sa zistia anomálie) sa zdokonaľuje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výskyt falošne pozitívnych oznámení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zvýšiť počet oznámení zasielaných daňovníkom.</w:t>
            </w:r>
          </w:p>
          <w:p w14:paraId="3FF19BCB" w14:textId="2E664B98"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III) nadobudnutie účinnosti reformovaných právnych predp</w:t>
            </w:r>
            <w:r w:rsidRPr="00326E55">
              <w:rPr>
                <w:rFonts w:ascii="Times New Roman" w:hAnsi="Times New Roman"/>
                <w:noProof/>
                <w:spacing w:val="-6"/>
                <w:lang w:val="sk-SK"/>
              </w:rPr>
              <w:t>isov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účinné administratívne sankcie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prípade odmietnutia súkromných poskytovateľov akceptovať elektronické platby (odkaz na pôvodný článok 23 zákonného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124/2019, ktorý bol zrušený po zmene na zákon).</w:t>
            </w:r>
          </w:p>
          <w:p w14:paraId="32F29782" w14:textId="25DEFBEE"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IV) Dokončenie procesu p</w:t>
            </w:r>
            <w:r w:rsidRPr="00326E55">
              <w:rPr>
                <w:rFonts w:ascii="Times New Roman" w:hAnsi="Times New Roman"/>
                <w:noProof/>
                <w:spacing w:val="-6"/>
                <w:lang w:val="sk-SK"/>
              </w:rPr>
              <w:t>seudonymizácie údajov stanoveného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článku 1 ods. 681 – 686 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160/2019</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zriadenie digitálnej infraštruktúry na analýzu veľkých dát vytvorených prostredníctvom interoperability plne pseudonymizovaných databáz</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zvýšiť účinnosť analýzy rizík,</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ktorej vychádza výberový proces.</w:t>
            </w:r>
          </w:p>
          <w:p w14:paraId="1FAB2B1F" w14:textId="4BE018A2"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v) Nadobudnutie účinnosti primárnych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 ktorými sa vykonávajú dodatočné účinné opatrenia založené na zisteniach preskúmania možných opatrení na zníženie daňových únikov spôsobených vynecha</w:t>
            </w:r>
            <w:r w:rsidRPr="00326E55">
              <w:rPr>
                <w:rFonts w:ascii="Times New Roman" w:hAnsi="Times New Roman"/>
                <w:noProof/>
                <w:spacing w:val="-6"/>
                <w:lang w:val="sk-SK"/>
              </w:rPr>
              <w:t>nou fakturáciou.</w:t>
            </w:r>
          </w:p>
        </w:tc>
      </w:tr>
      <w:tr w:rsidR="00BF03AA" w:rsidRPr="00326E55" w14:paraId="4E03B82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418A7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8C68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1.13: Reforma rámca preskúmania výdavkov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95DD3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4B0E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Prijatie cieľov úspor pre preskúmania výdavkov na roky 2023 – 2025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13FFB7" w14:textId="6503A782"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Kvantitatívny cieľ úspor pre agregované ústredné štátne správy vymedzený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dokumente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hospodárstve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financiách –</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eurách</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45C8E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8187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0F2D9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5326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7B81F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34E35F" w14:textId="6E88C4BA"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 xml:space="preserve">Na základe zákonného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90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93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roku 2016</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163/2016 stanoviť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hospodárskom finančnom dokumente ciele pre ročné preskúmania výdavkov pre súhrnné ústredné orgány št</w:t>
            </w:r>
            <w:r w:rsidRPr="00326E55">
              <w:rPr>
                <w:rFonts w:ascii="Times New Roman" w:hAnsi="Times New Roman"/>
                <w:noProof/>
                <w:spacing w:val="-6"/>
                <w:lang w:val="sk-SK"/>
              </w:rPr>
              <w:t>átnej správy na roky 2023, 2024, 2025. Ciele úspor odrážajú primeranú úroveň ambícií.</w:t>
            </w:r>
          </w:p>
        </w:tc>
      </w:tr>
      <w:tr w:rsidR="00BF03AA" w:rsidRPr="00326E55" w14:paraId="646FA63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BDDA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33E9D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9F061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B8AB04" w14:textId="619D6A05"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Vyšší počet „listov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zhode“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85A76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74B47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B6DE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2 150 908</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F5085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2 581 090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4D08D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5995F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DA3D55" w14:textId="7408CD20"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Počet „listov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dodržiavaní </w:t>
            </w:r>
            <w:r w:rsidRPr="00326E55">
              <w:rPr>
                <w:rFonts w:ascii="Times New Roman" w:hAnsi="Times New Roman"/>
                <w:noProof/>
                <w:spacing w:val="-6"/>
                <w:lang w:val="sk-SK"/>
              </w:rPr>
              <w:t>predpisov“, ktoré poskytujú včasné oznámenie daňovníkom,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ktorých sa zistia nezrovnalosti,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rokom 2019 zvýši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20</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tc>
      </w:tr>
      <w:tr w:rsidR="00BF03AA" w:rsidRPr="00326E55" w14:paraId="58A4A94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9737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E0498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71354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14D275" w14:textId="625CD1F6"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počtu falošných pozitívnych „listov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zhode“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AB62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8B0CB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305A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126 500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C63E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132 825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809FE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25F5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9170E4" w14:textId="1ED6EF7E"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Počet falošne pozitívnych „listov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dodržiavaní predpisov“ (ktoré poskytujú včasné oznámenie daňovníkom,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ktorých sa zistili nezrovnalosti, ale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ktorých sa nezistili žiadne podvody ex p</w:t>
            </w:r>
            <w:r w:rsidRPr="00326E55">
              <w:rPr>
                <w:rFonts w:ascii="Times New Roman" w:hAnsi="Times New Roman"/>
                <w:noProof/>
                <w:spacing w:val="-6"/>
                <w:lang w:val="sk-SK"/>
              </w:rPr>
              <w:t>ost)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rokom 2019 zníži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5</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tc>
      </w:tr>
      <w:tr w:rsidR="00BF03AA" w:rsidRPr="00326E55" w14:paraId="5F6022A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FEE97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EC6C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BBC1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DCBB37" w14:textId="10DB0253"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Zvýšenie daňových príjmov vytvorených „listami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dodržiavaní predpisov“</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07118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38857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Euro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65182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2 130 000 000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5B3AB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2 449 500 000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E7ABE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BADD0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EA8D7" w14:textId="5FC7A40B"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 xml:space="preserve">Daňové príjmy </w:t>
            </w:r>
            <w:r w:rsidRPr="00326E55">
              <w:rPr>
                <w:rFonts w:ascii="Times New Roman" w:hAnsi="Times New Roman"/>
                <w:noProof/>
                <w:spacing w:val="-6"/>
                <w:lang w:val="sk-SK"/>
              </w:rPr>
              <w:t>generované „listami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súlade“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rokom 2019 zvýšia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15</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tc>
      </w:tr>
      <w:tr w:rsidR="00BF03AA" w:rsidRPr="00326E55" w14:paraId="40619C5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D9B9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6913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1.15: Reforma pravidiel verejného účtovníctva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5D24D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5B7213" w14:textId="019CA2ED"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Schválenie koncepčného rámca, súboru akruálnych účtovných štandardov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viacrozmernej účtovnej osnovy</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4033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Uznesenie</w:t>
            </w:r>
            <w:r w:rsidRPr="00326E55">
              <w:rPr>
                <w:rFonts w:ascii="Times New Roman" w:hAnsi="Times New Roman"/>
                <w:noProof/>
                <w:spacing w:val="-6"/>
                <w:lang w:val="sk-SK"/>
              </w:rPr>
              <w:t xml:space="preserve"> odboru účtovníctva ministerstva financií, ktorým sa schvaľuje štruktúra riadenia účtovania na základe časového rozlíšenia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6B512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15869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D7EEA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EC045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6F5EF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EA0263" w14:textId="77777777" w:rsidR="00326E55" w:rsidRPr="00326E55" w:rsidRDefault="00FB452D">
            <w:pPr>
              <w:spacing w:before="100" w:beforeAutospacing="1" w:after="120"/>
              <w:rPr>
                <w:rFonts w:ascii="Times New Roman" w:hAnsi="Times New Roman"/>
                <w:noProof/>
                <w:color w:val="006100"/>
                <w:spacing w:val="-6"/>
                <w:sz w:val="20"/>
                <w:lang w:val="sk-SK"/>
              </w:rPr>
            </w:pPr>
            <w:r w:rsidRPr="00326E55">
              <w:rPr>
                <w:rFonts w:ascii="Times New Roman" w:hAnsi="Times New Roman"/>
                <w:noProof/>
                <w:color w:val="006100"/>
                <w:spacing w:val="-6"/>
                <w:sz w:val="20"/>
                <w:lang w:val="sk-SK"/>
              </w:rPr>
              <w:t>Dokončenie koncepčného rámca ako referencie pre systém akruálneho účtovníctva podľa</w:t>
            </w:r>
            <w:r w:rsidRPr="00326E55">
              <w:rPr>
                <w:rFonts w:ascii="Times New Roman" w:hAnsi="Times New Roman"/>
                <w:noProof/>
                <w:color w:val="006100"/>
                <w:spacing w:val="-6"/>
                <w:sz w:val="20"/>
                <w:lang w:val="sk-SK"/>
              </w:rPr>
              <w:t xml:space="preserve"> kvalitatívnych charakteristík definovaných Eurostatom (pracovná skupina EPSOAS)</w:t>
            </w:r>
            <w:r w:rsidR="00326E55" w:rsidRPr="00326E55">
              <w:rPr>
                <w:rFonts w:ascii="Times New Roman" w:hAnsi="Times New Roman"/>
                <w:noProof/>
                <w:color w:val="006100"/>
                <w:spacing w:val="-6"/>
                <w:sz w:val="20"/>
                <w:lang w:val="sk-SK"/>
              </w:rPr>
              <w:t>;</w:t>
            </w:r>
          </w:p>
          <w:p w14:paraId="767CA39E" w14:textId="45EA130F" w:rsidR="00326E55" w:rsidRPr="00326E55" w:rsidRDefault="00FB452D">
            <w:pPr>
              <w:pStyle w:val="P68B1DB1-Normal11"/>
              <w:spacing w:before="100" w:beforeAutospacing="1" w:after="120"/>
              <w:rPr>
                <w:rFonts w:ascii="Times New Roman" w:hAnsi="Times New Roman"/>
                <w:noProof/>
                <w:spacing w:val="-6"/>
                <w:lang w:val="sk-SK"/>
              </w:rPr>
            </w:pPr>
            <w:r w:rsidRPr="00326E55">
              <w:rPr>
                <w:rFonts w:ascii="Times New Roman" w:hAnsi="Times New Roman"/>
                <w:noProof/>
                <w:spacing w:val="-6"/>
                <w:lang w:val="sk-SK"/>
              </w:rPr>
              <w:t>Stanovenie akruálnych účtovných štandardov založených na IPSAS</w:t>
            </w:r>
            <w:r w:rsidR="00326E55" w:rsidRPr="00326E55">
              <w:rPr>
                <w:rFonts w:ascii="Times New Roman" w:hAnsi="Times New Roman"/>
                <w:noProof/>
                <w:spacing w:val="-6"/>
                <w:lang w:val="sk-SK"/>
              </w:rPr>
              <w:t>;</w:t>
            </w:r>
          </w:p>
          <w:p w14:paraId="2F99F53B" w14:textId="6771DC93"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Navrhnutie viacrozmernej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viacúrovňovej účtovnej osnovy.</w:t>
            </w:r>
          </w:p>
        </w:tc>
      </w:tr>
      <w:tr w:rsidR="00BF03AA" w:rsidRPr="00326E55" w14:paraId="6F6A1E1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6BEF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109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A01D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69B8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7A84BB" w14:textId="3D72B466"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Zaslanie prvých vopred vyplnených daňových priznaní</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DPH</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42D43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463D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067CA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9EFA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2 300 000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CE99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8FCD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C7F762" w14:textId="58647385"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Za daňový rok 2022 dostane aspoň 2300000 daňovníkov vopred vyplnené daňové priznania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DPH.</w:t>
            </w:r>
          </w:p>
        </w:tc>
      </w:tr>
      <w:tr w:rsidR="00BF03AA" w:rsidRPr="00326E55" w14:paraId="7606A65B"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10B6F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4705A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Reforma 1.13: Reforma rámca preskúmania </w:t>
            </w:r>
            <w:r w:rsidRPr="00326E55">
              <w:rPr>
                <w:rFonts w:ascii="Times New Roman" w:hAnsi="Times New Roman"/>
                <w:noProof/>
                <w:spacing w:val="-6"/>
                <w:lang w:val="sk-SK"/>
              </w:rPr>
              <w:t>výdavkov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B0CA2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484F5A" w14:textId="159C944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Preklasifikovanie všeobecného štátneho rozpočtu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odkazom na environmentálne výdavky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výdavky na podporu rodovej rovnosti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18FBF8" w14:textId="670BF399"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Začlenenie preklasifikovania všeobecného štátneho rozpočtu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odkazom na environmentálne výdavky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výdavky na podporu </w:t>
            </w:r>
            <w:r w:rsidRPr="00326E55">
              <w:rPr>
                <w:rFonts w:ascii="Times New Roman" w:hAnsi="Times New Roman"/>
                <w:noProof/>
                <w:spacing w:val="-6"/>
                <w:lang w:val="sk-SK"/>
              </w:rPr>
              <w:t>rodovej rovnosti do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rozpočte na rok 2024</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8755D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5504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169E7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C95AA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A7670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2921E8" w14:textId="31473CE4"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rozpočte na rok 2024 poskytne parlamentu rozpočet na udržateľný rozvoj pozostávajúci</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klasifikácie všeobecného štátneho rozpočtu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odkazom na envi</w:t>
            </w:r>
            <w:r w:rsidRPr="00326E55">
              <w:rPr>
                <w:rFonts w:ascii="Times New Roman" w:hAnsi="Times New Roman"/>
                <w:noProof/>
                <w:spacing w:val="-6"/>
                <w:lang w:val="sk-SK"/>
              </w:rPr>
              <w:t>ronmentálne výdavky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výdavky, ktoré podporujú rodovú rovnosť. Klasifikácia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kritériami,</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ktorých vychádza vymedzenie cieľov udržateľného rozvoja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zámerov Agendy 2030.</w:t>
            </w:r>
          </w:p>
        </w:tc>
      </w:tr>
      <w:tr w:rsidR="00BF03AA" w:rsidRPr="00326E55" w14:paraId="7A24A7B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28F28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D46D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1.13: Reforma rámca preskúmania výdavkov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C279B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C37D3A" w14:textId="2D719D81"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Dokončenie ročného preskúmania výdavkov na rok 2023</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odkazom na cieľ úspor stanovený na rok 2022 na rok 2023</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A7F290" w14:textId="0097529C"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Prijatie správy ministerstva financií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preskúmaní výdavkov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2023,</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sa potvrdzuje dokončenie procesu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dosiahnutie cieľa.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1145A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A9A1C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B0639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E8EA2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6B956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50B729" w14:textId="07B4EA5F"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Správa ministerstva financií, ktorá sa má zaslať Rade ministrov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zákonnými dekrétmi 90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93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roku 2016</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zákonom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163/2016:</w:t>
            </w:r>
          </w:p>
          <w:p w14:paraId="7C8F9933" w14:textId="3D51BBAA"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—osvedčiť ukončenie procesu preskúmania výdavkov za rok 2023,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ust</w:t>
            </w:r>
            <w:r w:rsidRPr="00326E55">
              <w:rPr>
                <w:rFonts w:ascii="Times New Roman" w:hAnsi="Times New Roman"/>
                <w:noProof/>
                <w:spacing w:val="-6"/>
                <w:lang w:val="sk-SK"/>
              </w:rPr>
              <w:t>anovenie týkajúce sa rámca preskúmania výdavkov.</w:t>
            </w:r>
          </w:p>
          <w:p w14:paraId="2BF53CA7" w14:textId="04D9328D"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—osvedčiť dosiahnutie cieľa stanoveného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2022.</w:t>
            </w:r>
          </w:p>
        </w:tc>
      </w:tr>
      <w:tr w:rsidR="00BF03AA" w:rsidRPr="00326E55" w14:paraId="73B8CC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42D12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F801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C1DCF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74EF1" w14:textId="0AF5050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Zlepšiť operačnú kapacitu daňovej správy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cieľmi „Plánu výkonnosti na roky 2021 – 2023“ </w:t>
            </w:r>
            <w:r w:rsidRPr="00326E55">
              <w:rPr>
                <w:rFonts w:ascii="Times New Roman" w:hAnsi="Times New Roman"/>
                <w:noProof/>
                <w:spacing w:val="-6"/>
                <w:lang w:val="sk-SK"/>
              </w:rPr>
              <w:t>agentúry pre príjmy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prijímania zamestnancov</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C518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BFDFE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 prijatých zamestnancov</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FCE47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D4F99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4 113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77688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1BAA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91F6E0" w14:textId="516035B5"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Agentúra pre príjmy prijme 4113 nových zamestnancov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„Plánu výkonnosti na roky 2021 – 2023“</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prijímania zames</w:t>
            </w:r>
            <w:r w:rsidRPr="00326E55">
              <w:rPr>
                <w:rFonts w:ascii="Times New Roman" w:hAnsi="Times New Roman"/>
                <w:noProof/>
                <w:spacing w:val="-6"/>
                <w:lang w:val="sk-SK"/>
              </w:rPr>
              <w:t>tnancov.</w:t>
            </w:r>
          </w:p>
        </w:tc>
      </w:tr>
      <w:tr w:rsidR="00BF03AA" w:rsidRPr="00326E55" w14:paraId="0AB5755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81EF5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819A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8CD9D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8E9DC5" w14:textId="2A3DB203"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Vyšší počet „listov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zhode“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76809"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ED01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23D1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2 150 908</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DF49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3 011 271</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E2EC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 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D4AEC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0F9A1" w14:textId="0E37FB37"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Počet „listov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dodržiavaní predpisov“, ktoré poskytujú včasné oznámenie daňovníkom,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prípade ktorých sa </w:t>
            </w:r>
            <w:r w:rsidRPr="00326E55">
              <w:rPr>
                <w:rFonts w:ascii="Times New Roman" w:hAnsi="Times New Roman"/>
                <w:noProof/>
                <w:spacing w:val="-6"/>
                <w:lang w:val="sk-SK"/>
              </w:rPr>
              <w:t>zistia nezrovnalosti,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rokom 2019 zvýši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40</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tc>
      </w:tr>
      <w:tr w:rsidR="00BF03AA" w:rsidRPr="00326E55" w14:paraId="7E8BD4C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62B0D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27111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C7188A"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52BAA" w14:textId="1844188B"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Zvýšenie daňových príjmov vytvorených „listami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dodržiavaní predpisov“</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69082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6B840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Euro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41C8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2 130 000 000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B6BAF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2 769 000 000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3036E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 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B62DB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435AC" w14:textId="4F7E28CA" w:rsidR="00BF03AA" w:rsidRPr="00326E55" w:rsidRDefault="00FB452D">
            <w:pPr>
              <w:pStyle w:val="P68B1DB1-Normal11"/>
              <w:spacing w:before="100" w:beforeAutospacing="1" w:after="120"/>
              <w:rPr>
                <w:rFonts w:ascii="Times New Roman" w:hAnsi="Times New Roman" w:cs="Arial"/>
                <w:noProof/>
                <w:spacing w:val="-6"/>
                <w:szCs w:val="20"/>
                <w:lang w:val="sk-SK"/>
              </w:rPr>
            </w:pPr>
            <w:r w:rsidRPr="00326E55">
              <w:rPr>
                <w:rFonts w:ascii="Times New Roman" w:hAnsi="Times New Roman"/>
                <w:noProof/>
                <w:spacing w:val="-6"/>
                <w:lang w:val="sk-SK"/>
              </w:rPr>
              <w:t>Daňové príjmy generované „listami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súlade“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rokom 2019 zvýšia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30</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tc>
      </w:tr>
      <w:tr w:rsidR="00BF03AA" w:rsidRPr="00326E55" w14:paraId="0228E01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FF46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00AA6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1.13: Reforma rámca preskúmania výdavkov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95083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993BA" w14:textId="1ECF2F75"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Dokončenie ročného preskúmania výdavkov na rok 2024</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odkazom na cieľ úspor stanovený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rokoch </w:t>
            </w:r>
            <w:r w:rsidRPr="00326E55">
              <w:rPr>
                <w:rFonts w:ascii="Times New Roman" w:hAnsi="Times New Roman"/>
                <w:noProof/>
                <w:spacing w:val="-6"/>
                <w:lang w:val="sk-SK"/>
              </w:rPr>
              <w:t>2022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2023 na rok 2024</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552DAC" w14:textId="291DE70E"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Prijatie správy ministerstva financií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preskúmaní výdavkov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2024,</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sa potvrdzuje dokončenie procesu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dosiahnutie cieľa.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C5F6EE"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EBAF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77598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2EBB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0A54A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5E5DD7" w14:textId="26AAEF70"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Správa ministerstva financií, ktorá sa má zasl</w:t>
            </w:r>
            <w:r w:rsidRPr="00326E55">
              <w:rPr>
                <w:rFonts w:ascii="Times New Roman" w:hAnsi="Times New Roman"/>
                <w:noProof/>
                <w:spacing w:val="-6"/>
                <w:lang w:val="sk-SK"/>
              </w:rPr>
              <w:t>ať Rade ministrov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zákonnými dekrétmi 90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93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roku 2016</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zákonom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163/2016:</w:t>
            </w:r>
          </w:p>
          <w:p w14:paraId="5142CC68" w14:textId="2B443DB0"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—osvedčiť ukončenie procesu preskúmania výdavkov za rok 2024,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ustanovenie týkajúce sa rámca preskúmania výdavkov.</w:t>
            </w:r>
          </w:p>
          <w:p w14:paraId="0AA8A0AE" w14:textId="26A3F182"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xml:space="preserve">— potvrdiť dosiahnutie cieľa </w:t>
            </w:r>
            <w:r w:rsidRPr="00326E55">
              <w:rPr>
                <w:rFonts w:ascii="Times New Roman" w:hAnsi="Times New Roman"/>
                <w:noProof/>
                <w:spacing w:val="-6"/>
                <w:lang w:val="sk-SK"/>
              </w:rPr>
              <w:t>stanoveného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rokoch 2022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2023.</w:t>
            </w:r>
          </w:p>
        </w:tc>
      </w:tr>
      <w:tr w:rsidR="00BF03AA" w:rsidRPr="00326E55" w14:paraId="2A97CFE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9CAF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5D36A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Reforma 1.12: Reforma daňovej správy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7C23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B1E436" w14:textId="6C23A8D3"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Zníženie daňových únikov, ako sa vymedzuje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ukazovateli „vhodnosť vyhnúť sa daňovým únikom“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8CC29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12B01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FA3EE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4B972E"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39E3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8BFE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5DACE" w14:textId="38C502CC" w:rsidR="00BF03AA" w:rsidRPr="00326E55" w:rsidRDefault="00FB452D">
            <w:pPr>
              <w:pStyle w:val="P68B1DB1-Normal12"/>
              <w:spacing w:before="100" w:beforeAutospacing="1" w:after="120"/>
              <w:rPr>
                <w:rFonts w:ascii="Times New Roman" w:hAnsi="Times New Roman" w:cs="Arial"/>
                <w:noProof/>
                <w:spacing w:val="-6"/>
                <w:lang w:val="sk-SK"/>
              </w:rPr>
            </w:pPr>
            <w:r w:rsidRPr="00326E55">
              <w:rPr>
                <w:rFonts w:ascii="Times New Roman" w:hAnsi="Times New Roman"/>
                <w:noProof/>
                <w:spacing w:val="-6"/>
                <w:lang w:val="sk-SK"/>
              </w:rPr>
              <w:t>Aktualizovaná správa vlády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tieňovom hospodárstve uverejnená</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roku 2025 podľa článku 2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160/2015 potvrdí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rokoch 2022 – 2023</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priemere 1</w:t>
            </w:r>
            <w:r w:rsidR="00326E55" w:rsidRPr="00326E55">
              <w:rPr>
                <w:rFonts w:ascii="Times New Roman" w:hAnsi="Times New Roman"/>
                <w:noProof/>
                <w:spacing w:val="-6"/>
                <w:lang w:val="sk-SK"/>
              </w:rPr>
              <w:t>0 %</w:t>
            </w:r>
            <w:r w:rsidRPr="00326E55">
              <w:rPr>
                <w:rFonts w:ascii="Times New Roman" w:hAnsi="Times New Roman"/>
                <w:noProof/>
                <w:spacing w:val="-6"/>
                <w:lang w:val="sk-SK"/>
              </w:rPr>
              <w:t xml:space="preserve"> zníženie všetkých daní bez daní</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nehnuteľností („Imposta Municipale Unica“)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spotrebných daní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rokom </w:t>
            </w:r>
            <w:r w:rsidRPr="00326E55">
              <w:rPr>
                <w:rFonts w:ascii="Times New Roman" w:hAnsi="Times New Roman"/>
                <w:noProof/>
                <w:spacing w:val="-6"/>
                <w:lang w:val="sk-SK"/>
              </w:rPr>
              <w:t>2019.</w:t>
            </w:r>
          </w:p>
        </w:tc>
      </w:tr>
      <w:tr w:rsidR="00BF03AA" w:rsidRPr="00326E55" w14:paraId="4763B43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08EB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EDCBE"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r w:rsidRPr="00326E55">
              <w:rPr>
                <w:rFonts w:ascii="Times New Roman" w:hAnsi="Times New Roman"/>
                <w:noProof/>
                <w:spacing w:val="-6"/>
                <w:lang w:val="sk-SK"/>
              </w:rPr>
              <w:t>Reforma 1.15:</w:t>
            </w:r>
          </w:p>
          <w:p w14:paraId="49A72097"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r w:rsidRPr="00326E55">
              <w:rPr>
                <w:rFonts w:ascii="Times New Roman" w:hAnsi="Times New Roman"/>
                <w:noProof/>
                <w:spacing w:val="-6"/>
                <w:lang w:val="sk-SK"/>
              </w:rPr>
              <w:t>Reforma pravidiel verejného účtovníctva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A2A35"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51F591" w14:textId="15904A3B"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Zástupcovia verejných subjektov vyškolení</w:t>
            </w:r>
            <w:r w:rsidR="00326E55" w:rsidRPr="00326E55">
              <w:rPr>
                <w:rFonts w:ascii="Times New Roman" w:hAnsi="Times New Roman"/>
                <w:noProof/>
                <w:spacing w:val="-6"/>
                <w:lang w:val="sk-SK"/>
              </w:rPr>
              <w:t xml:space="preserve"> v </w:t>
            </w:r>
            <w:r w:rsidRPr="00326E55">
              <w:rPr>
                <w:rFonts w:ascii="Times New Roman" w:hAnsi="Times New Roman"/>
                <w:noProof/>
                <w:spacing w:val="-6"/>
                <w:szCs w:val="20"/>
                <w:lang w:val="sk-SK"/>
              </w:rPr>
              <w:t>oblasti</w:t>
            </w:r>
            <w:r w:rsidRPr="00326E55">
              <w:rPr>
                <w:rFonts w:ascii="Times New Roman" w:hAnsi="Times New Roman"/>
                <w:noProof/>
                <w:spacing w:val="-6"/>
                <w:lang w:val="sk-SK"/>
              </w:rPr>
              <w:t xml:space="preserve"> nového systému akruálneho účtovníctva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468BF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5AB0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 xml:space="preserve">Percento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FDD6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D7D6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D1A3AD"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PRVÝ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80FEF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1F869" w14:textId="46A9DEF9"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Na základe údajov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 xml:space="preserve">centrálnej digitálnej </w:t>
            </w:r>
            <w:r w:rsidRPr="00326E55">
              <w:rPr>
                <w:rFonts w:ascii="Times New Roman" w:hAnsi="Times New Roman"/>
                <w:noProof/>
                <w:spacing w:val="-6"/>
                <w:lang w:val="sk-SK"/>
              </w:rPr>
              <w:t>platformy pre odbornú prípravu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novom účtovnom systéme prvé kolo odbornej prípravy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novom systéme akruálneho účtovníctva dokončia zástupcovia subjektov verejného sektora, ktorí pokrývajú aspoň 90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primárnych výdavkov celého verejného sektora (bez štátom</w:t>
            </w:r>
            <w:r w:rsidRPr="00326E55">
              <w:rPr>
                <w:rFonts w:ascii="Times New Roman" w:hAnsi="Times New Roman"/>
                <w:noProof/>
                <w:spacing w:val="-6"/>
                <w:lang w:val="sk-SK"/>
              </w:rPr>
              <w:t xml:space="preserve"> vlastnených spoločností).</w:t>
            </w:r>
          </w:p>
        </w:tc>
      </w:tr>
      <w:tr w:rsidR="00BF03AA" w:rsidRPr="00326E55" w14:paraId="1E96DCB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05037C"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M1C1 – 118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6388A8"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bookmarkStart w:id="6" w:name="_Hlk160472732"/>
            <w:r w:rsidRPr="00326E55">
              <w:rPr>
                <w:rFonts w:ascii="Times New Roman" w:hAnsi="Times New Roman"/>
                <w:noProof/>
                <w:spacing w:val="-6"/>
                <w:lang w:val="sk-SK"/>
              </w:rPr>
              <w:t>Reforma 1.15:</w:t>
            </w:r>
          </w:p>
          <w:p w14:paraId="637E825A"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r w:rsidRPr="00326E55">
              <w:rPr>
                <w:rFonts w:ascii="Times New Roman" w:hAnsi="Times New Roman"/>
                <w:noProof/>
                <w:spacing w:val="-6"/>
                <w:lang w:val="sk-SK"/>
              </w:rPr>
              <w:t>Reforma pravidiel verejného účtovníctva</w:t>
            </w:r>
            <w:bookmarkEnd w:id="6"/>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5B912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BA868" w14:textId="74DB64E4"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Vydávanie finančných výkazov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nadobudnutie účinnosti legislatívneho aktu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reforme akruálneho účtovníctva pre subjekty verejného sektora pokrývajúce aspoň </w:t>
            </w:r>
            <w:r w:rsidRPr="00326E55">
              <w:rPr>
                <w:rFonts w:ascii="Times New Roman" w:hAnsi="Times New Roman"/>
                <w:noProof/>
                <w:spacing w:val="-6"/>
                <w:lang w:val="sk-SK"/>
              </w:rPr>
              <w:t>90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primárnych výdavkov celého verejného sektora bez štátnych podnikov.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D87C91" w14:textId="1BD29593"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legislatívnom akte,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ktorom sa uvádza nadobudnutie účinnosti legislatívneho aktu.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2F97E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3287F"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95771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676D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AB70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1C70F7" w14:textId="4EBF7DA3"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 xml:space="preserve">Ako pilotná fáza legislatívneho </w:t>
            </w:r>
            <w:r w:rsidRPr="00326E55">
              <w:rPr>
                <w:rFonts w:ascii="Times New Roman" w:hAnsi="Times New Roman"/>
                <w:noProof/>
                <w:spacing w:val="-6"/>
                <w:lang w:val="sk-SK"/>
              </w:rPr>
              <w:t>aktu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pravidlách verejného účtovníctva sa vypracujú finančné výkazy verejnej správy pre subjekty verejného sektora, ktoré pokrývajú aspoň 90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primárnych výdavkov celého verejného sektora bez štátnych podnikov.</w:t>
            </w:r>
          </w:p>
          <w:p w14:paraId="6026A35F" w14:textId="79411E2C" w:rsidR="00BF03AA" w:rsidRPr="00326E55" w:rsidRDefault="00FB452D">
            <w:pPr>
              <w:spacing w:after="120"/>
              <w:rPr>
                <w:rFonts w:ascii="Times New Roman" w:hAnsi="Times New Roman" w:cs="Arial"/>
                <w:noProof/>
                <w:color w:val="006100"/>
                <w:spacing w:val="-6"/>
                <w:sz w:val="20"/>
                <w:szCs w:val="20"/>
                <w:lang w:val="sk-SK"/>
              </w:rPr>
            </w:pPr>
            <w:r w:rsidRPr="00326E55">
              <w:rPr>
                <w:rFonts w:ascii="Times New Roman" w:hAnsi="Times New Roman"/>
                <w:noProof/>
                <w:color w:val="006100"/>
                <w:spacing w:val="-6"/>
                <w:sz w:val="20"/>
                <w:szCs w:val="20"/>
                <w:lang w:val="sk-SK"/>
              </w:rPr>
              <w:t>Okrem toho nadobudne účinnosť legislatívny a</w:t>
            </w:r>
            <w:r w:rsidRPr="00326E55">
              <w:rPr>
                <w:rFonts w:ascii="Times New Roman" w:hAnsi="Times New Roman"/>
                <w:noProof/>
                <w:color w:val="006100"/>
                <w:spacing w:val="-6"/>
                <w:sz w:val="20"/>
                <w:szCs w:val="20"/>
                <w:lang w:val="sk-SK"/>
              </w:rPr>
              <w:t>kt, ktorým sa stanoví plán postupného zavádzania nového systému akruálneho účtovníctva.</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pláne sa vyžaduje, aby sa do roku 2030 (rozpočtový rok) zaviedol nový systém akruálneho účtovníctva pre subjekty verejného sektora pokrývajúce aspoň 90</w:t>
            </w:r>
            <w:r w:rsidR="00326E55" w:rsidRPr="00326E55">
              <w:rPr>
                <w:rFonts w:ascii="Times New Roman" w:hAnsi="Times New Roman"/>
                <w:noProof/>
                <w:color w:val="006100"/>
                <w:spacing w:val="-6"/>
                <w:sz w:val="20"/>
                <w:szCs w:val="20"/>
                <w:lang w:val="sk-SK"/>
              </w:rPr>
              <w:t> %</w:t>
            </w:r>
            <w:r w:rsidRPr="00326E55">
              <w:rPr>
                <w:rFonts w:ascii="Times New Roman" w:hAnsi="Times New Roman"/>
                <w:noProof/>
                <w:color w:val="006100"/>
                <w:spacing w:val="-6"/>
                <w:sz w:val="20"/>
                <w:szCs w:val="20"/>
                <w:lang w:val="sk-SK"/>
              </w:rPr>
              <w:t xml:space="preserve"> primárnych v</w:t>
            </w:r>
            <w:r w:rsidRPr="00326E55">
              <w:rPr>
                <w:rFonts w:ascii="Times New Roman" w:hAnsi="Times New Roman"/>
                <w:noProof/>
                <w:color w:val="006100"/>
                <w:spacing w:val="-6"/>
                <w:sz w:val="20"/>
                <w:szCs w:val="20"/>
                <w:lang w:val="sk-SK"/>
              </w:rPr>
              <w:t>ýdavkov celého verejného sektora bez štátnych podnikov.</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V legislatívnom akte sa takisto vyžaduje organizácia programov odbornej prípravy na prechod na nový systém akruálneho účtovníctva.</w:t>
            </w:r>
          </w:p>
          <w:p w14:paraId="45566614" w14:textId="4F29973C"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Okrem toho sa na webovom sídle ministerstva 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financií u</w:t>
            </w:r>
            <w:r w:rsidRPr="00326E55">
              <w:rPr>
                <w:rFonts w:ascii="Times New Roman" w:hAnsi="Times New Roman"/>
                <w:noProof/>
                <w:spacing w:val="-6"/>
                <w:lang w:val="sk-SK"/>
              </w:rPr>
              <w:t>verejnia usmernenia pre uplatňovanie každého účtovného štandardu.</w:t>
            </w:r>
          </w:p>
        </w:tc>
      </w:tr>
      <w:tr w:rsidR="00BF03AA" w:rsidRPr="00326E55" w14:paraId="2BD4661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9D3A7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119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87145"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r w:rsidRPr="00326E55">
              <w:rPr>
                <w:rFonts w:ascii="Times New Roman" w:hAnsi="Times New Roman"/>
                <w:noProof/>
                <w:spacing w:val="-6"/>
                <w:lang w:val="sk-SK"/>
              </w:rPr>
              <w:t>Reforma 1.14:</w:t>
            </w:r>
          </w:p>
          <w:p w14:paraId="487E4AF1"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r w:rsidRPr="00326E55">
              <w:rPr>
                <w:rFonts w:ascii="Times New Roman" w:hAnsi="Times New Roman"/>
                <w:noProof/>
                <w:spacing w:val="-6"/>
                <w:lang w:val="sk-SK"/>
              </w:rPr>
              <w:t>Reforma fiškálneho rámca na nižšej ako celoštátnej úrovni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DE87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9B6902" w14:textId="496FF43C"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Vymedzenie parametrov regionálneho fiškálneho federalizmu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8346B" w14:textId="32394051"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Nadobudnutie účinnosti právneho aktu, </w:t>
            </w:r>
            <w:r w:rsidRPr="00326E55">
              <w:rPr>
                <w:rFonts w:ascii="Times New Roman" w:hAnsi="Times New Roman"/>
                <w:noProof/>
                <w:spacing w:val="-6"/>
                <w:lang w:val="sk-SK"/>
              </w:rPr>
              <w:t>ktorým sa vymedzujú parametre fiškálneho federalizmu pre regióny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bežným postavením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9F935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E31E81"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162EC8"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0D620E"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7A42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149AE" w14:textId="19B1B90F" w:rsidR="00BF03AA" w:rsidRPr="00326E55" w:rsidRDefault="00FB452D">
            <w:pPr>
              <w:pStyle w:val="P68B1DB1-Normal12"/>
              <w:spacing w:after="120"/>
              <w:rPr>
                <w:rFonts w:ascii="Times New Roman" w:hAnsi="Times New Roman" w:cs="Arial"/>
                <w:noProof/>
                <w:spacing w:val="-6"/>
                <w:lang w:val="sk-SK"/>
              </w:rPr>
            </w:pPr>
            <w:r w:rsidRPr="00326E55">
              <w:rPr>
                <w:rFonts w:ascii="Times New Roman" w:hAnsi="Times New Roman"/>
                <w:noProof/>
                <w:spacing w:val="-6"/>
                <w:lang w:val="sk-SK"/>
              </w:rPr>
              <w:t>Nadobudnutie účinnosti právnych aktov, ktorými sa vymedzia základné úrovne služieb („livelli essenziali delle prestazioni</w:t>
            </w:r>
            <w:r w:rsidRPr="00326E55">
              <w:rPr>
                <w:rFonts w:ascii="Times New Roman" w:hAnsi="Times New Roman"/>
                <w:noProof/>
                <w:spacing w:val="-6"/>
                <w:lang w:val="sk-SK"/>
              </w:rPr>
              <w:t>“) pre fiškálny federalizmus pre regióny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bežným postavením aspoň</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dvoch oblastiach politiky.</w:t>
            </w:r>
          </w:p>
        </w:tc>
      </w:tr>
      <w:tr w:rsidR="00BF03AA" w:rsidRPr="00326E55" w14:paraId="0A607F2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C4317"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M1C1 – 120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868394"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r w:rsidRPr="00326E55">
              <w:rPr>
                <w:rFonts w:ascii="Times New Roman" w:hAnsi="Times New Roman"/>
                <w:noProof/>
                <w:spacing w:val="-6"/>
                <w:lang w:val="sk-SK"/>
              </w:rPr>
              <w:t>Reforma 1.14:</w:t>
            </w:r>
          </w:p>
          <w:p w14:paraId="37727D6A"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r w:rsidRPr="00326E55">
              <w:rPr>
                <w:rFonts w:ascii="Times New Roman" w:hAnsi="Times New Roman"/>
                <w:noProof/>
                <w:spacing w:val="-6"/>
                <w:lang w:val="sk-SK"/>
              </w:rPr>
              <w:t>Reforma fiškálneho rámca na nižšej ako celoštátnej úrovni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20B4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74603" w14:textId="37123284"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Nadobudnutie účinnosti právneho aktu, ktorým sa vymedzuje fiškálny </w:t>
            </w:r>
            <w:r w:rsidRPr="00326E55">
              <w:rPr>
                <w:rFonts w:ascii="Times New Roman" w:hAnsi="Times New Roman"/>
                <w:noProof/>
                <w:spacing w:val="-6"/>
                <w:lang w:val="sk-SK"/>
              </w:rPr>
              <w:t>federalizmus pre provincie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metropolitné mestá.</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5A2CD" w14:textId="44B243DD"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Nadobudnutie účinnosti právneho aktu, ktorým sa vymedzuje fiškálny federalizmus pre provincie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metropolitné mestá.</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4377C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56D6F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80F0F6"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A8C831" w14:textId="77777777" w:rsidR="00BF03AA" w:rsidRPr="00326E55" w:rsidRDefault="00FB452D">
            <w:pPr>
              <w:pStyle w:val="P68B1DB1-Normal12"/>
              <w:jc w:val="center"/>
              <w:rPr>
                <w:rFonts w:ascii="Times New Roman" w:hAnsi="Times New Roman" w:cs="Arial"/>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14A37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FF7C2" w14:textId="549540B8" w:rsidR="00BF03AA" w:rsidRPr="00326E55" w:rsidRDefault="00FB452D">
            <w:pPr>
              <w:pStyle w:val="P68B1DB1-Normal12"/>
              <w:rPr>
                <w:rFonts w:ascii="Times New Roman" w:hAnsi="Times New Roman" w:cs="Arial"/>
                <w:noProof/>
                <w:spacing w:val="-6"/>
                <w:lang w:val="sk-SK"/>
              </w:rPr>
            </w:pPr>
            <w:r w:rsidRPr="00326E55">
              <w:rPr>
                <w:rFonts w:ascii="Times New Roman" w:hAnsi="Times New Roman"/>
                <w:noProof/>
                <w:spacing w:val="-6"/>
                <w:lang w:val="sk-SK"/>
              </w:rPr>
              <w:t>Nadobudnutie účinnosti právnych aktov týk</w:t>
            </w:r>
            <w:r w:rsidRPr="00326E55">
              <w:rPr>
                <w:rFonts w:ascii="Times New Roman" w:hAnsi="Times New Roman"/>
                <w:noProof/>
                <w:spacing w:val="-6"/>
                <w:lang w:val="sk-SK"/>
              </w:rPr>
              <w:t>ajúcich sa fiškálneho federalizmu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provinciách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metropolitných mestách.</w:t>
            </w:r>
          </w:p>
        </w:tc>
      </w:tr>
      <w:tr w:rsidR="00BF03AA" w:rsidRPr="00326E55" w14:paraId="43CD2B0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CF128" w14:textId="77777777" w:rsidR="00BF03AA" w:rsidRPr="00326E55" w:rsidRDefault="00FB452D">
            <w:pPr>
              <w:pStyle w:val="P68B1DB1-Normal20"/>
              <w:jc w:val="center"/>
              <w:rPr>
                <w:rFonts w:ascii="Times New Roman" w:hAnsi="Times New Roman" w:hint="default"/>
                <w:noProof/>
                <w:spacing w:val="-6"/>
                <w:lang w:val="sk-SK"/>
              </w:rPr>
            </w:pPr>
            <w:r w:rsidRPr="00326E55">
              <w:rPr>
                <w:rFonts w:ascii="Times New Roman" w:hAnsi="Times New Roman"/>
                <w:noProof/>
                <w:spacing w:val="-6"/>
                <w:lang w:val="sk-SK"/>
              </w:rPr>
              <w:t xml:space="preserve">M1C1 </w:t>
            </w:r>
            <w:r w:rsidRPr="00326E55">
              <w:rPr>
                <w:rFonts w:ascii="Times New Roman" w:hAnsi="Times New Roman"/>
                <w:noProof/>
                <w:spacing w:val="-6"/>
                <w:lang w:val="sk-SK"/>
              </w:rPr>
              <w:t>–</w:t>
            </w:r>
            <w:r w:rsidRPr="00326E55">
              <w:rPr>
                <w:rFonts w:ascii="Times New Roman" w:hAnsi="Times New Roman"/>
                <w:noProof/>
                <w:spacing w:val="-6"/>
                <w:lang w:val="sk-SK"/>
              </w:rPr>
              <w:t xml:space="preserve"> 121 bis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C44DB" w14:textId="7A3B890B" w:rsidR="00BF03AA" w:rsidRPr="00326E55" w:rsidRDefault="00FB452D">
            <w:pPr>
              <w:pStyle w:val="P68B1DB1-Normal11"/>
              <w:spacing w:after="200" w:line="276" w:lineRule="auto"/>
              <w:jc w:val="center"/>
              <w:rPr>
                <w:rFonts w:ascii="Times New Roman" w:hAnsi="Times New Roman"/>
                <w:noProof/>
                <w:spacing w:val="-6"/>
                <w:lang w:val="sk-SK"/>
              </w:rPr>
            </w:pPr>
            <w:r w:rsidRPr="00326E55">
              <w:rPr>
                <w:rFonts w:ascii="Times New Roman" w:hAnsi="Times New Roman"/>
                <w:noProof/>
                <w:spacing w:val="-6"/>
                <w:lang w:val="sk-SK"/>
              </w:rPr>
              <w:t>Reforma 1.12:</w:t>
            </w:r>
          </w:p>
          <w:p w14:paraId="284A3750" w14:textId="77777777" w:rsidR="00BF03AA" w:rsidRPr="00326E55" w:rsidRDefault="00FB452D">
            <w:pPr>
              <w:pStyle w:val="P68B1DB1-Normal20"/>
              <w:spacing w:line="276" w:lineRule="auto"/>
              <w:jc w:val="center"/>
              <w:rPr>
                <w:rFonts w:ascii="Times New Roman" w:hAnsi="Times New Roman" w:hint="default"/>
                <w:noProof/>
                <w:spacing w:val="-6"/>
                <w:lang w:val="sk-SK"/>
              </w:rPr>
            </w:pPr>
            <w:r w:rsidRPr="00326E55">
              <w:rPr>
                <w:rFonts w:ascii="Times New Roman" w:hAnsi="Times New Roman"/>
                <w:noProof/>
                <w:spacing w:val="-6"/>
                <w:lang w:val="sk-SK"/>
              </w:rPr>
              <w:t>Reforma daňovej správy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8C2E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A7675" w14:textId="664ABC4A"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Nadobudnutie účinnosti právneho aktu na zlepšenie výberu daní</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F2C1D" w14:textId="1034883B" w:rsidR="00BF03AA" w:rsidRPr="00326E55" w:rsidRDefault="00FB452D">
            <w:pPr>
              <w:pStyle w:val="P68B1DB1-Normal20"/>
              <w:jc w:val="center"/>
              <w:rPr>
                <w:rFonts w:ascii="Times New Roman" w:hAnsi="Times New Roman" w:hint="default"/>
                <w:noProof/>
                <w:spacing w:val="-6"/>
                <w:lang w:val="sk-SK"/>
              </w:rPr>
            </w:pPr>
            <w:r w:rsidRPr="00326E55">
              <w:rPr>
                <w:rFonts w:ascii="Times New Roman" w:hAnsi="Times New Roman"/>
                <w:noProof/>
                <w:spacing w:val="-6"/>
                <w:lang w:val="sk-SK"/>
              </w:rPr>
              <w:t>Ustanovenia</w:t>
            </w:r>
            <w:r w:rsidR="00326E55" w:rsidRPr="00326E55">
              <w:rPr>
                <w:rFonts w:ascii="Times New Roman" w:hAnsi="Times New Roman"/>
                <w:noProof/>
                <w:spacing w:val="-6"/>
                <w:lang w:val="sk-SK"/>
              </w:rPr>
              <w:t xml:space="preserve"> v</w:t>
            </w:r>
            <w:r w:rsidR="00326E55" w:rsidRPr="00326E55">
              <w:rPr>
                <w:rFonts w:ascii="Times New Roman" w:hAnsi="Times New Roman" w:hint="default"/>
                <w:noProof/>
                <w:spacing w:val="-6"/>
                <w:lang w:val="sk-SK"/>
              </w:rPr>
              <w:t> </w:t>
            </w:r>
            <w:r w:rsidRPr="00326E55">
              <w:rPr>
                <w:rFonts w:ascii="Times New Roman" w:hAnsi="Times New Roman"/>
                <w:noProof/>
                <w:spacing w:val="-6"/>
                <w:lang w:val="sk-SK"/>
              </w:rPr>
              <w:t>právnom akte,</w:t>
            </w:r>
            <w:r w:rsidR="00326E55" w:rsidRPr="00326E55">
              <w:rPr>
                <w:rFonts w:ascii="Times New Roman" w:hAnsi="Times New Roman"/>
                <w:noProof/>
                <w:spacing w:val="-6"/>
                <w:lang w:val="sk-SK"/>
              </w:rPr>
              <w:t xml:space="preserve"> v</w:t>
            </w:r>
            <w:r w:rsidR="00326E55" w:rsidRPr="00326E55">
              <w:rPr>
                <w:rFonts w:ascii="Times New Roman" w:hAnsi="Times New Roman" w:hint="default"/>
                <w:noProof/>
                <w:spacing w:val="-6"/>
                <w:lang w:val="sk-SK"/>
              </w:rPr>
              <w:t> </w:t>
            </w:r>
            <w:r w:rsidRPr="00326E55">
              <w:rPr>
                <w:rFonts w:ascii="Times New Roman" w:hAnsi="Times New Roman"/>
                <w:noProof/>
                <w:spacing w:val="-6"/>
                <w:lang w:val="sk-SK"/>
              </w:rPr>
              <w:t xml:space="preserve">ktorých sa uvádza nadobudnutie účinnosti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C248F" w14:textId="4C95F40B"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E35B7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39A69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818E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095B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9D2722" w14:textId="214D61FA"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Nadobudnutie účinnosti právneho aktu,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stanovuje, že:</w:t>
            </w:r>
          </w:p>
          <w:p w14:paraId="1DF33B64" w14:textId="00D8AAF2"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1. Údaje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elektronickej fakturácie sa sprístupnia agentúre zodpovednej za výber nezaplatenej daňov</w:t>
            </w:r>
            <w:r w:rsidRPr="00326E55">
              <w:rPr>
                <w:rFonts w:ascii="Times New Roman" w:hAnsi="Times New Roman"/>
                <w:noProof/>
                <w:spacing w:val="-6"/>
                <w:lang w:val="sk-SK"/>
              </w:rPr>
              <w:t>ej povinnosti („Agenzia Entrate Riscossione“);</w:t>
            </w:r>
          </w:p>
          <w:p w14:paraId="173A1E82" w14:textId="18890B22"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2. Daňové kompenzácie sú povolené len</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že nezaplatené daňové záväzky nepresahujú 50 000 EUR.</w:t>
            </w:r>
          </w:p>
          <w:p w14:paraId="2BB11707" w14:textId="398F636C"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3. Agentúra pre príjmy môže zasielať oznámenia daňovníkom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že boli vystavené elektronické faktúr</w:t>
            </w:r>
            <w:r w:rsidRPr="00326E55">
              <w:rPr>
                <w:rFonts w:ascii="Times New Roman" w:hAnsi="Times New Roman"/>
                <w:noProof/>
                <w:spacing w:val="-6"/>
                <w:lang w:val="sk-SK"/>
              </w:rPr>
              <w:t>y, ale za rovnaké obdobie nebolo predložené žiadne daňové priznanie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DPH.</w:t>
            </w:r>
          </w:p>
        </w:tc>
      </w:tr>
      <w:tr w:rsidR="00BF03AA" w:rsidRPr="00326E55" w14:paraId="6C48EB5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984D0"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M1C1 – 122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8F966" w14:textId="77777777" w:rsidR="00BF03AA" w:rsidRPr="00326E55" w:rsidRDefault="00FB452D">
            <w:pPr>
              <w:pStyle w:val="P68B1DB1-Normal11"/>
              <w:spacing w:line="276" w:lineRule="auto"/>
              <w:jc w:val="center"/>
              <w:rPr>
                <w:rFonts w:ascii="Times New Roman" w:hAnsi="Times New Roman" w:cs="Arial"/>
                <w:noProof/>
                <w:spacing w:val="-6"/>
                <w:szCs w:val="20"/>
                <w:lang w:val="sk-SK"/>
              </w:rPr>
            </w:pPr>
            <w:r w:rsidRPr="00326E55">
              <w:rPr>
                <w:rFonts w:ascii="Times New Roman" w:hAnsi="Times New Roman"/>
                <w:noProof/>
                <w:spacing w:val="-6"/>
                <w:lang w:val="sk-SK"/>
              </w:rPr>
              <w:t>Reforma 1.13: Reforma rámca preskúmania výdavkov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34B617"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Míľnik</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A69E5" w14:textId="55EDFD79"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Dokončenie ročného preskúmania výdavkov na rok 2025</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odkazom na cieľ úspor stanovený na roky 2022, 2023</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2024 </w:t>
            </w:r>
            <w:r w:rsidRPr="00326E55">
              <w:rPr>
                <w:rFonts w:ascii="Times New Roman" w:hAnsi="Times New Roman"/>
                <w:noProof/>
                <w:spacing w:val="-6"/>
                <w:lang w:val="sk-SK"/>
              </w:rPr>
              <w:t>na rok 2025.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D525A" w14:textId="2E10D0EA"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Prijatie správy ministerstva financií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preskúmaní výdavkov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2025</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4D3092"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4D1DC4"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7BC20C"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FF1AB"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70683" w14:textId="77777777" w:rsidR="00BF03AA" w:rsidRPr="00326E55" w:rsidRDefault="00FB452D">
            <w:pPr>
              <w:pStyle w:val="P68B1DB1-Normal11"/>
              <w:jc w:val="center"/>
              <w:rPr>
                <w:rFonts w:ascii="Times New Roman" w:hAnsi="Times New Roman" w:cs="Arial"/>
                <w:noProof/>
                <w:spacing w:val="-6"/>
                <w:szCs w:val="20"/>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19DD1" w14:textId="6C1EEE2F"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Správa ministerstva financií, ktorá sa má zaslať Rade ministrov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zákonnými dekrétmi 90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93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roku 2016</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zákon</w:t>
            </w:r>
            <w:r w:rsidRPr="00326E55">
              <w:rPr>
                <w:rFonts w:ascii="Times New Roman" w:hAnsi="Times New Roman"/>
                <w:noProof/>
                <w:spacing w:val="-6"/>
                <w:lang w:val="sk-SK"/>
              </w:rPr>
              <w:t xml:space="preserve">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163/2016:</w:t>
            </w:r>
          </w:p>
          <w:p w14:paraId="1A5026AE" w14:textId="3A609DE3"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—osvedčiť záver procesu preskúmania výdavkov na rok 2025,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ustanovenie týkajúce sa rámca preskúmania výdavkov.</w:t>
            </w:r>
          </w:p>
          <w:p w14:paraId="0FE8AD31" w14:textId="379C33B9" w:rsidR="00BF03AA" w:rsidRPr="00326E55" w:rsidRDefault="00FB452D">
            <w:pPr>
              <w:pStyle w:val="P68B1DB1-Normal11"/>
              <w:spacing w:after="120"/>
              <w:rPr>
                <w:rFonts w:ascii="Times New Roman" w:hAnsi="Times New Roman" w:cs="Arial"/>
                <w:noProof/>
                <w:spacing w:val="-6"/>
                <w:szCs w:val="20"/>
                <w:lang w:val="sk-SK"/>
              </w:rPr>
            </w:pPr>
            <w:r w:rsidRPr="00326E55">
              <w:rPr>
                <w:rFonts w:ascii="Times New Roman" w:hAnsi="Times New Roman"/>
                <w:noProof/>
                <w:spacing w:val="-6"/>
                <w:lang w:val="sk-SK"/>
              </w:rPr>
              <w:t>— potvrdiť dosiahnutie cieľa stanoveného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rokoch 2022, 2023</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2024.</w:t>
            </w:r>
          </w:p>
        </w:tc>
      </w:tr>
      <w:tr w:rsidR="00BF03AA" w:rsidRPr="00326E55" w14:paraId="30A2A56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146914" w14:textId="537111D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144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101F39" w14:textId="33C770A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Investícia </w:t>
            </w:r>
            <w:bookmarkStart w:id="7" w:name="_Hlk197447732"/>
            <w:r w:rsidRPr="00326E55">
              <w:rPr>
                <w:rFonts w:ascii="Times New Roman" w:hAnsi="Times New Roman"/>
                <w:noProof/>
                <w:spacing w:val="-6"/>
                <w:lang w:val="sk-SK"/>
              </w:rPr>
              <w:t xml:space="preserve">1.4.2 – Začlenenie </w:t>
            </w:r>
            <w:r w:rsidRPr="00326E55">
              <w:rPr>
                <w:rFonts w:ascii="Times New Roman" w:hAnsi="Times New Roman"/>
                <w:noProof/>
                <w:spacing w:val="-6"/>
                <w:lang w:val="sk-SK"/>
              </w:rPr>
              <w:t>občanov – Zlepšenie prístupnosti digitálnych verejných služieb</w:t>
            </w:r>
            <w:bookmarkEnd w:id="7"/>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8AAA52" w14:textId="05398BF1"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B4D2BF" w14:textId="0BBA44CA"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Zvýšená dostupnosť digitálnych verejných služieb/realizovaných intervencií</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05C3C0" w14:textId="03EDC19E"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378D6" w14:textId="532981C5"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AF8CA5" w14:textId="7A644552"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B38D26" w14:textId="73C4440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55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3AEAA2" w14:textId="4B73FB98"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81E32" w14:textId="3B87D1B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84DE46"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Agenzia per l’Italia Digitale (AgID) poskytuje podporu 55 miestnym </w:t>
            </w:r>
            <w:r w:rsidRPr="00326E55">
              <w:rPr>
                <w:rFonts w:ascii="Times New Roman" w:hAnsi="Times New Roman"/>
                <w:noProof/>
                <w:spacing w:val="-6"/>
                <w:lang w:val="sk-SK"/>
              </w:rPr>
              <w:t>orgánom verejnej správy prostredníctvom dohôd, ktoré zahŕňajú tieto opatrenia, ktoré má vykonať 55 miestnych orgánov verejnej správy:</w:t>
            </w:r>
          </w:p>
          <w:p w14:paraId="5850153F" w14:textId="0475D8D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Znížiť počet chýb zistených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posúdení, ktoré poskytla každá administratíva,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50</w:t>
            </w:r>
            <w:r w:rsidR="00326E55" w:rsidRPr="00326E55">
              <w:rPr>
                <w:rFonts w:ascii="Times New Roman" w:hAnsi="Times New Roman"/>
                <w:noProof/>
                <w:spacing w:val="-6"/>
                <w:lang w:val="sk-SK"/>
              </w:rPr>
              <w:t> % v </w:t>
            </w:r>
            <w:r w:rsidRPr="00326E55">
              <w:rPr>
                <w:rFonts w:ascii="Times New Roman" w:hAnsi="Times New Roman"/>
                <w:noProof/>
                <w:spacing w:val="-6"/>
                <w:lang w:val="sk-SK"/>
              </w:rPr>
              <w:t>prípade aspoň dvoch digitálnych sl</w:t>
            </w:r>
            <w:r w:rsidRPr="00326E55">
              <w:rPr>
                <w:rFonts w:ascii="Times New Roman" w:hAnsi="Times New Roman"/>
                <w:noProof/>
                <w:spacing w:val="-6"/>
                <w:lang w:val="sk-SK"/>
              </w:rPr>
              <w:t>užieb.</w:t>
            </w:r>
          </w:p>
          <w:p w14:paraId="33BB39BC" w14:textId="4CA8D012"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Poskytnúť niekoľko asistenčných technológií pokrývajúcich aspoň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potrieb pracovníkov so zdravotným postihnutím identifikovaných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posúdení, ktoré poskytla každá administratíva.</w:t>
            </w:r>
          </w:p>
        </w:tc>
      </w:tr>
      <w:tr w:rsidR="00BF03AA" w:rsidRPr="00326E55" w14:paraId="5E98411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1A4780" w14:textId="689C444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147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5E159" w14:textId="4DF4C025"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Investícia 1.2 – Umožnenie cloud computingu pre </w:t>
            </w:r>
            <w:r w:rsidRPr="00326E55">
              <w:rPr>
                <w:rFonts w:ascii="Times New Roman" w:hAnsi="Times New Roman"/>
                <w:noProof/>
                <w:spacing w:val="-6"/>
                <w:lang w:val="sk-SK"/>
              </w:rPr>
              <w:t>miestnu platobnú agentúru</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130A19" w14:textId="417C2F8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7710D0" w14:textId="5438DB1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Cloudové povolenie pre miestnu verejnú správu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CCA16" w14:textId="243AA56E"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1959E" w14:textId="78E921C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5B040" w14:textId="22C1F809"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4 083</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C79000" w14:textId="065526D9"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12 464</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EBF025" w14:textId="0BC00171"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68925B" w14:textId="6003FEC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C3B8E0" w14:textId="04230FFB" w:rsidR="00BF03AA" w:rsidRPr="00326E55" w:rsidRDefault="00FB452D">
            <w:pPr>
              <w:pStyle w:val="P68B1DB1-Normal21"/>
              <w:spacing w:after="120"/>
              <w:rPr>
                <w:rFonts w:ascii="Times New Roman" w:hAnsi="Times New Roman"/>
                <w:noProof/>
                <w:spacing w:val="-6"/>
                <w:lang w:val="sk-SK"/>
              </w:rPr>
            </w:pPr>
            <w:r w:rsidRPr="00326E55">
              <w:rPr>
                <w:rFonts w:ascii="Times New Roman" w:hAnsi="Times New Roman" w:hint="eastAsia"/>
                <w:noProof/>
                <w:spacing w:val="-6"/>
                <w:lang w:val="sk-SK"/>
              </w:rPr>
              <w:t xml:space="preserve">Migrácia 12464 </w:t>
            </w:r>
            <w:r w:rsidRPr="00326E55">
              <w:rPr>
                <w:rFonts w:ascii="Times New Roman" w:hAnsi="Times New Roman"/>
                <w:noProof/>
                <w:spacing w:val="-6"/>
                <w:lang w:val="sk-SK"/>
              </w:rPr>
              <w:t>miestnych orgánov verejnej správy na certifikované cloudové prostredia sa považuje za dosiahnutú, ak je testovan</w:t>
            </w:r>
            <w:r w:rsidRPr="00326E55">
              <w:rPr>
                <w:rFonts w:ascii="Times New Roman" w:hAnsi="Times New Roman"/>
                <w:noProof/>
                <w:spacing w:val="-6"/>
                <w:lang w:val="sk-SK"/>
              </w:rPr>
              <w:t>ie všetkých systémov, súborov údajov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migrácie aplikácií zahrnutých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každom pláne migrácie úspešné.</w:t>
            </w:r>
          </w:p>
        </w:tc>
      </w:tr>
      <w:tr w:rsidR="00BF03AA" w:rsidRPr="00326E55" w14:paraId="36EEEEF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89DE7" w14:textId="644CE2FE"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148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0E9B95" w14:textId="44299B9F"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1.4.1 – Občianske skúsenosti – Zlepšenie kvality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použiteľnosti digitálnych verejných služieb</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7375EC" w14:textId="2FEA9706"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FD3EC" w14:textId="4B63A46D"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Zvýšenie kvality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použiteľnosti digitálnych verejných služieb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1E1E0" w14:textId="7001C579"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2F962" w14:textId="0F01A813"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Percento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D6087A" w14:textId="4D9990C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40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103564" w14:textId="1754251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80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D2DF3" w14:textId="1220CF49"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38770F" w14:textId="0FBCDFC4"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1172D" w14:textId="07743109"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Správne orgány (obce, základné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sekundárne vzdelávacie inštitúcie 1</w:t>
            </w:r>
            <w:r w:rsidR="00326E55" w:rsidRPr="00326E55">
              <w:rPr>
                <w:rFonts w:ascii="Times New Roman" w:hAnsi="Times New Roman"/>
                <w:noProof/>
                <w:spacing w:val="-6"/>
                <w:lang w:val="sk-SK"/>
              </w:rPr>
              <w:t>. a </w:t>
            </w:r>
            <w:r w:rsidRPr="00326E55">
              <w:rPr>
                <w:rFonts w:ascii="Times New Roman" w:hAnsi="Times New Roman"/>
                <w:noProof/>
                <w:spacing w:val="-6"/>
                <w:lang w:val="sk-SK"/>
              </w:rPr>
              <w:t xml:space="preserve"> 2. stupňa) dodržiavajú spoločný model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systém navrhovania webových sídel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digitálnych </w:t>
            </w:r>
            <w:r w:rsidRPr="00326E55">
              <w:rPr>
                <w:rFonts w:ascii="Times New Roman" w:hAnsi="Times New Roman"/>
                <w:noProof/>
                <w:spacing w:val="-6"/>
                <w:lang w:val="sk-SK"/>
              </w:rPr>
              <w:t>služieb, čím sa zjednodušuje používateľská interakcia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uľahčuje údržba.</w:t>
            </w:r>
          </w:p>
          <w:p w14:paraId="623C1B44" w14:textId="0AD8884D"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Obce prispievajúce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cieľu musia zaručiť dodržiavanie spoločného modelu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systému navrhovania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priemere aspoň 3,5 služieb.</w:t>
            </w:r>
          </w:p>
        </w:tc>
      </w:tr>
      <w:tr w:rsidR="00BF03AA" w:rsidRPr="00326E55" w14:paraId="67A1C71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7F88D" w14:textId="4E798EC4"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M1C1 – 149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57203F" w14:textId="6798399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Investícia 1.4.3 – Prijatie rozšírenia </w:t>
            </w:r>
            <w:r w:rsidRPr="00326E55">
              <w:rPr>
                <w:rFonts w:ascii="Times New Roman" w:hAnsi="Times New Roman"/>
                <w:noProof/>
                <w:spacing w:val="-6"/>
                <w:lang w:val="sk-SK"/>
              </w:rPr>
              <w:t>platformových služieb PagoPA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aplikácie „IO“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D07CD" w14:textId="0D0494F2"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10123" w14:textId="03D2B92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Rozšírenie využívania platformových služieb PagoPA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B5885D" w14:textId="461580E1"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3D19F3" w14:textId="41FE19AB"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941AB" w14:textId="4C2B9E78"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11 450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8EE0C" w14:textId="406B4A45"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14 100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D133A8" w14:textId="6F0D0963"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759B8" w14:textId="622E106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F9CFB3" w14:textId="769510CD"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 platforme PagoPA je prítomných najmenej 14100 orgánov verejnej správy, ktoré ponúkajú niekoľko slu</w:t>
            </w:r>
            <w:r w:rsidRPr="00326E55">
              <w:rPr>
                <w:rFonts w:ascii="Times New Roman" w:hAnsi="Times New Roman"/>
                <w:noProof/>
                <w:spacing w:val="-6"/>
                <w:lang w:val="sk-SK"/>
              </w:rPr>
              <w:t>žieb:</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priemere 35 služieb pre obce, 15 pre regióny, 15 pre zdravotnícke orgány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8 pre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univerzity.</w:t>
            </w:r>
          </w:p>
        </w:tc>
      </w:tr>
      <w:tr w:rsidR="00BF03AA" w:rsidRPr="00326E55" w14:paraId="43F7B6B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3D589B" w14:textId="0A92F041"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150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CEB41" w14:textId="0FC4C014"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1.4.3 – Prijatie rozšírenia platformových služieb PagoPA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aplikácie „IO“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59F840" w14:textId="2099F4D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58EB5" w14:textId="4D53E4A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Rozšírenie adopcie aplikácie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909F55" w14:textId="2677CC1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D30BC" w14:textId="5CDE2829"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836041" w14:textId="51B78C81"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7 000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09427" w14:textId="09960204"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14 100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105D47" w14:textId="5AD7FC1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76713" w14:textId="2AEDDCE3"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9A2E86" w14:textId="0E3A8C22"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V aplikácii „IO“ musí byť prítomných najmenej 14100 orgánov verejnej správy, ktoré ponúkajú niekoľko služieb:</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priemere 35 služieb pre obce, 15 pre regióny, 15 pre zdravotnícke orgány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8 pre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univerzity.</w:t>
            </w:r>
          </w:p>
        </w:tc>
      </w:tr>
      <w:tr w:rsidR="00BF03AA" w:rsidRPr="00326E55" w14:paraId="41B6562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B8D272" w14:textId="03A05AF9"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152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6E3009" w14:textId="39CEA7FF"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1.6.1 – Digitalizácia ministerstva vnútra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35B432" w14:textId="480FBB8D"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4E9D5B" w14:textId="718BD0FC"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Ministerstvo vnútra – rekonštruované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digitalizované procesy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F798EF" w14:textId="37E43B8E"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2B961" w14:textId="49CD852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7E8CB0" w14:textId="6C7B4AA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7</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E81C98" w14:textId="50EC5FDB"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45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9DD958" w14:textId="17263764"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A7F4EA" w14:textId="3027C135"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B76B7" w14:textId="13954D80"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Vnútorné procesy sa rekonštruujú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digitalizujú.</w:t>
            </w:r>
          </w:p>
        </w:tc>
      </w:tr>
      <w:tr w:rsidR="00BF03AA" w:rsidRPr="00326E55" w14:paraId="1919F51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2D1E3" w14:textId="1252A1EE"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153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AAB952" w14:textId="071ADF49"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Investícia 1.6.2 – </w:t>
            </w:r>
            <w:r w:rsidRPr="00326E55">
              <w:rPr>
                <w:rFonts w:ascii="Times New Roman" w:hAnsi="Times New Roman"/>
                <w:noProof/>
                <w:spacing w:val="-6"/>
                <w:lang w:val="sk-SK"/>
              </w:rPr>
              <w:t>Digitalizácia ministerstva spravodlivosti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94600C" w14:textId="2CF4B35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57D5C" w14:textId="4291A0F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Digitalizované súdne spisy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6F376" w14:textId="67D92E0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6C2D1" w14:textId="11C8680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ECBAAC" w14:textId="504C0DC4"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3 500 000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21DF1" w14:textId="10B8F2A5"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7 750 000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038F00" w14:textId="224160A3"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91D4C9" w14:textId="412505A3"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CD812" w14:textId="789A29C8" w:rsidR="00BF03AA" w:rsidRPr="00326E55" w:rsidRDefault="00FB452D">
            <w:pPr>
              <w:pStyle w:val="P68B1DB1-Normal22"/>
              <w:spacing w:after="120"/>
              <w:rPr>
                <w:rFonts w:ascii="Times New Roman" w:hAnsi="Times New Roman" w:hint="default"/>
                <w:noProof/>
                <w:spacing w:val="-6"/>
                <w:lang w:val="sk-SK"/>
              </w:rPr>
            </w:pPr>
            <w:r w:rsidRPr="00326E55">
              <w:rPr>
                <w:rFonts w:ascii="Times New Roman" w:hAnsi="Times New Roman"/>
                <w:noProof/>
                <w:spacing w:val="-6"/>
                <w:lang w:val="sk-SK"/>
              </w:rPr>
              <w:t>Digitalizácia 7750000 súdnych spisov za posledných 20 rokov (od 1. 1. 2006 do 30. 6. 2026)</w:t>
            </w:r>
            <w:r w:rsidR="00326E55" w:rsidRPr="00326E55">
              <w:rPr>
                <w:rFonts w:ascii="Times New Roman" w:hAnsi="Times New Roman"/>
                <w:noProof/>
                <w:spacing w:val="-6"/>
                <w:lang w:val="sk-SK"/>
              </w:rPr>
              <w:t xml:space="preserve"> v</w:t>
            </w:r>
            <w:r w:rsidR="00326E55" w:rsidRPr="00326E55">
              <w:rPr>
                <w:rFonts w:ascii="Times New Roman" w:hAnsi="Times New Roman" w:hint="default"/>
                <w:noProof/>
                <w:spacing w:val="-6"/>
                <w:lang w:val="sk-SK"/>
              </w:rPr>
              <w:t>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w:t>
            </w:r>
            <w:r w:rsidR="00326E55" w:rsidRPr="00326E55">
              <w:rPr>
                <w:rFonts w:ascii="Times New Roman" w:hAnsi="Times New Roman" w:hint="default"/>
                <w:noProof/>
                <w:spacing w:val="-6"/>
                <w:lang w:val="sk-SK"/>
              </w:rPr>
              <w:t> </w:t>
            </w:r>
            <w:r w:rsidRPr="00326E55">
              <w:rPr>
                <w:rFonts w:ascii="Times New Roman" w:hAnsi="Times New Roman"/>
                <w:noProof/>
                <w:spacing w:val="-6"/>
                <w:lang w:val="sk-SK"/>
              </w:rPr>
              <w:t>ukončenými alebo</w:t>
            </w:r>
            <w:r w:rsidRPr="00326E55">
              <w:rPr>
                <w:rFonts w:ascii="Times New Roman" w:hAnsi="Times New Roman"/>
                <w:noProof/>
                <w:spacing w:val="-6"/>
                <w:lang w:val="sk-SK"/>
              </w:rPr>
              <w:t xml:space="preserve"> prebiehajúcimi súdnymi konaniami na súdoch.</w:t>
            </w:r>
          </w:p>
        </w:tc>
      </w:tr>
      <w:tr w:rsidR="00BF03AA" w:rsidRPr="00326E55" w14:paraId="69BB188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8D6F8E" w14:textId="349B11A2"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154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FD62AC" w14:textId="3C003471"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1.6.2 – Digitalizácia ministerstva spravodlivosti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BF09EB" w14:textId="6EE89C8E"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EC675F" w14:textId="6CCAD4B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Vedomostné systémy justičného dátového jazera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669AD" w14:textId="3C4E73B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50D43C" w14:textId="28BA6FED"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AD918" w14:textId="1364AA45"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971249" w14:textId="17E4E45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6</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A54693" w14:textId="4319D90B"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14DE5" w14:textId="51A84E3E"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CE72CC" w14:textId="4C91453C"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Zavedenie šiestich nových znalostných </w:t>
            </w:r>
            <w:r w:rsidRPr="00326E55">
              <w:rPr>
                <w:rFonts w:ascii="Times New Roman" w:hAnsi="Times New Roman"/>
                <w:noProof/>
                <w:spacing w:val="-6"/>
                <w:lang w:val="sk-SK"/>
              </w:rPr>
              <w:t>systémov dátového jazera.</w:t>
            </w:r>
          </w:p>
          <w:p w14:paraId="4B16C085" w14:textId="41DFF0B8" w:rsidR="00BF03AA" w:rsidRPr="00326E55" w:rsidRDefault="00FB452D">
            <w:pPr>
              <w:pStyle w:val="P68B1DB1-ListParagraph15"/>
              <w:numPr>
                <w:ilvl w:val="0"/>
                <w:numId w:val="55"/>
              </w:numPr>
              <w:spacing w:after="0" w:line="240" w:lineRule="auto"/>
              <w:ind w:left="357" w:hanging="357"/>
              <w:contextualSpacing w:val="0"/>
              <w:rPr>
                <w:rFonts w:ascii="Times New Roman" w:hAnsi="Times New Roman"/>
                <w:noProof/>
                <w:spacing w:val="-6"/>
                <w:szCs w:val="20"/>
                <w:lang w:val="sk-SK"/>
              </w:rPr>
            </w:pPr>
            <w:r w:rsidRPr="00326E55">
              <w:rPr>
                <w:rFonts w:ascii="Times New Roman" w:hAnsi="Times New Roman"/>
                <w:noProof/>
                <w:spacing w:val="-6"/>
                <w:lang w:val="sk-SK"/>
              </w:rPr>
              <w:t>Systém anonymizácie občianskoprávnych trestov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trestov za trestné činy</w:t>
            </w:r>
          </w:p>
          <w:p w14:paraId="42E481F0" w14:textId="77777777" w:rsidR="00BF03AA" w:rsidRPr="00326E55" w:rsidRDefault="00FB452D">
            <w:pPr>
              <w:pStyle w:val="P68B1DB1-ListParagraph15"/>
              <w:numPr>
                <w:ilvl w:val="0"/>
                <w:numId w:val="55"/>
              </w:numPr>
              <w:spacing w:after="0" w:line="240" w:lineRule="auto"/>
              <w:ind w:left="357" w:hanging="357"/>
              <w:contextualSpacing w:val="0"/>
              <w:rPr>
                <w:rFonts w:ascii="Times New Roman" w:hAnsi="Times New Roman"/>
                <w:noProof/>
                <w:spacing w:val="-6"/>
                <w:szCs w:val="20"/>
                <w:lang w:val="sk-SK"/>
              </w:rPr>
            </w:pPr>
            <w:r w:rsidRPr="00326E55">
              <w:rPr>
                <w:rFonts w:ascii="Times New Roman" w:hAnsi="Times New Roman"/>
                <w:noProof/>
                <w:spacing w:val="-6"/>
                <w:lang w:val="sk-SK"/>
              </w:rPr>
              <w:t>Integrovaný systém riadenia</w:t>
            </w:r>
          </w:p>
          <w:p w14:paraId="5359A2F0" w14:textId="178E03FB" w:rsidR="00BF03AA" w:rsidRPr="00326E55" w:rsidRDefault="00FB452D">
            <w:pPr>
              <w:pStyle w:val="P68B1DB1-ListParagraph15"/>
              <w:numPr>
                <w:ilvl w:val="0"/>
                <w:numId w:val="55"/>
              </w:numPr>
              <w:spacing w:after="0" w:line="240" w:lineRule="auto"/>
              <w:ind w:left="357" w:hanging="357"/>
              <w:contextualSpacing w:val="0"/>
              <w:rPr>
                <w:rFonts w:ascii="Times New Roman" w:hAnsi="Times New Roman"/>
                <w:noProof/>
                <w:spacing w:val="-6"/>
                <w:szCs w:val="20"/>
                <w:lang w:val="sk-SK"/>
              </w:rPr>
            </w:pPr>
            <w:r w:rsidRPr="00326E55">
              <w:rPr>
                <w:rFonts w:ascii="Times New Roman" w:hAnsi="Times New Roman"/>
                <w:noProof/>
                <w:spacing w:val="-6"/>
                <w:lang w:val="sk-SK"/>
              </w:rPr>
              <w:t>Systém 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analýzy civilných súdnych konaní</w:t>
            </w:r>
          </w:p>
          <w:p w14:paraId="30CCA75B" w14:textId="07EAB13C" w:rsidR="00BF03AA" w:rsidRPr="00326E55" w:rsidRDefault="00FB452D">
            <w:pPr>
              <w:pStyle w:val="P68B1DB1-ListParagraph15"/>
              <w:numPr>
                <w:ilvl w:val="0"/>
                <w:numId w:val="55"/>
              </w:numPr>
              <w:spacing w:after="0" w:line="240" w:lineRule="auto"/>
              <w:ind w:left="357" w:hanging="357"/>
              <w:contextualSpacing w:val="0"/>
              <w:rPr>
                <w:rFonts w:ascii="Times New Roman" w:hAnsi="Times New Roman"/>
                <w:noProof/>
                <w:spacing w:val="-6"/>
                <w:szCs w:val="20"/>
                <w:lang w:val="sk-SK"/>
              </w:rPr>
            </w:pPr>
            <w:r w:rsidRPr="00326E55">
              <w:rPr>
                <w:rFonts w:ascii="Times New Roman" w:hAnsi="Times New Roman"/>
                <w:noProof/>
                <w:spacing w:val="-6"/>
                <w:lang w:val="sk-SK"/>
              </w:rPr>
              <w:t>Systém 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analýzy trestných konaní</w:t>
            </w:r>
          </w:p>
          <w:p w14:paraId="363D238D" w14:textId="34EE7814" w:rsidR="00BF03AA" w:rsidRPr="00326E55" w:rsidRDefault="00FB452D">
            <w:pPr>
              <w:pStyle w:val="P68B1DB1-ListParagraph15"/>
              <w:numPr>
                <w:ilvl w:val="0"/>
                <w:numId w:val="55"/>
              </w:numPr>
              <w:spacing w:after="0" w:line="240" w:lineRule="auto"/>
              <w:ind w:left="357" w:hanging="357"/>
              <w:contextualSpacing w:val="0"/>
              <w:rPr>
                <w:rFonts w:ascii="Times New Roman" w:hAnsi="Times New Roman"/>
                <w:noProof/>
                <w:spacing w:val="-6"/>
                <w:szCs w:val="20"/>
                <w:lang w:val="sk-SK"/>
              </w:rPr>
            </w:pPr>
            <w:r w:rsidRPr="00326E55">
              <w:rPr>
                <w:rFonts w:ascii="Times New Roman" w:hAnsi="Times New Roman"/>
                <w:noProof/>
                <w:spacing w:val="-6"/>
                <w:lang w:val="sk-SK"/>
              </w:rPr>
              <w:t>Pokročilý štatistický systém</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občia</w:t>
            </w:r>
            <w:r w:rsidRPr="00326E55">
              <w:rPr>
                <w:rFonts w:ascii="Times New Roman" w:hAnsi="Times New Roman"/>
                <w:noProof/>
                <w:spacing w:val="-6"/>
                <w:lang w:val="sk-SK"/>
              </w:rPr>
              <w:t>nskoprávnych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trestných konaniach</w:t>
            </w:r>
          </w:p>
          <w:p w14:paraId="6289BBBA" w14:textId="6CC0AE4D" w:rsidR="00BF03AA" w:rsidRPr="00326E55" w:rsidRDefault="00FB452D">
            <w:pPr>
              <w:pStyle w:val="P68B1DB1-ListParagraph23"/>
              <w:numPr>
                <w:ilvl w:val="0"/>
                <w:numId w:val="55"/>
              </w:numPr>
              <w:spacing w:after="0" w:line="240" w:lineRule="auto"/>
              <w:ind w:left="357" w:hanging="357"/>
              <w:rPr>
                <w:rFonts w:ascii="Times New Roman" w:hAnsi="Times New Roman"/>
                <w:noProof/>
                <w:spacing w:val="-6"/>
                <w:lang w:val="sk-SK"/>
              </w:rPr>
            </w:pPr>
            <w:r w:rsidRPr="00326E55">
              <w:rPr>
                <w:rFonts w:ascii="Times New Roman" w:hAnsi="Times New Roman"/>
                <w:noProof/>
                <w:spacing w:val="-6"/>
                <w:lang w:val="sk-SK"/>
              </w:rPr>
              <w:t>Automatizovaný systém na identifikáciu vzťahu medzi obeťou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páchateľom.</w:t>
            </w:r>
          </w:p>
          <w:p w14:paraId="5F661186" w14:textId="77777777" w:rsidR="00BF03AA" w:rsidRPr="00326E55" w:rsidRDefault="00BF03AA">
            <w:pPr>
              <w:spacing w:after="120"/>
              <w:rPr>
                <w:rFonts w:ascii="Times New Roman" w:hAnsi="Times New Roman"/>
                <w:noProof/>
                <w:color w:val="006100"/>
                <w:spacing w:val="-6"/>
                <w:sz w:val="20"/>
                <w:szCs w:val="20"/>
                <w:lang w:val="sk-SK"/>
              </w:rPr>
            </w:pPr>
          </w:p>
        </w:tc>
      </w:tr>
    </w:tbl>
    <w:p w14:paraId="44787D4F" w14:textId="77777777" w:rsidR="00BF03AA" w:rsidRPr="00326E55" w:rsidRDefault="00BF03AA">
      <w:pPr>
        <w:tabs>
          <w:tab w:val="left" w:pos="4252"/>
        </w:tabs>
        <w:rPr>
          <w:rFonts w:ascii="Times New Roman" w:hAnsi="Times New Roman"/>
          <w:i/>
          <w:noProof/>
          <w:spacing w:val="-6"/>
          <w:lang w:val="sk-SK"/>
        </w:rPr>
        <w:sectPr w:rsidR="00BF03AA" w:rsidRPr="00326E55" w:rsidSect="005F11B9">
          <w:headerReference w:type="even" r:id="rId24"/>
          <w:headerReference w:type="default" r:id="rId25"/>
          <w:footerReference w:type="even" r:id="rId26"/>
          <w:footerReference w:type="default" r:id="rId27"/>
          <w:headerReference w:type="first" r:id="rId28"/>
          <w:footerReference w:type="first" r:id="rId29"/>
          <w:pgSz w:w="16838" w:h="11906" w:orient="landscape" w:code="9"/>
          <w:pgMar w:top="1134" w:right="1134" w:bottom="1134" w:left="1134" w:header="567" w:footer="567" w:gutter="0"/>
          <w:cols w:space="720"/>
          <w:docGrid w:linePitch="360"/>
        </w:sectPr>
      </w:pPr>
    </w:p>
    <w:p w14:paraId="4589FF32" w14:textId="77777777" w:rsidR="00326E55" w:rsidRPr="00326E55" w:rsidRDefault="00FB452D">
      <w:pPr>
        <w:pStyle w:val="P68B1DB1-Heading34"/>
        <w:ind w:left="850" w:hanging="850"/>
        <w:rPr>
          <w:b/>
          <w:noProof/>
          <w:spacing w:val="-6"/>
          <w:u w:val="single"/>
          <w:lang w:val="sk-SK"/>
        </w:rPr>
      </w:pPr>
      <w:r w:rsidRPr="00326E55">
        <w:rPr>
          <w:b/>
          <w:noProof/>
          <w:spacing w:val="-6"/>
          <w:u w:val="single"/>
          <w:lang w:val="sk-SK"/>
        </w:rPr>
        <w:t xml:space="preserve">A.3.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167B9C0D" w14:textId="454A1164" w:rsidR="00BF03AA" w:rsidRPr="00326E55" w:rsidRDefault="00BF03AA">
      <w:pPr>
        <w:spacing w:before="120" w:after="120"/>
        <w:jc w:val="both"/>
        <w:rPr>
          <w:rFonts w:ascii="Times New Roman" w:hAnsi="Times New Roman"/>
          <w:b/>
          <w:noProof/>
          <w:spacing w:val="-6"/>
          <w:lang w:val="sk-SK"/>
        </w:rPr>
      </w:pPr>
    </w:p>
    <w:p w14:paraId="1F1E525A" w14:textId="77777777" w:rsidR="00BF03AA" w:rsidRPr="00326E55" w:rsidRDefault="00FB452D">
      <w:pPr>
        <w:pStyle w:val="P68B1DB1-Normal5"/>
        <w:spacing w:before="120" w:after="120"/>
        <w:jc w:val="both"/>
        <w:rPr>
          <w:noProof/>
          <w:spacing w:val="-6"/>
          <w:lang w:val="sk-SK"/>
        </w:rPr>
      </w:pPr>
      <w:r w:rsidRPr="00326E55">
        <w:rPr>
          <w:noProof/>
          <w:spacing w:val="-6"/>
          <w:lang w:val="sk-SK"/>
        </w:rPr>
        <w:t xml:space="preserve">Investícia 1.2 – </w:t>
      </w:r>
      <w:r w:rsidRPr="00326E55">
        <w:rPr>
          <w:noProof/>
          <w:spacing w:val="-6"/>
          <w:lang w:val="sk-SK"/>
        </w:rPr>
        <w:t>Umožnenie cloud computingu pre miestnu platobnú agentúru</w:t>
      </w:r>
    </w:p>
    <w:p w14:paraId="42627226" w14:textId="55FFADEC" w:rsidR="00326E55" w:rsidRPr="00326E55" w:rsidRDefault="00FB452D">
      <w:pPr>
        <w:pStyle w:val="Descriptiontitle"/>
        <w:ind w:left="0"/>
        <w:rPr>
          <w:noProof/>
          <w:spacing w:val="-6"/>
          <w:lang w:val="sk-SK"/>
        </w:rPr>
      </w:pPr>
      <w:r w:rsidRPr="00326E55">
        <w:rPr>
          <w:noProof/>
          <w:spacing w:val="-6"/>
          <w:lang w:val="sk-SK"/>
        </w:rPr>
        <w:t>Cieľom tejto investície je presunúť súbory údajov</w:t>
      </w:r>
      <w:r w:rsidR="00326E55" w:rsidRPr="00326E55">
        <w:rPr>
          <w:noProof/>
          <w:spacing w:val="-6"/>
          <w:lang w:val="sk-SK"/>
        </w:rPr>
        <w:t xml:space="preserve"> a </w:t>
      </w:r>
      <w:r w:rsidRPr="00326E55">
        <w:rPr>
          <w:noProof/>
          <w:spacing w:val="-6"/>
          <w:lang w:val="sk-SK"/>
        </w:rPr>
        <w:t>aplikácie podstatnej časti miestnej verejnej správy na bezpečnú cloudovú infraštruktúru, čo každej správe umožní slobodne si vybrať</w:t>
      </w:r>
      <w:r w:rsidR="00326E55" w:rsidRPr="00326E55">
        <w:rPr>
          <w:noProof/>
          <w:spacing w:val="-6"/>
          <w:lang w:val="sk-SK"/>
        </w:rPr>
        <w:t xml:space="preserve"> v </w:t>
      </w:r>
      <w:r w:rsidRPr="00326E55">
        <w:rPr>
          <w:noProof/>
          <w:spacing w:val="-6"/>
          <w:lang w:val="sk-SK"/>
        </w:rPr>
        <w:t xml:space="preserve">rámci súboru </w:t>
      </w:r>
      <w:r w:rsidRPr="00326E55">
        <w:rPr>
          <w:noProof/>
          <w:spacing w:val="-6"/>
          <w:lang w:val="sk-SK"/>
        </w:rPr>
        <w:t>certifikovaných verejných cloudových prostredí</w:t>
      </w:r>
      <w:r w:rsidR="00326E55" w:rsidRPr="00326E55">
        <w:rPr>
          <w:noProof/>
          <w:spacing w:val="-6"/>
          <w:lang w:val="sk-SK"/>
        </w:rPr>
        <w:t>.</w:t>
      </w:r>
    </w:p>
    <w:p w14:paraId="56EC91B2" w14:textId="4CB8A4A2" w:rsidR="00BF03AA" w:rsidRPr="00326E55" w:rsidRDefault="00FB452D">
      <w:pPr>
        <w:pStyle w:val="Descriptiontitle"/>
        <w:ind w:left="0"/>
        <w:rPr>
          <w:noProof/>
          <w:spacing w:val="-6"/>
          <w:lang w:val="sk-SK"/>
        </w:rPr>
      </w:pPr>
      <w:r w:rsidRPr="00326E55">
        <w:rPr>
          <w:noProof/>
          <w:spacing w:val="-6"/>
          <w:lang w:val="sk-SK"/>
        </w:rPr>
        <w:t>V opatrení sa počíta aj</w:t>
      </w:r>
      <w:r w:rsidR="00326E55" w:rsidRPr="00326E55">
        <w:rPr>
          <w:noProof/>
          <w:spacing w:val="-6"/>
          <w:lang w:val="sk-SK"/>
        </w:rPr>
        <w:t xml:space="preserve"> s </w:t>
      </w:r>
      <w:r w:rsidRPr="00326E55">
        <w:rPr>
          <w:noProof/>
          <w:spacing w:val="-6"/>
          <w:lang w:val="sk-SK"/>
        </w:rPr>
        <w:t>balíkom podpory „migrácie ako služby“ pre správne orgány, ktorý zahŕňa: I) počiatočné posúdenie, ii) procesnú/administratívnu podporu potrebnú na začatie úsilia, iii) rokovanie</w:t>
      </w:r>
      <w:r w:rsidR="00326E55" w:rsidRPr="00326E55">
        <w:rPr>
          <w:noProof/>
          <w:spacing w:val="-6"/>
          <w:lang w:val="sk-SK"/>
        </w:rPr>
        <w:t xml:space="preserve"> o </w:t>
      </w:r>
      <w:r w:rsidRPr="00326E55">
        <w:rPr>
          <w:noProof/>
          <w:spacing w:val="-6"/>
          <w:lang w:val="sk-SK"/>
        </w:rPr>
        <w:t>pot</w:t>
      </w:r>
      <w:r w:rsidRPr="00326E55">
        <w:rPr>
          <w:noProof/>
          <w:spacing w:val="-6"/>
          <w:lang w:val="sk-SK"/>
        </w:rPr>
        <w:t>rebnej vonkajšej podpore</w:t>
      </w:r>
      <w:r w:rsidR="00326E55" w:rsidRPr="00326E55">
        <w:rPr>
          <w:noProof/>
          <w:spacing w:val="-6"/>
          <w:lang w:val="sk-SK"/>
        </w:rPr>
        <w:t xml:space="preserve"> a </w:t>
      </w:r>
      <w:r w:rsidRPr="00326E55">
        <w:rPr>
          <w:noProof/>
          <w:spacing w:val="-6"/>
          <w:lang w:val="sk-SK"/>
        </w:rPr>
        <w:t>iv) celkové riadenie projektu počas realizácie. Očakáva sa, že tím pod dohľadom ministerstva pre technologické inovácie</w:t>
      </w:r>
      <w:r w:rsidR="00326E55" w:rsidRPr="00326E55">
        <w:rPr>
          <w:noProof/>
          <w:spacing w:val="-6"/>
          <w:lang w:val="sk-SK"/>
        </w:rPr>
        <w:t xml:space="preserve"> a </w:t>
      </w:r>
      <w:r w:rsidRPr="00326E55">
        <w:rPr>
          <w:noProof/>
          <w:spacing w:val="-6"/>
          <w:lang w:val="sk-SK"/>
        </w:rPr>
        <w:t>digitálnu transformáciu (MITD) identifikuje</w:t>
      </w:r>
      <w:r w:rsidR="00326E55" w:rsidRPr="00326E55">
        <w:rPr>
          <w:noProof/>
          <w:spacing w:val="-6"/>
          <w:lang w:val="sk-SK"/>
        </w:rPr>
        <w:t xml:space="preserve"> a </w:t>
      </w:r>
      <w:r w:rsidRPr="00326E55">
        <w:rPr>
          <w:noProof/>
          <w:spacing w:val="-6"/>
          <w:lang w:val="sk-SK"/>
        </w:rPr>
        <w:t>certifikuje široký zoznam kvalifikovaných poskytovateľov</w:t>
      </w:r>
      <w:r w:rsidR="00326E55" w:rsidRPr="00326E55">
        <w:rPr>
          <w:noProof/>
          <w:spacing w:val="-6"/>
          <w:lang w:val="sk-SK"/>
        </w:rPr>
        <w:t xml:space="preserve"> a </w:t>
      </w:r>
      <w:r w:rsidRPr="00326E55">
        <w:rPr>
          <w:noProof/>
          <w:spacing w:val="-6"/>
          <w:lang w:val="sk-SK"/>
        </w:rPr>
        <w:t>ro</w:t>
      </w:r>
      <w:r w:rsidRPr="00326E55">
        <w:rPr>
          <w:noProof/>
          <w:spacing w:val="-6"/>
          <w:lang w:val="sk-SK"/>
        </w:rPr>
        <w:t>kuje</w:t>
      </w:r>
      <w:r w:rsidR="00326E55" w:rsidRPr="00326E55">
        <w:rPr>
          <w:noProof/>
          <w:spacing w:val="-6"/>
          <w:lang w:val="sk-SK"/>
        </w:rPr>
        <w:t xml:space="preserve"> o </w:t>
      </w:r>
      <w:r w:rsidRPr="00326E55">
        <w:rPr>
          <w:noProof/>
          <w:spacing w:val="-6"/>
          <w:lang w:val="sk-SK"/>
        </w:rPr>
        <w:t>súbore štandardných podporných balíkov prispôsobených veľkosti administratívy</w:t>
      </w:r>
      <w:r w:rsidR="00326E55" w:rsidRPr="00326E55">
        <w:rPr>
          <w:noProof/>
          <w:spacing w:val="-6"/>
          <w:lang w:val="sk-SK"/>
        </w:rPr>
        <w:t xml:space="preserve"> a </w:t>
      </w:r>
      <w:r w:rsidRPr="00326E55">
        <w:rPr>
          <w:noProof/>
          <w:spacing w:val="-6"/>
          <w:lang w:val="sk-SK"/>
        </w:rPr>
        <w:t>služieb zapojených do migrácie.</w:t>
      </w:r>
    </w:p>
    <w:p w14:paraId="4C9E4F00" w14:textId="6550F1E2" w:rsidR="00BF03AA" w:rsidRPr="00326E55" w:rsidRDefault="00FB452D">
      <w:pPr>
        <w:pStyle w:val="P68B1DB1-Descriptiontitle6"/>
        <w:ind w:left="0"/>
        <w:rPr>
          <w:noProof/>
          <w:spacing w:val="-6"/>
          <w:lang w:val="sk-SK"/>
        </w:rPr>
      </w:pPr>
      <w:r w:rsidRPr="00326E55">
        <w:rPr>
          <w:noProof/>
          <w:spacing w:val="-6"/>
          <w:lang w:val="sk-SK"/>
        </w:rPr>
        <w:t>Investícia 1.4 – Digitálne služby</w:t>
      </w:r>
      <w:r w:rsidR="00326E55" w:rsidRPr="00326E55">
        <w:rPr>
          <w:noProof/>
          <w:spacing w:val="-6"/>
          <w:lang w:val="sk-SK"/>
        </w:rPr>
        <w:t xml:space="preserve"> a </w:t>
      </w:r>
      <w:r w:rsidRPr="00326E55">
        <w:rPr>
          <w:noProof/>
          <w:spacing w:val="-6"/>
          <w:lang w:val="sk-SK"/>
        </w:rPr>
        <w:t>skúsenosti občanov</w:t>
      </w:r>
    </w:p>
    <w:p w14:paraId="0EE7F65F" w14:textId="32815B50" w:rsidR="00326E55" w:rsidRPr="00326E55" w:rsidRDefault="00FB452D">
      <w:pPr>
        <w:pStyle w:val="Descriptiontitle"/>
        <w:ind w:left="0"/>
        <w:rPr>
          <w:noProof/>
          <w:spacing w:val="-6"/>
          <w:lang w:val="sk-SK"/>
        </w:rPr>
      </w:pPr>
      <w:r w:rsidRPr="00326E55">
        <w:rPr>
          <w:noProof/>
          <w:spacing w:val="-6"/>
          <w:lang w:val="sk-SK"/>
        </w:rPr>
        <w:t>Cieľom tejto investície je vytvoriť integrovaný ekosystém digitálnych verejných sl</w:t>
      </w:r>
      <w:r w:rsidRPr="00326E55">
        <w:rPr>
          <w:noProof/>
          <w:spacing w:val="-6"/>
          <w:lang w:val="sk-SK"/>
        </w:rPr>
        <w:t>užieb orientovaný na občanov, zabezpečiť ich široké prijatie</w:t>
      </w:r>
      <w:r w:rsidR="00326E55" w:rsidRPr="00326E55">
        <w:rPr>
          <w:noProof/>
          <w:spacing w:val="-6"/>
          <w:lang w:val="sk-SK"/>
        </w:rPr>
        <w:t xml:space="preserve"> v </w:t>
      </w:r>
      <w:r w:rsidRPr="00326E55">
        <w:rPr>
          <w:noProof/>
          <w:spacing w:val="-6"/>
          <w:lang w:val="sk-SK"/>
        </w:rPr>
        <w:t>ústrednej</w:t>
      </w:r>
      <w:r w:rsidR="00326E55" w:rsidRPr="00326E55">
        <w:rPr>
          <w:noProof/>
          <w:spacing w:val="-6"/>
          <w:lang w:val="sk-SK"/>
        </w:rPr>
        <w:t xml:space="preserve"> a </w:t>
      </w:r>
      <w:r w:rsidRPr="00326E55">
        <w:rPr>
          <w:noProof/>
          <w:spacing w:val="-6"/>
          <w:lang w:val="sk-SK"/>
        </w:rPr>
        <w:t>miestnej správe</w:t>
      </w:r>
      <w:r w:rsidR="00326E55" w:rsidRPr="00326E55">
        <w:rPr>
          <w:noProof/>
          <w:spacing w:val="-6"/>
          <w:lang w:val="sk-SK"/>
        </w:rPr>
        <w:t xml:space="preserve"> a </w:t>
      </w:r>
      <w:r w:rsidRPr="00326E55">
        <w:rPr>
          <w:noProof/>
          <w:spacing w:val="-6"/>
          <w:lang w:val="sk-SK"/>
        </w:rPr>
        <w:t>zlepšiť celkové skúsenosti používateľov</w:t>
      </w:r>
      <w:r w:rsidR="00326E55" w:rsidRPr="00326E55">
        <w:rPr>
          <w:noProof/>
          <w:spacing w:val="-6"/>
          <w:lang w:val="sk-SK"/>
        </w:rPr>
        <w:t>.</w:t>
      </w:r>
    </w:p>
    <w:p w14:paraId="23770575" w14:textId="77777777" w:rsidR="00326E55" w:rsidRPr="00326E55" w:rsidRDefault="00FB452D">
      <w:pPr>
        <w:pStyle w:val="Descriptiontitle"/>
        <w:ind w:left="0"/>
        <w:rPr>
          <w:noProof/>
          <w:spacing w:val="-6"/>
          <w:lang w:val="sk-SK"/>
        </w:rPr>
      </w:pPr>
      <w:r w:rsidRPr="00326E55">
        <w:rPr>
          <w:noProof/>
          <w:spacing w:val="-6"/>
          <w:lang w:val="sk-SK"/>
        </w:rPr>
        <w:t>Opatrenie</w:t>
      </w:r>
      <w:r w:rsidR="00326E55" w:rsidRPr="00326E55">
        <w:rPr>
          <w:noProof/>
          <w:spacing w:val="-6"/>
          <w:lang w:val="sk-SK"/>
        </w:rPr>
        <w:t>:</w:t>
      </w:r>
    </w:p>
    <w:p w14:paraId="273AFF89" w14:textId="2E70EF56"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vymedzuje modely poskytovania opakovane použiteľných služieb zabezpečujúce úplné požiadavky na prístupnosť (inv</w:t>
      </w:r>
      <w:r w:rsidRPr="00326E55">
        <w:rPr>
          <w:noProof/>
          <w:spacing w:val="-6"/>
          <w:lang w:val="sk-SK"/>
        </w:rPr>
        <w:t>estícia 1.4.1 – Občianske skúsenosti – Zlepšenie kvality</w:t>
      </w:r>
      <w:r w:rsidR="00326E55" w:rsidRPr="00326E55">
        <w:rPr>
          <w:noProof/>
          <w:spacing w:val="-6"/>
          <w:lang w:val="sk-SK"/>
        </w:rPr>
        <w:t xml:space="preserve"> a </w:t>
      </w:r>
      <w:r w:rsidRPr="00326E55">
        <w:rPr>
          <w:noProof/>
          <w:spacing w:val="-6"/>
          <w:lang w:val="sk-SK"/>
        </w:rPr>
        <w:t>použiteľnosti digitálnych verejných služieb);</w:t>
      </w:r>
    </w:p>
    <w:p w14:paraId="1D6A0270" w14:textId="77777777"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zvyšuje dostupnosť digitálnych verejných služieb (investícia 1.4.2 – Začlenenie občanov: Zlepšenie prístupnosti digitálnych verejných služieb);</w:t>
      </w:r>
    </w:p>
    <w:p w14:paraId="06EC4A19" w14:textId="4DF25132"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 xml:space="preserve">zahŕňa </w:t>
      </w:r>
      <w:r w:rsidRPr="00326E55">
        <w:rPr>
          <w:noProof/>
          <w:spacing w:val="-6"/>
          <w:lang w:val="sk-SK"/>
        </w:rPr>
        <w:t>prijatie digitálnej aplikácie pre platby medzi občanmi</w:t>
      </w:r>
      <w:r w:rsidR="00326E55" w:rsidRPr="00326E55">
        <w:rPr>
          <w:noProof/>
          <w:spacing w:val="-6"/>
          <w:lang w:val="sk-SK"/>
        </w:rPr>
        <w:t xml:space="preserve"> a </w:t>
      </w:r>
      <w:r w:rsidRPr="00326E55">
        <w:rPr>
          <w:noProof/>
          <w:spacing w:val="-6"/>
          <w:lang w:val="sk-SK"/>
        </w:rPr>
        <w:t>orgánmi verejnej správy (PagoPa)</w:t>
      </w:r>
      <w:r w:rsidR="00326E55" w:rsidRPr="00326E55">
        <w:rPr>
          <w:noProof/>
          <w:spacing w:val="-6"/>
          <w:lang w:val="sk-SK"/>
        </w:rPr>
        <w:t xml:space="preserve"> a </w:t>
      </w:r>
      <w:r w:rsidRPr="00326E55">
        <w:rPr>
          <w:noProof/>
          <w:spacing w:val="-6"/>
          <w:lang w:val="sk-SK"/>
        </w:rPr>
        <w:t>prijatie aplikácie „IO“ (investícia 1.4.3 – rozšírenie služieb platformy PagoPA</w:t>
      </w:r>
      <w:r w:rsidR="00326E55" w:rsidRPr="00326E55">
        <w:rPr>
          <w:noProof/>
          <w:spacing w:val="-6"/>
          <w:lang w:val="sk-SK"/>
        </w:rPr>
        <w:t xml:space="preserve"> a </w:t>
      </w:r>
      <w:r w:rsidRPr="00326E55">
        <w:rPr>
          <w:noProof/>
          <w:spacing w:val="-6"/>
          <w:lang w:val="sk-SK"/>
        </w:rPr>
        <w:t>aplikácie IZ);</w:t>
      </w:r>
    </w:p>
    <w:p w14:paraId="31E35888" w14:textId="4196CDF8"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podporuje prijatie národných platforiem digitálnej identity (Sistem</w:t>
      </w:r>
      <w:r w:rsidRPr="00326E55">
        <w:rPr>
          <w:noProof/>
          <w:spacing w:val="-6"/>
          <w:lang w:val="sk-SK"/>
        </w:rPr>
        <w:t>a Pubblico di Identità Digitale, SPID</w:t>
      </w:r>
      <w:r w:rsidR="00326E55" w:rsidRPr="00326E55">
        <w:rPr>
          <w:noProof/>
          <w:spacing w:val="-6"/>
          <w:lang w:val="sk-SK"/>
        </w:rPr>
        <w:t xml:space="preserve"> a </w:t>
      </w:r>
      <w:r w:rsidRPr="00326E55">
        <w:rPr>
          <w:noProof/>
          <w:spacing w:val="-6"/>
          <w:lang w:val="sk-SK"/>
        </w:rPr>
        <w:t>Carta d’Identità Elettronica, CIE)</w:t>
      </w:r>
      <w:r w:rsidR="00326E55" w:rsidRPr="00326E55">
        <w:rPr>
          <w:noProof/>
          <w:spacing w:val="-6"/>
          <w:lang w:val="sk-SK"/>
        </w:rPr>
        <w:t xml:space="preserve"> a </w:t>
      </w:r>
      <w:r w:rsidRPr="00326E55">
        <w:rPr>
          <w:noProof/>
          <w:spacing w:val="-6"/>
          <w:lang w:val="sk-SK"/>
        </w:rPr>
        <w:t>národného registra (Anagrafe nazionale della popolazione residente, ANPR) [investícia 1.4.4 – Rozšírenie národných platforiem digitálnej identity (SPID, CIE)</w:t>
      </w:r>
      <w:r w:rsidR="00326E55" w:rsidRPr="00326E55">
        <w:rPr>
          <w:noProof/>
          <w:spacing w:val="-6"/>
          <w:lang w:val="sk-SK"/>
        </w:rPr>
        <w:t xml:space="preserve"> a </w:t>
      </w:r>
      <w:r w:rsidRPr="00326E55">
        <w:rPr>
          <w:noProof/>
          <w:spacing w:val="-6"/>
          <w:lang w:val="sk-SK"/>
        </w:rPr>
        <w:t xml:space="preserve">národného registra </w:t>
      </w:r>
      <w:r w:rsidRPr="00326E55">
        <w:rPr>
          <w:noProof/>
          <w:spacing w:val="-6"/>
          <w:lang w:val="sk-SK"/>
        </w:rPr>
        <w:t>(ANPR)];</w:t>
      </w:r>
    </w:p>
    <w:p w14:paraId="79C81CC3" w14:textId="77777777"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zriaďuje jednotnú platformu pre oznámenia (investícia 1.4.5 – Digitalizácia verejných oznámení);</w:t>
      </w:r>
    </w:p>
    <w:p w14:paraId="0D04705C" w14:textId="7673A939" w:rsidR="00BF03AA" w:rsidRPr="00326E55" w:rsidRDefault="00FB452D">
      <w:pPr>
        <w:pStyle w:val="Descriptiontitle"/>
        <w:numPr>
          <w:ilvl w:val="0"/>
          <w:numId w:val="56"/>
        </w:numPr>
        <w:ind w:left="578" w:hanging="578"/>
        <w:rPr>
          <w:noProof/>
          <w:spacing w:val="-6"/>
          <w:lang w:val="sk-SK"/>
        </w:rPr>
      </w:pPr>
      <w:r w:rsidRPr="00326E55">
        <w:rPr>
          <w:noProof/>
          <w:spacing w:val="-6"/>
          <w:lang w:val="sk-SK"/>
        </w:rPr>
        <w:t>zahŕňa prijatie mobility ako služby (MaaS) (investícia 1.4.6 – Mobilita ako služba pre Taliansko, pričom toto posledné opatrenie sa financuje na zákla</w:t>
      </w:r>
      <w:r w:rsidRPr="00326E55">
        <w:rPr>
          <w:noProof/>
          <w:spacing w:val="-6"/>
          <w:lang w:val="sk-SK"/>
        </w:rPr>
        <w:t>de nenávratnej finančnej podpory).</w:t>
      </w:r>
    </w:p>
    <w:p w14:paraId="7E573549"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1.6 – Digitálna transformácia veľkých centrálnych správ</w:t>
      </w:r>
    </w:p>
    <w:p w14:paraId="72A436BD" w14:textId="1D17DEA1" w:rsidR="00BF03AA" w:rsidRPr="00326E55" w:rsidRDefault="00FB452D">
      <w:pPr>
        <w:pStyle w:val="P68B1DB1-Normal7"/>
        <w:jc w:val="both"/>
        <w:rPr>
          <w:noProof/>
          <w:spacing w:val="-6"/>
          <w:lang w:val="sk-SK"/>
        </w:rPr>
      </w:pPr>
      <w:r w:rsidRPr="00326E55">
        <w:rPr>
          <w:noProof/>
          <w:spacing w:val="-6"/>
          <w:lang w:val="sk-SK"/>
        </w:rPr>
        <w:t>Cieľom tejto investície je zvýšiť efektívnosť</w:t>
      </w:r>
      <w:r w:rsidR="00326E55" w:rsidRPr="00326E55">
        <w:rPr>
          <w:noProof/>
          <w:spacing w:val="-6"/>
          <w:lang w:val="sk-SK"/>
        </w:rPr>
        <w:t xml:space="preserve"> a </w:t>
      </w:r>
      <w:r w:rsidRPr="00326E55">
        <w:rPr>
          <w:noProof/>
          <w:spacing w:val="-6"/>
          <w:lang w:val="sk-SK"/>
        </w:rPr>
        <w:t xml:space="preserve">zjednodušiť postupy hlavných ústredných správ – vrátane i) Národného inštitútu sociálneho zabezpečenia </w:t>
      </w:r>
      <w:r w:rsidRPr="00326E55">
        <w:rPr>
          <w:noProof/>
          <w:spacing w:val="-6"/>
          <w:lang w:val="sk-SK"/>
        </w:rPr>
        <w:t>(INPS)</w:t>
      </w:r>
      <w:r w:rsidR="00326E55" w:rsidRPr="00326E55">
        <w:rPr>
          <w:noProof/>
          <w:spacing w:val="-6"/>
          <w:lang w:val="sk-SK"/>
        </w:rPr>
        <w:t xml:space="preserve"> a </w:t>
      </w:r>
      <w:r w:rsidRPr="00326E55">
        <w:rPr>
          <w:noProof/>
          <w:spacing w:val="-6"/>
          <w:lang w:val="sk-SK"/>
        </w:rPr>
        <w:t>Národného inštitútu poistenia proti pracovným úrazom (INAIL), ii) súdneho systému, iii) ministerstva obrany, iv) ministerstva vnútra, v) finančnej polície. Investícia spočíva</w:t>
      </w:r>
      <w:r w:rsidR="00326E55" w:rsidRPr="00326E55">
        <w:rPr>
          <w:noProof/>
          <w:spacing w:val="-6"/>
          <w:lang w:val="sk-SK"/>
        </w:rPr>
        <w:t xml:space="preserve"> v </w:t>
      </w:r>
      <w:r w:rsidRPr="00326E55">
        <w:rPr>
          <w:noProof/>
          <w:spacing w:val="-6"/>
          <w:lang w:val="sk-SK"/>
        </w:rPr>
        <w:t>rekonštrukcii</w:t>
      </w:r>
      <w:r w:rsidR="00326E55" w:rsidRPr="00326E55">
        <w:rPr>
          <w:noProof/>
          <w:spacing w:val="-6"/>
          <w:lang w:val="sk-SK"/>
        </w:rPr>
        <w:t xml:space="preserve"> a </w:t>
      </w:r>
      <w:r w:rsidRPr="00326E55">
        <w:rPr>
          <w:noProof/>
          <w:spacing w:val="-6"/>
          <w:lang w:val="sk-SK"/>
        </w:rPr>
        <w:t>digitalizácii súboru prioritných procesov, činností</w:t>
      </w:r>
      <w:r w:rsidR="00326E55" w:rsidRPr="00326E55">
        <w:rPr>
          <w:noProof/>
          <w:spacing w:val="-6"/>
          <w:lang w:val="sk-SK"/>
        </w:rPr>
        <w:t xml:space="preserve"> a </w:t>
      </w:r>
      <w:r w:rsidRPr="00326E55">
        <w:rPr>
          <w:noProof/>
          <w:spacing w:val="-6"/>
          <w:lang w:val="sk-SK"/>
        </w:rPr>
        <w:t>služieb</w:t>
      </w:r>
      <w:r w:rsidR="00326E55" w:rsidRPr="00326E55">
        <w:rPr>
          <w:noProof/>
          <w:spacing w:val="-6"/>
          <w:lang w:val="sk-SK"/>
        </w:rPr>
        <w:t xml:space="preserve"> v </w:t>
      </w:r>
      <w:r w:rsidRPr="00326E55">
        <w:rPr>
          <w:noProof/>
          <w:spacing w:val="-6"/>
          <w:lang w:val="sk-SK"/>
        </w:rPr>
        <w:t>rámci ich pôsobnosti.</w:t>
      </w:r>
    </w:p>
    <w:p w14:paraId="04E83E33" w14:textId="77777777" w:rsidR="00BF03AA" w:rsidRPr="00326E55" w:rsidRDefault="00FB452D">
      <w:pPr>
        <w:rPr>
          <w:rFonts w:ascii="Times New Roman" w:hAnsi="Times New Roman"/>
          <w:noProof/>
          <w:spacing w:val="-6"/>
          <w:lang w:val="sk-SK"/>
        </w:rPr>
        <w:sectPr w:rsidR="00BF03AA" w:rsidRPr="00326E55" w:rsidSect="005F11B9">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pPr>
      <w:r w:rsidRPr="00326E55">
        <w:rPr>
          <w:rFonts w:ascii="Times New Roman" w:hAnsi="Times New Roman"/>
          <w:noProof/>
          <w:spacing w:val="-6"/>
          <w:lang w:val="sk-SK"/>
        </w:rPr>
        <w:br w:type="page"/>
      </w:r>
    </w:p>
    <w:p w14:paraId="20D4EF5E" w14:textId="77777777" w:rsidR="00BF03AA" w:rsidRPr="00326E55" w:rsidRDefault="00BF03AA">
      <w:pPr>
        <w:rPr>
          <w:rFonts w:ascii="Times New Roman" w:hAnsi="Times New Roman"/>
          <w:noProof/>
          <w:spacing w:val="-6"/>
          <w:lang w:val="sk-SK"/>
        </w:rPr>
      </w:pPr>
    </w:p>
    <w:p w14:paraId="3FB7696F" w14:textId="0F85A2C3" w:rsidR="00BF03AA" w:rsidRPr="00326E55" w:rsidRDefault="00FB452D">
      <w:pPr>
        <w:rPr>
          <w:rFonts w:ascii="Times New Roman" w:hAnsi="Times New Roman"/>
          <w:noProof/>
          <w:spacing w:val="-6"/>
          <w:lang w:val="sk-SK"/>
        </w:rPr>
      </w:pPr>
      <w:r w:rsidRPr="00326E55">
        <w:rPr>
          <w:rFonts w:ascii="Times New Roman" w:eastAsia="Times New Roman" w:hAnsi="Times New Roman" w:cs="Times New Roman"/>
          <w:b/>
          <w:noProof/>
          <w:spacing w:val="-6"/>
          <w:u w:val="single"/>
          <w:lang w:val="sk-SK"/>
        </w:rPr>
        <w:t xml:space="preserve">A.4. </w:t>
      </w:r>
      <w:r w:rsidRPr="00326E55">
        <w:rPr>
          <w:rFonts w:ascii="Times New Roman" w:eastAsia="Times New Roman" w:hAnsi="Times New Roman" w:cs="Times New Roman"/>
          <w:noProof/>
          <w:spacing w:val="-6"/>
          <w:lang w:val="sk-SK"/>
        </w:rPr>
        <w:t xml:space="preserve"> </w:t>
      </w:r>
      <w:r w:rsidRPr="00326E55">
        <w:rPr>
          <w:rFonts w:ascii="Times New Roman" w:eastAsia="Times New Roman" w:hAnsi="Times New Roman" w:cs="Times New Roman"/>
          <w:b/>
          <w:noProof/>
          <w:spacing w:val="-6"/>
          <w:u w:val="single"/>
          <w:lang w:val="sk-SK"/>
        </w:rPr>
        <w:t>Míľniky, ciele, ukazovatele</w:t>
      </w:r>
      <w:r w:rsidR="00326E55" w:rsidRPr="00326E55">
        <w:rPr>
          <w:rFonts w:ascii="Times New Roman" w:eastAsia="Times New Roman" w:hAnsi="Times New Roman" w:cs="Times New Roman"/>
          <w:b/>
          <w:noProof/>
          <w:spacing w:val="-6"/>
          <w:u w:val="single"/>
          <w:lang w:val="sk-SK"/>
        </w:rPr>
        <w:t xml:space="preserve"> a </w:t>
      </w:r>
      <w:r w:rsidRPr="00326E55">
        <w:rPr>
          <w:rFonts w:ascii="Times New Roman" w:eastAsia="Times New Roman" w:hAnsi="Times New Roman" w:cs="Times New Roman"/>
          <w:b/>
          <w:noProof/>
          <w:spacing w:val="-6"/>
          <w:u w:val="single"/>
          <w:lang w:val="sk-SK"/>
        </w:rPr>
        <w:t>harmonogram monitorovania</w:t>
      </w:r>
      <w:r w:rsidR="00326E55" w:rsidRPr="00326E55">
        <w:rPr>
          <w:rFonts w:ascii="Times New Roman" w:eastAsia="Times New Roman" w:hAnsi="Times New Roman" w:cs="Times New Roman"/>
          <w:b/>
          <w:noProof/>
          <w:spacing w:val="-6"/>
          <w:u w:val="single"/>
          <w:lang w:val="sk-SK"/>
        </w:rPr>
        <w:t xml:space="preserve"> a </w:t>
      </w:r>
      <w:r w:rsidRPr="00326E55">
        <w:rPr>
          <w:rFonts w:ascii="Times New Roman" w:eastAsia="Times New Roman" w:hAnsi="Times New Roman" w:cs="Times New Roman"/>
          <w:b/>
          <w:noProof/>
          <w:spacing w:val="-6"/>
          <w:u w:val="single"/>
          <w:lang w:val="sk-SK"/>
        </w:rPr>
        <w:t>realizácie</w:t>
      </w:r>
      <w:r w:rsidR="00326E55" w:rsidRPr="00326E55">
        <w:rPr>
          <w:rFonts w:ascii="Times New Roman" w:eastAsia="Times New Roman" w:hAnsi="Times New Roman" w:cs="Times New Roman"/>
          <w:b/>
          <w:noProof/>
          <w:spacing w:val="-6"/>
          <w:u w:val="single"/>
          <w:lang w:val="sk-SK"/>
        </w:rPr>
        <w:t xml:space="preserve"> v </w:t>
      </w:r>
      <w:r w:rsidRPr="00326E55">
        <w:rPr>
          <w:rFonts w:ascii="Times New Roman" w:eastAsia="Times New Roman" w:hAnsi="Times New Roman" w:cs="Times New Roman"/>
          <w:b/>
          <w:noProof/>
          <w:spacing w:val="-6"/>
          <w:u w:val="single"/>
          <w:lang w:val="sk-SK"/>
        </w:rPr>
        <w:t xml:space="preserve">prípade sekvencie </w:t>
      </w:r>
      <w:r w:rsidRPr="00326E55">
        <w:rPr>
          <w:rFonts w:ascii="Times New Roman" w:hAnsi="Times New Roman"/>
          <w:b/>
          <w:noProof/>
          <w:spacing w:val="-6"/>
          <w:sz w:val="20"/>
          <w:lang w:val="sk-SK"/>
        </w:rPr>
        <w:t>úverov</w:t>
      </w:r>
    </w:p>
    <w:tbl>
      <w:tblPr>
        <w:tblW w:w="15678" w:type="dxa"/>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087"/>
        <w:gridCol w:w="1943"/>
        <w:gridCol w:w="992"/>
        <w:gridCol w:w="2126"/>
        <w:gridCol w:w="1701"/>
        <w:gridCol w:w="1134"/>
        <w:gridCol w:w="1276"/>
        <w:gridCol w:w="1417"/>
        <w:gridCol w:w="793"/>
        <w:gridCol w:w="625"/>
        <w:gridCol w:w="2584"/>
      </w:tblGrid>
      <w:tr w:rsidR="00BF03AA" w:rsidRPr="00326E55" w14:paraId="06ACB4D6" w14:textId="77777777">
        <w:trPr>
          <w:trHeight w:val="774"/>
          <w:tblHeader/>
        </w:trPr>
        <w:tc>
          <w:tcPr>
            <w:tcW w:w="1087" w:type="dxa"/>
            <w:vMerge w:val="restart"/>
            <w:shd w:val="clear" w:color="auto" w:fill="BDD7EE"/>
            <w:vAlign w:val="center"/>
            <w:hideMark/>
          </w:tcPr>
          <w:p w14:paraId="23EFA29F" w14:textId="6FC07D1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943" w:type="dxa"/>
            <w:vMerge w:val="restart"/>
            <w:shd w:val="clear" w:color="auto" w:fill="BDD7EE"/>
            <w:vAlign w:val="center"/>
            <w:hideMark/>
          </w:tcPr>
          <w:p w14:paraId="3B3E6D7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992" w:type="dxa"/>
            <w:vMerge w:val="restart"/>
            <w:shd w:val="clear" w:color="auto" w:fill="BDD7EE"/>
            <w:vAlign w:val="center"/>
            <w:hideMark/>
          </w:tcPr>
          <w:p w14:paraId="64F9BDC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w:t>
            </w:r>
          </w:p>
          <w:p w14:paraId="5BF15AF2" w14:textId="468BDFC1"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vMerge w:val="restart"/>
            <w:shd w:val="clear" w:color="auto" w:fill="BDD7EE"/>
            <w:vAlign w:val="center"/>
            <w:hideMark/>
          </w:tcPr>
          <w:p w14:paraId="553ADAD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701" w:type="dxa"/>
            <w:vMerge w:val="restart"/>
            <w:shd w:val="clear" w:color="auto" w:fill="BDD7EE"/>
            <w:vAlign w:val="center"/>
            <w:hideMark/>
          </w:tcPr>
          <w:p w14:paraId="4DEA5DA5"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827" w:type="dxa"/>
            <w:gridSpan w:val="3"/>
            <w:shd w:val="clear" w:color="auto" w:fill="BDD7EE"/>
            <w:vAlign w:val="center"/>
            <w:hideMark/>
          </w:tcPr>
          <w:p w14:paraId="3317603A"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418" w:type="dxa"/>
            <w:gridSpan w:val="2"/>
            <w:shd w:val="clear" w:color="auto" w:fill="BDD7EE"/>
            <w:vAlign w:val="center"/>
            <w:hideMark/>
          </w:tcPr>
          <w:p w14:paraId="22D37062"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2584" w:type="dxa"/>
            <w:vMerge w:val="restart"/>
            <w:shd w:val="clear" w:color="auto" w:fill="BDD7EE"/>
            <w:vAlign w:val="center"/>
            <w:hideMark/>
          </w:tcPr>
          <w:p w14:paraId="248B14E1" w14:textId="6C2C1D34"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4424822C" w14:textId="77777777">
        <w:trPr>
          <w:trHeight w:val="686"/>
          <w:tblHeader/>
        </w:trPr>
        <w:tc>
          <w:tcPr>
            <w:tcW w:w="1087" w:type="dxa"/>
            <w:vMerge/>
            <w:vAlign w:val="center"/>
            <w:hideMark/>
          </w:tcPr>
          <w:p w14:paraId="2AA238F4" w14:textId="77777777" w:rsidR="00BF03AA" w:rsidRPr="00326E55" w:rsidRDefault="00BF03AA">
            <w:pPr>
              <w:jc w:val="center"/>
              <w:rPr>
                <w:rFonts w:ascii="Times New Roman" w:hAnsi="Times New Roman"/>
                <w:b/>
                <w:noProof/>
                <w:spacing w:val="-6"/>
                <w:sz w:val="20"/>
                <w:szCs w:val="20"/>
                <w:lang w:val="sk-SK"/>
              </w:rPr>
            </w:pPr>
          </w:p>
        </w:tc>
        <w:tc>
          <w:tcPr>
            <w:tcW w:w="1943" w:type="dxa"/>
            <w:vMerge/>
            <w:vAlign w:val="center"/>
            <w:hideMark/>
          </w:tcPr>
          <w:p w14:paraId="2C6FBFDC" w14:textId="77777777" w:rsidR="00BF03AA" w:rsidRPr="00326E55" w:rsidRDefault="00BF03AA">
            <w:pPr>
              <w:jc w:val="center"/>
              <w:rPr>
                <w:rFonts w:ascii="Times New Roman" w:hAnsi="Times New Roman"/>
                <w:b/>
                <w:noProof/>
                <w:spacing w:val="-6"/>
                <w:sz w:val="20"/>
                <w:szCs w:val="20"/>
                <w:lang w:val="sk-SK"/>
              </w:rPr>
            </w:pPr>
          </w:p>
        </w:tc>
        <w:tc>
          <w:tcPr>
            <w:tcW w:w="992" w:type="dxa"/>
            <w:vMerge/>
            <w:vAlign w:val="center"/>
            <w:hideMark/>
          </w:tcPr>
          <w:p w14:paraId="56201EE1" w14:textId="77777777" w:rsidR="00BF03AA" w:rsidRPr="00326E55" w:rsidRDefault="00BF03AA">
            <w:pPr>
              <w:jc w:val="center"/>
              <w:rPr>
                <w:rFonts w:ascii="Times New Roman" w:hAnsi="Times New Roman"/>
                <w:b/>
                <w:noProof/>
                <w:spacing w:val="-6"/>
                <w:sz w:val="20"/>
                <w:szCs w:val="20"/>
                <w:lang w:val="sk-SK"/>
              </w:rPr>
            </w:pPr>
          </w:p>
        </w:tc>
        <w:tc>
          <w:tcPr>
            <w:tcW w:w="2126" w:type="dxa"/>
            <w:vMerge/>
            <w:vAlign w:val="center"/>
            <w:hideMark/>
          </w:tcPr>
          <w:p w14:paraId="294D9447" w14:textId="77777777" w:rsidR="00BF03AA" w:rsidRPr="00326E55" w:rsidRDefault="00BF03AA">
            <w:pPr>
              <w:jc w:val="center"/>
              <w:rPr>
                <w:rFonts w:ascii="Times New Roman" w:hAnsi="Times New Roman"/>
                <w:b/>
                <w:noProof/>
                <w:spacing w:val="-6"/>
                <w:sz w:val="20"/>
                <w:szCs w:val="20"/>
                <w:lang w:val="sk-SK"/>
              </w:rPr>
            </w:pPr>
          </w:p>
        </w:tc>
        <w:tc>
          <w:tcPr>
            <w:tcW w:w="1701" w:type="dxa"/>
            <w:vMerge/>
            <w:vAlign w:val="center"/>
            <w:hideMark/>
          </w:tcPr>
          <w:p w14:paraId="203E28E8" w14:textId="77777777" w:rsidR="00BF03AA" w:rsidRPr="00326E55" w:rsidRDefault="00BF03AA">
            <w:pPr>
              <w:jc w:val="center"/>
              <w:rPr>
                <w:rFonts w:ascii="Times New Roman" w:hAnsi="Times New Roman"/>
                <w:b/>
                <w:noProof/>
                <w:spacing w:val="-6"/>
                <w:sz w:val="20"/>
                <w:szCs w:val="20"/>
                <w:lang w:val="sk-SK"/>
              </w:rPr>
            </w:pPr>
          </w:p>
        </w:tc>
        <w:tc>
          <w:tcPr>
            <w:tcW w:w="1134" w:type="dxa"/>
            <w:shd w:val="clear" w:color="auto" w:fill="BDD7EE"/>
            <w:vAlign w:val="center"/>
            <w:hideMark/>
          </w:tcPr>
          <w:p w14:paraId="18442F27" w14:textId="4697AB3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276" w:type="dxa"/>
            <w:shd w:val="clear" w:color="auto" w:fill="BDD7EE"/>
            <w:vAlign w:val="center"/>
            <w:hideMark/>
          </w:tcPr>
          <w:p w14:paraId="0AD1B0D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1417" w:type="dxa"/>
            <w:shd w:val="clear" w:color="auto" w:fill="BDD7EE"/>
            <w:vAlign w:val="center"/>
            <w:hideMark/>
          </w:tcPr>
          <w:p w14:paraId="297A723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793" w:type="dxa"/>
            <w:shd w:val="clear" w:color="auto" w:fill="BDD7EE"/>
            <w:vAlign w:val="center"/>
            <w:hideMark/>
          </w:tcPr>
          <w:p w14:paraId="597B70D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625" w:type="dxa"/>
            <w:shd w:val="clear" w:color="auto" w:fill="BDD7EE"/>
            <w:vAlign w:val="center"/>
            <w:hideMark/>
          </w:tcPr>
          <w:p w14:paraId="6FA55E18"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584" w:type="dxa"/>
            <w:vMerge/>
            <w:vAlign w:val="center"/>
            <w:hideMark/>
          </w:tcPr>
          <w:p w14:paraId="3617A512" w14:textId="77777777" w:rsidR="00BF03AA" w:rsidRPr="00326E55" w:rsidRDefault="00BF03AA">
            <w:pPr>
              <w:rPr>
                <w:rFonts w:ascii="Times New Roman" w:hAnsi="Times New Roman"/>
                <w:b/>
                <w:noProof/>
                <w:spacing w:val="-6"/>
                <w:sz w:val="20"/>
                <w:szCs w:val="20"/>
                <w:lang w:val="sk-SK"/>
              </w:rPr>
            </w:pPr>
          </w:p>
        </w:tc>
      </w:tr>
      <w:tr w:rsidR="00BF03AA" w:rsidRPr="00326E55" w14:paraId="33E2BB93"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A2BBA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14</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5140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Investícia 1.6.5: </w:t>
            </w:r>
            <w:r w:rsidRPr="00326E55">
              <w:rPr>
                <w:rFonts w:ascii="Times New Roman" w:hAnsi="Times New Roman"/>
                <w:noProof/>
                <w:spacing w:val="-6"/>
                <w:lang w:val="sk-SK"/>
              </w:rPr>
              <w:t>Digitalizácia Štátnej rady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DE837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668982" w14:textId="4BF4328B"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Štátna rada – dostupné súdne dokumenty na analýzu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dátovom sklade T1</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B5FDD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D7209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0AA07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9E97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800 000</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3F437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0C0B2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15296B" w14:textId="28002EBF"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Počet súdnych dokumentov týkajúcich sa systému správnej právomoci (ako sú rozsudky, stanoviská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vyhlášky),</w:t>
            </w:r>
            <w:r w:rsidRPr="00326E55">
              <w:rPr>
                <w:rFonts w:ascii="Times New Roman" w:hAnsi="Times New Roman"/>
                <w:noProof/>
                <w:spacing w:val="-6"/>
                <w:lang w:val="sk-SK"/>
              </w:rPr>
              <w:t xml:space="preserve"> ku ktorým 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dátovom sklade plne dostupné metaúdaje.</w:t>
            </w:r>
          </w:p>
        </w:tc>
      </w:tr>
      <w:tr w:rsidR="00BF03AA" w:rsidRPr="00326E55" w14:paraId="3DAB0791"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B7B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M1C1 – 16</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FB67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1.6.5: Digitalizácia Štátnej rady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58914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B4A81" w14:textId="1A43E02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Štátna rada – dostupné súdne dokumenty na analýzu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dátovom sklade T2</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F629A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A8CFF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404BC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800 000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882A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2 500 000</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8838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CAA37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EEDD42" w14:textId="780C513B"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Počet súdnych </w:t>
            </w:r>
            <w:r w:rsidRPr="00326E55">
              <w:rPr>
                <w:rFonts w:ascii="Times New Roman" w:hAnsi="Times New Roman"/>
                <w:noProof/>
                <w:spacing w:val="-6"/>
                <w:lang w:val="sk-SK"/>
              </w:rPr>
              <w:t>dokumentov týkajúcich sa systému správnej jurisdikcie (ako sú rozsudky, stanoviská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vyhlášky), ku ktorým 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dátovom sklade plne dostupné metaúdaje.</w:t>
            </w:r>
          </w:p>
        </w:tc>
      </w:tr>
      <w:tr w:rsidR="00BF03AA" w:rsidRPr="00326E55" w14:paraId="5BE708E7"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4E104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123</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D456E0" w14:textId="75075A8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1.6.3 – Digitalizácia Národného inštitútu sociálneho zabezpečenia (INPS)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Národného inštitútu poistenia proti pracovným úrazom (INAIL)</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15C7B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9B602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INPS – služby/obsah T1 „Jedno kliknutie podľa návrhu“</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C51D4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01D7F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C79D3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E60E9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35</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CA434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473E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04994" w14:textId="77777777" w:rsidR="00BF03AA" w:rsidRPr="00326E55" w:rsidRDefault="00FB452D">
            <w:pPr>
              <w:spacing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35 dodatočných služieb zavedených na inštitucionálnej webovej stránke INP (</w:t>
            </w:r>
            <w:hyperlink r:id="rId36">
              <w:r w:rsidRPr="00326E55">
                <w:rPr>
                  <w:rStyle w:val="Hyperlink"/>
                  <w:rFonts w:ascii="Times New Roman" w:hAnsi="Times New Roman"/>
                  <w:noProof/>
                  <w:spacing w:val="-6"/>
                  <w:sz w:val="20"/>
                  <w:szCs w:val="20"/>
                  <w:lang w:val="sk-SK"/>
                </w:rPr>
                <w:t>www.inps.it</w:t>
              </w:r>
            </w:hyperlink>
            <w:r w:rsidRPr="00326E55">
              <w:rPr>
                <w:rFonts w:ascii="Times New Roman" w:hAnsi="Times New Roman"/>
                <w:noProof/>
                <w:color w:val="006100"/>
                <w:spacing w:val="-6"/>
                <w:sz w:val="20"/>
                <w:szCs w:val="20"/>
                <w:lang w:val="sk-SK"/>
              </w:rPr>
              <w:t>)</w:t>
            </w:r>
          </w:p>
          <w:p w14:paraId="1CF37D9F" w14:textId="611E76A0"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Služby musia byť prístupné na inštitucionálnej stránke prostredníctvom vhodnej logiky profilovania (systém navrhne služby možného záujmu na základe veku, pracovných charakteristík, vnímaných prínosov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w:t>
            </w:r>
            <w:r w:rsidRPr="00326E55">
              <w:rPr>
                <w:rFonts w:ascii="Times New Roman" w:hAnsi="Times New Roman"/>
                <w:noProof/>
                <w:spacing w:val="-6"/>
                <w:lang w:val="sk-SK"/>
              </w:rPr>
              <w:t>tórie používateľov).</w:t>
            </w:r>
          </w:p>
          <w:p w14:paraId="442701D8"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35 služieb sa týka týchto inštitucionálnych oblastí INPS:</w:t>
            </w:r>
          </w:p>
          <w:p w14:paraId="277EA771" w14:textId="77777777" w:rsidR="00BF03AA" w:rsidRPr="00326E55" w:rsidRDefault="00FB452D">
            <w:pPr>
              <w:pStyle w:val="P68B1DB1-Normal11"/>
              <w:spacing w:after="120"/>
              <w:contextualSpacing/>
              <w:rPr>
                <w:rFonts w:ascii="Times New Roman" w:hAnsi="Times New Roman"/>
                <w:noProof/>
                <w:spacing w:val="-6"/>
                <w:szCs w:val="20"/>
                <w:lang w:val="sk-SK"/>
              </w:rPr>
            </w:pPr>
            <w:r w:rsidRPr="00326E55">
              <w:rPr>
                <w:rFonts w:ascii="Times New Roman" w:hAnsi="Times New Roman"/>
                <w:noProof/>
                <w:spacing w:val="-6"/>
                <w:lang w:val="sk-SK"/>
              </w:rPr>
              <w:t>•Dôchodky</w:t>
            </w:r>
          </w:p>
          <w:p w14:paraId="40EA6A13" w14:textId="77777777" w:rsidR="00BF03AA" w:rsidRPr="00326E55" w:rsidRDefault="00FB452D">
            <w:pPr>
              <w:pStyle w:val="P68B1DB1-Normal11"/>
              <w:spacing w:after="120"/>
              <w:contextualSpacing/>
              <w:rPr>
                <w:rFonts w:ascii="Times New Roman" w:hAnsi="Times New Roman"/>
                <w:noProof/>
                <w:spacing w:val="-6"/>
                <w:szCs w:val="20"/>
                <w:lang w:val="sk-SK"/>
              </w:rPr>
            </w:pPr>
            <w:r w:rsidRPr="00326E55">
              <w:rPr>
                <w:rFonts w:ascii="Times New Roman" w:hAnsi="Times New Roman"/>
                <w:noProof/>
                <w:spacing w:val="-6"/>
                <w:lang w:val="sk-SK"/>
              </w:rPr>
              <w:t>•Absorpcia sociálnych otrasov</w:t>
            </w:r>
          </w:p>
          <w:p w14:paraId="7BF43470" w14:textId="2197C61F" w:rsidR="00BF03AA" w:rsidRPr="00326E55" w:rsidRDefault="00FB452D">
            <w:pPr>
              <w:pStyle w:val="P68B1DB1-Normal11"/>
              <w:spacing w:after="120"/>
              <w:contextualSpacing/>
              <w:rPr>
                <w:rFonts w:ascii="Times New Roman" w:hAnsi="Times New Roman"/>
                <w:noProof/>
                <w:spacing w:val="-6"/>
                <w:szCs w:val="20"/>
                <w:lang w:val="sk-SK"/>
              </w:rPr>
            </w:pPr>
            <w:r w:rsidRPr="00326E55">
              <w:rPr>
                <w:rFonts w:ascii="Times New Roman" w:hAnsi="Times New Roman"/>
                <w:noProof/>
                <w:spacing w:val="-6"/>
                <w:lang w:val="sk-SK"/>
              </w:rPr>
              <w:t>•Dávky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nezamestnanosti</w:t>
            </w:r>
          </w:p>
          <w:p w14:paraId="628CAF36" w14:textId="2D68351B" w:rsidR="00BF03AA" w:rsidRPr="00326E55" w:rsidRDefault="00FB452D">
            <w:pPr>
              <w:pStyle w:val="P68B1DB1-Normal11"/>
              <w:spacing w:after="120"/>
              <w:contextualSpacing/>
              <w:rPr>
                <w:rFonts w:ascii="Times New Roman" w:hAnsi="Times New Roman"/>
                <w:noProof/>
                <w:spacing w:val="-6"/>
                <w:szCs w:val="20"/>
                <w:lang w:val="sk-SK"/>
              </w:rPr>
            </w:pPr>
            <w:r w:rsidRPr="00326E55">
              <w:rPr>
                <w:rFonts w:ascii="Times New Roman" w:hAnsi="Times New Roman"/>
                <w:noProof/>
                <w:spacing w:val="-6"/>
                <w:lang w:val="sk-SK"/>
              </w:rPr>
              <w:t>•Príspevky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invalidite</w:t>
            </w:r>
          </w:p>
          <w:p w14:paraId="4A2A94A4" w14:textId="77777777" w:rsidR="00BF03AA" w:rsidRPr="00326E55" w:rsidRDefault="00FB452D">
            <w:pPr>
              <w:pStyle w:val="P68B1DB1-Normal11"/>
              <w:spacing w:after="120"/>
              <w:contextualSpacing/>
              <w:rPr>
                <w:rFonts w:ascii="Times New Roman" w:hAnsi="Times New Roman"/>
                <w:noProof/>
                <w:spacing w:val="-6"/>
                <w:szCs w:val="20"/>
                <w:lang w:val="sk-SK"/>
              </w:rPr>
            </w:pPr>
            <w:r w:rsidRPr="00326E55">
              <w:rPr>
                <w:rFonts w:ascii="Times New Roman" w:hAnsi="Times New Roman"/>
                <w:noProof/>
                <w:spacing w:val="-6"/>
                <w:lang w:val="sk-SK"/>
              </w:rPr>
              <w:t>•Zrušenia</w:t>
            </w:r>
          </w:p>
          <w:p w14:paraId="5E95323D" w14:textId="77777777" w:rsidR="00BF03AA" w:rsidRPr="00326E55" w:rsidRDefault="00FB452D">
            <w:pPr>
              <w:pStyle w:val="P68B1DB1-Normal11"/>
              <w:spacing w:after="120"/>
              <w:contextualSpacing/>
              <w:rPr>
                <w:rFonts w:ascii="Times New Roman" w:hAnsi="Times New Roman"/>
                <w:noProof/>
                <w:spacing w:val="-6"/>
                <w:szCs w:val="20"/>
                <w:lang w:val="sk-SK"/>
              </w:rPr>
            </w:pPr>
            <w:r w:rsidRPr="00326E55">
              <w:rPr>
                <w:rFonts w:ascii="Times New Roman" w:hAnsi="Times New Roman"/>
                <w:noProof/>
                <w:spacing w:val="-6"/>
                <w:lang w:val="sk-SK"/>
              </w:rPr>
              <w:t>•Výber príspevkov zo strany spoločnosti</w:t>
            </w:r>
          </w:p>
          <w:p w14:paraId="1CB5461F" w14:textId="1190131F" w:rsidR="00BF03AA" w:rsidRPr="00326E55" w:rsidRDefault="00FB452D">
            <w:pPr>
              <w:pStyle w:val="P68B1DB1-Normal11"/>
              <w:spacing w:after="120"/>
              <w:contextualSpacing/>
              <w:rPr>
                <w:rFonts w:ascii="Times New Roman" w:hAnsi="Times New Roman"/>
                <w:noProof/>
                <w:spacing w:val="-6"/>
                <w:szCs w:val="20"/>
                <w:lang w:val="sk-SK"/>
              </w:rPr>
            </w:pPr>
            <w:r w:rsidRPr="00326E55">
              <w:rPr>
                <w:rFonts w:ascii="Times New Roman" w:hAnsi="Times New Roman"/>
                <w:noProof/>
                <w:spacing w:val="-6"/>
                <w:lang w:val="sk-SK"/>
              </w:rPr>
              <w:t>•Služby pracovníkov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w:t>
            </w:r>
            <w:r w:rsidRPr="00326E55">
              <w:rPr>
                <w:rFonts w:ascii="Times New Roman" w:hAnsi="Times New Roman"/>
                <w:noProof/>
                <w:spacing w:val="-6"/>
                <w:lang w:val="sk-SK"/>
              </w:rPr>
              <w:t>e</w:t>
            </w:r>
          </w:p>
          <w:p w14:paraId="714FE5AE" w14:textId="3B2311E8"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•Služby boja proti podvodom, korupcii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transparentnosti</w:t>
            </w:r>
          </w:p>
          <w:p w14:paraId="212B3CEC" w14:textId="31E819F3"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V uvedených inštitucionálnych oblastiach sa služby, ktoré sa majú implementovať, budú týkať digitálneho predkladania žiadostí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služby, kontroly požiadaviek na prínos, monitorovania stavu praxe </w:t>
            </w:r>
            <w:r w:rsidRPr="00326E55">
              <w:rPr>
                <w:rFonts w:ascii="Times New Roman" w:hAnsi="Times New Roman"/>
                <w:noProof/>
                <w:spacing w:val="-6"/>
                <w:lang w:val="sk-SK"/>
              </w:rPr>
              <w:t>používateľmi, proaktívneho návrhu služieb na základe potrieb používateľov, automatického obnovovania prínosov bez potreby nových aplikácií.</w:t>
            </w:r>
          </w:p>
          <w:p w14:paraId="12CCF531"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Napokon musia existovať monitorovacie prehľady, ktoré umožnia INPS monitorovať poskytované výhody, ako aj podporu ro</w:t>
            </w:r>
            <w:r w:rsidRPr="00326E55">
              <w:rPr>
                <w:rFonts w:ascii="Times New Roman" w:hAnsi="Times New Roman"/>
                <w:noProof/>
                <w:spacing w:val="-6"/>
                <w:lang w:val="sk-SK"/>
              </w:rPr>
              <w:t>zhodnutí tvorcov politík založenú na údajoch.</w:t>
            </w:r>
          </w:p>
        </w:tc>
      </w:tr>
      <w:tr w:rsidR="00BF03AA" w:rsidRPr="00326E55" w14:paraId="09E46D22" w14:textId="77777777">
        <w:trPr>
          <w:trHeight w:val="309"/>
        </w:trPr>
        <w:tc>
          <w:tcPr>
            <w:tcW w:w="1087" w:type="dxa"/>
            <w:shd w:val="clear" w:color="auto" w:fill="C6EFCE"/>
            <w:noWrap/>
            <w:vAlign w:val="center"/>
          </w:tcPr>
          <w:p w14:paraId="494D774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124</w:t>
            </w:r>
          </w:p>
        </w:tc>
        <w:tc>
          <w:tcPr>
            <w:tcW w:w="1943" w:type="dxa"/>
            <w:shd w:val="clear" w:color="auto" w:fill="C6EFCE"/>
            <w:noWrap/>
            <w:vAlign w:val="center"/>
          </w:tcPr>
          <w:p w14:paraId="3BE5FE8A" w14:textId="0C3529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1.6.3 – Digitalizácia Národného inštitútu sociálneho zabezpečenia (INPS)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Národného inštitútu poistenia proti pracovným úrazom (INAIL)</w:t>
            </w:r>
          </w:p>
        </w:tc>
        <w:tc>
          <w:tcPr>
            <w:tcW w:w="992" w:type="dxa"/>
            <w:shd w:val="clear" w:color="auto" w:fill="C6EFCE"/>
            <w:noWrap/>
            <w:vAlign w:val="center"/>
          </w:tcPr>
          <w:p w14:paraId="0162D7D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48000A0F" w14:textId="6AA51C9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INPS – Zamestnanci so zlepšenými zručnosťami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informačných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komunikačných technológií (IKT) T1</w:t>
            </w:r>
          </w:p>
        </w:tc>
        <w:tc>
          <w:tcPr>
            <w:tcW w:w="1701" w:type="dxa"/>
            <w:shd w:val="clear" w:color="auto" w:fill="C6EFCE"/>
            <w:noWrap/>
            <w:vAlign w:val="center"/>
          </w:tcPr>
          <w:p w14:paraId="448EB3F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319A2F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03247EE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417" w:type="dxa"/>
            <w:shd w:val="clear" w:color="auto" w:fill="C6EFCE"/>
            <w:noWrap/>
            <w:vAlign w:val="center"/>
          </w:tcPr>
          <w:p w14:paraId="2A25497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4 250</w:t>
            </w:r>
          </w:p>
        </w:tc>
        <w:tc>
          <w:tcPr>
            <w:tcW w:w="793" w:type="dxa"/>
            <w:shd w:val="clear" w:color="auto" w:fill="C6EFCE"/>
            <w:noWrap/>
            <w:vAlign w:val="center"/>
          </w:tcPr>
          <w:p w14:paraId="737F78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7C50E22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584" w:type="dxa"/>
            <w:shd w:val="clear" w:color="auto" w:fill="C6EFCE"/>
            <w:noWrap/>
            <w:vAlign w:val="center"/>
          </w:tcPr>
          <w:p w14:paraId="46005851" w14:textId="3D902DB4"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Najmenej 4250 zamestnancov INPS hodnotených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hľadiska ich informácií</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certifikovanými zlepšenými zručnosťami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týchto oblastiach európskeho rámca </w:t>
            </w:r>
            <w:r w:rsidRPr="00326E55">
              <w:rPr>
                <w:rFonts w:ascii="Times New Roman" w:hAnsi="Times New Roman"/>
                <w:noProof/>
                <w:spacing w:val="-6"/>
                <w:lang w:val="sk-SK"/>
              </w:rPr>
              <w:t>elektronických kompetencií: I) plán; II)stavba; III) Run iv) použiteľné; v) riadenie.</w:t>
            </w:r>
          </w:p>
          <w:p w14:paraId="16490228"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Oblasti na zlepšenie kompetencií sa určia podľa cieľovej skupiny vzdelávajúcich sa osôb.</w:t>
            </w:r>
          </w:p>
        </w:tc>
      </w:tr>
      <w:tr w:rsidR="00BF03AA" w:rsidRPr="00326E55" w14:paraId="51709874" w14:textId="77777777">
        <w:trPr>
          <w:trHeight w:val="309"/>
        </w:trPr>
        <w:tc>
          <w:tcPr>
            <w:tcW w:w="1087" w:type="dxa"/>
            <w:shd w:val="clear" w:color="auto" w:fill="C6EFCE"/>
            <w:noWrap/>
            <w:vAlign w:val="center"/>
          </w:tcPr>
          <w:p w14:paraId="1B3B787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125</w:t>
            </w:r>
          </w:p>
        </w:tc>
        <w:tc>
          <w:tcPr>
            <w:tcW w:w="1943" w:type="dxa"/>
            <w:shd w:val="clear" w:color="auto" w:fill="C6EFCE"/>
            <w:noWrap/>
            <w:vAlign w:val="center"/>
          </w:tcPr>
          <w:p w14:paraId="538908C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1.2 – Umožnenie cloud computingu pre miestnu platobnú </w:t>
            </w:r>
            <w:r w:rsidRPr="00326E55">
              <w:rPr>
                <w:rFonts w:ascii="Times New Roman" w:hAnsi="Times New Roman"/>
                <w:noProof/>
                <w:spacing w:val="-6"/>
                <w:lang w:val="sk-SK"/>
              </w:rPr>
              <w:t>agentúru</w:t>
            </w:r>
          </w:p>
        </w:tc>
        <w:tc>
          <w:tcPr>
            <w:tcW w:w="992" w:type="dxa"/>
            <w:shd w:val="clear" w:color="auto" w:fill="C6EFCE"/>
            <w:noWrap/>
            <w:vAlign w:val="center"/>
          </w:tcPr>
          <w:p w14:paraId="4B239AA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2126" w:type="dxa"/>
            <w:shd w:val="clear" w:color="auto" w:fill="C6EFCE"/>
            <w:noWrap/>
            <w:vAlign w:val="center"/>
          </w:tcPr>
          <w:p w14:paraId="2FF1E8DE" w14:textId="35629A6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Zadanie (všetkých) verejných výziev na predkladanie ponúk</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cloud computingu pre miestnu verejnú správu</w:t>
            </w:r>
          </w:p>
        </w:tc>
        <w:tc>
          <w:tcPr>
            <w:tcW w:w="1701" w:type="dxa"/>
            <w:shd w:val="clear" w:color="auto" w:fill="C6EFCE"/>
            <w:noWrap/>
            <w:vAlign w:val="center"/>
          </w:tcPr>
          <w:p w14:paraId="6E7F5673" w14:textId="7D43DF9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umožnenie cloudu pre verejné súťaže miestnej verejnej správy</w:t>
            </w:r>
          </w:p>
        </w:tc>
        <w:tc>
          <w:tcPr>
            <w:tcW w:w="1134" w:type="dxa"/>
            <w:shd w:val="clear" w:color="auto" w:fill="C6EFCE"/>
            <w:noWrap/>
            <w:vAlign w:val="center"/>
          </w:tcPr>
          <w:p w14:paraId="262476C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5FECC9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19F7D8A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93" w:type="dxa"/>
            <w:shd w:val="clear" w:color="auto" w:fill="C6EFCE"/>
            <w:noWrap/>
            <w:vAlign w:val="center"/>
          </w:tcPr>
          <w:p w14:paraId="543F3CC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625" w:type="dxa"/>
            <w:shd w:val="clear" w:color="auto" w:fill="C6EFCE"/>
            <w:noWrap/>
            <w:vAlign w:val="center"/>
          </w:tcPr>
          <w:p w14:paraId="190BB4C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7121F965" w14:textId="481B91EF"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udelení (všetkých) verejných výziev pre každý typ verejnej správy (obce, školy, miestne zdravotnícke agentúry) na zhromažďovanie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posudzovanie migračných plánov. Vydanie troch cielených výziev umožní </w:t>
            </w:r>
            <w:r w:rsidRPr="00326E55">
              <w:rPr>
                <w:rFonts w:ascii="Times New Roman" w:hAnsi="Times New Roman"/>
                <w:noProof/>
                <w:spacing w:val="-6"/>
                <w:lang w:val="sk-SK"/>
              </w:rPr>
              <w:t>ministerstvu pre technologické inovácie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digitálnu transformáciu posúdiť veľmi špecifické potreby každého typu dotknutej verejnej správy.</w:t>
            </w:r>
          </w:p>
          <w:p w14:paraId="3F699B1E" w14:textId="044BA0A8"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Zadané verejné súťaže (t. j. uverejnenie zoznamu orgánov verejnej správy, ktoré boli prijaté na získanie finančných p</w:t>
            </w:r>
            <w:r w:rsidRPr="00326E55">
              <w:rPr>
                <w:rFonts w:ascii="Times New Roman" w:hAnsi="Times New Roman"/>
                <w:noProof/>
                <w:spacing w:val="-6"/>
                <w:lang w:val="sk-SK"/>
              </w:rPr>
              <w:t>rostriedkov) týkajúce sa troch verejných výziev na predkladanie návrhov pre obce,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miestne zdravotnícke agentúry na zhromažďovanie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posudzovanie migračných plánov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w:t>
            </w:r>
            <w:r w:rsidRPr="00326E55">
              <w:rPr>
                <w:rFonts w:ascii="Times New Roman" w:hAnsi="Times New Roman"/>
                <w:noProof/>
                <w:spacing w:val="-6"/>
                <w:lang w:val="sk-SK"/>
              </w:rPr>
              <w:t>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79DDC58D" w14:textId="77777777">
        <w:trPr>
          <w:trHeight w:val="309"/>
        </w:trPr>
        <w:tc>
          <w:tcPr>
            <w:tcW w:w="1087" w:type="dxa"/>
            <w:shd w:val="clear" w:color="auto" w:fill="C6EFCE"/>
            <w:noWrap/>
            <w:vAlign w:val="center"/>
          </w:tcPr>
          <w:p w14:paraId="679569B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126</w:t>
            </w:r>
          </w:p>
        </w:tc>
        <w:tc>
          <w:tcPr>
            <w:tcW w:w="1943" w:type="dxa"/>
            <w:shd w:val="clear" w:color="auto" w:fill="C6EFCE"/>
            <w:noWrap/>
            <w:vAlign w:val="center"/>
          </w:tcPr>
          <w:p w14:paraId="6A056792" w14:textId="2CF0BDE6"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1.4.3 – Prijatie rozšírenia platformových služieb PagoPA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aplikácie „IO“</w:t>
            </w:r>
          </w:p>
        </w:tc>
        <w:tc>
          <w:tcPr>
            <w:tcW w:w="992" w:type="dxa"/>
            <w:shd w:val="clear" w:color="auto" w:fill="C6EFCE"/>
            <w:noWrap/>
            <w:vAlign w:val="center"/>
          </w:tcPr>
          <w:p w14:paraId="6C6340E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36BEABB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Rozšírenie využívania platformových služieb PagoPA T1</w:t>
            </w:r>
          </w:p>
        </w:tc>
        <w:tc>
          <w:tcPr>
            <w:tcW w:w="1701" w:type="dxa"/>
            <w:shd w:val="clear" w:color="auto" w:fill="C6EFCE"/>
            <w:noWrap/>
            <w:vAlign w:val="center"/>
          </w:tcPr>
          <w:p w14:paraId="4BCEBA2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54C7BA1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0D39E07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9 000</w:t>
            </w:r>
          </w:p>
        </w:tc>
        <w:tc>
          <w:tcPr>
            <w:tcW w:w="1417" w:type="dxa"/>
            <w:shd w:val="clear" w:color="auto" w:fill="C6EFCE"/>
            <w:noWrap/>
            <w:vAlign w:val="center"/>
          </w:tcPr>
          <w:p w14:paraId="0065EBB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11 450 </w:t>
            </w:r>
          </w:p>
        </w:tc>
        <w:tc>
          <w:tcPr>
            <w:tcW w:w="793" w:type="dxa"/>
            <w:shd w:val="clear" w:color="auto" w:fill="C6EFCE"/>
            <w:noWrap/>
            <w:vAlign w:val="center"/>
          </w:tcPr>
          <w:p w14:paraId="61115A5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71C3D4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00A94A7D"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Zabezpečiť zvýšenie počtu služieb integrovaných do platformy pre:</w:t>
            </w:r>
          </w:p>
          <w:p w14:paraId="799B5754"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 orgány verejnej správy už vo východiskovom scenári (9000 </w:t>
            </w:r>
            <w:r w:rsidRPr="00326E55">
              <w:rPr>
                <w:rFonts w:ascii="Times New Roman" w:hAnsi="Times New Roman"/>
                <w:noProof/>
                <w:spacing w:val="-6"/>
                <w:lang w:val="sk-SK"/>
              </w:rPr>
              <w:t>subjektov)</w:t>
            </w:r>
          </w:p>
          <w:p w14:paraId="57721B04"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 vstup nových orgánov verejnej správy do platformy (2450 nových subjektov).</w:t>
            </w:r>
          </w:p>
          <w:p w14:paraId="4F83443D" w14:textId="7B80AA84"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V oboch prípadoch sa celkový počet služieb verejnej správy, ktoré sa pripojili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platforme, musí zvýšiť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20</w:t>
            </w:r>
            <w:r w:rsidR="00326E55" w:rsidRPr="00326E55">
              <w:rPr>
                <w:rFonts w:ascii="Times New Roman" w:hAnsi="Times New Roman"/>
                <w:noProof/>
                <w:spacing w:val="-6"/>
                <w:lang w:val="sk-SK"/>
              </w:rPr>
              <w:t> % v </w:t>
            </w:r>
            <w:r w:rsidRPr="00326E55">
              <w:rPr>
                <w:rFonts w:ascii="Times New Roman" w:hAnsi="Times New Roman"/>
                <w:noProof/>
                <w:spacing w:val="-6"/>
                <w:lang w:val="sk-SK"/>
              </w:rPr>
              <w:t>porovnaní so základným scenárom služieb na rok 20</w:t>
            </w:r>
            <w:r w:rsidRPr="00326E55">
              <w:rPr>
                <w:rFonts w:ascii="Times New Roman" w:hAnsi="Times New Roman"/>
                <w:noProof/>
                <w:spacing w:val="-6"/>
                <w:lang w:val="sk-SK"/>
              </w:rPr>
              <w:t>21 (31. 3. 2021). Počet služieb, ktoré sa majú integrovať, závisí od typu správy (konečný cieľ na rok 2026 je mať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priemere 35 služieb pre obce, 15 služieb pre regióny, 15 služieb pre zdravotnícke orgány, 8 služieb pre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univerzity).</w:t>
            </w:r>
          </w:p>
        </w:tc>
      </w:tr>
      <w:tr w:rsidR="00BF03AA" w:rsidRPr="00326E55" w14:paraId="67341C36" w14:textId="77777777">
        <w:trPr>
          <w:trHeight w:val="309"/>
        </w:trPr>
        <w:tc>
          <w:tcPr>
            <w:tcW w:w="1087" w:type="dxa"/>
            <w:shd w:val="clear" w:color="auto" w:fill="C6EFCE"/>
            <w:noWrap/>
            <w:vAlign w:val="center"/>
          </w:tcPr>
          <w:p w14:paraId="4BF0B9E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127</w:t>
            </w:r>
          </w:p>
        </w:tc>
        <w:tc>
          <w:tcPr>
            <w:tcW w:w="1943" w:type="dxa"/>
            <w:shd w:val="clear" w:color="auto" w:fill="C6EFCE"/>
            <w:noWrap/>
            <w:vAlign w:val="center"/>
          </w:tcPr>
          <w:p w14:paraId="6D194469" w14:textId="36613681"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1.4.3 – Prijatie rozšírenia platformových služieb PagoPA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aplikácie „IO“</w:t>
            </w:r>
          </w:p>
        </w:tc>
        <w:tc>
          <w:tcPr>
            <w:tcW w:w="992" w:type="dxa"/>
            <w:shd w:val="clear" w:color="auto" w:fill="C6EFCE"/>
            <w:noWrap/>
            <w:vAlign w:val="center"/>
          </w:tcPr>
          <w:p w14:paraId="7D625A6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41329E0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Rozšírenie adopcie aplikácie T1</w:t>
            </w:r>
          </w:p>
        </w:tc>
        <w:tc>
          <w:tcPr>
            <w:tcW w:w="1701" w:type="dxa"/>
            <w:shd w:val="clear" w:color="auto" w:fill="C6EFCE"/>
            <w:noWrap/>
            <w:vAlign w:val="center"/>
          </w:tcPr>
          <w:p w14:paraId="4DE6059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0C71DD9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074E618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2 700</w:t>
            </w:r>
          </w:p>
        </w:tc>
        <w:tc>
          <w:tcPr>
            <w:tcW w:w="1417" w:type="dxa"/>
            <w:shd w:val="clear" w:color="auto" w:fill="C6EFCE"/>
            <w:noWrap/>
            <w:vAlign w:val="center"/>
          </w:tcPr>
          <w:p w14:paraId="6500BEC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7 000</w:t>
            </w:r>
          </w:p>
        </w:tc>
        <w:tc>
          <w:tcPr>
            <w:tcW w:w="793" w:type="dxa"/>
            <w:shd w:val="clear" w:color="auto" w:fill="C6EFCE"/>
            <w:noWrap/>
            <w:vAlign w:val="center"/>
          </w:tcPr>
          <w:p w14:paraId="68A2C0D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46CDB47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5C909BA2"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Zabezpečiť zvýšenie počtu služieb začlenených do IZ „Žiadosť o:</w:t>
            </w:r>
          </w:p>
          <w:p w14:paraId="32AF795C"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xml:space="preserve">— orgány verejnej </w:t>
            </w:r>
            <w:r w:rsidRPr="00326E55">
              <w:rPr>
                <w:rFonts w:ascii="Times New Roman" w:hAnsi="Times New Roman"/>
                <w:noProof/>
                <w:spacing w:val="-6"/>
                <w:lang w:val="sk-SK"/>
              </w:rPr>
              <w:t>správy už vo východiskovom scenári (2700 subjektov)</w:t>
            </w:r>
          </w:p>
          <w:p w14:paraId="10CF7A4B" w14:textId="67E6649E"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nové orgány verejnej správy sa pripojili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platforme (4300 nových subjektov).</w:t>
            </w:r>
          </w:p>
          <w:p w14:paraId="029347BF" w14:textId="1F66AFF4"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V oboch prípadoch sa celkový počet služieb verejnej správy, ktoré sa pripojili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platforme, musí zvýšiť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20</w:t>
            </w:r>
            <w:r w:rsidR="00326E55" w:rsidRPr="00326E55">
              <w:rPr>
                <w:rFonts w:ascii="Times New Roman" w:hAnsi="Times New Roman"/>
                <w:noProof/>
                <w:spacing w:val="-6"/>
                <w:lang w:val="sk-SK"/>
              </w:rPr>
              <w:t> % v </w:t>
            </w:r>
            <w:r w:rsidRPr="00326E55">
              <w:rPr>
                <w:rFonts w:ascii="Times New Roman" w:hAnsi="Times New Roman"/>
                <w:noProof/>
                <w:spacing w:val="-6"/>
                <w:lang w:val="sk-SK"/>
              </w:rPr>
              <w:t>porov</w:t>
            </w:r>
            <w:r w:rsidRPr="00326E55">
              <w:rPr>
                <w:rFonts w:ascii="Times New Roman" w:hAnsi="Times New Roman"/>
                <w:noProof/>
                <w:spacing w:val="-6"/>
                <w:lang w:val="sk-SK"/>
              </w:rPr>
              <w:t>naní so základným scenárom služieb na rok 2021 (31. 3. 2021). Počet služieb, ktoré sa majú integrovať, závisí od typu správy (konečný cieľ na rok 2026 je mať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priemere 35 služieb pre obce, 15 služieb pre regióny, 15 služieb pre zdravotnícke orgány, 8 služ</w:t>
            </w:r>
            <w:r w:rsidRPr="00326E55">
              <w:rPr>
                <w:rFonts w:ascii="Times New Roman" w:hAnsi="Times New Roman"/>
                <w:noProof/>
                <w:spacing w:val="-6"/>
                <w:lang w:val="sk-SK"/>
              </w:rPr>
              <w:t>ieb pre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univerzity).</w:t>
            </w:r>
          </w:p>
        </w:tc>
      </w:tr>
      <w:tr w:rsidR="00BF03AA" w:rsidRPr="00326E55" w14:paraId="6EDFFC6F" w14:textId="77777777">
        <w:trPr>
          <w:trHeight w:val="309"/>
        </w:trPr>
        <w:tc>
          <w:tcPr>
            <w:tcW w:w="1087" w:type="dxa"/>
            <w:shd w:val="clear" w:color="auto" w:fill="C6EFCE"/>
            <w:noWrap/>
            <w:vAlign w:val="center"/>
          </w:tcPr>
          <w:p w14:paraId="552B3BC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128</w:t>
            </w:r>
          </w:p>
        </w:tc>
        <w:tc>
          <w:tcPr>
            <w:tcW w:w="1943" w:type="dxa"/>
            <w:shd w:val="clear" w:color="auto" w:fill="C6EFCE"/>
            <w:noWrap/>
            <w:vAlign w:val="center"/>
          </w:tcPr>
          <w:p w14:paraId="76A225C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1.4.5 – Digitalizácia verejných oznamov</w:t>
            </w:r>
          </w:p>
        </w:tc>
        <w:tc>
          <w:tcPr>
            <w:tcW w:w="992" w:type="dxa"/>
            <w:shd w:val="clear" w:color="auto" w:fill="C6EFCE"/>
            <w:noWrap/>
            <w:vAlign w:val="center"/>
          </w:tcPr>
          <w:p w14:paraId="45910CC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68A3158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Rozšírenie počtu digitálnych verejných oznámení T1</w:t>
            </w:r>
          </w:p>
        </w:tc>
        <w:tc>
          <w:tcPr>
            <w:tcW w:w="1701" w:type="dxa"/>
            <w:shd w:val="clear" w:color="auto" w:fill="C6EFCE"/>
            <w:noWrap/>
            <w:vAlign w:val="center"/>
          </w:tcPr>
          <w:p w14:paraId="537D34C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055EAF9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1C8383B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417" w:type="dxa"/>
            <w:shd w:val="clear" w:color="auto" w:fill="C6EFCE"/>
            <w:noWrap/>
            <w:vAlign w:val="center"/>
          </w:tcPr>
          <w:p w14:paraId="7C608BA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800</w:t>
            </w:r>
          </w:p>
        </w:tc>
        <w:tc>
          <w:tcPr>
            <w:tcW w:w="793" w:type="dxa"/>
            <w:shd w:val="clear" w:color="auto" w:fill="C6EFCE"/>
            <w:noWrap/>
            <w:vAlign w:val="center"/>
          </w:tcPr>
          <w:p w14:paraId="1EDA316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33A6FF6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28A22130" w14:textId="4747AED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Najmenej 800 ústredných orgánov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obcí, pokiaľ </w:t>
            </w:r>
            <w:r w:rsidRPr="00326E55">
              <w:rPr>
                <w:rFonts w:ascii="Times New Roman" w:hAnsi="Times New Roman"/>
                <w:noProof/>
                <w:spacing w:val="-6"/>
                <w:lang w:val="sk-SK"/>
              </w:rPr>
              <w:t>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platformu digitálneho oznamovania, poskytuje občanom, právnym subjektom, združeniam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akýmkoľvek iným verejným alebo súkromným subjektom digitálne právne záväzné oznámenia.</w:t>
            </w:r>
          </w:p>
        </w:tc>
      </w:tr>
      <w:tr w:rsidR="00BF03AA" w:rsidRPr="00326E55" w14:paraId="05933BF8" w14:textId="77777777">
        <w:trPr>
          <w:trHeight w:val="309"/>
        </w:trPr>
        <w:tc>
          <w:tcPr>
            <w:tcW w:w="1087" w:type="dxa"/>
            <w:shd w:val="clear" w:color="auto" w:fill="C6EFCE"/>
            <w:noWrap/>
            <w:vAlign w:val="center"/>
          </w:tcPr>
          <w:p w14:paraId="21E431E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129</w:t>
            </w:r>
          </w:p>
        </w:tc>
        <w:tc>
          <w:tcPr>
            <w:tcW w:w="1943" w:type="dxa"/>
            <w:shd w:val="clear" w:color="auto" w:fill="C6EFCE"/>
            <w:noWrap/>
            <w:vAlign w:val="center"/>
          </w:tcPr>
          <w:p w14:paraId="4A5B1CE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1.6.1 – Digitalizácia ministerstva vnútra</w:t>
            </w:r>
          </w:p>
        </w:tc>
        <w:tc>
          <w:tcPr>
            <w:tcW w:w="992" w:type="dxa"/>
            <w:shd w:val="clear" w:color="auto" w:fill="C6EFCE"/>
            <w:noWrap/>
            <w:vAlign w:val="center"/>
          </w:tcPr>
          <w:p w14:paraId="24705CF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05AAB55D" w14:textId="568AAB8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Ministerstvo vnútra – Úplne rekonštruované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digitalizované procesy T1</w:t>
            </w:r>
          </w:p>
        </w:tc>
        <w:tc>
          <w:tcPr>
            <w:tcW w:w="1701" w:type="dxa"/>
            <w:shd w:val="clear" w:color="auto" w:fill="C6EFCE"/>
            <w:noWrap/>
            <w:vAlign w:val="center"/>
          </w:tcPr>
          <w:p w14:paraId="00FC778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7081EE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43B20A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417" w:type="dxa"/>
            <w:shd w:val="clear" w:color="auto" w:fill="C6EFCE"/>
            <w:noWrap/>
            <w:vAlign w:val="center"/>
          </w:tcPr>
          <w:p w14:paraId="204518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w:t>
            </w:r>
          </w:p>
        </w:tc>
        <w:tc>
          <w:tcPr>
            <w:tcW w:w="793" w:type="dxa"/>
            <w:shd w:val="clear" w:color="auto" w:fill="C6EFCE"/>
            <w:noWrap/>
            <w:vAlign w:val="center"/>
          </w:tcPr>
          <w:p w14:paraId="15CC00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4E34D92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5C7B69B5" w14:textId="5A5EB68F"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Úplne zrekonštruované vnútorné postupy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procesy (spolu 7 procesov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2023), ktoré možno úplne dokončiť online (ako je automatizácia administratívy, služby mobility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elektronické vzdelávanie).</w:t>
            </w:r>
          </w:p>
        </w:tc>
      </w:tr>
      <w:tr w:rsidR="00BF03AA" w:rsidRPr="00326E55" w14:paraId="2204764B" w14:textId="77777777">
        <w:trPr>
          <w:trHeight w:val="309"/>
        </w:trPr>
        <w:tc>
          <w:tcPr>
            <w:tcW w:w="1087" w:type="dxa"/>
            <w:shd w:val="clear" w:color="auto" w:fill="C6EFCE"/>
            <w:noWrap/>
            <w:vAlign w:val="center"/>
          </w:tcPr>
          <w:p w14:paraId="7C704C3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130</w:t>
            </w:r>
          </w:p>
        </w:tc>
        <w:tc>
          <w:tcPr>
            <w:tcW w:w="1943" w:type="dxa"/>
            <w:shd w:val="clear" w:color="auto" w:fill="C6EFCE"/>
            <w:noWrap/>
            <w:vAlign w:val="center"/>
          </w:tcPr>
          <w:p w14:paraId="7B27EF5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1.6.2 – Digitalizácia ministerstva spravodlivosti</w:t>
            </w:r>
          </w:p>
        </w:tc>
        <w:tc>
          <w:tcPr>
            <w:tcW w:w="992" w:type="dxa"/>
            <w:shd w:val="clear" w:color="auto" w:fill="C6EFCE"/>
            <w:noWrap/>
            <w:vAlign w:val="center"/>
          </w:tcPr>
          <w:p w14:paraId="4616642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640C19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Digitalizované súdne spisy T1</w:t>
            </w:r>
          </w:p>
        </w:tc>
        <w:tc>
          <w:tcPr>
            <w:tcW w:w="1701" w:type="dxa"/>
            <w:shd w:val="clear" w:color="auto" w:fill="C6EFCE"/>
            <w:noWrap/>
            <w:vAlign w:val="center"/>
          </w:tcPr>
          <w:p w14:paraId="3F36A4C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2E5D7BB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5360894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417" w:type="dxa"/>
            <w:shd w:val="clear" w:color="auto" w:fill="C6EFCE"/>
            <w:noWrap/>
            <w:vAlign w:val="center"/>
          </w:tcPr>
          <w:p w14:paraId="39803D0B" w14:textId="77777777" w:rsidR="00BF03AA" w:rsidRPr="00326E55" w:rsidRDefault="00FB452D">
            <w:pPr>
              <w:pStyle w:val="P68B1DB1-Normal21"/>
              <w:jc w:val="center"/>
              <w:rPr>
                <w:rFonts w:ascii="Times New Roman" w:hAnsi="Times New Roman"/>
                <w:noProof/>
                <w:spacing w:val="-6"/>
                <w:szCs w:val="20"/>
                <w:lang w:val="sk-SK"/>
              </w:rPr>
            </w:pPr>
            <w:r w:rsidRPr="00326E55">
              <w:rPr>
                <w:rFonts w:ascii="Times New Roman" w:hAnsi="Times New Roman"/>
                <w:noProof/>
                <w:spacing w:val="-6"/>
                <w:lang w:val="sk-SK"/>
              </w:rPr>
              <w:t>3 500</w:t>
            </w:r>
            <w:r w:rsidRPr="00326E55">
              <w:rPr>
                <w:rFonts w:ascii="Times New Roman" w:hAnsi="Times New Roman" w:hint="eastAsia"/>
                <w:noProof/>
                <w:spacing w:val="-6"/>
                <w:lang w:val="sk-SK"/>
              </w:rPr>
              <w:t xml:space="preserve"> 000</w:t>
            </w:r>
          </w:p>
        </w:tc>
        <w:tc>
          <w:tcPr>
            <w:tcW w:w="793" w:type="dxa"/>
            <w:shd w:val="clear" w:color="auto" w:fill="C6EFCE"/>
            <w:noWrap/>
            <w:vAlign w:val="center"/>
          </w:tcPr>
          <w:p w14:paraId="07B2A25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6B09D6A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737D1E68" w14:textId="082A4EE3" w:rsidR="00BF03AA" w:rsidRPr="00326E55" w:rsidRDefault="00FB452D">
            <w:pPr>
              <w:pStyle w:val="P68B1DB1-Normal22"/>
              <w:spacing w:after="120"/>
              <w:rPr>
                <w:rFonts w:ascii="Times New Roman" w:hAnsi="Times New Roman" w:hint="default"/>
                <w:noProof/>
                <w:spacing w:val="-6"/>
                <w:lang w:val="sk-SK"/>
              </w:rPr>
            </w:pPr>
            <w:r w:rsidRPr="00326E55">
              <w:rPr>
                <w:rFonts w:ascii="Times New Roman" w:hAnsi="Times New Roman"/>
                <w:noProof/>
                <w:spacing w:val="-6"/>
                <w:lang w:val="sk-SK"/>
              </w:rPr>
              <w:t>Digitalizácia 3500000 súdnych spisov za posledných 20 rokov (od 1. 1. 2006 do 30. 6. 2026)</w:t>
            </w:r>
            <w:r w:rsidR="00326E55" w:rsidRPr="00326E55">
              <w:rPr>
                <w:rFonts w:ascii="Times New Roman" w:hAnsi="Times New Roman"/>
                <w:noProof/>
                <w:spacing w:val="-6"/>
                <w:lang w:val="sk-SK"/>
              </w:rPr>
              <w:t xml:space="preserve"> v</w:t>
            </w:r>
            <w:r w:rsidR="00326E55" w:rsidRPr="00326E55">
              <w:rPr>
                <w:rFonts w:ascii="Times New Roman" w:hAnsi="Times New Roman" w:hint="default"/>
                <w:noProof/>
                <w:spacing w:val="-6"/>
                <w:lang w:val="sk-SK"/>
              </w:rPr>
              <w:t>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w:t>
            </w:r>
            <w:r w:rsidR="00326E55" w:rsidRPr="00326E55">
              <w:rPr>
                <w:rFonts w:ascii="Times New Roman" w:hAnsi="Times New Roman" w:hint="default"/>
                <w:noProof/>
                <w:spacing w:val="-6"/>
                <w:lang w:val="sk-SK"/>
              </w:rPr>
              <w:t> </w:t>
            </w:r>
            <w:r w:rsidRPr="00326E55">
              <w:rPr>
                <w:rFonts w:ascii="Times New Roman" w:hAnsi="Times New Roman"/>
                <w:noProof/>
                <w:spacing w:val="-6"/>
                <w:lang w:val="sk-SK"/>
              </w:rPr>
              <w:t>ukončenými alebo prebiehajúcimi súdnymi konaniami na súdoch.</w:t>
            </w:r>
          </w:p>
        </w:tc>
      </w:tr>
      <w:tr w:rsidR="00BF03AA" w:rsidRPr="00326E55" w14:paraId="068F25DD" w14:textId="77777777">
        <w:trPr>
          <w:trHeight w:val="309"/>
        </w:trPr>
        <w:tc>
          <w:tcPr>
            <w:tcW w:w="1087" w:type="dxa"/>
            <w:shd w:val="clear" w:color="auto" w:fill="C6EFCE"/>
            <w:noWrap/>
            <w:vAlign w:val="center"/>
          </w:tcPr>
          <w:p w14:paraId="203ACE2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131</w:t>
            </w:r>
          </w:p>
        </w:tc>
        <w:tc>
          <w:tcPr>
            <w:tcW w:w="1943" w:type="dxa"/>
            <w:shd w:val="clear" w:color="auto" w:fill="C6EFCE"/>
            <w:noWrap/>
            <w:vAlign w:val="center"/>
          </w:tcPr>
          <w:p w14:paraId="0B0261E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1.6.2 – Digitalizácia ministerstva </w:t>
            </w:r>
            <w:r w:rsidRPr="00326E55">
              <w:rPr>
                <w:rFonts w:ascii="Times New Roman" w:hAnsi="Times New Roman"/>
                <w:noProof/>
                <w:spacing w:val="-6"/>
                <w:lang w:val="sk-SK"/>
              </w:rPr>
              <w:t>spravodlivosti</w:t>
            </w:r>
          </w:p>
        </w:tc>
        <w:tc>
          <w:tcPr>
            <w:tcW w:w="992" w:type="dxa"/>
            <w:shd w:val="clear" w:color="auto" w:fill="C6EFCE"/>
            <w:noWrap/>
            <w:vAlign w:val="center"/>
          </w:tcPr>
          <w:p w14:paraId="7573220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2126" w:type="dxa"/>
            <w:shd w:val="clear" w:color="auto" w:fill="C6EFCE"/>
            <w:noWrap/>
            <w:vAlign w:val="center"/>
          </w:tcPr>
          <w:p w14:paraId="5CEC4B9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Vedomostné systémy justičného dátového jazera T1</w:t>
            </w:r>
          </w:p>
        </w:tc>
        <w:tc>
          <w:tcPr>
            <w:tcW w:w="1701" w:type="dxa"/>
            <w:shd w:val="clear" w:color="auto" w:fill="C6EFCE"/>
            <w:noWrap/>
            <w:vAlign w:val="center"/>
          </w:tcPr>
          <w:p w14:paraId="701CC7C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Správa potvrdzujúca začiatok plnenia zmluvy</w:t>
            </w:r>
          </w:p>
        </w:tc>
        <w:tc>
          <w:tcPr>
            <w:tcW w:w="1134" w:type="dxa"/>
            <w:shd w:val="clear" w:color="auto" w:fill="C6EFCE"/>
            <w:noWrap/>
            <w:vAlign w:val="center"/>
          </w:tcPr>
          <w:p w14:paraId="1B291B0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2FE873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499691F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93" w:type="dxa"/>
            <w:shd w:val="clear" w:color="auto" w:fill="C6EFCE"/>
            <w:noWrap/>
            <w:vAlign w:val="center"/>
          </w:tcPr>
          <w:p w14:paraId="3069842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5B00599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377A9668"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 xml:space="preserve">Začiatok plnenia zmluvy na realizáciu šiestich nových znalostných systémov dátového </w:t>
            </w:r>
            <w:r w:rsidRPr="00326E55">
              <w:rPr>
                <w:rFonts w:ascii="Times New Roman" w:hAnsi="Times New Roman"/>
                <w:noProof/>
                <w:spacing w:val="-6"/>
                <w:lang w:val="sk-SK"/>
              </w:rPr>
              <w:t>jazera:</w:t>
            </w:r>
          </w:p>
          <w:p w14:paraId="74E8DA5C" w14:textId="096D2301" w:rsidR="00BF03AA" w:rsidRPr="00326E55" w:rsidRDefault="00FB452D">
            <w:pPr>
              <w:pStyle w:val="P68B1DB1-ListParagraph15"/>
              <w:numPr>
                <w:ilvl w:val="0"/>
                <w:numId w:val="54"/>
              </w:numPr>
              <w:spacing w:after="120" w:line="240" w:lineRule="auto"/>
              <w:ind w:left="357" w:hanging="357"/>
              <w:rPr>
                <w:rFonts w:ascii="Times New Roman" w:hAnsi="Times New Roman"/>
                <w:noProof/>
                <w:spacing w:val="-6"/>
                <w:szCs w:val="20"/>
                <w:lang w:val="sk-SK"/>
              </w:rPr>
            </w:pPr>
            <w:r w:rsidRPr="00326E55">
              <w:rPr>
                <w:rFonts w:ascii="Times New Roman" w:hAnsi="Times New Roman"/>
                <w:noProof/>
                <w:spacing w:val="-6"/>
                <w:lang w:val="sk-SK"/>
              </w:rPr>
              <w:t>Systém anonymizácie občianskoprávnych trestov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trestov za trestné činy</w:t>
            </w:r>
          </w:p>
          <w:p w14:paraId="240DFFAC" w14:textId="77777777" w:rsidR="00BF03AA" w:rsidRPr="00326E55" w:rsidRDefault="00FB452D">
            <w:pPr>
              <w:pStyle w:val="P68B1DB1-ListParagraph15"/>
              <w:numPr>
                <w:ilvl w:val="0"/>
                <w:numId w:val="54"/>
              </w:numPr>
              <w:spacing w:after="120" w:line="240" w:lineRule="auto"/>
              <w:ind w:left="357" w:hanging="357"/>
              <w:rPr>
                <w:rFonts w:ascii="Times New Roman" w:hAnsi="Times New Roman"/>
                <w:noProof/>
                <w:spacing w:val="-6"/>
                <w:szCs w:val="20"/>
                <w:lang w:val="sk-SK"/>
              </w:rPr>
            </w:pPr>
            <w:r w:rsidRPr="00326E55">
              <w:rPr>
                <w:rFonts w:ascii="Times New Roman" w:hAnsi="Times New Roman"/>
                <w:noProof/>
                <w:spacing w:val="-6"/>
                <w:lang w:val="sk-SK"/>
              </w:rPr>
              <w:t>Integrovaný systém riadenia</w:t>
            </w:r>
          </w:p>
          <w:p w14:paraId="481633E3" w14:textId="6EC04C53" w:rsidR="00BF03AA" w:rsidRPr="00326E55" w:rsidRDefault="00FB452D">
            <w:pPr>
              <w:pStyle w:val="P68B1DB1-ListParagraph15"/>
              <w:numPr>
                <w:ilvl w:val="0"/>
                <w:numId w:val="54"/>
              </w:numPr>
              <w:spacing w:after="120" w:line="240" w:lineRule="auto"/>
              <w:ind w:left="357" w:hanging="357"/>
              <w:rPr>
                <w:rFonts w:ascii="Times New Roman" w:hAnsi="Times New Roman"/>
                <w:noProof/>
                <w:spacing w:val="-6"/>
                <w:szCs w:val="20"/>
                <w:lang w:val="sk-SK"/>
              </w:rPr>
            </w:pPr>
            <w:r w:rsidRPr="00326E55">
              <w:rPr>
                <w:rFonts w:ascii="Times New Roman" w:hAnsi="Times New Roman"/>
                <w:noProof/>
                <w:spacing w:val="-6"/>
                <w:lang w:val="sk-SK"/>
              </w:rPr>
              <w:t>Systém 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analýzy civilných súdnych konaní</w:t>
            </w:r>
          </w:p>
          <w:p w14:paraId="16D17378" w14:textId="5A019CF6" w:rsidR="00BF03AA" w:rsidRPr="00326E55" w:rsidRDefault="00FB452D">
            <w:pPr>
              <w:pStyle w:val="P68B1DB1-ListParagraph15"/>
              <w:numPr>
                <w:ilvl w:val="0"/>
                <w:numId w:val="54"/>
              </w:numPr>
              <w:spacing w:after="120" w:line="240" w:lineRule="auto"/>
              <w:ind w:left="357" w:hanging="357"/>
              <w:rPr>
                <w:rFonts w:ascii="Times New Roman" w:hAnsi="Times New Roman"/>
                <w:noProof/>
                <w:spacing w:val="-6"/>
                <w:szCs w:val="20"/>
                <w:lang w:val="sk-SK"/>
              </w:rPr>
            </w:pPr>
            <w:r w:rsidRPr="00326E55">
              <w:rPr>
                <w:rFonts w:ascii="Times New Roman" w:hAnsi="Times New Roman"/>
                <w:noProof/>
                <w:spacing w:val="-6"/>
                <w:lang w:val="sk-SK"/>
              </w:rPr>
              <w:t>Systém 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analýzy trestných konaní</w:t>
            </w:r>
          </w:p>
          <w:p w14:paraId="7C477A90" w14:textId="1E478836" w:rsidR="00BF03AA" w:rsidRPr="00326E55" w:rsidRDefault="00FB452D">
            <w:pPr>
              <w:pStyle w:val="P68B1DB1-ListParagraph15"/>
              <w:numPr>
                <w:ilvl w:val="0"/>
                <w:numId w:val="54"/>
              </w:numPr>
              <w:spacing w:after="120" w:line="240" w:lineRule="auto"/>
              <w:ind w:left="357" w:hanging="357"/>
              <w:rPr>
                <w:rFonts w:ascii="Times New Roman" w:hAnsi="Times New Roman"/>
                <w:noProof/>
                <w:spacing w:val="-6"/>
                <w:szCs w:val="20"/>
                <w:lang w:val="sk-SK"/>
              </w:rPr>
            </w:pPr>
            <w:r w:rsidRPr="00326E55">
              <w:rPr>
                <w:rFonts w:ascii="Times New Roman" w:hAnsi="Times New Roman"/>
                <w:noProof/>
                <w:spacing w:val="-6"/>
                <w:lang w:val="sk-SK"/>
              </w:rPr>
              <w:t>Pokročilý štatistický systém</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občianskoprávnych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w:t>
            </w:r>
            <w:r w:rsidRPr="00326E55">
              <w:rPr>
                <w:rFonts w:ascii="Times New Roman" w:hAnsi="Times New Roman"/>
                <w:noProof/>
                <w:spacing w:val="-6"/>
                <w:lang w:val="sk-SK"/>
              </w:rPr>
              <w:t>stných konaniach</w:t>
            </w:r>
          </w:p>
          <w:p w14:paraId="322C7EBE" w14:textId="16E17F6B" w:rsidR="00326E55" w:rsidRPr="00326E55" w:rsidRDefault="00FB452D">
            <w:pPr>
              <w:pStyle w:val="P68B1DB1-ListParagraph15"/>
              <w:numPr>
                <w:ilvl w:val="0"/>
                <w:numId w:val="54"/>
              </w:numPr>
              <w:spacing w:after="120" w:line="240" w:lineRule="auto"/>
              <w:ind w:left="357" w:hanging="357"/>
              <w:rPr>
                <w:rFonts w:ascii="Times New Roman" w:hAnsi="Times New Roman"/>
                <w:noProof/>
                <w:spacing w:val="-6"/>
                <w:lang w:val="sk-SK"/>
              </w:rPr>
            </w:pPr>
            <w:r w:rsidRPr="00326E55">
              <w:rPr>
                <w:rFonts w:ascii="Times New Roman" w:hAnsi="Times New Roman"/>
                <w:noProof/>
                <w:spacing w:val="-6"/>
                <w:lang w:val="sk-SK"/>
              </w:rPr>
              <w:t>Automatizovaný systém na identifikáciu vzťahu medzi obeťou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vinnou osobou</w:t>
            </w:r>
            <w:r w:rsidR="00326E55" w:rsidRPr="00326E55">
              <w:rPr>
                <w:rFonts w:ascii="Times New Roman" w:hAnsi="Times New Roman"/>
                <w:noProof/>
                <w:spacing w:val="-6"/>
                <w:lang w:val="sk-SK"/>
              </w:rPr>
              <w:t>.</w:t>
            </w:r>
          </w:p>
          <w:p w14:paraId="760A5C98" w14:textId="17A8B6CA"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Plnenie každej verejnej zákazky sa začína osobitným správnym aktom zodpovedného za postup</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názvom „začiatok realizácie“.</w:t>
            </w:r>
          </w:p>
        </w:tc>
      </w:tr>
      <w:tr w:rsidR="00BF03AA" w:rsidRPr="00326E55" w14:paraId="52BD5D60" w14:textId="77777777">
        <w:trPr>
          <w:trHeight w:val="309"/>
        </w:trPr>
        <w:tc>
          <w:tcPr>
            <w:tcW w:w="1087" w:type="dxa"/>
            <w:shd w:val="clear" w:color="auto" w:fill="C6EFCE"/>
            <w:noWrap/>
            <w:vAlign w:val="center"/>
          </w:tcPr>
          <w:p w14:paraId="3CAC3F7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132</w:t>
            </w:r>
          </w:p>
        </w:tc>
        <w:tc>
          <w:tcPr>
            <w:tcW w:w="1943" w:type="dxa"/>
            <w:shd w:val="clear" w:color="auto" w:fill="C6EFCE"/>
            <w:noWrap/>
            <w:vAlign w:val="center"/>
          </w:tcPr>
          <w:p w14:paraId="370B8A34" w14:textId="6B95874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1.6.3 – </w:t>
            </w:r>
            <w:r w:rsidRPr="00326E55">
              <w:rPr>
                <w:rFonts w:ascii="Times New Roman" w:hAnsi="Times New Roman"/>
                <w:noProof/>
                <w:spacing w:val="-6"/>
                <w:lang w:val="sk-SK"/>
              </w:rPr>
              <w:t>Digitalizácia Národného inštitútu sociálneho zabezpečenia (INPS)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Národného inštitútu poistenia proti pracovným úrazom (INAIL)</w:t>
            </w:r>
          </w:p>
        </w:tc>
        <w:tc>
          <w:tcPr>
            <w:tcW w:w="992" w:type="dxa"/>
            <w:shd w:val="clear" w:color="auto" w:fill="C6EFCE"/>
            <w:noWrap/>
            <w:vAlign w:val="center"/>
          </w:tcPr>
          <w:p w14:paraId="50C1BBC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334E187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INPS – služby/obsah T2 „Jedno kliknutie podľa návrhu“</w:t>
            </w:r>
          </w:p>
        </w:tc>
        <w:tc>
          <w:tcPr>
            <w:tcW w:w="1701" w:type="dxa"/>
            <w:shd w:val="clear" w:color="auto" w:fill="C6EFCE"/>
            <w:noWrap/>
            <w:vAlign w:val="center"/>
          </w:tcPr>
          <w:p w14:paraId="560E40A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7BD377A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7AA1F67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35</w:t>
            </w:r>
          </w:p>
        </w:tc>
        <w:tc>
          <w:tcPr>
            <w:tcW w:w="1417" w:type="dxa"/>
            <w:shd w:val="clear" w:color="auto" w:fill="C6EFCE"/>
            <w:noWrap/>
            <w:vAlign w:val="center"/>
          </w:tcPr>
          <w:p w14:paraId="327A1BD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70</w:t>
            </w:r>
          </w:p>
        </w:tc>
        <w:tc>
          <w:tcPr>
            <w:tcW w:w="793" w:type="dxa"/>
            <w:shd w:val="clear" w:color="auto" w:fill="C6EFCE"/>
            <w:noWrap/>
            <w:vAlign w:val="center"/>
          </w:tcPr>
          <w:p w14:paraId="118BA9E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3601DAB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003133A5" w14:textId="77777777" w:rsidR="00BF03AA" w:rsidRPr="00326E55" w:rsidRDefault="00FB452D">
            <w:pPr>
              <w:pStyle w:val="P68B1DB1-Normal16"/>
              <w:spacing w:after="120"/>
              <w:rPr>
                <w:rFonts w:ascii="Times New Roman" w:hAnsi="Times New Roman"/>
                <w:noProof/>
                <w:color w:val="006100"/>
                <w:spacing w:val="-6"/>
                <w:lang w:val="sk-SK"/>
              </w:rPr>
            </w:pPr>
            <w:r w:rsidRPr="00326E55">
              <w:rPr>
                <w:rFonts w:ascii="Times New Roman" w:hAnsi="Times New Roman"/>
                <w:noProof/>
                <w:color w:val="006100"/>
                <w:spacing w:val="-6"/>
                <w:lang w:val="sk-SK"/>
              </w:rPr>
              <w:t xml:space="preserve">35 dodatočných služieb </w:t>
            </w:r>
            <w:r w:rsidRPr="00326E55">
              <w:rPr>
                <w:rFonts w:ascii="Times New Roman" w:hAnsi="Times New Roman"/>
                <w:noProof/>
                <w:color w:val="006100"/>
                <w:spacing w:val="-6"/>
                <w:lang w:val="sk-SK"/>
              </w:rPr>
              <w:t>zavedených na inštitucionálnej webovej stránke Inps (</w:t>
            </w:r>
            <w:hyperlink r:id="rId37">
              <w:r w:rsidRPr="00326E55">
                <w:rPr>
                  <w:rFonts w:ascii="Times New Roman" w:hAnsi="Times New Roman"/>
                  <w:noProof/>
                  <w:color w:val="0000FF"/>
                  <w:spacing w:val="-6"/>
                  <w:u w:val="single"/>
                  <w:lang w:val="sk-SK"/>
                </w:rPr>
                <w:t>www.inps.it</w:t>
              </w:r>
            </w:hyperlink>
            <w:r w:rsidRPr="00326E55">
              <w:rPr>
                <w:rFonts w:ascii="Times New Roman" w:hAnsi="Times New Roman"/>
                <w:noProof/>
                <w:color w:val="006100"/>
                <w:spacing w:val="-6"/>
                <w:lang w:val="sk-SK"/>
              </w:rPr>
              <w:t>)</w:t>
            </w:r>
          </w:p>
          <w:p w14:paraId="7A96F025" w14:textId="6214365E"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Služby sú prístupné na inštitucionálnej stránke prostredníctvom vhodnej logiky profilovania (systém navrhuje služby možného záujmu na základe veku, pr</w:t>
            </w:r>
            <w:r w:rsidRPr="00326E55">
              <w:rPr>
                <w:rFonts w:ascii="Times New Roman" w:hAnsi="Times New Roman"/>
                <w:noProof/>
                <w:spacing w:val="-6"/>
                <w:lang w:val="sk-SK"/>
              </w:rPr>
              <w:t>acovných charakteristík, vnímaných prínosov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histórie používateľov).</w:t>
            </w:r>
          </w:p>
          <w:p w14:paraId="0B87A5EB" w14:textId="77777777" w:rsidR="00BF03AA" w:rsidRPr="00326E55" w:rsidRDefault="00FB452D">
            <w:pPr>
              <w:pStyle w:val="P68B1DB1-Normal11"/>
              <w:spacing w:before="120"/>
              <w:rPr>
                <w:rFonts w:ascii="Times New Roman" w:hAnsi="Times New Roman"/>
                <w:noProof/>
                <w:spacing w:val="-6"/>
                <w:szCs w:val="20"/>
                <w:lang w:val="sk-SK"/>
              </w:rPr>
            </w:pPr>
            <w:r w:rsidRPr="00326E55">
              <w:rPr>
                <w:rFonts w:ascii="Times New Roman" w:hAnsi="Times New Roman"/>
                <w:noProof/>
                <w:spacing w:val="-6"/>
                <w:lang w:val="sk-SK"/>
              </w:rPr>
              <w:t>35 služieb sa týka týchto inštitucionálnych oblastí INPS:</w:t>
            </w:r>
          </w:p>
          <w:p w14:paraId="6DF4EE94" w14:textId="77777777" w:rsidR="00BF03AA" w:rsidRPr="00326E55" w:rsidRDefault="00FB452D">
            <w:pPr>
              <w:pStyle w:val="P68B1DB1-Normal11"/>
              <w:ind w:left="292" w:hanging="76"/>
              <w:rPr>
                <w:rFonts w:ascii="Times New Roman" w:hAnsi="Times New Roman"/>
                <w:noProof/>
                <w:spacing w:val="-6"/>
                <w:szCs w:val="20"/>
                <w:lang w:val="sk-SK"/>
              </w:rPr>
            </w:pPr>
            <w:r w:rsidRPr="00326E55">
              <w:rPr>
                <w:rFonts w:ascii="Times New Roman" w:hAnsi="Times New Roman"/>
                <w:noProof/>
                <w:spacing w:val="-6"/>
                <w:lang w:val="sk-SK"/>
              </w:rPr>
              <w:t>•Dôchodky</w:t>
            </w:r>
          </w:p>
          <w:p w14:paraId="6871852C" w14:textId="77777777" w:rsidR="00BF03AA" w:rsidRPr="00326E55" w:rsidRDefault="00FB452D">
            <w:pPr>
              <w:pStyle w:val="P68B1DB1-Normal11"/>
              <w:ind w:left="292" w:hanging="76"/>
              <w:rPr>
                <w:rFonts w:ascii="Times New Roman" w:hAnsi="Times New Roman"/>
                <w:noProof/>
                <w:spacing w:val="-6"/>
                <w:szCs w:val="20"/>
                <w:lang w:val="sk-SK"/>
              </w:rPr>
            </w:pPr>
            <w:r w:rsidRPr="00326E55">
              <w:rPr>
                <w:rFonts w:ascii="Times New Roman" w:hAnsi="Times New Roman"/>
                <w:noProof/>
                <w:spacing w:val="-6"/>
                <w:lang w:val="sk-SK"/>
              </w:rPr>
              <w:t>•Absorpcia sociálnych otrasov</w:t>
            </w:r>
          </w:p>
          <w:p w14:paraId="660EC7EB" w14:textId="43EF47E4" w:rsidR="00BF03AA" w:rsidRPr="00326E55" w:rsidRDefault="00FB452D">
            <w:pPr>
              <w:pStyle w:val="P68B1DB1-Normal11"/>
              <w:ind w:left="292" w:hanging="76"/>
              <w:rPr>
                <w:rFonts w:ascii="Times New Roman" w:hAnsi="Times New Roman"/>
                <w:noProof/>
                <w:spacing w:val="-6"/>
                <w:szCs w:val="20"/>
                <w:lang w:val="sk-SK"/>
              </w:rPr>
            </w:pPr>
            <w:r w:rsidRPr="00326E55">
              <w:rPr>
                <w:rFonts w:ascii="Times New Roman" w:hAnsi="Times New Roman"/>
                <w:noProof/>
                <w:spacing w:val="-6"/>
                <w:lang w:val="sk-SK"/>
              </w:rPr>
              <w:t>•Dávky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nezamestnanosti</w:t>
            </w:r>
          </w:p>
          <w:p w14:paraId="60186187" w14:textId="6DE01BFF" w:rsidR="00BF03AA" w:rsidRPr="00326E55" w:rsidRDefault="00FB452D">
            <w:pPr>
              <w:pStyle w:val="P68B1DB1-Normal11"/>
              <w:ind w:left="292" w:hanging="76"/>
              <w:rPr>
                <w:rFonts w:ascii="Times New Roman" w:hAnsi="Times New Roman"/>
                <w:noProof/>
                <w:spacing w:val="-6"/>
                <w:szCs w:val="20"/>
                <w:lang w:val="sk-SK"/>
              </w:rPr>
            </w:pPr>
            <w:r w:rsidRPr="00326E55">
              <w:rPr>
                <w:rFonts w:ascii="Times New Roman" w:hAnsi="Times New Roman"/>
                <w:noProof/>
                <w:spacing w:val="-6"/>
                <w:lang w:val="sk-SK"/>
              </w:rPr>
              <w:t>•Príspevky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invalidite</w:t>
            </w:r>
          </w:p>
          <w:p w14:paraId="22626C1C" w14:textId="77777777" w:rsidR="00BF03AA" w:rsidRPr="00326E55" w:rsidRDefault="00FB452D">
            <w:pPr>
              <w:pStyle w:val="P68B1DB1-Normal11"/>
              <w:ind w:left="292" w:hanging="76"/>
              <w:rPr>
                <w:rFonts w:ascii="Times New Roman" w:hAnsi="Times New Roman"/>
                <w:noProof/>
                <w:spacing w:val="-6"/>
                <w:szCs w:val="20"/>
                <w:lang w:val="sk-SK"/>
              </w:rPr>
            </w:pPr>
            <w:r w:rsidRPr="00326E55">
              <w:rPr>
                <w:rFonts w:ascii="Times New Roman" w:hAnsi="Times New Roman"/>
                <w:noProof/>
                <w:spacing w:val="-6"/>
                <w:lang w:val="sk-SK"/>
              </w:rPr>
              <w:t>•Zrušenia</w:t>
            </w:r>
          </w:p>
          <w:p w14:paraId="34DA2F83" w14:textId="77777777" w:rsidR="00BF03AA" w:rsidRPr="00326E55" w:rsidRDefault="00FB452D">
            <w:pPr>
              <w:pStyle w:val="P68B1DB1-Normal11"/>
              <w:ind w:left="292" w:hanging="76"/>
              <w:rPr>
                <w:rFonts w:ascii="Times New Roman" w:hAnsi="Times New Roman"/>
                <w:noProof/>
                <w:spacing w:val="-6"/>
                <w:szCs w:val="20"/>
                <w:lang w:val="sk-SK"/>
              </w:rPr>
            </w:pPr>
            <w:r w:rsidRPr="00326E55">
              <w:rPr>
                <w:rFonts w:ascii="Times New Roman" w:hAnsi="Times New Roman"/>
                <w:noProof/>
                <w:spacing w:val="-6"/>
                <w:lang w:val="sk-SK"/>
              </w:rPr>
              <w:t xml:space="preserve">•Výber príspevkov zo strany </w:t>
            </w:r>
            <w:r w:rsidRPr="00326E55">
              <w:rPr>
                <w:rFonts w:ascii="Times New Roman" w:hAnsi="Times New Roman"/>
                <w:noProof/>
                <w:spacing w:val="-6"/>
                <w:lang w:val="sk-SK"/>
              </w:rPr>
              <w:t>spoločnosti</w:t>
            </w:r>
          </w:p>
          <w:p w14:paraId="315D770D" w14:textId="72DE2FCD" w:rsidR="00BF03AA" w:rsidRPr="00326E55" w:rsidRDefault="00FB452D">
            <w:pPr>
              <w:pStyle w:val="P68B1DB1-Normal11"/>
              <w:ind w:left="292" w:hanging="76"/>
              <w:rPr>
                <w:rFonts w:ascii="Times New Roman" w:hAnsi="Times New Roman"/>
                <w:noProof/>
                <w:spacing w:val="-6"/>
                <w:szCs w:val="20"/>
                <w:lang w:val="sk-SK"/>
              </w:rPr>
            </w:pPr>
            <w:r w:rsidRPr="00326E55">
              <w:rPr>
                <w:rFonts w:ascii="Times New Roman" w:hAnsi="Times New Roman"/>
                <w:noProof/>
                <w:spacing w:val="-6"/>
                <w:lang w:val="sk-SK"/>
              </w:rPr>
              <w:t>•Služby pracovníkov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poľnohospodárstve</w:t>
            </w:r>
          </w:p>
          <w:p w14:paraId="69AD0BFB" w14:textId="2D1D7E78" w:rsidR="00BF03AA" w:rsidRPr="00326E55" w:rsidRDefault="00FB452D">
            <w:pPr>
              <w:pStyle w:val="P68B1DB1-Normal12"/>
              <w:ind w:left="292" w:hanging="76"/>
              <w:rPr>
                <w:rFonts w:ascii="Times New Roman" w:hAnsi="Times New Roman"/>
                <w:noProof/>
                <w:spacing w:val="-6"/>
                <w:lang w:val="sk-SK"/>
              </w:rPr>
            </w:pPr>
            <w:r w:rsidRPr="00326E55">
              <w:rPr>
                <w:rFonts w:ascii="Times New Roman" w:hAnsi="Times New Roman"/>
                <w:noProof/>
                <w:spacing w:val="-6"/>
                <w:lang w:val="sk-SK"/>
              </w:rPr>
              <w:t>•Služby boja proti podvodom, korupcii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transparentnosti</w:t>
            </w:r>
          </w:p>
          <w:p w14:paraId="2EB1895B" w14:textId="599DCD06" w:rsidR="00BF03AA" w:rsidRPr="00326E55" w:rsidRDefault="00FB452D">
            <w:pPr>
              <w:pStyle w:val="P68B1DB1-Normal11"/>
              <w:spacing w:before="120"/>
              <w:rPr>
                <w:rFonts w:ascii="Times New Roman" w:hAnsi="Times New Roman"/>
                <w:noProof/>
                <w:spacing w:val="-6"/>
                <w:szCs w:val="20"/>
                <w:lang w:val="sk-SK"/>
              </w:rPr>
            </w:pPr>
            <w:r w:rsidRPr="00326E55">
              <w:rPr>
                <w:rFonts w:ascii="Times New Roman" w:hAnsi="Times New Roman"/>
                <w:noProof/>
                <w:spacing w:val="-6"/>
                <w:lang w:val="sk-SK"/>
              </w:rPr>
              <w:t>V uvedených inštitucionálnych oblastiach sa služby, ktoré sa majú implementovať, týkajú digitálneho predkladania žiadostí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služby, kontroly požiad</w:t>
            </w:r>
            <w:r w:rsidRPr="00326E55">
              <w:rPr>
                <w:rFonts w:ascii="Times New Roman" w:hAnsi="Times New Roman"/>
                <w:noProof/>
                <w:spacing w:val="-6"/>
                <w:lang w:val="sk-SK"/>
              </w:rPr>
              <w:t>aviek na prínos, monitorovania stavu praxe používateľmi, proaktívneho návrhu služieb na základe potrieb používateľov, automatického obnovovania prínosov bez potreby nových aplikácií.</w:t>
            </w:r>
          </w:p>
          <w:p w14:paraId="6BEF347C" w14:textId="77777777"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 xml:space="preserve">Napokon musia existovať monitorovacie prehľady, ktoré umožnia INPS </w:t>
            </w:r>
            <w:r w:rsidRPr="00326E55">
              <w:rPr>
                <w:rFonts w:ascii="Times New Roman" w:hAnsi="Times New Roman"/>
                <w:noProof/>
                <w:spacing w:val="-6"/>
                <w:lang w:val="sk-SK"/>
              </w:rPr>
              <w:t>monitorovať poskytované výhody, ako aj podporu rozhodnutí tvorcov politík založenú na údajoch.</w:t>
            </w:r>
          </w:p>
        </w:tc>
      </w:tr>
      <w:tr w:rsidR="00BF03AA" w:rsidRPr="00326E55" w14:paraId="28E90062" w14:textId="77777777">
        <w:trPr>
          <w:trHeight w:val="4119"/>
        </w:trPr>
        <w:tc>
          <w:tcPr>
            <w:tcW w:w="1087" w:type="dxa"/>
            <w:shd w:val="clear" w:color="auto" w:fill="C6EFCE"/>
            <w:noWrap/>
            <w:vAlign w:val="center"/>
          </w:tcPr>
          <w:p w14:paraId="45B40E1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133</w:t>
            </w:r>
          </w:p>
        </w:tc>
        <w:tc>
          <w:tcPr>
            <w:tcW w:w="1943" w:type="dxa"/>
            <w:shd w:val="clear" w:color="auto" w:fill="C6EFCE"/>
            <w:noWrap/>
            <w:vAlign w:val="center"/>
          </w:tcPr>
          <w:p w14:paraId="278E00AB" w14:textId="3AEC3C3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1.6.3 – Digitalizácia Národného inštitútu sociálneho zabezpečenia (INPS)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Národného inštitútu poistenia proti pracovným úrazom (INAIL)</w:t>
            </w:r>
          </w:p>
        </w:tc>
        <w:tc>
          <w:tcPr>
            <w:tcW w:w="992" w:type="dxa"/>
            <w:shd w:val="clear" w:color="auto" w:fill="C6EFCE"/>
            <w:noWrap/>
            <w:vAlign w:val="center"/>
          </w:tcPr>
          <w:p w14:paraId="0DBC78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126066E3" w14:textId="02A7E53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INPS – Zamestnanci so zlepšenými zručnosťami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informačných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komunikačných technológií (IKT) T2</w:t>
            </w:r>
          </w:p>
        </w:tc>
        <w:tc>
          <w:tcPr>
            <w:tcW w:w="1701" w:type="dxa"/>
            <w:shd w:val="clear" w:color="auto" w:fill="C6EFCE"/>
            <w:noWrap/>
            <w:vAlign w:val="center"/>
          </w:tcPr>
          <w:p w14:paraId="1757D36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1F56E8F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643358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4 250</w:t>
            </w:r>
          </w:p>
        </w:tc>
        <w:tc>
          <w:tcPr>
            <w:tcW w:w="1417" w:type="dxa"/>
            <w:shd w:val="clear" w:color="auto" w:fill="C6EFCE"/>
            <w:noWrap/>
            <w:vAlign w:val="center"/>
          </w:tcPr>
          <w:p w14:paraId="20D3C5C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8 500</w:t>
            </w:r>
          </w:p>
        </w:tc>
        <w:tc>
          <w:tcPr>
            <w:tcW w:w="793" w:type="dxa"/>
            <w:shd w:val="clear" w:color="auto" w:fill="C6EFCE"/>
            <w:noWrap/>
            <w:vAlign w:val="center"/>
          </w:tcPr>
          <w:p w14:paraId="77584DD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11B03C4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310548BC" w14:textId="12EAC194"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Ďalších 4250 zamestnancov INPS hodnotených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certifikovanými zlepšenými zručnosťami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obla</w:t>
            </w:r>
            <w:r w:rsidRPr="00326E55">
              <w:rPr>
                <w:rFonts w:ascii="Times New Roman" w:hAnsi="Times New Roman"/>
                <w:noProof/>
                <w:spacing w:val="-6"/>
                <w:lang w:val="sk-SK"/>
              </w:rPr>
              <w:t>stiach európskeho rámca elektronických kompetencií: I) plán; II)stavba; III) Run iv) použiteľné; v) riadenie.</w:t>
            </w:r>
          </w:p>
          <w:p w14:paraId="32C41F14"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Oblasti na zlepšenie kompetencií sa určia podľa cieľovej skupiny vzdelávajúcich sa osôb.</w:t>
            </w:r>
          </w:p>
        </w:tc>
      </w:tr>
      <w:tr w:rsidR="00BF03AA" w:rsidRPr="00326E55" w14:paraId="4CF3B888" w14:textId="77777777">
        <w:trPr>
          <w:trHeight w:val="1276"/>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C0795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134</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FB8187" w14:textId="0C73680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1.6.3 – Digitalizácia Národného </w:t>
            </w:r>
            <w:r w:rsidRPr="00326E55">
              <w:rPr>
                <w:rFonts w:ascii="Times New Roman" w:hAnsi="Times New Roman"/>
                <w:noProof/>
                <w:spacing w:val="-6"/>
                <w:lang w:val="sk-SK"/>
              </w:rPr>
              <w:t>inštitútu sociálneho zabezpečenia (INPS)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Národného inštitútu poistenia proti pracovným úrazom (INAIL)</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A4F51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5BD736" w14:textId="7C32EEC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INAIL – Úplne rekonštruované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digitalizované procesy/služby T1</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C1A9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75FDB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3E31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7B183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53</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5C8DF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ECEA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F5D79B" w14:textId="553D3BEC"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Cieľom je dosiahnuť 53 (52</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w:t>
            </w:r>
            <w:r w:rsidRPr="00326E55">
              <w:rPr>
                <w:rFonts w:ascii="Times New Roman" w:hAnsi="Times New Roman"/>
                <w:noProof/>
                <w:spacing w:val="-6"/>
                <w:lang w:val="sk-SK"/>
              </w:rPr>
              <w:t>prepracovaných inštitucionálnych procesov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služieb, aby boli plne digitalizované</w:t>
            </w:r>
            <w:r w:rsidR="00326E55" w:rsidRPr="00326E55">
              <w:rPr>
                <w:rFonts w:ascii="Times New Roman" w:hAnsi="Times New Roman"/>
                <w:noProof/>
                <w:spacing w:val="-6"/>
                <w:lang w:val="sk-SK"/>
              </w:rPr>
              <w:t>.</w:t>
            </w:r>
          </w:p>
          <w:p w14:paraId="5667F878" w14:textId="6F33A4E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Dotknutými oblasťami INAIL sú: Poisťovacie, sociálne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zdravotné služby, prevencia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bezpečnosť, certifikácia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overovanie.</w:t>
            </w:r>
          </w:p>
          <w:p w14:paraId="27F95B16" w14:textId="77777777" w:rsidR="00326E55"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Najmä očakávaný cieľ pre každú oblasť je vyjadren</w:t>
            </w:r>
            <w:r w:rsidRPr="00326E55">
              <w:rPr>
                <w:rFonts w:ascii="Times New Roman" w:hAnsi="Times New Roman"/>
                <w:noProof/>
                <w:spacing w:val="-6"/>
                <w:lang w:val="sk-SK"/>
              </w:rPr>
              <w:t>ý vyššie</w:t>
            </w:r>
            <w:r w:rsidR="00326E55" w:rsidRPr="00326E55">
              <w:rPr>
                <w:rFonts w:ascii="Times New Roman" w:hAnsi="Times New Roman"/>
                <w:noProof/>
                <w:spacing w:val="-6"/>
                <w:lang w:val="sk-SK"/>
              </w:rPr>
              <w:t>:</w:t>
            </w:r>
          </w:p>
          <w:p w14:paraId="6E0CAC7E" w14:textId="4A64C7B8" w:rsidR="00326E55" w:rsidRPr="00326E55" w:rsidRDefault="00FB452D">
            <w:pPr>
              <w:pStyle w:val="P68B1DB1-ListParagraph15"/>
              <w:numPr>
                <w:ilvl w:val="0"/>
                <w:numId w:val="23"/>
              </w:numPr>
              <w:spacing w:before="120" w:after="120" w:line="240" w:lineRule="auto"/>
              <w:ind w:left="377" w:hanging="283"/>
              <w:rPr>
                <w:rFonts w:ascii="Times New Roman" w:hAnsi="Times New Roman"/>
                <w:noProof/>
                <w:spacing w:val="-6"/>
                <w:lang w:val="sk-SK"/>
              </w:rPr>
            </w:pPr>
            <w:r w:rsidRPr="00326E55">
              <w:rPr>
                <w:rFonts w:ascii="Times New Roman" w:hAnsi="Times New Roman"/>
                <w:noProof/>
                <w:spacing w:val="-6"/>
                <w:lang w:val="sk-SK"/>
              </w:rPr>
              <w:t>Poisťovníctvo: 8 (25</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r w:rsidR="00326E55" w:rsidRPr="00326E55">
              <w:rPr>
                <w:rFonts w:ascii="Times New Roman" w:hAnsi="Times New Roman"/>
                <w:noProof/>
                <w:spacing w:val="-6"/>
                <w:lang w:val="sk-SK"/>
              </w:rPr>
              <w:t>;</w:t>
            </w:r>
          </w:p>
          <w:p w14:paraId="32982C10" w14:textId="44EEC375" w:rsidR="00BF03AA" w:rsidRPr="00326E55" w:rsidRDefault="00FB452D">
            <w:pPr>
              <w:pStyle w:val="P68B1DB1-ListParagraph15"/>
              <w:numPr>
                <w:ilvl w:val="0"/>
                <w:numId w:val="23"/>
              </w:numPr>
              <w:spacing w:before="120" w:after="120" w:line="240" w:lineRule="auto"/>
              <w:ind w:left="377" w:hanging="283"/>
              <w:rPr>
                <w:rFonts w:ascii="Times New Roman" w:hAnsi="Times New Roman"/>
                <w:noProof/>
                <w:spacing w:val="-6"/>
                <w:szCs w:val="20"/>
                <w:lang w:val="sk-SK"/>
              </w:rPr>
            </w:pPr>
            <w:r w:rsidRPr="00326E55">
              <w:rPr>
                <w:rFonts w:ascii="Times New Roman" w:hAnsi="Times New Roman"/>
                <w:noProof/>
                <w:spacing w:val="-6"/>
                <w:lang w:val="sk-SK"/>
              </w:rPr>
              <w:t>Sociálne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zdravotnícke služby: 18 (50</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p w14:paraId="12DF2819" w14:textId="5AA4D090" w:rsidR="00BF03AA" w:rsidRPr="00326E55" w:rsidRDefault="00FB452D">
            <w:pPr>
              <w:pStyle w:val="P68B1DB1-ListParagraph15"/>
              <w:numPr>
                <w:ilvl w:val="0"/>
                <w:numId w:val="23"/>
              </w:numPr>
              <w:spacing w:before="120" w:after="120" w:line="240" w:lineRule="auto"/>
              <w:ind w:left="377" w:hanging="283"/>
              <w:rPr>
                <w:rFonts w:ascii="Times New Roman" w:hAnsi="Times New Roman"/>
                <w:noProof/>
                <w:spacing w:val="-6"/>
                <w:szCs w:val="20"/>
                <w:lang w:val="sk-SK"/>
              </w:rPr>
            </w:pPr>
            <w:r w:rsidRPr="00326E55">
              <w:rPr>
                <w:rFonts w:ascii="Times New Roman" w:hAnsi="Times New Roman"/>
                <w:noProof/>
                <w:spacing w:val="-6"/>
                <w:lang w:val="sk-SK"/>
              </w:rPr>
              <w:t>Preventívna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bezpečnostná práca: 9 (80</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p w14:paraId="16120919" w14:textId="1B86D3DA" w:rsidR="00BF03AA" w:rsidRPr="00326E55" w:rsidRDefault="00FB452D">
            <w:pPr>
              <w:pStyle w:val="P68B1DB1-ListParagraph15"/>
              <w:numPr>
                <w:ilvl w:val="0"/>
                <w:numId w:val="23"/>
              </w:numPr>
              <w:spacing w:before="120" w:after="120" w:line="240" w:lineRule="auto"/>
              <w:ind w:left="377" w:hanging="283"/>
              <w:rPr>
                <w:rFonts w:ascii="Times New Roman" w:hAnsi="Times New Roman"/>
                <w:noProof/>
                <w:spacing w:val="-6"/>
                <w:szCs w:val="20"/>
                <w:lang w:val="sk-SK"/>
              </w:rPr>
            </w:pPr>
            <w:r w:rsidRPr="00326E55">
              <w:rPr>
                <w:rFonts w:ascii="Times New Roman" w:hAnsi="Times New Roman"/>
                <w:noProof/>
                <w:spacing w:val="-6"/>
                <w:lang w:val="sk-SK"/>
              </w:rPr>
              <w:t>Certifikácie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overovania: 18 (80</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tc>
      </w:tr>
      <w:tr w:rsidR="00BF03AA" w:rsidRPr="00326E55" w14:paraId="49A83CDF" w14:textId="77777777">
        <w:trPr>
          <w:trHeight w:val="309"/>
        </w:trPr>
        <w:tc>
          <w:tcPr>
            <w:tcW w:w="1087" w:type="dxa"/>
            <w:shd w:val="clear" w:color="auto" w:fill="C6EFCE"/>
            <w:noWrap/>
            <w:vAlign w:val="center"/>
          </w:tcPr>
          <w:p w14:paraId="3CFB18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135</w:t>
            </w:r>
          </w:p>
        </w:tc>
        <w:tc>
          <w:tcPr>
            <w:tcW w:w="1943" w:type="dxa"/>
            <w:shd w:val="clear" w:color="auto" w:fill="C6EFCE"/>
            <w:noWrap/>
            <w:vAlign w:val="center"/>
          </w:tcPr>
          <w:p w14:paraId="07F89FB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1.6.4 – Digitalizácia ministerstva obrany</w:t>
            </w:r>
          </w:p>
        </w:tc>
        <w:tc>
          <w:tcPr>
            <w:tcW w:w="992" w:type="dxa"/>
            <w:shd w:val="clear" w:color="auto" w:fill="C6EFCE"/>
            <w:noWrap/>
            <w:vAlign w:val="center"/>
          </w:tcPr>
          <w:p w14:paraId="68149C0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79B2A33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Ministerstvo obrany – </w:t>
            </w:r>
            <w:r w:rsidRPr="00326E55">
              <w:rPr>
                <w:rFonts w:ascii="Times New Roman" w:hAnsi="Times New Roman"/>
                <w:noProof/>
                <w:spacing w:val="-6"/>
                <w:lang w:val="sk-SK"/>
              </w:rPr>
              <w:t>Digitalizácia postupov T1</w:t>
            </w:r>
          </w:p>
        </w:tc>
        <w:tc>
          <w:tcPr>
            <w:tcW w:w="1701" w:type="dxa"/>
            <w:shd w:val="clear" w:color="auto" w:fill="C6EFCE"/>
            <w:noWrap/>
            <w:vAlign w:val="center"/>
          </w:tcPr>
          <w:p w14:paraId="552D4E2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461CE74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5DE2050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w:t>
            </w:r>
          </w:p>
        </w:tc>
        <w:tc>
          <w:tcPr>
            <w:tcW w:w="1417" w:type="dxa"/>
            <w:shd w:val="clear" w:color="auto" w:fill="C6EFCE"/>
            <w:noWrap/>
            <w:vAlign w:val="center"/>
          </w:tcPr>
          <w:p w14:paraId="42E6F29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15</w:t>
            </w:r>
          </w:p>
        </w:tc>
        <w:tc>
          <w:tcPr>
            <w:tcW w:w="793" w:type="dxa"/>
            <w:shd w:val="clear" w:color="auto" w:fill="C6EFCE"/>
            <w:noWrap/>
            <w:vAlign w:val="center"/>
          </w:tcPr>
          <w:p w14:paraId="30F68FE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7DFAADE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14EFAC0D" w14:textId="71C769FC"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Digitalizácia, revízia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automatizácia 15 postupov týkajúcich sa riadenia personálu obrany (ako je nábor, zamestnanosť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odchod do dôchodku, zdravie zamestnancov), počnúc východiskovým bod</w:t>
            </w:r>
            <w:r w:rsidRPr="00326E55">
              <w:rPr>
                <w:rFonts w:ascii="Times New Roman" w:hAnsi="Times New Roman"/>
                <w:noProof/>
                <w:spacing w:val="-6"/>
                <w:lang w:val="sk-SK"/>
              </w:rPr>
              <w:t>om štyroch už digitalizovaných postupov.</w:t>
            </w:r>
          </w:p>
        </w:tc>
      </w:tr>
      <w:tr w:rsidR="00BF03AA" w:rsidRPr="00326E55" w14:paraId="7402416C" w14:textId="77777777">
        <w:trPr>
          <w:trHeight w:val="309"/>
        </w:trPr>
        <w:tc>
          <w:tcPr>
            <w:tcW w:w="1087" w:type="dxa"/>
            <w:shd w:val="clear" w:color="auto" w:fill="C6EFCE"/>
            <w:noWrap/>
            <w:vAlign w:val="center"/>
          </w:tcPr>
          <w:p w14:paraId="5634222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136</w:t>
            </w:r>
          </w:p>
        </w:tc>
        <w:tc>
          <w:tcPr>
            <w:tcW w:w="1943" w:type="dxa"/>
            <w:shd w:val="clear" w:color="auto" w:fill="C6EFCE"/>
            <w:noWrap/>
            <w:vAlign w:val="center"/>
          </w:tcPr>
          <w:p w14:paraId="290F4EF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1.6.4 – Digitalizácia ministerstva obrany</w:t>
            </w:r>
          </w:p>
        </w:tc>
        <w:tc>
          <w:tcPr>
            <w:tcW w:w="992" w:type="dxa"/>
            <w:shd w:val="clear" w:color="auto" w:fill="C6EFCE"/>
            <w:noWrap/>
            <w:vAlign w:val="center"/>
          </w:tcPr>
          <w:p w14:paraId="4B5646C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47E63EB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Ministerstvo obrany – Digitalizácia certifikátov T1</w:t>
            </w:r>
          </w:p>
        </w:tc>
        <w:tc>
          <w:tcPr>
            <w:tcW w:w="1701" w:type="dxa"/>
            <w:shd w:val="clear" w:color="auto" w:fill="C6EFCE"/>
            <w:noWrap/>
            <w:vAlign w:val="center"/>
          </w:tcPr>
          <w:p w14:paraId="67001CE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0A62063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digitalizovaných certifikátov</w:t>
            </w:r>
          </w:p>
        </w:tc>
        <w:tc>
          <w:tcPr>
            <w:tcW w:w="1276" w:type="dxa"/>
            <w:shd w:val="clear" w:color="auto" w:fill="C6EFCE"/>
            <w:noWrap/>
            <w:vAlign w:val="center"/>
          </w:tcPr>
          <w:p w14:paraId="6D95313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190 000</w:t>
            </w:r>
          </w:p>
        </w:tc>
        <w:tc>
          <w:tcPr>
            <w:tcW w:w="1417" w:type="dxa"/>
            <w:shd w:val="clear" w:color="auto" w:fill="C6EFCE"/>
            <w:noWrap/>
            <w:vAlign w:val="center"/>
          </w:tcPr>
          <w:p w14:paraId="0F8DDE8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450 000</w:t>
            </w:r>
          </w:p>
        </w:tc>
        <w:tc>
          <w:tcPr>
            <w:tcW w:w="793" w:type="dxa"/>
            <w:shd w:val="clear" w:color="auto" w:fill="C6EFCE"/>
            <w:noWrap/>
            <w:vAlign w:val="center"/>
          </w:tcPr>
          <w:p w14:paraId="509EA8E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71C260C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4908DC8F" w14:textId="68F972A3"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Počet </w:t>
            </w:r>
            <w:r w:rsidRPr="00326E55">
              <w:rPr>
                <w:rFonts w:ascii="Times New Roman" w:hAnsi="Times New Roman"/>
                <w:noProof/>
                <w:spacing w:val="-6"/>
                <w:lang w:val="sk-SK"/>
              </w:rPr>
              <w:t>digitalizovaných osvedčení totožnosti (450000) vydaných ministerstvom obrany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prevádzkovaných na infraštruktúru doplnených miestom obnovy po havárii počnúc východiskovým číslom 190000 už digitalizovaných osvedčení.</w:t>
            </w:r>
          </w:p>
        </w:tc>
      </w:tr>
      <w:tr w:rsidR="00BF03AA" w:rsidRPr="00326E55" w14:paraId="79E1D779" w14:textId="77777777">
        <w:trPr>
          <w:trHeight w:val="309"/>
        </w:trPr>
        <w:tc>
          <w:tcPr>
            <w:tcW w:w="1087" w:type="dxa"/>
            <w:shd w:val="clear" w:color="auto" w:fill="C6EFCE"/>
            <w:noWrap/>
            <w:vAlign w:val="center"/>
          </w:tcPr>
          <w:p w14:paraId="1594C68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137</w:t>
            </w:r>
          </w:p>
        </w:tc>
        <w:tc>
          <w:tcPr>
            <w:tcW w:w="1943" w:type="dxa"/>
            <w:shd w:val="clear" w:color="auto" w:fill="C6EFCE"/>
            <w:noWrap/>
            <w:vAlign w:val="center"/>
          </w:tcPr>
          <w:p w14:paraId="0790A09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Investícia 1.6.4 – </w:t>
            </w:r>
            <w:r w:rsidRPr="00326E55">
              <w:rPr>
                <w:rFonts w:ascii="Times New Roman" w:hAnsi="Times New Roman"/>
                <w:noProof/>
                <w:spacing w:val="-6"/>
                <w:lang w:val="sk-SK"/>
              </w:rPr>
              <w:t>Digitalizácia ministerstva obrany</w:t>
            </w:r>
          </w:p>
        </w:tc>
        <w:tc>
          <w:tcPr>
            <w:tcW w:w="992" w:type="dxa"/>
            <w:shd w:val="clear" w:color="auto" w:fill="C6EFCE"/>
            <w:noWrap/>
            <w:vAlign w:val="center"/>
          </w:tcPr>
          <w:p w14:paraId="526D137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2126" w:type="dxa"/>
            <w:shd w:val="clear" w:color="auto" w:fill="C6EFCE"/>
            <w:noWrap/>
            <w:vAlign w:val="center"/>
          </w:tcPr>
          <w:p w14:paraId="3D8FF9C5" w14:textId="238CD33C"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Ministerstvo obrany – spustenie inštitucionálnych webových portálov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intranetových portálov</w:t>
            </w:r>
          </w:p>
        </w:tc>
        <w:tc>
          <w:tcPr>
            <w:tcW w:w="1701" w:type="dxa"/>
            <w:shd w:val="clear" w:color="auto" w:fill="C6EFCE"/>
            <w:noWrap/>
            <w:vAlign w:val="center"/>
          </w:tcPr>
          <w:p w14:paraId="576DCFFC" w14:textId="79E797F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Plne funkčné inštitucionálne webové portály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intranetové webové portály</w:t>
            </w:r>
          </w:p>
        </w:tc>
        <w:tc>
          <w:tcPr>
            <w:tcW w:w="1134" w:type="dxa"/>
            <w:shd w:val="clear" w:color="auto" w:fill="C6EFCE"/>
            <w:noWrap/>
            <w:vAlign w:val="center"/>
          </w:tcPr>
          <w:p w14:paraId="2AD0D31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283EB2F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17" w:type="dxa"/>
            <w:shd w:val="clear" w:color="auto" w:fill="C6EFCE"/>
            <w:noWrap/>
            <w:vAlign w:val="center"/>
          </w:tcPr>
          <w:p w14:paraId="086525A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93" w:type="dxa"/>
            <w:shd w:val="clear" w:color="auto" w:fill="C6EFCE"/>
            <w:noWrap/>
            <w:vAlign w:val="center"/>
          </w:tcPr>
          <w:p w14:paraId="2B62ECD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0D248DC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4E60FD4A" w14:textId="2DB463F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Rozvoj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zavedenie i) inštitucionálnych webových portálov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 intranetových portálov pre osobitné potreby internej komunikácie.</w:t>
            </w:r>
          </w:p>
        </w:tc>
      </w:tr>
      <w:tr w:rsidR="00BF03AA" w:rsidRPr="00326E55" w14:paraId="2A3C9698" w14:textId="77777777">
        <w:trPr>
          <w:trHeight w:val="309"/>
        </w:trPr>
        <w:tc>
          <w:tcPr>
            <w:tcW w:w="1087" w:type="dxa"/>
            <w:shd w:val="clear" w:color="auto" w:fill="C6EFCE"/>
            <w:noWrap/>
            <w:vAlign w:val="center"/>
          </w:tcPr>
          <w:p w14:paraId="681423C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138</w:t>
            </w:r>
          </w:p>
        </w:tc>
        <w:tc>
          <w:tcPr>
            <w:tcW w:w="1943" w:type="dxa"/>
            <w:shd w:val="clear" w:color="auto" w:fill="C6EFCE"/>
            <w:noWrap/>
            <w:vAlign w:val="center"/>
          </w:tcPr>
          <w:p w14:paraId="67ACAB6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1.6.4 – Digitalizácia ministerstva obrany</w:t>
            </w:r>
          </w:p>
        </w:tc>
        <w:tc>
          <w:tcPr>
            <w:tcW w:w="992" w:type="dxa"/>
            <w:shd w:val="clear" w:color="auto" w:fill="C6EFCE"/>
            <w:noWrap/>
            <w:vAlign w:val="center"/>
          </w:tcPr>
          <w:p w14:paraId="66389E2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251740A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Ministerstvo obrany – Migrácia aplikácií, ktoré </w:t>
            </w:r>
            <w:r w:rsidRPr="00326E55">
              <w:rPr>
                <w:rFonts w:ascii="Times New Roman" w:hAnsi="Times New Roman"/>
                <w:noProof/>
                <w:spacing w:val="-6"/>
                <w:lang w:val="sk-SK"/>
              </w:rPr>
              <w:t>nemajú kritický význam, do riešenia na úplnú ochranu informácií prostredníctvom otvorenosti infraštruktúry (S.C.I.P.I.O.) T1</w:t>
            </w:r>
          </w:p>
        </w:tc>
        <w:tc>
          <w:tcPr>
            <w:tcW w:w="1701" w:type="dxa"/>
            <w:shd w:val="clear" w:color="auto" w:fill="C6EFCE"/>
            <w:noWrap/>
            <w:vAlign w:val="center"/>
          </w:tcPr>
          <w:p w14:paraId="08188A1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307616A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3D50DCE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417" w:type="dxa"/>
            <w:shd w:val="clear" w:color="auto" w:fill="C6EFCE"/>
            <w:noWrap/>
            <w:vAlign w:val="center"/>
          </w:tcPr>
          <w:p w14:paraId="6236DBD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10</w:t>
            </w:r>
          </w:p>
        </w:tc>
        <w:tc>
          <w:tcPr>
            <w:tcW w:w="793" w:type="dxa"/>
            <w:shd w:val="clear" w:color="auto" w:fill="C6EFCE"/>
            <w:noWrap/>
            <w:vAlign w:val="center"/>
          </w:tcPr>
          <w:p w14:paraId="6D9C85B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28C3C4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84" w:type="dxa"/>
            <w:shd w:val="clear" w:color="auto" w:fill="C6EFCE"/>
            <w:noWrap/>
            <w:vAlign w:val="center"/>
          </w:tcPr>
          <w:p w14:paraId="79576EA5" w14:textId="2420BF6E"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Počiatočná migrácia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prevádzková dostupnosť aplikácií, ktoré nie sú kritické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 xml:space="preserve">hľadiska </w:t>
            </w:r>
            <w:r w:rsidRPr="00326E55">
              <w:rPr>
                <w:rFonts w:ascii="Times New Roman" w:hAnsi="Times New Roman"/>
                <w:noProof/>
                <w:spacing w:val="-6"/>
                <w:lang w:val="sk-SK"/>
              </w:rPr>
              <w:t>misií, na novú infraštruktúru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otvoreným zdrojovým kódom. To zahŕňa zavádzanie hardvérového prostredia, inštaláciu komponentov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otvoreným zdrojovým kódom midlvéru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rekonštrukciu aplikácií.</w:t>
            </w:r>
          </w:p>
        </w:tc>
      </w:tr>
      <w:tr w:rsidR="00BF03AA" w:rsidRPr="00326E55" w14:paraId="00AC4C35" w14:textId="77777777">
        <w:trPr>
          <w:trHeight w:val="309"/>
        </w:trPr>
        <w:tc>
          <w:tcPr>
            <w:tcW w:w="1087" w:type="dxa"/>
            <w:shd w:val="clear" w:color="auto" w:fill="C6EFCE"/>
            <w:noWrap/>
            <w:vAlign w:val="center"/>
          </w:tcPr>
          <w:p w14:paraId="716A19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139</w:t>
            </w:r>
          </w:p>
        </w:tc>
        <w:tc>
          <w:tcPr>
            <w:tcW w:w="1943" w:type="dxa"/>
            <w:shd w:val="clear" w:color="auto" w:fill="C6EFCE"/>
            <w:noWrap/>
            <w:vAlign w:val="center"/>
          </w:tcPr>
          <w:p w14:paraId="0E5BDDF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1.2 – Umožnenie cloud computingu pre </w:t>
            </w:r>
            <w:r w:rsidRPr="00326E55">
              <w:rPr>
                <w:rFonts w:ascii="Times New Roman" w:hAnsi="Times New Roman"/>
                <w:noProof/>
                <w:spacing w:val="-6"/>
                <w:lang w:val="sk-SK"/>
              </w:rPr>
              <w:t>miestnu platobnú agentúru</w:t>
            </w:r>
          </w:p>
        </w:tc>
        <w:tc>
          <w:tcPr>
            <w:tcW w:w="992" w:type="dxa"/>
            <w:shd w:val="clear" w:color="auto" w:fill="C6EFCE"/>
            <w:noWrap/>
            <w:vAlign w:val="center"/>
          </w:tcPr>
          <w:p w14:paraId="755E931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483E7F3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Cloudové povolenie pre miestnu verejnú správu T1</w:t>
            </w:r>
          </w:p>
        </w:tc>
        <w:tc>
          <w:tcPr>
            <w:tcW w:w="1701" w:type="dxa"/>
            <w:shd w:val="clear" w:color="auto" w:fill="C6EFCE"/>
            <w:noWrap/>
            <w:vAlign w:val="center"/>
          </w:tcPr>
          <w:p w14:paraId="20A396D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3EDE3D2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6EDCB77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417" w:type="dxa"/>
            <w:shd w:val="clear" w:color="auto" w:fill="C6EFCE"/>
            <w:noWrap/>
            <w:vAlign w:val="center"/>
          </w:tcPr>
          <w:p w14:paraId="24782AB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4 083</w:t>
            </w:r>
          </w:p>
        </w:tc>
        <w:tc>
          <w:tcPr>
            <w:tcW w:w="793" w:type="dxa"/>
            <w:shd w:val="clear" w:color="auto" w:fill="C6EFCE"/>
            <w:noWrap/>
            <w:vAlign w:val="center"/>
          </w:tcPr>
          <w:p w14:paraId="310AEB4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625" w:type="dxa"/>
            <w:shd w:val="clear" w:color="auto" w:fill="C6EFCE"/>
            <w:noWrap/>
            <w:vAlign w:val="center"/>
          </w:tcPr>
          <w:p w14:paraId="0AF092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84" w:type="dxa"/>
            <w:shd w:val="clear" w:color="auto" w:fill="C6EFCE"/>
            <w:noWrap/>
            <w:vAlign w:val="center"/>
          </w:tcPr>
          <w:p w14:paraId="4A32246D" w14:textId="56D4D410" w:rsidR="00BF03AA" w:rsidRPr="00326E55" w:rsidRDefault="00FB452D">
            <w:pPr>
              <w:pStyle w:val="P68B1DB1-Normal21"/>
              <w:spacing w:after="120"/>
              <w:rPr>
                <w:rFonts w:ascii="Times New Roman" w:hAnsi="Times New Roman"/>
                <w:noProof/>
                <w:spacing w:val="-6"/>
                <w:szCs w:val="20"/>
                <w:lang w:val="sk-SK"/>
              </w:rPr>
            </w:pPr>
            <w:r w:rsidRPr="00326E55">
              <w:rPr>
                <w:rFonts w:ascii="Times New Roman" w:hAnsi="Times New Roman"/>
                <w:noProof/>
                <w:spacing w:val="-6"/>
                <w:lang w:val="sk-SK"/>
              </w:rPr>
              <w:t>Migrácia 4083 miestnych orgánov verejnej správy na certifikované cloudové prostredia</w:t>
            </w:r>
            <w:r w:rsidRPr="00326E55">
              <w:rPr>
                <w:rFonts w:ascii="Times New Roman" w:hAnsi="Times New Roman"/>
                <w:noProof/>
                <w:spacing w:val="-6"/>
                <w:lang w:val="sk-SK"/>
              </w:rPr>
              <w:t xml:space="preserve"> sa považuje za dosiahnutú, ak je testovanie všetkých systémov, súborov údajov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migrácie aplikácií zahrnutých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každom pláne migrácie úspešné.</w:t>
            </w:r>
          </w:p>
        </w:tc>
      </w:tr>
      <w:tr w:rsidR="00BF03AA" w:rsidRPr="00326E55" w14:paraId="48B4C067" w14:textId="77777777">
        <w:trPr>
          <w:trHeight w:val="309"/>
        </w:trPr>
        <w:tc>
          <w:tcPr>
            <w:tcW w:w="1087" w:type="dxa"/>
            <w:shd w:val="clear" w:color="auto" w:fill="C6EFCE"/>
            <w:noWrap/>
            <w:vAlign w:val="center"/>
          </w:tcPr>
          <w:p w14:paraId="6CF4423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140</w:t>
            </w:r>
          </w:p>
        </w:tc>
        <w:tc>
          <w:tcPr>
            <w:tcW w:w="1943" w:type="dxa"/>
            <w:shd w:val="clear" w:color="auto" w:fill="C6EFCE"/>
            <w:noWrap/>
            <w:vAlign w:val="center"/>
          </w:tcPr>
          <w:p w14:paraId="719D9504" w14:textId="2F43115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1.4.1 – Občianske skúsenosti – Zlepšenie kvality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použiteľnosti digitálnych verejných </w:t>
            </w:r>
            <w:r w:rsidRPr="00326E55">
              <w:rPr>
                <w:rFonts w:ascii="Times New Roman" w:hAnsi="Times New Roman"/>
                <w:noProof/>
                <w:spacing w:val="-6"/>
                <w:lang w:val="sk-SK"/>
              </w:rPr>
              <w:t>služieb</w:t>
            </w:r>
          </w:p>
        </w:tc>
        <w:tc>
          <w:tcPr>
            <w:tcW w:w="992" w:type="dxa"/>
            <w:shd w:val="clear" w:color="auto" w:fill="C6EFCE"/>
            <w:noWrap/>
            <w:vAlign w:val="center"/>
          </w:tcPr>
          <w:p w14:paraId="456AC0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2B568778" w14:textId="140EB4E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Zlepšenie kvality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použiteľnosti digitálnych verejných služieb T1</w:t>
            </w:r>
          </w:p>
        </w:tc>
        <w:tc>
          <w:tcPr>
            <w:tcW w:w="1701" w:type="dxa"/>
            <w:shd w:val="clear" w:color="auto" w:fill="C6EFCE"/>
            <w:noWrap/>
            <w:vAlign w:val="center"/>
          </w:tcPr>
          <w:p w14:paraId="3197CAC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274B196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Percento</w:t>
            </w:r>
          </w:p>
        </w:tc>
        <w:tc>
          <w:tcPr>
            <w:tcW w:w="1276" w:type="dxa"/>
            <w:shd w:val="clear" w:color="auto" w:fill="C6EFCE"/>
            <w:noWrap/>
            <w:vAlign w:val="center"/>
          </w:tcPr>
          <w:p w14:paraId="07192CA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1417" w:type="dxa"/>
            <w:shd w:val="clear" w:color="auto" w:fill="C6EFCE"/>
            <w:noWrap/>
            <w:vAlign w:val="center"/>
          </w:tcPr>
          <w:p w14:paraId="6BD1CB2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40</w:t>
            </w:r>
          </w:p>
        </w:tc>
        <w:tc>
          <w:tcPr>
            <w:tcW w:w="793" w:type="dxa"/>
            <w:shd w:val="clear" w:color="auto" w:fill="C6EFCE"/>
            <w:noWrap/>
            <w:vAlign w:val="center"/>
          </w:tcPr>
          <w:p w14:paraId="6A6C10A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4EC8B7F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84" w:type="dxa"/>
            <w:shd w:val="clear" w:color="auto" w:fill="C6EFCE"/>
            <w:noWrap/>
            <w:vAlign w:val="center"/>
          </w:tcPr>
          <w:p w14:paraId="5CD55740" w14:textId="7D931A46"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Správne orgány (obce, základné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stredoškolské vzdelávacie inštitúcie 1</w:t>
            </w:r>
            <w:r w:rsidR="00326E55" w:rsidRPr="00326E55">
              <w:rPr>
                <w:rFonts w:ascii="Times New Roman" w:hAnsi="Times New Roman"/>
                <w:noProof/>
                <w:spacing w:val="-6"/>
                <w:lang w:val="sk-SK"/>
              </w:rPr>
              <w:t>. a </w:t>
            </w:r>
            <w:r w:rsidRPr="00326E55">
              <w:rPr>
                <w:rFonts w:ascii="Times New Roman" w:hAnsi="Times New Roman"/>
                <w:noProof/>
                <w:spacing w:val="-6"/>
                <w:lang w:val="sk-SK"/>
              </w:rPr>
              <w:t>2. ročníka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špecifické pilotné subjekty zdravotnej </w:t>
            </w:r>
            <w:r w:rsidRPr="00326E55">
              <w:rPr>
                <w:rFonts w:ascii="Times New Roman" w:hAnsi="Times New Roman"/>
                <w:noProof/>
                <w:spacing w:val="-6"/>
                <w:lang w:val="sk-SK"/>
              </w:rPr>
              <w:t>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kultúrneho dedičstva), ktoré dodržiavajú spoločný model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systém navrhovania, zjednodušujú interakciu používateľov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uľahčujú údržbu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nadchádzajúcich rokoch</w:t>
            </w:r>
            <w:r w:rsidR="00326E55" w:rsidRPr="00326E55">
              <w:rPr>
                <w:rFonts w:ascii="Times New Roman" w:hAnsi="Times New Roman"/>
                <w:noProof/>
                <w:spacing w:val="-6"/>
                <w:lang w:val="sk-SK"/>
              </w:rPr>
              <w:t>.</w:t>
            </w:r>
          </w:p>
          <w:p w14:paraId="3240E66D" w14:textId="77777777" w:rsidR="00326E55"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Dodržiavanie spoločného dizajnu/modelu webových sídiel/služieb pozostáva z</w:t>
            </w:r>
            <w:r w:rsidR="00326E55" w:rsidRPr="00326E55">
              <w:rPr>
                <w:rFonts w:ascii="Times New Roman" w:hAnsi="Times New Roman"/>
                <w:noProof/>
                <w:spacing w:val="-6"/>
                <w:lang w:val="sk-SK"/>
              </w:rPr>
              <w:t>:</w:t>
            </w:r>
          </w:p>
          <w:p w14:paraId="413CC711" w14:textId="24281F2E"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(1) </w:t>
            </w:r>
            <w:r w:rsidRPr="00326E55">
              <w:rPr>
                <w:rFonts w:ascii="Times New Roman" w:hAnsi="Times New Roman"/>
                <w:noProof/>
                <w:spacing w:val="-6"/>
                <w:lang w:val="sk-SK"/>
              </w:rPr>
              <w:t>Hodnotenie predložených projektov;</w:t>
            </w:r>
          </w:p>
          <w:p w14:paraId="53ADAC38" w14:textId="5EEA34C4"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(2) Posúdenie dokončenia projektu na základe ukazovateľov kľúčovej použiteľnosti (skóre digitálnej použiteľnosti) prostredníctvom špecializovanej platformy, ktorá je už</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dispozícii.</w:t>
            </w:r>
          </w:p>
        </w:tc>
      </w:tr>
      <w:tr w:rsidR="00BF03AA" w:rsidRPr="00326E55" w14:paraId="04F0CD22" w14:textId="77777777">
        <w:trPr>
          <w:trHeight w:val="309"/>
        </w:trPr>
        <w:tc>
          <w:tcPr>
            <w:tcW w:w="1087" w:type="dxa"/>
            <w:shd w:val="clear" w:color="auto" w:fill="C6EFCE"/>
            <w:noWrap/>
            <w:vAlign w:val="center"/>
          </w:tcPr>
          <w:p w14:paraId="5946040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141</w:t>
            </w:r>
          </w:p>
        </w:tc>
        <w:tc>
          <w:tcPr>
            <w:tcW w:w="1943" w:type="dxa"/>
            <w:shd w:val="clear" w:color="auto" w:fill="C6EFCE"/>
            <w:noWrap/>
            <w:vAlign w:val="center"/>
          </w:tcPr>
          <w:p w14:paraId="6E14C3B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Investícia 1.6.4 – </w:t>
            </w:r>
            <w:r w:rsidRPr="00326E55">
              <w:rPr>
                <w:rFonts w:ascii="Times New Roman" w:hAnsi="Times New Roman"/>
                <w:noProof/>
                <w:spacing w:val="-6"/>
                <w:lang w:val="sk-SK"/>
              </w:rPr>
              <w:t>Digitalizácia ministerstva obrany</w:t>
            </w:r>
          </w:p>
        </w:tc>
        <w:tc>
          <w:tcPr>
            <w:tcW w:w="992" w:type="dxa"/>
            <w:shd w:val="clear" w:color="auto" w:fill="C6EFCE"/>
            <w:noWrap/>
            <w:vAlign w:val="center"/>
          </w:tcPr>
          <w:p w14:paraId="2DA4975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1E4F0BC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Digitalizácia postupov ministerstva obrany T2</w:t>
            </w:r>
          </w:p>
        </w:tc>
        <w:tc>
          <w:tcPr>
            <w:tcW w:w="1701" w:type="dxa"/>
            <w:shd w:val="clear" w:color="auto" w:fill="C6EFCE"/>
            <w:noWrap/>
            <w:vAlign w:val="center"/>
          </w:tcPr>
          <w:p w14:paraId="5983679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212B1D8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0E19551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15</w:t>
            </w:r>
          </w:p>
        </w:tc>
        <w:tc>
          <w:tcPr>
            <w:tcW w:w="1417" w:type="dxa"/>
            <w:shd w:val="clear" w:color="auto" w:fill="C6EFCE"/>
            <w:noWrap/>
            <w:vAlign w:val="center"/>
          </w:tcPr>
          <w:p w14:paraId="7CE1DC9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w:t>
            </w:r>
          </w:p>
        </w:tc>
        <w:tc>
          <w:tcPr>
            <w:tcW w:w="793" w:type="dxa"/>
            <w:shd w:val="clear" w:color="auto" w:fill="C6EFCE"/>
            <w:noWrap/>
            <w:vAlign w:val="center"/>
          </w:tcPr>
          <w:p w14:paraId="7FD7B3F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1120E0E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84" w:type="dxa"/>
            <w:shd w:val="clear" w:color="auto" w:fill="C6EFCE"/>
            <w:noWrap/>
            <w:vAlign w:val="center"/>
          </w:tcPr>
          <w:p w14:paraId="3561D338" w14:textId="40CB1014"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Digitalizácia, revízia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automatizácia 20 postupov týkajúcich sa riadenia personálu obrany (ako je nábor, zamestnanosť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odchod </w:t>
            </w:r>
            <w:r w:rsidRPr="00326E55">
              <w:rPr>
                <w:rFonts w:ascii="Times New Roman" w:hAnsi="Times New Roman"/>
                <w:noProof/>
                <w:spacing w:val="-6"/>
                <w:lang w:val="sk-SK"/>
              </w:rPr>
              <w:t>do dôchodku, zdravie zamestnancov), počnúc východiskovým bodom pätnástich už digitalizovaných postupov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1.</w:t>
            </w:r>
          </w:p>
        </w:tc>
      </w:tr>
      <w:tr w:rsidR="00BF03AA" w:rsidRPr="00326E55" w14:paraId="51DBA631" w14:textId="77777777">
        <w:trPr>
          <w:trHeight w:val="309"/>
        </w:trPr>
        <w:tc>
          <w:tcPr>
            <w:tcW w:w="1087" w:type="dxa"/>
            <w:shd w:val="clear" w:color="auto" w:fill="C6EFCE"/>
            <w:noWrap/>
            <w:vAlign w:val="center"/>
          </w:tcPr>
          <w:p w14:paraId="24FA574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142</w:t>
            </w:r>
          </w:p>
        </w:tc>
        <w:tc>
          <w:tcPr>
            <w:tcW w:w="1943" w:type="dxa"/>
            <w:shd w:val="clear" w:color="auto" w:fill="C6EFCE"/>
            <w:noWrap/>
            <w:vAlign w:val="center"/>
          </w:tcPr>
          <w:p w14:paraId="32F26AE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1.6.4 – Digitalizácia ministerstva obrany</w:t>
            </w:r>
          </w:p>
        </w:tc>
        <w:tc>
          <w:tcPr>
            <w:tcW w:w="992" w:type="dxa"/>
            <w:shd w:val="clear" w:color="auto" w:fill="C6EFCE"/>
            <w:noWrap/>
            <w:vAlign w:val="center"/>
          </w:tcPr>
          <w:p w14:paraId="18FADC6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6AE7459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Digitalizácia certifikátov ministerstva obrany T2</w:t>
            </w:r>
          </w:p>
        </w:tc>
        <w:tc>
          <w:tcPr>
            <w:tcW w:w="1701" w:type="dxa"/>
            <w:shd w:val="clear" w:color="auto" w:fill="C6EFCE"/>
            <w:noWrap/>
            <w:vAlign w:val="center"/>
          </w:tcPr>
          <w:p w14:paraId="4566C08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11F5A8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Počet </w:t>
            </w:r>
            <w:r w:rsidRPr="00326E55">
              <w:rPr>
                <w:rFonts w:ascii="Times New Roman" w:hAnsi="Times New Roman"/>
                <w:noProof/>
                <w:spacing w:val="-6"/>
                <w:lang w:val="sk-SK"/>
              </w:rPr>
              <w:t>digitalizovaných certifikátov</w:t>
            </w:r>
          </w:p>
        </w:tc>
        <w:tc>
          <w:tcPr>
            <w:tcW w:w="1276" w:type="dxa"/>
            <w:shd w:val="clear" w:color="auto" w:fill="C6EFCE"/>
            <w:noWrap/>
            <w:vAlign w:val="center"/>
          </w:tcPr>
          <w:p w14:paraId="184786D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450 000</w:t>
            </w:r>
          </w:p>
        </w:tc>
        <w:tc>
          <w:tcPr>
            <w:tcW w:w="1417" w:type="dxa"/>
            <w:shd w:val="clear" w:color="auto" w:fill="C6EFCE"/>
            <w:noWrap/>
            <w:vAlign w:val="center"/>
          </w:tcPr>
          <w:p w14:paraId="0B0BD3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750 000</w:t>
            </w:r>
          </w:p>
        </w:tc>
        <w:tc>
          <w:tcPr>
            <w:tcW w:w="793" w:type="dxa"/>
            <w:shd w:val="clear" w:color="auto" w:fill="C6EFCE"/>
            <w:noWrap/>
            <w:vAlign w:val="center"/>
          </w:tcPr>
          <w:p w14:paraId="5FC8103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1923248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84" w:type="dxa"/>
            <w:shd w:val="clear" w:color="auto" w:fill="C6EFCE"/>
            <w:noWrap/>
            <w:vAlign w:val="center"/>
          </w:tcPr>
          <w:p w14:paraId="743C8C34" w14:textId="01150758"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Počet digitalizovaných osvedčení totožnosti (750000) vydaných ministerstvom obrany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prevádzkovaných do infraštruktúry doplnených miestom obnovy po havárii, počnúc východiskovým číslom 4500</w:t>
            </w:r>
            <w:r w:rsidRPr="00326E55">
              <w:rPr>
                <w:rFonts w:ascii="Times New Roman" w:hAnsi="Times New Roman"/>
                <w:noProof/>
                <w:spacing w:val="-6"/>
                <w:lang w:val="sk-SK"/>
              </w:rPr>
              <w:t>00 už digitalizovaných certifikátov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1.</w:t>
            </w:r>
          </w:p>
        </w:tc>
      </w:tr>
      <w:tr w:rsidR="00BF03AA" w:rsidRPr="00326E55" w14:paraId="130A4FE3" w14:textId="77777777">
        <w:trPr>
          <w:trHeight w:val="309"/>
        </w:trPr>
        <w:tc>
          <w:tcPr>
            <w:tcW w:w="1087" w:type="dxa"/>
            <w:shd w:val="clear" w:color="auto" w:fill="C6EFCE"/>
            <w:noWrap/>
            <w:vAlign w:val="center"/>
          </w:tcPr>
          <w:p w14:paraId="7283970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143</w:t>
            </w:r>
          </w:p>
        </w:tc>
        <w:tc>
          <w:tcPr>
            <w:tcW w:w="1943" w:type="dxa"/>
            <w:shd w:val="clear" w:color="auto" w:fill="C6EFCE"/>
            <w:noWrap/>
            <w:vAlign w:val="center"/>
          </w:tcPr>
          <w:p w14:paraId="3D455FE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1.6.4 – Digitalizácia ministerstva obrany</w:t>
            </w:r>
          </w:p>
        </w:tc>
        <w:tc>
          <w:tcPr>
            <w:tcW w:w="992" w:type="dxa"/>
            <w:shd w:val="clear" w:color="auto" w:fill="C6EFCE"/>
            <w:noWrap/>
            <w:vAlign w:val="center"/>
          </w:tcPr>
          <w:p w14:paraId="297CE6A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37AA58CF" w14:textId="619D575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Ministerstvo obrany – Migrácia kritických aplikácií misie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aplikácií, ktoré nesúvisia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misiou, do riešenia na úplnú ochranu informácií </w:t>
            </w:r>
            <w:r w:rsidRPr="00326E55">
              <w:rPr>
                <w:rFonts w:ascii="Times New Roman" w:hAnsi="Times New Roman"/>
                <w:noProof/>
                <w:spacing w:val="-6"/>
                <w:lang w:val="sk-SK"/>
              </w:rPr>
              <w:t>prostredníctvom otvorenosti infraštruktúry (S.C.I.P.I.O.) T2</w:t>
            </w:r>
          </w:p>
        </w:tc>
        <w:tc>
          <w:tcPr>
            <w:tcW w:w="1701" w:type="dxa"/>
            <w:shd w:val="clear" w:color="auto" w:fill="C6EFCE"/>
            <w:noWrap/>
            <w:vAlign w:val="center"/>
          </w:tcPr>
          <w:p w14:paraId="1D1DCE8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1B87BB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411F9E3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10</w:t>
            </w:r>
          </w:p>
        </w:tc>
        <w:tc>
          <w:tcPr>
            <w:tcW w:w="1417" w:type="dxa"/>
            <w:shd w:val="clear" w:color="auto" w:fill="C6EFCE"/>
            <w:noWrap/>
            <w:vAlign w:val="center"/>
          </w:tcPr>
          <w:p w14:paraId="750487A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15</w:t>
            </w:r>
          </w:p>
        </w:tc>
        <w:tc>
          <w:tcPr>
            <w:tcW w:w="793" w:type="dxa"/>
            <w:shd w:val="clear" w:color="auto" w:fill="C6EFCE"/>
            <w:noWrap/>
            <w:vAlign w:val="center"/>
          </w:tcPr>
          <w:p w14:paraId="49D5FBC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3129960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84" w:type="dxa"/>
            <w:shd w:val="clear" w:color="auto" w:fill="C6EFCE"/>
            <w:noWrap/>
            <w:vAlign w:val="center"/>
          </w:tcPr>
          <w:p w14:paraId="236C767D" w14:textId="028716C8"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Konečná migrácia štyroch kritických aplikácií misie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jedenástich aplikácií, ktoré nie sú kritické pre misiu, na novú infraštruktúru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otvoreným zdrojov</w:t>
            </w:r>
            <w:r w:rsidRPr="00326E55">
              <w:rPr>
                <w:rFonts w:ascii="Times New Roman" w:hAnsi="Times New Roman"/>
                <w:noProof/>
                <w:spacing w:val="-6"/>
                <w:lang w:val="sk-SK"/>
              </w:rPr>
              <w:t>ým kódom, ktorá zahŕňa zavádzanie hardvérového prostredia, inštaláciu komponentov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otvoreným zdrojovým kódom midlvéru, rekonštrukciu aplikácií, počnúc základným scenárom desiatich už presunutých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1.</w:t>
            </w:r>
          </w:p>
        </w:tc>
      </w:tr>
      <w:tr w:rsidR="00BF03AA" w:rsidRPr="00326E55" w14:paraId="220A4F3C" w14:textId="77777777">
        <w:trPr>
          <w:trHeight w:val="309"/>
        </w:trPr>
        <w:tc>
          <w:tcPr>
            <w:tcW w:w="1087" w:type="dxa"/>
            <w:shd w:val="clear" w:color="auto" w:fill="C6EFCE"/>
            <w:noWrap/>
            <w:vAlign w:val="center"/>
          </w:tcPr>
          <w:p w14:paraId="6097D06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145</w:t>
            </w:r>
          </w:p>
        </w:tc>
        <w:tc>
          <w:tcPr>
            <w:tcW w:w="1943" w:type="dxa"/>
            <w:shd w:val="clear" w:color="auto" w:fill="C6EFCE"/>
            <w:noWrap/>
            <w:vAlign w:val="center"/>
          </w:tcPr>
          <w:p w14:paraId="3B2333C5" w14:textId="6E9CC0B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1.4.4 – Možnosť rozšíriť </w:t>
            </w:r>
            <w:r w:rsidRPr="00326E55">
              <w:rPr>
                <w:rFonts w:ascii="Times New Roman" w:hAnsi="Times New Roman"/>
                <w:noProof/>
                <w:spacing w:val="-6"/>
                <w:lang w:val="sk-SK"/>
              </w:rPr>
              <w:t>národné platformy digitálnej identity (SPID, 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národný register (ANPR)</w:t>
            </w:r>
          </w:p>
        </w:tc>
        <w:tc>
          <w:tcPr>
            <w:tcW w:w="992" w:type="dxa"/>
            <w:shd w:val="clear" w:color="auto" w:fill="C6EFCE"/>
            <w:noWrap/>
            <w:vAlign w:val="center"/>
          </w:tcPr>
          <w:p w14:paraId="5085EE6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3D18879E" w14:textId="4A66761E"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Národná platforma digitálnej identity (CIE)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národný register (ANPR)</w:t>
            </w:r>
          </w:p>
        </w:tc>
        <w:tc>
          <w:tcPr>
            <w:tcW w:w="1701" w:type="dxa"/>
            <w:shd w:val="clear" w:color="auto" w:fill="C6EFCE"/>
            <w:noWrap/>
            <w:vAlign w:val="center"/>
          </w:tcPr>
          <w:p w14:paraId="71177ED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2D69815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4393462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9 700 000</w:t>
            </w:r>
          </w:p>
        </w:tc>
        <w:tc>
          <w:tcPr>
            <w:tcW w:w="1417" w:type="dxa"/>
            <w:shd w:val="clear" w:color="auto" w:fill="C6EFCE"/>
            <w:noWrap/>
            <w:vAlign w:val="center"/>
          </w:tcPr>
          <w:p w14:paraId="03F77A2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42 300 000</w:t>
            </w:r>
          </w:p>
        </w:tc>
        <w:tc>
          <w:tcPr>
            <w:tcW w:w="793" w:type="dxa"/>
            <w:shd w:val="clear" w:color="auto" w:fill="C6EFCE"/>
            <w:noWrap/>
            <w:vAlign w:val="center"/>
          </w:tcPr>
          <w:p w14:paraId="4815C2D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5" w:type="dxa"/>
            <w:shd w:val="clear" w:color="auto" w:fill="C6EFCE"/>
            <w:noWrap/>
            <w:vAlign w:val="center"/>
          </w:tcPr>
          <w:p w14:paraId="05DFC2E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584" w:type="dxa"/>
            <w:shd w:val="clear" w:color="auto" w:fill="C6EFCE"/>
            <w:noWrap/>
            <w:vAlign w:val="center"/>
          </w:tcPr>
          <w:p w14:paraId="74454F90" w14:textId="2375ED6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 národnej platforme digitálnej identity (CIE)</w:t>
            </w:r>
            <w:r w:rsidRPr="00326E55">
              <w:rPr>
                <w:rFonts w:ascii="Times New Roman" w:hAnsi="Times New Roman"/>
                <w:noProof/>
                <w:spacing w:val="-6"/>
                <w:lang w:val="sk-SK"/>
              </w:rPr>
              <w:t xml:space="preserve"> je zaregistrovaných 42300000 osôb</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platnou digitálnou identitou.</w:t>
            </w:r>
          </w:p>
        </w:tc>
      </w:tr>
      <w:tr w:rsidR="00BF03AA" w:rsidRPr="00326E55" w14:paraId="79BB774B" w14:textId="77777777">
        <w:trPr>
          <w:trHeight w:val="309"/>
        </w:trPr>
        <w:tc>
          <w:tcPr>
            <w:tcW w:w="1087" w:type="dxa"/>
            <w:shd w:val="clear" w:color="auto" w:fill="C6EFCE"/>
            <w:noWrap/>
            <w:vAlign w:val="center"/>
          </w:tcPr>
          <w:p w14:paraId="008E777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146</w:t>
            </w:r>
          </w:p>
        </w:tc>
        <w:tc>
          <w:tcPr>
            <w:tcW w:w="1943" w:type="dxa"/>
            <w:shd w:val="clear" w:color="auto" w:fill="C6EFCE"/>
            <w:noWrap/>
            <w:vAlign w:val="center"/>
          </w:tcPr>
          <w:p w14:paraId="748981FE" w14:textId="1F0DCBB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1.4.4 – Rozšírenie prijatia národných platforiem digitálnej identity (SPID, 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národného registra (ANPR)</w:t>
            </w:r>
          </w:p>
        </w:tc>
        <w:tc>
          <w:tcPr>
            <w:tcW w:w="992" w:type="dxa"/>
            <w:shd w:val="clear" w:color="auto" w:fill="C6EFCE"/>
            <w:noWrap/>
            <w:vAlign w:val="center"/>
          </w:tcPr>
          <w:p w14:paraId="5A4CD9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514E207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Národné platformy digitálnej identity (SPID) </w:t>
            </w:r>
          </w:p>
        </w:tc>
        <w:tc>
          <w:tcPr>
            <w:tcW w:w="1701" w:type="dxa"/>
            <w:shd w:val="clear" w:color="auto" w:fill="C6EFCE"/>
            <w:noWrap/>
            <w:vAlign w:val="center"/>
          </w:tcPr>
          <w:p w14:paraId="3D41404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0B4B36E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5F866A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417" w:type="dxa"/>
            <w:shd w:val="clear" w:color="auto" w:fill="C6EFCE"/>
            <w:noWrap/>
            <w:vAlign w:val="center"/>
          </w:tcPr>
          <w:p w14:paraId="429F53A8" w14:textId="77777777" w:rsidR="00BF03AA" w:rsidRPr="00326E55" w:rsidRDefault="00FB452D">
            <w:pPr>
              <w:pStyle w:val="P68B1DB1-Normal24"/>
              <w:jc w:val="center"/>
              <w:rPr>
                <w:rFonts w:ascii="Times New Roman" w:hAnsi="Times New Roman" w:hint="default"/>
                <w:noProof/>
                <w:spacing w:val="-6"/>
                <w:szCs w:val="20"/>
                <w:lang w:val="sk-SK"/>
              </w:rPr>
            </w:pPr>
            <w:r w:rsidRPr="00326E55">
              <w:rPr>
                <w:rFonts w:ascii="Times New Roman" w:hAnsi="Times New Roman"/>
                <w:noProof/>
                <w:spacing w:val="-6"/>
                <w:lang w:val="sk-SK"/>
              </w:rPr>
              <w:t>10 217</w:t>
            </w:r>
          </w:p>
        </w:tc>
        <w:tc>
          <w:tcPr>
            <w:tcW w:w="793" w:type="dxa"/>
            <w:shd w:val="clear" w:color="auto" w:fill="C6EFCE"/>
            <w:noWrap/>
            <w:vAlign w:val="center"/>
          </w:tcPr>
          <w:p w14:paraId="7559333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25" w:type="dxa"/>
            <w:shd w:val="clear" w:color="auto" w:fill="C6EFCE"/>
            <w:noWrap/>
            <w:vAlign w:val="center"/>
          </w:tcPr>
          <w:p w14:paraId="7A0DAC8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584" w:type="dxa"/>
            <w:shd w:val="clear" w:color="auto" w:fill="C6EFCE"/>
            <w:noWrap/>
            <w:vAlign w:val="center"/>
          </w:tcPr>
          <w:p w14:paraId="799F9246"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Po 3. decembri 2021 prijalo elektronickú identifikáciu (eID) prostredníctvom verejného systému digitálnej identity (SPID) 10217 subjektov.</w:t>
            </w:r>
          </w:p>
        </w:tc>
      </w:tr>
      <w:tr w:rsidR="00BF03AA" w:rsidRPr="00326E55" w14:paraId="66EF4704" w14:textId="77777777">
        <w:trPr>
          <w:trHeight w:val="309"/>
        </w:trPr>
        <w:tc>
          <w:tcPr>
            <w:tcW w:w="1087" w:type="dxa"/>
            <w:shd w:val="clear" w:color="auto" w:fill="C6EFCE"/>
            <w:noWrap/>
            <w:vAlign w:val="center"/>
          </w:tcPr>
          <w:p w14:paraId="39CB895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M1C1 – 151</w:t>
            </w:r>
          </w:p>
        </w:tc>
        <w:tc>
          <w:tcPr>
            <w:tcW w:w="1943" w:type="dxa"/>
            <w:shd w:val="clear" w:color="auto" w:fill="C6EFCE"/>
            <w:noWrap/>
            <w:vAlign w:val="center"/>
          </w:tcPr>
          <w:p w14:paraId="506133C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1.4.5 – Digitalizácia verejných oznamov</w:t>
            </w:r>
          </w:p>
        </w:tc>
        <w:tc>
          <w:tcPr>
            <w:tcW w:w="992" w:type="dxa"/>
            <w:shd w:val="clear" w:color="auto" w:fill="C6EFCE"/>
            <w:noWrap/>
            <w:vAlign w:val="center"/>
          </w:tcPr>
          <w:p w14:paraId="3C0D7E8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6CBC550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Prijatie platformy digitálneho oznamovania T2</w:t>
            </w:r>
          </w:p>
        </w:tc>
        <w:tc>
          <w:tcPr>
            <w:tcW w:w="1701" w:type="dxa"/>
            <w:shd w:val="clear" w:color="auto" w:fill="C6EFCE"/>
            <w:noWrap/>
            <w:vAlign w:val="center"/>
          </w:tcPr>
          <w:p w14:paraId="10164EF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42E07C1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3905BC8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800</w:t>
            </w:r>
          </w:p>
        </w:tc>
        <w:tc>
          <w:tcPr>
            <w:tcW w:w="1417" w:type="dxa"/>
            <w:shd w:val="clear" w:color="auto" w:fill="C6EFCE"/>
            <w:noWrap/>
            <w:vAlign w:val="center"/>
          </w:tcPr>
          <w:p w14:paraId="2C1E3AA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6 400</w:t>
            </w:r>
          </w:p>
        </w:tc>
        <w:tc>
          <w:tcPr>
            <w:tcW w:w="793" w:type="dxa"/>
            <w:shd w:val="clear" w:color="auto" w:fill="C6EFCE"/>
            <w:noWrap/>
            <w:vAlign w:val="center"/>
          </w:tcPr>
          <w:p w14:paraId="1EBD91B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25" w:type="dxa"/>
            <w:shd w:val="clear" w:color="auto" w:fill="C6EFCE"/>
            <w:noWrap/>
            <w:vAlign w:val="center"/>
          </w:tcPr>
          <w:p w14:paraId="698C841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584" w:type="dxa"/>
            <w:shd w:val="clear" w:color="auto" w:fill="C6EFCE"/>
            <w:noWrap/>
            <w:vAlign w:val="center"/>
          </w:tcPr>
          <w:p w14:paraId="4EB3E89A" w14:textId="62E9C8C6"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Najmenej 6400 orgánov verejnej správy používa platformu digitálneho oznamovania (DNP) na zasielanie právne záväzných digitálnych oznámení občanom, podnikom, združen</w:t>
            </w:r>
            <w:r w:rsidRPr="00326E55">
              <w:rPr>
                <w:rFonts w:ascii="Times New Roman" w:hAnsi="Times New Roman"/>
                <w:noProof/>
                <w:spacing w:val="-6"/>
                <w:lang w:val="sk-SK"/>
              </w:rPr>
              <w:t>iam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iným subjektom.</w:t>
            </w:r>
          </w:p>
        </w:tc>
      </w:tr>
      <w:tr w:rsidR="00BF03AA" w:rsidRPr="00326E55" w14:paraId="4221523A" w14:textId="77777777">
        <w:trPr>
          <w:trHeight w:val="309"/>
        </w:trPr>
        <w:tc>
          <w:tcPr>
            <w:tcW w:w="1087" w:type="dxa"/>
            <w:shd w:val="clear" w:color="auto" w:fill="C6EFCE"/>
            <w:noWrap/>
            <w:vAlign w:val="center"/>
          </w:tcPr>
          <w:p w14:paraId="5FAB16E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M1C1 – 155</w:t>
            </w:r>
          </w:p>
        </w:tc>
        <w:tc>
          <w:tcPr>
            <w:tcW w:w="1943" w:type="dxa"/>
            <w:shd w:val="clear" w:color="auto" w:fill="C6EFCE"/>
            <w:noWrap/>
            <w:vAlign w:val="center"/>
          </w:tcPr>
          <w:p w14:paraId="419B63BB" w14:textId="46D80A7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1.6.3 – Digitalizácia Národného inštitútu sociálneho zabezpečenia (INPS)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Národného inštitútu poistenia proti pracovným úrazom (INAIL)</w:t>
            </w:r>
          </w:p>
        </w:tc>
        <w:tc>
          <w:tcPr>
            <w:tcW w:w="992" w:type="dxa"/>
            <w:shd w:val="clear" w:color="auto" w:fill="C6EFCE"/>
            <w:noWrap/>
            <w:vAlign w:val="center"/>
          </w:tcPr>
          <w:p w14:paraId="014DCA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126" w:type="dxa"/>
            <w:shd w:val="clear" w:color="auto" w:fill="C6EFCE"/>
            <w:noWrap/>
            <w:vAlign w:val="center"/>
          </w:tcPr>
          <w:p w14:paraId="205AF0F1" w14:textId="274283A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INAIL – Rekonštruované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digitalizované procesy/služby T2</w:t>
            </w:r>
          </w:p>
        </w:tc>
        <w:tc>
          <w:tcPr>
            <w:tcW w:w="1701" w:type="dxa"/>
            <w:shd w:val="clear" w:color="auto" w:fill="C6EFCE"/>
            <w:noWrap/>
            <w:vAlign w:val="center"/>
          </w:tcPr>
          <w:p w14:paraId="5BDA1C6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597F778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0A18BCA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53</w:t>
            </w:r>
          </w:p>
        </w:tc>
        <w:tc>
          <w:tcPr>
            <w:tcW w:w="1417" w:type="dxa"/>
            <w:shd w:val="clear" w:color="auto" w:fill="C6EFCE"/>
            <w:noWrap/>
            <w:vAlign w:val="center"/>
          </w:tcPr>
          <w:p w14:paraId="720A00E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82</w:t>
            </w:r>
          </w:p>
        </w:tc>
        <w:tc>
          <w:tcPr>
            <w:tcW w:w="793" w:type="dxa"/>
            <w:shd w:val="clear" w:color="auto" w:fill="C6EFCE"/>
            <w:noWrap/>
            <w:vAlign w:val="center"/>
          </w:tcPr>
          <w:p w14:paraId="04D1542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25" w:type="dxa"/>
            <w:shd w:val="clear" w:color="auto" w:fill="C6EFCE"/>
            <w:noWrap/>
            <w:vAlign w:val="center"/>
          </w:tcPr>
          <w:p w14:paraId="6D96BC9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584" w:type="dxa"/>
            <w:shd w:val="clear" w:color="auto" w:fill="C6EFCE"/>
            <w:noWrap/>
            <w:vAlign w:val="center"/>
          </w:tcPr>
          <w:p w14:paraId="4ACD5421" w14:textId="6BBBC9BC"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82 procesov alebo služieb sa rekonštruuje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digitalizuje. Dotknutými oblasťami INAIL sú: Poisťovacie, sociálne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zdravotné služby, prevencia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bezpečnosť, certifikácia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overovanie.</w:t>
            </w:r>
          </w:p>
        </w:tc>
      </w:tr>
    </w:tbl>
    <w:p w14:paraId="135C458D" w14:textId="77777777" w:rsidR="00BF03AA" w:rsidRPr="00326E55" w:rsidRDefault="00BF03AA">
      <w:pPr>
        <w:pStyle w:val="Heading2"/>
        <w:rPr>
          <w:rFonts w:ascii="Times New Roman" w:hAnsi="Times New Roman"/>
          <w:noProof/>
          <w:spacing w:val="-6"/>
          <w:lang w:val="sk-SK"/>
        </w:rPr>
      </w:pPr>
    </w:p>
    <w:p w14:paraId="471A4B70" w14:textId="77777777" w:rsidR="00BF03AA" w:rsidRPr="00326E55" w:rsidRDefault="00BF03AA">
      <w:pPr>
        <w:rPr>
          <w:rFonts w:ascii="Times New Roman" w:eastAsia="Times New Roman" w:hAnsi="Times New Roman" w:cs="Times New Roman"/>
          <w:b/>
          <w:bCs/>
          <w:noProof/>
          <w:spacing w:val="-6"/>
          <w:lang w:val="sk-SK"/>
        </w:rPr>
        <w:sectPr w:rsidR="00BF03AA" w:rsidRPr="00326E55" w:rsidSect="000A4766">
          <w:headerReference w:type="default" r:id="rId38"/>
          <w:footerReference w:type="default" r:id="rId39"/>
          <w:pgSz w:w="16838" w:h="11906" w:orient="landscape"/>
          <w:pgMar w:top="1440" w:right="1440" w:bottom="1440" w:left="1440" w:header="708" w:footer="708" w:gutter="0"/>
          <w:cols w:space="708"/>
          <w:docGrid w:linePitch="360"/>
        </w:sectPr>
      </w:pPr>
    </w:p>
    <w:p w14:paraId="426A21A3" w14:textId="5E2EF6D7" w:rsidR="00BF03AA" w:rsidRPr="00326E55" w:rsidRDefault="00FB452D">
      <w:pPr>
        <w:pStyle w:val="P68B1DB1-Heading23"/>
        <w:numPr>
          <w:ilvl w:val="0"/>
          <w:numId w:val="68"/>
        </w:numPr>
        <w:spacing w:line="279" w:lineRule="auto"/>
        <w:rPr>
          <w:bCs/>
          <w:noProof/>
          <w:spacing w:val="-6"/>
          <w:lang w:val="sk-SK"/>
        </w:rPr>
      </w:pPr>
      <w:r w:rsidRPr="00326E55">
        <w:rPr>
          <w:noProof/>
          <w:spacing w:val="-6"/>
          <w:lang w:val="sk-SK"/>
        </w:rPr>
        <w:t>ÚLOHA 1 ZLOŽKA 2:</w:t>
      </w:r>
    </w:p>
    <w:p w14:paraId="7C99537C" w14:textId="44CF2021" w:rsidR="00BF03AA" w:rsidRPr="00326E55" w:rsidRDefault="00FB452D">
      <w:pPr>
        <w:pStyle w:val="P68B1DB1-Normal25"/>
        <w:spacing w:before="120" w:after="120"/>
        <w:jc w:val="both"/>
        <w:rPr>
          <w:bCs/>
          <w:noProof/>
          <w:spacing w:val="-6"/>
          <w:lang w:val="sk-SK"/>
        </w:rPr>
      </w:pPr>
      <w:r w:rsidRPr="00326E55">
        <w:rPr>
          <w:noProof/>
          <w:spacing w:val="-6"/>
          <w:lang w:val="sk-SK"/>
        </w:rPr>
        <w:t>Os 1 – Digitalizácia, inovácie</w:t>
      </w:r>
      <w:r w:rsidR="00326E55" w:rsidRPr="00326E55">
        <w:rPr>
          <w:noProof/>
          <w:spacing w:val="-6"/>
          <w:lang w:val="sk-SK"/>
        </w:rPr>
        <w:t xml:space="preserve"> a </w:t>
      </w:r>
      <w:r w:rsidRPr="00326E55">
        <w:rPr>
          <w:noProof/>
          <w:spacing w:val="-6"/>
          <w:lang w:val="sk-SK"/>
        </w:rPr>
        <w:t>konkurencieschopnosť výrobného systému</w:t>
      </w:r>
    </w:p>
    <w:p w14:paraId="2124C41E" w14:textId="350C236C" w:rsidR="00BF03AA" w:rsidRPr="00326E55" w:rsidRDefault="00FB452D">
      <w:pPr>
        <w:pStyle w:val="P68B1DB1-Normal7"/>
        <w:spacing w:before="120" w:after="120"/>
        <w:jc w:val="both"/>
        <w:rPr>
          <w:noProof/>
          <w:spacing w:val="-6"/>
          <w:lang w:val="sk-SK"/>
        </w:rPr>
      </w:pPr>
      <w:r w:rsidRPr="00326E55">
        <w:rPr>
          <w:noProof/>
          <w:spacing w:val="-6"/>
          <w:lang w:val="sk-SK"/>
        </w:rPr>
        <w:t>Os 1 komponentu 2 úlohy 1 talianskeho plánu obnovy</w:t>
      </w:r>
      <w:r w:rsidR="00326E55" w:rsidRPr="00326E55">
        <w:rPr>
          <w:noProof/>
          <w:spacing w:val="-6"/>
          <w:lang w:val="sk-SK"/>
        </w:rPr>
        <w:t xml:space="preserve"> a </w:t>
      </w:r>
      <w:r w:rsidRPr="00326E55">
        <w:rPr>
          <w:noProof/>
          <w:spacing w:val="-6"/>
          <w:lang w:val="sk-SK"/>
        </w:rPr>
        <w:t>odolnosti sa týka investícií</w:t>
      </w:r>
      <w:r w:rsidR="00326E55" w:rsidRPr="00326E55">
        <w:rPr>
          <w:noProof/>
          <w:spacing w:val="-6"/>
          <w:lang w:val="sk-SK"/>
        </w:rPr>
        <w:t xml:space="preserve"> a </w:t>
      </w:r>
      <w:r w:rsidRPr="00326E55">
        <w:rPr>
          <w:noProof/>
          <w:spacing w:val="-6"/>
          <w:lang w:val="sk-SK"/>
        </w:rPr>
        <w:t xml:space="preserve">reforiem zameraných najmä na i) podporu digitálnej </w:t>
      </w:r>
      <w:r w:rsidRPr="00326E55">
        <w:rPr>
          <w:noProof/>
          <w:spacing w:val="-6"/>
          <w:lang w:val="sk-SK"/>
        </w:rPr>
        <w:t>transformácie</w:t>
      </w:r>
      <w:r w:rsidR="00326E55" w:rsidRPr="00326E55">
        <w:rPr>
          <w:noProof/>
          <w:spacing w:val="-6"/>
          <w:lang w:val="sk-SK"/>
        </w:rPr>
        <w:t xml:space="preserve"> a </w:t>
      </w:r>
      <w:r w:rsidRPr="00326E55">
        <w:rPr>
          <w:noProof/>
          <w:spacing w:val="-6"/>
          <w:lang w:val="sk-SK"/>
        </w:rPr>
        <w:t>inovácie výrobného systému prostredníctvom stimulov na investície do technológií, výskumu, vývoja</w:t>
      </w:r>
      <w:r w:rsidR="00326E55" w:rsidRPr="00326E55">
        <w:rPr>
          <w:noProof/>
          <w:spacing w:val="-6"/>
          <w:lang w:val="sk-SK"/>
        </w:rPr>
        <w:t xml:space="preserve"> a </w:t>
      </w:r>
      <w:r w:rsidRPr="00326E55">
        <w:rPr>
          <w:noProof/>
          <w:spacing w:val="-6"/>
          <w:lang w:val="sk-SK"/>
        </w:rPr>
        <w:t>inovácií; II) zavádzanie ultrarýchleho širokopásmového pripojenia</w:t>
      </w:r>
      <w:r w:rsidR="00326E55" w:rsidRPr="00326E55">
        <w:rPr>
          <w:noProof/>
          <w:spacing w:val="-6"/>
          <w:lang w:val="sk-SK"/>
        </w:rPr>
        <w:t xml:space="preserve"> a </w:t>
      </w:r>
      <w:r w:rsidRPr="00326E55">
        <w:rPr>
          <w:noProof/>
          <w:spacing w:val="-6"/>
          <w:lang w:val="sk-SK"/>
        </w:rPr>
        <w:t>sietí 5G na zmenšenie digitálnej priepasti, ako aj satelitných konštelác</w:t>
      </w:r>
      <w:r w:rsidRPr="00326E55">
        <w:rPr>
          <w:noProof/>
          <w:spacing w:val="-6"/>
          <w:lang w:val="sk-SK"/>
        </w:rPr>
        <w:t>ií</w:t>
      </w:r>
      <w:r w:rsidR="00326E55" w:rsidRPr="00326E55">
        <w:rPr>
          <w:noProof/>
          <w:spacing w:val="-6"/>
          <w:lang w:val="sk-SK"/>
        </w:rPr>
        <w:t xml:space="preserve"> a </w:t>
      </w:r>
      <w:r w:rsidRPr="00326E55">
        <w:rPr>
          <w:noProof/>
          <w:spacing w:val="-6"/>
          <w:lang w:val="sk-SK"/>
        </w:rPr>
        <w:t>služieb; III) podpora rozvoja strategických hodnotových reťazcov</w:t>
      </w:r>
      <w:r w:rsidR="00326E55" w:rsidRPr="00326E55">
        <w:rPr>
          <w:noProof/>
          <w:spacing w:val="-6"/>
          <w:lang w:val="sk-SK"/>
        </w:rPr>
        <w:t xml:space="preserve"> a </w:t>
      </w:r>
      <w:r w:rsidRPr="00326E55">
        <w:rPr>
          <w:noProof/>
          <w:spacing w:val="-6"/>
          <w:lang w:val="sk-SK"/>
        </w:rPr>
        <w:t>podpora konkurencieschopnosti spoločností so zameraním na MSP.</w:t>
      </w:r>
    </w:p>
    <w:p w14:paraId="1A848758" w14:textId="3AAE9AF3" w:rsidR="00BF03AA" w:rsidRPr="00326E55" w:rsidRDefault="00FB452D">
      <w:pPr>
        <w:pStyle w:val="P68B1DB1-Normal7"/>
        <w:spacing w:before="120" w:after="120"/>
        <w:jc w:val="both"/>
        <w:rPr>
          <w:noProof/>
          <w:spacing w:val="-6"/>
          <w:lang w:val="sk-SK"/>
        </w:rPr>
      </w:pPr>
      <w:r w:rsidRPr="00326E55">
        <w:rPr>
          <w:noProof/>
          <w:spacing w:val="-6"/>
          <w:lang w:val="sk-SK"/>
        </w:rPr>
        <w:t>Cieľom opatrení</w:t>
      </w:r>
      <w:r w:rsidR="00326E55" w:rsidRPr="00326E55">
        <w:rPr>
          <w:noProof/>
          <w:spacing w:val="-6"/>
          <w:lang w:val="sk-SK"/>
        </w:rPr>
        <w:t xml:space="preserve"> v </w:t>
      </w:r>
      <w:r w:rsidRPr="00326E55">
        <w:rPr>
          <w:noProof/>
          <w:spacing w:val="-6"/>
          <w:lang w:val="sk-SK"/>
        </w:rPr>
        <w:t>rámci tohto komponentu je riešiť nedostatky vyplývajúce</w:t>
      </w:r>
      <w:r w:rsidR="00326E55" w:rsidRPr="00326E55">
        <w:rPr>
          <w:noProof/>
          <w:spacing w:val="-6"/>
          <w:lang w:val="sk-SK"/>
        </w:rPr>
        <w:t xml:space="preserve"> z </w:t>
      </w:r>
      <w:r w:rsidRPr="00326E55">
        <w:rPr>
          <w:noProof/>
          <w:spacing w:val="-6"/>
          <w:lang w:val="sk-SK"/>
        </w:rPr>
        <w:t>indexu digitálnej ekonomiky</w:t>
      </w:r>
      <w:r w:rsidR="00326E55" w:rsidRPr="00326E55">
        <w:rPr>
          <w:noProof/>
          <w:spacing w:val="-6"/>
          <w:lang w:val="sk-SK"/>
        </w:rPr>
        <w:t xml:space="preserve"> a </w:t>
      </w:r>
      <w:r w:rsidRPr="00326E55">
        <w:rPr>
          <w:noProof/>
          <w:spacing w:val="-6"/>
          <w:lang w:val="sk-SK"/>
        </w:rPr>
        <w:t>spoločnosti (DE</w:t>
      </w:r>
      <w:r w:rsidRPr="00326E55">
        <w:rPr>
          <w:noProof/>
          <w:spacing w:val="-6"/>
          <w:lang w:val="sk-SK"/>
        </w:rPr>
        <w:t>SI) za rok 2020, pokiaľ ide</w:t>
      </w:r>
      <w:r w:rsidR="00326E55" w:rsidRPr="00326E55">
        <w:rPr>
          <w:noProof/>
          <w:spacing w:val="-6"/>
          <w:lang w:val="sk-SK"/>
        </w:rPr>
        <w:t xml:space="preserve"> o </w:t>
      </w:r>
      <w:r w:rsidRPr="00326E55">
        <w:rPr>
          <w:noProof/>
          <w:spacing w:val="-6"/>
          <w:lang w:val="sk-SK"/>
        </w:rPr>
        <w:t>digitálnu transformáciu podnikov</w:t>
      </w:r>
      <w:r w:rsidR="00326E55" w:rsidRPr="00326E55">
        <w:rPr>
          <w:noProof/>
          <w:spacing w:val="-6"/>
          <w:lang w:val="sk-SK"/>
        </w:rPr>
        <w:t xml:space="preserve"> a </w:t>
      </w:r>
      <w:r w:rsidRPr="00326E55">
        <w:rPr>
          <w:noProof/>
          <w:spacing w:val="-6"/>
          <w:lang w:val="sk-SK"/>
        </w:rPr>
        <w:t>nedostatky</w:t>
      </w:r>
      <w:r w:rsidR="00326E55" w:rsidRPr="00326E55">
        <w:rPr>
          <w:noProof/>
          <w:spacing w:val="-6"/>
          <w:lang w:val="sk-SK"/>
        </w:rPr>
        <w:t xml:space="preserve"> v </w:t>
      </w:r>
      <w:r w:rsidRPr="00326E55">
        <w:rPr>
          <w:noProof/>
          <w:spacing w:val="-6"/>
          <w:lang w:val="sk-SK"/>
        </w:rPr>
        <w:t>pripojiteľnosti,</w:t>
      </w:r>
      <w:r w:rsidR="00326E55" w:rsidRPr="00326E55">
        <w:rPr>
          <w:noProof/>
          <w:spacing w:val="-6"/>
          <w:lang w:val="sk-SK"/>
        </w:rPr>
        <w:t xml:space="preserve"> s </w:t>
      </w:r>
      <w:r w:rsidRPr="00326E55">
        <w:rPr>
          <w:noProof/>
          <w:spacing w:val="-6"/>
          <w:lang w:val="sk-SK"/>
        </w:rPr>
        <w:t>cieľom posilniť sociálnu</w:t>
      </w:r>
      <w:r w:rsidR="00326E55" w:rsidRPr="00326E55">
        <w:rPr>
          <w:noProof/>
          <w:spacing w:val="-6"/>
          <w:lang w:val="sk-SK"/>
        </w:rPr>
        <w:t xml:space="preserve"> a </w:t>
      </w:r>
      <w:r w:rsidRPr="00326E55">
        <w:rPr>
          <w:noProof/>
          <w:spacing w:val="-6"/>
          <w:lang w:val="sk-SK"/>
        </w:rPr>
        <w:t>hospodársku odolnosť krajiny.</w:t>
      </w:r>
    </w:p>
    <w:p w14:paraId="185CF621" w14:textId="64835CF2" w:rsidR="00326E55" w:rsidRPr="00326E55" w:rsidRDefault="00FB452D">
      <w:pPr>
        <w:pStyle w:val="P68B1DB1-Normal7"/>
        <w:spacing w:before="120" w:after="120"/>
        <w:jc w:val="both"/>
        <w:rPr>
          <w:noProof/>
          <w:spacing w:val="-6"/>
          <w:lang w:val="sk-SK"/>
        </w:rPr>
      </w:pPr>
      <w:r w:rsidRPr="00326E55">
        <w:rPr>
          <w:noProof/>
          <w:spacing w:val="-6"/>
          <w:lang w:val="sk-SK"/>
        </w:rPr>
        <w:t>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rámci tohto komponentu prispejú</w:t>
      </w:r>
      <w:r w:rsidR="00326E55" w:rsidRPr="00326E55">
        <w:rPr>
          <w:noProof/>
          <w:spacing w:val="-6"/>
          <w:lang w:val="sk-SK"/>
        </w:rPr>
        <w:t xml:space="preserve"> k </w:t>
      </w:r>
      <w:r w:rsidRPr="00326E55">
        <w:rPr>
          <w:noProof/>
          <w:spacing w:val="-6"/>
          <w:lang w:val="sk-SK"/>
        </w:rPr>
        <w:t>plneniu odporúčaní pre jednotlivé krajiny adr</w:t>
      </w:r>
      <w:r w:rsidRPr="00326E55">
        <w:rPr>
          <w:noProof/>
          <w:spacing w:val="-6"/>
          <w:lang w:val="sk-SK"/>
        </w:rPr>
        <w:t>esovaných Taliansku</w:t>
      </w:r>
      <w:r w:rsidR="00326E55" w:rsidRPr="00326E55">
        <w:rPr>
          <w:noProof/>
          <w:spacing w:val="-6"/>
          <w:lang w:val="sk-SK"/>
        </w:rPr>
        <w:t xml:space="preserve"> v </w:t>
      </w:r>
      <w:r w:rsidRPr="00326E55">
        <w:rPr>
          <w:noProof/>
          <w:spacing w:val="-6"/>
          <w:lang w:val="sk-SK"/>
        </w:rPr>
        <w:t>rokoch 2020</w:t>
      </w:r>
      <w:r w:rsidR="00326E55" w:rsidRPr="00326E55">
        <w:rPr>
          <w:noProof/>
          <w:spacing w:val="-6"/>
          <w:lang w:val="sk-SK"/>
        </w:rPr>
        <w:t xml:space="preserve"> a </w:t>
      </w:r>
      <w:r w:rsidRPr="00326E55">
        <w:rPr>
          <w:noProof/>
          <w:spacing w:val="-6"/>
          <w:lang w:val="sk-SK"/>
        </w:rPr>
        <w:t>2019 týkajúcich sa potreby „posilniť dištančné vzdelávanie</w:t>
      </w:r>
      <w:r w:rsidR="00326E55" w:rsidRPr="00326E55">
        <w:rPr>
          <w:noProof/>
          <w:spacing w:val="-6"/>
          <w:lang w:val="sk-SK"/>
        </w:rPr>
        <w:t xml:space="preserve"> a </w:t>
      </w:r>
      <w:r w:rsidRPr="00326E55">
        <w:rPr>
          <w:noProof/>
          <w:spacing w:val="-6"/>
          <w:lang w:val="sk-SK"/>
        </w:rPr>
        <w:t xml:space="preserve">zručnosti vrátane digitálnych“ (odporúčanie pre jednotlivé krajiny </w:t>
      </w:r>
      <w:r w:rsidR="00326E55" w:rsidRPr="00326E55">
        <w:rPr>
          <w:noProof/>
          <w:spacing w:val="-6"/>
          <w:lang w:val="sk-SK"/>
        </w:rPr>
        <w:t>č. </w:t>
      </w:r>
      <w:r w:rsidRPr="00326E55">
        <w:rPr>
          <w:noProof/>
          <w:spacing w:val="-6"/>
          <w:lang w:val="sk-SK"/>
        </w:rPr>
        <w:t>2, 2020), „podpory súkromných investícií na podporu oživenia hospodárstva“ (odporúčanie p</w:t>
      </w:r>
      <w:r w:rsidRPr="00326E55">
        <w:rPr>
          <w:noProof/>
          <w:spacing w:val="-6"/>
          <w:lang w:val="sk-SK"/>
        </w:rPr>
        <w:t xml:space="preserve">re jednotlivé krajiny </w:t>
      </w:r>
      <w:r w:rsidR="00326E55" w:rsidRPr="00326E55">
        <w:rPr>
          <w:noProof/>
          <w:spacing w:val="-6"/>
          <w:lang w:val="sk-SK"/>
        </w:rPr>
        <w:t>č. </w:t>
      </w:r>
      <w:r w:rsidRPr="00326E55">
        <w:rPr>
          <w:noProof/>
          <w:spacing w:val="-6"/>
          <w:lang w:val="sk-SK"/>
        </w:rPr>
        <w:t>3, 2020), „zamerania investícií na zelenú</w:t>
      </w:r>
      <w:r w:rsidR="00326E55" w:rsidRPr="00326E55">
        <w:rPr>
          <w:noProof/>
          <w:spacing w:val="-6"/>
          <w:lang w:val="sk-SK"/>
        </w:rPr>
        <w:t xml:space="preserve"> a </w:t>
      </w:r>
      <w:r w:rsidRPr="00326E55">
        <w:rPr>
          <w:noProof/>
          <w:spacing w:val="-6"/>
          <w:lang w:val="sk-SK"/>
        </w:rPr>
        <w:t>digitálnu transformáciu, najmä pokiaľ ide</w:t>
      </w:r>
      <w:r w:rsidR="00326E55" w:rsidRPr="00326E55">
        <w:rPr>
          <w:noProof/>
          <w:spacing w:val="-6"/>
          <w:lang w:val="sk-SK"/>
        </w:rPr>
        <w:t xml:space="preserve"> o </w:t>
      </w:r>
      <w:r w:rsidRPr="00326E55">
        <w:rPr>
          <w:noProof/>
          <w:spacing w:val="-6"/>
          <w:lang w:val="sk-SK"/>
        </w:rPr>
        <w:t>[...] posilnenú digitálnu infraštruktúru</w:t>
      </w:r>
      <w:r w:rsidR="00326E55" w:rsidRPr="00326E55">
        <w:rPr>
          <w:noProof/>
          <w:spacing w:val="-6"/>
          <w:lang w:val="sk-SK"/>
        </w:rPr>
        <w:t xml:space="preserve"> s </w:t>
      </w:r>
      <w:r w:rsidRPr="00326E55">
        <w:rPr>
          <w:noProof/>
          <w:spacing w:val="-6"/>
          <w:lang w:val="sk-SK"/>
        </w:rPr>
        <w:t xml:space="preserve">cieľom zabezpečiť poskytovanie základných služieb (odporúčanie pre jednotlivé krajiny </w:t>
      </w:r>
      <w:r w:rsidR="00326E55" w:rsidRPr="00326E55">
        <w:rPr>
          <w:noProof/>
          <w:spacing w:val="-6"/>
          <w:lang w:val="sk-SK"/>
        </w:rPr>
        <w:t>č. </w:t>
      </w:r>
      <w:r w:rsidRPr="00326E55">
        <w:rPr>
          <w:noProof/>
          <w:spacing w:val="-6"/>
          <w:lang w:val="sk-SK"/>
        </w:rPr>
        <w:t>3, 2020), „</w:t>
      </w:r>
      <w:r w:rsidRPr="00326E55">
        <w:rPr>
          <w:noProof/>
          <w:spacing w:val="-6"/>
          <w:lang w:val="sk-SK"/>
        </w:rPr>
        <w:t>podporovať zvyšovanie úrovne zručností,</w:t>
      </w:r>
      <w:r w:rsidR="00326E55" w:rsidRPr="00326E55">
        <w:rPr>
          <w:noProof/>
          <w:spacing w:val="-6"/>
          <w:lang w:val="sk-SK"/>
        </w:rPr>
        <w:t xml:space="preserve"> a </w:t>
      </w:r>
      <w:r w:rsidRPr="00326E55">
        <w:rPr>
          <w:noProof/>
          <w:spacing w:val="-6"/>
          <w:lang w:val="sk-SK"/>
        </w:rPr>
        <w:t xml:space="preserve">to aj posilnením digitálnych zručností (odporúčanie pre jednotlivé krajiny </w:t>
      </w:r>
      <w:r w:rsidR="00326E55" w:rsidRPr="00326E55">
        <w:rPr>
          <w:noProof/>
          <w:spacing w:val="-6"/>
          <w:lang w:val="sk-SK"/>
        </w:rPr>
        <w:t>č. </w:t>
      </w:r>
      <w:r w:rsidRPr="00326E55">
        <w:rPr>
          <w:noProof/>
          <w:spacing w:val="-6"/>
          <w:lang w:val="sk-SK"/>
        </w:rPr>
        <w:t>2, 2019), zamerať hospodársku politiku súvisiacu</w:t>
      </w:r>
      <w:r w:rsidR="00326E55" w:rsidRPr="00326E55">
        <w:rPr>
          <w:noProof/>
          <w:spacing w:val="-6"/>
          <w:lang w:val="sk-SK"/>
        </w:rPr>
        <w:t xml:space="preserve"> s </w:t>
      </w:r>
      <w:r w:rsidRPr="00326E55">
        <w:rPr>
          <w:noProof/>
          <w:spacing w:val="-6"/>
          <w:lang w:val="sk-SK"/>
        </w:rPr>
        <w:t>investíciami na výskum</w:t>
      </w:r>
      <w:r w:rsidR="00326E55" w:rsidRPr="00326E55">
        <w:rPr>
          <w:noProof/>
          <w:spacing w:val="-6"/>
          <w:lang w:val="sk-SK"/>
        </w:rPr>
        <w:t xml:space="preserve"> a </w:t>
      </w:r>
      <w:r w:rsidRPr="00326E55">
        <w:rPr>
          <w:noProof/>
          <w:spacing w:val="-6"/>
          <w:lang w:val="sk-SK"/>
        </w:rPr>
        <w:t>inovácie</w:t>
      </w:r>
      <w:r w:rsidR="00326E55" w:rsidRPr="00326E55">
        <w:rPr>
          <w:noProof/>
          <w:spacing w:val="-6"/>
          <w:lang w:val="sk-SK"/>
        </w:rPr>
        <w:t xml:space="preserve"> a </w:t>
      </w:r>
      <w:r w:rsidRPr="00326E55">
        <w:rPr>
          <w:noProof/>
          <w:spacing w:val="-6"/>
          <w:lang w:val="sk-SK"/>
        </w:rPr>
        <w:t>kvalitu infraštruktúry</w:t>
      </w:r>
      <w:r w:rsidR="00326E55" w:rsidRPr="00326E55">
        <w:rPr>
          <w:noProof/>
          <w:spacing w:val="-6"/>
          <w:lang w:val="sk-SK"/>
        </w:rPr>
        <w:t xml:space="preserve"> s </w:t>
      </w:r>
      <w:r w:rsidRPr="00326E55">
        <w:rPr>
          <w:noProof/>
          <w:spacing w:val="-6"/>
          <w:lang w:val="sk-SK"/>
        </w:rPr>
        <w:t>prihliadnutím aj na regi</w:t>
      </w:r>
      <w:r w:rsidRPr="00326E55">
        <w:rPr>
          <w:noProof/>
          <w:spacing w:val="-6"/>
          <w:lang w:val="sk-SK"/>
        </w:rPr>
        <w:t xml:space="preserve">onálne rozdiely“ (odporúčanie pre jednotlivé krajiny </w:t>
      </w:r>
      <w:r w:rsidR="00326E55" w:rsidRPr="00326E55">
        <w:rPr>
          <w:noProof/>
          <w:spacing w:val="-6"/>
          <w:lang w:val="sk-SK"/>
        </w:rPr>
        <w:t>č. </w:t>
      </w:r>
      <w:r w:rsidRPr="00326E55">
        <w:rPr>
          <w:noProof/>
          <w:spacing w:val="-6"/>
          <w:lang w:val="sk-SK"/>
        </w:rPr>
        <w:t>3, 2019)</w:t>
      </w:r>
      <w:r w:rsidR="00326E55" w:rsidRPr="00326E55">
        <w:rPr>
          <w:noProof/>
          <w:spacing w:val="-6"/>
          <w:lang w:val="sk-SK"/>
        </w:rPr>
        <w:t xml:space="preserve"> a </w:t>
      </w:r>
      <w:r w:rsidRPr="00326E55">
        <w:rPr>
          <w:noProof/>
          <w:spacing w:val="-6"/>
          <w:lang w:val="sk-SK"/>
        </w:rPr>
        <w:t>do určitej miery „podporovať nebankový prístup</w:t>
      </w:r>
      <w:r w:rsidR="00326E55" w:rsidRPr="00326E55">
        <w:rPr>
          <w:noProof/>
          <w:spacing w:val="-6"/>
          <w:lang w:val="sk-SK"/>
        </w:rPr>
        <w:t xml:space="preserve"> k </w:t>
      </w:r>
      <w:r w:rsidRPr="00326E55">
        <w:rPr>
          <w:noProof/>
          <w:spacing w:val="-6"/>
          <w:lang w:val="sk-SK"/>
        </w:rPr>
        <w:t>financovaniu pre inovačné</w:t>
      </w:r>
      <w:r w:rsidR="00326E55" w:rsidRPr="00326E55">
        <w:rPr>
          <w:noProof/>
          <w:spacing w:val="-6"/>
          <w:lang w:val="sk-SK"/>
        </w:rPr>
        <w:t xml:space="preserve"> a </w:t>
      </w:r>
      <w:r w:rsidRPr="00326E55">
        <w:rPr>
          <w:noProof/>
          <w:spacing w:val="-6"/>
          <w:lang w:val="sk-SK"/>
        </w:rPr>
        <w:t>menšie podniky“ (odporúčanie pre jednotlivé krajiny 5, 2019)</w:t>
      </w:r>
      <w:r w:rsidR="00326E55" w:rsidRPr="00326E55">
        <w:rPr>
          <w:noProof/>
          <w:spacing w:val="-6"/>
          <w:lang w:val="sk-SK"/>
        </w:rPr>
        <w:t>.</w:t>
      </w:r>
    </w:p>
    <w:p w14:paraId="3203CE24" w14:textId="45414A50" w:rsidR="00BF03AA" w:rsidRPr="00326E55" w:rsidRDefault="00FB452D">
      <w:pPr>
        <w:pStyle w:val="P68B1DB1-Normal7"/>
        <w:spacing w:before="120" w:after="120"/>
        <w:jc w:val="both"/>
        <w:rPr>
          <w:noProof/>
          <w:spacing w:val="-6"/>
          <w:lang w:val="sk-SK"/>
        </w:rPr>
      </w:pPr>
      <w:r w:rsidRPr="00326E55">
        <w:rPr>
          <w:noProof/>
          <w:spacing w:val="-6"/>
          <w:lang w:val="sk-SK"/>
        </w:rPr>
        <w:t>Očakáva sa, že žiadne opatrenie</w:t>
      </w:r>
      <w:r w:rsidR="00326E55" w:rsidRPr="00326E55">
        <w:rPr>
          <w:noProof/>
          <w:spacing w:val="-6"/>
          <w:lang w:val="sk-SK"/>
        </w:rPr>
        <w:t xml:space="preserve"> v </w:t>
      </w:r>
      <w:r w:rsidRPr="00326E55">
        <w:rPr>
          <w:noProof/>
          <w:spacing w:val="-6"/>
          <w:lang w:val="sk-SK"/>
        </w:rPr>
        <w:t xml:space="preserve">tejto zložke </w:t>
      </w:r>
      <w:r w:rsidRPr="00326E55">
        <w:rPr>
          <w:noProof/>
          <w:spacing w:val="-6"/>
          <w:lang w:val="sk-SK"/>
        </w:rPr>
        <w:t>výrazne nenaruší environmentálne ciele</w:t>
      </w:r>
      <w:r w:rsidR="00326E55" w:rsidRPr="00326E55">
        <w:rPr>
          <w:noProof/>
          <w:spacing w:val="-6"/>
          <w:lang w:val="sk-SK"/>
        </w:rPr>
        <w:t xml:space="preserve"> v </w:t>
      </w:r>
      <w:r w:rsidRPr="00326E55">
        <w:rPr>
          <w:noProof/>
          <w:spacing w:val="-6"/>
          <w:lang w:val="sk-SK"/>
        </w:rPr>
        <w:t>zmysle článku 17 nariadenia (EÚ) 2020/852, pričom sa zohľadní opis opatrení</w:t>
      </w:r>
      <w:r w:rsidR="00326E55" w:rsidRPr="00326E55">
        <w:rPr>
          <w:noProof/>
          <w:spacing w:val="-6"/>
          <w:lang w:val="sk-SK"/>
        </w:rPr>
        <w:t xml:space="preserve"> a </w:t>
      </w:r>
      <w:r w:rsidRPr="00326E55">
        <w:rPr>
          <w:noProof/>
          <w:spacing w:val="-6"/>
          <w:lang w:val="sk-SK"/>
        </w:rPr>
        <w:t>zmierňujúce kroky stanovené</w:t>
      </w:r>
      <w:r w:rsidR="00326E55" w:rsidRPr="00326E55">
        <w:rPr>
          <w:noProof/>
          <w:spacing w:val="-6"/>
          <w:lang w:val="sk-SK"/>
        </w:rPr>
        <w:t xml:space="preserve"> v </w:t>
      </w:r>
      <w:r w:rsidRPr="00326E55">
        <w:rPr>
          <w:noProof/>
          <w:spacing w:val="-6"/>
          <w:lang w:val="sk-SK"/>
        </w:rPr>
        <w:t>pláne podpory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technickým usmernením „výrazne nenarušiť“ (2021/C58/01).</w:t>
      </w:r>
    </w:p>
    <w:p w14:paraId="570814B1" w14:textId="6CB60966" w:rsidR="00BF03AA" w:rsidRPr="00326E55" w:rsidRDefault="00FB452D">
      <w:pPr>
        <w:pStyle w:val="P68B1DB1-Normal25"/>
        <w:spacing w:before="120" w:after="120"/>
        <w:jc w:val="both"/>
        <w:rPr>
          <w:bCs/>
          <w:noProof/>
          <w:spacing w:val="-6"/>
          <w:lang w:val="sk-SK"/>
        </w:rPr>
      </w:pPr>
      <w:r w:rsidRPr="00326E55">
        <w:rPr>
          <w:noProof/>
          <w:spacing w:val="-6"/>
          <w:lang w:val="sk-SK"/>
        </w:rPr>
        <w:t>Os 2 –</w:t>
      </w:r>
      <w:r w:rsidRPr="00326E55">
        <w:rPr>
          <w:noProof/>
          <w:spacing w:val="-6"/>
          <w:lang w:val="sk-SK"/>
        </w:rPr>
        <w:t xml:space="preserve"> Zlepšenie podnikateľského prostredia</w:t>
      </w:r>
      <w:r w:rsidR="00326E55" w:rsidRPr="00326E55">
        <w:rPr>
          <w:noProof/>
          <w:spacing w:val="-6"/>
          <w:lang w:val="sk-SK"/>
        </w:rPr>
        <w:t xml:space="preserve"> a </w:t>
      </w:r>
      <w:r w:rsidRPr="00326E55">
        <w:rPr>
          <w:noProof/>
          <w:spacing w:val="-6"/>
          <w:lang w:val="sk-SK"/>
        </w:rPr>
        <w:t>hospodárskej súťaže</w:t>
      </w:r>
    </w:p>
    <w:p w14:paraId="5CB4B17C" w14:textId="235D8810" w:rsidR="00326E55" w:rsidRPr="00326E55" w:rsidRDefault="00FB452D">
      <w:pPr>
        <w:pStyle w:val="P68B1DB1-Normal7"/>
        <w:spacing w:before="120" w:after="120"/>
        <w:jc w:val="both"/>
        <w:rPr>
          <w:noProof/>
          <w:spacing w:val="-6"/>
          <w:lang w:val="sk-SK"/>
        </w:rPr>
      </w:pPr>
      <w:r w:rsidRPr="00326E55">
        <w:rPr>
          <w:noProof/>
          <w:spacing w:val="-6"/>
          <w:lang w:val="sk-SK"/>
        </w:rPr>
        <w:t>Hlavným cieľom osi 2 zložky 2 úlohy 1 je zlepšiť podnikateľské prostredie</w:t>
      </w:r>
      <w:r w:rsidR="00326E55" w:rsidRPr="00326E55">
        <w:rPr>
          <w:noProof/>
          <w:spacing w:val="-6"/>
          <w:lang w:val="sk-SK"/>
        </w:rPr>
        <w:t xml:space="preserve"> s </w:t>
      </w:r>
      <w:r w:rsidRPr="00326E55">
        <w:rPr>
          <w:noProof/>
          <w:spacing w:val="-6"/>
          <w:lang w:val="sk-SK"/>
        </w:rPr>
        <w:t>cieľom uľahčiť podnikanie</w:t>
      </w:r>
      <w:r w:rsidR="00326E55" w:rsidRPr="00326E55">
        <w:rPr>
          <w:noProof/>
          <w:spacing w:val="-6"/>
          <w:lang w:val="sk-SK"/>
        </w:rPr>
        <w:t xml:space="preserve"> a </w:t>
      </w:r>
      <w:r w:rsidRPr="00326E55">
        <w:rPr>
          <w:noProof/>
          <w:spacing w:val="-6"/>
          <w:lang w:val="sk-SK"/>
        </w:rPr>
        <w:t>rámcové podmienky hospodárskej súťaže</w:t>
      </w:r>
      <w:r w:rsidR="00326E55" w:rsidRPr="00326E55">
        <w:rPr>
          <w:noProof/>
          <w:spacing w:val="-6"/>
          <w:lang w:val="sk-SK"/>
        </w:rPr>
        <w:t xml:space="preserve"> s </w:t>
      </w:r>
      <w:r w:rsidRPr="00326E55">
        <w:rPr>
          <w:noProof/>
          <w:spacing w:val="-6"/>
          <w:lang w:val="sk-SK"/>
        </w:rPr>
        <w:t>cieľom podporiť efektívnejšie prideľovanie zdrojov</w:t>
      </w:r>
      <w:r w:rsidR="00326E55" w:rsidRPr="00326E55">
        <w:rPr>
          <w:noProof/>
          <w:spacing w:val="-6"/>
          <w:lang w:val="sk-SK"/>
        </w:rPr>
        <w:t xml:space="preserve"> a </w:t>
      </w:r>
      <w:r w:rsidRPr="00326E55">
        <w:rPr>
          <w:noProof/>
          <w:spacing w:val="-6"/>
          <w:lang w:val="sk-SK"/>
        </w:rPr>
        <w:t>zvýšenie produktivity. Hlavným nástrojom na dosiahnutie týchto cieľov je ročný zákon</w:t>
      </w:r>
      <w:r w:rsidR="00326E55" w:rsidRPr="00326E55">
        <w:rPr>
          <w:noProof/>
          <w:spacing w:val="-6"/>
          <w:lang w:val="sk-SK"/>
        </w:rPr>
        <w:t xml:space="preserve"> o </w:t>
      </w:r>
      <w:r w:rsidRPr="00326E55">
        <w:rPr>
          <w:noProof/>
          <w:spacing w:val="-6"/>
          <w:lang w:val="sk-SK"/>
        </w:rPr>
        <w:t>hospodárskej súťaži, ktorý sa má prijať každý rok</w:t>
      </w:r>
      <w:r w:rsidR="00326E55" w:rsidRPr="00326E55">
        <w:rPr>
          <w:noProof/>
          <w:spacing w:val="-6"/>
          <w:lang w:val="sk-SK"/>
        </w:rPr>
        <w:t>.</w:t>
      </w:r>
    </w:p>
    <w:p w14:paraId="0A203AB8" w14:textId="5194F4D1" w:rsidR="00BF03AA" w:rsidRPr="00326E55" w:rsidRDefault="00FB452D">
      <w:pPr>
        <w:pStyle w:val="P68B1DB1-Normal7"/>
        <w:spacing w:before="120" w:after="120"/>
        <w:jc w:val="both"/>
        <w:rPr>
          <w:noProof/>
          <w:spacing w:val="-6"/>
          <w:lang w:val="sk-SK"/>
        </w:rPr>
      </w:pPr>
      <w:r w:rsidRPr="00326E55">
        <w:rPr>
          <w:noProof/>
          <w:spacing w:val="-6"/>
          <w:lang w:val="sk-SK"/>
        </w:rPr>
        <w:t>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rámci tohto komponentu prispejú</w:t>
      </w:r>
      <w:r w:rsidR="00326E55" w:rsidRPr="00326E55">
        <w:rPr>
          <w:noProof/>
          <w:spacing w:val="-6"/>
          <w:lang w:val="sk-SK"/>
        </w:rPr>
        <w:t xml:space="preserve"> k </w:t>
      </w:r>
      <w:r w:rsidRPr="00326E55">
        <w:rPr>
          <w:noProof/>
          <w:spacing w:val="-6"/>
          <w:lang w:val="sk-SK"/>
        </w:rPr>
        <w:t>plneniu odporúčaní pre jednotlivé krajiny adresovaných Talia</w:t>
      </w:r>
      <w:r w:rsidRPr="00326E55">
        <w:rPr>
          <w:noProof/>
          <w:spacing w:val="-6"/>
          <w:lang w:val="sk-SK"/>
        </w:rPr>
        <w:t>nsku</w:t>
      </w:r>
      <w:r w:rsidR="00326E55" w:rsidRPr="00326E55">
        <w:rPr>
          <w:noProof/>
          <w:spacing w:val="-6"/>
          <w:lang w:val="sk-SK"/>
        </w:rPr>
        <w:t xml:space="preserve"> v </w:t>
      </w:r>
      <w:r w:rsidRPr="00326E55">
        <w:rPr>
          <w:noProof/>
          <w:spacing w:val="-6"/>
          <w:lang w:val="sk-SK"/>
        </w:rPr>
        <w:t>roku 2019</w:t>
      </w:r>
      <w:r w:rsidR="00326E55" w:rsidRPr="00326E55">
        <w:rPr>
          <w:noProof/>
          <w:spacing w:val="-6"/>
          <w:lang w:val="sk-SK"/>
        </w:rPr>
        <w:t xml:space="preserve"> o </w:t>
      </w:r>
      <w:r w:rsidRPr="00326E55">
        <w:rPr>
          <w:noProof/>
          <w:spacing w:val="-6"/>
          <w:lang w:val="sk-SK"/>
        </w:rPr>
        <w:t>potrebe „riešenia obmedzení hospodárskej súťaže [...],</w:t>
      </w:r>
      <w:r w:rsidR="00326E55" w:rsidRPr="00326E55">
        <w:rPr>
          <w:noProof/>
          <w:spacing w:val="-6"/>
          <w:lang w:val="sk-SK"/>
        </w:rPr>
        <w:t xml:space="preserve"> a </w:t>
      </w:r>
      <w:r w:rsidRPr="00326E55">
        <w:rPr>
          <w:noProof/>
          <w:spacing w:val="-6"/>
          <w:lang w:val="sk-SK"/>
        </w:rPr>
        <w:t>to aj prostredníctvom nového ročného zákona</w:t>
      </w:r>
      <w:r w:rsidR="00326E55" w:rsidRPr="00326E55">
        <w:rPr>
          <w:noProof/>
          <w:spacing w:val="-6"/>
          <w:lang w:val="sk-SK"/>
        </w:rPr>
        <w:t xml:space="preserve"> o </w:t>
      </w:r>
      <w:r w:rsidRPr="00326E55">
        <w:rPr>
          <w:noProof/>
          <w:spacing w:val="-6"/>
          <w:lang w:val="sk-SK"/>
        </w:rPr>
        <w:t xml:space="preserve">hospodárskej súťaži“ (odporúčanie pre jednotlivé krajiny </w:t>
      </w:r>
      <w:r w:rsidR="00326E55" w:rsidRPr="00326E55">
        <w:rPr>
          <w:noProof/>
          <w:spacing w:val="-6"/>
          <w:lang w:val="sk-SK"/>
        </w:rPr>
        <w:t>č. </w:t>
      </w:r>
      <w:r w:rsidRPr="00326E55">
        <w:rPr>
          <w:noProof/>
          <w:spacing w:val="-6"/>
          <w:lang w:val="sk-SK"/>
        </w:rPr>
        <w:t>3, 2019).</w:t>
      </w:r>
    </w:p>
    <w:p w14:paraId="11794BBC" w14:textId="42A608E0" w:rsidR="00BF03AA" w:rsidRPr="00326E55" w:rsidRDefault="00FB452D">
      <w:pPr>
        <w:pStyle w:val="P68B1DB1-Heading39"/>
        <w:numPr>
          <w:ilvl w:val="2"/>
          <w:numId w:val="0"/>
        </w:numPr>
        <w:ind w:left="850" w:hanging="850"/>
        <w:rPr>
          <w:b/>
          <w:bCs/>
          <w:i/>
          <w:iCs/>
          <w:noProof/>
          <w:spacing w:val="-6"/>
          <w:u w:val="single"/>
          <w:lang w:val="sk-SK"/>
        </w:rPr>
      </w:pPr>
      <w:r w:rsidRPr="00326E55">
        <w:rPr>
          <w:b/>
          <w:noProof/>
          <w:spacing w:val="-6"/>
          <w:u w:val="single"/>
          <w:lang w:val="sk-SK"/>
        </w:rPr>
        <w:t xml:space="preserve">B.1.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 xml:space="preserve">rámci nenávratnej finančnej </w:t>
      </w:r>
      <w:r w:rsidRPr="00326E55">
        <w:rPr>
          <w:b/>
          <w:noProof/>
          <w:spacing w:val="-6"/>
          <w:u w:val="single"/>
          <w:lang w:val="sk-SK"/>
        </w:rPr>
        <w:t>podpory</w:t>
      </w:r>
    </w:p>
    <w:p w14:paraId="755B292F" w14:textId="3ECA9A25" w:rsidR="00BF03AA" w:rsidRPr="00326E55" w:rsidRDefault="00FB452D">
      <w:pPr>
        <w:pStyle w:val="P68B1DB1-Normal26"/>
        <w:spacing w:before="120" w:after="120"/>
        <w:jc w:val="both"/>
        <w:rPr>
          <w:iCs/>
          <w:noProof/>
          <w:color w:val="156082" w:themeColor="accent1"/>
          <w:spacing w:val="-6"/>
          <w:lang w:val="sk-SK"/>
        </w:rPr>
      </w:pPr>
      <w:r w:rsidRPr="00326E55">
        <w:rPr>
          <w:noProof/>
          <w:spacing w:val="-6"/>
          <w:lang w:val="sk-SK"/>
        </w:rPr>
        <w:t xml:space="preserve">Os 1 – </w:t>
      </w:r>
      <w:r w:rsidRPr="00326E55">
        <w:rPr>
          <w:noProof/>
          <w:spacing w:val="-6"/>
          <w:u w:val="single"/>
          <w:lang w:val="sk-SK"/>
        </w:rPr>
        <w:t>Digitalizácia, inovácie</w:t>
      </w:r>
      <w:r w:rsidR="00326E55" w:rsidRPr="00326E55">
        <w:rPr>
          <w:noProof/>
          <w:spacing w:val="-6"/>
          <w:u w:val="single"/>
          <w:lang w:val="sk-SK"/>
        </w:rPr>
        <w:t xml:space="preserve"> a </w:t>
      </w:r>
      <w:r w:rsidRPr="00326E55">
        <w:rPr>
          <w:noProof/>
          <w:spacing w:val="-6"/>
          <w:u w:val="single"/>
          <w:lang w:val="sk-SK"/>
        </w:rPr>
        <w:t>konkurencieschopnosť výrobného systému</w:t>
      </w:r>
    </w:p>
    <w:p w14:paraId="4547F1A0" w14:textId="77777777" w:rsidR="00BF03AA" w:rsidRPr="00326E55" w:rsidRDefault="00FB452D">
      <w:pPr>
        <w:pStyle w:val="P68B1DB1-Normal5"/>
        <w:spacing w:before="120" w:after="120"/>
        <w:jc w:val="both"/>
        <w:rPr>
          <w:bCs/>
          <w:i/>
          <w:iCs/>
          <w:noProof/>
          <w:spacing w:val="-6"/>
          <w:lang w:val="sk-SK"/>
        </w:rPr>
      </w:pPr>
      <w:r w:rsidRPr="00326E55">
        <w:rPr>
          <w:noProof/>
          <w:spacing w:val="-6"/>
          <w:lang w:val="sk-SK"/>
        </w:rPr>
        <w:t>Investícia 1: Transformácia 4.0</w:t>
      </w:r>
    </w:p>
    <w:p w14:paraId="740D6336" w14:textId="71E83E11" w:rsidR="00BF03AA" w:rsidRPr="00326E55" w:rsidRDefault="00FB452D">
      <w:pPr>
        <w:pStyle w:val="P68B1DB1-Normal7"/>
        <w:jc w:val="both"/>
        <w:rPr>
          <w:b/>
          <w:noProof/>
          <w:spacing w:val="-6"/>
          <w:lang w:val="sk-SK"/>
        </w:rPr>
      </w:pPr>
      <w:r w:rsidRPr="00326E55">
        <w:rPr>
          <w:noProof/>
          <w:spacing w:val="-6"/>
          <w:lang w:val="sk-SK"/>
        </w:rPr>
        <w:t>Cieľom opatrenia je podporiť digitálnu transformáciu podnikov stimulovaním súkromných investícií do aktív</w:t>
      </w:r>
      <w:r w:rsidR="00326E55" w:rsidRPr="00326E55">
        <w:rPr>
          <w:noProof/>
          <w:spacing w:val="-6"/>
          <w:lang w:val="sk-SK"/>
        </w:rPr>
        <w:t xml:space="preserve"> a </w:t>
      </w:r>
      <w:r w:rsidRPr="00326E55">
        <w:rPr>
          <w:noProof/>
          <w:spacing w:val="-6"/>
          <w:lang w:val="sk-SK"/>
        </w:rPr>
        <w:t>činností podporujúcich digitalizáciu</w:t>
      </w:r>
      <w:r w:rsidRPr="00326E55">
        <w:rPr>
          <w:noProof/>
          <w:spacing w:val="-6"/>
          <w:lang w:val="sk-SK"/>
        </w:rPr>
        <w:t xml:space="preserve">. Opatrenie pozostáva zo schémy daňového úveru. </w:t>
      </w:r>
      <w:r w:rsidRPr="00326E55">
        <w:rPr>
          <w:noProof/>
          <w:spacing w:val="-6"/>
          <w:lang w:val="sk-SK"/>
        </w:rPr>
        <w:br w:type="page"/>
      </w:r>
    </w:p>
    <w:p w14:paraId="09768A46" w14:textId="77777777" w:rsidR="00326E55" w:rsidRPr="00326E55" w:rsidRDefault="00FB452D">
      <w:pPr>
        <w:pStyle w:val="P68B1DB1-Normal5"/>
        <w:spacing w:before="120" w:after="120"/>
        <w:jc w:val="both"/>
        <w:rPr>
          <w:noProof/>
          <w:spacing w:val="-6"/>
          <w:lang w:val="sk-SK"/>
        </w:rPr>
      </w:pPr>
      <w:r w:rsidRPr="00326E55">
        <w:rPr>
          <w:noProof/>
          <w:spacing w:val="-6"/>
          <w:lang w:val="sk-SK"/>
        </w:rPr>
        <w:t>Reforma 1: Reforma systému priemyselného vlastníctva</w:t>
      </w:r>
    </w:p>
    <w:p w14:paraId="6C757286" w14:textId="5E1291F7" w:rsidR="00BF03AA" w:rsidRPr="00326E55" w:rsidRDefault="00FB452D">
      <w:pPr>
        <w:pStyle w:val="P68B1DB1-Normal27"/>
        <w:spacing w:before="120" w:after="120"/>
        <w:jc w:val="both"/>
        <w:rPr>
          <w:noProof/>
          <w:spacing w:val="-6"/>
          <w:lang w:val="sk-SK"/>
        </w:rPr>
      </w:pPr>
      <w:r w:rsidRPr="00326E55">
        <w:rPr>
          <w:noProof/>
          <w:spacing w:val="-6"/>
          <w:lang w:val="sk-SK"/>
        </w:rPr>
        <w:t>Hlavným cieľom reformy je prispôsobiť systém priemyselného vlastníctva moderným výzvam</w:t>
      </w:r>
      <w:r w:rsidR="00326E55" w:rsidRPr="00326E55">
        <w:rPr>
          <w:noProof/>
          <w:spacing w:val="-6"/>
          <w:lang w:val="sk-SK"/>
        </w:rPr>
        <w:t xml:space="preserve"> a </w:t>
      </w:r>
      <w:r w:rsidRPr="00326E55">
        <w:rPr>
          <w:noProof/>
          <w:spacing w:val="-6"/>
          <w:lang w:val="sk-SK"/>
        </w:rPr>
        <w:t>zabezpečiť, aby inovačný potenciál prispieval</w:t>
      </w:r>
      <w:r w:rsidR="00326E55" w:rsidRPr="00326E55">
        <w:rPr>
          <w:noProof/>
          <w:spacing w:val="-6"/>
          <w:lang w:val="sk-SK"/>
        </w:rPr>
        <w:t xml:space="preserve"> k </w:t>
      </w:r>
      <w:r w:rsidRPr="00326E55">
        <w:rPr>
          <w:noProof/>
          <w:spacing w:val="-6"/>
          <w:lang w:val="sk-SK"/>
        </w:rPr>
        <w:t>obnove</w:t>
      </w:r>
      <w:r w:rsidR="00326E55" w:rsidRPr="00326E55">
        <w:rPr>
          <w:noProof/>
          <w:spacing w:val="-6"/>
          <w:lang w:val="sk-SK"/>
        </w:rPr>
        <w:t xml:space="preserve"> a </w:t>
      </w:r>
      <w:r w:rsidRPr="00326E55">
        <w:rPr>
          <w:noProof/>
          <w:spacing w:val="-6"/>
          <w:lang w:val="sk-SK"/>
        </w:rPr>
        <w:t>odolnos</w:t>
      </w:r>
      <w:r w:rsidRPr="00326E55">
        <w:rPr>
          <w:noProof/>
          <w:spacing w:val="-6"/>
          <w:lang w:val="sk-SK"/>
        </w:rPr>
        <w:t>ti krajiny. Konkrétne sa zameriava na dosiahnutie týchto cieľov: posilnenie systému ochrany priemyselného vlastníctva; podpora využívania</w:t>
      </w:r>
      <w:r w:rsidR="00326E55" w:rsidRPr="00326E55">
        <w:rPr>
          <w:noProof/>
          <w:spacing w:val="-6"/>
          <w:lang w:val="sk-SK"/>
        </w:rPr>
        <w:t xml:space="preserve"> a </w:t>
      </w:r>
      <w:r w:rsidRPr="00326E55">
        <w:rPr>
          <w:noProof/>
          <w:spacing w:val="-6"/>
          <w:lang w:val="sk-SK"/>
        </w:rPr>
        <w:t>šírenia priemyselného vlastníctva, najmä zo strany MSP; uľahčenie prístupu</w:t>
      </w:r>
      <w:r w:rsidR="00326E55" w:rsidRPr="00326E55">
        <w:rPr>
          <w:noProof/>
          <w:spacing w:val="-6"/>
          <w:lang w:val="sk-SK"/>
        </w:rPr>
        <w:t xml:space="preserve"> k </w:t>
      </w:r>
      <w:r w:rsidRPr="00326E55">
        <w:rPr>
          <w:noProof/>
          <w:spacing w:val="-6"/>
          <w:lang w:val="sk-SK"/>
        </w:rPr>
        <w:t>nehmotným aktívam</w:t>
      </w:r>
      <w:r w:rsidR="00326E55" w:rsidRPr="00326E55">
        <w:rPr>
          <w:noProof/>
          <w:spacing w:val="-6"/>
          <w:lang w:val="sk-SK"/>
        </w:rPr>
        <w:t xml:space="preserve"> a </w:t>
      </w:r>
      <w:r w:rsidRPr="00326E55">
        <w:rPr>
          <w:noProof/>
          <w:spacing w:val="-6"/>
          <w:lang w:val="sk-SK"/>
        </w:rPr>
        <w:t xml:space="preserve">ich spoločné </w:t>
      </w:r>
      <w:r w:rsidRPr="00326E55">
        <w:rPr>
          <w:noProof/>
          <w:spacing w:val="-6"/>
          <w:lang w:val="sk-SK"/>
        </w:rPr>
        <w:t>využívanie pri súčasnom zabezpečení spravodlivej návratnosti investícií; zaručenie prísnejšieho rešpektovania priemyselného vlastníctva;</w:t>
      </w:r>
      <w:r w:rsidR="00326E55" w:rsidRPr="00326E55">
        <w:rPr>
          <w:noProof/>
          <w:spacing w:val="-6"/>
          <w:lang w:val="sk-SK"/>
        </w:rPr>
        <w:t xml:space="preserve"> a </w:t>
      </w:r>
      <w:r w:rsidRPr="00326E55">
        <w:rPr>
          <w:noProof/>
          <w:spacing w:val="-6"/>
          <w:lang w:val="sk-SK"/>
        </w:rPr>
        <w:t>posilnenie úlohy Talianska na európskych</w:t>
      </w:r>
      <w:r w:rsidR="00326E55" w:rsidRPr="00326E55">
        <w:rPr>
          <w:noProof/>
          <w:spacing w:val="-6"/>
          <w:lang w:val="sk-SK"/>
        </w:rPr>
        <w:t xml:space="preserve"> a </w:t>
      </w:r>
      <w:r w:rsidRPr="00326E55">
        <w:rPr>
          <w:noProof/>
          <w:spacing w:val="-6"/>
          <w:lang w:val="sk-SK"/>
        </w:rPr>
        <w:t>medzinárodných fórach</w:t>
      </w:r>
      <w:r w:rsidR="00326E55" w:rsidRPr="00326E55">
        <w:rPr>
          <w:noProof/>
          <w:spacing w:val="-6"/>
          <w:lang w:val="sk-SK"/>
        </w:rPr>
        <w:t xml:space="preserve"> o </w:t>
      </w:r>
      <w:r w:rsidRPr="00326E55">
        <w:rPr>
          <w:noProof/>
          <w:spacing w:val="-6"/>
          <w:lang w:val="sk-SK"/>
        </w:rPr>
        <w:t>priemyselnom vlastníctve.</w:t>
      </w:r>
    </w:p>
    <w:p w14:paraId="635C5863" w14:textId="7C6A44C1" w:rsidR="00326E55" w:rsidRPr="00326E55" w:rsidRDefault="00FB452D">
      <w:pPr>
        <w:pStyle w:val="P68B1DB1-Normal27"/>
        <w:spacing w:before="120" w:after="120"/>
        <w:jc w:val="both"/>
        <w:rPr>
          <w:noProof/>
          <w:spacing w:val="-6"/>
          <w:lang w:val="sk-SK"/>
        </w:rPr>
      </w:pPr>
      <w:r w:rsidRPr="00326E55">
        <w:rPr>
          <w:noProof/>
          <w:spacing w:val="-6"/>
          <w:lang w:val="sk-SK"/>
        </w:rPr>
        <w:t>Opatrenie sa týka reform</w:t>
      </w:r>
      <w:r w:rsidRPr="00326E55">
        <w:rPr>
          <w:noProof/>
          <w:spacing w:val="-6"/>
          <w:lang w:val="sk-SK"/>
        </w:rPr>
        <w:t>y talianskeho zákonníka priemyselného vlastníctva, ktorá sa vzťahuje aspoň na tieto oblasti: I) preskúmať regulačný rámec</w:t>
      </w:r>
      <w:r w:rsidR="00326E55" w:rsidRPr="00326E55">
        <w:rPr>
          <w:noProof/>
          <w:spacing w:val="-6"/>
          <w:lang w:val="sk-SK"/>
        </w:rPr>
        <w:t xml:space="preserve"> s </w:t>
      </w:r>
      <w:r w:rsidRPr="00326E55">
        <w:rPr>
          <w:noProof/>
          <w:spacing w:val="-6"/>
          <w:lang w:val="sk-SK"/>
        </w:rPr>
        <w:t>cieľom posilniť ochranu práv priemyselného vlastníctva</w:t>
      </w:r>
      <w:r w:rsidR="00326E55" w:rsidRPr="00326E55">
        <w:rPr>
          <w:noProof/>
          <w:spacing w:val="-6"/>
          <w:lang w:val="sk-SK"/>
        </w:rPr>
        <w:t xml:space="preserve"> a </w:t>
      </w:r>
      <w:r w:rsidRPr="00326E55">
        <w:rPr>
          <w:noProof/>
          <w:spacing w:val="-6"/>
          <w:lang w:val="sk-SK"/>
        </w:rPr>
        <w:t>zjednodušiť postupy, ii) posilniť podporu spoločností</w:t>
      </w:r>
      <w:r w:rsidR="00326E55" w:rsidRPr="00326E55">
        <w:rPr>
          <w:noProof/>
          <w:spacing w:val="-6"/>
          <w:lang w:val="sk-SK"/>
        </w:rPr>
        <w:t xml:space="preserve"> a </w:t>
      </w:r>
      <w:r w:rsidRPr="00326E55">
        <w:rPr>
          <w:noProof/>
          <w:spacing w:val="-6"/>
          <w:lang w:val="sk-SK"/>
        </w:rPr>
        <w:t>výskumných inštitúc</w:t>
      </w:r>
      <w:r w:rsidRPr="00326E55">
        <w:rPr>
          <w:noProof/>
          <w:spacing w:val="-6"/>
          <w:lang w:val="sk-SK"/>
        </w:rPr>
        <w:t>ií, iii) zlepšiť rozvoj zručností</w:t>
      </w:r>
      <w:r w:rsidR="00326E55" w:rsidRPr="00326E55">
        <w:rPr>
          <w:noProof/>
          <w:spacing w:val="-6"/>
          <w:lang w:val="sk-SK"/>
        </w:rPr>
        <w:t xml:space="preserve"> a </w:t>
      </w:r>
      <w:r w:rsidRPr="00326E55">
        <w:rPr>
          <w:noProof/>
          <w:spacing w:val="-6"/>
          <w:lang w:val="sk-SK"/>
        </w:rPr>
        <w:t>kompetencií, iv) uľahčiť prenos znalostí</w:t>
      </w:r>
      <w:r w:rsidR="00326E55" w:rsidRPr="00326E55">
        <w:rPr>
          <w:noProof/>
          <w:spacing w:val="-6"/>
          <w:lang w:val="sk-SK"/>
        </w:rPr>
        <w:t xml:space="preserve"> a </w:t>
      </w:r>
      <w:r w:rsidRPr="00326E55">
        <w:rPr>
          <w:noProof/>
          <w:spacing w:val="-6"/>
          <w:lang w:val="sk-SK"/>
        </w:rPr>
        <w:t>v) posilniť podporu inovačných služieb</w:t>
      </w:r>
      <w:r w:rsidR="00326E55" w:rsidRPr="00326E55">
        <w:rPr>
          <w:noProof/>
          <w:spacing w:val="-6"/>
          <w:lang w:val="sk-SK"/>
        </w:rPr>
        <w:t>.</w:t>
      </w:r>
    </w:p>
    <w:p w14:paraId="4A7D1692" w14:textId="1B09D5D0" w:rsidR="00BF03AA" w:rsidRPr="00326E55" w:rsidRDefault="00FB452D">
      <w:pPr>
        <w:pStyle w:val="P68B1DB1-Normal5"/>
        <w:spacing w:before="120" w:after="120"/>
        <w:jc w:val="both"/>
        <w:rPr>
          <w:bCs/>
          <w:noProof/>
          <w:spacing w:val="-6"/>
          <w:lang w:val="sk-SK"/>
        </w:rPr>
      </w:pPr>
      <w:r w:rsidRPr="00326E55">
        <w:rPr>
          <w:noProof/>
          <w:spacing w:val="-6"/>
          <w:lang w:val="sk-SK"/>
        </w:rPr>
        <w:t>Investícia 6: Investície do systému priemyselného vlastníctva</w:t>
      </w:r>
    </w:p>
    <w:p w14:paraId="6D64A530" w14:textId="584EF995" w:rsidR="00326E55" w:rsidRPr="00326E55" w:rsidRDefault="00FB452D">
      <w:pPr>
        <w:pStyle w:val="P68B1DB1-Normal27"/>
        <w:spacing w:before="120" w:after="120"/>
        <w:jc w:val="both"/>
        <w:rPr>
          <w:noProof/>
          <w:spacing w:val="-6"/>
          <w:lang w:val="sk-SK"/>
        </w:rPr>
      </w:pPr>
      <w:r w:rsidRPr="00326E55">
        <w:rPr>
          <w:noProof/>
          <w:spacing w:val="-6"/>
          <w:lang w:val="sk-SK"/>
        </w:rPr>
        <w:t>Cieľom investície je podporiť systém priemyselného vlastníctva</w:t>
      </w:r>
      <w:r w:rsidR="00326E55" w:rsidRPr="00326E55">
        <w:rPr>
          <w:noProof/>
          <w:spacing w:val="-6"/>
          <w:lang w:val="sk-SK"/>
        </w:rPr>
        <w:t xml:space="preserve"> a </w:t>
      </w:r>
      <w:r w:rsidRPr="00326E55">
        <w:rPr>
          <w:noProof/>
          <w:spacing w:val="-6"/>
          <w:lang w:val="sk-SK"/>
        </w:rPr>
        <w:t>doplniť je</w:t>
      </w:r>
      <w:r w:rsidRPr="00326E55">
        <w:rPr>
          <w:noProof/>
          <w:spacing w:val="-6"/>
          <w:lang w:val="sk-SK"/>
        </w:rPr>
        <w:t>ho reformu, ako sa predpokladá</w:t>
      </w:r>
      <w:r w:rsidR="00326E55" w:rsidRPr="00326E55">
        <w:rPr>
          <w:noProof/>
          <w:spacing w:val="-6"/>
          <w:lang w:val="sk-SK"/>
        </w:rPr>
        <w:t xml:space="preserve"> v </w:t>
      </w:r>
      <w:r w:rsidRPr="00326E55">
        <w:rPr>
          <w:noProof/>
          <w:spacing w:val="-6"/>
          <w:lang w:val="sk-SK"/>
        </w:rPr>
        <w:t>reforme 1 tejto zložky. Opatrenie zahŕňa finančnú podporu na projekty spoločností</w:t>
      </w:r>
      <w:r w:rsidR="00326E55" w:rsidRPr="00326E55">
        <w:rPr>
          <w:noProof/>
          <w:spacing w:val="-6"/>
          <w:lang w:val="sk-SK"/>
        </w:rPr>
        <w:t xml:space="preserve"> a </w:t>
      </w:r>
      <w:r w:rsidRPr="00326E55">
        <w:rPr>
          <w:noProof/>
          <w:spacing w:val="-6"/>
          <w:lang w:val="sk-SK"/>
        </w:rPr>
        <w:t>výskumných subjektov súvisiace</w:t>
      </w:r>
      <w:r w:rsidR="00326E55" w:rsidRPr="00326E55">
        <w:rPr>
          <w:noProof/>
          <w:spacing w:val="-6"/>
          <w:lang w:val="sk-SK"/>
        </w:rPr>
        <w:t xml:space="preserve"> s </w:t>
      </w:r>
      <w:r w:rsidRPr="00326E55">
        <w:rPr>
          <w:noProof/>
          <w:spacing w:val="-6"/>
          <w:lang w:val="sk-SK"/>
        </w:rPr>
        <w:t>priemyselným vlastníctvom, ako sú patentové opatrenia (Brevetti+), programy overovania koncepcie (POC)</w:t>
      </w:r>
      <w:r w:rsidR="00326E55" w:rsidRPr="00326E55">
        <w:rPr>
          <w:noProof/>
          <w:spacing w:val="-6"/>
          <w:lang w:val="sk-SK"/>
        </w:rPr>
        <w:t xml:space="preserve"> a </w:t>
      </w:r>
      <w:r w:rsidRPr="00326E55">
        <w:rPr>
          <w:noProof/>
          <w:spacing w:val="-6"/>
          <w:lang w:val="sk-SK"/>
        </w:rPr>
        <w:t>p</w:t>
      </w:r>
      <w:r w:rsidRPr="00326E55">
        <w:rPr>
          <w:noProof/>
          <w:spacing w:val="-6"/>
          <w:lang w:val="sk-SK"/>
        </w:rPr>
        <w:t>osilnenie úradov pre transfer technológií</w:t>
      </w:r>
      <w:r w:rsidR="00326E55" w:rsidRPr="00326E55">
        <w:rPr>
          <w:noProof/>
          <w:spacing w:val="-6"/>
          <w:lang w:val="sk-SK"/>
        </w:rPr>
        <w:t>.</w:t>
      </w:r>
    </w:p>
    <w:p w14:paraId="5D3B68A7" w14:textId="1BCB46C4" w:rsidR="00BF03AA" w:rsidRPr="00326E55" w:rsidRDefault="00FB452D">
      <w:pPr>
        <w:pStyle w:val="P68B1DB1-Normal28"/>
        <w:spacing w:before="120" w:after="120"/>
        <w:jc w:val="both"/>
        <w:rPr>
          <w:iCs/>
          <w:noProof/>
          <w:spacing w:val="-6"/>
          <w:lang w:val="sk-SK"/>
        </w:rPr>
      </w:pPr>
      <w:r w:rsidRPr="00326E55">
        <w:rPr>
          <w:noProof/>
          <w:spacing w:val="-6"/>
          <w:lang w:val="sk-SK"/>
        </w:rPr>
        <w:t>Os 2 – Zlepšenie podnikateľského prostredia</w:t>
      </w:r>
      <w:r w:rsidR="00326E55" w:rsidRPr="00326E55">
        <w:rPr>
          <w:noProof/>
          <w:spacing w:val="-6"/>
          <w:lang w:val="sk-SK"/>
        </w:rPr>
        <w:t xml:space="preserve"> a </w:t>
      </w:r>
      <w:r w:rsidRPr="00326E55">
        <w:rPr>
          <w:noProof/>
          <w:spacing w:val="-6"/>
          <w:lang w:val="sk-SK"/>
        </w:rPr>
        <w:t>hospodárskej súťaže</w:t>
      </w:r>
    </w:p>
    <w:p w14:paraId="4B2AA8A8" w14:textId="77777777" w:rsidR="00BF03AA" w:rsidRPr="00326E55" w:rsidRDefault="00BF03AA">
      <w:pPr>
        <w:pStyle w:val="ListParagraph"/>
        <w:rPr>
          <w:rFonts w:ascii="Times New Roman" w:hAnsi="Times New Roman"/>
          <w:b/>
          <w:noProof/>
          <w:spacing w:val="-6"/>
          <w:lang w:val="sk-SK"/>
        </w:rPr>
      </w:pPr>
    </w:p>
    <w:p w14:paraId="3E9514A4" w14:textId="5A6B81F7" w:rsidR="00BF03AA" w:rsidRPr="00326E55" w:rsidRDefault="00FB452D">
      <w:pPr>
        <w:pStyle w:val="P68B1DB1-Normal29"/>
        <w:spacing w:before="120" w:after="120"/>
        <w:jc w:val="both"/>
        <w:rPr>
          <w:noProof/>
          <w:spacing w:val="-6"/>
          <w:lang w:val="sk-SK"/>
        </w:rPr>
      </w:pPr>
      <w:r w:rsidRPr="00326E55">
        <w:rPr>
          <w:noProof/>
          <w:spacing w:val="-6"/>
          <w:lang w:val="sk-SK"/>
        </w:rPr>
        <w:t>Reforma 2: Ročné zákony</w:t>
      </w:r>
      <w:r w:rsidR="00326E55" w:rsidRPr="00326E55">
        <w:rPr>
          <w:noProof/>
          <w:spacing w:val="-6"/>
          <w:lang w:val="sk-SK"/>
        </w:rPr>
        <w:t xml:space="preserve"> o </w:t>
      </w:r>
      <w:r w:rsidRPr="00326E55">
        <w:rPr>
          <w:noProof/>
          <w:spacing w:val="-6"/>
          <w:lang w:val="sk-SK"/>
        </w:rPr>
        <w:t>hospodárskej súťaži na roky 2022, 2023, 2024</w:t>
      </w:r>
      <w:r w:rsidR="00326E55" w:rsidRPr="00326E55">
        <w:rPr>
          <w:noProof/>
          <w:spacing w:val="-6"/>
          <w:lang w:val="sk-SK"/>
        </w:rPr>
        <w:t xml:space="preserve"> a </w:t>
      </w:r>
      <w:r w:rsidRPr="00326E55">
        <w:rPr>
          <w:noProof/>
          <w:spacing w:val="-6"/>
          <w:lang w:val="sk-SK"/>
        </w:rPr>
        <w:t>2025</w:t>
      </w:r>
    </w:p>
    <w:p w14:paraId="3CDA07DC" w14:textId="0352DBB7" w:rsidR="00326E55" w:rsidRPr="00326E55" w:rsidRDefault="00FB452D">
      <w:pPr>
        <w:pStyle w:val="P68B1DB1-Normal7"/>
        <w:spacing w:before="120" w:after="120"/>
        <w:jc w:val="both"/>
        <w:rPr>
          <w:noProof/>
          <w:spacing w:val="-6"/>
          <w:lang w:val="sk-SK"/>
        </w:rPr>
      </w:pPr>
      <w:r w:rsidRPr="00326E55">
        <w:rPr>
          <w:noProof/>
          <w:spacing w:val="-6"/>
          <w:lang w:val="sk-SK"/>
        </w:rPr>
        <w:t>Zákon</w:t>
      </w:r>
      <w:r w:rsidR="00326E55" w:rsidRPr="00326E55">
        <w:rPr>
          <w:noProof/>
          <w:spacing w:val="-6"/>
          <w:lang w:val="sk-SK"/>
        </w:rPr>
        <w:t xml:space="preserve"> o </w:t>
      </w:r>
      <w:r w:rsidRPr="00326E55">
        <w:rPr>
          <w:noProof/>
          <w:spacing w:val="-6"/>
          <w:lang w:val="sk-SK"/>
        </w:rPr>
        <w:t xml:space="preserve">hospodárskej súťaži sa prijíma každý rok, čím sa rozšíria </w:t>
      </w:r>
      <w:r w:rsidRPr="00326E55">
        <w:rPr>
          <w:noProof/>
          <w:spacing w:val="-6"/>
          <w:lang w:val="sk-SK"/>
        </w:rPr>
        <w:t>súťažné konania na zadávanie zmlúv</w:t>
      </w:r>
      <w:r w:rsidR="00326E55" w:rsidRPr="00326E55">
        <w:rPr>
          <w:noProof/>
          <w:spacing w:val="-6"/>
          <w:lang w:val="sk-SK"/>
        </w:rPr>
        <w:t xml:space="preserve"> o </w:t>
      </w:r>
      <w:r w:rsidRPr="00326E55">
        <w:rPr>
          <w:noProof/>
          <w:spacing w:val="-6"/>
          <w:lang w:val="sk-SK"/>
        </w:rPr>
        <w:t>službách vo verejnom záujme na miestne služby vo verejnom záujme (vrátane vodného hospodárstva, odpadu</w:t>
      </w:r>
      <w:r w:rsidR="00326E55" w:rsidRPr="00326E55">
        <w:rPr>
          <w:noProof/>
          <w:spacing w:val="-6"/>
          <w:lang w:val="sk-SK"/>
        </w:rPr>
        <w:t xml:space="preserve"> a </w:t>
      </w:r>
      <w:r w:rsidRPr="00326E55">
        <w:rPr>
          <w:noProof/>
          <w:spacing w:val="-6"/>
          <w:lang w:val="sk-SK"/>
        </w:rPr>
        <w:t>miestnej verejnej dopravy), zabráni sa neodôvodnenému predlžovaniu koncesií pre etablovaných prevádzkovateľov</w:t>
      </w:r>
      <w:r w:rsidR="00326E55" w:rsidRPr="00326E55">
        <w:rPr>
          <w:noProof/>
          <w:spacing w:val="-6"/>
          <w:lang w:val="sk-SK"/>
        </w:rPr>
        <w:t xml:space="preserve"> v </w:t>
      </w:r>
      <w:r w:rsidRPr="00326E55">
        <w:rPr>
          <w:noProof/>
          <w:spacing w:val="-6"/>
          <w:lang w:val="sk-SK"/>
        </w:rPr>
        <w:t>mnohých odvetviach vrátane prístavov, diaľnic, vodnej energie</w:t>
      </w:r>
      <w:r w:rsidR="00326E55" w:rsidRPr="00326E55">
        <w:rPr>
          <w:noProof/>
          <w:spacing w:val="-6"/>
          <w:lang w:val="sk-SK"/>
        </w:rPr>
        <w:t xml:space="preserve"> a </w:t>
      </w:r>
      <w:r w:rsidRPr="00326E55">
        <w:rPr>
          <w:noProof/>
          <w:spacing w:val="-6"/>
          <w:lang w:val="sk-SK"/>
        </w:rPr>
        <w:t>regionálnej dopravy, zabezpečí sa riadna regulácia zmlúv</w:t>
      </w:r>
      <w:r w:rsidR="00326E55" w:rsidRPr="00326E55">
        <w:rPr>
          <w:noProof/>
          <w:spacing w:val="-6"/>
          <w:lang w:val="sk-SK"/>
        </w:rPr>
        <w:t xml:space="preserve"> o </w:t>
      </w:r>
      <w:r w:rsidRPr="00326E55">
        <w:rPr>
          <w:noProof/>
          <w:spacing w:val="-6"/>
          <w:lang w:val="sk-SK"/>
        </w:rPr>
        <w:t>službách vo verejnom záujme, ktorou sa revidujú pravidlá</w:t>
      </w:r>
      <w:r w:rsidR="00326E55" w:rsidRPr="00326E55">
        <w:rPr>
          <w:noProof/>
          <w:spacing w:val="-6"/>
          <w:lang w:val="sk-SK"/>
        </w:rPr>
        <w:t xml:space="preserve"> o </w:t>
      </w:r>
      <w:r w:rsidRPr="00326E55">
        <w:rPr>
          <w:noProof/>
          <w:spacing w:val="-6"/>
          <w:lang w:val="sk-SK"/>
        </w:rPr>
        <w:t>agregácii</w:t>
      </w:r>
      <w:r w:rsidR="00326E55" w:rsidRPr="00326E55">
        <w:rPr>
          <w:noProof/>
          <w:spacing w:val="-6"/>
          <w:lang w:val="sk-SK"/>
        </w:rPr>
        <w:t xml:space="preserve"> a </w:t>
      </w:r>
      <w:r w:rsidRPr="00326E55">
        <w:rPr>
          <w:noProof/>
          <w:spacing w:val="-6"/>
          <w:lang w:val="sk-SK"/>
        </w:rPr>
        <w:t>uplatňuje sa všeobecná zásada proporcionality, pokiaľ ide</w:t>
      </w:r>
      <w:r w:rsidR="00326E55" w:rsidRPr="00326E55">
        <w:rPr>
          <w:noProof/>
          <w:spacing w:val="-6"/>
          <w:lang w:val="sk-SK"/>
        </w:rPr>
        <w:t xml:space="preserve"> o </w:t>
      </w:r>
      <w:r w:rsidRPr="00326E55">
        <w:rPr>
          <w:noProof/>
          <w:spacing w:val="-6"/>
          <w:lang w:val="sk-SK"/>
        </w:rPr>
        <w:t>dĺ</w:t>
      </w:r>
      <w:r w:rsidRPr="00326E55">
        <w:rPr>
          <w:noProof/>
          <w:spacing w:val="-6"/>
          <w:lang w:val="sk-SK"/>
        </w:rPr>
        <w:t>žku</w:t>
      </w:r>
      <w:r w:rsidR="00326E55" w:rsidRPr="00326E55">
        <w:rPr>
          <w:noProof/>
          <w:spacing w:val="-6"/>
          <w:lang w:val="sk-SK"/>
        </w:rPr>
        <w:t xml:space="preserve"> a </w:t>
      </w:r>
      <w:r w:rsidRPr="00326E55">
        <w:rPr>
          <w:noProof/>
          <w:spacing w:val="-6"/>
          <w:lang w:val="sk-SK"/>
        </w:rPr>
        <w:t>riadnu náhradu za zmluvy</w:t>
      </w:r>
      <w:r w:rsidR="00326E55" w:rsidRPr="00326E55">
        <w:rPr>
          <w:noProof/>
          <w:spacing w:val="-6"/>
          <w:lang w:val="sk-SK"/>
        </w:rPr>
        <w:t xml:space="preserve"> o </w:t>
      </w:r>
      <w:r w:rsidRPr="00326E55">
        <w:rPr>
          <w:noProof/>
          <w:spacing w:val="-6"/>
          <w:lang w:val="sk-SK"/>
        </w:rPr>
        <w:t>službách vo verejnom záujme. Právne predpisy</w:t>
      </w:r>
      <w:r w:rsidR="00326E55" w:rsidRPr="00326E55">
        <w:rPr>
          <w:noProof/>
          <w:spacing w:val="-6"/>
          <w:lang w:val="sk-SK"/>
        </w:rPr>
        <w:t xml:space="preserve"> o </w:t>
      </w:r>
      <w:r w:rsidRPr="00326E55">
        <w:rPr>
          <w:noProof/>
          <w:spacing w:val="-6"/>
          <w:lang w:val="sk-SK"/>
        </w:rPr>
        <w:t>hospodárskej súťaži podporujú hospodársku súťaž</w:t>
      </w:r>
      <w:r w:rsidR="00326E55" w:rsidRPr="00326E55">
        <w:rPr>
          <w:noProof/>
          <w:spacing w:val="-6"/>
          <w:lang w:val="sk-SK"/>
        </w:rPr>
        <w:t xml:space="preserve"> a </w:t>
      </w:r>
      <w:r w:rsidRPr="00326E55">
        <w:rPr>
          <w:noProof/>
          <w:spacing w:val="-6"/>
          <w:lang w:val="sk-SK"/>
        </w:rPr>
        <w:t>zlepšovanie efektívnosti riadenia</w:t>
      </w:r>
      <w:r w:rsidR="00326E55" w:rsidRPr="00326E55">
        <w:rPr>
          <w:noProof/>
          <w:spacing w:val="-6"/>
          <w:lang w:val="sk-SK"/>
        </w:rPr>
        <w:t xml:space="preserve"> a </w:t>
      </w:r>
      <w:r w:rsidRPr="00326E55">
        <w:rPr>
          <w:noProof/>
          <w:spacing w:val="-6"/>
          <w:lang w:val="sk-SK"/>
        </w:rPr>
        <w:t>kvality služieb</w:t>
      </w:r>
      <w:r w:rsidR="00326E55" w:rsidRPr="00326E55">
        <w:rPr>
          <w:noProof/>
          <w:spacing w:val="-6"/>
          <w:lang w:val="sk-SK"/>
        </w:rPr>
        <w:t xml:space="preserve"> v </w:t>
      </w:r>
      <w:r w:rsidRPr="00326E55">
        <w:rPr>
          <w:noProof/>
          <w:spacing w:val="-6"/>
          <w:lang w:val="sk-SK"/>
        </w:rPr>
        <w:t>regionálnej doprave, ako aj zvyšujú stimuly pre regióny, aby sa uchádzal</w:t>
      </w:r>
      <w:r w:rsidRPr="00326E55">
        <w:rPr>
          <w:noProof/>
          <w:spacing w:val="-6"/>
          <w:lang w:val="sk-SK"/>
        </w:rPr>
        <w:t>i</w:t>
      </w:r>
      <w:r w:rsidR="00326E55" w:rsidRPr="00326E55">
        <w:rPr>
          <w:noProof/>
          <w:spacing w:val="-6"/>
          <w:lang w:val="sk-SK"/>
        </w:rPr>
        <w:t xml:space="preserve"> o </w:t>
      </w:r>
      <w:r w:rsidRPr="00326E55">
        <w:rPr>
          <w:noProof/>
          <w:spacing w:val="-6"/>
          <w:lang w:val="sk-SK"/>
        </w:rPr>
        <w:t>verejné zákazky na služby regionálnej železničnej dopravy</w:t>
      </w:r>
      <w:r w:rsidR="00326E55" w:rsidRPr="00326E55">
        <w:rPr>
          <w:noProof/>
          <w:spacing w:val="-6"/>
          <w:lang w:val="sk-SK"/>
        </w:rPr>
        <w:t>.</w:t>
      </w:r>
    </w:p>
    <w:p w14:paraId="3675DDB8" w14:textId="0C006136" w:rsidR="00BF03AA" w:rsidRPr="00326E55" w:rsidRDefault="00FB452D">
      <w:pPr>
        <w:pStyle w:val="P68B1DB1-Normal7"/>
        <w:spacing w:before="120" w:after="120"/>
        <w:jc w:val="both"/>
        <w:rPr>
          <w:noProof/>
          <w:spacing w:val="-6"/>
          <w:lang w:val="sk-SK"/>
        </w:rPr>
      </w:pPr>
      <w:r w:rsidRPr="00326E55">
        <w:rPr>
          <w:noProof/>
          <w:spacing w:val="-6"/>
          <w:lang w:val="sk-SK"/>
        </w:rPr>
        <w:t>Ročné právne predpisy</w:t>
      </w:r>
      <w:r w:rsidR="00326E55" w:rsidRPr="00326E55">
        <w:rPr>
          <w:noProof/>
          <w:spacing w:val="-6"/>
          <w:lang w:val="sk-SK"/>
        </w:rPr>
        <w:t xml:space="preserve"> o </w:t>
      </w:r>
      <w:r w:rsidRPr="00326E55">
        <w:rPr>
          <w:noProof/>
          <w:spacing w:val="-6"/>
          <w:lang w:val="sk-SK"/>
        </w:rPr>
        <w:t>hospodárskej súťaži zahŕňajú opatrenia špecifické pre jednotlivé odvetvia podporujúce hospodársku súťaž vo viacerých oblastiach vrátane energetiky (elektrina, plyn</w:t>
      </w:r>
      <w:r w:rsidR="00326E55" w:rsidRPr="00326E55">
        <w:rPr>
          <w:noProof/>
          <w:spacing w:val="-6"/>
          <w:lang w:val="sk-SK"/>
        </w:rPr>
        <w:t xml:space="preserve"> a </w:t>
      </w:r>
      <w:r w:rsidRPr="00326E55">
        <w:rPr>
          <w:noProof/>
          <w:spacing w:val="-6"/>
          <w:lang w:val="sk-SK"/>
        </w:rPr>
        <w:t>vod</w:t>
      </w:r>
      <w:r w:rsidRPr="00326E55">
        <w:rPr>
          <w:noProof/>
          <w:spacing w:val="-6"/>
          <w:lang w:val="sk-SK"/>
        </w:rPr>
        <w:t>a), odpadového hospodárstva, dopravy (prístavy, železnice</w:t>
      </w:r>
      <w:r w:rsidR="00326E55" w:rsidRPr="00326E55">
        <w:rPr>
          <w:noProof/>
          <w:spacing w:val="-6"/>
          <w:lang w:val="sk-SK"/>
        </w:rPr>
        <w:t xml:space="preserve"> a </w:t>
      </w:r>
      <w:r w:rsidRPr="00326E55">
        <w:rPr>
          <w:noProof/>
          <w:spacing w:val="-6"/>
          <w:lang w:val="sk-SK"/>
        </w:rPr>
        <w:t>diaľnice)</w:t>
      </w:r>
      <w:r w:rsidR="00326E55" w:rsidRPr="00326E55">
        <w:rPr>
          <w:noProof/>
          <w:spacing w:val="-6"/>
          <w:lang w:val="sk-SK"/>
        </w:rPr>
        <w:t xml:space="preserve"> a </w:t>
      </w:r>
      <w:r w:rsidRPr="00326E55">
        <w:rPr>
          <w:noProof/>
          <w:spacing w:val="-6"/>
          <w:lang w:val="sk-SK"/>
        </w:rPr>
        <w:t>zdravotníctva, ktoré dopĺňajú 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rámci misií 2, 3</w:t>
      </w:r>
      <w:r w:rsidR="00326E55" w:rsidRPr="00326E55">
        <w:rPr>
          <w:noProof/>
          <w:spacing w:val="-6"/>
          <w:lang w:val="sk-SK"/>
        </w:rPr>
        <w:t xml:space="preserve"> a </w:t>
      </w:r>
      <w:r w:rsidRPr="00326E55">
        <w:rPr>
          <w:noProof/>
          <w:spacing w:val="-6"/>
          <w:lang w:val="sk-SK"/>
        </w:rPr>
        <w:t>6. Sprievodné opatrenia na zabezpečenie zavádzania hospodárskej súťaže na maloobchodných trhoch</w:t>
      </w:r>
      <w:r w:rsidR="00326E55" w:rsidRPr="00326E55">
        <w:rPr>
          <w:noProof/>
          <w:spacing w:val="-6"/>
          <w:lang w:val="sk-SK"/>
        </w:rPr>
        <w:t xml:space="preserve"> s </w:t>
      </w:r>
      <w:r w:rsidRPr="00326E55">
        <w:rPr>
          <w:noProof/>
          <w:spacing w:val="-6"/>
          <w:lang w:val="sk-SK"/>
        </w:rPr>
        <w:t>elektrinou nad</w:t>
      </w:r>
      <w:r w:rsidRPr="00326E55">
        <w:rPr>
          <w:noProof/>
          <w:spacing w:val="-6"/>
          <w:lang w:val="sk-SK"/>
        </w:rPr>
        <w:t>obudnú účinnosť najneskôr 31</w:t>
      </w:r>
      <w:r w:rsidR="00326E55" w:rsidRPr="00326E55">
        <w:rPr>
          <w:noProof/>
          <w:spacing w:val="-6"/>
          <w:lang w:val="sk-SK"/>
        </w:rPr>
        <w:t>. decembra</w:t>
      </w:r>
      <w:r w:rsidRPr="00326E55">
        <w:rPr>
          <w:noProof/>
          <w:spacing w:val="-6"/>
          <w:lang w:val="sk-SK"/>
        </w:rPr>
        <w:t xml:space="preserve"> 2022. Ročný zákon</w:t>
      </w:r>
      <w:r w:rsidR="00326E55" w:rsidRPr="00326E55">
        <w:rPr>
          <w:noProof/>
          <w:spacing w:val="-6"/>
          <w:lang w:val="sk-SK"/>
        </w:rPr>
        <w:t xml:space="preserve"> o </w:t>
      </w:r>
      <w:r w:rsidRPr="00326E55">
        <w:rPr>
          <w:noProof/>
          <w:spacing w:val="-6"/>
          <w:lang w:val="sk-SK"/>
        </w:rPr>
        <w:t>hospodárskej súťaži na rok 2022 prijme najmä plán rozvoja elektrizačnej sústavy</w:t>
      </w:r>
      <w:r w:rsidR="00326E55" w:rsidRPr="00326E55">
        <w:rPr>
          <w:noProof/>
          <w:spacing w:val="-6"/>
          <w:lang w:val="sk-SK"/>
        </w:rPr>
        <w:t xml:space="preserve"> a </w:t>
      </w:r>
      <w:r w:rsidRPr="00326E55">
        <w:rPr>
          <w:noProof/>
          <w:spacing w:val="-6"/>
          <w:lang w:val="sk-SK"/>
        </w:rPr>
        <w:t>podporí zavádzanie inteligentných elektromerov</w:t>
      </w:r>
      <w:r w:rsidRPr="00326E55">
        <w:rPr>
          <w:noProof/>
          <w:spacing w:val="-6"/>
          <w:vertAlign w:val="superscript"/>
          <w:lang w:val="sk-SK"/>
        </w:rPr>
        <w:t>druhej generácie</w:t>
      </w:r>
      <w:r w:rsidRPr="00326E55">
        <w:rPr>
          <w:noProof/>
          <w:spacing w:val="-6"/>
          <w:lang w:val="sk-SK"/>
        </w:rPr>
        <w:t>, ktoré do 31</w:t>
      </w:r>
      <w:r w:rsidR="00326E55" w:rsidRPr="00326E55">
        <w:rPr>
          <w:noProof/>
          <w:spacing w:val="-6"/>
          <w:lang w:val="sk-SK"/>
        </w:rPr>
        <w:t>. decembra</w:t>
      </w:r>
      <w:r w:rsidRPr="00326E55">
        <w:rPr>
          <w:noProof/>
          <w:spacing w:val="-6"/>
          <w:lang w:val="sk-SK"/>
        </w:rPr>
        <w:t xml:space="preserve"> 2025 dosiahnu 33 miliónov jed</w:t>
      </w:r>
      <w:r w:rsidRPr="00326E55">
        <w:rPr>
          <w:noProof/>
          <w:spacing w:val="-6"/>
          <w:lang w:val="sk-SK"/>
        </w:rPr>
        <w:t>notiek</w:t>
      </w:r>
      <w:r w:rsidRPr="00326E55">
        <w:rPr>
          <w:noProof/>
          <w:spacing w:val="-6"/>
          <w:vertAlign w:val="superscript"/>
          <w:lang w:val="sk-SK"/>
        </w:rPr>
        <w:t>v</w:t>
      </w:r>
      <w:r w:rsidRPr="00326E55">
        <w:rPr>
          <w:noProof/>
          <w:spacing w:val="-6"/>
          <w:lang w:val="sk-SK"/>
        </w:rPr>
        <w:t xml:space="preserve"> celom Taliansku. Zavedú sa aj opatrenia na podporu hospodárskej súťaže pre elektrické nabíjacie stanice.</w:t>
      </w:r>
    </w:p>
    <w:p w14:paraId="62C7B2E9" w14:textId="18A94894" w:rsidR="00BF03AA" w:rsidRPr="00326E55" w:rsidRDefault="00FB452D">
      <w:pPr>
        <w:pStyle w:val="P68B1DB1-Normal7"/>
        <w:jc w:val="both"/>
        <w:rPr>
          <w:noProof/>
          <w:spacing w:val="-6"/>
          <w:lang w:val="sk-SK"/>
        </w:rPr>
      </w:pPr>
      <w:r w:rsidRPr="00326E55">
        <w:rPr>
          <w:noProof/>
          <w:spacing w:val="-6"/>
          <w:lang w:val="sk-SK"/>
        </w:rPr>
        <w:t>Okrem toho zákony prispievajú</w:t>
      </w:r>
      <w:r w:rsidR="00326E55" w:rsidRPr="00326E55">
        <w:rPr>
          <w:noProof/>
          <w:spacing w:val="-6"/>
          <w:lang w:val="sk-SK"/>
        </w:rPr>
        <w:t xml:space="preserve"> k </w:t>
      </w:r>
      <w:r w:rsidRPr="00326E55">
        <w:rPr>
          <w:noProof/>
          <w:spacing w:val="-6"/>
          <w:lang w:val="sk-SK"/>
        </w:rPr>
        <w:t>zlepšovaniu podnikateľského prostredia aspoň prostredníctvom: I) zosúladenie pravidiel kontroly fúzií</w:t>
      </w:r>
      <w:r w:rsidR="00326E55" w:rsidRPr="00326E55">
        <w:rPr>
          <w:noProof/>
          <w:spacing w:val="-6"/>
          <w:lang w:val="sk-SK"/>
        </w:rPr>
        <w:t xml:space="preserve"> s </w:t>
      </w:r>
      <w:r w:rsidRPr="00326E55">
        <w:rPr>
          <w:noProof/>
          <w:spacing w:val="-6"/>
          <w:lang w:val="sk-SK"/>
        </w:rPr>
        <w:t xml:space="preserve">právom </w:t>
      </w:r>
      <w:r w:rsidRPr="00326E55">
        <w:rPr>
          <w:noProof/>
          <w:spacing w:val="-6"/>
          <w:lang w:val="sk-SK"/>
        </w:rPr>
        <w:t>EÚ, ii) konsolidácia, digitalizácia</w:t>
      </w:r>
      <w:r w:rsidR="00326E55" w:rsidRPr="00326E55">
        <w:rPr>
          <w:noProof/>
          <w:spacing w:val="-6"/>
          <w:lang w:val="sk-SK"/>
        </w:rPr>
        <w:t xml:space="preserve"> a </w:t>
      </w:r>
      <w:r w:rsidRPr="00326E55">
        <w:rPr>
          <w:noProof/>
          <w:spacing w:val="-6"/>
          <w:lang w:val="sk-SK"/>
        </w:rPr>
        <w:t>profesionalizácia orgánov dohľadu nad trhom; iii) reforma na zjednodušenie</w:t>
      </w:r>
      <w:r w:rsidR="00326E55" w:rsidRPr="00326E55">
        <w:rPr>
          <w:noProof/>
          <w:spacing w:val="-6"/>
          <w:lang w:val="sk-SK"/>
        </w:rPr>
        <w:t xml:space="preserve"> a </w:t>
      </w:r>
      <w:r w:rsidRPr="00326E55">
        <w:rPr>
          <w:noProof/>
          <w:spacing w:val="-6"/>
          <w:lang w:val="sk-SK"/>
        </w:rPr>
        <w:t>uľahčenie zakladania startupov</w:t>
      </w:r>
      <w:r w:rsidR="00326E55" w:rsidRPr="00326E55">
        <w:rPr>
          <w:noProof/>
          <w:spacing w:val="-6"/>
          <w:lang w:val="sk-SK"/>
        </w:rPr>
        <w:t xml:space="preserve"> a </w:t>
      </w:r>
      <w:r w:rsidRPr="00326E55">
        <w:rPr>
          <w:noProof/>
          <w:spacing w:val="-6"/>
          <w:lang w:val="sk-SK"/>
        </w:rPr>
        <w:t>činností rizikového kapitálu, ako aj na podporu národnej stratégie transferu technológií; iv) skrátenie času</w:t>
      </w:r>
      <w:r w:rsidRPr="00326E55">
        <w:rPr>
          <w:noProof/>
          <w:spacing w:val="-6"/>
          <w:lang w:val="sk-SK"/>
        </w:rPr>
        <w:t xml:space="preserve"> akreditácie na poskytovanie informácií</w:t>
      </w:r>
      <w:r w:rsidR="00326E55" w:rsidRPr="00326E55">
        <w:rPr>
          <w:noProof/>
          <w:spacing w:val="-6"/>
          <w:lang w:val="sk-SK"/>
        </w:rPr>
        <w:t xml:space="preserve"> o </w:t>
      </w:r>
      <w:r w:rsidRPr="00326E55">
        <w:rPr>
          <w:noProof/>
          <w:spacing w:val="-6"/>
          <w:lang w:val="sk-SK"/>
        </w:rPr>
        <w:t>zamestnancoch zo siedmich na štyri dni</w:t>
      </w:r>
      <w:r w:rsidR="00326E55" w:rsidRPr="00326E55">
        <w:rPr>
          <w:noProof/>
          <w:spacing w:val="-6"/>
          <w:lang w:val="sk-SK"/>
        </w:rPr>
        <w:t xml:space="preserve"> s </w:t>
      </w:r>
      <w:r w:rsidRPr="00326E55">
        <w:rPr>
          <w:noProof/>
          <w:spacing w:val="-6"/>
          <w:lang w:val="sk-SK"/>
        </w:rPr>
        <w:t>cieľom znížiť počet dní na založenie podniku.</w:t>
      </w:r>
    </w:p>
    <w:p w14:paraId="430098A4" w14:textId="77777777" w:rsidR="00BF03AA" w:rsidRPr="00326E55" w:rsidRDefault="00FB452D">
      <w:pPr>
        <w:pStyle w:val="P68B1DB1-Normal7"/>
        <w:rPr>
          <w:b/>
          <w:noProof/>
          <w:spacing w:val="-6"/>
          <w:lang w:val="sk-SK"/>
        </w:rPr>
      </w:pPr>
      <w:r w:rsidRPr="00326E55">
        <w:rPr>
          <w:noProof/>
          <w:spacing w:val="-6"/>
          <w:lang w:val="sk-SK"/>
        </w:rPr>
        <w:br w:type="page"/>
      </w:r>
    </w:p>
    <w:p w14:paraId="40ADC550" w14:textId="3732F36A" w:rsidR="00326E55" w:rsidRPr="00326E55" w:rsidRDefault="00FB452D">
      <w:pPr>
        <w:pStyle w:val="P68B1DB1-Normal5"/>
        <w:rPr>
          <w:noProof/>
          <w:spacing w:val="-6"/>
          <w:lang w:val="sk-SK"/>
        </w:rPr>
      </w:pPr>
      <w:r w:rsidRPr="00326E55">
        <w:rPr>
          <w:noProof/>
          <w:spacing w:val="-6"/>
          <w:lang w:val="sk-SK"/>
        </w:rPr>
        <w:t>Reforma 3: Racionalizácia</w:t>
      </w:r>
      <w:r w:rsidR="00326E55" w:rsidRPr="00326E55">
        <w:rPr>
          <w:noProof/>
          <w:spacing w:val="-6"/>
          <w:lang w:val="sk-SK"/>
        </w:rPr>
        <w:t xml:space="preserve"> a </w:t>
      </w:r>
      <w:r w:rsidRPr="00326E55">
        <w:rPr>
          <w:noProof/>
          <w:spacing w:val="-6"/>
          <w:lang w:val="sk-SK"/>
        </w:rPr>
        <w:t>zjednodušenie stimulov pre firmy</w:t>
      </w:r>
      <w:r w:rsidR="00326E55" w:rsidRPr="00326E55">
        <w:rPr>
          <w:noProof/>
          <w:spacing w:val="-6"/>
          <w:lang w:val="sk-SK"/>
        </w:rPr>
        <w:t>.</w:t>
      </w:r>
    </w:p>
    <w:p w14:paraId="22DD309F" w14:textId="7D789A28" w:rsidR="00BF03AA" w:rsidRPr="00326E55" w:rsidRDefault="00FB452D">
      <w:pPr>
        <w:pStyle w:val="P68B1DB1-Normal7"/>
        <w:spacing w:before="120" w:after="120" w:line="278" w:lineRule="auto"/>
        <w:jc w:val="both"/>
        <w:rPr>
          <w:rFonts w:eastAsia="Times New Roman"/>
          <w:noProof/>
          <w:spacing w:val="-6"/>
          <w:lang w:val="sk-SK"/>
        </w:rPr>
      </w:pPr>
      <w:r w:rsidRPr="00326E55">
        <w:rPr>
          <w:noProof/>
          <w:spacing w:val="-6"/>
          <w:lang w:val="sk-SK"/>
        </w:rPr>
        <w:t>Cieľom reformy je preskúmať, zjednodušiť</w:t>
      </w:r>
      <w:r w:rsidR="00326E55" w:rsidRPr="00326E55">
        <w:rPr>
          <w:noProof/>
          <w:spacing w:val="-6"/>
          <w:lang w:val="sk-SK"/>
        </w:rPr>
        <w:t xml:space="preserve"> a </w:t>
      </w:r>
      <w:r w:rsidRPr="00326E55">
        <w:rPr>
          <w:noProof/>
          <w:spacing w:val="-6"/>
          <w:lang w:val="sk-SK"/>
        </w:rPr>
        <w:t xml:space="preserve">zefektívniť systém </w:t>
      </w:r>
      <w:r w:rsidRPr="00326E55">
        <w:rPr>
          <w:noProof/>
          <w:spacing w:val="-6"/>
          <w:lang w:val="sk-SK"/>
        </w:rPr>
        <w:t>vnútroštátnych stimulov pre podniky. Reforma pozostáva zo vstupu právnych aktov do rámca právnych aktov, ako aj</w:t>
      </w:r>
      <w:r w:rsidR="00326E55" w:rsidRPr="00326E55">
        <w:rPr>
          <w:noProof/>
          <w:spacing w:val="-6"/>
          <w:lang w:val="sk-SK"/>
        </w:rPr>
        <w:t xml:space="preserve"> z </w:t>
      </w:r>
      <w:r w:rsidRPr="00326E55">
        <w:rPr>
          <w:noProof/>
          <w:spacing w:val="-6"/>
          <w:lang w:val="sk-SK"/>
        </w:rPr>
        <w:t>reštrukturalizácie</w:t>
      </w:r>
      <w:r w:rsidR="00326E55" w:rsidRPr="00326E55">
        <w:rPr>
          <w:noProof/>
          <w:spacing w:val="-6"/>
          <w:lang w:val="sk-SK"/>
        </w:rPr>
        <w:t xml:space="preserve"> a </w:t>
      </w:r>
      <w:r w:rsidRPr="00326E55">
        <w:rPr>
          <w:noProof/>
          <w:spacing w:val="-6"/>
          <w:lang w:val="sk-SK"/>
        </w:rPr>
        <w:t>zefektívnenia a) RNA (Národný register štátnej pomoci)</w:t>
      </w:r>
      <w:r w:rsidR="00326E55" w:rsidRPr="00326E55">
        <w:rPr>
          <w:noProof/>
          <w:spacing w:val="-6"/>
          <w:lang w:val="sk-SK"/>
        </w:rPr>
        <w:t xml:space="preserve"> a </w:t>
      </w:r>
      <w:r w:rsidRPr="00326E55">
        <w:rPr>
          <w:noProof/>
          <w:spacing w:val="-6"/>
          <w:lang w:val="sk-SK"/>
        </w:rPr>
        <w:t>b</w:t>
      </w:r>
      <w:r w:rsidRPr="00326E55">
        <w:rPr>
          <w:i/>
          <w:noProof/>
          <w:spacing w:val="-6"/>
          <w:lang w:val="sk-SK"/>
        </w:rPr>
        <w:t>)</w:t>
      </w:r>
      <w:r w:rsidRPr="00326E55">
        <w:rPr>
          <w:noProof/>
          <w:spacing w:val="-6"/>
          <w:lang w:val="sk-SK"/>
        </w:rPr>
        <w:t xml:space="preserve"> platformy stimulivi.gov.it.</w:t>
      </w:r>
    </w:p>
    <w:p w14:paraId="1A9F179C" w14:textId="77777777" w:rsidR="00BF03AA" w:rsidRPr="00326E55" w:rsidRDefault="00BF03AA">
      <w:pPr>
        <w:jc w:val="both"/>
        <w:rPr>
          <w:rFonts w:ascii="Times New Roman" w:hAnsi="Times New Roman"/>
          <w:noProof/>
          <w:spacing w:val="-6"/>
          <w:lang w:val="sk-SK"/>
        </w:rPr>
      </w:pPr>
    </w:p>
    <w:p w14:paraId="645978F6" w14:textId="77777777" w:rsidR="00BF03AA" w:rsidRPr="00326E55" w:rsidRDefault="00BF03AA">
      <w:pPr>
        <w:spacing w:before="120" w:after="120"/>
        <w:jc w:val="both"/>
        <w:rPr>
          <w:rFonts w:ascii="Times New Roman" w:hAnsi="Times New Roman"/>
          <w:noProof/>
          <w:spacing w:val="-6"/>
          <w:lang w:val="sk-SK"/>
        </w:rPr>
        <w:sectPr w:rsidR="00BF03AA" w:rsidRPr="00326E55" w:rsidSect="00726CF9">
          <w:headerReference w:type="default" r:id="rId40"/>
          <w:footerReference w:type="default" r:id="rId41"/>
          <w:pgSz w:w="11906" w:h="16838"/>
          <w:pgMar w:top="1440" w:right="1440" w:bottom="1440" w:left="1440" w:header="708" w:footer="708" w:gutter="0"/>
          <w:cols w:space="708"/>
          <w:docGrid w:linePitch="360"/>
        </w:sectPr>
      </w:pPr>
    </w:p>
    <w:p w14:paraId="57826589" w14:textId="7992698F" w:rsidR="00BF03AA" w:rsidRPr="00326E55" w:rsidRDefault="00FB452D">
      <w:pPr>
        <w:pStyle w:val="P68B1DB1-Heading39"/>
        <w:numPr>
          <w:ilvl w:val="2"/>
          <w:numId w:val="0"/>
        </w:numPr>
        <w:ind w:left="850" w:hanging="850"/>
        <w:rPr>
          <w:b/>
          <w:bCs/>
          <w:i/>
          <w:iCs/>
          <w:noProof/>
          <w:spacing w:val="-6"/>
          <w:u w:val="single"/>
          <w:lang w:val="sk-SK"/>
        </w:rPr>
      </w:pPr>
      <w:r w:rsidRPr="00326E55">
        <w:rPr>
          <w:b/>
          <w:noProof/>
          <w:spacing w:val="-6"/>
          <w:u w:val="single"/>
          <w:lang w:val="sk-SK"/>
        </w:rPr>
        <w:t xml:space="preserve">B.2.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154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276"/>
        <w:gridCol w:w="1134"/>
        <w:gridCol w:w="1559"/>
        <w:gridCol w:w="1843"/>
        <w:gridCol w:w="1359"/>
        <w:gridCol w:w="1476"/>
        <w:gridCol w:w="1134"/>
        <w:gridCol w:w="1021"/>
        <w:gridCol w:w="709"/>
        <w:gridCol w:w="2814"/>
      </w:tblGrid>
      <w:tr w:rsidR="00BF03AA" w:rsidRPr="00326E55" w14:paraId="284A5699" w14:textId="77777777">
        <w:trPr>
          <w:trHeight w:val="300"/>
          <w:tblHeader/>
        </w:trPr>
        <w:tc>
          <w:tcPr>
            <w:tcW w:w="1135" w:type="dxa"/>
            <w:vMerge w:val="restart"/>
            <w:shd w:val="clear" w:color="auto" w:fill="BDD7EE"/>
            <w:vAlign w:val="center"/>
          </w:tcPr>
          <w:p w14:paraId="407E0F63"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Poradové číslo</w:t>
            </w:r>
          </w:p>
        </w:tc>
        <w:tc>
          <w:tcPr>
            <w:tcW w:w="1276" w:type="dxa"/>
            <w:vMerge w:val="restart"/>
            <w:shd w:val="clear" w:color="auto" w:fill="BDD7EE"/>
            <w:vAlign w:val="center"/>
          </w:tcPr>
          <w:p w14:paraId="3F2121E8"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Opatrenie</w:t>
            </w:r>
          </w:p>
        </w:tc>
        <w:tc>
          <w:tcPr>
            <w:tcW w:w="1134" w:type="dxa"/>
            <w:vMerge w:val="restart"/>
            <w:shd w:val="clear" w:color="auto" w:fill="BDD7EE"/>
            <w:vAlign w:val="center"/>
          </w:tcPr>
          <w:p w14:paraId="751E8C0F"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Míľnik/cieľ</w:t>
            </w:r>
          </w:p>
        </w:tc>
        <w:tc>
          <w:tcPr>
            <w:tcW w:w="1559" w:type="dxa"/>
            <w:vMerge w:val="restart"/>
            <w:shd w:val="clear" w:color="auto" w:fill="BDD7EE"/>
            <w:vAlign w:val="center"/>
          </w:tcPr>
          <w:p w14:paraId="2FEFFFEE"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Názov</w:t>
            </w:r>
          </w:p>
        </w:tc>
        <w:tc>
          <w:tcPr>
            <w:tcW w:w="1843" w:type="dxa"/>
            <w:vMerge w:val="restart"/>
            <w:shd w:val="clear" w:color="auto" w:fill="BDD7EE"/>
            <w:vAlign w:val="center"/>
          </w:tcPr>
          <w:p w14:paraId="253A1744" w14:textId="77777777" w:rsidR="00BF03AA" w:rsidRPr="00326E55" w:rsidRDefault="00FB452D">
            <w:pPr>
              <w:spacing w:before="120" w:after="120"/>
              <w:jc w:val="center"/>
              <w:rPr>
                <w:rFonts w:ascii="Times New Roman" w:hAnsi="Times New Roman"/>
                <w:b/>
                <w:noProof/>
                <w:spacing w:val="-6"/>
                <w:sz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969" w:type="dxa"/>
            <w:gridSpan w:val="3"/>
            <w:tcBorders>
              <w:top w:val="single" w:sz="4" w:space="0" w:color="auto"/>
              <w:left w:val="single" w:sz="4" w:space="0" w:color="auto"/>
              <w:bottom w:val="single" w:sz="4" w:space="0" w:color="auto"/>
              <w:right w:val="single" w:sz="4" w:space="0" w:color="auto"/>
            </w:tcBorders>
            <w:shd w:val="clear" w:color="auto" w:fill="BDD7EE"/>
            <w:vAlign w:val="center"/>
          </w:tcPr>
          <w:p w14:paraId="409B6252" w14:textId="77777777" w:rsidR="00BF03AA" w:rsidRPr="00326E55" w:rsidRDefault="00FB452D">
            <w:pPr>
              <w:spacing w:before="120" w:after="120"/>
              <w:jc w:val="center"/>
              <w:rPr>
                <w:rFonts w:ascii="Times New Roman" w:hAnsi="Times New Roman"/>
                <w:b/>
                <w:noProof/>
                <w:spacing w:val="-6"/>
                <w:sz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730" w:type="dxa"/>
            <w:gridSpan w:val="2"/>
            <w:tcBorders>
              <w:top w:val="single" w:sz="4" w:space="0" w:color="auto"/>
              <w:left w:val="single" w:sz="4" w:space="0" w:color="auto"/>
              <w:bottom w:val="single" w:sz="4" w:space="0" w:color="auto"/>
              <w:right w:val="single" w:sz="4" w:space="0" w:color="auto"/>
            </w:tcBorders>
            <w:shd w:val="clear" w:color="auto" w:fill="BDD7EE"/>
            <w:vAlign w:val="center"/>
          </w:tcPr>
          <w:p w14:paraId="2417BCBB"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Orientačný harmonogram dokončenia</w:t>
            </w:r>
          </w:p>
        </w:tc>
        <w:tc>
          <w:tcPr>
            <w:tcW w:w="2814" w:type="dxa"/>
            <w:vMerge w:val="restart"/>
            <w:tcBorders>
              <w:top w:val="single" w:sz="4" w:space="0" w:color="auto"/>
              <w:left w:val="single" w:sz="4" w:space="0" w:color="auto"/>
              <w:right w:val="single" w:sz="4" w:space="0" w:color="auto"/>
            </w:tcBorders>
            <w:shd w:val="clear" w:color="auto" w:fill="BDD7EE"/>
            <w:vAlign w:val="center"/>
          </w:tcPr>
          <w:p w14:paraId="3DB01CB6" w14:textId="724B9467" w:rsidR="00BF03AA" w:rsidRPr="00326E55" w:rsidRDefault="00FB452D">
            <w:pPr>
              <w:pStyle w:val="P68B1DB1-Normal10"/>
              <w:spacing w:before="120" w:after="120"/>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7D41F08B" w14:textId="77777777">
        <w:trPr>
          <w:trHeight w:val="300"/>
          <w:tblHeader/>
        </w:trPr>
        <w:tc>
          <w:tcPr>
            <w:tcW w:w="1135" w:type="dxa"/>
            <w:vMerge/>
            <w:vAlign w:val="center"/>
          </w:tcPr>
          <w:p w14:paraId="46E8F550" w14:textId="77777777" w:rsidR="00BF03AA" w:rsidRPr="00326E55" w:rsidRDefault="00BF03AA">
            <w:pPr>
              <w:spacing w:before="120" w:after="120"/>
              <w:jc w:val="center"/>
              <w:rPr>
                <w:rFonts w:ascii="Times New Roman" w:hAnsi="Times New Roman"/>
                <w:noProof/>
                <w:spacing w:val="-6"/>
                <w:sz w:val="20"/>
                <w:szCs w:val="20"/>
                <w:lang w:val="sk-SK"/>
              </w:rPr>
            </w:pPr>
          </w:p>
        </w:tc>
        <w:tc>
          <w:tcPr>
            <w:tcW w:w="1276" w:type="dxa"/>
            <w:vMerge/>
            <w:vAlign w:val="center"/>
          </w:tcPr>
          <w:p w14:paraId="7217CDB5" w14:textId="77777777" w:rsidR="00BF03AA" w:rsidRPr="00326E55" w:rsidRDefault="00BF03AA">
            <w:pPr>
              <w:spacing w:before="120" w:after="120"/>
              <w:jc w:val="center"/>
              <w:rPr>
                <w:rFonts w:ascii="Times New Roman" w:hAnsi="Times New Roman"/>
                <w:noProof/>
                <w:spacing w:val="-6"/>
                <w:sz w:val="20"/>
                <w:szCs w:val="20"/>
                <w:lang w:val="sk-SK"/>
              </w:rPr>
            </w:pPr>
          </w:p>
        </w:tc>
        <w:tc>
          <w:tcPr>
            <w:tcW w:w="1134" w:type="dxa"/>
            <w:vMerge/>
            <w:vAlign w:val="center"/>
          </w:tcPr>
          <w:p w14:paraId="163B9C2E" w14:textId="77777777" w:rsidR="00BF03AA" w:rsidRPr="00326E55" w:rsidRDefault="00BF03AA">
            <w:pPr>
              <w:spacing w:before="120" w:after="120"/>
              <w:jc w:val="center"/>
              <w:rPr>
                <w:rFonts w:ascii="Times New Roman" w:hAnsi="Times New Roman"/>
                <w:noProof/>
                <w:spacing w:val="-6"/>
                <w:sz w:val="20"/>
                <w:szCs w:val="20"/>
                <w:lang w:val="sk-SK"/>
              </w:rPr>
            </w:pPr>
          </w:p>
        </w:tc>
        <w:tc>
          <w:tcPr>
            <w:tcW w:w="1559" w:type="dxa"/>
            <w:vMerge/>
            <w:vAlign w:val="center"/>
          </w:tcPr>
          <w:p w14:paraId="07E35B45" w14:textId="77777777" w:rsidR="00BF03AA" w:rsidRPr="00326E55" w:rsidRDefault="00BF03AA">
            <w:pPr>
              <w:spacing w:before="120" w:after="120"/>
              <w:jc w:val="center"/>
              <w:rPr>
                <w:rFonts w:ascii="Times New Roman" w:hAnsi="Times New Roman"/>
                <w:noProof/>
                <w:spacing w:val="-6"/>
                <w:sz w:val="20"/>
                <w:szCs w:val="20"/>
                <w:lang w:val="sk-SK"/>
              </w:rPr>
            </w:pPr>
          </w:p>
        </w:tc>
        <w:tc>
          <w:tcPr>
            <w:tcW w:w="1843" w:type="dxa"/>
            <w:vMerge/>
            <w:vAlign w:val="center"/>
          </w:tcPr>
          <w:p w14:paraId="38310F47" w14:textId="77777777" w:rsidR="00BF03AA" w:rsidRPr="00326E55" w:rsidRDefault="00BF03AA">
            <w:pPr>
              <w:spacing w:before="120" w:after="120"/>
              <w:jc w:val="center"/>
              <w:rPr>
                <w:rFonts w:ascii="Times New Roman" w:hAnsi="Times New Roman"/>
                <w:noProof/>
                <w:spacing w:val="-6"/>
                <w:sz w:val="20"/>
                <w:szCs w:val="20"/>
                <w:lang w:val="sk-SK"/>
              </w:rPr>
            </w:pPr>
          </w:p>
        </w:tc>
        <w:tc>
          <w:tcPr>
            <w:tcW w:w="1359" w:type="dxa"/>
            <w:tcBorders>
              <w:top w:val="single" w:sz="4" w:space="0" w:color="auto"/>
              <w:left w:val="single" w:sz="4" w:space="0" w:color="auto"/>
              <w:bottom w:val="single" w:sz="4" w:space="0" w:color="auto"/>
              <w:right w:val="single" w:sz="4" w:space="0" w:color="auto"/>
            </w:tcBorders>
            <w:shd w:val="clear" w:color="auto" w:fill="BDD7EE"/>
            <w:vAlign w:val="center"/>
          </w:tcPr>
          <w:p w14:paraId="4D23ECE3"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Merná jednotka</w:t>
            </w:r>
          </w:p>
        </w:tc>
        <w:tc>
          <w:tcPr>
            <w:tcW w:w="1476" w:type="dxa"/>
            <w:tcBorders>
              <w:top w:val="single" w:sz="4" w:space="0" w:color="auto"/>
              <w:left w:val="single" w:sz="4" w:space="0" w:color="auto"/>
              <w:bottom w:val="single" w:sz="4" w:space="0" w:color="auto"/>
              <w:right w:val="single" w:sz="4" w:space="0" w:color="auto"/>
            </w:tcBorders>
            <w:shd w:val="clear" w:color="auto" w:fill="BDD7EE"/>
            <w:vAlign w:val="center"/>
          </w:tcPr>
          <w:p w14:paraId="76438EFD"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Základná</w:t>
            </w:r>
          </w:p>
        </w:tc>
        <w:tc>
          <w:tcPr>
            <w:tcW w:w="1134" w:type="dxa"/>
            <w:tcBorders>
              <w:top w:val="single" w:sz="4" w:space="0" w:color="auto"/>
              <w:left w:val="single" w:sz="4" w:space="0" w:color="auto"/>
              <w:bottom w:val="single" w:sz="4" w:space="0" w:color="auto"/>
              <w:right w:val="single" w:sz="4" w:space="0" w:color="auto"/>
            </w:tcBorders>
            <w:shd w:val="clear" w:color="auto" w:fill="BDD7EE"/>
            <w:vAlign w:val="center"/>
          </w:tcPr>
          <w:p w14:paraId="18D1678A"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021" w:type="dxa"/>
            <w:tcBorders>
              <w:top w:val="single" w:sz="4" w:space="0" w:color="auto"/>
              <w:left w:val="single" w:sz="4" w:space="0" w:color="auto"/>
              <w:bottom w:val="single" w:sz="4" w:space="0" w:color="auto"/>
              <w:right w:val="single" w:sz="4" w:space="0" w:color="auto"/>
            </w:tcBorders>
            <w:shd w:val="clear" w:color="auto" w:fill="BDD7EE"/>
            <w:vAlign w:val="center"/>
          </w:tcPr>
          <w:p w14:paraId="347DD4B4"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Štvrtina</w:t>
            </w:r>
          </w:p>
        </w:tc>
        <w:tc>
          <w:tcPr>
            <w:tcW w:w="709" w:type="dxa"/>
            <w:tcBorders>
              <w:top w:val="single" w:sz="4" w:space="0" w:color="auto"/>
              <w:left w:val="single" w:sz="4" w:space="0" w:color="auto"/>
              <w:bottom w:val="single" w:sz="4" w:space="0" w:color="auto"/>
              <w:right w:val="single" w:sz="4" w:space="0" w:color="auto"/>
            </w:tcBorders>
            <w:shd w:val="clear" w:color="auto" w:fill="BDD7EE"/>
            <w:vAlign w:val="center"/>
          </w:tcPr>
          <w:p w14:paraId="5A55C060" w14:textId="77777777" w:rsidR="00BF03AA" w:rsidRPr="00326E55" w:rsidRDefault="00FB452D">
            <w:pPr>
              <w:pStyle w:val="P68B1DB1-Normal10"/>
              <w:spacing w:before="120" w:after="120"/>
              <w:jc w:val="center"/>
              <w:rPr>
                <w:rFonts w:ascii="Times New Roman" w:hAnsi="Times New Roman"/>
                <w:noProof/>
                <w:spacing w:val="-6"/>
                <w:lang w:val="sk-SK"/>
              </w:rPr>
            </w:pPr>
            <w:r w:rsidRPr="00326E55">
              <w:rPr>
                <w:rFonts w:ascii="Times New Roman" w:hAnsi="Times New Roman"/>
                <w:noProof/>
                <w:spacing w:val="-6"/>
                <w:lang w:val="sk-SK"/>
              </w:rPr>
              <w:t>Rok</w:t>
            </w:r>
          </w:p>
        </w:tc>
        <w:tc>
          <w:tcPr>
            <w:tcW w:w="2814" w:type="dxa"/>
            <w:vMerge/>
            <w:vAlign w:val="center"/>
          </w:tcPr>
          <w:p w14:paraId="26C20B8D" w14:textId="77777777" w:rsidR="00BF03AA" w:rsidRPr="00326E55" w:rsidRDefault="00BF03AA">
            <w:pPr>
              <w:spacing w:before="120" w:after="120"/>
              <w:rPr>
                <w:rFonts w:ascii="Times New Roman" w:hAnsi="Times New Roman"/>
                <w:noProof/>
                <w:spacing w:val="-6"/>
                <w:sz w:val="20"/>
                <w:szCs w:val="20"/>
                <w:lang w:val="sk-SK"/>
              </w:rPr>
            </w:pPr>
          </w:p>
        </w:tc>
      </w:tr>
      <w:tr w:rsidR="00BF03AA" w:rsidRPr="00326E55" w14:paraId="6F1B9E5D"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5B5F9E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M1C2 – 1</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11412B6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 Transformácia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C2AB40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D4977C9" w14:textId="1FD9772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právnych aktov na sprístupnenie daňových dobropisov na prechodné obdobie</w:t>
            </w:r>
            <w:r w:rsidRPr="00326E55">
              <w:rPr>
                <w:rFonts w:ascii="Times New Roman" w:hAnsi="Times New Roman"/>
                <w:noProof/>
                <w:spacing w:val="-6"/>
                <w:lang w:val="sk-SK"/>
              </w:rPr>
              <w:t xml:space="preserve"> 4.0 potenciálnym príjemcom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zriadenie vedeckého výboru</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68554E6" w14:textId="7CC0A7F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rozpočtového zákona umožňujúceho daňové úľavy,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súvisiacich vykonávacích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ich úči</w:t>
            </w:r>
            <w:r w:rsidRPr="00326E55">
              <w:rPr>
                <w:rFonts w:ascii="Times New Roman" w:hAnsi="Times New Roman"/>
                <w:noProof/>
                <w:spacing w:val="-6"/>
                <w:lang w:val="sk-SK"/>
              </w:rPr>
              <w:t>nnosti</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416F7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0241A6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415485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F842B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C73C9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102DCD9" w14:textId="0CEC01D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právnych aktoch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prechodnom období 4.0 sprístupnia potenciálnym príjemcom daňové úľavy.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daňové úľavy na i) 4.0 (t. j. technologicky vyspelý) hmotný investičný majetok, ii) 4.0 nehmotný i</w:t>
            </w:r>
            <w:r w:rsidRPr="00326E55">
              <w:rPr>
                <w:rFonts w:ascii="Times New Roman" w:hAnsi="Times New Roman"/>
                <w:noProof/>
                <w:spacing w:val="-6"/>
                <w:lang w:val="sk-SK"/>
              </w:rPr>
              <w:t>nvestičný majetok, iii) štandardný nehmotný investičný majetok, iv) výskumné, vývojové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inovačné činnosti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 činnosti odbornej prípravy.</w:t>
            </w:r>
          </w:p>
          <w:p w14:paraId="55DF35B1" w14:textId="1736A12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Daňové zápočty sa vymedzia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uznesení agentúry pre príjmy, aby sa príjemcom umožnilo využívať daňové dobropisy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pla</w:t>
            </w:r>
            <w:r w:rsidRPr="00326E55">
              <w:rPr>
                <w:rFonts w:ascii="Times New Roman" w:hAnsi="Times New Roman"/>
                <w:noProof/>
                <w:spacing w:val="-6"/>
                <w:lang w:val="sk-SK"/>
              </w:rPr>
              <w:t>tobným modelom F24. Vedecký výbor vrátane odborníkov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ministerstva 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financií, ministerstva hospodárskeho rozvoja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talianskej centrálnej banky sa zriadi prijatím ministerskej vyhlášky na posúdenie hospodárskeho vplyvu daňových úľav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prechodnom období 4.0.</w:t>
            </w:r>
          </w:p>
        </w:tc>
      </w:tr>
      <w:tr w:rsidR="00BF03AA" w:rsidRPr="00326E55" w14:paraId="25D263D3"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197588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2</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62C584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 Transformácia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E42C9A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33FA255" w14:textId="6EA782C9"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Prechod 4.0 dobropisov na dane poskytnutých firmám na základe daňových priznaní predložených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rokoch 2021 – 2022</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3B4337F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CC8166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4310DD1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8FF7DF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69 900</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7C917F0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74C2C57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6F1F7B84" w14:textId="77699F46"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hmotným </w:t>
            </w:r>
            <w:r w:rsidRPr="00326E55">
              <w:rPr>
                <w:rFonts w:ascii="Times New Roman" w:hAnsi="Times New Roman"/>
                <w:noProof/>
                <w:spacing w:val="-6"/>
                <w:lang w:val="sk-SK"/>
              </w:rPr>
              <w:t>investičným majetkom 4,0, nehmotným investičným majetkom, štandardným nehmotným investičným majetkom, výskumnými, vývojovými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inovačnými činnosťami alebo činnosťami odbornej prípravy bolo firmám poskytnutých najmenej 69900 daňových úľav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prechodnom obdob</w:t>
            </w:r>
            <w:r w:rsidRPr="00326E55">
              <w:rPr>
                <w:rFonts w:ascii="Times New Roman" w:hAnsi="Times New Roman"/>
                <w:noProof/>
                <w:spacing w:val="-6"/>
                <w:lang w:val="sk-SK"/>
              </w:rPr>
              <w:t>í 4.0. Daňový úver sa považuje za poskytnutý</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predložením daňového priznania. Daňové priznania sa podávajú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2021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2022.</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spoločností, ktorých daňový rok nezodpovedá kalendárnemu roku, sa koniec príslušného obd</w:t>
            </w:r>
            <w:r w:rsidRPr="00326E55">
              <w:rPr>
                <w:rFonts w:ascii="Times New Roman" w:hAnsi="Times New Roman"/>
                <w:noProof/>
                <w:spacing w:val="-6"/>
                <w:lang w:val="sk-SK"/>
              </w:rPr>
              <w:t>obia na predkladanie daňových priznaní týkajúcich sa všetkých uvedených daňových úľav predlžuje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2022 do 30</w:t>
            </w:r>
            <w:r w:rsidR="00326E55" w:rsidRPr="00326E55">
              <w:rPr>
                <w:rFonts w:ascii="Times New Roman" w:hAnsi="Times New Roman"/>
                <w:noProof/>
                <w:spacing w:val="-6"/>
                <w:lang w:val="sk-SK"/>
              </w:rPr>
              <w:t>. novembra</w:t>
            </w:r>
            <w:r w:rsidRPr="00326E55">
              <w:rPr>
                <w:rFonts w:ascii="Times New Roman" w:hAnsi="Times New Roman"/>
                <w:noProof/>
                <w:spacing w:val="-6"/>
                <w:lang w:val="sk-SK"/>
              </w:rPr>
              <w:t xml:space="preserve"> 2023.</w:t>
            </w:r>
          </w:p>
        </w:tc>
      </w:tr>
      <w:tr w:rsidR="00BF03AA" w:rsidRPr="00326E55" w14:paraId="0CEF987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34C6CA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3</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5F0CB5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 Transformácia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1B664F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D4BF16E" w14:textId="24F708F3"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Prechod 4.0 dobropisov na dane poskytnutých firmám na základe daňových </w:t>
            </w:r>
            <w:r w:rsidRPr="00326E55">
              <w:rPr>
                <w:rFonts w:ascii="Times New Roman" w:hAnsi="Times New Roman"/>
                <w:noProof/>
                <w:spacing w:val="-6"/>
                <w:lang w:val="sk-SK"/>
              </w:rPr>
              <w:t>priznaní predložených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rokoch 2021 – 2023</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2579EE6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51BC301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B8E15E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69 900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4EA610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111 700</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3E99594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C01FB4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13121636" w14:textId="048DE6D1"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V 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hmotným investičným majetkom 4,0, nehmotným investičným majetkom, štandardným nehmotným investičným majetkom, výskumnými, vývojovými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inovačnými </w:t>
            </w:r>
            <w:r w:rsidRPr="00326E55">
              <w:rPr>
                <w:rFonts w:ascii="Times New Roman" w:hAnsi="Times New Roman"/>
                <w:noProof/>
                <w:spacing w:val="-6"/>
                <w:lang w:val="sk-SK"/>
              </w:rPr>
              <w:t>činnosťami alebo činnosťami odbornej prípravy bolo firmám poskytnutých najmenej 111700 daňových úľav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prechodnom období 4.0. Daňový úver sa považuje za poskytnutý</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predložením daňového priznania. Daňové priznania sa podávajú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2021 d</w:t>
            </w:r>
            <w:r w:rsidRPr="00326E55">
              <w:rPr>
                <w:rFonts w:ascii="Times New Roman" w:hAnsi="Times New Roman"/>
                <w:noProof/>
                <w:spacing w:val="-6"/>
                <w:lang w:val="sk-SK"/>
              </w:rPr>
              <w:t>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2023.</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spoločností, ktorých daňový rok nezodpovedá kalendárnemu roku, sa koniec posudzovaného obdobia na predkladanie daňových priznaní týkajúcich sa všetkých uvedených daňových úľav predlžuje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2023 do 30</w:t>
            </w:r>
            <w:r w:rsidR="00326E55" w:rsidRPr="00326E55">
              <w:rPr>
                <w:rFonts w:ascii="Times New Roman" w:hAnsi="Times New Roman"/>
                <w:noProof/>
                <w:spacing w:val="-6"/>
                <w:lang w:val="sk-SK"/>
              </w:rPr>
              <w:t>. novembra</w:t>
            </w:r>
            <w:r w:rsidRPr="00326E55">
              <w:rPr>
                <w:rFonts w:ascii="Times New Roman" w:hAnsi="Times New Roman"/>
                <w:noProof/>
                <w:spacing w:val="-6"/>
                <w:lang w:val="sk-SK"/>
              </w:rPr>
              <w:t xml:space="preserve"> 202</w:t>
            </w:r>
            <w:r w:rsidRPr="00326E55">
              <w:rPr>
                <w:rFonts w:ascii="Times New Roman" w:hAnsi="Times New Roman"/>
                <w:noProof/>
                <w:spacing w:val="-6"/>
                <w:lang w:val="sk-SK"/>
              </w:rPr>
              <w:t>4.</w:t>
            </w:r>
          </w:p>
          <w:p w14:paraId="37EABE4E" w14:textId="41E8C7C4"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Základný scenár sa vzťahuje na počet daňových úverov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prechodnom období 4.0, ktoré boli poskytnuté firmám, na základe daňových priznaní predložených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2021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2022 za 4.0 hmotný investičný majetok, 4.0 nehmotný investi</w:t>
            </w:r>
            <w:r w:rsidRPr="00326E55">
              <w:rPr>
                <w:rFonts w:ascii="Times New Roman" w:hAnsi="Times New Roman"/>
                <w:noProof/>
                <w:spacing w:val="-6"/>
                <w:lang w:val="sk-SK"/>
              </w:rPr>
              <w:t>čný majetok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štandardný nehmotný majetok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základe daňových priznaní predložených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2022 za výskumné, vývojové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inovačné činnosti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činnosti odbornej prípravy.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prípade spoločností, ktorých daňový rok nezodpovedá </w:t>
            </w:r>
            <w:r w:rsidRPr="00326E55">
              <w:rPr>
                <w:rFonts w:ascii="Times New Roman" w:hAnsi="Times New Roman"/>
                <w:noProof/>
                <w:spacing w:val="-6"/>
                <w:lang w:val="sk-SK"/>
              </w:rPr>
              <w:t>kalendárnemu roku, sa do základného scenára všetkých uvedených daňových úľav zahrnú aj daňové priznania predložené do 30</w:t>
            </w:r>
            <w:r w:rsidR="00326E55" w:rsidRPr="00326E55">
              <w:rPr>
                <w:rFonts w:ascii="Times New Roman" w:hAnsi="Times New Roman"/>
                <w:noProof/>
                <w:spacing w:val="-6"/>
                <w:lang w:val="sk-SK"/>
              </w:rPr>
              <w:t>. novembra</w:t>
            </w:r>
            <w:r w:rsidRPr="00326E55">
              <w:rPr>
                <w:rFonts w:ascii="Times New Roman" w:hAnsi="Times New Roman"/>
                <w:noProof/>
                <w:spacing w:val="-6"/>
                <w:lang w:val="sk-SK"/>
              </w:rPr>
              <w:t xml:space="preserve"> 2023.</w:t>
            </w:r>
          </w:p>
          <w:p w14:paraId="43938203" w14:textId="0A992E69"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Pre cieľ sa neberú do úvahy žiadne spoločnosti pôsobiace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odvetviach činnosti označených kódmi ATECO 05, 06, 07</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09. </w:t>
            </w:r>
            <w:r w:rsidRPr="00326E55">
              <w:rPr>
                <w:rFonts w:ascii="Times New Roman" w:hAnsi="Times New Roman"/>
                <w:noProof/>
                <w:spacing w:val="-6"/>
                <w:lang w:val="sk-SK"/>
              </w:rPr>
              <w:t>Okrem toho,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investície do 4.0 hmotného investičného majetku, ako aj do vývojových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inovačných činností, žiadne spoločnosti pôsobiace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odvetviach činnosti označených kódmi ATECO 30. Pre cieľ sa berie do úvahy 22, 29, 38, 41, 42, 43, 17, 01, 5</w:t>
            </w:r>
            <w:r w:rsidRPr="00326E55">
              <w:rPr>
                <w:rFonts w:ascii="Times New Roman" w:hAnsi="Times New Roman"/>
                <w:noProof/>
                <w:spacing w:val="-6"/>
                <w:lang w:val="sk-SK"/>
              </w:rPr>
              <w:t>0, 19, 20, 51, 24, 49, 23</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35.</w:t>
            </w:r>
          </w:p>
        </w:tc>
      </w:tr>
      <w:tr w:rsidR="00BF03AA" w:rsidRPr="00326E55" w14:paraId="33FA2C61"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5EB8CBD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4</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271FE2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1: Reforma systému priemyselného vlastníctva</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A301DB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42F0157F" w14:textId="6764DF7C"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legislatívneho dekrétu zameraného na reformu talianskeho zákonníka priemyselného vlastníctva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príslušných vykonávacích aktov</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0F758F31" w14:textId="2AAF4183"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nového zákonníka priemyselného vlastníctva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súvisiacich vykonávacích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ich účinnosti</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C030D6A"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C266158"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7712B89"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0B9FF3F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25E683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AD04BD6" w14:textId="1CE88A4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Novým legislatívnym dek</w:t>
            </w:r>
            <w:r w:rsidRPr="00326E55">
              <w:rPr>
                <w:rFonts w:ascii="Times New Roman" w:hAnsi="Times New Roman"/>
                <w:noProof/>
                <w:spacing w:val="-6"/>
                <w:lang w:val="sk-SK"/>
              </w:rPr>
              <w:t>rétom sa mení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dopĺňa taliansky zákonník priemyselného vlastníctva (legislatívny dekrét </w:t>
            </w:r>
            <w:r w:rsidR="00326E55" w:rsidRPr="00326E55">
              <w:rPr>
                <w:rFonts w:ascii="Times New Roman" w:hAnsi="Times New Roman"/>
                <w:noProof/>
                <w:spacing w:val="-6"/>
                <w:lang w:val="sk-SK"/>
              </w:rPr>
              <w:t>č. </w:t>
            </w:r>
            <w:r w:rsidRPr="00326E55">
              <w:rPr>
                <w:rFonts w:ascii="Times New Roman" w:hAnsi="Times New Roman"/>
                <w:noProof/>
                <w:spacing w:val="-6"/>
                <w:lang w:val="sk-SK"/>
              </w:rPr>
              <w:t>30</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10</w:t>
            </w:r>
            <w:r w:rsidR="00326E55" w:rsidRPr="00326E55">
              <w:rPr>
                <w:rFonts w:ascii="Times New Roman" w:hAnsi="Times New Roman"/>
                <w:noProof/>
                <w:spacing w:val="-6"/>
                <w:lang w:val="sk-SK"/>
              </w:rPr>
              <w:t>. februára</w:t>
            </w:r>
            <w:r w:rsidRPr="00326E55">
              <w:rPr>
                <w:rFonts w:ascii="Times New Roman" w:hAnsi="Times New Roman"/>
                <w:noProof/>
                <w:spacing w:val="-6"/>
                <w:lang w:val="sk-SK"/>
              </w:rPr>
              <w:t xml:space="preserve"> 2005)</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vzťahuje sa minimálne na tieto oblasti: I) preskúmanie regulačného rámca na posilnenie ochrany práv priemyselného vlastníctva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zjednoduše</w:t>
            </w:r>
            <w:r w:rsidRPr="00326E55">
              <w:rPr>
                <w:rFonts w:ascii="Times New Roman" w:hAnsi="Times New Roman"/>
                <w:noProof/>
                <w:spacing w:val="-6"/>
                <w:lang w:val="sk-SK"/>
              </w:rPr>
              <w:t>nie postupov, ii) posilnenie podpory spoločností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výskumných inštitúcií, iii) zlepšenie rozvoja zručností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kompetencií, iv) uľahčenie prenosu znalostí, v) posilnenie podpory inovačných služieb.</w:t>
            </w:r>
          </w:p>
        </w:tc>
      </w:tr>
      <w:tr w:rsidR="00BF03AA" w:rsidRPr="00326E55" w14:paraId="7C16AE5D"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F8564B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5</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B74EA3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6: Investície do systému priemyselného </w:t>
            </w:r>
            <w:r w:rsidRPr="00326E55">
              <w:rPr>
                <w:rFonts w:ascii="Times New Roman" w:hAnsi="Times New Roman"/>
                <w:noProof/>
                <w:spacing w:val="-6"/>
                <w:lang w:val="sk-SK"/>
              </w:rPr>
              <w:t>vlastníctva</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F4AFD61" w14:textId="77777777"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Cieľ</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6AE73632" w14:textId="70BA4D8B"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Záverečné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činnostiach/projektoch pre najmenej 254 projektov 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priemyselným vlastníctvom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výskumom.</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431712B3"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673544A7"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1979C87"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05CA310"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254</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CE8633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A34435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2081B93" w14:textId="7CFD72B4" w:rsidR="00BF03AA" w:rsidRPr="00326E55" w:rsidRDefault="00FB452D">
            <w:pPr>
              <w:pStyle w:val="P68B1DB1-Normal21"/>
              <w:spacing w:before="120" w:after="120" w:line="278" w:lineRule="auto"/>
              <w:rPr>
                <w:rFonts w:ascii="Times New Roman" w:hAnsi="Times New Roman"/>
                <w:noProof/>
                <w:spacing w:val="-6"/>
                <w:szCs w:val="20"/>
                <w:lang w:val="sk-SK"/>
              </w:rPr>
            </w:pPr>
            <w:r w:rsidRPr="00326E55">
              <w:rPr>
                <w:rFonts w:ascii="Times New Roman" w:hAnsi="Times New Roman"/>
                <w:noProof/>
                <w:spacing w:val="-6"/>
                <w:lang w:val="sk-SK"/>
              </w:rPr>
              <w:t>Záverečné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činnostiach/projektoch podpísané prijímajúcimi subjektmi</w:t>
            </w:r>
            <w:r w:rsidRPr="00326E55">
              <w:rPr>
                <w:rFonts w:ascii="Times New Roman" w:hAnsi="Times New Roman"/>
                <w:noProof/>
                <w:spacing w:val="-6"/>
                <w:lang w:val="sk-SK"/>
              </w:rPr>
              <w:t xml:space="preserve"> boli poskytnuté pre najmenej 254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priemyselného vlastníctva.</w:t>
            </w:r>
            <w:r w:rsidRPr="00326E55">
              <w:rPr>
                <w:rFonts w:ascii="Times New Roman" w:eastAsia="Arial Narrow" w:hAnsi="Times New Roman" w:cs="Arial Narrow"/>
                <w:noProof/>
                <w:spacing w:val="-6"/>
                <w:szCs w:val="20"/>
                <w:u w:val="single"/>
                <w:lang w:val="sk-SK"/>
              </w:rPr>
              <w:t xml:space="preserve"> </w:t>
            </w:r>
            <w:r w:rsidRPr="00326E55">
              <w:rPr>
                <w:rFonts w:ascii="Times New Roman" w:hAnsi="Times New Roman"/>
                <w:noProof/>
                <w:spacing w:val="-6"/>
                <w:szCs w:val="20"/>
                <w:lang w:val="sk-SK"/>
              </w:rPr>
              <w:t>.</w:t>
            </w:r>
          </w:p>
        </w:tc>
      </w:tr>
      <w:tr w:rsidR="00BF03AA" w:rsidRPr="00326E55" w14:paraId="55C8254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D2C2F6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6</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3245C5C" w14:textId="78289699"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4F8279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4F1484FB" w14:textId="4272F29D"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2021</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13E6DF1" w14:textId="05F624B4"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2021.</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330CB1C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90E245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E943A9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1799E7F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0665A310"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42D619A" w14:textId="523F8385"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Ročný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obsahuje aspoň tieto kľúčové prvky, ktorých vykonávacie opatrenia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sekundárne </w:t>
            </w:r>
            <w:r w:rsidRPr="00326E55">
              <w:rPr>
                <w:rFonts w:ascii="Times New Roman" w:hAnsi="Times New Roman"/>
                <w:noProof/>
                <w:spacing w:val="-6"/>
                <w:lang w:val="sk-SK"/>
              </w:rPr>
              <w:t>právne predpisy (v prípade potreby) sa prijmú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nadobudnú účinnosť najneskôr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2022.</w:t>
            </w:r>
          </w:p>
          <w:p w14:paraId="5C05FAAE" w14:textId="705BF21E" w:rsidR="00BF03AA" w:rsidRPr="00326E55" w:rsidRDefault="00FB452D">
            <w:pPr>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Týka sa:</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 Presadzovanie antitrustových pravidiel</w:t>
            </w:r>
            <w:r w:rsidRPr="00326E55">
              <w:rPr>
                <w:rFonts w:ascii="Times New Roman" w:hAnsi="Times New Roman"/>
                <w:noProof/>
                <w:spacing w:val="-6"/>
                <w:lang w:val="sk-SK"/>
              </w:rPr>
              <w:t xml:space="preserve">  </w:t>
            </w:r>
            <w:r w:rsidRPr="00326E55">
              <w:rPr>
                <w:rFonts w:ascii="Times New Roman" w:hAnsi="Times New Roman"/>
                <w:noProof/>
                <w:spacing w:val="-6"/>
                <w:lang w:val="sk-SK"/>
              </w:rPr>
              <w:br/>
              <w:t xml:space="preserve"> </w:t>
            </w:r>
            <w:r w:rsidRPr="00326E55">
              <w:rPr>
                <w:rFonts w:ascii="Times New Roman" w:hAnsi="Times New Roman"/>
                <w:noProof/>
                <w:color w:val="006100"/>
                <w:spacing w:val="-6"/>
                <w:sz w:val="20"/>
                <w:lang w:val="sk-SK"/>
              </w:rPr>
              <w:t>— Miestne verejné služby</w:t>
            </w:r>
            <w:r w:rsidRPr="00326E55">
              <w:rPr>
                <w:rFonts w:ascii="Times New Roman" w:hAnsi="Times New Roman"/>
                <w:noProof/>
                <w:spacing w:val="-6"/>
                <w:lang w:val="sk-SK"/>
              </w:rPr>
              <w:t xml:space="preserve">  </w:t>
            </w:r>
            <w:r w:rsidRPr="00326E55">
              <w:rPr>
                <w:rFonts w:ascii="Times New Roman" w:hAnsi="Times New Roman"/>
                <w:noProof/>
                <w:spacing w:val="-6"/>
                <w:lang w:val="sk-SK"/>
              </w:rPr>
              <w:br/>
              <w:t xml:space="preserve"> </w:t>
            </w:r>
            <w:r w:rsidRPr="00326E55">
              <w:rPr>
                <w:rFonts w:ascii="Times New Roman" w:hAnsi="Times New Roman"/>
                <w:noProof/>
                <w:color w:val="006100"/>
                <w:spacing w:val="-6"/>
                <w:sz w:val="20"/>
                <w:lang w:val="sk-SK"/>
              </w:rPr>
              <w:t>— Energetika</w:t>
            </w:r>
            <w:r w:rsidRPr="00326E55">
              <w:rPr>
                <w:rFonts w:ascii="Times New Roman" w:hAnsi="Times New Roman"/>
                <w:noProof/>
                <w:spacing w:val="-6"/>
                <w:lang w:val="sk-SK"/>
              </w:rPr>
              <w:t xml:space="preserve">  </w:t>
            </w:r>
            <w:r w:rsidRPr="00326E55">
              <w:rPr>
                <w:rFonts w:ascii="Times New Roman" w:hAnsi="Times New Roman"/>
                <w:noProof/>
                <w:spacing w:val="-6"/>
                <w:lang w:val="sk-SK"/>
              </w:rPr>
              <w:br/>
              <w:t xml:space="preserve"> </w:t>
            </w:r>
            <w:r w:rsidRPr="00326E55">
              <w:rPr>
                <w:rFonts w:ascii="Times New Roman" w:hAnsi="Times New Roman"/>
                <w:noProof/>
                <w:color w:val="006100"/>
                <w:spacing w:val="-6"/>
                <w:sz w:val="20"/>
                <w:lang w:val="sk-SK"/>
              </w:rPr>
              <w:t>— Doprava</w:t>
            </w:r>
            <w:r w:rsidRPr="00326E55">
              <w:rPr>
                <w:rFonts w:ascii="Times New Roman" w:hAnsi="Times New Roman"/>
                <w:noProof/>
                <w:spacing w:val="-6"/>
                <w:lang w:val="sk-SK"/>
              </w:rPr>
              <w:t xml:space="preserve">  </w:t>
            </w:r>
            <w:r w:rsidRPr="00326E55">
              <w:rPr>
                <w:rFonts w:ascii="Times New Roman" w:hAnsi="Times New Roman"/>
                <w:noProof/>
                <w:spacing w:val="-6"/>
                <w:lang w:val="sk-SK"/>
              </w:rPr>
              <w:br/>
              <w:t xml:space="preserve"> </w:t>
            </w:r>
            <w:r w:rsidRPr="00326E55">
              <w:rPr>
                <w:rFonts w:ascii="Times New Roman" w:hAnsi="Times New Roman"/>
                <w:noProof/>
                <w:color w:val="006100"/>
                <w:spacing w:val="-6"/>
                <w:sz w:val="20"/>
                <w:lang w:val="sk-SK"/>
              </w:rPr>
              <w:t>— Odpady</w:t>
            </w:r>
            <w:r w:rsidRPr="00326E55">
              <w:rPr>
                <w:rFonts w:ascii="Times New Roman" w:hAnsi="Times New Roman"/>
                <w:noProof/>
                <w:spacing w:val="-6"/>
                <w:lang w:val="sk-SK"/>
              </w:rPr>
              <w:t xml:space="preserve">  </w:t>
            </w:r>
            <w:r w:rsidRPr="00326E55">
              <w:rPr>
                <w:rFonts w:ascii="Times New Roman" w:hAnsi="Times New Roman"/>
                <w:noProof/>
                <w:spacing w:val="-6"/>
                <w:lang w:val="sk-SK"/>
              </w:rPr>
              <w:br/>
              <w:t xml:space="preserve"> </w:t>
            </w:r>
            <w:r w:rsidRPr="00326E55">
              <w:rPr>
                <w:rFonts w:ascii="Times New Roman" w:hAnsi="Times New Roman"/>
                <w:noProof/>
                <w:color w:val="006100"/>
                <w:spacing w:val="-6"/>
                <w:sz w:val="20"/>
                <w:lang w:val="sk-SK"/>
              </w:rPr>
              <w:t>— Začatie podnikania</w:t>
            </w:r>
            <w:r w:rsidRPr="00326E55">
              <w:rPr>
                <w:rFonts w:ascii="Times New Roman" w:hAnsi="Times New Roman"/>
                <w:noProof/>
                <w:spacing w:val="-6"/>
                <w:lang w:val="sk-SK"/>
              </w:rPr>
              <w:t xml:space="preserve">  </w:t>
            </w:r>
            <w:r w:rsidRPr="00326E55">
              <w:rPr>
                <w:rFonts w:ascii="Times New Roman" w:hAnsi="Times New Roman"/>
                <w:noProof/>
                <w:spacing w:val="-6"/>
                <w:lang w:val="sk-SK"/>
              </w:rPr>
              <w:br/>
              <w:t xml:space="preserve"> </w:t>
            </w:r>
            <w:r w:rsidRPr="00326E55">
              <w:rPr>
                <w:rFonts w:ascii="Times New Roman" w:hAnsi="Times New Roman"/>
                <w:noProof/>
                <w:color w:val="006100"/>
                <w:spacing w:val="-6"/>
                <w:sz w:val="20"/>
                <w:lang w:val="sk-SK"/>
              </w:rPr>
              <w:t>— Dohľad nad</w:t>
            </w:r>
            <w:r w:rsidRPr="00326E55">
              <w:rPr>
                <w:rFonts w:ascii="Times New Roman" w:hAnsi="Times New Roman"/>
                <w:noProof/>
                <w:color w:val="006100"/>
                <w:spacing w:val="-6"/>
                <w:sz w:val="20"/>
                <w:lang w:val="sk-SK"/>
              </w:rPr>
              <w:t xml:space="preserve"> trhom</w:t>
            </w:r>
          </w:p>
          <w:p w14:paraId="6C6EC5B7"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Presadzovanie antitrustových právnych predpisov:</w:t>
            </w:r>
          </w:p>
          <w:p w14:paraId="70A3FBE2" w14:textId="1F31E7AF"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I. Odstrániť ďalšie prekážky pre kontrolu fúzií ďalším zosúladením talianskych pravidiel kontroly fúzií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právom EÚ.</w:t>
            </w:r>
          </w:p>
          <w:p w14:paraId="5E02F76C"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Miestne verejné služby:</w:t>
            </w:r>
          </w:p>
          <w:p w14:paraId="32DAE0D9" w14:textId="328371CC"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II. Posilniť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rozšíriť uplatňovanie zásady hospodárskej sú</w:t>
            </w:r>
            <w:r w:rsidRPr="00326E55">
              <w:rPr>
                <w:rFonts w:ascii="Times New Roman" w:hAnsi="Times New Roman"/>
                <w:noProof/>
                <w:spacing w:val="-6"/>
                <w:lang w:val="sk-SK"/>
              </w:rPr>
              <w:t>ťaže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miestnych verejných zákaziek na služby, najmä</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odpadu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miestnej verejnej dopravy.</w:t>
            </w:r>
          </w:p>
          <w:p w14:paraId="11F0ACEB" w14:textId="16C73634"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III. Obmedziť priame zadávanie zákaziek tým, že sa od miestnych verejných orgánov bude vyžadovať, aby odôvodnili akúkoľvek odchýlku od verejného obst</w:t>
            </w:r>
            <w:r w:rsidRPr="00326E55">
              <w:rPr>
                <w:rFonts w:ascii="Times New Roman" w:hAnsi="Times New Roman"/>
                <w:noProof/>
                <w:spacing w:val="-6"/>
                <w:lang w:val="sk-SK"/>
              </w:rPr>
              <w:t>arávania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službách vo verejnom záujme (podľa článku 192 zákonníka verejného obstarávania).</w:t>
            </w:r>
          </w:p>
          <w:p w14:paraId="59265CCE" w14:textId="38947294"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IV. Zabezpečiť riadnu reguláciu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službách vo verejnom záujme vykonávaním článku 19 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124/2015 ako jednotného textu týkajúceho sa miestnych vere</w:t>
            </w:r>
            <w:r w:rsidRPr="00326E55">
              <w:rPr>
                <w:rFonts w:ascii="Times New Roman" w:hAnsi="Times New Roman"/>
                <w:noProof/>
                <w:spacing w:val="-6"/>
                <w:lang w:val="sk-SK"/>
              </w:rPr>
              <w:t>jných služieb, najmä</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odpadového hospodárstva.</w:t>
            </w:r>
          </w:p>
          <w:p w14:paraId="2FC335D6" w14:textId="0C2648B0" w:rsidR="00BF03AA" w:rsidRPr="00326E55" w:rsidRDefault="00FB452D">
            <w:pPr>
              <w:pStyle w:val="P68B1DB1-Normal21"/>
              <w:spacing w:before="120" w:after="120"/>
              <w:rPr>
                <w:rFonts w:ascii="Times New Roman" w:hAnsi="Times New Roman"/>
                <w:noProof/>
                <w:spacing w:val="-6"/>
                <w:szCs w:val="20"/>
                <w:lang w:val="sk-SK"/>
              </w:rPr>
            </w:pPr>
            <w:r w:rsidRPr="00326E55">
              <w:rPr>
                <w:rFonts w:ascii="Times New Roman" w:hAnsi="Times New Roman"/>
                <w:noProof/>
                <w:spacing w:val="-6"/>
                <w:lang w:val="sk-SK"/>
              </w:rPr>
              <w:t>v. Pravidlá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mechanizmy agregácie stimulujú združenia obcí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počet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verejných obstarávateľov ich prepojením</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optimálnymi územnými zoskupeniami („ambiti territoriali </w:t>
            </w:r>
            <w:r w:rsidRPr="00326E55">
              <w:rPr>
                <w:rFonts w:ascii="Times New Roman" w:hAnsi="Times New Roman"/>
                <w:noProof/>
                <w:spacing w:val="-6"/>
                <w:lang w:val="sk-SK"/>
              </w:rPr>
              <w:t>ottimali“)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oblasťami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primeranými úrovňami služieb miestnej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regionálnej verejnej dopravy („bacini e livelli adeguati di servizi di trasporto pubblico locale e regionale“)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najmenej 350000 obyvateľmi.</w:t>
            </w:r>
          </w:p>
          <w:p w14:paraId="6EF514E7" w14:textId="397FFCEF"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Právny akt</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miestnych verejných službách, ktorým </w:t>
            </w:r>
            <w:r w:rsidRPr="00326E55">
              <w:rPr>
                <w:rFonts w:ascii="Times New Roman" w:hAnsi="Times New Roman"/>
                <w:noProof/>
                <w:spacing w:val="-6"/>
                <w:lang w:val="sk-SK"/>
              </w:rPr>
              <w:t xml:space="preserve">sa vykonáva článok 19 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124/2015, obsahuje aspoň:</w:t>
            </w:r>
          </w:p>
          <w:p w14:paraId="4B2FCAAB"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vymedziť verejné služby na základe kritérií práva EÚ,</w:t>
            </w:r>
          </w:p>
          <w:p w14:paraId="037ED991" w14:textId="4B84F59A"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stanovuje všeobecné zásady poskytovania, regulácie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riadenia miestnych verejných služieb,</w:t>
            </w:r>
          </w:p>
          <w:p w14:paraId="346D422E" w14:textId="5A41121A"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zaviesť všeobecnú zásadu proporcionality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w:t>
            </w:r>
            <w:r w:rsidRPr="00326E55">
              <w:rPr>
                <w:rFonts w:ascii="Times New Roman" w:hAnsi="Times New Roman"/>
                <w:noProof/>
                <w:spacing w:val="-6"/>
                <w:lang w:val="sk-SK"/>
              </w:rPr>
              <w:t>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dĺžkou trvania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službách vo verejnom záujme,</w:t>
            </w:r>
          </w:p>
          <w:p w14:paraId="5E90A285" w14:textId="33053F51"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jasne oddeliť funkcie regulácie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kontroly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riadenia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službách vo verejnom záujme,</w:t>
            </w:r>
          </w:p>
          <w:p w14:paraId="6DB7B0EA"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zabezpečiť, aby miestne verejné orgány odôvodnili zvýšenie akcií zúčastnených spoločností na interné</w:t>
            </w:r>
            <w:r w:rsidRPr="00326E55">
              <w:rPr>
                <w:rFonts w:ascii="Times New Roman" w:hAnsi="Times New Roman"/>
                <w:noProof/>
                <w:spacing w:val="-6"/>
                <w:lang w:val="sk-SK"/>
              </w:rPr>
              <w:t xml:space="preserve"> ocenenia,</w:t>
            </w:r>
          </w:p>
          <w:p w14:paraId="3B0AF0BA" w14:textId="396BB9F2"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zabezpečiť primeranú náhradu za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službách vo verejnom záujme na základe nákladov, na ktoré dohliadajú nezávislé regulačné orgány (napr. ARERA pre energetiku alebo ART pre dopravu),</w:t>
            </w:r>
          </w:p>
          <w:p w14:paraId="2DC1E2D1" w14:textId="0162600A"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obmedziť priemerné trvanie interných zmlúv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skrátiť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harmonizovať štandardnú dĺžku zmlúv, ktoré sú predmetom verejnej súťaže, medzi obstarávateľskými subjektmi za predpokladu, že trvanie zabezpečí hospodársku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finančnú rovnováhu zmlúv,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na základe kritérií stanovených Dopravným úradom.</w:t>
            </w:r>
          </w:p>
          <w:p w14:paraId="02273E33"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Energetika:</w:t>
            </w:r>
          </w:p>
          <w:p w14:paraId="3689EEF0" w14:textId="618CFD5B"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VI.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Zaviesť povinné výberové konanie na koncesné zmluvy</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prípade vodnej energie</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vymedziť regulačný rámec pre koncesie na využívanie vodnej energie.</w:t>
            </w:r>
          </w:p>
          <w:p w14:paraId="64A040CF" w14:textId="77777777"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VII.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Zaviesť povinné výberové konanie na koncesné zmluvy na distribúciu plynu.</w:t>
            </w:r>
          </w:p>
          <w:p w14:paraId="72E32AF3" w14:textId="53B7B9F8"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VIII.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 xml:space="preserve">Stanoviť </w:t>
            </w:r>
            <w:r w:rsidRPr="00326E55">
              <w:rPr>
                <w:rFonts w:ascii="Times New Roman" w:hAnsi="Times New Roman"/>
                <w:noProof/>
                <w:color w:val="006100"/>
                <w:spacing w:val="-6"/>
                <w:sz w:val="20"/>
                <w:lang w:val="sk-SK"/>
              </w:rPr>
              <w:t>transparentné</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nediskriminačné požiadavky na prideľovanie verejných priestorov na elektrické nabíjanie alebo na výber prevádzkovateľov nabíjacích staníc/staníc.</w:t>
            </w:r>
          </w:p>
          <w:p w14:paraId="0FF39FBF" w14:textId="77777777"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IX.</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Odstrániť regulované tarify za dodávku elektrickej energie na nabíjanie elektrických vozid</w:t>
            </w:r>
            <w:r w:rsidRPr="00326E55">
              <w:rPr>
                <w:rFonts w:ascii="Times New Roman" w:hAnsi="Times New Roman"/>
                <w:noProof/>
                <w:color w:val="006100"/>
                <w:spacing w:val="-6"/>
                <w:sz w:val="20"/>
                <w:lang w:val="sk-SK"/>
              </w:rPr>
              <w:t>iel.</w:t>
            </w:r>
          </w:p>
          <w:p w14:paraId="1044126B"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Rámec hospodárskej súťaže pre koncesie na využívanie vodnej energie musí aspoň:</w:t>
            </w:r>
          </w:p>
          <w:p w14:paraId="1E8356E9" w14:textId="4D55897F"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Požadovať, aby sa dôležité vodné elektrárne regulovali všeobecnými</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jednotnými kritériami na centrálnej úrovni.</w:t>
            </w:r>
          </w:p>
          <w:p w14:paraId="2FA9D96D" w14:textId="41AB60FD"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Vyžadovať od regiónov, aby vymedzili hospodárske krité</w:t>
            </w:r>
            <w:r w:rsidRPr="00326E55">
              <w:rPr>
                <w:rFonts w:ascii="Times New Roman" w:hAnsi="Times New Roman"/>
                <w:noProof/>
                <w:color w:val="006100"/>
                <w:spacing w:val="-6"/>
                <w:sz w:val="20"/>
                <w:lang w:val="sk-SK"/>
              </w:rPr>
              <w:t>riá,</w:t>
            </w:r>
            <w:r w:rsidR="00326E55" w:rsidRPr="00326E55">
              <w:rPr>
                <w:rFonts w:ascii="Times New Roman" w:hAnsi="Times New Roman"/>
                <w:noProof/>
                <w:color w:val="006100"/>
                <w:spacing w:val="-6"/>
                <w:sz w:val="20"/>
                <w:lang w:val="sk-SK"/>
              </w:rPr>
              <w:t xml:space="preserve"> z </w:t>
            </w:r>
            <w:r w:rsidRPr="00326E55">
              <w:rPr>
                <w:rFonts w:ascii="Times New Roman" w:hAnsi="Times New Roman"/>
                <w:noProof/>
                <w:color w:val="006100"/>
                <w:spacing w:val="-6"/>
                <w:sz w:val="20"/>
                <w:lang w:val="sk-SK"/>
              </w:rPr>
              <w:t>ktorých vychádza trvanie koncesných zmlúv.</w:t>
            </w:r>
          </w:p>
          <w:p w14:paraId="2206E797"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—Zrušiť možnosť predĺženia zmlúv (ako už rozhodol taliansky ústavný súd).</w:t>
            </w:r>
          </w:p>
          <w:p w14:paraId="7DEF6025" w14:textId="77777777"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Požadovať od regiónov, aby harmonizovali kritériá prístupu ku kritériám verejného obstarávania (na vytvorenie predvídateľného podn</w:t>
            </w:r>
            <w:r w:rsidRPr="00326E55">
              <w:rPr>
                <w:rFonts w:ascii="Times New Roman" w:hAnsi="Times New Roman"/>
                <w:noProof/>
                <w:color w:val="006100"/>
                <w:spacing w:val="-6"/>
                <w:sz w:val="20"/>
                <w:lang w:val="sk-SK"/>
              </w:rPr>
              <w:t>ikateľského prostredia).</w:t>
            </w:r>
          </w:p>
          <w:p w14:paraId="634878E7"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Doprava:</w:t>
            </w:r>
          </w:p>
          <w:p w14:paraId="6E5333B8" w14:textId="490FB8BF"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stanoviť</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jasné, nediskriminačné</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transparentné kritériá udeľovania prístavných koncesií.</w:t>
            </w:r>
          </w:p>
          <w:p w14:paraId="08F41913" w14:textId="62E9DD1E"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Odstrániť prekážky pre koncesionárov prístavov pri zlúčení činností súvisiacich</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prístavnými koncesiami vo viacerých veľkých</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stredne veľkých prístavoch.</w:t>
            </w:r>
          </w:p>
          <w:p w14:paraId="1772B1DD" w14:textId="575B02A2"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XII.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Odstrániť prekážky, ktoré bránia koncesionárom poskytovať niektoré prístavné služby sami</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 xml:space="preserve">používať vlastné vybavenie bez toho, aby bola dotknutá bezpečnosť pracovníkov, za predpokladu, že príslušné podmienky požadované na </w:t>
            </w:r>
            <w:r w:rsidRPr="00326E55">
              <w:rPr>
                <w:rFonts w:ascii="Times New Roman" w:hAnsi="Times New Roman"/>
                <w:noProof/>
                <w:color w:val="006100"/>
                <w:spacing w:val="-6"/>
                <w:sz w:val="20"/>
                <w:lang w:val="sk-SK"/>
              </w:rPr>
              <w:t>ochranu bezpečnosti pracovníkov sú nevyhnutné</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primerané cieľu zaistiť bezpečnosť</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prístavných oblastiach.</w:t>
            </w:r>
          </w:p>
          <w:p w14:paraId="261E3B76" w14:textId="77777777"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XIII.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Zjednodušiť revíziu postupov revízie plánov udeľovania povolení pre prístavy.</w:t>
            </w:r>
          </w:p>
          <w:p w14:paraId="70DBDEFA" w14:textId="5ABE7342"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XIV.</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 xml:space="preserve">Vykonávať článok 27 čiarku 2 písm. d) zákonného dekrétu </w:t>
            </w:r>
            <w:r w:rsidR="00326E55" w:rsidRPr="00326E55">
              <w:rPr>
                <w:rFonts w:ascii="Times New Roman" w:hAnsi="Times New Roman"/>
                <w:noProof/>
                <w:color w:val="006100"/>
                <w:spacing w:val="-6"/>
                <w:sz w:val="20"/>
                <w:lang w:val="sk-SK"/>
              </w:rPr>
              <w:t>č. </w:t>
            </w:r>
            <w:r w:rsidRPr="00326E55">
              <w:rPr>
                <w:rFonts w:ascii="Times New Roman" w:hAnsi="Times New Roman"/>
                <w:noProof/>
                <w:color w:val="006100"/>
                <w:spacing w:val="-6"/>
                <w:sz w:val="20"/>
                <w:lang w:val="sk-SK"/>
              </w:rPr>
              <w:t>50/2017,</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ktorom sa regiónom poskytujú stimuly na predkladanie ponúk</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rámci regionálnych železničných zmlúv.</w:t>
            </w:r>
          </w:p>
          <w:p w14:paraId="3E06171B"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Odpad:</w:t>
            </w:r>
          </w:p>
          <w:p w14:paraId="0AB12B12" w14:textId="77777777"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XV.</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Zjednodušiť povoľovacie postupy pre zariadenia na spracovanie odpadu.</w:t>
            </w:r>
          </w:p>
          <w:p w14:paraId="49CE1739"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Začatie podnikania:</w:t>
            </w:r>
          </w:p>
          <w:p w14:paraId="025DBCB4" w14:textId="69BDB030"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XVI.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Skrátiť čas akreditácie na poskytovani</w:t>
            </w:r>
            <w:r w:rsidRPr="00326E55">
              <w:rPr>
                <w:rFonts w:ascii="Times New Roman" w:hAnsi="Times New Roman"/>
                <w:noProof/>
                <w:color w:val="006100"/>
                <w:spacing w:val="-6"/>
                <w:sz w:val="20"/>
                <w:lang w:val="sk-SK"/>
              </w:rPr>
              <w:t>e informácií</w:t>
            </w:r>
            <w:r w:rsidR="00326E55" w:rsidRPr="00326E55">
              <w:rPr>
                <w:rFonts w:ascii="Times New Roman" w:hAnsi="Times New Roman"/>
                <w:noProof/>
                <w:color w:val="006100"/>
                <w:spacing w:val="-6"/>
                <w:sz w:val="20"/>
                <w:lang w:val="sk-SK"/>
              </w:rPr>
              <w:t xml:space="preserve"> o </w:t>
            </w:r>
            <w:r w:rsidRPr="00326E55">
              <w:rPr>
                <w:rFonts w:ascii="Times New Roman" w:hAnsi="Times New Roman"/>
                <w:noProof/>
                <w:color w:val="006100"/>
                <w:spacing w:val="-6"/>
                <w:sz w:val="20"/>
                <w:lang w:val="sk-SK"/>
              </w:rPr>
              <w:t>zamestnancoch zo siedmich na štyri dni, aby sa znížil počet dní na založenie podniku.</w:t>
            </w:r>
          </w:p>
          <w:p w14:paraId="611CF472"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Dohľadu nad trhom:</w:t>
            </w:r>
          </w:p>
          <w:p w14:paraId="2EDA95F4" w14:textId="3F8087E7"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XVII.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Konsolidácia vnútroštátnych orgánov dohľadu nad trhom</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najviac desiatich agentúrach so sídlom</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hlavných regiónoch Talianska, pri</w:t>
            </w:r>
            <w:r w:rsidRPr="00326E55">
              <w:rPr>
                <w:rFonts w:ascii="Times New Roman" w:hAnsi="Times New Roman"/>
                <w:noProof/>
                <w:color w:val="006100"/>
                <w:spacing w:val="-6"/>
                <w:sz w:val="20"/>
                <w:lang w:val="sk-SK"/>
              </w:rPr>
              <w:t>čom každá</w:t>
            </w:r>
            <w:r w:rsidR="00326E55" w:rsidRPr="00326E55">
              <w:rPr>
                <w:rFonts w:ascii="Times New Roman" w:hAnsi="Times New Roman"/>
                <w:noProof/>
                <w:color w:val="006100"/>
                <w:spacing w:val="-6"/>
                <w:sz w:val="20"/>
                <w:lang w:val="sk-SK"/>
              </w:rPr>
              <w:t xml:space="preserve"> z </w:t>
            </w:r>
            <w:r w:rsidRPr="00326E55">
              <w:rPr>
                <w:rFonts w:ascii="Times New Roman" w:hAnsi="Times New Roman"/>
                <w:noProof/>
                <w:color w:val="006100"/>
                <w:spacing w:val="-6"/>
                <w:sz w:val="20"/>
                <w:lang w:val="sk-SK"/>
              </w:rPr>
              <w:t>nich sa vzťahuje na všetky skupiny výrobkov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podlieha jednotnému styčnému úradníkovi zriadenému podľa nariadenia 2019/1020 (balík</w:t>
            </w:r>
            <w:r w:rsidR="00326E55" w:rsidRPr="00326E55">
              <w:rPr>
                <w:rFonts w:ascii="Times New Roman" w:hAnsi="Times New Roman"/>
                <w:noProof/>
                <w:color w:val="006100"/>
                <w:spacing w:val="-6"/>
                <w:sz w:val="20"/>
                <w:lang w:val="sk-SK"/>
              </w:rPr>
              <w:t xml:space="preserve"> o </w:t>
            </w:r>
            <w:r w:rsidRPr="00326E55">
              <w:rPr>
                <w:rFonts w:ascii="Times New Roman" w:hAnsi="Times New Roman"/>
                <w:noProof/>
                <w:color w:val="006100"/>
                <w:spacing w:val="-6"/>
                <w:sz w:val="20"/>
                <w:lang w:val="sk-SK"/>
              </w:rPr>
              <w:t>výrobkoch).</w:t>
            </w:r>
          </w:p>
          <w:p w14:paraId="12B788A3" w14:textId="4A259F62"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XVIII.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 xml:space="preserve">Požadovať od vnútroštátnych orgánov dohľadu nad trhom, aby vykonávali digitalizované </w:t>
            </w:r>
            <w:r w:rsidRPr="00326E55">
              <w:rPr>
                <w:rFonts w:ascii="Times New Roman" w:hAnsi="Times New Roman"/>
                <w:noProof/>
                <w:color w:val="006100"/>
                <w:spacing w:val="-6"/>
                <w:sz w:val="20"/>
                <w:lang w:val="sk-SK"/>
              </w:rPr>
              <w:t>kontroly výrobkov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zber údajov, uplatňovali umelú inteligenciu na sledovanie nebezpečných</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nezákonných výrobkov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na identifikáciu trendov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rizík na jednotnom trhu.</w:t>
            </w:r>
          </w:p>
          <w:p w14:paraId="26018446" w14:textId="022A71A1"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XIX.</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Požadovať od vnútroštátnych orgánov dohľadu nad trhom, aby zahrnuli odbornú príprav</w:t>
            </w:r>
            <w:r w:rsidRPr="00326E55">
              <w:rPr>
                <w:rFonts w:ascii="Times New Roman" w:hAnsi="Times New Roman"/>
                <w:noProof/>
                <w:color w:val="006100"/>
                <w:spacing w:val="-6"/>
                <w:sz w:val="20"/>
                <w:lang w:val="sk-SK"/>
              </w:rPr>
              <w:t>u</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používanie informačného</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komunikačného systému pre celoeurópsky dohľad nad trhom.</w:t>
            </w:r>
          </w:p>
          <w:p w14:paraId="233C279B" w14:textId="439C1853"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XX.</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 xml:space="preserve">Zriadiť nové akreditované laboratóriá na skúšanie výrobkov pre všetky skupiny výrobkov. Tieto laboratóriá vykonávajú testovanie elektronického obchodu, fyzické </w:t>
            </w:r>
            <w:r w:rsidRPr="00326E55">
              <w:rPr>
                <w:rFonts w:ascii="Times New Roman" w:hAnsi="Times New Roman"/>
                <w:noProof/>
                <w:color w:val="006100"/>
                <w:spacing w:val="-6"/>
                <w:sz w:val="20"/>
                <w:lang w:val="sk-SK"/>
              </w:rPr>
              <w:t>laboratórne testovanie, spoločné opatrenia (colné orgány/orgány dohľadu nad trhom; dva alebo viaceré vnútroštátne orgány dohľadu nad trhom, vnútroštátne orgány</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orgány EÚ pre trh).</w:t>
            </w:r>
          </w:p>
        </w:tc>
      </w:tr>
      <w:tr w:rsidR="00BF03AA" w:rsidRPr="00326E55" w14:paraId="771C2914"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7A4BB31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7</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45227B6E" w14:textId="5F4C53F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E6116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335E86B" w14:textId="6D2679F9"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všetkých vykonávacích opatrení 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energetikou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 (v prípade potreby)</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6222876" w14:textId="529E3B2F"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všetkých vykonávacích opatrení 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energetikou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 (</w:t>
            </w:r>
            <w:r w:rsidRPr="00326E55">
              <w:rPr>
                <w:rFonts w:ascii="Times New Roman" w:hAnsi="Times New Roman"/>
                <w:noProof/>
                <w:spacing w:val="-6"/>
                <w:lang w:val="sk-SK"/>
              </w:rPr>
              <w:t>v prípade potreby)</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7771DA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FBA0B0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F46DB2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C520A1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259BA3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2748DF97" w14:textId="19049595"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Nadobudnutie účinnosti všetkých vykonávacích opatrení 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energetikou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 (v prípade potreby)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w:t>
            </w:r>
          </w:p>
          <w:p w14:paraId="31B66C03" w14:textId="1375E5A2"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I. Od</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1</w:t>
            </w:r>
            <w:r w:rsidR="00326E55" w:rsidRPr="00326E55">
              <w:rPr>
                <w:rFonts w:ascii="Times New Roman" w:hAnsi="Times New Roman"/>
                <w:noProof/>
                <w:color w:val="006100"/>
                <w:spacing w:val="-6"/>
                <w:sz w:val="20"/>
                <w:lang w:val="sk-SK"/>
              </w:rPr>
              <w:t>. januára</w:t>
            </w:r>
            <w:r w:rsidRPr="00326E55">
              <w:rPr>
                <w:rFonts w:ascii="Times New Roman" w:hAnsi="Times New Roman"/>
                <w:noProof/>
                <w:color w:val="006100"/>
                <w:spacing w:val="-6"/>
                <w:sz w:val="20"/>
                <w:lang w:val="sk-SK"/>
              </w:rPr>
              <w:t xml:space="preserve"> 2023 postupne zrušiť regulované ceny pre mikropodniky</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domácnosti.</w:t>
            </w:r>
          </w:p>
          <w:p w14:paraId="3E5A85DB" w14:textId="2494CAA9" w:rsidR="00BF03AA" w:rsidRPr="00326E55" w:rsidRDefault="00FB452D">
            <w:pPr>
              <w:pStyle w:val="P68B1DB1-Normal30"/>
              <w:spacing w:before="120"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II.</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Prijať sprievodné opatrenia na podporu zavádzania hospodárskej súťaže na maloobchodných trhoch</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elektrinou.</w:t>
            </w:r>
          </w:p>
          <w:p w14:paraId="31CE0970" w14:textId="6A7723E4"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Sprievodné opatrenia na zabezpečenie zavádzania hospodárskej súťaže na mal</w:t>
            </w:r>
            <w:r w:rsidRPr="00326E55">
              <w:rPr>
                <w:rFonts w:ascii="Times New Roman" w:hAnsi="Times New Roman"/>
                <w:noProof/>
                <w:spacing w:val="-6"/>
                <w:lang w:val="sk-SK"/>
              </w:rPr>
              <w:t>oobchodných trhoch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elektrinou musia zabezpečiť aspoň:</w:t>
            </w:r>
          </w:p>
          <w:p w14:paraId="484CD039" w14:textId="2031556A"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Dražba zákazníckej základne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rovnaké podmienky pre nových účastníkov.</w:t>
            </w:r>
          </w:p>
          <w:p w14:paraId="45DCFFEF" w14:textId="48254414"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Stanoviť strop ako maximálny trhový podiel, ktorý má každý dodávateľ</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dispozícii;</w:t>
            </w:r>
          </w:p>
          <w:p w14:paraId="4A535CE0" w14:textId="11E8E125"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Umožniť talianskym spo</w:t>
            </w:r>
            <w:r w:rsidRPr="00326E55">
              <w:rPr>
                <w:rFonts w:ascii="Times New Roman" w:hAnsi="Times New Roman"/>
                <w:noProof/>
                <w:spacing w:val="-6"/>
                <w:lang w:val="sk-SK"/>
              </w:rPr>
              <w:t>trebiteľom požiadať svojho dodávateľa energie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sprístupnenie svojich údajov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vyúčtovaní tretím poskytovateľom,</w:t>
            </w:r>
          </w:p>
          <w:p w14:paraId="7B1ECA2C" w14:textId="2F176FA1"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Zvýšiť transparentnosť účtov za elektrinu tým, že sa spotrebiteľom poskytne 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podzložkám „spesi per oneri di sistema“;</w:t>
            </w:r>
          </w:p>
          <w:p w14:paraId="673F0127" w14:textId="5348CF86"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xml:space="preserve">— Odstrániť </w:t>
            </w:r>
            <w:r w:rsidRPr="00326E55">
              <w:rPr>
                <w:rFonts w:ascii="Times New Roman" w:hAnsi="Times New Roman"/>
                <w:noProof/>
                <w:spacing w:val="-6"/>
                <w:lang w:val="sk-SK"/>
              </w:rPr>
              <w:t>požiadavku, aby dodávatelia vyberali poplatky, ktoré nesúvisia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odvetvím energetiky.</w:t>
            </w:r>
          </w:p>
        </w:tc>
      </w:tr>
      <w:tr w:rsidR="00BF03AA" w:rsidRPr="00326E55" w14:paraId="53226163"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E60E465"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8</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3626C18C" w14:textId="7F123646"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7DBDCF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8B7F586" w14:textId="4F92713F"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všetkých vykonávacích opatrení (v prípade potreby vrátane </w:t>
            </w:r>
            <w:r w:rsidRPr="00326E55">
              <w:rPr>
                <w:rFonts w:ascii="Times New Roman" w:hAnsi="Times New Roman"/>
                <w:noProof/>
                <w:spacing w:val="-6"/>
                <w:lang w:val="sk-SK"/>
              </w:rPr>
              <w:t>sekundárnych právnych predpisov) na účinné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opatrení vyplývajúcich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2021</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452E5B4" w14:textId="0FB3B92E"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všetkých sekundárnych právnych predpisov vrátane všetkých potrebných nariadení pre opatre</w:t>
            </w:r>
            <w:r w:rsidRPr="00326E55">
              <w:rPr>
                <w:rFonts w:ascii="Times New Roman" w:hAnsi="Times New Roman"/>
                <w:noProof/>
                <w:spacing w:val="-6"/>
                <w:lang w:val="sk-SK"/>
              </w:rPr>
              <w:t>nia vyplývajúce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2021</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5B4303E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4FA9DA0"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D7DC6A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D3A27F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B1B226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B032800" w14:textId="25DF20AD"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Nadobudnutie účinnosti všetkých vykonávacích opatrení (v prípade potreby vrátane sekundárnych právnych predpisov) na účinné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opatrení vyplývajúcich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2021.</w:t>
            </w:r>
          </w:p>
        </w:tc>
      </w:tr>
      <w:tr w:rsidR="00BF03AA" w:rsidRPr="00326E55" w14:paraId="69B0E160"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8FF078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9</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1AD19E57" w14:textId="7054A85F"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6B43B9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7B5EA402" w14:textId="565448FF"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2022</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78C6DBAE" w14:textId="0866BE63"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ktorom </w:t>
            </w:r>
            <w:r w:rsidRPr="00326E55">
              <w:rPr>
                <w:rFonts w:ascii="Times New Roman" w:hAnsi="Times New Roman"/>
                <w:noProof/>
                <w:spacing w:val="-6"/>
                <w:lang w:val="sk-SK"/>
              </w:rPr>
              <w:t>sa uvádza 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2022.</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FE6A54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4E5EC95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55EEBE5"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458C692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36AA3F5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C4D3F28" w14:textId="09852498" w:rsidR="00BF03AA" w:rsidRPr="00326E55" w:rsidRDefault="00FB452D">
            <w:pPr>
              <w:spacing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Nadobudnutie účinnosti ročného zákona</w:t>
            </w:r>
            <w:r w:rsidR="00326E55" w:rsidRPr="00326E55">
              <w:rPr>
                <w:rFonts w:ascii="Times New Roman" w:hAnsi="Times New Roman"/>
                <w:noProof/>
                <w:color w:val="006100"/>
                <w:spacing w:val="-6"/>
                <w:sz w:val="20"/>
                <w:lang w:val="sk-SK"/>
              </w:rPr>
              <w:t xml:space="preserve"> o </w:t>
            </w:r>
            <w:r w:rsidRPr="00326E55">
              <w:rPr>
                <w:rFonts w:ascii="Times New Roman" w:hAnsi="Times New Roman"/>
                <w:noProof/>
                <w:color w:val="006100"/>
                <w:spacing w:val="-6"/>
                <w:sz w:val="20"/>
                <w:lang w:val="sk-SK"/>
              </w:rPr>
              <w:t>hospodárskej súťaži za rok 2022</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Ročný zákon</w:t>
            </w:r>
            <w:r w:rsidR="00326E55" w:rsidRPr="00326E55">
              <w:rPr>
                <w:rFonts w:ascii="Times New Roman" w:hAnsi="Times New Roman"/>
                <w:noProof/>
                <w:color w:val="006100"/>
                <w:spacing w:val="-6"/>
                <w:sz w:val="20"/>
                <w:lang w:val="sk-SK"/>
              </w:rPr>
              <w:t xml:space="preserve"> o </w:t>
            </w:r>
            <w:r w:rsidRPr="00326E55">
              <w:rPr>
                <w:rFonts w:ascii="Times New Roman" w:hAnsi="Times New Roman"/>
                <w:noProof/>
                <w:color w:val="006100"/>
                <w:spacing w:val="-6"/>
                <w:sz w:val="20"/>
                <w:lang w:val="sk-SK"/>
              </w:rPr>
              <w:t xml:space="preserve">hospodárskej súťaži obsahuje aspoň </w:t>
            </w:r>
            <w:r w:rsidRPr="00326E55">
              <w:rPr>
                <w:rFonts w:ascii="Times New Roman" w:hAnsi="Times New Roman"/>
                <w:noProof/>
                <w:color w:val="006100"/>
                <w:spacing w:val="-6"/>
                <w:sz w:val="20"/>
                <w:lang w:val="sk-SK"/>
              </w:rPr>
              <w:t>tieto kľúčové prvky, ktorých vykonávacie opatrenia</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sekundárne právne predpisy (v prípade potreby) sa prijmú</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nadobudnú účinnosť najneskôr 31</w:t>
            </w:r>
            <w:r w:rsidR="00326E55" w:rsidRPr="00326E55">
              <w:rPr>
                <w:rFonts w:ascii="Times New Roman" w:hAnsi="Times New Roman"/>
                <w:noProof/>
                <w:color w:val="006100"/>
                <w:spacing w:val="-6"/>
                <w:sz w:val="20"/>
                <w:lang w:val="sk-SK"/>
              </w:rPr>
              <w:t>. decembra</w:t>
            </w:r>
            <w:r w:rsidRPr="00326E55">
              <w:rPr>
                <w:rFonts w:ascii="Times New Roman" w:hAnsi="Times New Roman"/>
                <w:noProof/>
                <w:color w:val="006100"/>
                <w:spacing w:val="-6"/>
                <w:sz w:val="20"/>
                <w:lang w:val="sk-SK"/>
              </w:rPr>
              <w:t xml:space="preserve"> 2023.</w:t>
            </w:r>
          </w:p>
          <w:p w14:paraId="42A52129" w14:textId="77777777" w:rsidR="00326E55"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Musí byť</w:t>
            </w:r>
            <w:r w:rsidR="00326E55" w:rsidRPr="00326E55">
              <w:rPr>
                <w:rFonts w:ascii="Times New Roman" w:hAnsi="Times New Roman"/>
                <w:noProof/>
                <w:spacing w:val="-6"/>
                <w:lang w:val="sk-SK"/>
              </w:rPr>
              <w:t>:</w:t>
            </w:r>
          </w:p>
          <w:p w14:paraId="1AC8E43E" w14:textId="5B66BE4B"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b/>
                <w:noProof/>
                <w:spacing w:val="-6"/>
                <w:lang w:val="sk-SK"/>
              </w:rPr>
              <w:t>I)</w:t>
            </w:r>
            <w:r w:rsidRPr="00326E55">
              <w:rPr>
                <w:rFonts w:ascii="Times New Roman" w:hAnsi="Times New Roman"/>
                <w:noProof/>
                <w:spacing w:val="-6"/>
                <w:lang w:val="sk-SK"/>
              </w:rPr>
              <w:t xml:space="preserve"> stanoviť jasný postup na prijatie</w:t>
            </w:r>
            <w:r w:rsidRPr="00326E55">
              <w:rPr>
                <w:rFonts w:ascii="Times New Roman" w:hAnsi="Times New Roman"/>
                <w:b/>
                <w:noProof/>
                <w:spacing w:val="-6"/>
                <w:lang w:val="sk-SK"/>
              </w:rPr>
              <w:t xml:space="preserve">plánu </w:t>
            </w:r>
            <w:r w:rsidRPr="00326E55">
              <w:rPr>
                <w:rFonts w:ascii="Times New Roman" w:hAnsi="Times New Roman"/>
                <w:noProof/>
                <w:spacing w:val="-6"/>
                <w:lang w:val="sk-SK"/>
              </w:rPr>
              <w:t>rozvoja elektrickej siete na nasledujúce des</w:t>
            </w:r>
            <w:r w:rsidRPr="00326E55">
              <w:rPr>
                <w:rFonts w:ascii="Times New Roman" w:hAnsi="Times New Roman"/>
                <w:noProof/>
                <w:spacing w:val="-6"/>
                <w:lang w:val="sk-SK"/>
              </w:rPr>
              <w:t>aťročie vo vopred stanovených lehotách</w:t>
            </w:r>
            <w:r w:rsidR="00326E55" w:rsidRPr="00326E55">
              <w:rPr>
                <w:rFonts w:ascii="Times New Roman" w:hAnsi="Times New Roman"/>
                <w:noProof/>
                <w:spacing w:val="-6"/>
                <w:lang w:val="sk-SK"/>
              </w:rPr>
              <w:t xml:space="preserve"> a v </w:t>
            </w:r>
            <w:r w:rsidRPr="00326E55">
              <w:rPr>
                <w:rFonts w:ascii="Times New Roman" w:hAnsi="Times New Roman"/>
                <w:noProof/>
                <w:spacing w:val="-6"/>
                <w:lang w:val="sk-SK"/>
              </w:rPr>
              <w:t>každom prípade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príslušného obdobia (každé dva roky)(*), čím sa zabezpečí dokončenie postupu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zjednodušenie schvaľovacieho procesu.</w:t>
            </w:r>
          </w:p>
          <w:p w14:paraId="27E8E27C" w14:textId="67A9F576"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Plán rozvoja elektrizačnej sústavy na rok 2021 sa prijme do 3</w:t>
            </w:r>
            <w:r w:rsidRPr="00326E55">
              <w:rPr>
                <w:rFonts w:ascii="Times New Roman" w:hAnsi="Times New Roman"/>
                <w:noProof/>
                <w:spacing w:val="-6"/>
                <w:lang w:val="sk-SK"/>
              </w:rPr>
              <w:t>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2023.</w:t>
            </w:r>
          </w:p>
          <w:p w14:paraId="446A5C31" w14:textId="77777777" w:rsidR="00326E55"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b/>
                <w:noProof/>
                <w:spacing w:val="-6"/>
                <w:lang w:val="sk-SK"/>
              </w:rPr>
              <w:t>II)</w:t>
            </w:r>
            <w:r w:rsidRPr="00326E55">
              <w:rPr>
                <w:rFonts w:ascii="Times New Roman" w:hAnsi="Times New Roman"/>
                <w:noProof/>
                <w:spacing w:val="-6"/>
                <w:lang w:val="sk-SK"/>
              </w:rPr>
              <w:t xml:space="preserve"> podporovať zavádzanie inteligentných</w:t>
            </w:r>
            <w:r w:rsidRPr="00326E55">
              <w:rPr>
                <w:rFonts w:ascii="Times New Roman" w:hAnsi="Times New Roman"/>
                <w:noProof/>
                <w:spacing w:val="-6"/>
                <w:vertAlign w:val="superscript"/>
                <w:lang w:val="sk-SK"/>
              </w:rPr>
              <w:t>elektromerov</w:t>
            </w:r>
            <w:r w:rsidRPr="00326E55">
              <w:rPr>
                <w:rFonts w:ascii="Times New Roman" w:hAnsi="Times New Roman"/>
                <w:noProof/>
                <w:spacing w:val="-6"/>
                <w:lang w:val="sk-SK"/>
              </w:rPr>
              <w:t xml:space="preserve"> druhej generácie</w:t>
            </w:r>
            <w:r w:rsidR="00326E55" w:rsidRPr="00326E55">
              <w:rPr>
                <w:rFonts w:ascii="Times New Roman" w:hAnsi="Times New Roman"/>
                <w:noProof/>
                <w:spacing w:val="-6"/>
                <w:lang w:val="sk-SK"/>
              </w:rPr>
              <w:t>;</w:t>
            </w:r>
          </w:p>
          <w:p w14:paraId="012E6ED3" w14:textId="77424552" w:rsidR="00BF03AA" w:rsidRPr="00326E55" w:rsidRDefault="00FB452D">
            <w:pPr>
              <w:pStyle w:val="P68B1DB1-Normal31"/>
              <w:rPr>
                <w:rFonts w:ascii="Times New Roman" w:hAnsi="Times New Roman"/>
                <w:bCs/>
                <w:noProof/>
                <w:spacing w:val="-6"/>
                <w:szCs w:val="20"/>
                <w:lang w:val="sk-SK"/>
              </w:rPr>
            </w:pPr>
            <w:r w:rsidRPr="00326E55">
              <w:rPr>
                <w:rFonts w:ascii="Times New Roman" w:hAnsi="Times New Roman"/>
                <w:noProof/>
                <w:spacing w:val="-6"/>
                <w:lang w:val="sk-SK"/>
              </w:rPr>
              <w:t>Antitrustové opatrenia:</w:t>
            </w:r>
          </w:p>
          <w:p w14:paraId="6D5E4235" w14:textId="7AD20D40" w:rsidR="00BF03AA" w:rsidRPr="00326E55" w:rsidRDefault="00FB452D">
            <w:pPr>
              <w:pStyle w:val="P68B1DB1-Normal11"/>
              <w:rPr>
                <w:rFonts w:ascii="Times New Roman" w:hAnsi="Times New Roman"/>
                <w:bCs/>
                <w:noProof/>
                <w:spacing w:val="-6"/>
                <w:szCs w:val="20"/>
                <w:lang w:val="sk-SK"/>
              </w:rPr>
            </w:pPr>
            <w:r w:rsidRPr="00326E55">
              <w:rPr>
                <w:rFonts w:ascii="Times New Roman" w:hAnsi="Times New Roman"/>
                <w:b/>
                <w:noProof/>
                <w:spacing w:val="-6"/>
                <w:lang w:val="sk-SK"/>
              </w:rPr>
              <w:t>III)</w:t>
            </w:r>
            <w:r w:rsidRPr="00326E55">
              <w:rPr>
                <w:rFonts w:ascii="Times New Roman" w:hAnsi="Times New Roman"/>
                <w:noProof/>
                <w:spacing w:val="-6"/>
                <w:lang w:val="sk-SK"/>
              </w:rPr>
              <w:t xml:space="preserve"> predĺžiť trvanie posudzovania koncentrácií, ktoré môžu významne narušiť účinnú hospodársku súťaž podľa článku 6 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 xml:space="preserve">287/1990, </w:t>
            </w:r>
            <w:r w:rsidRPr="00326E55">
              <w:rPr>
                <w:rFonts w:ascii="Times New Roman" w:hAnsi="Times New Roman"/>
                <w:noProof/>
                <w:spacing w:val="-6"/>
                <w:lang w:val="sk-SK"/>
              </w:rPr>
              <w:t>talianskym orgánom na ochranu hospodárskej súťaže (Aurità</w:t>
            </w:r>
            <w:r w:rsidRPr="00326E55">
              <w:rPr>
                <w:rFonts w:ascii="Times New Roman" w:hAnsi="Times New Roman"/>
                <w:i/>
                <w:noProof/>
                <w:spacing w:val="-6"/>
                <w:lang w:val="sk-SK"/>
              </w:rPr>
              <w:t>Garante della Concorrenza e del Mercato</w:t>
            </w:r>
            <w:r w:rsidRPr="00326E55">
              <w:rPr>
                <w:rFonts w:ascii="Times New Roman" w:hAnsi="Times New Roman"/>
                <w:noProof/>
                <w:spacing w:val="-6"/>
                <w:lang w:val="sk-SK"/>
              </w:rPr>
              <w:t>) zo 45 dní na 90 dní.</w:t>
            </w:r>
          </w:p>
          <w:p w14:paraId="541ED5E1" w14:textId="77777777" w:rsidR="00BF03AA" w:rsidRPr="00326E55" w:rsidRDefault="00FB452D">
            <w:pPr>
              <w:pStyle w:val="P68B1DB1-Normal31"/>
              <w:rPr>
                <w:rFonts w:ascii="Times New Roman" w:hAnsi="Times New Roman"/>
                <w:bCs/>
                <w:noProof/>
                <w:spacing w:val="-6"/>
                <w:szCs w:val="20"/>
                <w:lang w:val="sk-SK"/>
              </w:rPr>
            </w:pPr>
            <w:r w:rsidRPr="00326E55">
              <w:rPr>
                <w:rFonts w:ascii="Times New Roman" w:hAnsi="Times New Roman"/>
                <w:noProof/>
                <w:spacing w:val="-6"/>
                <w:lang w:val="sk-SK"/>
              </w:rPr>
              <w:t>Maloobchod:</w:t>
            </w:r>
          </w:p>
          <w:p w14:paraId="3DFFEA09" w14:textId="2EB08CCA" w:rsidR="00BF03AA" w:rsidRPr="00326E55" w:rsidRDefault="00FB452D">
            <w:pPr>
              <w:pStyle w:val="P68B1DB1-Normal11"/>
              <w:rPr>
                <w:rFonts w:ascii="Times New Roman" w:hAnsi="Times New Roman"/>
                <w:bCs/>
                <w:noProof/>
                <w:spacing w:val="-6"/>
                <w:szCs w:val="20"/>
                <w:lang w:val="sk-SK"/>
              </w:rPr>
            </w:pPr>
            <w:r w:rsidRPr="00326E55">
              <w:rPr>
                <w:rFonts w:ascii="Times New Roman" w:hAnsi="Times New Roman"/>
                <w:b/>
                <w:noProof/>
                <w:spacing w:val="-6"/>
                <w:lang w:val="sk-SK"/>
              </w:rPr>
              <w:t xml:space="preserve">IV) </w:t>
            </w:r>
            <w:r w:rsidRPr="00326E55">
              <w:rPr>
                <w:rFonts w:ascii="Times New Roman" w:hAnsi="Times New Roman"/>
                <w:noProof/>
                <w:spacing w:val="-6"/>
                <w:lang w:val="sk-SK"/>
              </w:rPr>
              <w:t>zjednodušenie povoľovacích postupov pre propagačné predaje zo strany podnikov, ktoré vlastnia odbytiská</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rôznych obciach</w:t>
            </w:r>
            <w:r w:rsidRPr="00326E55">
              <w:rPr>
                <w:rFonts w:ascii="Times New Roman" w:hAnsi="Times New Roman"/>
                <w:noProof/>
                <w:spacing w:val="-6"/>
                <w:lang w:val="sk-SK"/>
              </w:rPr>
              <w:t>.</w:t>
            </w:r>
          </w:p>
          <w:p w14:paraId="1DC2382F" w14:textId="77777777" w:rsidR="00BF03AA" w:rsidRPr="00326E55" w:rsidRDefault="00FB452D">
            <w:pPr>
              <w:pStyle w:val="P68B1DB1-Normal31"/>
              <w:rPr>
                <w:rFonts w:ascii="Times New Roman" w:hAnsi="Times New Roman"/>
                <w:bCs/>
                <w:noProof/>
                <w:spacing w:val="-6"/>
                <w:szCs w:val="20"/>
                <w:lang w:val="sk-SK"/>
              </w:rPr>
            </w:pPr>
            <w:r w:rsidRPr="00326E55">
              <w:rPr>
                <w:rFonts w:ascii="Times New Roman" w:hAnsi="Times New Roman"/>
                <w:noProof/>
                <w:spacing w:val="-6"/>
                <w:lang w:val="sk-SK"/>
              </w:rPr>
              <w:t>Lieky:</w:t>
            </w:r>
          </w:p>
          <w:p w14:paraId="3EF21F8B"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b/>
                <w:noProof/>
                <w:spacing w:val="-6"/>
                <w:lang w:val="sk-SK"/>
              </w:rPr>
              <w:t>v)</w:t>
            </w:r>
            <w:r w:rsidRPr="00326E55">
              <w:rPr>
                <w:rFonts w:ascii="Times New Roman" w:hAnsi="Times New Roman"/>
                <w:noProof/>
                <w:spacing w:val="-6"/>
                <w:lang w:val="sk-SK"/>
              </w:rPr>
              <w:t xml:space="preserve"> zabezpečiť proporcionalitu požiadaviek na povolenie predaja galických liekov.</w:t>
            </w:r>
          </w:p>
        </w:tc>
      </w:tr>
      <w:tr w:rsidR="00BF03AA" w:rsidRPr="00326E55" w14:paraId="06A0D7C6"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41C2FD7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10</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0826CAF" w14:textId="541FCDB5"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90671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7CCFBE62" w14:textId="506D590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všetkých vykonávacích opatrení (v prípade potreby vrátane </w:t>
            </w:r>
            <w:r w:rsidRPr="00326E55">
              <w:rPr>
                <w:rFonts w:ascii="Times New Roman" w:hAnsi="Times New Roman"/>
                <w:noProof/>
                <w:spacing w:val="-6"/>
                <w:lang w:val="sk-SK"/>
              </w:rPr>
              <w:t>sekundárnych právnych predpisov) na účinné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opatrení vyplývajúcich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2022</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48C7BE6C" w14:textId="36690901"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všetkých sekundárnych právnych predpisov vrátane všetkých potrebných nariadení pre </w:t>
            </w:r>
            <w:r w:rsidRPr="00326E55">
              <w:rPr>
                <w:rFonts w:ascii="Times New Roman" w:hAnsi="Times New Roman"/>
                <w:noProof/>
                <w:spacing w:val="-6"/>
                <w:lang w:val="sk-SK"/>
              </w:rPr>
              <w:t>opatrenia vyplývajúce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2022</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31E102C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034B2C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0BB93B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71EFDB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5AF849B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23000F1" w14:textId="45356349"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všetkých sekundárnych právnych predpisov (v prípade potreby) vrátane všetkých nariadení potrebných na účinné </w:t>
            </w:r>
            <w:r w:rsidRPr="00326E55">
              <w:rPr>
                <w:rFonts w:ascii="Times New Roman" w:hAnsi="Times New Roman"/>
                <w:noProof/>
                <w:spacing w:val="-6"/>
                <w:lang w:val="sk-SK"/>
              </w:rPr>
              <w:t>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všetkých uvedených opatrení vyplývajúcich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2022.</w:t>
            </w:r>
          </w:p>
        </w:tc>
      </w:tr>
      <w:tr w:rsidR="00BF03AA" w:rsidRPr="00326E55" w14:paraId="28FDD8FB"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3827F9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11</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20652787" w14:textId="617D0810"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63AA1745"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F4B98DF" w14:textId="6A06739E"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hospodárskej </w:t>
            </w:r>
            <w:r w:rsidRPr="00326E55">
              <w:rPr>
                <w:rFonts w:ascii="Times New Roman" w:hAnsi="Times New Roman"/>
                <w:noProof/>
                <w:spacing w:val="-6"/>
                <w:lang w:val="sk-SK"/>
              </w:rPr>
              <w:t>súťaži na rok 2023</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2345E94" w14:textId="06C0B076"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na rok 2023.</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0E1D3D1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12BE6A3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DFD69F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DD6119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86E0C9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0E71B49" w14:textId="2AC9A800"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2023. Ročný zá</w:t>
            </w:r>
            <w:r w:rsidRPr="00326E55">
              <w:rPr>
                <w:rFonts w:ascii="Times New Roman" w:hAnsi="Times New Roman"/>
                <w:noProof/>
                <w:spacing w:val="-6"/>
                <w:lang w:val="sk-SK"/>
              </w:rPr>
              <w:t>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obsahuje aspoň tieto kľúčové prvky, ktorých vykonávacie opatrenia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sekundárne právne predpisy (v prípade potreby) sa prijmú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nadobudnú účinnosť najneskôr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2024.</w:t>
            </w:r>
          </w:p>
          <w:p w14:paraId="7D0E8C18"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Musí zahŕňať aspoň tieto opatrenia:</w:t>
            </w:r>
          </w:p>
          <w:p w14:paraId="322166FC" w14:textId="77777777" w:rsidR="00BF03AA" w:rsidRPr="00326E55" w:rsidRDefault="00FB452D">
            <w:pPr>
              <w:pStyle w:val="P68B1DB1-Normal31"/>
              <w:rPr>
                <w:rFonts w:ascii="Times New Roman" w:hAnsi="Times New Roman"/>
                <w:noProof/>
                <w:spacing w:val="-6"/>
                <w:szCs w:val="20"/>
                <w:lang w:val="sk-SK"/>
              </w:rPr>
            </w:pPr>
            <w:r w:rsidRPr="00326E55">
              <w:rPr>
                <w:rFonts w:ascii="Times New Roman" w:hAnsi="Times New Roman"/>
                <w:noProof/>
                <w:spacing w:val="-6"/>
                <w:lang w:val="sk-SK"/>
              </w:rPr>
              <w:t>Diaľnice:</w:t>
            </w:r>
          </w:p>
          <w:p w14:paraId="4678AB89" w14:textId="6E0BDEB1"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b/>
                <w:noProof/>
                <w:spacing w:val="-6"/>
                <w:lang w:val="sk-SK"/>
              </w:rPr>
              <w:t>I)</w:t>
            </w:r>
            <w:r w:rsidRPr="00326E55">
              <w:rPr>
                <w:rFonts w:ascii="Times New Roman" w:hAnsi="Times New Roman"/>
                <w:noProof/>
                <w:spacing w:val="-6"/>
                <w:lang w:val="sk-SK"/>
              </w:rPr>
              <w:t xml:space="preserve">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prístup ku koncesiám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ukončenie zmluvy, ročný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musí aspoň:</w:t>
            </w:r>
          </w:p>
          <w:p w14:paraId="506F026D" w14:textId="55C276F3" w:rsidR="00326E55" w:rsidRPr="00326E55" w:rsidRDefault="00FB452D">
            <w:pPr>
              <w:pStyle w:val="P68B1DB1-Normal11"/>
              <w:spacing w:after="80"/>
              <w:ind w:left="340"/>
              <w:jc w:val="both"/>
              <w:rPr>
                <w:rFonts w:ascii="Times New Roman" w:hAnsi="Times New Roman"/>
                <w:noProof/>
                <w:spacing w:val="-6"/>
                <w:lang w:val="sk-SK"/>
              </w:rPr>
            </w:pPr>
            <w:r w:rsidRPr="00326E55">
              <w:rPr>
                <w:rFonts w:ascii="Times New Roman" w:hAnsi="Times New Roman"/>
                <w:noProof/>
                <w:spacing w:val="-6"/>
                <w:lang w:val="sk-SK"/>
              </w:rPr>
              <w:t>— zaviesť povinné zadávanie koncesných zmlúv pre diaľnice bez toho, aby bolo dotknuté interné poskytovanie služieb</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obmedzení stanovených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právnych</w:t>
            </w:r>
            <w:r w:rsidRPr="00326E55">
              <w:rPr>
                <w:rFonts w:ascii="Times New Roman" w:hAnsi="Times New Roman"/>
                <w:noProof/>
                <w:spacing w:val="-6"/>
                <w:lang w:val="sk-SK"/>
              </w:rPr>
              <w:t xml:space="preserve"> predpisoch EÚ(*)</w:t>
            </w:r>
            <w:r w:rsidR="00326E55" w:rsidRPr="00326E55">
              <w:rPr>
                <w:rFonts w:ascii="Times New Roman" w:hAnsi="Times New Roman"/>
                <w:noProof/>
                <w:spacing w:val="-6"/>
                <w:lang w:val="sk-SK"/>
              </w:rPr>
              <w:t>;</w:t>
            </w:r>
          </w:p>
          <w:p w14:paraId="6B850862" w14:textId="3F5F91F4" w:rsidR="00BF03AA" w:rsidRPr="00326E55" w:rsidRDefault="00FB452D">
            <w:pPr>
              <w:pStyle w:val="P68B1DB1-Normal11"/>
              <w:autoSpaceDE w:val="0"/>
              <w:autoSpaceDN w:val="0"/>
              <w:adjustRightInd w:val="0"/>
              <w:spacing w:after="80"/>
              <w:ind w:left="340"/>
              <w:jc w:val="both"/>
              <w:rPr>
                <w:rFonts w:ascii="Times New Roman" w:hAnsi="Times New Roman"/>
                <w:b/>
                <w:bCs/>
                <w:noProof/>
                <w:spacing w:val="-6"/>
                <w:szCs w:val="20"/>
                <w:lang w:val="sk-SK"/>
              </w:rPr>
            </w:pPr>
            <w:r w:rsidRPr="00326E55">
              <w:rPr>
                <w:rFonts w:ascii="Times New Roman" w:hAnsi="Times New Roman"/>
                <w:b/>
                <w:noProof/>
                <w:spacing w:val="-6"/>
                <w:lang w:val="sk-SK"/>
              </w:rPr>
              <w:t xml:space="preserve">– </w:t>
            </w:r>
            <w:r w:rsidRPr="00326E55">
              <w:rPr>
                <w:rFonts w:ascii="Times New Roman" w:hAnsi="Times New Roman"/>
                <w:noProof/>
                <w:spacing w:val="-6"/>
                <w:lang w:val="sk-SK"/>
              </w:rPr>
              <w:t>zlepšiť efektívnosť rozhodovacích administratívnych postupov týkajúcich sa koncesných zmlúv;</w:t>
            </w:r>
          </w:p>
          <w:p w14:paraId="699F8CF0" w14:textId="2118D3E3"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požadovať podrobný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transparentný opis predmetu koncesnej zmluvy</w:t>
            </w:r>
          </w:p>
          <w:p w14:paraId="4C097BF2" w14:textId="77777777" w:rsidR="00326E55" w:rsidRPr="00326E55" w:rsidRDefault="00FB452D">
            <w:pPr>
              <w:pStyle w:val="P68B1DB1-Normal11"/>
              <w:spacing w:after="80"/>
              <w:ind w:left="340"/>
              <w:jc w:val="both"/>
              <w:rPr>
                <w:rFonts w:ascii="Times New Roman" w:hAnsi="Times New Roman"/>
                <w:noProof/>
                <w:spacing w:val="-6"/>
                <w:lang w:val="sk-SK"/>
              </w:rPr>
            </w:pPr>
            <w:r w:rsidRPr="00326E55">
              <w:rPr>
                <w:rFonts w:ascii="Times New Roman" w:hAnsi="Times New Roman"/>
                <w:noProof/>
                <w:spacing w:val="-6"/>
                <w:lang w:val="sk-SK"/>
              </w:rPr>
              <w:t>—vyžadovať od koncesionárskych orgánov, aby určili koncesie na úseky diaľn</w:t>
            </w:r>
            <w:r w:rsidRPr="00326E55">
              <w:rPr>
                <w:rFonts w:ascii="Times New Roman" w:hAnsi="Times New Roman"/>
                <w:noProof/>
                <w:spacing w:val="-6"/>
                <w:lang w:val="sk-SK"/>
              </w:rPr>
              <w:t>ic, ktoré boli pridelené na základe verejného postupu,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prihliadnutím na odhady efektívnosti stupnice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nákladov na koncesionárov diaľnic, ktoré vypracoval regulačný orgán (</w:t>
            </w:r>
            <w:r w:rsidRPr="00326E55">
              <w:rPr>
                <w:rFonts w:ascii="Times New Roman" w:hAnsi="Times New Roman"/>
                <w:i/>
                <w:noProof/>
                <w:spacing w:val="-6"/>
                <w:lang w:val="sk-SK"/>
              </w:rPr>
              <w:t xml:space="preserve">Aurità di Regolazione dei Trasporti </w:t>
            </w:r>
            <w:r w:rsidRPr="00326E55">
              <w:rPr>
                <w:rFonts w:ascii="Times New Roman" w:hAnsi="Times New Roman"/>
                <w:noProof/>
                <w:spacing w:val="-6"/>
                <w:lang w:val="sk-SK"/>
              </w:rPr>
              <w:t>– ART),</w:t>
            </w:r>
          </w:p>
          <w:p w14:paraId="6A0B9935" w14:textId="23A3553B"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posilniť kontroly zo strany minister</w:t>
            </w:r>
            <w:r w:rsidRPr="00326E55">
              <w:rPr>
                <w:rFonts w:ascii="Times New Roman" w:hAnsi="Times New Roman"/>
                <w:noProof/>
                <w:spacing w:val="-6"/>
                <w:lang w:val="sk-SK"/>
              </w:rPr>
              <w:t>stva infraštruktúry,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náklady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realizáciu diaľničných infraštruktúr,</w:t>
            </w:r>
          </w:p>
          <w:p w14:paraId="5A018901" w14:textId="3DE9D112"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zabrániť automatickému obnovovaniu koncesných zmlúv, zlepšiť technické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administratívne postupy súvisiace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pravidelnou aktualizáciou hospodárskych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finančných plánov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w:t>
            </w:r>
            <w:r w:rsidRPr="00326E55">
              <w:rPr>
                <w:rFonts w:ascii="Times New Roman" w:hAnsi="Times New Roman"/>
                <w:noProof/>
                <w:spacing w:val="-6"/>
                <w:lang w:val="sk-SK"/>
              </w:rPr>
              <w:t>očným vykonávaním týchto plánov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zakázať používanie postupov upravených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193 zákonníka verejného obstarávania ako prostriedku na udeľovanie koncesií, ktorých platnosť sa skončila alebo ktorých platnosť končí;</w:t>
            </w:r>
          </w:p>
          <w:p w14:paraId="3C98D06B" w14:textId="77777777" w:rsidR="00326E55" w:rsidRPr="00326E55" w:rsidRDefault="00FB452D">
            <w:pPr>
              <w:pStyle w:val="P68B1DB1-Normal11"/>
              <w:spacing w:after="80"/>
              <w:ind w:left="340"/>
              <w:jc w:val="both"/>
              <w:rPr>
                <w:rFonts w:ascii="Times New Roman" w:hAnsi="Times New Roman"/>
                <w:noProof/>
                <w:spacing w:val="-6"/>
                <w:lang w:val="sk-SK"/>
              </w:rPr>
            </w:pPr>
            <w:r w:rsidRPr="00326E55">
              <w:rPr>
                <w:rFonts w:ascii="Times New Roman" w:hAnsi="Times New Roman"/>
                <w:noProof/>
                <w:spacing w:val="-6"/>
                <w:lang w:val="sk-SK"/>
              </w:rPr>
              <w:t xml:space="preserve">— zjednodušiť/objasniť reguláciu </w:t>
            </w:r>
            <w:r w:rsidRPr="00326E55">
              <w:rPr>
                <w:rFonts w:ascii="Times New Roman" w:hAnsi="Times New Roman"/>
                <w:noProof/>
                <w:spacing w:val="-6"/>
                <w:lang w:val="sk-SK"/>
              </w:rPr>
              <w:t>podmienok vypovedania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zrušenia zmluvy,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zachovať primeranú úroveň služby,</w:t>
            </w:r>
          </w:p>
          <w:p w14:paraId="2F220E61" w14:textId="22E4BFA5" w:rsidR="00326E55" w:rsidRPr="00326E55" w:rsidRDefault="00FB452D">
            <w:pPr>
              <w:pStyle w:val="P68B1DB1-Normal11"/>
              <w:spacing w:after="80"/>
              <w:ind w:left="340"/>
              <w:jc w:val="both"/>
              <w:rPr>
                <w:rFonts w:ascii="Times New Roman" w:hAnsi="Times New Roman"/>
                <w:noProof/>
                <w:spacing w:val="-6"/>
                <w:lang w:val="sk-SK"/>
              </w:rPr>
            </w:pPr>
            <w:r w:rsidRPr="00326E55">
              <w:rPr>
                <w:rFonts w:ascii="Times New Roman" w:hAnsi="Times New Roman"/>
                <w:noProof/>
                <w:spacing w:val="-6"/>
                <w:lang w:val="sk-SK"/>
              </w:rPr>
              <w:t>— za ukončenie zmluvy vo verejnom záujme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 stanoví aspoň primeraná náhrada, ktorá koncesionárovi umožní získať späť investície, ktoré neboli úplne amortiz</w:t>
            </w:r>
            <w:r w:rsidRPr="00326E55">
              <w:rPr>
                <w:rFonts w:ascii="Times New Roman" w:hAnsi="Times New Roman"/>
                <w:noProof/>
                <w:spacing w:val="-6"/>
                <w:lang w:val="sk-SK"/>
              </w:rPr>
              <w:t>ované</w:t>
            </w:r>
            <w:r w:rsidR="00326E55" w:rsidRPr="00326E55">
              <w:rPr>
                <w:rFonts w:ascii="Times New Roman" w:hAnsi="Times New Roman"/>
                <w:noProof/>
                <w:spacing w:val="-6"/>
                <w:lang w:val="sk-SK"/>
              </w:rPr>
              <w:t>.</w:t>
            </w:r>
          </w:p>
          <w:p w14:paraId="07D1EAC8" w14:textId="65775C6F" w:rsidR="00BF03AA" w:rsidRPr="00326E55" w:rsidRDefault="00BF03AA">
            <w:pPr>
              <w:spacing w:after="80"/>
              <w:ind w:left="340"/>
              <w:jc w:val="both"/>
              <w:rPr>
                <w:rFonts w:ascii="Times New Roman" w:hAnsi="Times New Roman"/>
                <w:noProof/>
                <w:color w:val="006100"/>
                <w:spacing w:val="-6"/>
                <w:sz w:val="20"/>
                <w:lang w:val="sk-SK"/>
              </w:rPr>
            </w:pPr>
          </w:p>
          <w:p w14:paraId="1B28C1C4" w14:textId="090480A6" w:rsidR="00BF03AA" w:rsidRPr="00326E55" w:rsidRDefault="00FB452D">
            <w:pPr>
              <w:pStyle w:val="P68B1DB1-Normal11"/>
              <w:spacing w:after="120"/>
              <w:jc w:val="both"/>
              <w:rPr>
                <w:rFonts w:ascii="Times New Roman" w:hAnsi="Times New Roman"/>
                <w:noProof/>
                <w:spacing w:val="-6"/>
                <w:lang w:val="sk-SK"/>
              </w:rPr>
            </w:pPr>
            <w:r w:rsidRPr="00326E55">
              <w:rPr>
                <w:rFonts w:ascii="Times New Roman" w:hAnsi="Times New Roman"/>
                <w:b/>
                <w:noProof/>
                <w:spacing w:val="-6"/>
                <w:lang w:val="sk-SK"/>
              </w:rPr>
              <w:t>II)</w:t>
            </w:r>
            <w:r w:rsidRPr="00326E55">
              <w:rPr>
                <w:rFonts w:ascii="Times New Roman" w:hAnsi="Times New Roman"/>
                <w:noProof/>
                <w:spacing w:val="-6"/>
                <w:lang w:val="sk-SK"/>
              </w:rPr>
              <w:t xml:space="preserve">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regulačný model spoplatňovania, ročný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musí aspoň:</w:t>
            </w:r>
          </w:p>
          <w:p w14:paraId="059E3E25" w14:textId="4BD27AE0"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zabezpečiť včasné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úplné vykonávanie regulačného modelu účtovania ART založeného na metodike cenového stropu, pričom sa zohľadnia pravidelné aktualizá</w:t>
            </w:r>
            <w:r w:rsidRPr="00326E55">
              <w:rPr>
                <w:rFonts w:ascii="Times New Roman" w:hAnsi="Times New Roman"/>
                <w:noProof/>
                <w:spacing w:val="-6"/>
                <w:lang w:val="sk-SK"/>
              </w:rPr>
              <w:t>cie viacročného hospodárskeho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finančného plánovania koncesionárov (schválené príslušným regulačným orgánom)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ročné zavádzanie týchto plánov.</w:t>
            </w:r>
          </w:p>
          <w:p w14:paraId="22C2BEED" w14:textId="77777777" w:rsidR="00BF03AA" w:rsidRPr="00326E55" w:rsidRDefault="00BF03AA">
            <w:pPr>
              <w:spacing w:after="80"/>
              <w:ind w:left="340"/>
              <w:jc w:val="both"/>
              <w:rPr>
                <w:rFonts w:ascii="Times New Roman" w:hAnsi="Times New Roman"/>
                <w:noProof/>
                <w:color w:val="006100"/>
                <w:spacing w:val="-6"/>
                <w:sz w:val="20"/>
                <w:szCs w:val="20"/>
                <w:lang w:val="sk-SK"/>
              </w:rPr>
            </w:pPr>
          </w:p>
          <w:p w14:paraId="24234764" w14:textId="6FE5DCEB"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b/>
                <w:noProof/>
                <w:spacing w:val="-6"/>
                <w:lang w:val="sk-SK"/>
              </w:rPr>
              <w:t>III)</w:t>
            </w:r>
            <w:r w:rsidRPr="00326E55">
              <w:rPr>
                <w:rFonts w:ascii="Times New Roman" w:hAnsi="Times New Roman"/>
                <w:noProof/>
                <w:spacing w:val="-6"/>
                <w:lang w:val="sk-SK"/>
              </w:rPr>
              <w:t xml:space="preserve">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práva používateľov, ročný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w:t>
            </w:r>
          </w:p>
          <w:p w14:paraId="78769121" w14:textId="3FD90AF2"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zabezpečiť úplné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včasné </w:t>
            </w:r>
            <w:r w:rsidRPr="00326E55">
              <w:rPr>
                <w:rFonts w:ascii="Times New Roman" w:hAnsi="Times New Roman"/>
                <w:noProof/>
                <w:spacing w:val="-6"/>
                <w:lang w:val="sk-SK"/>
              </w:rPr>
              <w:t>vykonávanie regulačného rámca ART týkajúceho sa ochrany práv používateľov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poskytovania primeraných úrovní služieb.</w:t>
            </w:r>
          </w:p>
          <w:p w14:paraId="1FB8A21C" w14:textId="47780EBA" w:rsidR="00326E55" w:rsidRPr="00326E55" w:rsidRDefault="00FB452D">
            <w:pPr>
              <w:pStyle w:val="P68B1DB1-Normal11"/>
              <w:jc w:val="both"/>
              <w:rPr>
                <w:rFonts w:ascii="Times New Roman" w:hAnsi="Times New Roman"/>
                <w:noProof/>
                <w:spacing w:val="-6"/>
                <w:lang w:val="sk-SK"/>
              </w:rPr>
            </w:pPr>
            <w:r w:rsidRPr="00326E55">
              <w:rPr>
                <w:rFonts w:ascii="Times New Roman" w:hAnsi="Times New Roman"/>
                <w:b/>
                <w:noProof/>
                <w:spacing w:val="-6"/>
                <w:lang w:val="sk-SK"/>
              </w:rPr>
              <w:t>IV)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externom zabezpečovaní stavebných prác musí ročný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aspoň</w:t>
            </w:r>
            <w:r w:rsidR="00326E55" w:rsidRPr="00326E55">
              <w:rPr>
                <w:rFonts w:ascii="Times New Roman" w:hAnsi="Times New Roman"/>
                <w:noProof/>
                <w:spacing w:val="-6"/>
                <w:lang w:val="sk-SK"/>
              </w:rPr>
              <w:t>:</w:t>
            </w:r>
          </w:p>
          <w:p w14:paraId="672E5208" w14:textId="7EC72BFA"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Podľa článku 186 ods. 2 legislatívneho dekrétu</w:t>
            </w:r>
            <w:r w:rsidRPr="00326E55">
              <w:rPr>
                <w:rFonts w:ascii="Times New Roman" w:hAnsi="Times New Roman"/>
                <w:noProof/>
                <w:spacing w:val="-6"/>
                <w:lang w:val="sk-SK"/>
              </w:rPr>
              <w:t xml:space="preserve"> </w:t>
            </w:r>
            <w:r w:rsidR="00326E55" w:rsidRPr="00326E55">
              <w:rPr>
                <w:rFonts w:ascii="Times New Roman" w:hAnsi="Times New Roman"/>
                <w:noProof/>
                <w:spacing w:val="-6"/>
                <w:lang w:val="sk-SK"/>
              </w:rPr>
              <w:t>č. </w:t>
            </w:r>
            <w:r w:rsidRPr="00326E55">
              <w:rPr>
                <w:rFonts w:ascii="Times New Roman" w:hAnsi="Times New Roman"/>
                <w:noProof/>
                <w:spacing w:val="-6"/>
                <w:lang w:val="sk-SK"/>
              </w:rPr>
              <w:t>36/2023 stanovuje povinnosť koncesionárov pozemných komunikácií zveriť tretím osobám prostredníctvom postupov verejného dokazovania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až 60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zákaziek na práce, služby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dodávky tovaru. Podiely sa vypočítajú podľa súm hospodárskych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finančných plán</w:t>
            </w:r>
            <w:r w:rsidRPr="00326E55">
              <w:rPr>
                <w:rFonts w:ascii="Times New Roman" w:hAnsi="Times New Roman"/>
                <w:noProof/>
                <w:spacing w:val="-6"/>
                <w:lang w:val="sk-SK"/>
              </w:rPr>
              <w:t>ov pripojených</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súťažným podkladom ku koncesii.</w:t>
            </w:r>
          </w:p>
          <w:p w14:paraId="770DEE1F" w14:textId="36F6954F"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interné poverenia, zákon:</w:t>
            </w:r>
          </w:p>
          <w:p w14:paraId="6C7506B5" w14:textId="3E8324E4"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xml:space="preserve">— vyžadovať povinné </w:t>
            </w:r>
            <w:r w:rsidRPr="00326E55">
              <w:rPr>
                <w:rFonts w:ascii="Times New Roman" w:hAnsi="Times New Roman"/>
                <w:i/>
                <w:noProof/>
                <w:spacing w:val="-6"/>
                <w:lang w:val="sk-SK"/>
              </w:rPr>
              <w:t>ex ante</w:t>
            </w:r>
            <w:r w:rsidRPr="00326E55">
              <w:rPr>
                <w:rFonts w:ascii="Times New Roman" w:hAnsi="Times New Roman"/>
                <w:noProof/>
                <w:spacing w:val="-6"/>
                <w:lang w:val="sk-SK"/>
              </w:rPr>
              <w:t xml:space="preserve"> overenie zákonnosti interného poverenia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zakázať začatie postupu verejného obstarávania alebo interných poverení bez tohto overenia,</w:t>
            </w:r>
          </w:p>
          <w:p w14:paraId="608F39E0" w14:textId="7A8131D0"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xml:space="preserve">— </w:t>
            </w:r>
            <w:r w:rsidRPr="00326E55">
              <w:rPr>
                <w:rFonts w:ascii="Times New Roman" w:hAnsi="Times New Roman"/>
                <w:noProof/>
                <w:spacing w:val="-6"/>
                <w:lang w:val="sk-SK"/>
              </w:rPr>
              <w:t>zveriť Úradu pre reguláciu dopravy (ART) primerané nástroje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právomoci na vykonávanie uvedených overovaní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(právnu) podporu Národného protikorupčného orgánu (ANAC),</w:t>
            </w:r>
          </w:p>
          <w:p w14:paraId="71AC2468" w14:textId="27649119" w:rsidR="00BF03AA" w:rsidRPr="00326E55" w:rsidRDefault="00FB452D">
            <w:pPr>
              <w:pStyle w:val="P68B1DB1-Normal11"/>
              <w:spacing w:after="80"/>
              <w:ind w:left="340"/>
              <w:jc w:val="both"/>
              <w:rPr>
                <w:rFonts w:ascii="Times New Roman" w:hAnsi="Times New Roman"/>
                <w:noProof/>
                <w:spacing w:val="-6"/>
                <w:szCs w:val="20"/>
                <w:lang w:val="sk-SK"/>
              </w:rPr>
            </w:pPr>
            <w:r w:rsidRPr="00326E55">
              <w:rPr>
                <w:rFonts w:ascii="Times New Roman" w:hAnsi="Times New Roman"/>
                <w:noProof/>
                <w:spacing w:val="-6"/>
                <w:lang w:val="sk-SK"/>
              </w:rPr>
              <w:t>— požadovať, aby sa inštalácia elektrických nabíjacích staníc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realizácia primeraných pa</w:t>
            </w:r>
            <w:r w:rsidRPr="00326E55">
              <w:rPr>
                <w:rFonts w:ascii="Times New Roman" w:hAnsi="Times New Roman"/>
                <w:noProof/>
                <w:spacing w:val="-6"/>
                <w:lang w:val="sk-SK"/>
              </w:rPr>
              <w:t>rkovísk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odpočívadiel pre prevádzkovateľov nákladnej dopravy vykonávala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plnom 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regulačným rámcom navrhnutým spoločnosťou ART.</w:t>
            </w:r>
          </w:p>
          <w:p w14:paraId="73FDA868" w14:textId="77777777" w:rsidR="00BF03AA" w:rsidRPr="00326E55" w:rsidRDefault="00FB452D">
            <w:pPr>
              <w:pStyle w:val="P68B1DB1-Normal31"/>
              <w:rPr>
                <w:rFonts w:ascii="Times New Roman" w:hAnsi="Times New Roman"/>
                <w:noProof/>
                <w:spacing w:val="-6"/>
                <w:szCs w:val="20"/>
                <w:lang w:val="sk-SK"/>
              </w:rPr>
            </w:pPr>
            <w:r w:rsidRPr="00326E55">
              <w:rPr>
                <w:rFonts w:ascii="Times New Roman" w:hAnsi="Times New Roman"/>
                <w:noProof/>
                <w:spacing w:val="-6"/>
                <w:lang w:val="sk-SK"/>
              </w:rPr>
              <w:t>Poisťovníctvo:</w:t>
            </w:r>
          </w:p>
          <w:p w14:paraId="65329D15" w14:textId="431F455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b/>
                <w:noProof/>
                <w:spacing w:val="-6"/>
                <w:lang w:val="sk-SK"/>
              </w:rPr>
              <w:t>v)</w:t>
            </w:r>
            <w:r w:rsidRPr="00326E55">
              <w:rPr>
                <w:rFonts w:ascii="Times New Roman" w:hAnsi="Times New Roman"/>
                <w:noProof/>
                <w:spacing w:val="-6"/>
                <w:lang w:val="sk-SK"/>
              </w:rPr>
              <w:t xml:space="preserve"> nadobudnutie účinnosti potrebných aktov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umožniť prenosnosť údajov pre čierne schránky </w:t>
            </w:r>
            <w:r w:rsidRPr="00326E55">
              <w:rPr>
                <w:rFonts w:ascii="Times New Roman" w:hAnsi="Times New Roman"/>
                <w:noProof/>
                <w:spacing w:val="-6"/>
                <w:lang w:val="sk-SK"/>
              </w:rPr>
              <w:t>vozidiel medzi poisťovateľmi;</w:t>
            </w:r>
          </w:p>
          <w:p w14:paraId="61C11FD8" w14:textId="77777777" w:rsidR="00BF03AA" w:rsidRPr="00326E55" w:rsidRDefault="00FB452D">
            <w:pPr>
              <w:pStyle w:val="P68B1DB1-Normal31"/>
              <w:rPr>
                <w:rFonts w:ascii="Times New Roman" w:hAnsi="Times New Roman"/>
                <w:noProof/>
                <w:spacing w:val="-6"/>
                <w:szCs w:val="20"/>
                <w:lang w:val="sk-SK"/>
              </w:rPr>
            </w:pPr>
            <w:r w:rsidRPr="00326E55">
              <w:rPr>
                <w:rFonts w:ascii="Times New Roman" w:hAnsi="Times New Roman"/>
                <w:noProof/>
                <w:spacing w:val="-6"/>
                <w:lang w:val="sk-SK"/>
              </w:rPr>
              <w:t>Začatie podnikania:</w:t>
            </w:r>
          </w:p>
          <w:p w14:paraId="48EF8CEA" w14:textId="098972BA"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b/>
                <w:noProof/>
                <w:spacing w:val="-6"/>
                <w:lang w:val="sk-SK"/>
              </w:rPr>
              <w:t>VI)</w:t>
            </w:r>
            <w:r w:rsidRPr="00326E55">
              <w:rPr>
                <w:rFonts w:ascii="Times New Roman" w:hAnsi="Times New Roman"/>
                <w:noProof/>
                <w:spacing w:val="-6"/>
                <w:lang w:val="sk-SK"/>
              </w:rPr>
              <w:t xml:space="preserve"> Preskúmanie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aktualizácia právnych predpisov týkajúcich sa inovatívnych startupov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rizikového kapitálu (napr. Start Up Act</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roku 2012)</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racionalizovať existujúce právne predpisy, preskúmať </w:t>
            </w:r>
            <w:r w:rsidRPr="00326E55">
              <w:rPr>
                <w:rFonts w:ascii="Times New Roman" w:hAnsi="Times New Roman"/>
                <w:noProof/>
                <w:spacing w:val="-6"/>
                <w:lang w:val="sk-SK"/>
              </w:rPr>
              <w:t>vymedzenie startupov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podporiť investície súkromných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inštitucionálnych investorov do rizikového kapitálu.</w:t>
            </w:r>
          </w:p>
        </w:tc>
      </w:tr>
      <w:tr w:rsidR="00BF03AA" w:rsidRPr="00326E55" w14:paraId="15CCDCE1"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2D79E535"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12</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385AFBCB" w14:textId="06EEB975"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57A76E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6308C28" w14:textId="387435DE"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vykonávacích opatrení (v prípade potreby </w:t>
            </w:r>
            <w:r w:rsidRPr="00326E55">
              <w:rPr>
                <w:rFonts w:ascii="Times New Roman" w:hAnsi="Times New Roman"/>
                <w:noProof/>
                <w:spacing w:val="-6"/>
                <w:lang w:val="sk-SK"/>
              </w:rPr>
              <w:t>vrátane sekundárnych právnych predpisov) na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opatrení stanovených vo výročnom 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2023</w:t>
            </w:r>
            <w:r w:rsidR="00326E55" w:rsidRPr="00326E55">
              <w:rPr>
                <w:rFonts w:ascii="Times New Roman" w:hAnsi="Times New Roman"/>
                <w:noProof/>
                <w:spacing w:val="-6"/>
                <w:lang w:val="sk-SK"/>
              </w:rPr>
              <w:t xml:space="preserve"> a v </w:t>
            </w:r>
            <w:r w:rsidRPr="00326E55">
              <w:rPr>
                <w:rFonts w:ascii="Times New Roman" w:hAnsi="Times New Roman"/>
                <w:noProof/>
                <w:spacing w:val="-6"/>
                <w:szCs w:val="20"/>
                <w:lang w:val="sk-SK"/>
              </w:rPr>
              <w:t>iných primárnych právnych predpisoch</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F7DA742" w14:textId="57D270D6"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sekundárnych právnych predpisov vrátane všetkýc</w:t>
            </w:r>
            <w:r w:rsidRPr="00326E55">
              <w:rPr>
                <w:rFonts w:ascii="Times New Roman" w:hAnsi="Times New Roman"/>
                <w:noProof/>
                <w:spacing w:val="-6"/>
                <w:lang w:val="sk-SK"/>
              </w:rPr>
              <w:t>h nariadení potrebných na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opatrení stanovených vo výročnom 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za rok 2023</w:t>
            </w:r>
            <w:r w:rsidR="00326E55" w:rsidRPr="00326E55">
              <w:rPr>
                <w:rFonts w:ascii="Times New Roman" w:hAnsi="Times New Roman"/>
                <w:noProof/>
                <w:spacing w:val="-6"/>
                <w:lang w:val="sk-SK"/>
              </w:rPr>
              <w:t xml:space="preserve"> a v </w:t>
            </w:r>
            <w:r w:rsidRPr="00326E55">
              <w:rPr>
                <w:rFonts w:ascii="Times New Roman" w:hAnsi="Times New Roman"/>
                <w:noProof/>
                <w:spacing w:val="-6"/>
                <w:szCs w:val="20"/>
                <w:lang w:val="sk-SK"/>
              </w:rPr>
              <w:t>iných primárnych právnych predpisoch</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28668D0"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96FEB9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5AE261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44F94F6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B68CC1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6E6B1AE5" w14:textId="0A6AE4D3"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 xml:space="preserve">Nadobudnutie účinnosti sekundárnych </w:t>
            </w:r>
            <w:r w:rsidRPr="00326E55">
              <w:rPr>
                <w:rFonts w:ascii="Times New Roman" w:hAnsi="Times New Roman"/>
                <w:noProof/>
                <w:spacing w:val="-6"/>
                <w:lang w:val="sk-SK"/>
              </w:rPr>
              <w:t>právnych predpisov (v prípade potreby) vrátane nariadení potrebných na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príslušných opatrení stanovených vo výročnom 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na rok 2023.</w:t>
            </w:r>
          </w:p>
          <w:p w14:paraId="1DF3C365" w14:textId="435EE8BD"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Nadobudnutie účinnosti sekundárnych právnych predpisov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žehlení za stu</w:t>
            </w:r>
            <w:r w:rsidRPr="00326E55">
              <w:rPr>
                <w:rFonts w:ascii="Times New Roman" w:hAnsi="Times New Roman"/>
                <w:noProof/>
                <w:spacing w:val="-6"/>
                <w:lang w:val="sk-SK"/>
              </w:rPr>
              <w:t>dena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zoznamoch maloobchodných predajcov zemného plynu:</w:t>
            </w:r>
          </w:p>
          <w:p w14:paraId="07A4574F" w14:textId="77777777"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b/>
                <w:noProof/>
                <w:spacing w:val="-6"/>
                <w:lang w:val="sk-SK"/>
              </w:rPr>
              <w:t>Na žehlenie za studena</w:t>
            </w:r>
            <w:r w:rsidR="00326E55" w:rsidRPr="00326E55">
              <w:rPr>
                <w:rFonts w:ascii="Times New Roman" w:hAnsi="Times New Roman"/>
                <w:noProof/>
                <w:spacing w:val="-6"/>
                <w:lang w:val="sk-SK"/>
              </w:rPr>
              <w:t>:</w:t>
            </w:r>
          </w:p>
          <w:p w14:paraId="12D8680C" w14:textId="402A5E2E"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Nadobudnutie účinnosti regulačných stimulov na využívanie služieb žehlenia za studena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prístavoch.</w:t>
            </w:r>
          </w:p>
          <w:p w14:paraId="131C5E77" w14:textId="77777777" w:rsidR="00BF03AA" w:rsidRPr="00326E55" w:rsidRDefault="00FB452D">
            <w:pPr>
              <w:pStyle w:val="P68B1DB1-Normal32"/>
              <w:jc w:val="both"/>
              <w:rPr>
                <w:rFonts w:ascii="Times New Roman" w:hAnsi="Times New Roman"/>
                <w:bCs/>
                <w:noProof/>
                <w:spacing w:val="-6"/>
                <w:lang w:val="sk-SK"/>
              </w:rPr>
            </w:pPr>
            <w:r w:rsidRPr="00326E55">
              <w:rPr>
                <w:rFonts w:ascii="Times New Roman" w:hAnsi="Times New Roman"/>
                <w:noProof/>
                <w:spacing w:val="-6"/>
                <w:lang w:val="sk-SK"/>
              </w:rPr>
              <w:t>Zoznam maloobchodných predajcov zemného plynu:</w:t>
            </w:r>
          </w:p>
          <w:p w14:paraId="4260C75C" w14:textId="2121B8E7"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Nadobudnutie účinnosti sekun</w:t>
            </w:r>
            <w:r w:rsidRPr="00326E55">
              <w:rPr>
                <w:rFonts w:ascii="Times New Roman" w:hAnsi="Times New Roman"/>
                <w:noProof/>
                <w:spacing w:val="-6"/>
                <w:lang w:val="sk-SK"/>
              </w:rPr>
              <w:t>dárnych právnych predpisov vymedzujúcich kritériá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týkajúce sa prístupu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stálosti podnikov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zozname maloobchodných predajcov zemného plynu stanovenom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článku 17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164/2000, ktorého cieľom je zvýšiť transparentnosť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w:t>
            </w:r>
            <w:r w:rsidRPr="00326E55">
              <w:rPr>
                <w:rFonts w:ascii="Times New Roman" w:hAnsi="Times New Roman"/>
                <w:noProof/>
                <w:spacing w:val="-6"/>
                <w:lang w:val="sk-SK"/>
              </w:rPr>
              <w:t>odporiť výber spotrebiteľov na konkurenčných trhoch.</w:t>
            </w:r>
          </w:p>
        </w:tc>
      </w:tr>
      <w:tr w:rsidR="00BF03AA" w:rsidRPr="00326E55" w14:paraId="36E17CC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F427003"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13</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2D01FD8" w14:textId="38DED815"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65628BF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09F7AAA" w14:textId="516D8DC3"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na rok 2025</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13184A1" w14:textId="229FDAA2"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ktorom sa uvádza nadobudnutie </w:t>
            </w:r>
            <w:r w:rsidRPr="00326E55">
              <w:rPr>
                <w:rFonts w:ascii="Times New Roman" w:hAnsi="Times New Roman"/>
                <w:noProof/>
                <w:spacing w:val="-6"/>
                <w:lang w:val="sk-SK"/>
              </w:rPr>
              <w:t>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na rok 2025.</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3B9E92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E32871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376267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6ADC51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3700AB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1977CC17" w14:textId="36AE410F" w:rsidR="00326E55" w:rsidRPr="00326E55" w:rsidRDefault="00FB452D">
            <w:pPr>
              <w:pStyle w:val="P68B1DB1-Normal33"/>
              <w:spacing w:before="120" w:after="120"/>
              <w:rPr>
                <w:rFonts w:ascii="Times New Roman" w:hAnsi="Times New Roman"/>
                <w:noProof/>
                <w:spacing w:val="-6"/>
                <w:lang w:val="sk-SK"/>
              </w:rPr>
            </w:pPr>
            <w:r w:rsidRPr="00326E55">
              <w:rPr>
                <w:rFonts w:ascii="Times New Roman" w:hAnsi="Times New Roman"/>
                <w:noProof/>
                <w:spacing w:val="-6"/>
                <w:lang w:val="sk-SK"/>
              </w:rPr>
              <w:t>Nadobudnutie účinnosti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na rok 2025</w:t>
            </w:r>
            <w:r w:rsidR="00326E55" w:rsidRPr="00326E55">
              <w:rPr>
                <w:rFonts w:ascii="Times New Roman" w:hAnsi="Times New Roman"/>
                <w:noProof/>
                <w:spacing w:val="-6"/>
                <w:lang w:val="sk-SK"/>
              </w:rPr>
              <w:t>.</w:t>
            </w:r>
          </w:p>
          <w:p w14:paraId="7E18CD2C" w14:textId="086026EC" w:rsidR="00326E55" w:rsidRPr="00326E55" w:rsidRDefault="00FB452D">
            <w:pPr>
              <w:pStyle w:val="P68B1DB1-Normal33"/>
              <w:spacing w:before="120" w:after="120"/>
              <w:rPr>
                <w:rFonts w:ascii="Times New Roman" w:hAnsi="Times New Roman"/>
                <w:noProof/>
                <w:spacing w:val="-6"/>
                <w:lang w:val="sk-SK"/>
              </w:rPr>
            </w:pPr>
            <w:r w:rsidRPr="00326E55">
              <w:rPr>
                <w:rFonts w:ascii="Times New Roman" w:hAnsi="Times New Roman"/>
                <w:noProof/>
                <w:spacing w:val="-6"/>
                <w:lang w:val="sk-SK"/>
              </w:rPr>
              <w:t>Primárne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sekundárne právne predpisy (v prípade potreby vrátane vykonáv</w:t>
            </w:r>
            <w:r w:rsidRPr="00326E55">
              <w:rPr>
                <w:rFonts w:ascii="Times New Roman" w:hAnsi="Times New Roman"/>
                <w:noProof/>
                <w:spacing w:val="-6"/>
                <w:lang w:val="sk-SK"/>
              </w:rPr>
              <w:t>acích aktov) sa schvália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nadobudnú účinnosť do 4. štvrťroka 2025</w:t>
            </w:r>
            <w:r w:rsidR="00326E55" w:rsidRPr="00326E55">
              <w:rPr>
                <w:rFonts w:ascii="Times New Roman" w:hAnsi="Times New Roman"/>
                <w:noProof/>
                <w:spacing w:val="-6"/>
                <w:lang w:val="sk-SK"/>
              </w:rPr>
              <w:t>.</w:t>
            </w:r>
          </w:p>
          <w:p w14:paraId="63E94D82" w14:textId="40EFC85E" w:rsidR="00BF03AA" w:rsidRPr="00326E55" w:rsidRDefault="00FB452D">
            <w:pPr>
              <w:pStyle w:val="P68B1DB1-Normal33"/>
              <w:spacing w:before="120" w:after="120"/>
              <w:rPr>
                <w:rFonts w:ascii="Times New Roman" w:hAnsi="Times New Roman"/>
                <w:noProof/>
                <w:spacing w:val="-6"/>
                <w:lang w:val="sk-SK"/>
              </w:rPr>
            </w:pPr>
            <w:r w:rsidRPr="00326E55">
              <w:rPr>
                <w:rFonts w:ascii="Times New Roman" w:hAnsi="Times New Roman"/>
                <w:noProof/>
                <w:spacing w:val="-6"/>
                <w:lang w:val="sk-SK"/>
              </w:rPr>
              <w:t>Ročný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w:t>
            </w:r>
          </w:p>
          <w:p w14:paraId="084F575C" w14:textId="2B763835" w:rsidR="00BF03AA" w:rsidRPr="00326E55" w:rsidRDefault="00FB452D">
            <w:pPr>
              <w:pStyle w:val="P68B1DB1-Normal34"/>
              <w:spacing w:before="120" w:after="120"/>
              <w:rPr>
                <w:rFonts w:ascii="Times New Roman" w:hAnsi="Times New Roman"/>
                <w:bCs/>
                <w:noProof/>
                <w:spacing w:val="-6"/>
                <w:lang w:val="sk-SK"/>
              </w:rPr>
            </w:pPr>
            <w:r w:rsidRPr="00326E55">
              <w:rPr>
                <w:rFonts w:ascii="Times New Roman" w:hAnsi="Times New Roman"/>
                <w:noProof/>
                <w:spacing w:val="-6"/>
                <w:lang w:val="sk-SK"/>
              </w:rPr>
              <w:t>I –</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miestnych verejných službách:</w:t>
            </w:r>
          </w:p>
          <w:p w14:paraId="66D723CF" w14:textId="07E7A8EE" w:rsidR="00BF03AA" w:rsidRPr="00326E55" w:rsidRDefault="00FB452D">
            <w:pPr>
              <w:pStyle w:val="P68B1DB1-Normal33"/>
              <w:numPr>
                <w:ilvl w:val="0"/>
                <w:numId w:val="24"/>
              </w:numPr>
              <w:spacing w:before="120" w:after="120" w:line="279" w:lineRule="auto"/>
              <w:ind w:left="369" w:hanging="283"/>
              <w:rPr>
                <w:rFonts w:ascii="Times New Roman" w:hAnsi="Times New Roman"/>
                <w:noProof/>
                <w:spacing w:val="-6"/>
                <w:lang w:val="sk-SK"/>
              </w:rPr>
            </w:pPr>
            <w:r w:rsidRPr="00326E55">
              <w:rPr>
                <w:rFonts w:ascii="Times New Roman" w:hAnsi="Times New Roman"/>
                <w:noProof/>
                <w:spacing w:val="-6"/>
                <w:lang w:val="sk-SK"/>
              </w:rPr>
              <w:t>Zaviesť nápravné opatrenia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sankcie za neprijatie, nezverejnenie alebo neúplnosť monitorovania požadovaného podľa čl</w:t>
            </w:r>
            <w:r w:rsidRPr="00326E55">
              <w:rPr>
                <w:rFonts w:ascii="Times New Roman" w:hAnsi="Times New Roman"/>
                <w:noProof/>
                <w:spacing w:val="-6"/>
                <w:lang w:val="sk-SK"/>
              </w:rPr>
              <w:t>ánku 30 legislatívneho dekrétu 201/2022.</w:t>
            </w:r>
          </w:p>
          <w:p w14:paraId="6685AFA9" w14:textId="3E9AECED" w:rsidR="00BF03AA" w:rsidRPr="00326E55" w:rsidRDefault="00FB452D">
            <w:pPr>
              <w:pStyle w:val="P68B1DB1-Normal33"/>
              <w:numPr>
                <w:ilvl w:val="0"/>
                <w:numId w:val="24"/>
              </w:numPr>
              <w:spacing w:before="120" w:after="120" w:line="279" w:lineRule="auto"/>
              <w:ind w:left="369" w:hanging="283"/>
              <w:rPr>
                <w:rFonts w:ascii="Times New Roman" w:hAnsi="Times New Roman"/>
                <w:noProof/>
                <w:spacing w:val="-6"/>
                <w:lang w:val="sk-SK"/>
              </w:rPr>
            </w:pPr>
            <w:r w:rsidRPr="00326E55">
              <w:rPr>
                <w:rFonts w:ascii="Times New Roman" w:hAnsi="Times New Roman"/>
                <w:noProof/>
                <w:spacing w:val="-6"/>
                <w:lang w:val="sk-SK"/>
              </w:rPr>
              <w:t>Zaviesť nápravné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neuspokojivého riadenia* miestnej verejnej služby. Takéto opatrenia zahŕňajú aspoň prijatie plánov na zlepšenie kvality, nákladovej efektívnosti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splnenie všetkých zmluvných </w:t>
            </w:r>
            <w:r w:rsidRPr="00326E55">
              <w:rPr>
                <w:rFonts w:ascii="Times New Roman" w:hAnsi="Times New Roman"/>
                <w:noProof/>
                <w:spacing w:val="-6"/>
                <w:lang w:val="sk-SK"/>
              </w:rPr>
              <w:t>cieľov.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reforme sa stanoví, že verejní obstarávatelia vyžadujú nápravné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stanovených lehotách.</w:t>
            </w:r>
          </w:p>
          <w:p w14:paraId="1BEDA31F" w14:textId="12752668" w:rsidR="00326E55" w:rsidRPr="00326E55" w:rsidRDefault="00FB452D">
            <w:pPr>
              <w:pStyle w:val="P68B1DB1-Normal33"/>
              <w:numPr>
                <w:ilvl w:val="0"/>
                <w:numId w:val="24"/>
              </w:numPr>
              <w:spacing w:before="120" w:after="120" w:line="279" w:lineRule="auto"/>
              <w:ind w:left="369" w:hanging="283"/>
              <w:rPr>
                <w:rFonts w:ascii="Times New Roman" w:hAnsi="Times New Roman"/>
                <w:noProof/>
                <w:spacing w:val="-6"/>
                <w:lang w:val="sk-SK"/>
              </w:rPr>
            </w:pPr>
            <w:r w:rsidRPr="00326E55">
              <w:rPr>
                <w:rFonts w:ascii="Times New Roman" w:hAnsi="Times New Roman"/>
                <w:noProof/>
                <w:spacing w:val="-6"/>
                <w:lang w:val="sk-SK"/>
              </w:rPr>
              <w:t>Zaviesť povinnosti týkajúce sa transparentnosti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uvedenými nápravnými opatreniami, zabezpečiť</w:t>
            </w:r>
            <w:r w:rsidR="00326E55" w:rsidRPr="00326E55">
              <w:rPr>
                <w:rFonts w:ascii="Times New Roman" w:hAnsi="Times New Roman"/>
                <w:noProof/>
                <w:spacing w:val="-6"/>
                <w:lang w:val="sk-SK"/>
              </w:rPr>
              <w:t xml:space="preserve"> a v </w:t>
            </w:r>
            <w:r w:rsidRPr="00326E55">
              <w:rPr>
                <w:rFonts w:ascii="Times New Roman" w:hAnsi="Times New Roman"/>
                <w:noProof/>
                <w:spacing w:val="-6"/>
                <w:lang w:val="sk-SK"/>
              </w:rPr>
              <w:t>prípade potreby posilniť monitorovac</w:t>
            </w:r>
            <w:r w:rsidRPr="00326E55">
              <w:rPr>
                <w:rFonts w:ascii="Times New Roman" w:hAnsi="Times New Roman"/>
                <w:noProof/>
                <w:spacing w:val="-6"/>
                <w:lang w:val="sk-SK"/>
              </w:rPr>
              <w:t>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vynucovacie právomoci príslušných regulačných orgánov/orgánov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požadovať, aby príslušný orgán každoročne vydával Parlamentu správu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stave vykonávania nápravných opatrení</w:t>
            </w:r>
            <w:r w:rsidR="00326E55" w:rsidRPr="00326E55">
              <w:rPr>
                <w:rFonts w:ascii="Times New Roman" w:hAnsi="Times New Roman"/>
                <w:noProof/>
                <w:spacing w:val="-6"/>
                <w:lang w:val="sk-SK"/>
              </w:rPr>
              <w:t>.</w:t>
            </w:r>
          </w:p>
          <w:p w14:paraId="3E321F24" w14:textId="7E2A7A67" w:rsidR="00BF03AA" w:rsidRPr="00326E55" w:rsidRDefault="00FB452D">
            <w:pPr>
              <w:pStyle w:val="P68B1DB1-Normal33"/>
              <w:spacing w:before="120" w:after="120"/>
              <w:rPr>
                <w:rFonts w:ascii="Times New Roman" w:hAnsi="Times New Roman"/>
                <w:noProof/>
                <w:spacing w:val="-6"/>
                <w:lang w:val="sk-SK"/>
              </w:rPr>
            </w:pPr>
            <w:bookmarkStart w:id="8" w:name="_Hlk212535598"/>
            <w:r w:rsidRPr="00326E55">
              <w:rPr>
                <w:rFonts w:ascii="Times New Roman" w:hAnsi="Times New Roman"/>
                <w:noProof/>
                <w:spacing w:val="-6"/>
                <w:lang w:val="sk-SK"/>
              </w:rPr>
              <w:t>*</w:t>
            </w:r>
            <w:bookmarkEnd w:id="8"/>
            <w:r w:rsidRPr="00326E55">
              <w:rPr>
                <w:rFonts w:ascii="Times New Roman" w:hAnsi="Times New Roman"/>
                <w:noProof/>
                <w:spacing w:val="-6"/>
                <w:lang w:val="sk-SK"/>
              </w:rPr>
              <w:t xml:space="preserve"> Neuspokojivé riadenie sa definuje tak, aby pokrývalo aspoň situácie,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w:t>
            </w:r>
            <w:r w:rsidRPr="00326E55">
              <w:rPr>
                <w:rFonts w:ascii="Times New Roman" w:hAnsi="Times New Roman"/>
                <w:noProof/>
                <w:spacing w:val="-6"/>
                <w:lang w:val="sk-SK"/>
              </w:rPr>
              <w:t>ch prevádzkovateľ utrpel značné straty, ktoré môžu ohroziť jeho hospodársku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finančnú životaschopnosť, alebo keď je kvalita služby výrazne pod odvetvovými referenčnými hodnotami alebo keď je výkonnosť výrazne nižšia ako zmluvné ciele.</w:t>
            </w:r>
          </w:p>
          <w:p w14:paraId="23E18B0F" w14:textId="77777777" w:rsidR="00BF03AA" w:rsidRPr="00326E55" w:rsidRDefault="00BF03AA">
            <w:pPr>
              <w:spacing w:before="120" w:after="120"/>
              <w:rPr>
                <w:rFonts w:ascii="Times New Roman" w:eastAsia="Times New Roman" w:hAnsi="Times New Roman" w:cs="Segoe UI"/>
                <w:noProof/>
                <w:color w:val="006100"/>
                <w:spacing w:val="-6"/>
                <w:sz w:val="20"/>
                <w:szCs w:val="20"/>
                <w:lang w:val="sk-SK"/>
              </w:rPr>
            </w:pPr>
          </w:p>
          <w:p w14:paraId="1EA09644" w14:textId="228E828E" w:rsidR="00BF03AA" w:rsidRPr="00326E55" w:rsidRDefault="00FB452D">
            <w:pPr>
              <w:pStyle w:val="P68B1DB1-Normal34"/>
              <w:spacing w:before="120" w:after="120"/>
              <w:rPr>
                <w:rFonts w:ascii="Times New Roman" w:hAnsi="Times New Roman"/>
                <w:bCs/>
                <w:noProof/>
                <w:spacing w:val="-6"/>
                <w:lang w:val="sk-SK"/>
              </w:rPr>
            </w:pPr>
            <w:r w:rsidRPr="00326E55">
              <w:rPr>
                <w:rFonts w:ascii="Times New Roman" w:hAnsi="Times New Roman"/>
                <w:noProof/>
                <w:spacing w:val="-6"/>
                <w:lang w:val="sk-SK"/>
              </w:rPr>
              <w:t>II –</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regionálnej </w:t>
            </w:r>
            <w:r w:rsidRPr="00326E55">
              <w:rPr>
                <w:rFonts w:ascii="Times New Roman" w:hAnsi="Times New Roman"/>
                <w:noProof/>
                <w:spacing w:val="-6"/>
                <w:lang w:val="sk-SK"/>
              </w:rPr>
              <w:t>doprave:</w:t>
            </w:r>
          </w:p>
          <w:p w14:paraId="11B1840D" w14:textId="323672C5" w:rsidR="00BF03AA" w:rsidRPr="00326E55" w:rsidRDefault="00FB452D">
            <w:pPr>
              <w:pStyle w:val="P68B1DB1-Normal33"/>
              <w:numPr>
                <w:ilvl w:val="0"/>
                <w:numId w:val="24"/>
              </w:numPr>
              <w:spacing w:before="120" w:after="120" w:line="279" w:lineRule="auto"/>
              <w:ind w:left="369" w:hanging="369"/>
              <w:rPr>
                <w:rFonts w:ascii="Times New Roman" w:hAnsi="Times New Roman"/>
                <w:noProof/>
                <w:spacing w:val="-6"/>
                <w:lang w:val="sk-SK"/>
              </w:rPr>
            </w:pPr>
            <w:r w:rsidRPr="00326E55">
              <w:rPr>
                <w:rFonts w:ascii="Times New Roman" w:hAnsi="Times New Roman"/>
                <w:noProof/>
                <w:spacing w:val="-6"/>
                <w:lang w:val="sk-SK"/>
              </w:rPr>
              <w:t xml:space="preserve">Rozšíriť uplatniteľnosť článku 14 ods. 1 na regionálnu verejnú dopravu (vrátane „interných poskytovateľov“ podľa nariadenia (ES) </w:t>
            </w:r>
            <w:r w:rsidR="00326E55" w:rsidRPr="00326E55">
              <w:rPr>
                <w:rFonts w:ascii="Times New Roman" w:hAnsi="Times New Roman"/>
                <w:noProof/>
                <w:spacing w:val="-6"/>
                <w:lang w:val="sk-SK"/>
              </w:rPr>
              <w:t>č. </w:t>
            </w:r>
            <w:r w:rsidRPr="00326E55">
              <w:rPr>
                <w:rFonts w:ascii="Times New Roman" w:hAnsi="Times New Roman"/>
                <w:noProof/>
                <w:spacing w:val="-6"/>
                <w:lang w:val="sk-SK"/>
              </w:rPr>
              <w:t>1370/2007). 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3, 17, 30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31 legislatívneho dekrétu 201/2022, ako bolo zreformované vyššie.</w:t>
            </w:r>
          </w:p>
          <w:p w14:paraId="622395ED" w14:textId="6DB2ECE9" w:rsidR="00BF03AA" w:rsidRPr="00326E55" w:rsidRDefault="00FB452D">
            <w:pPr>
              <w:pStyle w:val="P68B1DB1-Normal33"/>
              <w:numPr>
                <w:ilvl w:val="0"/>
                <w:numId w:val="24"/>
              </w:numPr>
              <w:spacing w:before="120" w:after="120" w:line="279" w:lineRule="auto"/>
              <w:ind w:left="369" w:hanging="369"/>
              <w:rPr>
                <w:rFonts w:ascii="Times New Roman" w:hAnsi="Times New Roman"/>
                <w:noProof/>
                <w:spacing w:val="-6"/>
                <w:lang w:val="sk-SK"/>
              </w:rPr>
            </w:pPr>
            <w:r w:rsidRPr="00326E55">
              <w:rPr>
                <w:rFonts w:ascii="Times New Roman" w:hAnsi="Times New Roman"/>
                <w:noProof/>
                <w:spacing w:val="-6"/>
                <w:lang w:val="sk-SK"/>
              </w:rPr>
              <w:t>Zrevidovať článok 9 r</w:t>
            </w:r>
            <w:r w:rsidRPr="00326E55">
              <w:rPr>
                <w:rFonts w:ascii="Times New Roman" w:hAnsi="Times New Roman"/>
                <w:noProof/>
                <w:spacing w:val="-6"/>
                <w:lang w:val="sk-SK"/>
              </w:rPr>
              <w:t>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hospodárskej súťaži </w:t>
            </w:r>
            <w:r w:rsidR="00326E55" w:rsidRPr="00326E55">
              <w:rPr>
                <w:rFonts w:ascii="Times New Roman" w:hAnsi="Times New Roman"/>
                <w:noProof/>
                <w:spacing w:val="-6"/>
                <w:lang w:val="sk-SK"/>
              </w:rPr>
              <w:t>č. </w:t>
            </w:r>
            <w:r w:rsidRPr="00326E55">
              <w:rPr>
                <w:rFonts w:ascii="Times New Roman" w:hAnsi="Times New Roman"/>
                <w:noProof/>
                <w:spacing w:val="-6"/>
                <w:lang w:val="sk-SK"/>
              </w:rPr>
              <w:t>118/2022</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stanoviť požiadavku, aby ministerstvo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 (MIT) každoročne od roku 2026 uverejňovalo vhodne rozložený harmonogram postupov zadávania všetkých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železničnej doprave, ktorých</w:t>
            </w:r>
            <w:r w:rsidRPr="00326E55">
              <w:rPr>
                <w:rFonts w:ascii="Times New Roman" w:hAnsi="Times New Roman"/>
                <w:noProof/>
                <w:spacing w:val="-6"/>
                <w:lang w:val="sk-SK"/>
              </w:rPr>
              <w:t xml:space="preserve"> platnosť sa skončila.</w:t>
            </w:r>
          </w:p>
          <w:p w14:paraId="0A3B8F93" w14:textId="0B095DC4" w:rsidR="00BF03AA" w:rsidRPr="00326E55" w:rsidRDefault="00FB452D">
            <w:pPr>
              <w:pStyle w:val="P68B1DB1-Normal33"/>
              <w:numPr>
                <w:ilvl w:val="0"/>
                <w:numId w:val="24"/>
              </w:numPr>
              <w:spacing w:before="120" w:after="120" w:line="279" w:lineRule="auto"/>
              <w:ind w:left="369" w:hanging="369"/>
              <w:rPr>
                <w:rFonts w:ascii="Times New Roman" w:hAnsi="Times New Roman"/>
                <w:noProof/>
                <w:spacing w:val="-6"/>
                <w:lang w:val="sk-SK"/>
              </w:rPr>
            </w:pPr>
            <w:r w:rsidRPr="00326E55">
              <w:rPr>
                <w:rFonts w:ascii="Times New Roman" w:hAnsi="Times New Roman"/>
                <w:noProof/>
                <w:spacing w:val="-6"/>
                <w:lang w:val="sk-SK"/>
              </w:rPr>
              <w:t>Požadovať od spoločnosti ART, aby do 2. štvrťroka 2026 začala verejnú konzultáciu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prijať usmernenia pre štandardizáciu postupov zadávania zákaziek pre regionálne dopravné služby.</w:t>
            </w:r>
          </w:p>
          <w:p w14:paraId="29FFB227" w14:textId="77777777" w:rsidR="00BF03AA" w:rsidRPr="00326E55" w:rsidRDefault="00BF03AA">
            <w:pPr>
              <w:spacing w:before="120" w:after="120"/>
              <w:rPr>
                <w:rFonts w:ascii="Times New Roman" w:eastAsia="Times New Roman" w:hAnsi="Times New Roman" w:cs="Segoe UI"/>
                <w:noProof/>
                <w:color w:val="006100"/>
                <w:spacing w:val="-6"/>
                <w:sz w:val="20"/>
                <w:szCs w:val="20"/>
                <w:lang w:val="sk-SK"/>
              </w:rPr>
            </w:pPr>
          </w:p>
          <w:p w14:paraId="51623B0A" w14:textId="0C792B6E" w:rsidR="00BF03AA" w:rsidRPr="00326E55" w:rsidRDefault="00FB452D">
            <w:pPr>
              <w:pStyle w:val="P68B1DB1-Normal34"/>
              <w:spacing w:before="120" w:after="120"/>
              <w:rPr>
                <w:rFonts w:ascii="Times New Roman" w:hAnsi="Times New Roman"/>
                <w:noProof/>
                <w:spacing w:val="-6"/>
                <w:lang w:val="sk-SK"/>
              </w:rPr>
            </w:pPr>
            <w:r w:rsidRPr="00326E55">
              <w:rPr>
                <w:rFonts w:ascii="Times New Roman" w:hAnsi="Times New Roman"/>
                <w:noProof/>
                <w:spacing w:val="-6"/>
                <w:lang w:val="sk-SK"/>
              </w:rPr>
              <w:t>III –</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elektrických nabíjacích staniciach:</w:t>
            </w:r>
          </w:p>
          <w:p w14:paraId="36D14E42" w14:textId="77777777" w:rsidR="00326E55" w:rsidRPr="00326E55" w:rsidRDefault="00FB452D">
            <w:pPr>
              <w:pStyle w:val="P68B1DB1-Normal33"/>
              <w:numPr>
                <w:ilvl w:val="0"/>
                <w:numId w:val="24"/>
              </w:numPr>
              <w:spacing w:before="120" w:after="120" w:line="279" w:lineRule="auto"/>
              <w:ind w:left="369" w:hanging="283"/>
              <w:rPr>
                <w:rFonts w:ascii="Times New Roman" w:hAnsi="Times New Roman"/>
                <w:noProof/>
                <w:spacing w:val="-6"/>
                <w:lang w:val="sk-SK"/>
              </w:rPr>
            </w:pPr>
            <w:r w:rsidRPr="00326E55">
              <w:rPr>
                <w:rFonts w:ascii="Times New Roman" w:hAnsi="Times New Roman"/>
                <w:noProof/>
                <w:spacing w:val="-6"/>
                <w:lang w:val="sk-SK"/>
              </w:rPr>
              <w:t>Zabezpečiť, aby udeľovanie koncesií na elektrické nabíjacie stanice podporovalo hospodársku súťaž podporovaním plurality dodávateľov na trhu</w:t>
            </w:r>
            <w:r w:rsidR="00326E55" w:rsidRPr="00326E55">
              <w:rPr>
                <w:rFonts w:ascii="Times New Roman" w:hAnsi="Times New Roman"/>
                <w:noProof/>
                <w:spacing w:val="-6"/>
                <w:lang w:val="sk-SK"/>
              </w:rPr>
              <w:t>.</w:t>
            </w:r>
          </w:p>
          <w:p w14:paraId="0074448E" w14:textId="7A7D5FCE" w:rsidR="00BF03AA" w:rsidRPr="00326E55" w:rsidRDefault="00BF03AA">
            <w:pPr>
              <w:spacing w:before="120" w:after="120"/>
              <w:rPr>
                <w:rFonts w:ascii="Times New Roman" w:eastAsia="Times New Roman" w:hAnsi="Times New Roman" w:cs="Segoe UI"/>
                <w:noProof/>
                <w:color w:val="006100"/>
                <w:spacing w:val="-6"/>
                <w:sz w:val="20"/>
                <w:szCs w:val="20"/>
                <w:lang w:val="sk-SK"/>
              </w:rPr>
            </w:pPr>
          </w:p>
          <w:p w14:paraId="0776BE6D" w14:textId="77777777" w:rsidR="00BF03AA" w:rsidRPr="00326E55" w:rsidRDefault="00FB452D">
            <w:pPr>
              <w:pStyle w:val="P68B1DB1-Normal34"/>
              <w:spacing w:before="120" w:after="120"/>
              <w:rPr>
                <w:rFonts w:ascii="Times New Roman" w:hAnsi="Times New Roman"/>
                <w:bCs/>
                <w:noProof/>
                <w:spacing w:val="-6"/>
                <w:lang w:val="sk-SK"/>
              </w:rPr>
            </w:pPr>
            <w:r w:rsidRPr="00326E55">
              <w:rPr>
                <w:rFonts w:ascii="Times New Roman" w:hAnsi="Times New Roman"/>
                <w:noProof/>
                <w:spacing w:val="-6"/>
                <w:lang w:val="sk-SK"/>
              </w:rPr>
              <w:t>IV – Zdravie:</w:t>
            </w:r>
          </w:p>
          <w:p w14:paraId="71740FF9" w14:textId="3596EADD" w:rsidR="00BF03AA" w:rsidRPr="00326E55" w:rsidRDefault="00FB452D">
            <w:pPr>
              <w:pStyle w:val="P68B1DB1-Normal12"/>
              <w:numPr>
                <w:ilvl w:val="0"/>
                <w:numId w:val="24"/>
              </w:numPr>
              <w:spacing w:before="120" w:after="120" w:line="279" w:lineRule="auto"/>
              <w:ind w:left="227" w:hanging="227"/>
              <w:rPr>
                <w:rFonts w:ascii="Times New Roman" w:eastAsia="Arial Narrow" w:hAnsi="Times New Roman" w:cs="Arial Narrow"/>
                <w:noProof/>
                <w:spacing w:val="-6"/>
                <w:lang w:val="sk-SK"/>
              </w:rPr>
            </w:pPr>
            <w:r w:rsidRPr="00326E55">
              <w:rPr>
                <w:rFonts w:ascii="Times New Roman" w:hAnsi="Times New Roman"/>
                <w:noProof/>
                <w:spacing w:val="-6"/>
                <w:lang w:val="sk-SK"/>
              </w:rPr>
              <w:t>Stanoviť spoločné kritériá pre zmluvné dohody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účinné vykonávanie článkov 8c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8</w:t>
            </w:r>
            <w:r w:rsidRPr="00326E55">
              <w:rPr>
                <w:rFonts w:ascii="Times New Roman" w:hAnsi="Times New Roman"/>
                <w:noProof/>
                <w:spacing w:val="-6"/>
                <w:lang w:val="sk-SK"/>
              </w:rPr>
              <w:t xml:space="preserve">d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 xml:space="preserve">502/1992 zmeneného zákonom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118/2022</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akreditácii súkromných spoločností do systému verejného zdravotníctva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zabezpečiť vykonávanie pravidiel, ktorými sa stanovujú otvorené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transparentné výberové konania.</w:t>
            </w:r>
          </w:p>
          <w:p w14:paraId="64489CAA" w14:textId="77777777" w:rsidR="00BF03AA" w:rsidRPr="00326E55" w:rsidRDefault="00FB452D">
            <w:pPr>
              <w:pStyle w:val="P68B1DB1-Normal34"/>
              <w:spacing w:before="120" w:after="120"/>
              <w:rPr>
                <w:rFonts w:ascii="Times New Roman" w:hAnsi="Times New Roman"/>
                <w:bCs/>
                <w:noProof/>
                <w:spacing w:val="-6"/>
                <w:lang w:val="sk-SK"/>
              </w:rPr>
            </w:pPr>
            <w:r w:rsidRPr="00326E55">
              <w:rPr>
                <w:rFonts w:ascii="Times New Roman" w:hAnsi="Times New Roman"/>
                <w:noProof/>
                <w:spacing w:val="-6"/>
                <w:lang w:val="sk-SK"/>
              </w:rPr>
              <w:t>V. – Prenos techn</w:t>
            </w:r>
            <w:r w:rsidRPr="00326E55">
              <w:rPr>
                <w:rFonts w:ascii="Times New Roman" w:hAnsi="Times New Roman"/>
                <w:noProof/>
                <w:spacing w:val="-6"/>
                <w:lang w:val="sk-SK"/>
              </w:rPr>
              <w:t>ológií:</w:t>
            </w:r>
          </w:p>
          <w:p w14:paraId="14779577" w14:textId="73F2565D" w:rsidR="00326E55" w:rsidRPr="00326E55" w:rsidRDefault="00FB452D">
            <w:pPr>
              <w:pStyle w:val="P68B1DB1-Normal33"/>
              <w:numPr>
                <w:ilvl w:val="0"/>
                <w:numId w:val="24"/>
              </w:numPr>
              <w:spacing w:before="120" w:after="120" w:line="279" w:lineRule="auto"/>
              <w:ind w:left="369" w:hanging="283"/>
              <w:rPr>
                <w:rFonts w:ascii="Times New Roman" w:hAnsi="Times New Roman"/>
                <w:noProof/>
                <w:spacing w:val="-6"/>
                <w:lang w:val="sk-SK"/>
              </w:rPr>
            </w:pPr>
            <w:r w:rsidRPr="00326E55">
              <w:rPr>
                <w:rFonts w:ascii="Times New Roman" w:hAnsi="Times New Roman"/>
                <w:noProof/>
                <w:spacing w:val="-6"/>
                <w:lang w:val="sk-SK"/>
              </w:rPr>
              <w:t>Požadovať od ministerstva podnikov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Made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ministerstva univerzít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výskumu, aby do 2. štvrťroka 2026 prijali národnú stratégiu prenosu technológií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zhodnocovania vedomostí, čím sa zefektívni prideľovanie dostupných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podporí </w:t>
            </w:r>
            <w:r w:rsidRPr="00326E55">
              <w:rPr>
                <w:rFonts w:ascii="Times New Roman" w:hAnsi="Times New Roman"/>
                <w:noProof/>
                <w:spacing w:val="-6"/>
                <w:lang w:val="sk-SK"/>
              </w:rPr>
              <w:t>koordinovaná stratégia medzi rôznymi nadáciami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inými inštitucionálnymi subjektmi pôsobiacimi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transferu technológií. Iniciatíva podporuje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racionalizuje úrady pre transfer technológií aj prostredníctvom podpory federatívnych iniciatív alebo iný</w:t>
            </w:r>
            <w:r w:rsidRPr="00326E55">
              <w:rPr>
                <w:rFonts w:ascii="Times New Roman" w:hAnsi="Times New Roman"/>
                <w:noProof/>
                <w:spacing w:val="-6"/>
                <w:lang w:val="sk-SK"/>
              </w:rPr>
              <w:t>ch politík na zvýšenie efektívnosti</w:t>
            </w:r>
            <w:r w:rsidR="00326E55" w:rsidRPr="00326E55">
              <w:rPr>
                <w:rFonts w:ascii="Times New Roman" w:hAnsi="Times New Roman"/>
                <w:noProof/>
                <w:spacing w:val="-6"/>
                <w:lang w:val="sk-SK"/>
              </w:rPr>
              <w:t>.</w:t>
            </w:r>
          </w:p>
          <w:p w14:paraId="66F4A6B5" w14:textId="66F66C57" w:rsidR="00BF03AA" w:rsidRPr="00326E55" w:rsidRDefault="00FB452D">
            <w:pPr>
              <w:pStyle w:val="P68B1DB1-Normal34"/>
              <w:spacing w:before="120" w:after="120"/>
              <w:rPr>
                <w:rFonts w:ascii="Times New Roman" w:hAnsi="Times New Roman"/>
                <w:bCs/>
                <w:noProof/>
                <w:spacing w:val="-6"/>
                <w:lang w:val="sk-SK"/>
              </w:rPr>
            </w:pPr>
            <w:r w:rsidRPr="00326E55">
              <w:rPr>
                <w:rFonts w:ascii="Times New Roman" w:hAnsi="Times New Roman"/>
                <w:noProof/>
                <w:spacing w:val="-6"/>
                <w:lang w:val="sk-SK"/>
              </w:rPr>
              <w:t>VI –</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regulovaných povolaniach:</w:t>
            </w:r>
          </w:p>
          <w:p w14:paraId="52AC4BB7" w14:textId="0DCF1064" w:rsidR="00BF03AA" w:rsidRPr="00326E55" w:rsidRDefault="00FB452D">
            <w:pPr>
              <w:pStyle w:val="P68B1DB1-ListParagraph35"/>
              <w:numPr>
                <w:ilvl w:val="0"/>
                <w:numId w:val="24"/>
              </w:numPr>
              <w:spacing w:before="120" w:after="120"/>
              <w:ind w:left="224" w:hanging="224"/>
              <w:jc w:val="both"/>
              <w:rPr>
                <w:rFonts w:ascii="Times New Roman" w:hAnsi="Times New Roman"/>
                <w:noProof/>
                <w:spacing w:val="-6"/>
                <w:lang w:val="sk-SK"/>
              </w:rPr>
            </w:pPr>
            <w:r w:rsidRPr="00326E55">
              <w:rPr>
                <w:rFonts w:ascii="Times New Roman" w:hAnsi="Times New Roman"/>
                <w:noProof/>
                <w:spacing w:val="-6"/>
                <w:lang w:val="sk-SK"/>
              </w:rPr>
              <w:t>Zjednodušiť požiadavky na zápis do obchodného registra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registráciu profesionálnych spoločností.</w:t>
            </w:r>
          </w:p>
        </w:tc>
      </w:tr>
      <w:tr w:rsidR="00BF03AA" w:rsidRPr="00326E55" w14:paraId="5DE1D86E"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37CBB35"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13bis</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3269CB8" w14:textId="1CF5DB2E"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B572F16"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AB63C94" w14:textId="31282358" w:rsidR="00BF03AA" w:rsidRPr="00326E55" w:rsidRDefault="00FB452D">
            <w:pPr>
              <w:pStyle w:val="P68B1DB1-Normal33"/>
              <w:spacing w:before="120" w:after="120"/>
              <w:jc w:val="center"/>
              <w:rPr>
                <w:rFonts w:ascii="Times New Roman" w:hAnsi="Times New Roman"/>
                <w:noProof/>
                <w:spacing w:val="-6"/>
                <w:lang w:val="sk-SK"/>
              </w:rPr>
            </w:pPr>
            <w:r w:rsidRPr="00326E55">
              <w:rPr>
                <w:rFonts w:ascii="Times New Roman" w:hAnsi="Times New Roman"/>
                <w:noProof/>
                <w:spacing w:val="-6"/>
                <w:lang w:val="sk-SK"/>
              </w:rPr>
              <w:t>Nadobudnutie účinnosti právnych predpisov (vrátane sekundárnych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vykonávacích aktov týkajúcich sa ročného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na rok 2025)</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regionálnych železniciach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transfere technológií</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7C3ECE95" w14:textId="172356F2" w:rsidR="00BF03AA" w:rsidRPr="00326E55" w:rsidRDefault="00FB452D">
            <w:pPr>
              <w:pStyle w:val="P68B1DB1-Normal21"/>
              <w:spacing w:before="120" w:after="120"/>
              <w:jc w:val="center"/>
              <w:rPr>
                <w:rFonts w:ascii="Times New Roman" w:hAnsi="Times New Roman"/>
                <w:noProof/>
                <w:spacing w:val="-6"/>
                <w:lang w:val="sk-SK"/>
              </w:rPr>
            </w:pPr>
            <w:r w:rsidRPr="00326E55">
              <w:rPr>
                <w:rFonts w:ascii="Times New Roman" w:hAnsi="Times New Roman"/>
                <w:noProof/>
                <w:spacing w:val="-6"/>
                <w:lang w:val="sk-SK"/>
              </w:rPr>
              <w:t>Ustanovenie o</w:t>
            </w:r>
            <w:r w:rsidRPr="00326E55">
              <w:rPr>
                <w:rFonts w:ascii="Times New Roman" w:eastAsia="Times New Roman" w:hAnsi="Times New Roman" w:cs="Segoe UI"/>
                <w:noProof/>
                <w:spacing w:val="-6"/>
                <w:szCs w:val="20"/>
                <w:lang w:val="sk-SK"/>
              </w:rPr>
              <w:t>nadobudnutí účinnosti p</w:t>
            </w:r>
            <w:r w:rsidRPr="00326E55">
              <w:rPr>
                <w:rFonts w:ascii="Times New Roman" w:eastAsia="Times New Roman" w:hAnsi="Times New Roman" w:cs="Segoe UI"/>
                <w:noProof/>
                <w:spacing w:val="-6"/>
                <w:szCs w:val="20"/>
                <w:lang w:val="sk-SK"/>
              </w:rPr>
              <w:t>rávnych predpisov (vrátane sekundárnych právnych predpisov</w:t>
            </w:r>
            <w:r w:rsidR="00326E55" w:rsidRPr="00326E55">
              <w:rPr>
                <w:rFonts w:ascii="Times New Roman" w:eastAsia="Times New Roman" w:hAnsi="Times New Roman" w:cs="Segoe UI"/>
                <w:noProof/>
                <w:spacing w:val="-6"/>
                <w:szCs w:val="20"/>
                <w:lang w:val="sk-SK"/>
              </w:rPr>
              <w:t xml:space="preserve"> a </w:t>
            </w:r>
            <w:r w:rsidRPr="00326E55">
              <w:rPr>
                <w:rFonts w:ascii="Times New Roman" w:eastAsia="Times New Roman" w:hAnsi="Times New Roman" w:cs="Segoe UI"/>
                <w:noProof/>
                <w:spacing w:val="-6"/>
                <w:szCs w:val="20"/>
                <w:lang w:val="sk-SK"/>
              </w:rPr>
              <w:t>vykonávacích aktov týkajúcich sa ročného zákona</w:t>
            </w:r>
            <w:r w:rsidR="00326E55" w:rsidRPr="00326E55">
              <w:rPr>
                <w:rFonts w:ascii="Times New Roman" w:eastAsia="Times New Roman" w:hAnsi="Times New Roman" w:cs="Segoe UI"/>
                <w:noProof/>
                <w:spacing w:val="-6"/>
                <w:szCs w:val="20"/>
                <w:lang w:val="sk-SK"/>
              </w:rPr>
              <w:t xml:space="preserve"> o </w:t>
            </w:r>
            <w:r w:rsidRPr="00326E55">
              <w:rPr>
                <w:rFonts w:ascii="Times New Roman" w:eastAsia="Times New Roman" w:hAnsi="Times New Roman" w:cs="Segoe UI"/>
                <w:noProof/>
                <w:spacing w:val="-6"/>
                <w:szCs w:val="20"/>
                <w:lang w:val="sk-SK"/>
              </w:rPr>
              <w:t>hospodárskej súťaži na rok 2025)</w:t>
            </w:r>
            <w:r w:rsidR="00326E55" w:rsidRPr="00326E55">
              <w:rPr>
                <w:rFonts w:ascii="Times New Roman" w:eastAsia="Times New Roman" w:hAnsi="Times New Roman" w:cs="Segoe UI"/>
                <w:noProof/>
                <w:spacing w:val="-6"/>
                <w:szCs w:val="20"/>
                <w:lang w:val="sk-SK"/>
              </w:rPr>
              <w:t xml:space="preserve"> o </w:t>
            </w:r>
            <w:r w:rsidRPr="00326E55">
              <w:rPr>
                <w:rFonts w:ascii="Times New Roman" w:eastAsia="Times New Roman" w:hAnsi="Times New Roman" w:cs="Segoe UI"/>
                <w:noProof/>
                <w:spacing w:val="-6"/>
                <w:szCs w:val="20"/>
                <w:lang w:val="sk-SK"/>
              </w:rPr>
              <w:t>regionálnych železniciach</w:t>
            </w:r>
            <w:r w:rsidR="00326E55" w:rsidRPr="00326E55">
              <w:rPr>
                <w:rFonts w:ascii="Times New Roman" w:eastAsia="Times New Roman" w:hAnsi="Times New Roman" w:cs="Segoe UI"/>
                <w:noProof/>
                <w:spacing w:val="-6"/>
                <w:szCs w:val="20"/>
                <w:lang w:val="sk-SK"/>
              </w:rPr>
              <w:t xml:space="preserve"> a </w:t>
            </w:r>
            <w:r w:rsidRPr="00326E55">
              <w:rPr>
                <w:rFonts w:ascii="Times New Roman" w:eastAsia="Times New Roman" w:hAnsi="Times New Roman" w:cs="Segoe UI"/>
                <w:noProof/>
                <w:spacing w:val="-6"/>
                <w:szCs w:val="20"/>
                <w:lang w:val="sk-SK"/>
              </w:rPr>
              <w:t>transfere technológií</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0881BA6"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509969F9"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88357EA"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1D07968"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5CE7CF9"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36595A7" w14:textId="4AF8F1E8" w:rsidR="00326E55" w:rsidRPr="00326E55" w:rsidRDefault="00FB452D">
            <w:pPr>
              <w:pStyle w:val="P68B1DB1-Normal33"/>
              <w:spacing w:before="120" w:after="120"/>
              <w:rPr>
                <w:rFonts w:ascii="Times New Roman" w:hAnsi="Times New Roman"/>
                <w:noProof/>
                <w:spacing w:val="-6"/>
                <w:lang w:val="sk-SK"/>
              </w:rPr>
            </w:pPr>
            <w:r w:rsidRPr="00326E55">
              <w:rPr>
                <w:rFonts w:ascii="Times New Roman" w:hAnsi="Times New Roman"/>
                <w:noProof/>
                <w:spacing w:val="-6"/>
                <w:lang w:val="sk-SK"/>
              </w:rPr>
              <w:t>Nadobudnutie účinnosti právnych predpisov (vrátane sekundárnych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vykonávacích aktov)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regionálnych železniciach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transfere technológií</w:t>
            </w:r>
            <w:r w:rsidR="00326E55" w:rsidRPr="00326E55">
              <w:rPr>
                <w:rFonts w:ascii="Times New Roman" w:hAnsi="Times New Roman"/>
                <w:noProof/>
                <w:spacing w:val="-6"/>
                <w:lang w:val="sk-SK"/>
              </w:rPr>
              <w:t>.</w:t>
            </w:r>
          </w:p>
          <w:p w14:paraId="32305F2E" w14:textId="06087559" w:rsidR="00BF03AA" w:rsidRPr="00326E55" w:rsidRDefault="00FB452D">
            <w:pPr>
              <w:pStyle w:val="P68B1DB1-Normal33"/>
              <w:numPr>
                <w:ilvl w:val="0"/>
                <w:numId w:val="24"/>
              </w:numPr>
              <w:spacing w:before="120" w:after="120" w:line="279" w:lineRule="auto"/>
              <w:ind w:left="369" w:hanging="283"/>
              <w:rPr>
                <w:rFonts w:ascii="Times New Roman" w:hAnsi="Times New Roman"/>
                <w:noProof/>
                <w:spacing w:val="-6"/>
                <w:lang w:val="sk-SK"/>
              </w:rPr>
            </w:pPr>
            <w:r w:rsidRPr="00326E55">
              <w:rPr>
                <w:rFonts w:ascii="Times New Roman" w:hAnsi="Times New Roman"/>
                <w:noProof/>
                <w:spacing w:val="-6"/>
                <w:lang w:val="sk-SK"/>
              </w:rPr>
              <w:t xml:space="preserve">V </w:t>
            </w:r>
            <w:r w:rsidRPr="00326E55">
              <w:rPr>
                <w:rFonts w:ascii="Times New Roman" w:hAnsi="Times New Roman"/>
                <w:b/>
                <w:noProof/>
                <w:spacing w:val="-6"/>
                <w:lang w:val="sk-SK"/>
              </w:rPr>
              <w:t>oblasti regionálnej dopravy</w:t>
            </w:r>
            <w:r w:rsidRPr="00326E55">
              <w:rPr>
                <w:rFonts w:ascii="Times New Roman" w:hAnsi="Times New Roman"/>
                <w:noProof/>
                <w:spacing w:val="-6"/>
                <w:lang w:val="sk-SK"/>
              </w:rPr>
              <w:t>: prijmú sa všetky regulačné kroky (vrátane ministerskej vyhlášky,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sa stanovujú vzory kalendára regiónov pre postupy zadávania zákaziek) potrebné na uverejnenie kalendára ministerstva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 pre postupy zadávania všetkých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železničnej doprave, ktorých platnosť sa skončí.</w:t>
            </w:r>
          </w:p>
          <w:p w14:paraId="04C03C9C" w14:textId="2B798093" w:rsidR="00BF03AA" w:rsidRPr="00326E55" w:rsidRDefault="00FB452D">
            <w:pPr>
              <w:pStyle w:val="P68B1DB1-Normal33"/>
              <w:numPr>
                <w:ilvl w:val="0"/>
                <w:numId w:val="24"/>
              </w:numPr>
              <w:spacing w:before="120" w:after="120" w:line="279" w:lineRule="auto"/>
              <w:ind w:left="369" w:hanging="283"/>
              <w:rPr>
                <w:rFonts w:ascii="Times New Roman" w:hAnsi="Times New Roman"/>
                <w:noProof/>
                <w:spacing w:val="-6"/>
                <w:lang w:val="sk-SK"/>
              </w:rPr>
            </w:pPr>
            <w:r w:rsidRPr="00326E55">
              <w:rPr>
                <w:rFonts w:ascii="Times New Roman" w:hAnsi="Times New Roman"/>
                <w:noProof/>
                <w:spacing w:val="-6"/>
                <w:lang w:val="sk-SK"/>
              </w:rPr>
              <w:t xml:space="preserve">O </w:t>
            </w:r>
            <w:r w:rsidRPr="00326E55">
              <w:rPr>
                <w:rFonts w:ascii="Times New Roman" w:hAnsi="Times New Roman"/>
                <w:b/>
                <w:noProof/>
                <w:spacing w:val="-6"/>
                <w:lang w:val="sk-SK"/>
              </w:rPr>
              <w:t>transfere technol</w:t>
            </w:r>
            <w:r w:rsidRPr="00326E55">
              <w:rPr>
                <w:rFonts w:ascii="Times New Roman" w:hAnsi="Times New Roman"/>
                <w:b/>
                <w:noProof/>
                <w:spacing w:val="-6"/>
                <w:lang w:val="sk-SK"/>
              </w:rPr>
              <w:t>ógií</w:t>
            </w:r>
            <w:r w:rsidRPr="00326E55">
              <w:rPr>
                <w:rFonts w:ascii="Times New Roman" w:hAnsi="Times New Roman"/>
                <w:noProof/>
                <w:spacing w:val="-6"/>
                <w:lang w:val="sk-SK"/>
              </w:rPr>
              <w:t>: ministerstvo podnikov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Made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ministerstvo univerzít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výskumu prijmú národnú stratégiu predpokladanú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čiastkovom cieli M1C2 – 13.</w:t>
            </w:r>
          </w:p>
        </w:tc>
      </w:tr>
      <w:tr w:rsidR="00BF03AA" w:rsidRPr="00326E55" w14:paraId="2742ADA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3C38D0CC"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14</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AAEFDF8" w14:textId="02EDFF93"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Reforma 2: Ročné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hospodárskej súťaže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520775"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23F4F0B7" w14:textId="77777777" w:rsidR="00BF03AA" w:rsidRPr="00326E55" w:rsidRDefault="00FB452D">
            <w:pPr>
              <w:pStyle w:val="P68B1DB1-Normal11"/>
              <w:spacing w:before="120" w:after="120"/>
              <w:jc w:val="center"/>
              <w:rPr>
                <w:rFonts w:ascii="Times New Roman" w:eastAsia="Times New Roman" w:hAnsi="Times New Roman" w:cs="Segoe UI"/>
                <w:noProof/>
                <w:spacing w:val="-6"/>
                <w:szCs w:val="20"/>
                <w:lang w:val="sk-SK"/>
              </w:rPr>
            </w:pPr>
            <w:r w:rsidRPr="00326E55">
              <w:rPr>
                <w:rFonts w:ascii="Times New Roman" w:hAnsi="Times New Roman"/>
                <w:noProof/>
                <w:spacing w:val="-6"/>
                <w:lang w:val="sk-SK"/>
              </w:rPr>
              <w:t xml:space="preserve">Milióny inteligentných </w:t>
            </w:r>
            <w:r w:rsidRPr="00326E55">
              <w:rPr>
                <w:rFonts w:ascii="Times New Roman" w:hAnsi="Times New Roman"/>
                <w:noProof/>
                <w:spacing w:val="-6"/>
                <w:lang w:val="sk-SK"/>
              </w:rPr>
              <w:t>meračov 2G.</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06C374D3"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3657C0D"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754B772"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80E5725"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33</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9321243"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0F37CCA"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5807332A" w14:textId="77777777" w:rsidR="00BF03AA" w:rsidRPr="00326E55" w:rsidRDefault="00FB452D">
            <w:pPr>
              <w:pStyle w:val="P68B1DB1-Normal11"/>
              <w:spacing w:before="120" w:after="120"/>
              <w:rPr>
                <w:rFonts w:ascii="Times New Roman" w:eastAsia="Times New Roman" w:hAnsi="Times New Roman" w:cs="Segoe UI"/>
                <w:noProof/>
                <w:spacing w:val="-6"/>
                <w:szCs w:val="20"/>
                <w:lang w:val="sk-SK"/>
              </w:rPr>
            </w:pPr>
            <w:r w:rsidRPr="00326E55">
              <w:rPr>
                <w:rFonts w:ascii="Times New Roman" w:hAnsi="Times New Roman"/>
                <w:noProof/>
                <w:spacing w:val="-6"/>
                <w:lang w:val="sk-SK"/>
              </w:rPr>
              <w:t>Zavedie sa najmenej 33 miliónov inteligentných meračov 2G.</w:t>
            </w:r>
          </w:p>
        </w:tc>
      </w:tr>
      <w:tr w:rsidR="00BF03AA" w:rsidRPr="00326E55" w14:paraId="3A7FF93A"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440D6A0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M1C2 – 14bis</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1A9D135" w14:textId="7511129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3:  racionalizácia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zjednodušenie stimulov pre firmy.</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ACBB45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Míľnik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6ED9212F" w14:textId="7FC3C00A"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Nadobudnutie účinnosti splnomocňujúceho aktu</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B5011C9" w14:textId="13AB2A1C"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Nadobudnutie</w:t>
            </w:r>
            <w:r w:rsidRPr="00326E55">
              <w:rPr>
                <w:rFonts w:ascii="Times New Roman" w:hAnsi="Times New Roman"/>
                <w:noProof/>
                <w:spacing w:val="-6"/>
                <w:lang w:val="sk-SK"/>
              </w:rPr>
              <w:t xml:space="preserve"> účinnosti splnomocňujúceho aktu na reformu stimulov pre podniky</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9C73BA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5B48B4F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0B803E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E7A8BB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DRUHÝ ŠTVRŤROK </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E4D9F7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2025 </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72EAF32D" w14:textId="2E245B4C" w:rsidR="00BF03AA" w:rsidRPr="00326E55" w:rsidRDefault="00FB452D">
            <w:pPr>
              <w:pStyle w:val="P68B1DB1-Normal11"/>
              <w:jc w:val="both"/>
              <w:rPr>
                <w:rFonts w:ascii="Times New Roman" w:eastAsia="Calibri" w:hAnsi="Times New Roman" w:cs="Calibri"/>
                <w:noProof/>
                <w:spacing w:val="-6"/>
                <w:szCs w:val="20"/>
                <w:highlight w:val="yellow"/>
                <w:lang w:val="sk-SK"/>
              </w:rPr>
            </w:pPr>
            <w:r w:rsidRPr="00326E55">
              <w:rPr>
                <w:rFonts w:ascii="Times New Roman" w:hAnsi="Times New Roman"/>
                <w:noProof/>
                <w:spacing w:val="-6"/>
                <w:lang w:val="sk-SK"/>
              </w:rPr>
              <w:t>Nadobudnutie účinnosti splnomocňujúceho aktu (</w:t>
            </w:r>
            <w:r w:rsidRPr="00326E55">
              <w:rPr>
                <w:rFonts w:ascii="Times New Roman" w:hAnsi="Times New Roman"/>
                <w:i/>
                <w:noProof/>
                <w:spacing w:val="-6"/>
                <w:lang w:val="sk-SK"/>
              </w:rPr>
              <w:t>legge delega</w:t>
            </w:r>
            <w:r w:rsidRPr="00326E55">
              <w:rPr>
                <w:rFonts w:ascii="Times New Roman" w:hAnsi="Times New Roman"/>
                <w:noProof/>
                <w:spacing w:val="-6"/>
                <w:lang w:val="sk-SK"/>
              </w:rPr>
              <w:t>), ktorým sa vláda poveruje revíziou systému stimulov firiem.</w:t>
            </w:r>
          </w:p>
        </w:tc>
      </w:tr>
      <w:tr w:rsidR="00BF03AA" w:rsidRPr="00326E55" w14:paraId="32F28D7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5A88E948" w14:textId="684999C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M1C2 – 14ter</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16A465F" w14:textId="544A379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3: racionalizácia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zjednodušenie stimulov pre firmy.</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51A94D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Míľnik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7CCA5EB" w14:textId="251719C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primárnych právnych predpisov</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2105E9A3" w14:textId="2607A49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primárnych právnych predpisov na reformu stimulov pre podniky</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AE0CDB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1D407B2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DC0B43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74CEC59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DRUHÝ ŠTVRŤROK </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3B80599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5F93D22" w14:textId="1AD1DACE" w:rsidR="00BF03AA" w:rsidRPr="00326E55" w:rsidRDefault="00FB452D">
            <w:pPr>
              <w:pStyle w:val="P68B1DB1-Normal11"/>
              <w:spacing w:before="160" w:line="278" w:lineRule="auto"/>
              <w:jc w:val="both"/>
              <w:rPr>
                <w:rFonts w:ascii="Times New Roman" w:hAnsi="Times New Roman"/>
                <w:noProof/>
                <w:spacing w:val="-6"/>
                <w:szCs w:val="20"/>
                <w:lang w:val="sk-SK"/>
              </w:rPr>
            </w:pPr>
            <w:r w:rsidRPr="00326E55">
              <w:rPr>
                <w:rFonts w:ascii="Times New Roman" w:hAnsi="Times New Roman"/>
                <w:noProof/>
                <w:spacing w:val="-6"/>
                <w:lang w:val="sk-SK"/>
              </w:rPr>
              <w:t>Nadobudnutie účinnosti primárnych právnych predpisov, ktorými sa vykonáva splnomocňujúci akt (</w:t>
            </w:r>
            <w:r w:rsidRPr="00326E55">
              <w:rPr>
                <w:rFonts w:ascii="Times New Roman" w:hAnsi="Times New Roman"/>
                <w:i/>
                <w:noProof/>
                <w:spacing w:val="-6"/>
                <w:lang w:val="sk-SK"/>
              </w:rPr>
              <w:t>legge delega</w:t>
            </w:r>
            <w:r w:rsidRPr="00326E55">
              <w:rPr>
                <w:rFonts w:ascii="Times New Roman" w:hAnsi="Times New Roman"/>
                <w:noProof/>
                <w:spacing w:val="-6"/>
                <w:lang w:val="sk-SK"/>
              </w:rPr>
              <w:t>), ktorým sa vláda poveruje revíziou systému stimulov pre podniky.</w:t>
            </w:r>
          </w:p>
          <w:p w14:paraId="05AB2E4D" w14:textId="70D619CC" w:rsidR="00BF03AA"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Právne predpisy sa týkajú právneho rámca, ktorým sa riadia stimuly (t. j. „Co</w:t>
            </w:r>
            <w:r w:rsidRPr="00326E55">
              <w:rPr>
                <w:rFonts w:ascii="Times New Roman" w:hAnsi="Times New Roman"/>
                <w:noProof/>
                <w:spacing w:val="-6"/>
                <w:lang w:val="sk-SK"/>
              </w:rPr>
              <w:t>dice degli inmotivivi“), ako aj racionalizácie stimulov na vnútroštátnej úrovni.</w:t>
            </w:r>
          </w:p>
          <w:p w14:paraId="131BF77F" w14:textId="4A94833D" w:rsidR="00BF03AA" w:rsidRPr="00326E55" w:rsidRDefault="00FB452D">
            <w:pPr>
              <w:pStyle w:val="P68B1DB1-Normal11"/>
              <w:jc w:val="both"/>
              <w:rPr>
                <w:rFonts w:ascii="Times New Roman" w:hAnsi="Times New Roman"/>
                <w:noProof/>
                <w:spacing w:val="-6"/>
                <w:szCs w:val="20"/>
                <w:lang w:val="sk-SK"/>
              </w:rPr>
            </w:pPr>
            <w:bookmarkStart w:id="9" w:name="_Hlk212581611"/>
            <w:r w:rsidRPr="00326E55">
              <w:rPr>
                <w:rFonts w:ascii="Times New Roman" w:hAnsi="Times New Roman"/>
                <w:noProof/>
                <w:spacing w:val="-6"/>
                <w:lang w:val="sk-SK"/>
              </w:rPr>
              <w:t>Dodatočné funkcie pre a) RNA (Národný register štátnej pomoci)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 platformu stimulivi.gov.it sú dostupné online.</w:t>
            </w:r>
            <w:bookmarkEnd w:id="9"/>
          </w:p>
        </w:tc>
      </w:tr>
    </w:tbl>
    <w:p w14:paraId="1E29EF44" w14:textId="7E703426" w:rsidR="00BF03AA" w:rsidRPr="00326E55" w:rsidRDefault="00FB452D">
      <w:pPr>
        <w:spacing w:before="120" w:after="120"/>
        <w:jc w:val="both"/>
        <w:rPr>
          <w:rFonts w:ascii="Times New Roman" w:hAnsi="Times New Roman"/>
          <w:noProof/>
          <w:spacing w:val="-6"/>
          <w:lang w:val="sk-SK"/>
        </w:rPr>
      </w:pPr>
      <w:r w:rsidRPr="00326E55">
        <w:rPr>
          <w:rFonts w:ascii="Times New Roman" w:hAnsi="Times New Roman"/>
          <w:noProof/>
          <w:spacing w:val="-6"/>
          <w:lang w:val="sk-SK"/>
        </w:rPr>
        <w:t xml:space="preserve"> </w:t>
      </w:r>
      <w:r w:rsidRPr="00326E55">
        <w:rPr>
          <w:rFonts w:ascii="Times New Roman" w:hAnsi="Times New Roman"/>
          <w:noProof/>
          <w:spacing w:val="-6"/>
          <w:lang w:val="sk-SK"/>
        </w:rPr>
        <w:br/>
      </w:r>
    </w:p>
    <w:p w14:paraId="49CCBFCC" w14:textId="77777777" w:rsidR="00BF03AA" w:rsidRPr="00326E55" w:rsidRDefault="00BF03AA">
      <w:pPr>
        <w:spacing w:before="120" w:after="120"/>
        <w:ind w:left="709"/>
        <w:jc w:val="both"/>
        <w:rPr>
          <w:rFonts w:ascii="Times New Roman" w:eastAsia="Calibri" w:hAnsi="Times New Roman"/>
          <w:noProof/>
          <w:spacing w:val="-6"/>
          <w:lang w:val="sk-SK"/>
        </w:rPr>
      </w:pPr>
    </w:p>
    <w:p w14:paraId="4EE6C282"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even" r:id="rId42"/>
          <w:headerReference w:type="default" r:id="rId43"/>
          <w:footerReference w:type="even" r:id="rId44"/>
          <w:footerReference w:type="default" r:id="rId45"/>
          <w:headerReference w:type="first" r:id="rId46"/>
          <w:footerReference w:type="first" r:id="rId47"/>
          <w:pgSz w:w="16839" w:h="11907" w:orient="landscape"/>
          <w:pgMar w:top="1134" w:right="1134" w:bottom="1134" w:left="1134" w:header="567" w:footer="567" w:gutter="0"/>
          <w:cols w:space="720"/>
          <w:docGrid w:linePitch="360"/>
        </w:sectPr>
      </w:pPr>
    </w:p>
    <w:p w14:paraId="5FD1830D" w14:textId="77777777" w:rsidR="00326E55" w:rsidRPr="00326E55" w:rsidRDefault="00FB452D">
      <w:pPr>
        <w:pStyle w:val="P68B1DB1-Heading39"/>
        <w:numPr>
          <w:ilvl w:val="2"/>
          <w:numId w:val="0"/>
        </w:numPr>
        <w:ind w:left="850" w:hanging="850"/>
        <w:rPr>
          <w:b/>
          <w:noProof/>
          <w:spacing w:val="-6"/>
          <w:u w:val="single"/>
          <w:lang w:val="sk-SK"/>
        </w:rPr>
      </w:pPr>
      <w:r w:rsidRPr="00326E55">
        <w:rPr>
          <w:b/>
          <w:noProof/>
          <w:spacing w:val="-6"/>
          <w:u w:val="single"/>
          <w:lang w:val="sk-SK"/>
        </w:rPr>
        <w:t xml:space="preserve">B.3.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4BAD52B2" w14:textId="77777777" w:rsidR="00326E55" w:rsidRPr="00326E55" w:rsidRDefault="00FB452D">
      <w:pPr>
        <w:pStyle w:val="P68B1DB1-Normal5"/>
        <w:spacing w:before="120" w:after="120"/>
        <w:jc w:val="both"/>
        <w:rPr>
          <w:noProof/>
          <w:spacing w:val="-6"/>
          <w:lang w:val="sk-SK"/>
        </w:rPr>
      </w:pPr>
      <w:r w:rsidRPr="00326E55">
        <w:rPr>
          <w:noProof/>
          <w:spacing w:val="-6"/>
          <w:lang w:val="sk-SK"/>
        </w:rPr>
        <w:t>Investícia 2: Inovácia</w:t>
      </w:r>
      <w:r w:rsidR="00326E55" w:rsidRPr="00326E55">
        <w:rPr>
          <w:noProof/>
          <w:spacing w:val="-6"/>
          <w:lang w:val="sk-SK"/>
        </w:rPr>
        <w:t xml:space="preserve"> a </w:t>
      </w:r>
      <w:r w:rsidRPr="00326E55">
        <w:rPr>
          <w:noProof/>
          <w:spacing w:val="-6"/>
          <w:lang w:val="sk-SK"/>
        </w:rPr>
        <w:t>technológia mikroelektroniky</w:t>
      </w:r>
    </w:p>
    <w:p w14:paraId="052A1CB1" w14:textId="039D7C11" w:rsidR="00BF03AA" w:rsidRPr="00326E55" w:rsidRDefault="00FB452D">
      <w:pPr>
        <w:pStyle w:val="P68B1DB1-Normal7"/>
        <w:spacing w:before="120" w:after="120"/>
        <w:jc w:val="both"/>
        <w:rPr>
          <w:noProof/>
          <w:spacing w:val="-6"/>
          <w:lang w:val="sk-SK"/>
        </w:rPr>
      </w:pPr>
      <w:r w:rsidRPr="00326E55">
        <w:rPr>
          <w:noProof/>
          <w:spacing w:val="-6"/>
          <w:lang w:val="sk-SK"/>
        </w:rPr>
        <w:t>Cieľom investície je podporiť rozvoj strategického hodnotového reťazca mikroelektroniky investovaním do substrát</w:t>
      </w:r>
      <w:r w:rsidRPr="00326E55">
        <w:rPr>
          <w:noProof/>
          <w:spacing w:val="-6"/>
          <w:lang w:val="sk-SK"/>
        </w:rPr>
        <w:t>ov kremíka. Investícia pozostáva</w:t>
      </w:r>
      <w:r w:rsidR="00326E55" w:rsidRPr="00326E55">
        <w:rPr>
          <w:noProof/>
          <w:spacing w:val="-6"/>
          <w:lang w:val="sk-SK"/>
        </w:rPr>
        <w:t xml:space="preserve"> z </w:t>
      </w:r>
      <w:r w:rsidRPr="00326E55">
        <w:rPr>
          <w:noProof/>
          <w:spacing w:val="-6"/>
          <w:lang w:val="sk-SK"/>
        </w:rPr>
        <w:t>realizácie dodatočnej výrobnej kapacity 8-palcových substrátov kremíka karbidu.</w:t>
      </w:r>
    </w:p>
    <w:p w14:paraId="3B9B60D5" w14:textId="50D102CE" w:rsidR="00BF03AA" w:rsidRPr="00326E55" w:rsidRDefault="00FB452D">
      <w:pPr>
        <w:pStyle w:val="P68B1DB1-Normal5"/>
        <w:spacing w:before="120" w:after="120"/>
        <w:jc w:val="both"/>
        <w:rPr>
          <w:bCs/>
          <w:noProof/>
          <w:spacing w:val="-6"/>
          <w:lang w:val="sk-SK"/>
        </w:rPr>
      </w:pPr>
      <w:r w:rsidRPr="00326E55">
        <w:rPr>
          <w:noProof/>
          <w:spacing w:val="-6"/>
          <w:lang w:val="sk-SK"/>
        </w:rPr>
        <w:t>Investícia 3: Rýchle internetové pripojenie (širokopásmové pripojenie</w:t>
      </w:r>
      <w:r w:rsidR="00326E55" w:rsidRPr="00326E55">
        <w:rPr>
          <w:noProof/>
          <w:spacing w:val="-6"/>
          <w:lang w:val="sk-SK"/>
        </w:rPr>
        <w:t xml:space="preserve"> a </w:t>
      </w:r>
      <w:r w:rsidRPr="00326E55">
        <w:rPr>
          <w:noProof/>
          <w:spacing w:val="-6"/>
          <w:lang w:val="sk-SK"/>
        </w:rPr>
        <w:t>5G)</w:t>
      </w:r>
    </w:p>
    <w:p w14:paraId="09344EC1" w14:textId="1ADBEFD7" w:rsidR="00326E55" w:rsidRPr="00326E55" w:rsidRDefault="00FB452D">
      <w:pPr>
        <w:pStyle w:val="P68B1DB1-Normal7"/>
        <w:spacing w:after="120"/>
        <w:jc w:val="both"/>
        <w:rPr>
          <w:noProof/>
          <w:spacing w:val="-6"/>
          <w:lang w:val="sk-SK"/>
        </w:rPr>
      </w:pPr>
      <w:r w:rsidRPr="00326E55">
        <w:rPr>
          <w:noProof/>
          <w:spacing w:val="-6"/>
          <w:lang w:val="sk-SK"/>
        </w:rPr>
        <w:t>Cieľom investície je dokončiť vnútroštátnu telekomunikačnú sieť u</w:t>
      </w:r>
      <w:r w:rsidRPr="00326E55">
        <w:rPr>
          <w:noProof/>
          <w:spacing w:val="-6"/>
          <w:lang w:val="sk-SK"/>
        </w:rPr>
        <w:t>ltrarýchleho</w:t>
      </w:r>
      <w:r w:rsidR="00326E55" w:rsidRPr="00326E55">
        <w:rPr>
          <w:noProof/>
          <w:spacing w:val="-6"/>
          <w:lang w:val="sk-SK"/>
        </w:rPr>
        <w:t xml:space="preserve"> a </w:t>
      </w:r>
      <w:r w:rsidRPr="00326E55">
        <w:rPr>
          <w:noProof/>
          <w:spacing w:val="-6"/>
          <w:lang w:val="sk-SK"/>
        </w:rPr>
        <w:t>5G na celom území štátu. Očakáva sa, že tieto investície významne prispejú</w:t>
      </w:r>
      <w:r w:rsidR="00326E55" w:rsidRPr="00326E55">
        <w:rPr>
          <w:noProof/>
          <w:spacing w:val="-6"/>
          <w:lang w:val="sk-SK"/>
        </w:rPr>
        <w:t xml:space="preserve"> k </w:t>
      </w:r>
      <w:r w:rsidRPr="00326E55">
        <w:rPr>
          <w:noProof/>
          <w:spacing w:val="-6"/>
          <w:lang w:val="sk-SK"/>
        </w:rPr>
        <w:t>cieľom digitálnej transformácie</w:t>
      </w:r>
      <w:r w:rsidR="00326E55" w:rsidRPr="00326E55">
        <w:rPr>
          <w:noProof/>
          <w:spacing w:val="-6"/>
          <w:lang w:val="sk-SK"/>
        </w:rPr>
        <w:t xml:space="preserve"> a </w:t>
      </w:r>
      <w:r w:rsidRPr="00326E55">
        <w:rPr>
          <w:noProof/>
          <w:spacing w:val="-6"/>
          <w:lang w:val="sk-SK"/>
        </w:rPr>
        <w:t>zmenšia digitálnu priepasť</w:t>
      </w:r>
      <w:r w:rsidR="00326E55" w:rsidRPr="00326E55">
        <w:rPr>
          <w:noProof/>
          <w:spacing w:val="-6"/>
          <w:lang w:val="sk-SK"/>
        </w:rPr>
        <w:t xml:space="preserve"> v </w:t>
      </w:r>
      <w:r w:rsidRPr="00326E55">
        <w:rPr>
          <w:noProof/>
          <w:spacing w:val="-6"/>
          <w:lang w:val="sk-SK"/>
        </w:rPr>
        <w:t>Taliansku</w:t>
      </w:r>
      <w:r w:rsidR="00326E55" w:rsidRPr="00326E55">
        <w:rPr>
          <w:noProof/>
          <w:spacing w:val="-6"/>
          <w:lang w:val="sk-SK"/>
        </w:rPr>
        <w:t>.</w:t>
      </w:r>
    </w:p>
    <w:p w14:paraId="414D1456" w14:textId="6C612CD5" w:rsidR="00BF03AA" w:rsidRPr="00326E55" w:rsidRDefault="00FB452D">
      <w:pPr>
        <w:pStyle w:val="P68B1DB1-Normal7"/>
        <w:spacing w:after="120"/>
        <w:jc w:val="both"/>
        <w:rPr>
          <w:noProof/>
          <w:spacing w:val="-6"/>
          <w:lang w:val="sk-SK"/>
        </w:rPr>
      </w:pPr>
      <w:r w:rsidRPr="00326E55">
        <w:rPr>
          <w:noProof/>
          <w:spacing w:val="-6"/>
          <w:lang w:val="sk-SK"/>
        </w:rPr>
        <w:t>Investícia zahŕňa udeľovanie koncesií</w:t>
      </w:r>
      <w:r w:rsidR="00326E55" w:rsidRPr="00326E55">
        <w:rPr>
          <w:noProof/>
          <w:spacing w:val="-6"/>
          <w:lang w:val="sk-SK"/>
        </w:rPr>
        <w:t xml:space="preserve"> a </w:t>
      </w:r>
      <w:r w:rsidRPr="00326E55">
        <w:rPr>
          <w:noProof/>
          <w:spacing w:val="-6"/>
          <w:lang w:val="sk-SK"/>
        </w:rPr>
        <w:t>zahŕňa päť projektov rýchlejšieho pripojenia:</w:t>
      </w:r>
    </w:p>
    <w:p w14:paraId="4512031B" w14:textId="4030A987" w:rsidR="00BF03AA" w:rsidRPr="00326E55" w:rsidRDefault="00FB452D">
      <w:pPr>
        <w:pStyle w:val="P68B1DB1-ListParagraph36"/>
        <w:numPr>
          <w:ilvl w:val="0"/>
          <w:numId w:val="50"/>
        </w:numPr>
        <w:spacing w:after="0" w:line="240" w:lineRule="auto"/>
        <w:jc w:val="both"/>
        <w:rPr>
          <w:rFonts w:eastAsiaTheme="minorEastAsia" w:hint="default"/>
          <w:noProof/>
          <w:spacing w:val="-6"/>
          <w:lang w:val="sk-SK"/>
        </w:rPr>
      </w:pPr>
      <w:r w:rsidRPr="00326E55">
        <w:rPr>
          <w:noProof/>
          <w:spacing w:val="-6"/>
          <w:lang w:val="sk-SK"/>
        </w:rPr>
        <w:t>„</w:t>
      </w:r>
      <w:r w:rsidRPr="00326E55">
        <w:rPr>
          <w:noProof/>
          <w:spacing w:val="-6"/>
          <w:lang w:val="sk-SK"/>
        </w:rPr>
        <w:t>Italia</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1 giga, ktorá poskytuje 1 gigabit/s na stiahnutie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200 Mbit/s pri nahrávaní pripojenia</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oblastiach zlyhania trhu</w:t>
      </w:r>
      <w:r w:rsidR="00326E55" w:rsidRPr="00326E55">
        <w:rPr>
          <w:noProof/>
          <w:spacing w:val="-6"/>
          <w:lang w:val="sk-SK"/>
        </w:rPr>
        <w:t xml:space="preserve"> s</w:t>
      </w:r>
      <w:r w:rsidR="00326E55" w:rsidRPr="00326E55">
        <w:rPr>
          <w:rFonts w:hint="default"/>
          <w:noProof/>
          <w:spacing w:val="-6"/>
          <w:lang w:val="sk-SK"/>
        </w:rPr>
        <w:t> </w:t>
      </w:r>
      <w:r w:rsidRPr="00326E55">
        <w:rPr>
          <w:noProof/>
          <w:spacing w:val="-6"/>
          <w:lang w:val="sk-SK"/>
        </w:rPr>
        <w:t>prístupom novej generácie (NGA) sivou</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čiernou. Tieto oblasti sa vymedzia po dokončení mapovania;</w:t>
      </w:r>
    </w:p>
    <w:p w14:paraId="5F0DF0CF" w14:textId="462AE70B" w:rsidR="00BF03AA" w:rsidRPr="00326E55" w:rsidRDefault="00FB452D">
      <w:pPr>
        <w:pStyle w:val="P68B1DB1-ListParagraph36"/>
        <w:numPr>
          <w:ilvl w:val="0"/>
          <w:numId w:val="50"/>
        </w:numPr>
        <w:spacing w:after="0" w:line="240" w:lineRule="auto"/>
        <w:jc w:val="both"/>
        <w:rPr>
          <w:rFonts w:eastAsiaTheme="minorEastAsia" w:hint="default"/>
          <w:noProof/>
          <w:spacing w:val="-6"/>
          <w:lang w:val="sk-SK"/>
        </w:rPr>
      </w:pPr>
      <w:r w:rsidRPr="00326E55">
        <w:rPr>
          <w:noProof/>
          <w:spacing w:val="-6"/>
          <w:lang w:val="sk-SK"/>
        </w:rPr>
        <w:t>„</w:t>
      </w:r>
      <w:r w:rsidRPr="00326E55">
        <w:rPr>
          <w:noProof/>
          <w:spacing w:val="-6"/>
          <w:lang w:val="sk-SK"/>
        </w:rPr>
        <w:t>Italia 5G, ktorá poskytuje pri</w:t>
      </w:r>
      <w:r w:rsidRPr="00326E55">
        <w:rPr>
          <w:noProof/>
          <w:spacing w:val="-6"/>
          <w:lang w:val="sk-SK"/>
        </w:rPr>
        <w:t>pojenia 5G</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oblastiach zlyhania trhu, čo sú oblasti,</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ktorých neboli zavedené mobilné siete; alebo sú</w:t>
      </w:r>
      <w:r w:rsidR="00326E55" w:rsidRPr="00326E55">
        <w:rPr>
          <w:noProof/>
          <w:spacing w:val="-6"/>
          <w:lang w:val="sk-SK"/>
        </w:rPr>
        <w:t xml:space="preserve"> k</w:t>
      </w:r>
      <w:r w:rsidR="00326E55" w:rsidRPr="00326E55">
        <w:rPr>
          <w:rFonts w:hint="default"/>
          <w:noProof/>
          <w:spacing w:val="-6"/>
          <w:lang w:val="sk-SK"/>
        </w:rPr>
        <w:t> </w:t>
      </w:r>
      <w:r w:rsidRPr="00326E55">
        <w:rPr>
          <w:noProof/>
          <w:spacing w:val="-6"/>
          <w:lang w:val="sk-SK"/>
        </w:rPr>
        <w:t>dispozícii len siete 3G</w:t>
      </w:r>
      <w:r w:rsidR="00326E55" w:rsidRPr="00326E55">
        <w:rPr>
          <w:noProof/>
          <w:spacing w:val="-6"/>
          <w:lang w:val="sk-SK"/>
        </w:rPr>
        <w:t xml:space="preserve"> a</w:t>
      </w:r>
      <w:r w:rsidR="00326E55" w:rsidRPr="00326E55">
        <w:rPr>
          <w:rFonts w:hint="default"/>
          <w:noProof/>
          <w:spacing w:val="-6"/>
          <w:lang w:val="sk-SK"/>
        </w:rPr>
        <w:t> </w:t>
      </w:r>
      <w:r w:rsidR="00326E55" w:rsidRPr="00326E55">
        <w:rPr>
          <w:noProof/>
          <w:spacing w:val="-6"/>
          <w:lang w:val="sk-SK"/>
        </w:rPr>
        <w:t>v</w:t>
      </w:r>
      <w:r w:rsidR="00326E55" w:rsidRPr="00326E55">
        <w:rPr>
          <w:rFonts w:hint="default"/>
          <w:noProof/>
          <w:spacing w:val="-6"/>
          <w:lang w:val="sk-SK"/>
        </w:rPr>
        <w:t> </w:t>
      </w:r>
      <w:r w:rsidRPr="00326E55">
        <w:rPr>
          <w:noProof/>
          <w:spacing w:val="-6"/>
          <w:lang w:val="sk-SK"/>
        </w:rPr>
        <w:t>blízkej budúcnosti sa neplánujú žiadne mobilné siete 4G a/alebo 5G; alebo došlo</w:t>
      </w:r>
      <w:r w:rsidR="00326E55" w:rsidRPr="00326E55">
        <w:rPr>
          <w:noProof/>
          <w:spacing w:val="-6"/>
          <w:lang w:val="sk-SK"/>
        </w:rPr>
        <w:t xml:space="preserve"> k</w:t>
      </w:r>
      <w:r w:rsidR="00326E55" w:rsidRPr="00326E55">
        <w:rPr>
          <w:rFonts w:hint="default"/>
          <w:noProof/>
          <w:spacing w:val="-6"/>
          <w:lang w:val="sk-SK"/>
        </w:rPr>
        <w:t> </w:t>
      </w:r>
      <w:r w:rsidRPr="00326E55">
        <w:rPr>
          <w:noProof/>
          <w:spacing w:val="-6"/>
          <w:lang w:val="sk-SK"/>
        </w:rPr>
        <w:t>preukázanému zlyhaniu trhu;</w:t>
      </w:r>
    </w:p>
    <w:p w14:paraId="34DC1269" w14:textId="100D6445" w:rsidR="00BF03AA" w:rsidRPr="00326E55" w:rsidRDefault="00FB452D">
      <w:pPr>
        <w:pStyle w:val="P68B1DB1-ListParagraph36"/>
        <w:numPr>
          <w:ilvl w:val="0"/>
          <w:numId w:val="50"/>
        </w:numPr>
        <w:spacing w:after="0" w:line="240" w:lineRule="auto"/>
        <w:jc w:val="both"/>
        <w:rPr>
          <w:rFonts w:eastAsiaTheme="minorEastAsia" w:hint="default"/>
          <w:noProof/>
          <w:spacing w:val="-6"/>
          <w:lang w:val="sk-SK"/>
        </w:rPr>
      </w:pPr>
      <w:r w:rsidRPr="00326E55">
        <w:rPr>
          <w:noProof/>
          <w:spacing w:val="-6"/>
          <w:lang w:val="sk-SK"/>
        </w:rPr>
        <w:t>„</w:t>
      </w:r>
      <w:r w:rsidRPr="00326E55">
        <w:rPr>
          <w:noProof/>
          <w:spacing w:val="-6"/>
          <w:lang w:val="sk-SK"/>
        </w:rPr>
        <w:t>Prepojené š</w:t>
      </w:r>
      <w:r w:rsidRPr="00326E55">
        <w:rPr>
          <w:noProof/>
          <w:spacing w:val="-6"/>
          <w:lang w:val="sk-SK"/>
        </w:rPr>
        <w:t>koly</w:t>
      </w:r>
      <w:r w:rsidRPr="00326E55">
        <w:rPr>
          <w:noProof/>
          <w:spacing w:val="-6"/>
          <w:lang w:val="sk-SK"/>
        </w:rPr>
        <w:t>“</w:t>
      </w:r>
      <w:r w:rsidRPr="00326E55">
        <w:rPr>
          <w:noProof/>
          <w:spacing w:val="-6"/>
          <w:lang w:val="sk-SK"/>
        </w:rPr>
        <w:t>, ktoré poskytujú školské budovy so širokopásmovým pripojením 1 gigabit/s;</w:t>
      </w:r>
    </w:p>
    <w:p w14:paraId="79BB1E7B" w14:textId="4850F0E7" w:rsidR="00BF03AA" w:rsidRPr="00326E55" w:rsidRDefault="00FB452D">
      <w:pPr>
        <w:pStyle w:val="P68B1DB1-ListParagraph36"/>
        <w:numPr>
          <w:ilvl w:val="0"/>
          <w:numId w:val="50"/>
        </w:numPr>
        <w:spacing w:after="0" w:line="240" w:lineRule="auto"/>
        <w:jc w:val="both"/>
        <w:rPr>
          <w:rFonts w:eastAsiaTheme="minorEastAsia" w:hint="default"/>
          <w:noProof/>
          <w:spacing w:val="-6"/>
          <w:lang w:val="sk-SK"/>
        </w:rPr>
      </w:pPr>
      <w:r w:rsidRPr="00326E55">
        <w:rPr>
          <w:noProof/>
          <w:spacing w:val="-6"/>
          <w:lang w:val="sk-SK"/>
        </w:rPr>
        <w:t>„</w:t>
      </w:r>
      <w:r w:rsidRPr="00326E55">
        <w:rPr>
          <w:noProof/>
          <w:spacing w:val="-6"/>
          <w:lang w:val="sk-SK"/>
        </w:rPr>
        <w:t>Prepojené zariadenia zdravotnej starostlivosti</w:t>
      </w:r>
      <w:r w:rsidRPr="00326E55">
        <w:rPr>
          <w:noProof/>
          <w:spacing w:val="-6"/>
          <w:lang w:val="sk-SK"/>
        </w:rPr>
        <w:t>“</w:t>
      </w:r>
      <w:r w:rsidRPr="00326E55">
        <w:rPr>
          <w:noProof/>
          <w:spacing w:val="-6"/>
          <w:lang w:val="sk-SK"/>
        </w:rPr>
        <w:t>, ktoré poskytujú širokopásmové pripojenie 1 gigabit/s</w:t>
      </w:r>
      <w:r w:rsidR="00326E55" w:rsidRPr="00326E55">
        <w:rPr>
          <w:noProof/>
          <w:spacing w:val="-6"/>
          <w:lang w:val="sk-SK"/>
        </w:rPr>
        <w:t xml:space="preserve"> k</w:t>
      </w:r>
      <w:r w:rsidR="00326E55" w:rsidRPr="00326E55">
        <w:rPr>
          <w:rFonts w:hint="default"/>
          <w:noProof/>
          <w:spacing w:val="-6"/>
          <w:lang w:val="sk-SK"/>
        </w:rPr>
        <w:t> </w:t>
      </w:r>
      <w:r w:rsidRPr="00326E55">
        <w:rPr>
          <w:noProof/>
          <w:spacing w:val="-6"/>
          <w:lang w:val="sk-SK"/>
        </w:rPr>
        <w:t>verejným zariadeniam zdravotnej starostlivosti;</w:t>
      </w:r>
    </w:p>
    <w:p w14:paraId="1A8D5ACF" w14:textId="6CCC6968" w:rsidR="00BF03AA" w:rsidRPr="00326E55" w:rsidRDefault="00FB452D">
      <w:pPr>
        <w:pStyle w:val="P68B1DB1-ListParagraph36"/>
        <w:numPr>
          <w:ilvl w:val="0"/>
          <w:numId w:val="50"/>
        </w:numPr>
        <w:spacing w:after="0" w:line="240" w:lineRule="auto"/>
        <w:jc w:val="both"/>
        <w:rPr>
          <w:rFonts w:hint="default"/>
          <w:noProof/>
          <w:spacing w:val="-6"/>
          <w:lang w:val="sk-SK"/>
        </w:rPr>
      </w:pPr>
      <w:r w:rsidRPr="00326E55">
        <w:rPr>
          <w:noProof/>
          <w:spacing w:val="-6"/>
          <w:lang w:val="sk-SK"/>
        </w:rPr>
        <w:t>„</w:t>
      </w:r>
      <w:r w:rsidRPr="00326E55">
        <w:rPr>
          <w:noProof/>
          <w:spacing w:val="-6"/>
          <w:lang w:val="sk-SK"/>
        </w:rPr>
        <w:t>Prepojené menšie ostro</w:t>
      </w:r>
      <w:r w:rsidRPr="00326E55">
        <w:rPr>
          <w:noProof/>
          <w:spacing w:val="-6"/>
          <w:lang w:val="sk-SK"/>
        </w:rPr>
        <w:t>vy</w:t>
      </w:r>
      <w:r w:rsidRPr="00326E55">
        <w:rPr>
          <w:noProof/>
          <w:spacing w:val="-6"/>
          <w:lang w:val="sk-SK"/>
        </w:rPr>
        <w:t>“</w:t>
      </w:r>
      <w:r w:rsidRPr="00326E55">
        <w:rPr>
          <w:noProof/>
          <w:spacing w:val="-6"/>
          <w:lang w:val="sk-SK"/>
        </w:rPr>
        <w:t>, ktoré poskytujú ultraširokopásmové pripojenie vybraným menším ostrovom bez optických prepojení na kontinent.</w:t>
      </w:r>
    </w:p>
    <w:p w14:paraId="3BE17012" w14:textId="77777777" w:rsidR="00BF03AA" w:rsidRPr="00326E55" w:rsidRDefault="00BF03AA">
      <w:pPr>
        <w:pStyle w:val="ListParagraph"/>
        <w:spacing w:after="0"/>
        <w:rPr>
          <w:rFonts w:ascii="Times New Roman" w:hAnsi="Times New Roman"/>
          <w:noProof/>
          <w:spacing w:val="-6"/>
          <w:lang w:val="sk-SK"/>
        </w:rPr>
      </w:pPr>
    </w:p>
    <w:p w14:paraId="52953735" w14:textId="36232748" w:rsidR="00BF03AA" w:rsidRPr="00326E55" w:rsidRDefault="00FB452D">
      <w:pPr>
        <w:pStyle w:val="P68B1DB1-Normal5"/>
        <w:spacing w:before="120" w:after="120"/>
        <w:jc w:val="both"/>
        <w:rPr>
          <w:bCs/>
          <w:noProof/>
          <w:spacing w:val="-6"/>
          <w:lang w:val="sk-SK"/>
        </w:rPr>
      </w:pPr>
      <w:r w:rsidRPr="00326E55">
        <w:rPr>
          <w:noProof/>
          <w:spacing w:val="-6"/>
          <w:lang w:val="sk-SK"/>
        </w:rPr>
        <w:t>Investícia 4: Satelitné technológie</w:t>
      </w:r>
      <w:r w:rsidR="00326E55" w:rsidRPr="00326E55">
        <w:rPr>
          <w:noProof/>
          <w:spacing w:val="-6"/>
          <w:lang w:val="sk-SK"/>
        </w:rPr>
        <w:t xml:space="preserve"> a </w:t>
      </w:r>
      <w:r w:rsidRPr="00326E55">
        <w:rPr>
          <w:noProof/>
          <w:spacing w:val="-6"/>
          <w:lang w:val="sk-SK"/>
        </w:rPr>
        <w:t>vesmírne hospodárstvo</w:t>
      </w:r>
    </w:p>
    <w:p w14:paraId="4173CFD5" w14:textId="6A62FA44" w:rsidR="00BF03AA" w:rsidRPr="00326E55" w:rsidRDefault="00FB452D">
      <w:pPr>
        <w:pStyle w:val="P68B1DB1-Normal7"/>
        <w:jc w:val="both"/>
        <w:rPr>
          <w:noProof/>
          <w:spacing w:val="-6"/>
          <w:lang w:val="sk-SK"/>
        </w:rPr>
      </w:pPr>
      <w:r w:rsidRPr="00326E55">
        <w:rPr>
          <w:noProof/>
          <w:spacing w:val="-6"/>
          <w:lang w:val="sk-SK"/>
        </w:rPr>
        <w:t>Cieľom investície je rozvíjať satelitné prepojenia vzhľadom na digitálnu</w:t>
      </w:r>
      <w:r w:rsidR="00326E55" w:rsidRPr="00326E55">
        <w:rPr>
          <w:noProof/>
          <w:spacing w:val="-6"/>
          <w:lang w:val="sk-SK"/>
        </w:rPr>
        <w:t xml:space="preserve"> a </w:t>
      </w:r>
      <w:r w:rsidRPr="00326E55">
        <w:rPr>
          <w:noProof/>
          <w:spacing w:val="-6"/>
          <w:lang w:val="sk-SK"/>
        </w:rPr>
        <w:t>zelenú</w:t>
      </w:r>
      <w:r w:rsidRPr="00326E55">
        <w:rPr>
          <w:noProof/>
          <w:spacing w:val="-6"/>
          <w:lang w:val="sk-SK"/>
        </w:rPr>
        <w:t xml:space="preserve"> transformáciu</w:t>
      </w:r>
      <w:r w:rsidR="00326E55" w:rsidRPr="00326E55">
        <w:rPr>
          <w:noProof/>
          <w:spacing w:val="-6"/>
          <w:lang w:val="sk-SK"/>
        </w:rPr>
        <w:t xml:space="preserve"> a </w:t>
      </w:r>
      <w:r w:rsidRPr="00326E55">
        <w:rPr>
          <w:noProof/>
          <w:spacing w:val="-6"/>
          <w:lang w:val="sk-SK"/>
        </w:rPr>
        <w:t>prispievať</w:t>
      </w:r>
      <w:r w:rsidR="00326E55" w:rsidRPr="00326E55">
        <w:rPr>
          <w:noProof/>
          <w:spacing w:val="-6"/>
          <w:lang w:val="sk-SK"/>
        </w:rPr>
        <w:t xml:space="preserve"> k </w:t>
      </w:r>
      <w:r w:rsidRPr="00326E55">
        <w:rPr>
          <w:noProof/>
          <w:spacing w:val="-6"/>
          <w:lang w:val="sk-SK"/>
        </w:rPr>
        <w:t xml:space="preserve">rozvoju vesmírneho sektora. </w:t>
      </w:r>
      <w:r w:rsidRPr="00326E55">
        <w:rPr>
          <w:noProof/>
          <w:color w:val="000000" w:themeColor="text1"/>
          <w:spacing w:val="-6"/>
          <w:lang w:val="sk-SK"/>
        </w:rPr>
        <w:t xml:space="preserve">Investícia </w:t>
      </w:r>
      <w:r w:rsidRPr="00326E55">
        <w:rPr>
          <w:noProof/>
          <w:spacing w:val="-6"/>
          <w:lang w:val="sk-SK"/>
        </w:rPr>
        <w:t>pozostáva zo štyroch projektov:</w:t>
      </w:r>
    </w:p>
    <w:p w14:paraId="64331FB7" w14:textId="77777777" w:rsidR="00326E55" w:rsidRPr="00326E55" w:rsidRDefault="00FB452D">
      <w:pPr>
        <w:pStyle w:val="P68B1DB1-ListParagraph37"/>
        <w:numPr>
          <w:ilvl w:val="0"/>
          <w:numId w:val="52"/>
        </w:numPr>
        <w:spacing w:after="0" w:line="240" w:lineRule="auto"/>
        <w:jc w:val="both"/>
        <w:rPr>
          <w:noProof/>
          <w:spacing w:val="-6"/>
          <w:lang w:val="sk-SK"/>
        </w:rPr>
      </w:pPr>
      <w:r w:rsidRPr="00326E55">
        <w:rPr>
          <w:noProof/>
          <w:spacing w:val="-6"/>
          <w:lang w:val="sk-SK"/>
        </w:rPr>
        <w:t>SATCOM,</w:t>
      </w:r>
    </w:p>
    <w:p w14:paraId="01AE57BA" w14:textId="77777777" w:rsidR="00326E55" w:rsidRPr="00326E55" w:rsidRDefault="00FB452D">
      <w:pPr>
        <w:pStyle w:val="P68B1DB1-ListParagraph37"/>
        <w:numPr>
          <w:ilvl w:val="0"/>
          <w:numId w:val="52"/>
        </w:numPr>
        <w:spacing w:after="0" w:line="240" w:lineRule="auto"/>
        <w:jc w:val="both"/>
        <w:rPr>
          <w:noProof/>
          <w:spacing w:val="-6"/>
          <w:lang w:val="sk-SK"/>
        </w:rPr>
      </w:pPr>
      <w:r w:rsidRPr="00326E55">
        <w:rPr>
          <w:noProof/>
          <w:spacing w:val="-6"/>
          <w:lang w:val="sk-SK"/>
        </w:rPr>
        <w:t>Pozorovanie Zeme (EO),</w:t>
      </w:r>
    </w:p>
    <w:p w14:paraId="7098AA13" w14:textId="77777777" w:rsidR="00326E55" w:rsidRPr="00326E55" w:rsidRDefault="00FB452D">
      <w:pPr>
        <w:pStyle w:val="P68B1DB1-ListParagraph37"/>
        <w:numPr>
          <w:ilvl w:val="0"/>
          <w:numId w:val="52"/>
        </w:numPr>
        <w:spacing w:after="0" w:line="240" w:lineRule="auto"/>
        <w:jc w:val="both"/>
        <w:rPr>
          <w:noProof/>
          <w:spacing w:val="-6"/>
          <w:lang w:val="sk-SK"/>
        </w:rPr>
      </w:pPr>
      <w:r w:rsidRPr="00326E55">
        <w:rPr>
          <w:noProof/>
          <w:spacing w:val="-6"/>
          <w:lang w:val="sk-SK"/>
        </w:rPr>
        <w:t>Vesmírna továreň,</w:t>
      </w:r>
    </w:p>
    <w:p w14:paraId="113A0E6A" w14:textId="186833D1" w:rsidR="00BF03AA" w:rsidRPr="00326E55" w:rsidRDefault="00FB452D">
      <w:pPr>
        <w:pStyle w:val="P68B1DB1-ListParagraph37"/>
        <w:numPr>
          <w:ilvl w:val="0"/>
          <w:numId w:val="52"/>
        </w:numPr>
        <w:spacing w:after="0" w:line="240" w:lineRule="auto"/>
        <w:jc w:val="both"/>
        <w:rPr>
          <w:rFonts w:eastAsiaTheme="minorEastAsia"/>
          <w:noProof/>
          <w:spacing w:val="-6"/>
          <w:lang w:val="sk-SK"/>
        </w:rPr>
      </w:pPr>
      <w:r w:rsidRPr="00326E55">
        <w:rPr>
          <w:noProof/>
          <w:spacing w:val="-6"/>
          <w:lang w:val="sk-SK"/>
        </w:rPr>
        <w:t>Hospodárstvo na obežnej dráhe.</w:t>
      </w:r>
    </w:p>
    <w:p w14:paraId="7B47B2CC" w14:textId="032F9987" w:rsidR="00BF03AA" w:rsidRPr="00326E55" w:rsidRDefault="00FB452D">
      <w:pPr>
        <w:pStyle w:val="P68B1DB1-Normal7"/>
        <w:spacing w:before="120" w:after="120"/>
        <w:jc w:val="both"/>
        <w:rPr>
          <w:noProof/>
          <w:spacing w:val="-6"/>
          <w:lang w:val="sk-SK"/>
        </w:rPr>
      </w:pPr>
      <w:r w:rsidRPr="00326E55">
        <w:rPr>
          <w:noProof/>
          <w:spacing w:val="-6"/>
          <w:lang w:val="sk-SK"/>
        </w:rPr>
        <w:t>Predpokladá sa, že investícia nemá vojenské ani obranné ciele</w:t>
      </w:r>
      <w:r w:rsidR="00326E55" w:rsidRPr="00326E55">
        <w:rPr>
          <w:noProof/>
          <w:spacing w:val="-6"/>
          <w:lang w:val="sk-SK"/>
        </w:rPr>
        <w:t xml:space="preserve"> a </w:t>
      </w:r>
      <w:r w:rsidRPr="00326E55">
        <w:rPr>
          <w:noProof/>
          <w:spacing w:val="-6"/>
          <w:lang w:val="sk-SK"/>
        </w:rPr>
        <w:t>dôsledky.</w:t>
      </w:r>
    </w:p>
    <w:p w14:paraId="397A19D2" w14:textId="77777777" w:rsidR="00326E55" w:rsidRPr="00326E55" w:rsidRDefault="00FB452D">
      <w:pPr>
        <w:pStyle w:val="P68B1DB1-Normal5"/>
        <w:spacing w:before="120" w:after="120"/>
        <w:jc w:val="both"/>
        <w:rPr>
          <w:noProof/>
          <w:spacing w:val="-6"/>
          <w:lang w:val="sk-SK"/>
        </w:rPr>
      </w:pPr>
      <w:r w:rsidRPr="00326E55">
        <w:rPr>
          <w:noProof/>
          <w:spacing w:val="-6"/>
          <w:lang w:val="sk-SK"/>
        </w:rPr>
        <w:t>I</w:t>
      </w:r>
      <w:r w:rsidRPr="00326E55">
        <w:rPr>
          <w:noProof/>
          <w:spacing w:val="-6"/>
          <w:lang w:val="sk-SK"/>
        </w:rPr>
        <w:t>nvestícia 5: Politiky priemyselného dodávateľského reťazca</w:t>
      </w:r>
      <w:r w:rsidR="00326E55" w:rsidRPr="00326E55">
        <w:rPr>
          <w:noProof/>
          <w:spacing w:val="-6"/>
          <w:lang w:val="sk-SK"/>
        </w:rPr>
        <w:t xml:space="preserve"> a </w:t>
      </w:r>
      <w:r w:rsidRPr="00326E55">
        <w:rPr>
          <w:noProof/>
          <w:spacing w:val="-6"/>
          <w:lang w:val="sk-SK"/>
        </w:rPr>
        <w:t>internacionalizácia</w:t>
      </w:r>
    </w:p>
    <w:p w14:paraId="7B1F45DB" w14:textId="2BC180E2" w:rsidR="00BF03AA" w:rsidRPr="00326E55" w:rsidRDefault="00FB452D">
      <w:pPr>
        <w:pStyle w:val="P68B1DB1-Normal7"/>
        <w:jc w:val="both"/>
        <w:rPr>
          <w:noProof/>
          <w:spacing w:val="-6"/>
          <w:lang w:val="sk-SK"/>
        </w:rPr>
      </w:pPr>
      <w:r w:rsidRPr="00326E55">
        <w:rPr>
          <w:noProof/>
          <w:spacing w:val="-6"/>
          <w:lang w:val="sk-SK"/>
        </w:rPr>
        <w:t>Cieľom investície je posilniť priemyselné dodávateľské reťazce, najmä uľahčením prístupu</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a </w:t>
      </w:r>
      <w:r w:rsidRPr="00326E55">
        <w:rPr>
          <w:noProof/>
          <w:spacing w:val="-6"/>
          <w:lang w:val="sk-SK"/>
        </w:rPr>
        <w:t>podporiť konkurencieschopnosť podnikov (najmä MSP), najmä podporou i</w:t>
      </w:r>
      <w:r w:rsidRPr="00326E55">
        <w:rPr>
          <w:noProof/>
          <w:spacing w:val="-6"/>
          <w:lang w:val="sk-SK"/>
        </w:rPr>
        <w:t>ch internacionalizácie</w:t>
      </w:r>
      <w:r w:rsidR="00326E55" w:rsidRPr="00326E55">
        <w:rPr>
          <w:noProof/>
          <w:spacing w:val="-6"/>
          <w:lang w:val="sk-SK"/>
        </w:rPr>
        <w:t xml:space="preserve"> a </w:t>
      </w:r>
      <w:r w:rsidRPr="00326E55">
        <w:rPr>
          <w:noProof/>
          <w:spacing w:val="-6"/>
          <w:lang w:val="sk-SK"/>
        </w:rPr>
        <w:t>posilnením ich odolnosti po kríze spôsobenej ochorením COVID-19.</w:t>
      </w:r>
    </w:p>
    <w:p w14:paraId="79C7D9D7" w14:textId="0D677BA1" w:rsidR="00BF03AA" w:rsidRPr="00326E55" w:rsidRDefault="00FB452D">
      <w:pPr>
        <w:pStyle w:val="P68B1DB1-Normal7"/>
        <w:jc w:val="both"/>
        <w:rPr>
          <w:noProof/>
          <w:spacing w:val="-6"/>
          <w:lang w:val="sk-SK"/>
        </w:rPr>
      </w:pPr>
      <w:r w:rsidRPr="00326E55">
        <w:rPr>
          <w:noProof/>
          <w:spacing w:val="-6"/>
          <w:lang w:val="sk-SK"/>
        </w:rPr>
        <w:t>Investícia pozostáva</w:t>
      </w:r>
      <w:r w:rsidR="00326E55" w:rsidRPr="00326E55">
        <w:rPr>
          <w:noProof/>
          <w:spacing w:val="-6"/>
          <w:lang w:val="sk-SK"/>
        </w:rPr>
        <w:t xml:space="preserve"> z </w:t>
      </w:r>
      <w:r w:rsidRPr="00326E55">
        <w:rPr>
          <w:noProof/>
          <w:spacing w:val="-6"/>
          <w:lang w:val="sk-SK"/>
        </w:rPr>
        <w:t>dvoch intervenčných línií:</w:t>
      </w:r>
    </w:p>
    <w:p w14:paraId="3204A233" w14:textId="1872A10F" w:rsidR="00326E55" w:rsidRPr="00326E55" w:rsidRDefault="00FB452D">
      <w:pPr>
        <w:pStyle w:val="P68B1DB1-ListParagraph37"/>
        <w:numPr>
          <w:ilvl w:val="3"/>
          <w:numId w:val="58"/>
        </w:numPr>
        <w:spacing w:before="120" w:after="120" w:line="240" w:lineRule="auto"/>
        <w:ind w:left="1134"/>
        <w:jc w:val="both"/>
        <w:rPr>
          <w:noProof/>
          <w:spacing w:val="-6"/>
          <w:lang w:val="sk-SK"/>
        </w:rPr>
      </w:pPr>
      <w:r w:rsidRPr="00326E55">
        <w:rPr>
          <w:noProof/>
          <w:spacing w:val="-6"/>
          <w:lang w:val="sk-SK"/>
        </w:rPr>
        <w:t>Refinancovanie fondu 394/81 spravovaného spoločnosťou SIMEST. Pozostáva</w:t>
      </w:r>
      <w:r w:rsidR="00326E55" w:rsidRPr="00326E55">
        <w:rPr>
          <w:noProof/>
          <w:spacing w:val="-6"/>
          <w:lang w:val="sk-SK"/>
        </w:rPr>
        <w:t xml:space="preserve"> z </w:t>
      </w:r>
      <w:r w:rsidRPr="00326E55">
        <w:rPr>
          <w:noProof/>
          <w:spacing w:val="-6"/>
          <w:lang w:val="sk-SK"/>
        </w:rPr>
        <w:t>refinancovania existujúceho fondu, ktorý</w:t>
      </w:r>
      <w:r w:rsidR="00326E55" w:rsidRPr="00326E55">
        <w:rPr>
          <w:noProof/>
          <w:spacing w:val="-6"/>
          <w:lang w:val="sk-SK"/>
        </w:rPr>
        <w:t xml:space="preserve"> v </w:t>
      </w:r>
      <w:r w:rsidRPr="00326E55">
        <w:rPr>
          <w:noProof/>
          <w:spacing w:val="-6"/>
          <w:lang w:val="sk-SK"/>
        </w:rPr>
        <w:t>súčasnosti spravuje verejná agentúra SIMEST, ktorý poskytuje finančnú podporu podnikom, najmä MSP, na podporu ich internacionalizácie prostredníctvom rôznych nástrojov, ako sú programy na prístup na zahraničné trhy</w:t>
      </w:r>
      <w:r w:rsidR="00326E55" w:rsidRPr="00326E55">
        <w:rPr>
          <w:noProof/>
          <w:spacing w:val="-6"/>
          <w:lang w:val="sk-SK"/>
        </w:rPr>
        <w:t xml:space="preserve"> a </w:t>
      </w:r>
      <w:r w:rsidRPr="00326E55">
        <w:rPr>
          <w:noProof/>
          <w:spacing w:val="-6"/>
          <w:lang w:val="sk-SK"/>
        </w:rPr>
        <w:t>rozvoj elektronického obchodu</w:t>
      </w:r>
      <w:r w:rsidR="00326E55" w:rsidRPr="00326E55">
        <w:rPr>
          <w:noProof/>
          <w:spacing w:val="-6"/>
          <w:lang w:val="sk-SK"/>
        </w:rPr>
        <w:t>.</w:t>
      </w:r>
    </w:p>
    <w:p w14:paraId="0927FAB9" w14:textId="6587CC13" w:rsidR="00326E55" w:rsidRPr="00326E55" w:rsidRDefault="00FB452D">
      <w:pPr>
        <w:pStyle w:val="P68B1DB1-ListParagraph37"/>
        <w:numPr>
          <w:ilvl w:val="3"/>
          <w:numId w:val="58"/>
        </w:numPr>
        <w:spacing w:before="120" w:after="120" w:line="240" w:lineRule="auto"/>
        <w:ind w:left="1134"/>
        <w:jc w:val="both"/>
        <w:rPr>
          <w:noProof/>
          <w:spacing w:val="-6"/>
          <w:lang w:val="sk-SK"/>
        </w:rPr>
      </w:pPr>
      <w:r w:rsidRPr="00326E55">
        <w:rPr>
          <w:noProof/>
          <w:spacing w:val="-6"/>
          <w:lang w:val="sk-SK"/>
        </w:rPr>
        <w:t>Konkure</w:t>
      </w:r>
      <w:r w:rsidRPr="00326E55">
        <w:rPr>
          <w:noProof/>
          <w:spacing w:val="-6"/>
          <w:lang w:val="sk-SK"/>
        </w:rPr>
        <w:t>ncieschopnosť</w:t>
      </w:r>
      <w:r w:rsidR="00326E55" w:rsidRPr="00326E55">
        <w:rPr>
          <w:noProof/>
          <w:spacing w:val="-6"/>
          <w:lang w:val="sk-SK"/>
        </w:rPr>
        <w:t xml:space="preserve"> a </w:t>
      </w:r>
      <w:r w:rsidRPr="00326E55">
        <w:rPr>
          <w:noProof/>
          <w:spacing w:val="-6"/>
          <w:lang w:val="sk-SK"/>
        </w:rPr>
        <w:t>odolnosť dodávateľských reťazcov. Pozostáva</w:t>
      </w:r>
      <w:r w:rsidR="00326E55" w:rsidRPr="00326E55">
        <w:rPr>
          <w:noProof/>
          <w:spacing w:val="-6"/>
          <w:lang w:val="sk-SK"/>
        </w:rPr>
        <w:t xml:space="preserve"> z </w:t>
      </w:r>
      <w:r w:rsidRPr="00326E55">
        <w:rPr>
          <w:noProof/>
          <w:spacing w:val="-6"/>
          <w:lang w:val="sk-SK"/>
        </w:rPr>
        <w:t>finančnej podpory pre podniky prostredníctvom nástroja rozvojovej zmluvy na projekty súvisiace</w:t>
      </w:r>
      <w:r w:rsidR="00326E55" w:rsidRPr="00326E55">
        <w:rPr>
          <w:noProof/>
          <w:spacing w:val="-6"/>
          <w:lang w:val="sk-SK"/>
        </w:rPr>
        <w:t xml:space="preserve"> s </w:t>
      </w:r>
      <w:r w:rsidRPr="00326E55">
        <w:rPr>
          <w:noProof/>
          <w:spacing w:val="-6"/>
          <w:lang w:val="sk-SK"/>
        </w:rPr>
        <w:t>kľúčovými strategickými hodnotovými reťazcami, ako sú programy priemyselného rozvoja, programy ro</w:t>
      </w:r>
      <w:r w:rsidRPr="00326E55">
        <w:rPr>
          <w:noProof/>
          <w:spacing w:val="-6"/>
          <w:lang w:val="sk-SK"/>
        </w:rPr>
        <w:t>zvoja ochrany životného prostredia, udržateľná mobilita</w:t>
      </w:r>
      <w:r w:rsidR="00326E55" w:rsidRPr="00326E55">
        <w:rPr>
          <w:noProof/>
          <w:spacing w:val="-6"/>
          <w:lang w:val="sk-SK"/>
        </w:rPr>
        <w:t xml:space="preserve"> a </w:t>
      </w:r>
      <w:r w:rsidRPr="00326E55">
        <w:rPr>
          <w:noProof/>
          <w:spacing w:val="-6"/>
          <w:lang w:val="sk-SK"/>
        </w:rPr>
        <w:t>činnosti cestovného ruchu</w:t>
      </w:r>
      <w:r w:rsidR="00326E55" w:rsidRPr="00326E55">
        <w:rPr>
          <w:noProof/>
          <w:spacing w:val="-6"/>
          <w:lang w:val="sk-SK"/>
        </w:rPr>
        <w:t>.</w:t>
      </w:r>
    </w:p>
    <w:p w14:paraId="627F9927" w14:textId="74291246" w:rsidR="00BF03AA" w:rsidRPr="00326E55" w:rsidRDefault="00FB452D">
      <w:pPr>
        <w:pStyle w:val="P68B1DB1-Normal7"/>
        <w:spacing w:after="120"/>
        <w:jc w:val="both"/>
        <w:rPr>
          <w:noProof/>
          <w:spacing w:val="-6"/>
          <w:lang w:val="sk-SK"/>
        </w:rPr>
      </w:pPr>
      <w:r w:rsidRPr="00326E55">
        <w:rPr>
          <w:noProof/>
          <w:spacing w:val="-6"/>
          <w:lang w:val="sk-SK"/>
        </w:rPr>
        <w:t>Uvedené intervencie sa vykonávajú</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investičnými politikami</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cieľmi nariadenia (EÚ) 2021/241,</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 xml:space="preserve">uplatňovaním zásady „výrazne </w:t>
      </w:r>
      <w:r w:rsidRPr="00326E55">
        <w:rPr>
          <w:noProof/>
          <w:spacing w:val="-6"/>
          <w:lang w:val="sk-SK"/>
        </w:rPr>
        <w:t>nenarušiť“, ako sa bližšie špecifikuje</w:t>
      </w:r>
      <w:r w:rsidR="00326E55" w:rsidRPr="00326E55">
        <w:rPr>
          <w:noProof/>
          <w:spacing w:val="-6"/>
          <w:lang w:val="sk-SK"/>
        </w:rPr>
        <w:t xml:space="preserve"> v </w:t>
      </w:r>
      <w:r w:rsidRPr="00326E55">
        <w:rPr>
          <w:noProof/>
          <w:spacing w:val="-6"/>
          <w:lang w:val="sk-SK"/>
        </w:rPr>
        <w:t>technickom usmernení</w:t>
      </w:r>
      <w:r w:rsidR="00326E55" w:rsidRPr="00326E55">
        <w:rPr>
          <w:noProof/>
          <w:spacing w:val="-6"/>
          <w:lang w:val="sk-SK"/>
        </w:rPr>
        <w:t xml:space="preserve"> k </w:t>
      </w:r>
      <w:r w:rsidRPr="00326E55">
        <w:rPr>
          <w:noProof/>
          <w:spacing w:val="-6"/>
          <w:lang w:val="sk-SK"/>
        </w:rPr>
        <w:t>zásade „výrazne nenarušiť“ (2021/C58/01).</w:t>
      </w:r>
    </w:p>
    <w:p w14:paraId="40F1955E" w14:textId="74F844F1" w:rsidR="00326E55" w:rsidRPr="00326E55" w:rsidRDefault="00FB452D">
      <w:pPr>
        <w:pStyle w:val="P68B1DB1-Normal7"/>
        <w:spacing w:after="120"/>
        <w:jc w:val="both"/>
        <w:rPr>
          <w:noProof/>
          <w:spacing w:val="-6"/>
          <w:lang w:val="sk-SK"/>
        </w:rPr>
      </w:pPr>
      <w:r w:rsidRPr="00326E55">
        <w:rPr>
          <w:noProof/>
          <w:spacing w:val="-6"/>
          <w:lang w:val="sk-SK"/>
        </w:rPr>
        <w:t>S cieľom zabezpečiť, aby opatrenie bolo</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technickými usmerneniami</w:t>
      </w:r>
      <w:r w:rsidR="00326E55" w:rsidRPr="00326E55">
        <w:rPr>
          <w:noProof/>
          <w:spacing w:val="-6"/>
          <w:lang w:val="sk-SK"/>
        </w:rPr>
        <w:t xml:space="preserve"> k </w:t>
      </w:r>
      <w:r w:rsidRPr="00326E55">
        <w:rPr>
          <w:noProof/>
          <w:spacing w:val="-6"/>
          <w:lang w:val="sk-SK"/>
        </w:rPr>
        <w:t>zásade „výrazne nenarušiť“ (2021/C58/01), právna dohoda medzi Talianskom</w:t>
      </w:r>
      <w:r w:rsidR="00326E55" w:rsidRPr="00326E55">
        <w:rPr>
          <w:noProof/>
          <w:spacing w:val="-6"/>
          <w:lang w:val="sk-SK"/>
        </w:rPr>
        <w:t xml:space="preserve"> a </w:t>
      </w:r>
      <w:r w:rsidRPr="00326E55">
        <w:rPr>
          <w:noProof/>
          <w:spacing w:val="-6"/>
          <w:lang w:val="sk-SK"/>
        </w:rPr>
        <w:t>povereným subjektom alebo finančným sprostredkovateľom zodpovedným za finančný nástroj</w:t>
      </w:r>
      <w:r w:rsidR="00326E55" w:rsidRPr="00326E55">
        <w:rPr>
          <w:noProof/>
          <w:spacing w:val="-6"/>
          <w:lang w:val="sk-SK"/>
        </w:rPr>
        <w:t xml:space="preserve"> a </w:t>
      </w:r>
      <w:r w:rsidRPr="00326E55">
        <w:rPr>
          <w:noProof/>
          <w:spacing w:val="-6"/>
          <w:lang w:val="sk-SK"/>
        </w:rPr>
        <w:t>následná investičná politika finančného nástroja</w:t>
      </w:r>
      <w:r w:rsidR="00326E55" w:rsidRPr="00326E55">
        <w:rPr>
          <w:noProof/>
          <w:spacing w:val="-6"/>
          <w:lang w:val="sk-SK"/>
        </w:rPr>
        <w:t>:</w:t>
      </w:r>
    </w:p>
    <w:p w14:paraId="68AFC62A" w14:textId="23008FD5" w:rsidR="00BF03AA" w:rsidRPr="00326E55" w:rsidRDefault="00FB452D">
      <w:pPr>
        <w:pStyle w:val="P68B1DB1-ListParagraph36"/>
        <w:numPr>
          <w:ilvl w:val="0"/>
          <w:numId w:val="51"/>
        </w:numPr>
        <w:spacing w:after="0" w:line="240" w:lineRule="auto"/>
        <w:jc w:val="both"/>
        <w:rPr>
          <w:rFonts w:eastAsiaTheme="minorEastAsia" w:hint="default"/>
          <w:noProof/>
          <w:spacing w:val="-6"/>
          <w:lang w:val="sk-SK"/>
        </w:rPr>
      </w:pPr>
      <w:r w:rsidRPr="00326E55">
        <w:rPr>
          <w:noProof/>
          <w:spacing w:val="-6"/>
          <w:lang w:val="sk-SK"/>
        </w:rPr>
        <w:t>požadovať uplatňovanie technických usmernení Komisie týkajúcich sa preverovania udržateľnosti pre Fond InvestEU;</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zároveň</w:t>
      </w:r>
    </w:p>
    <w:p w14:paraId="3A521EB6" w14:textId="5A56C6DD" w:rsidR="00BF03AA" w:rsidRPr="00326E55" w:rsidRDefault="00FB452D">
      <w:pPr>
        <w:pStyle w:val="P68B1DB1-ListParagraph37"/>
        <w:numPr>
          <w:ilvl w:val="0"/>
          <w:numId w:val="51"/>
        </w:numPr>
        <w:spacing w:after="0" w:line="240" w:lineRule="auto"/>
        <w:jc w:val="both"/>
        <w:rPr>
          <w:rFonts w:eastAsiaTheme="minorEastAsia"/>
          <w:noProof/>
          <w:spacing w:val="-6"/>
          <w:lang w:val="sk-SK"/>
        </w:rPr>
      </w:pPr>
      <w:r w:rsidRPr="00326E55">
        <w:rPr>
          <w:noProof/>
          <w:spacing w:val="-6"/>
          <w:lang w:val="sk-SK"/>
        </w:rPr>
        <w:t>vylúčiť</w:t>
      </w:r>
      <w:r w:rsidR="00326E55" w:rsidRPr="00326E55">
        <w:rPr>
          <w:noProof/>
          <w:spacing w:val="-6"/>
          <w:lang w:val="sk-SK"/>
        </w:rPr>
        <w:t xml:space="preserve"> z </w:t>
      </w:r>
      <w:r w:rsidRPr="00326E55">
        <w:rPr>
          <w:noProof/>
          <w:spacing w:val="-6"/>
          <w:lang w:val="sk-SK"/>
        </w:rPr>
        <w:t>oprávnenosti tieto činnosti</w:t>
      </w:r>
      <w:r w:rsidR="00326E55" w:rsidRPr="00326E55">
        <w:rPr>
          <w:noProof/>
          <w:spacing w:val="-6"/>
          <w:lang w:val="sk-SK"/>
        </w:rPr>
        <w:t xml:space="preserve"> a </w:t>
      </w:r>
      <w:r w:rsidRPr="00326E55">
        <w:rPr>
          <w:noProof/>
          <w:spacing w:val="-6"/>
          <w:lang w:val="sk-SK"/>
        </w:rPr>
        <w:t>aktíva:</w:t>
      </w:r>
      <w:r w:rsidRPr="00326E55">
        <w:rPr>
          <w:noProof/>
          <w:color w:val="FF0000"/>
          <w:spacing w:val="-6"/>
          <w:lang w:val="sk-SK"/>
        </w:rPr>
        <w:t xml:space="preserve"> </w:t>
      </w:r>
      <w:r w:rsidRPr="00326E55">
        <w:rPr>
          <w:noProof/>
          <w:spacing w:val="-6"/>
          <w:lang w:val="sk-SK"/>
        </w:rPr>
        <w:t>I) činnosti</w:t>
      </w:r>
      <w:r w:rsidR="00326E55" w:rsidRPr="00326E55">
        <w:rPr>
          <w:noProof/>
          <w:spacing w:val="-6"/>
          <w:lang w:val="sk-SK"/>
        </w:rPr>
        <w:t xml:space="preserve"> a </w:t>
      </w:r>
      <w:r w:rsidRPr="00326E55">
        <w:rPr>
          <w:noProof/>
          <w:spacing w:val="-6"/>
          <w:lang w:val="sk-SK"/>
        </w:rPr>
        <w:t>aktíva súvisiace</w:t>
      </w:r>
      <w:r w:rsidR="00326E55" w:rsidRPr="00326E55">
        <w:rPr>
          <w:noProof/>
          <w:spacing w:val="-6"/>
          <w:lang w:val="sk-SK"/>
        </w:rPr>
        <w:t xml:space="preserve"> s </w:t>
      </w:r>
      <w:r w:rsidRPr="00326E55">
        <w:rPr>
          <w:noProof/>
          <w:spacing w:val="-6"/>
          <w:lang w:val="sk-SK"/>
        </w:rPr>
        <w:t>fosílnymi palivami vrátane následného použitia</w:t>
      </w:r>
      <w:r w:rsidRPr="00326E55">
        <w:rPr>
          <w:noProof/>
          <w:spacing w:val="-6"/>
          <w:lang w:val="sk-SK"/>
        </w:rPr>
        <w:footnoteReference w:id="2"/>
      </w:r>
      <w:r w:rsidRPr="00326E55">
        <w:rPr>
          <w:noProof/>
          <w:spacing w:val="-6"/>
          <w:lang w:val="sk-SK"/>
        </w:rPr>
        <w:t>; II) činností</w:t>
      </w:r>
      <w:r w:rsidR="00326E55" w:rsidRPr="00326E55">
        <w:rPr>
          <w:noProof/>
          <w:spacing w:val="-6"/>
          <w:lang w:val="sk-SK"/>
        </w:rPr>
        <w:t xml:space="preserve"> a </w:t>
      </w:r>
      <w:r w:rsidRPr="00326E55">
        <w:rPr>
          <w:noProof/>
          <w:spacing w:val="-6"/>
          <w:lang w:val="sk-SK"/>
        </w:rPr>
        <w:t>aktív</w:t>
      </w:r>
      <w:r w:rsidR="00326E55" w:rsidRPr="00326E55">
        <w:rPr>
          <w:noProof/>
          <w:spacing w:val="-6"/>
          <w:lang w:val="sk-SK"/>
        </w:rPr>
        <w:t xml:space="preserve"> v </w:t>
      </w:r>
      <w:r w:rsidRPr="00326E55">
        <w:rPr>
          <w:noProof/>
          <w:spacing w:val="-6"/>
          <w:lang w:val="sk-SK"/>
        </w:rPr>
        <w:t>rámci systému EÚ na obchodovanie</w:t>
      </w:r>
      <w:r w:rsidR="00326E55" w:rsidRPr="00326E55">
        <w:rPr>
          <w:noProof/>
          <w:spacing w:val="-6"/>
          <w:lang w:val="sk-SK"/>
        </w:rPr>
        <w:t xml:space="preserve"> s </w:t>
      </w:r>
      <w:r w:rsidRPr="00326E55">
        <w:rPr>
          <w:noProof/>
          <w:spacing w:val="-6"/>
          <w:lang w:val="sk-SK"/>
        </w:rPr>
        <w:t xml:space="preserve">emisiami (ETS), ktorými sa dosahujú predpokladané emisie </w:t>
      </w:r>
      <w:r w:rsidRPr="00326E55">
        <w:rPr>
          <w:noProof/>
          <w:spacing w:val="-6"/>
          <w:lang w:val="sk-SK"/>
        </w:rPr>
        <w:t>skleníkových plynov, ktoré nie sú nižšie ako príslušné referenčné hodnoty</w:t>
      </w:r>
      <w:r w:rsidRPr="00326E55">
        <w:rPr>
          <w:noProof/>
          <w:spacing w:val="-6"/>
          <w:lang w:val="sk-SK"/>
        </w:rPr>
        <w:footnoteReference w:id="3"/>
      </w:r>
      <w:r w:rsidRPr="00326E55">
        <w:rPr>
          <w:noProof/>
          <w:spacing w:val="-6"/>
          <w:lang w:val="sk-SK"/>
        </w:rPr>
        <w:t>; III) činnosti</w:t>
      </w:r>
      <w:r w:rsidR="00326E55" w:rsidRPr="00326E55">
        <w:rPr>
          <w:noProof/>
          <w:spacing w:val="-6"/>
          <w:lang w:val="sk-SK"/>
        </w:rPr>
        <w:t xml:space="preserve"> a </w:t>
      </w:r>
      <w:r w:rsidRPr="00326E55">
        <w:rPr>
          <w:noProof/>
          <w:spacing w:val="-6"/>
          <w:lang w:val="sk-SK"/>
        </w:rPr>
        <w:t>aktíva súvisiace so skládkami odpadov, spaľovňami</w:t>
      </w:r>
      <w:r w:rsidRPr="00326E55">
        <w:rPr>
          <w:noProof/>
          <w:spacing w:val="-6"/>
          <w:lang w:val="sk-SK"/>
        </w:rPr>
        <w:footnoteReference w:id="4"/>
      </w:r>
      <w:r w:rsidR="00326E55" w:rsidRPr="00326E55">
        <w:rPr>
          <w:noProof/>
          <w:spacing w:val="-6"/>
          <w:lang w:val="sk-SK"/>
        </w:rPr>
        <w:t xml:space="preserve"> a </w:t>
      </w:r>
      <w:r w:rsidRPr="00326E55">
        <w:rPr>
          <w:noProof/>
          <w:spacing w:val="-6"/>
          <w:lang w:val="sk-SK"/>
        </w:rPr>
        <w:t>mechanickými biologickými čistiarňami</w:t>
      </w:r>
      <w:r w:rsidRPr="00326E55">
        <w:rPr>
          <w:noProof/>
          <w:spacing w:val="-6"/>
          <w:lang w:val="sk-SK"/>
        </w:rPr>
        <w:footnoteReference w:id="5"/>
      </w:r>
      <w:r w:rsidRPr="00326E55">
        <w:rPr>
          <w:noProof/>
          <w:spacing w:val="-6"/>
          <w:lang w:val="sk-SK"/>
        </w:rPr>
        <w:t>;</w:t>
      </w:r>
      <w:r w:rsidR="00326E55" w:rsidRPr="00326E55">
        <w:rPr>
          <w:noProof/>
          <w:spacing w:val="-6"/>
          <w:lang w:val="sk-SK"/>
        </w:rPr>
        <w:t xml:space="preserve"> a </w:t>
      </w:r>
      <w:r w:rsidRPr="00326E55">
        <w:rPr>
          <w:noProof/>
          <w:spacing w:val="-6"/>
          <w:lang w:val="sk-SK"/>
        </w:rPr>
        <w:t>iv) činnosti</w:t>
      </w:r>
      <w:r w:rsidR="00326E55" w:rsidRPr="00326E55">
        <w:rPr>
          <w:noProof/>
          <w:spacing w:val="-6"/>
          <w:lang w:val="sk-SK"/>
        </w:rPr>
        <w:t xml:space="preserve"> a </w:t>
      </w:r>
      <w:r w:rsidRPr="00326E55">
        <w:rPr>
          <w:noProof/>
          <w:spacing w:val="-6"/>
          <w:lang w:val="sk-SK"/>
        </w:rPr>
        <w:t>aktíva, pri ktorých môže dlhodobé zneškodňovanie odpad</w:t>
      </w:r>
      <w:r w:rsidRPr="00326E55">
        <w:rPr>
          <w:noProof/>
          <w:spacing w:val="-6"/>
          <w:lang w:val="sk-SK"/>
        </w:rPr>
        <w:t>u poškodiť životné prostredie;</w:t>
      </w:r>
      <w:r w:rsidR="00326E55" w:rsidRPr="00326E55">
        <w:rPr>
          <w:noProof/>
          <w:spacing w:val="-6"/>
          <w:lang w:val="sk-SK"/>
        </w:rPr>
        <w:t xml:space="preserve"> a </w:t>
      </w:r>
      <w:r w:rsidRPr="00326E55">
        <w:rPr>
          <w:noProof/>
          <w:spacing w:val="-6"/>
          <w:lang w:val="sk-SK"/>
        </w:rPr>
        <w:t>zároveň</w:t>
      </w:r>
    </w:p>
    <w:p w14:paraId="7B7103B4" w14:textId="080652BB" w:rsidR="00BF03AA" w:rsidRPr="00326E55" w:rsidRDefault="00FB452D">
      <w:pPr>
        <w:pStyle w:val="P68B1DB1-ListParagraph37"/>
        <w:numPr>
          <w:ilvl w:val="0"/>
          <w:numId w:val="51"/>
        </w:numPr>
        <w:spacing w:after="0" w:line="240" w:lineRule="auto"/>
        <w:jc w:val="both"/>
        <w:rPr>
          <w:rFonts w:eastAsiaTheme="minorEastAsia"/>
          <w:noProof/>
          <w:spacing w:val="-6"/>
          <w:lang w:val="sk-SK"/>
        </w:rPr>
      </w:pPr>
      <w:r w:rsidRPr="00326E55">
        <w:rPr>
          <w:noProof/>
          <w:spacing w:val="-6"/>
          <w:lang w:val="sk-SK"/>
        </w:rPr>
        <w:t>vyžadovať, aby [poverený subjekt alebo finančný sprostredkovateľ] overil súlad projektov</w:t>
      </w:r>
      <w:r w:rsidR="00326E55" w:rsidRPr="00326E55">
        <w:rPr>
          <w:noProof/>
          <w:spacing w:val="-6"/>
          <w:lang w:val="sk-SK"/>
        </w:rPr>
        <w:t xml:space="preserve"> s </w:t>
      </w:r>
      <w:r w:rsidRPr="00326E55">
        <w:rPr>
          <w:noProof/>
          <w:spacing w:val="-6"/>
          <w:lang w:val="sk-SK"/>
        </w:rPr>
        <w:t>príslušnými právnymi predpismi EÚ</w:t>
      </w:r>
      <w:r w:rsidR="00326E55" w:rsidRPr="00326E55">
        <w:rPr>
          <w:noProof/>
          <w:spacing w:val="-6"/>
          <w:lang w:val="sk-SK"/>
        </w:rPr>
        <w:t xml:space="preserve"> a </w:t>
      </w:r>
      <w:r w:rsidRPr="00326E55">
        <w:rPr>
          <w:noProof/>
          <w:spacing w:val="-6"/>
          <w:lang w:val="sk-SK"/>
        </w:rPr>
        <w:t>vnútroštátnymi právnymi predpismi</w:t>
      </w:r>
      <w:r w:rsidR="00326E55" w:rsidRPr="00326E55">
        <w:rPr>
          <w:noProof/>
          <w:spacing w:val="-6"/>
          <w:lang w:val="sk-SK"/>
        </w:rPr>
        <w:t xml:space="preserve"> v </w:t>
      </w:r>
      <w:r w:rsidRPr="00326E55">
        <w:rPr>
          <w:noProof/>
          <w:spacing w:val="-6"/>
          <w:lang w:val="sk-SK"/>
        </w:rPr>
        <w:t>oblasti životného prostredia</w:t>
      </w:r>
      <w:r w:rsidR="00326E55" w:rsidRPr="00326E55">
        <w:rPr>
          <w:noProof/>
          <w:spacing w:val="-6"/>
          <w:lang w:val="sk-SK"/>
        </w:rPr>
        <w:t xml:space="preserve"> v </w:t>
      </w:r>
      <w:r w:rsidRPr="00326E55">
        <w:rPr>
          <w:noProof/>
          <w:spacing w:val="-6"/>
          <w:lang w:val="sk-SK"/>
        </w:rPr>
        <w:t>prípade všetkých tran</w:t>
      </w:r>
      <w:r w:rsidRPr="00326E55">
        <w:rPr>
          <w:noProof/>
          <w:spacing w:val="-6"/>
          <w:lang w:val="sk-SK"/>
        </w:rPr>
        <w:t>sakcií vrátane tých, ktoré sú vyňaté</w:t>
      </w:r>
      <w:r w:rsidR="00326E55" w:rsidRPr="00326E55">
        <w:rPr>
          <w:noProof/>
          <w:spacing w:val="-6"/>
          <w:lang w:val="sk-SK"/>
        </w:rPr>
        <w:t xml:space="preserve"> z </w:t>
      </w:r>
      <w:r w:rsidRPr="00326E55">
        <w:rPr>
          <w:noProof/>
          <w:spacing w:val="-6"/>
          <w:lang w:val="sk-SK"/>
        </w:rPr>
        <w:t>preverovania udržateľnosti.</w:t>
      </w:r>
    </w:p>
    <w:p w14:paraId="39A81D8E" w14:textId="77777777" w:rsidR="00BF03AA" w:rsidRPr="00326E55" w:rsidRDefault="00BF03AA">
      <w:pPr>
        <w:rPr>
          <w:rFonts w:ascii="Times New Roman" w:hAnsi="Times New Roman" w:cs="Times New Roman"/>
          <w:b/>
          <w:noProof/>
          <w:spacing w:val="-6"/>
          <w:u w:val="single"/>
          <w:lang w:val="sk-SK"/>
        </w:rPr>
      </w:pPr>
    </w:p>
    <w:p w14:paraId="0182B285"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7: Národný fond pre konektivitu</w:t>
      </w:r>
    </w:p>
    <w:p w14:paraId="4B4681A6" w14:textId="277140C1" w:rsidR="00BF03AA" w:rsidRPr="00326E55" w:rsidRDefault="00FB452D">
      <w:pPr>
        <w:pStyle w:val="P68B1DB1-Normal7"/>
        <w:spacing w:line="240" w:lineRule="auto"/>
        <w:jc w:val="both"/>
        <w:rPr>
          <w:rFonts w:eastAsia="Calibri"/>
          <w:noProof/>
          <w:spacing w:val="-6"/>
          <w:lang w:val="sk-SK"/>
        </w:rPr>
      </w:pPr>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verejnej investície do grantovej schémy „Národný fond pre konektivitu“</w:t>
      </w:r>
      <w:r w:rsidR="00326E55" w:rsidRPr="00326E55">
        <w:rPr>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talianskom sektore infraštruktúry ultraširokopásmových sietí. Systém funguje tak, že poskytuje granty priamo súkromnému sektoru.</w:t>
      </w:r>
    </w:p>
    <w:p w14:paraId="6AE89921" w14:textId="77777777" w:rsidR="00BF03AA" w:rsidRPr="00326E55" w:rsidRDefault="00FB452D">
      <w:pPr>
        <w:pStyle w:val="P68B1DB1-Normal38"/>
        <w:spacing w:line="240" w:lineRule="auto"/>
        <w:jc w:val="both"/>
        <w:rPr>
          <w:noProof/>
          <w:spacing w:val="-6"/>
          <w:lang w:val="sk-SK"/>
        </w:rPr>
      </w:pPr>
      <w:r w:rsidRPr="00326E55">
        <w:rPr>
          <w:noProof/>
          <w:spacing w:val="-6"/>
          <w:lang w:val="sk-SK"/>
        </w:rPr>
        <w:t>Schému spravuje spoločnosť Invitalia S.p.A. ako implementujúci partner. Systém zahŕňa tento ra</w:t>
      </w:r>
      <w:r w:rsidRPr="00326E55">
        <w:rPr>
          <w:noProof/>
          <w:spacing w:val="-6"/>
          <w:lang w:val="sk-SK"/>
        </w:rPr>
        <w:t>d výrobkov:</w:t>
      </w:r>
    </w:p>
    <w:p w14:paraId="34C1FB01" w14:textId="79BD7FE7" w:rsidR="00326E55" w:rsidRPr="00326E55" w:rsidRDefault="00FB452D">
      <w:pPr>
        <w:pStyle w:val="P68B1DB1-Normal38"/>
        <w:keepNext/>
        <w:numPr>
          <w:ilvl w:val="0"/>
          <w:numId w:val="73"/>
        </w:numPr>
        <w:spacing w:line="240" w:lineRule="auto"/>
        <w:contextualSpacing/>
        <w:jc w:val="both"/>
        <w:rPr>
          <w:noProof/>
          <w:spacing w:val="-6"/>
          <w:lang w:val="sk-SK"/>
        </w:rPr>
      </w:pPr>
      <w:r w:rsidRPr="00326E55">
        <w:rPr>
          <w:noProof/>
          <w:spacing w:val="-6"/>
          <w:lang w:val="sk-SK"/>
        </w:rPr>
        <w:t>Grant na nedostatok životaschopnosti, ktorý si vyžaduje aspoň 30</w:t>
      </w:r>
      <w:r w:rsidR="00326E55" w:rsidRPr="00326E55">
        <w:rPr>
          <w:noProof/>
          <w:spacing w:val="-6"/>
          <w:lang w:val="sk-SK"/>
        </w:rPr>
        <w:t> %</w:t>
      </w:r>
      <w:r w:rsidRPr="00326E55">
        <w:rPr>
          <w:noProof/>
          <w:spacing w:val="-6"/>
          <w:lang w:val="sk-SK"/>
        </w:rPr>
        <w:t xml:space="preserve"> súkromného spolufinancovania celkových nákladov na projekt</w:t>
      </w:r>
      <w:r w:rsidR="00326E55" w:rsidRPr="00326E55">
        <w:rPr>
          <w:noProof/>
          <w:spacing w:val="-6"/>
          <w:lang w:val="sk-SK"/>
        </w:rPr>
        <w:t>.</w:t>
      </w:r>
    </w:p>
    <w:p w14:paraId="65ED103D" w14:textId="7C26E897" w:rsidR="00BF03AA" w:rsidRPr="00326E55" w:rsidRDefault="00FB452D">
      <w:pPr>
        <w:pStyle w:val="P68B1DB1-Normal38"/>
        <w:spacing w:line="240" w:lineRule="auto"/>
        <w:jc w:val="both"/>
        <w:rPr>
          <w:noProof/>
          <w:spacing w:val="-6"/>
          <w:lang w:val="sk-SK"/>
        </w:rPr>
      </w:pPr>
      <w:r w:rsidRPr="00326E55">
        <w:rPr>
          <w:noProof/>
          <w:spacing w:val="-6"/>
          <w:lang w:val="sk-SK"/>
        </w:rPr>
        <w:t>S cieľom implementovať investíciu do systému Taliansko</w:t>
      </w:r>
      <w:r w:rsidR="00326E55" w:rsidRPr="00326E55">
        <w:rPr>
          <w:noProof/>
          <w:spacing w:val="-6"/>
          <w:lang w:val="sk-SK"/>
        </w:rPr>
        <w:t xml:space="preserve"> a </w:t>
      </w:r>
      <w:r w:rsidRPr="00326E55">
        <w:rPr>
          <w:noProof/>
          <w:spacing w:val="-6"/>
          <w:lang w:val="sk-SK"/>
        </w:rPr>
        <w:t xml:space="preserve">spoločnosť Invitalia S.p.A. podpíšu vykonávaciu dohodu, </w:t>
      </w:r>
      <w:r w:rsidRPr="00326E55">
        <w:rPr>
          <w:noProof/>
          <w:spacing w:val="-6"/>
          <w:lang w:val="sk-SK"/>
        </w:rPr>
        <w:t>ktorá bude obsahovať tento obsah:</w:t>
      </w:r>
    </w:p>
    <w:p w14:paraId="5294EF91" w14:textId="0E24E5E8" w:rsidR="00BF03AA" w:rsidRPr="00326E55" w:rsidRDefault="00FB452D">
      <w:pPr>
        <w:pStyle w:val="P68B1DB1-ListParagraph39"/>
        <w:numPr>
          <w:ilvl w:val="0"/>
          <w:numId w:val="181"/>
        </w:numPr>
        <w:jc w:val="both"/>
        <w:rPr>
          <w:rFonts w:eastAsia="Times New Roman"/>
          <w:noProof/>
          <w:spacing w:val="-6"/>
          <w:lang w:val="sk-SK"/>
        </w:rPr>
      </w:pPr>
      <w:r w:rsidRPr="00326E55">
        <w:rPr>
          <w:noProof/>
          <w:spacing w:val="-6"/>
          <w:lang w:val="sk-SK"/>
        </w:rPr>
        <w:t>Opis rozhodovacieho procesu</w:t>
      </w:r>
      <w:r w:rsidR="00326E55" w:rsidRPr="00326E55">
        <w:rPr>
          <w:noProof/>
          <w:spacing w:val="-6"/>
          <w:lang w:val="sk-SK"/>
        </w:rPr>
        <w:t xml:space="preserve"> v </w:t>
      </w:r>
      <w:r w:rsidRPr="00326E55">
        <w:rPr>
          <w:noProof/>
          <w:spacing w:val="-6"/>
          <w:lang w:val="sk-SK"/>
        </w:rPr>
        <w:t>rámci schémy: Konečné rozhodnutie</w:t>
      </w:r>
      <w:r w:rsidR="00326E55" w:rsidRPr="00326E55">
        <w:rPr>
          <w:noProof/>
          <w:spacing w:val="-6"/>
          <w:lang w:val="sk-SK"/>
        </w:rPr>
        <w:t xml:space="preserve"> o </w:t>
      </w:r>
      <w:r w:rsidRPr="00326E55">
        <w:rPr>
          <w:noProof/>
          <w:spacing w:val="-6"/>
          <w:lang w:val="sk-SK"/>
        </w:rPr>
        <w:t>poskytnutí pomoci</w:t>
      </w:r>
      <w:r w:rsidR="00326E55" w:rsidRPr="00326E55">
        <w:rPr>
          <w:noProof/>
          <w:spacing w:val="-6"/>
          <w:lang w:val="sk-SK"/>
        </w:rPr>
        <w:t xml:space="preserve"> v </w:t>
      </w:r>
      <w:r w:rsidRPr="00326E55">
        <w:rPr>
          <w:noProof/>
          <w:spacing w:val="-6"/>
          <w:lang w:val="sk-SK"/>
        </w:rPr>
        <w:t>rámci schémy prijíma 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 ktorí sú nezá</w:t>
      </w:r>
      <w:r w:rsidRPr="00326E55">
        <w:rPr>
          <w:noProof/>
          <w:spacing w:val="-6"/>
          <w:lang w:val="sk-SK"/>
        </w:rPr>
        <w:t>vislí od vlády.</w:t>
      </w:r>
    </w:p>
    <w:p w14:paraId="36B76DBC" w14:textId="77777777" w:rsidR="00BF03AA" w:rsidRPr="00326E55" w:rsidRDefault="00FB452D">
      <w:pPr>
        <w:pStyle w:val="P68B1DB1-ListParagraph39"/>
        <w:numPr>
          <w:ilvl w:val="0"/>
          <w:numId w:val="181"/>
        </w:numPr>
        <w:jc w:val="both"/>
        <w:rPr>
          <w:noProof/>
          <w:spacing w:val="-6"/>
          <w:lang w:val="sk-SK"/>
        </w:rPr>
      </w:pPr>
      <w:r w:rsidRPr="00326E55">
        <w:rPr>
          <w:noProof/>
          <w:spacing w:val="-6"/>
          <w:lang w:val="sk-SK"/>
        </w:rPr>
        <w:t>Kľúčové požiadavky súvisiacej grantovej politiky,</w:t>
      </w:r>
      <w:r w:rsidRPr="00326E55">
        <w:rPr>
          <w:b/>
          <w:noProof/>
          <w:spacing w:val="-6"/>
          <w:lang w:val="sk-SK"/>
        </w:rPr>
        <w:t xml:space="preserve"> </w:t>
      </w:r>
      <w:r w:rsidRPr="00326E55">
        <w:rPr>
          <w:noProof/>
          <w:spacing w:val="-6"/>
          <w:lang w:val="sk-SK"/>
        </w:rPr>
        <w:t>ktoré zahŕňajú:</w:t>
      </w:r>
    </w:p>
    <w:p w14:paraId="419C0FE5" w14:textId="38044434" w:rsidR="00326E55" w:rsidRPr="00326E55" w:rsidRDefault="00FB452D">
      <w:pPr>
        <w:pStyle w:val="P68B1DB1-ListParagraph39"/>
        <w:numPr>
          <w:ilvl w:val="0"/>
          <w:numId w:val="183"/>
        </w:numPr>
        <w:jc w:val="both"/>
        <w:rPr>
          <w:noProof/>
          <w:spacing w:val="-6"/>
          <w:lang w:val="sk-SK"/>
        </w:rPr>
      </w:pPr>
      <w:r w:rsidRPr="00326E55">
        <w:rPr>
          <w:noProof/>
          <w:spacing w:val="-6"/>
          <w:lang w:val="sk-SK"/>
        </w:rPr>
        <w:t>Opis poskytnutých grantov</w:t>
      </w:r>
      <w:r w:rsidR="00326E55" w:rsidRPr="00326E55">
        <w:rPr>
          <w:noProof/>
          <w:spacing w:val="-6"/>
          <w:lang w:val="sk-SK"/>
        </w:rPr>
        <w:t xml:space="preserve"> a </w:t>
      </w:r>
      <w:r w:rsidRPr="00326E55">
        <w:rPr>
          <w:noProof/>
          <w:spacing w:val="-6"/>
          <w:lang w:val="sk-SK"/>
        </w:rPr>
        <w:t>oprávnených konečných príjemcov</w:t>
      </w:r>
      <w:r w:rsidR="00326E55" w:rsidRPr="00326E55">
        <w:rPr>
          <w:noProof/>
          <w:spacing w:val="-6"/>
          <w:lang w:val="sk-SK"/>
        </w:rPr>
        <w:t>.</w:t>
      </w:r>
    </w:p>
    <w:p w14:paraId="442B6202" w14:textId="10C71C79" w:rsidR="00BF03AA" w:rsidRPr="00326E55" w:rsidRDefault="00FB452D">
      <w:pPr>
        <w:pStyle w:val="P68B1DB1-ListParagraph39"/>
        <w:numPr>
          <w:ilvl w:val="0"/>
          <w:numId w:val="183"/>
        </w:numPr>
        <w:jc w:val="both"/>
        <w:rPr>
          <w:noProof/>
          <w:spacing w:val="-6"/>
          <w:lang w:val="sk-SK"/>
        </w:rPr>
      </w:pPr>
      <w:r w:rsidRPr="00326E55">
        <w:rPr>
          <w:noProof/>
          <w:spacing w:val="-6"/>
          <w:lang w:val="sk-SK"/>
        </w:rPr>
        <w:t>Požiadavka, aby všetky podporované investície boli ekonomicky životaschopné.</w:t>
      </w:r>
    </w:p>
    <w:p w14:paraId="664774EC" w14:textId="14D9E861" w:rsidR="00326E55" w:rsidRPr="00326E55" w:rsidRDefault="00FB452D">
      <w:pPr>
        <w:pStyle w:val="P68B1DB1-ListParagraph40"/>
        <w:numPr>
          <w:ilvl w:val="0"/>
          <w:numId w:val="183"/>
        </w:numPr>
        <w:jc w:val="both"/>
        <w:rPr>
          <w:noProof/>
          <w:spacing w:val="-6"/>
          <w:lang w:val="sk-SK"/>
        </w:rPr>
      </w:pPr>
      <w:r w:rsidRPr="00326E55">
        <w:rPr>
          <w:noProof/>
          <w:spacing w:val="-6"/>
          <w:lang w:val="sk-SK"/>
        </w:rPr>
        <w:t>Požiadavka dodržiavať zásadu „výrazn</w:t>
      </w:r>
      <w:r w:rsidRPr="00326E55">
        <w:rPr>
          <w:noProof/>
          <w:spacing w:val="-6"/>
          <w:lang w:val="sk-SK"/>
        </w:rPr>
        <w:t>e nenarušiť“, ako sa stanovuje</w:t>
      </w:r>
      <w:r w:rsidR="00326E55" w:rsidRPr="00326E55">
        <w:rPr>
          <w:noProof/>
          <w:spacing w:val="-6"/>
          <w:lang w:val="sk-SK"/>
        </w:rPr>
        <w:t xml:space="preserve"> v </w:t>
      </w:r>
      <w:r w:rsidRPr="00326E55">
        <w:rPr>
          <w:noProof/>
          <w:spacing w:val="-6"/>
          <w:lang w:val="sk-SK"/>
        </w:rPr>
        <w:t>technickom usmernení</w:t>
      </w:r>
      <w:r w:rsidR="00326E55" w:rsidRPr="00326E55">
        <w:rPr>
          <w:noProof/>
          <w:spacing w:val="-6"/>
          <w:lang w:val="sk-SK"/>
        </w:rPr>
        <w:t xml:space="preserve"> k </w:t>
      </w:r>
      <w:r w:rsidRPr="00326E55">
        <w:rPr>
          <w:noProof/>
          <w:spacing w:val="-6"/>
          <w:lang w:val="sk-SK"/>
        </w:rPr>
        <w:t>zásade „výrazne nenarušiť“ (2021/C58/01): Grantová politika vylučuje</w:t>
      </w:r>
      <w:r w:rsidR="00326E55" w:rsidRPr="00326E55">
        <w:rPr>
          <w:noProof/>
          <w:spacing w:val="-6"/>
          <w:lang w:val="sk-SK"/>
        </w:rPr>
        <w:t xml:space="preserve"> z </w:t>
      </w:r>
      <w:r w:rsidRPr="00326E55">
        <w:rPr>
          <w:noProof/>
          <w:spacing w:val="-6"/>
          <w:lang w:val="sk-SK"/>
        </w:rPr>
        <w:t>oprávnenosti najmä tento zoznam činností</w:t>
      </w:r>
      <w:r w:rsidR="00326E55" w:rsidRPr="00326E55">
        <w:rPr>
          <w:noProof/>
          <w:spacing w:val="-6"/>
          <w:lang w:val="sk-SK"/>
        </w:rPr>
        <w:t xml:space="preserve"> a </w:t>
      </w:r>
      <w:r w:rsidRPr="00326E55">
        <w:rPr>
          <w:noProof/>
          <w:spacing w:val="-6"/>
          <w:lang w:val="sk-SK"/>
        </w:rPr>
        <w:t>aktív: I) činnosti</w:t>
      </w:r>
      <w:r w:rsidR="00326E55" w:rsidRPr="00326E55">
        <w:rPr>
          <w:noProof/>
          <w:spacing w:val="-6"/>
          <w:lang w:val="sk-SK"/>
        </w:rPr>
        <w:t xml:space="preserve"> a </w:t>
      </w:r>
      <w:r w:rsidRPr="00326E55">
        <w:rPr>
          <w:noProof/>
          <w:spacing w:val="-6"/>
          <w:lang w:val="sk-SK"/>
        </w:rPr>
        <w:t>aktíva súvisiace</w:t>
      </w:r>
      <w:r w:rsidR="00326E55" w:rsidRPr="00326E55">
        <w:rPr>
          <w:noProof/>
          <w:spacing w:val="-6"/>
          <w:lang w:val="sk-SK"/>
        </w:rPr>
        <w:t xml:space="preserve"> s </w:t>
      </w:r>
      <w:r w:rsidRPr="00326E55">
        <w:rPr>
          <w:noProof/>
          <w:spacing w:val="-6"/>
          <w:lang w:val="sk-SK"/>
        </w:rPr>
        <w:t>fosílnymi palivami vrátane následného používan</w:t>
      </w:r>
      <w:r w:rsidRPr="00326E55">
        <w:rPr>
          <w:noProof/>
          <w:spacing w:val="-6"/>
          <w:lang w:val="sk-SK"/>
        </w:rPr>
        <w:t>ia,</w:t>
      </w:r>
      <w:r w:rsidRPr="00326E55">
        <w:rPr>
          <w:noProof/>
          <w:spacing w:val="-6"/>
          <w:lang w:val="sk-SK"/>
        </w:rPr>
        <w:footnoteReference w:id="6"/>
      </w:r>
      <w:r w:rsidRPr="00326E55">
        <w:rPr>
          <w:noProof/>
          <w:spacing w:val="-6"/>
          <w:lang w:val="sk-SK"/>
        </w:rPr>
        <w:t>ii) činnosti</w:t>
      </w:r>
      <w:r w:rsidR="00326E55" w:rsidRPr="00326E55">
        <w:rPr>
          <w:noProof/>
          <w:spacing w:val="-6"/>
          <w:lang w:val="sk-SK"/>
        </w:rPr>
        <w:t xml:space="preserve"> a </w:t>
      </w:r>
      <w:r w:rsidRPr="00326E55">
        <w:rPr>
          <w:noProof/>
          <w:spacing w:val="-6"/>
          <w:lang w:val="sk-SK"/>
        </w:rPr>
        <w:t>aktíva</w:t>
      </w:r>
      <w:r w:rsidR="00326E55" w:rsidRPr="00326E55">
        <w:rPr>
          <w:noProof/>
          <w:spacing w:val="-6"/>
          <w:lang w:val="sk-SK"/>
        </w:rPr>
        <w:t xml:space="preserve"> v </w:t>
      </w:r>
      <w:r w:rsidRPr="00326E55">
        <w:rPr>
          <w:noProof/>
          <w:spacing w:val="-6"/>
          <w:lang w:val="sk-SK"/>
        </w:rPr>
        <w:t>rámci systému EÚ na obchodovanie</w:t>
      </w:r>
      <w:r w:rsidR="00326E55" w:rsidRPr="00326E55">
        <w:rPr>
          <w:noProof/>
          <w:spacing w:val="-6"/>
          <w:lang w:val="sk-SK"/>
        </w:rPr>
        <w:t xml:space="preserve"> s </w:t>
      </w:r>
      <w:r w:rsidRPr="00326E55">
        <w:rPr>
          <w:noProof/>
          <w:spacing w:val="-6"/>
          <w:lang w:val="sk-SK"/>
        </w:rPr>
        <w:t>emisiami (ETS), ktorými sa dosahujú predpokladané emisie skleníkových plynov, ktoré nie sú nižšie ako príslušné referenčné hodnoty,</w:t>
      </w:r>
      <w:r w:rsidRPr="00326E55">
        <w:rPr>
          <w:noProof/>
          <w:spacing w:val="-6"/>
          <w:lang w:val="sk-SK"/>
        </w:rPr>
        <w:footnoteReference w:id="7"/>
      </w:r>
      <w:r w:rsidRPr="00326E55">
        <w:rPr>
          <w:noProof/>
          <w:spacing w:val="-6"/>
          <w:lang w:val="sk-SK"/>
        </w:rPr>
        <w:t>iii) činnosti</w:t>
      </w:r>
      <w:r w:rsidR="00326E55" w:rsidRPr="00326E55">
        <w:rPr>
          <w:noProof/>
          <w:spacing w:val="-6"/>
          <w:lang w:val="sk-SK"/>
        </w:rPr>
        <w:t xml:space="preserve"> a </w:t>
      </w:r>
      <w:r w:rsidRPr="00326E55">
        <w:rPr>
          <w:noProof/>
          <w:spacing w:val="-6"/>
          <w:lang w:val="sk-SK"/>
        </w:rPr>
        <w:t>aktíva súvisiace so skládkami odpadu, spaľovň</w:t>
      </w:r>
      <w:r w:rsidRPr="00326E55">
        <w:rPr>
          <w:noProof/>
          <w:spacing w:val="-6"/>
          <w:lang w:val="sk-SK"/>
        </w:rPr>
        <w:t>ami</w:t>
      </w:r>
      <w:r w:rsidRPr="00326E55">
        <w:rPr>
          <w:noProof/>
          <w:spacing w:val="-6"/>
          <w:lang w:val="sk-SK"/>
        </w:rPr>
        <w:footnoteReference w:id="8"/>
      </w:r>
      <w:r w:rsidR="00326E55" w:rsidRPr="00326E55">
        <w:rPr>
          <w:noProof/>
          <w:spacing w:val="-6"/>
          <w:lang w:val="sk-SK"/>
        </w:rPr>
        <w:t xml:space="preserve"> a </w:t>
      </w:r>
      <w:r w:rsidRPr="00326E55">
        <w:rPr>
          <w:noProof/>
          <w:spacing w:val="-6"/>
          <w:lang w:val="sk-SK"/>
        </w:rPr>
        <w:t>mechanickými biologickými čistiarňami</w:t>
      </w:r>
      <w:r w:rsidRPr="00326E55">
        <w:rPr>
          <w:noProof/>
          <w:spacing w:val="-6"/>
          <w:lang w:val="sk-SK"/>
        </w:rPr>
        <w:footnoteReference w:id="9"/>
      </w:r>
      <w:r w:rsidR="00326E55" w:rsidRPr="00326E55">
        <w:rPr>
          <w:noProof/>
          <w:spacing w:val="-6"/>
          <w:lang w:val="sk-SK"/>
        </w:rPr>
        <w:t>.</w:t>
      </w:r>
    </w:p>
    <w:p w14:paraId="0E0B6B72" w14:textId="3338A421" w:rsidR="00BF03AA" w:rsidRPr="00326E55" w:rsidRDefault="00FB452D">
      <w:pPr>
        <w:pStyle w:val="P68B1DB1-ListParagraph39"/>
        <w:numPr>
          <w:ilvl w:val="0"/>
          <w:numId w:val="183"/>
        </w:numPr>
        <w:jc w:val="both"/>
        <w:rPr>
          <w:bCs/>
          <w:noProof/>
          <w:spacing w:val="-6"/>
          <w:lang w:val="sk-SK"/>
        </w:rPr>
      </w:pPr>
      <w:r w:rsidRPr="00326E55">
        <w:rPr>
          <w:noProof/>
          <w:spacing w:val="-6"/>
          <w:lang w:val="sk-SK"/>
        </w:rPr>
        <w:t>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6725B0F4" w14:textId="3A83B633" w:rsidR="00BF03AA" w:rsidRPr="00326E55" w:rsidRDefault="00FB452D">
      <w:pPr>
        <w:pStyle w:val="P68B1DB1-ListParagraph39"/>
        <w:numPr>
          <w:ilvl w:val="0"/>
          <w:numId w:val="181"/>
        </w:numPr>
        <w:jc w:val="both"/>
        <w:rPr>
          <w:noProof/>
          <w:spacing w:val="-6"/>
          <w:lang w:val="sk-SK"/>
        </w:rPr>
      </w:pPr>
      <w:r w:rsidRPr="00326E55">
        <w:rPr>
          <w:noProof/>
          <w:spacing w:val="-6"/>
          <w:lang w:val="sk-SK"/>
        </w:rPr>
        <w:t xml:space="preserve">Suma, na ktorú sa vzťahuje vykonávacia dohoda, štruktúra poplatkov pre implementujúceho </w:t>
      </w:r>
      <w:r w:rsidRPr="00326E55">
        <w:rPr>
          <w:noProof/>
          <w:spacing w:val="-6"/>
          <w:lang w:val="sk-SK"/>
        </w:rPr>
        <w:t>partnera</w:t>
      </w:r>
      <w:r w:rsidR="00326E55" w:rsidRPr="00326E55">
        <w:rPr>
          <w:noProof/>
          <w:spacing w:val="-6"/>
          <w:lang w:val="sk-SK"/>
        </w:rPr>
        <w:t xml:space="preserve"> a </w:t>
      </w:r>
      <w:r w:rsidRPr="00326E55">
        <w:rPr>
          <w:noProof/>
          <w:spacing w:val="-6"/>
          <w:lang w:val="sk-SK"/>
        </w:rPr>
        <w:t>požiadavka použiť akékoľvek nevyužité výnosy zo systému,</w:t>
      </w:r>
      <w:r w:rsidR="00326E55" w:rsidRPr="00326E55">
        <w:rPr>
          <w:noProof/>
          <w:spacing w:val="-6"/>
          <w:lang w:val="sk-SK"/>
        </w:rPr>
        <w:t xml:space="preserve"> a </w:t>
      </w:r>
      <w:r w:rsidRPr="00326E55">
        <w:rPr>
          <w:noProof/>
          <w:spacing w:val="-6"/>
          <w:lang w:val="sk-SK"/>
        </w:rPr>
        <w:t>to aj po roku 2026, na rovnaké politické účely.</w:t>
      </w:r>
    </w:p>
    <w:p w14:paraId="2C0277DA" w14:textId="731FE9CE" w:rsidR="00BF03AA" w:rsidRPr="00326E55" w:rsidRDefault="00FB452D">
      <w:pPr>
        <w:pStyle w:val="P68B1DB1-ListParagraph39"/>
        <w:numPr>
          <w:ilvl w:val="0"/>
          <w:numId w:val="181"/>
        </w:numPr>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p>
    <w:p w14:paraId="75BCBFA8" w14:textId="6A7464B4" w:rsidR="00BF03AA" w:rsidRPr="00326E55" w:rsidRDefault="00FB452D">
      <w:pPr>
        <w:pStyle w:val="P68B1DB1-Normal38"/>
        <w:numPr>
          <w:ilvl w:val="0"/>
          <w:numId w:val="74"/>
        </w:numPr>
        <w:spacing w:line="240" w:lineRule="auto"/>
        <w:jc w:val="both"/>
        <w:rPr>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 </w:t>
      </w:r>
      <w:r w:rsidRPr="00326E55">
        <w:rPr>
          <w:noProof/>
          <w:spacing w:val="-6"/>
          <w:lang w:val="sk-SK"/>
        </w:rPr>
        <w:t>mobiliz</w:t>
      </w:r>
      <w:r w:rsidRPr="00326E55">
        <w:rPr>
          <w:noProof/>
          <w:spacing w:val="-6"/>
          <w:lang w:val="sk-SK"/>
        </w:rPr>
        <w:t>ovaných grantoch.</w:t>
      </w:r>
    </w:p>
    <w:p w14:paraId="41E78189" w14:textId="6120BBD2" w:rsidR="00326E55" w:rsidRPr="00326E55" w:rsidRDefault="00FB452D">
      <w:pPr>
        <w:pStyle w:val="P68B1DB1-Normal38"/>
        <w:numPr>
          <w:ilvl w:val="0"/>
          <w:numId w:val="74"/>
        </w:numPr>
        <w:jc w:val="both"/>
        <w:rPr>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 </w:t>
      </w:r>
      <w:r w:rsidRPr="00326E55">
        <w:rPr>
          <w:noProof/>
          <w:spacing w:val="-6"/>
          <w:lang w:val="sk-SK"/>
        </w:rPr>
        <w:t>konfliktom záujmov, ich odhaľovanie</w:t>
      </w:r>
      <w:r w:rsidR="00326E55" w:rsidRPr="00326E55">
        <w:rPr>
          <w:noProof/>
          <w:spacing w:val="-6"/>
          <w:lang w:val="sk-SK"/>
        </w:rPr>
        <w:t xml:space="preserve"> a </w:t>
      </w:r>
      <w:r w:rsidRPr="00326E55">
        <w:rPr>
          <w:noProof/>
          <w:spacing w:val="-6"/>
          <w:lang w:val="sk-SK"/>
        </w:rPr>
        <w:t>náprava</w:t>
      </w:r>
      <w:r w:rsidR="00326E55" w:rsidRPr="00326E55">
        <w:rPr>
          <w:noProof/>
          <w:spacing w:val="-6"/>
          <w:lang w:val="sk-SK"/>
        </w:rPr>
        <w:t>.</w:t>
      </w:r>
    </w:p>
    <w:p w14:paraId="6D24E78F" w14:textId="5B083DF5" w:rsidR="00BF03AA" w:rsidRPr="00326E55" w:rsidRDefault="00FB452D">
      <w:pPr>
        <w:pStyle w:val="P68B1DB1-Normal38"/>
        <w:numPr>
          <w:ilvl w:val="0"/>
          <w:numId w:val="74"/>
        </w:numPr>
        <w:jc w:val="both"/>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w:t>
      </w:r>
      <w:r w:rsidRPr="00326E55">
        <w:rPr>
          <w:noProof/>
          <w:spacing w:val="-6"/>
          <w:lang w:val="sk-SK"/>
        </w:rPr>
        <w:t>j dohode pred udelením grantu na operáciu.</w:t>
      </w:r>
    </w:p>
    <w:p w14:paraId="3BD452A2" w14:textId="0A1D5CA9" w:rsidR="00BF03AA" w:rsidRPr="00326E55" w:rsidRDefault="00FB452D">
      <w:pPr>
        <w:numPr>
          <w:ilvl w:val="0"/>
          <w:numId w:val="74"/>
        </w:numPr>
        <w:spacing w:line="240" w:lineRule="auto"/>
        <w:jc w:val="both"/>
        <w:rPr>
          <w:rFonts w:ascii="Times New Roman" w:eastAsia="Calibri" w:hAnsi="Times New Roman" w:cs="Times New Roman"/>
          <w:noProof/>
          <w:spacing w:val="-6"/>
          <w:lang w:val="sk-SK"/>
        </w:rPr>
      </w:pPr>
      <w:r w:rsidRPr="00326E55">
        <w:rPr>
          <w:rFonts w:ascii="Times New Roman" w:eastAsia="Calibri" w:hAnsi="Times New Roman" w:cs="Times New Roman"/>
          <w:noProof/>
          <w:spacing w:val="-6"/>
          <w:lang w:val="sk-SK"/>
        </w:rPr>
        <w:t>Povinnosť vykonávať ex post audity založené na riziku</w:t>
      </w:r>
      <w:r w:rsidR="00326E55" w:rsidRPr="00326E55">
        <w:rPr>
          <w:rFonts w:ascii="Times New Roman" w:eastAsia="Calibri" w:hAnsi="Times New Roman" w:cs="Times New Roman"/>
          <w:noProof/>
          <w:spacing w:val="-6"/>
          <w:lang w:val="sk-SK"/>
        </w:rPr>
        <w:t xml:space="preserve"> v </w:t>
      </w:r>
      <w:r w:rsidRPr="00326E55">
        <w:rPr>
          <w:rFonts w:ascii="Times New Roman" w:eastAsia="Calibri" w:hAnsi="Times New Roman" w:cs="Times New Roman"/>
          <w:noProof/>
          <w:spacing w:val="-6"/>
          <w:lang w:val="sk-SK"/>
        </w:rPr>
        <w:t>súlade</w:t>
      </w:r>
      <w:r w:rsidR="00326E55" w:rsidRPr="00326E55">
        <w:rPr>
          <w:rFonts w:ascii="Times New Roman" w:eastAsia="Calibri" w:hAnsi="Times New Roman" w:cs="Times New Roman"/>
          <w:noProof/>
          <w:spacing w:val="-6"/>
          <w:lang w:val="sk-SK"/>
        </w:rPr>
        <w:t xml:space="preserve"> s </w:t>
      </w:r>
      <w:r w:rsidRPr="00326E55">
        <w:rPr>
          <w:rFonts w:ascii="Times New Roman" w:eastAsia="Calibri" w:hAnsi="Times New Roman" w:cs="Times New Roman"/>
          <w:noProof/>
          <w:spacing w:val="-6"/>
          <w:lang w:val="sk-SK"/>
        </w:rPr>
        <w:t>plánom auditu spoločnosti Invitalia S.p.A. Tieto audity overujú i) účinnosť systémov kontroly vrátane odhaľovania podvodov, korupcie</w:t>
      </w:r>
      <w:r w:rsidR="00326E55" w:rsidRPr="00326E55">
        <w:rPr>
          <w:rFonts w:ascii="Times New Roman" w:eastAsia="Calibri" w:hAnsi="Times New Roman" w:cs="Times New Roman"/>
          <w:noProof/>
          <w:spacing w:val="-6"/>
          <w:lang w:val="sk-SK"/>
        </w:rPr>
        <w:t xml:space="preserve"> a </w:t>
      </w:r>
      <w:r w:rsidRPr="00326E55">
        <w:rPr>
          <w:rFonts w:ascii="Times New Roman" w:eastAsia="Calibri" w:hAnsi="Times New Roman" w:cs="Times New Roman"/>
          <w:noProof/>
          <w:spacing w:val="-6"/>
          <w:lang w:val="sk-SK"/>
        </w:rPr>
        <w:t>konfliktu záu</w:t>
      </w:r>
      <w:r w:rsidRPr="00326E55">
        <w:rPr>
          <w:rFonts w:ascii="Times New Roman" w:eastAsia="Calibri" w:hAnsi="Times New Roman" w:cs="Times New Roman"/>
          <w:noProof/>
          <w:spacing w:val="-6"/>
          <w:lang w:val="sk-SK"/>
        </w:rPr>
        <w:t>jmov; II) súlad so zásadou „výrazne nenarušiť“, pravidlami štátnej pomoci;</w:t>
      </w:r>
      <w:r w:rsidR="00326E55" w:rsidRPr="00326E55">
        <w:rPr>
          <w:rFonts w:ascii="Times New Roman" w:eastAsia="Calibri" w:hAnsi="Times New Roman" w:cs="Times New Roman"/>
          <w:noProof/>
          <w:spacing w:val="-6"/>
          <w:lang w:val="sk-SK"/>
        </w:rPr>
        <w:t xml:space="preserve"> a </w:t>
      </w:r>
      <w:r w:rsidRPr="00326E55">
        <w:rPr>
          <w:rFonts w:ascii="Times New Roman" w:eastAsia="Calibri" w:hAnsi="Times New Roman" w:cs="Times New Roman"/>
          <w:noProof/>
          <w:spacing w:val="-6"/>
          <w:lang w:val="sk-SK"/>
        </w:rPr>
        <w:t>iii) aby sa dodržala požiadavka, aby koneční príjemcovia schémy nedostali podporu</w:t>
      </w:r>
      <w:r w:rsidR="00326E55" w:rsidRPr="00326E55">
        <w:rPr>
          <w:rFonts w:ascii="Times New Roman" w:eastAsia="Calibri" w:hAnsi="Times New Roman" w:cs="Times New Roman"/>
          <w:noProof/>
          <w:spacing w:val="-6"/>
          <w:lang w:val="sk-SK"/>
        </w:rPr>
        <w:t xml:space="preserve"> z </w:t>
      </w:r>
      <w:r w:rsidRPr="00326E55">
        <w:rPr>
          <w:rFonts w:ascii="Times New Roman" w:eastAsia="Calibri" w:hAnsi="Times New Roman" w:cs="Times New Roman"/>
          <w:noProof/>
          <w:spacing w:val="-6"/>
          <w:lang w:val="sk-SK"/>
        </w:rPr>
        <w:t>iných nástrojov Únie na pokrytie rovnakých nákladov. Auditom sa takisto overí zákonnosť transak</w:t>
      </w:r>
      <w:r w:rsidRPr="00326E55">
        <w:rPr>
          <w:rFonts w:ascii="Times New Roman" w:eastAsia="Calibri" w:hAnsi="Times New Roman" w:cs="Times New Roman"/>
          <w:noProof/>
          <w:spacing w:val="-6"/>
          <w:lang w:val="sk-SK"/>
        </w:rPr>
        <w:t>cií</w:t>
      </w:r>
      <w:r w:rsidR="00326E55" w:rsidRPr="00326E55">
        <w:rPr>
          <w:rFonts w:ascii="Times New Roman" w:eastAsia="Calibri" w:hAnsi="Times New Roman" w:cs="Times New Roman"/>
          <w:noProof/>
          <w:spacing w:val="-6"/>
          <w:lang w:val="sk-SK"/>
        </w:rPr>
        <w:t xml:space="preserve"> a </w:t>
      </w:r>
      <w:r w:rsidRPr="00326E55">
        <w:rPr>
          <w:rFonts w:ascii="Times New Roman" w:eastAsia="Calibri" w:hAnsi="Times New Roman" w:cs="Times New Roman"/>
          <w:noProof/>
          <w:spacing w:val="-6"/>
          <w:lang w:val="sk-SK"/>
        </w:rPr>
        <w:t>dodržiavanie podmienok príslušnej vykonávacej dohody</w:t>
      </w:r>
      <w:r w:rsidR="00326E55" w:rsidRPr="00326E55">
        <w:rPr>
          <w:rFonts w:ascii="Times New Roman" w:eastAsia="Calibri" w:hAnsi="Times New Roman" w:cs="Times New Roman"/>
          <w:noProof/>
          <w:spacing w:val="-6"/>
          <w:lang w:val="sk-SK"/>
        </w:rPr>
        <w:t xml:space="preserve"> a </w:t>
      </w:r>
      <w:r w:rsidRPr="00326E55">
        <w:rPr>
          <w:rFonts w:ascii="Times New Roman" w:eastAsia="Calibri" w:hAnsi="Times New Roman" w:cs="Times New Roman"/>
          <w:noProof/>
          <w:spacing w:val="-6"/>
          <w:lang w:val="sk-SK"/>
        </w:rPr>
        <w:t>dohôd</w:t>
      </w:r>
      <w:r w:rsidR="00326E55" w:rsidRPr="00326E55">
        <w:rPr>
          <w:rFonts w:ascii="Times New Roman" w:eastAsia="Calibri" w:hAnsi="Times New Roman" w:cs="Times New Roman"/>
          <w:noProof/>
          <w:spacing w:val="-6"/>
          <w:lang w:val="sk-SK"/>
        </w:rPr>
        <w:t xml:space="preserve"> o </w:t>
      </w:r>
      <w:r w:rsidRPr="00326E55">
        <w:rPr>
          <w:rFonts w:ascii="Times New Roman" w:eastAsia="Calibri" w:hAnsi="Times New Roman" w:cs="Times New Roman"/>
          <w:noProof/>
          <w:spacing w:val="-6"/>
          <w:lang w:val="sk-SK"/>
        </w:rPr>
        <w:t>grante.</w:t>
      </w:r>
    </w:p>
    <w:p w14:paraId="5B72EA17" w14:textId="77777777" w:rsidR="00BF03AA" w:rsidRPr="00326E55" w:rsidRDefault="00BF03AA">
      <w:pPr>
        <w:spacing w:line="240" w:lineRule="auto"/>
        <w:ind w:left="1080"/>
        <w:jc w:val="both"/>
        <w:rPr>
          <w:rFonts w:ascii="Times New Roman" w:eastAsia="Calibri" w:hAnsi="Times New Roman" w:cs="Times New Roman"/>
          <w:noProof/>
          <w:spacing w:val="-6"/>
          <w:lang w:val="sk-SK"/>
        </w:rPr>
      </w:pPr>
    </w:p>
    <w:p w14:paraId="18598E38" w14:textId="77777777" w:rsidR="00BF03AA" w:rsidRPr="00326E55" w:rsidRDefault="00FB452D">
      <w:pPr>
        <w:pStyle w:val="P68B1DB1-Normal7"/>
        <w:rPr>
          <w:b/>
          <w:noProof/>
          <w:spacing w:val="-6"/>
          <w:lang w:val="sk-SK"/>
        </w:rPr>
      </w:pPr>
      <w:r w:rsidRPr="00326E55">
        <w:rPr>
          <w:noProof/>
          <w:spacing w:val="-6"/>
          <w:lang w:val="sk-SK"/>
        </w:rPr>
        <w:br w:type="page"/>
      </w:r>
    </w:p>
    <w:p w14:paraId="628B5B01" w14:textId="26F822BE" w:rsidR="00BF03AA" w:rsidRPr="00326E55" w:rsidRDefault="00FB452D">
      <w:pPr>
        <w:pStyle w:val="P68B1DB1-Normal5"/>
        <w:spacing w:before="120" w:after="120"/>
        <w:jc w:val="both"/>
        <w:rPr>
          <w:noProof/>
          <w:spacing w:val="-6"/>
          <w:lang w:val="sk-SK"/>
        </w:rPr>
      </w:pPr>
      <w:r w:rsidRPr="00326E55">
        <w:rPr>
          <w:noProof/>
          <w:spacing w:val="-6"/>
          <w:lang w:val="sk-SK"/>
        </w:rPr>
        <w:t>Investícia 8: Zložka členského štátu InvestEU</w:t>
      </w:r>
    </w:p>
    <w:p w14:paraId="172F2FB9" w14:textId="5D79F603" w:rsidR="00BF03AA" w:rsidRPr="00326E55" w:rsidRDefault="00FB452D">
      <w:pPr>
        <w:pStyle w:val="P68B1DB1-Normal7"/>
        <w:spacing w:after="120" w:line="276" w:lineRule="auto"/>
        <w:jc w:val="both"/>
        <w:rPr>
          <w:noProof/>
          <w:spacing w:val="-6"/>
          <w:lang w:val="sk-SK"/>
        </w:rPr>
      </w:pPr>
      <w:bookmarkStart w:id="10" w:name="_Hlk212036381"/>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verejných investícií</w:t>
      </w:r>
      <w:r w:rsidR="00326E55" w:rsidRPr="00326E55">
        <w:rPr>
          <w:noProof/>
          <w:spacing w:val="-6"/>
          <w:lang w:val="sk-SK"/>
        </w:rPr>
        <w:t xml:space="preserve"> v </w:t>
      </w:r>
      <w:r w:rsidRPr="00326E55">
        <w:rPr>
          <w:noProof/>
          <w:spacing w:val="-6"/>
          <w:lang w:val="sk-SK"/>
        </w:rPr>
        <w:t>zodpovednosti členských štátov Programu InvestEU</w:t>
      </w:r>
      <w:r w:rsidR="00326E55" w:rsidRPr="00326E55">
        <w:rPr>
          <w:noProof/>
          <w:spacing w:val="-6"/>
          <w:lang w:val="sk-SK"/>
        </w:rPr>
        <w:t xml:space="preserve"> s </w:t>
      </w:r>
      <w:r w:rsidRPr="00326E55">
        <w:rPr>
          <w:noProof/>
          <w:spacing w:val="-6"/>
          <w:lang w:val="sk-SK"/>
        </w:rPr>
        <w:t xml:space="preserve">cieľom stimulovať súkromné </w:t>
      </w:r>
      <w:r w:rsidRPr="00326E55">
        <w:rPr>
          <w:noProof/>
          <w:spacing w:val="-6"/>
          <w:lang w:val="sk-SK"/>
        </w:rPr>
        <w:t>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odvetviach, ktoré môžu okrem iného zahŕňať výrobu</w:t>
      </w:r>
      <w:r w:rsidR="00326E55" w:rsidRPr="00326E55">
        <w:rPr>
          <w:noProof/>
          <w:spacing w:val="-6"/>
          <w:lang w:val="sk-SK"/>
        </w:rPr>
        <w:t xml:space="preserve"> a </w:t>
      </w:r>
      <w:r w:rsidRPr="00326E55">
        <w:rPr>
          <w:noProof/>
          <w:spacing w:val="-6"/>
          <w:lang w:val="sk-SK"/>
        </w:rPr>
        <w:t>stavebníctvo. Príspevok do zložky členského štátu InvestEU sa použije na zvýšenie konkurencieschopnosti MSP, iných spoločností</w:t>
      </w:r>
      <w:r w:rsidR="00326E55" w:rsidRPr="00326E55">
        <w:rPr>
          <w:noProof/>
          <w:spacing w:val="-6"/>
          <w:lang w:val="sk-SK"/>
        </w:rPr>
        <w:t xml:space="preserve"> a </w:t>
      </w:r>
      <w:r w:rsidRPr="00326E55">
        <w:rPr>
          <w:noProof/>
          <w:spacing w:val="-6"/>
          <w:lang w:val="sk-SK"/>
        </w:rPr>
        <w:t xml:space="preserve">talianskeho hospodárstva ako </w:t>
      </w:r>
      <w:r w:rsidRPr="00326E55">
        <w:rPr>
          <w:noProof/>
          <w:spacing w:val="-6"/>
          <w:lang w:val="sk-SK"/>
        </w:rPr>
        <w:t>celku, pričom sa podporia napríklad projekty</w:t>
      </w:r>
      <w:r w:rsidR="00326E55" w:rsidRPr="00326E55">
        <w:rPr>
          <w:noProof/>
          <w:spacing w:val="-6"/>
          <w:lang w:val="sk-SK"/>
        </w:rPr>
        <w:t xml:space="preserve"> v </w:t>
      </w:r>
      <w:r w:rsidRPr="00326E55">
        <w:rPr>
          <w:noProof/>
          <w:spacing w:val="-6"/>
          <w:lang w:val="sk-SK"/>
        </w:rPr>
        <w:t>oblasti sociálnej</w:t>
      </w:r>
      <w:r w:rsidR="00326E55" w:rsidRPr="00326E55">
        <w:rPr>
          <w:noProof/>
          <w:spacing w:val="-6"/>
          <w:lang w:val="sk-SK"/>
        </w:rPr>
        <w:t xml:space="preserve"> a </w:t>
      </w:r>
      <w:r w:rsidRPr="00326E55">
        <w:rPr>
          <w:noProof/>
          <w:spacing w:val="-6"/>
          <w:lang w:val="sk-SK"/>
        </w:rPr>
        <w:t>udržateľnej infraštruktúry, ako aj iniciatívy</w:t>
      </w:r>
      <w:r w:rsidR="00326E55" w:rsidRPr="00326E55">
        <w:rPr>
          <w:noProof/>
          <w:spacing w:val="-6"/>
          <w:lang w:val="sk-SK"/>
        </w:rPr>
        <w:t xml:space="preserve"> v </w:t>
      </w:r>
      <w:r w:rsidRPr="00326E55">
        <w:rPr>
          <w:noProof/>
          <w:spacing w:val="-6"/>
          <w:lang w:val="sk-SK"/>
        </w:rPr>
        <w:t>oblasti výskumu, inovácií</w:t>
      </w:r>
      <w:r w:rsidR="00326E55" w:rsidRPr="00326E55">
        <w:rPr>
          <w:noProof/>
          <w:spacing w:val="-6"/>
          <w:lang w:val="sk-SK"/>
        </w:rPr>
        <w:t xml:space="preserve"> a </w:t>
      </w:r>
      <w:r w:rsidRPr="00326E55">
        <w:rPr>
          <w:noProof/>
          <w:spacing w:val="-6"/>
          <w:lang w:val="sk-SK"/>
        </w:rPr>
        <w:t>digitalizácie. Tento finančný produkt funguje napríklad tak, že súkromnému sektoru, ako aj subjektom verejného se</w:t>
      </w:r>
      <w:r w:rsidRPr="00326E55">
        <w:rPr>
          <w:noProof/>
          <w:spacing w:val="-6"/>
          <w:lang w:val="sk-SK"/>
        </w:rPr>
        <w:t>ktora zapojeným do podobných činností poskytuje záruky, úvery</w:t>
      </w:r>
      <w:r w:rsidR="00326E55" w:rsidRPr="00326E55">
        <w:rPr>
          <w:noProof/>
          <w:spacing w:val="-6"/>
          <w:lang w:val="sk-SK"/>
        </w:rPr>
        <w:t xml:space="preserve"> a </w:t>
      </w:r>
      <w:r w:rsidRPr="00326E55">
        <w:rPr>
          <w:noProof/>
          <w:spacing w:val="-6"/>
          <w:lang w:val="sk-SK"/>
        </w:rPr>
        <w:t>vlastný kapitál priamo alebo prostredníctvom sprostredkovateľov.</w:t>
      </w:r>
    </w:p>
    <w:p w14:paraId="528939E5" w14:textId="37BDCF31" w:rsidR="00326E55" w:rsidRPr="00326E55" w:rsidRDefault="00FB452D">
      <w:pPr>
        <w:pStyle w:val="P68B1DB1-Normal7"/>
        <w:spacing w:after="120" w:line="276" w:lineRule="auto"/>
        <w:jc w:val="both"/>
        <w:rPr>
          <w:noProof/>
          <w:spacing w:val="-6"/>
          <w:lang w:val="sk-SK"/>
        </w:rPr>
      </w:pPr>
      <w:r w:rsidRPr="00326E55">
        <w:rPr>
          <w:noProof/>
          <w:spacing w:val="-6"/>
          <w:lang w:val="sk-SK"/>
        </w:rPr>
        <w:t>Dohoda</w:t>
      </w:r>
      <w:r w:rsidR="00326E55" w:rsidRPr="00326E55">
        <w:rPr>
          <w:noProof/>
          <w:spacing w:val="-6"/>
          <w:lang w:val="sk-SK"/>
        </w:rPr>
        <w:t xml:space="preserve"> o </w:t>
      </w:r>
      <w:r w:rsidRPr="00326E55">
        <w:rPr>
          <w:noProof/>
          <w:spacing w:val="-6"/>
          <w:lang w:val="sk-SK"/>
        </w:rPr>
        <w:t>záruke medzi Komisiou</w:t>
      </w:r>
      <w:r w:rsidR="00326E55" w:rsidRPr="00326E55">
        <w:rPr>
          <w:noProof/>
          <w:spacing w:val="-6"/>
          <w:lang w:val="sk-SK"/>
        </w:rPr>
        <w:t xml:space="preserve"> a </w:t>
      </w:r>
      <w:r w:rsidRPr="00326E55">
        <w:rPr>
          <w:noProof/>
          <w:spacing w:val="-6"/>
          <w:lang w:val="sk-SK"/>
        </w:rPr>
        <w:t>jedným (alebo viacerými) implementujúcimi partnermi vybranými</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príslušnými ustanoven</w:t>
      </w:r>
      <w:r w:rsidRPr="00326E55">
        <w:rPr>
          <w:noProof/>
          <w:spacing w:val="-6"/>
          <w:lang w:val="sk-SK"/>
        </w:rPr>
        <w:t>iami nariadenia Európskeho parlamentu</w:t>
      </w:r>
      <w:r w:rsidR="00326E55" w:rsidRPr="00326E55">
        <w:rPr>
          <w:noProof/>
          <w:spacing w:val="-6"/>
          <w:lang w:val="sk-SK"/>
        </w:rPr>
        <w:t xml:space="preserve"> a </w:t>
      </w:r>
      <w:r w:rsidRPr="00326E55">
        <w:rPr>
          <w:noProof/>
          <w:spacing w:val="-6"/>
          <w:lang w:val="sk-SK"/>
        </w:rPr>
        <w:t>Rady (EÚ) 2021/523</w:t>
      </w:r>
      <w:r w:rsidR="00326E55" w:rsidRPr="00326E55">
        <w:rPr>
          <w:noProof/>
          <w:spacing w:val="-6"/>
          <w:lang w:val="sk-SK"/>
        </w:rPr>
        <w:t xml:space="preserve"> z </w:t>
      </w:r>
      <w:r w:rsidRPr="00326E55">
        <w:rPr>
          <w:noProof/>
          <w:spacing w:val="-6"/>
          <w:lang w:val="sk-SK"/>
        </w:rPr>
        <w:t>24</w:t>
      </w:r>
      <w:r w:rsidR="00326E55" w:rsidRPr="00326E55">
        <w:rPr>
          <w:noProof/>
          <w:spacing w:val="-6"/>
          <w:lang w:val="sk-SK"/>
        </w:rPr>
        <w:t>. marca</w:t>
      </w:r>
      <w:r w:rsidRPr="00326E55">
        <w:rPr>
          <w:noProof/>
          <w:spacing w:val="-6"/>
          <w:lang w:val="sk-SK"/>
        </w:rPr>
        <w:t xml:space="preserve"> 2021, ktorým sa zriaďuje Program InvestEU</w:t>
      </w:r>
      <w:r w:rsidR="00326E55" w:rsidRPr="00326E55">
        <w:rPr>
          <w:noProof/>
          <w:spacing w:val="-6"/>
          <w:lang w:val="sk-SK"/>
        </w:rPr>
        <w:t xml:space="preserve"> a </w:t>
      </w:r>
      <w:r w:rsidRPr="00326E55">
        <w:rPr>
          <w:noProof/>
          <w:spacing w:val="-6"/>
          <w:lang w:val="sk-SK"/>
        </w:rPr>
        <w:t>ktorým sa mení nariadenie (EÚ) 2015/1017, nadobúda účinnosť</w:t>
      </w:r>
      <w:r w:rsidR="00326E55" w:rsidRPr="00326E55">
        <w:rPr>
          <w:noProof/>
          <w:spacing w:val="-6"/>
          <w:lang w:val="sk-SK"/>
        </w:rPr>
        <w:t>.</w:t>
      </w:r>
    </w:p>
    <w:p w14:paraId="172C6541" w14:textId="27057DA1" w:rsidR="00BF03AA" w:rsidRPr="00326E55" w:rsidRDefault="00FB452D">
      <w:pPr>
        <w:pStyle w:val="P68B1DB1-Normal7"/>
        <w:spacing w:after="120" w:line="276" w:lineRule="auto"/>
        <w:jc w:val="both"/>
        <w:rPr>
          <w:noProof/>
          <w:spacing w:val="-6"/>
          <w:lang w:val="sk-SK"/>
        </w:rPr>
      </w:pPr>
      <w:r w:rsidRPr="00326E55">
        <w:rPr>
          <w:noProof/>
          <w:spacing w:val="-6"/>
          <w:lang w:val="sk-SK"/>
        </w:rPr>
        <w:t>Taliansko podpíše</w:t>
      </w:r>
      <w:r w:rsidR="00326E55" w:rsidRPr="00326E55">
        <w:rPr>
          <w:noProof/>
          <w:spacing w:val="-6"/>
          <w:lang w:val="sk-SK"/>
        </w:rPr>
        <w:t xml:space="preserve"> s </w:t>
      </w:r>
      <w:r w:rsidRPr="00326E55">
        <w:rPr>
          <w:noProof/>
          <w:spacing w:val="-6"/>
          <w:lang w:val="sk-SK"/>
        </w:rPr>
        <w:t>Európskou komisiou dohodu</w:t>
      </w:r>
      <w:r w:rsidR="00326E55" w:rsidRPr="00326E55">
        <w:rPr>
          <w:noProof/>
          <w:spacing w:val="-6"/>
          <w:lang w:val="sk-SK"/>
        </w:rPr>
        <w:t xml:space="preserve"> o </w:t>
      </w:r>
      <w:r w:rsidRPr="00326E55">
        <w:rPr>
          <w:noProof/>
          <w:spacing w:val="-6"/>
          <w:lang w:val="sk-SK"/>
        </w:rPr>
        <w:t>príspevku, ktorá bude obsahovať:</w:t>
      </w:r>
    </w:p>
    <w:p w14:paraId="20FD9237" w14:textId="77777777" w:rsidR="00326E55" w:rsidRPr="00326E55" w:rsidRDefault="00FB452D">
      <w:pPr>
        <w:pStyle w:val="P68B1DB1-ListParagraph37"/>
        <w:numPr>
          <w:ilvl w:val="0"/>
          <w:numId w:val="75"/>
        </w:numPr>
        <w:rPr>
          <w:noProof/>
          <w:spacing w:val="-6"/>
          <w:lang w:val="sk-SK"/>
        </w:rPr>
      </w:pPr>
      <w:r w:rsidRPr="00326E55">
        <w:rPr>
          <w:noProof/>
          <w:spacing w:val="-6"/>
          <w:lang w:val="sk-SK"/>
        </w:rPr>
        <w:t>Navrhovaných implementujúcich partnerov</w:t>
      </w:r>
      <w:r w:rsidR="00326E55" w:rsidRPr="00326E55">
        <w:rPr>
          <w:noProof/>
          <w:spacing w:val="-6"/>
          <w:lang w:val="sk-SK"/>
        </w:rPr>
        <w:t>.</w:t>
      </w:r>
    </w:p>
    <w:p w14:paraId="1A0AC24C" w14:textId="1AE9F8B1" w:rsidR="00BF03AA" w:rsidRPr="00326E55" w:rsidRDefault="00FB452D">
      <w:pPr>
        <w:pStyle w:val="ListParagraph"/>
        <w:numPr>
          <w:ilvl w:val="0"/>
          <w:numId w:val="75"/>
        </w:numPr>
        <w:rPr>
          <w:rFonts w:ascii="Times New Roman" w:hAnsi="Times New Roman" w:cs="Times New Roman"/>
          <w:noProof/>
          <w:spacing w:val="-6"/>
          <w:lang w:val="sk-SK"/>
        </w:rPr>
      </w:pPr>
      <w:r w:rsidRPr="00326E55">
        <w:rPr>
          <w:rFonts w:ascii="Times New Roman" w:hAnsi="Times New Roman" w:cs="Times New Roman"/>
          <w:noProof/>
          <w:spacing w:val="-6"/>
          <w:lang w:val="sk-SK"/>
        </w:rPr>
        <w:t>Požiadavka súladu</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technickými usmerneniami týkajúcimi sa zásady „výrazne nenarušiť“ (2023/C111).</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prípade potreby sa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zmenených dohodách</w:t>
      </w:r>
      <w:r w:rsidR="00326E55" w:rsidRPr="00326E55">
        <w:rPr>
          <w:rFonts w:ascii="Times New Roman" w:hAnsi="Times New Roman" w:cs="Times New Roman"/>
          <w:noProof/>
          <w:spacing w:val="-6"/>
          <w:lang w:val="sk-SK"/>
        </w:rPr>
        <w:t xml:space="preserve"> o </w:t>
      </w:r>
      <w:r w:rsidRPr="00326E55">
        <w:rPr>
          <w:rFonts w:ascii="Times New Roman" w:hAnsi="Times New Roman" w:cs="Times New Roman"/>
          <w:noProof/>
          <w:spacing w:val="-6"/>
          <w:lang w:val="sk-SK"/>
        </w:rPr>
        <w:t>zárukách vylúči</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oprávnenosti tento zoznam činností</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 I) činnos</w:t>
      </w:r>
      <w:r w:rsidRPr="00326E55">
        <w:rPr>
          <w:rFonts w:ascii="Times New Roman" w:hAnsi="Times New Roman" w:cs="Times New Roman"/>
          <w:noProof/>
          <w:spacing w:val="-6"/>
          <w:lang w:val="sk-SK"/>
        </w:rPr>
        <w:t>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fosílnymi palivami vrátane následného použitia</w:t>
      </w:r>
      <w:r w:rsidRPr="00326E55">
        <w:rPr>
          <w:rStyle w:val="FootnoteReference"/>
          <w:rFonts w:ascii="Times New Roman" w:hAnsi="Times New Roman" w:cs="Times New Roman"/>
          <w:noProof/>
          <w:spacing w:val="-6"/>
          <w:lang w:val="sk-SK"/>
        </w:rPr>
        <w:footnoteReference w:id="10"/>
      </w:r>
      <w:r w:rsidRPr="00326E55">
        <w:rPr>
          <w:rFonts w:ascii="Times New Roman" w:hAnsi="Times New Roman" w:cs="Times New Roman"/>
          <w:noProof/>
          <w:spacing w:val="-6"/>
          <w:lang w:val="sk-SK"/>
        </w:rPr>
        <w:t>; II) činností</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systému EÚ na obchodovanie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emisiami (ETS), ktorými sa dosahujú predpokladané emisie skleníkových plynov, ktoré nie sú nižšie ako príslušné referenčné ho</w:t>
      </w:r>
      <w:r w:rsidRPr="00326E55">
        <w:rPr>
          <w:rFonts w:ascii="Times New Roman" w:hAnsi="Times New Roman" w:cs="Times New Roman"/>
          <w:noProof/>
          <w:spacing w:val="-6"/>
          <w:lang w:val="sk-SK"/>
        </w:rPr>
        <w:t>dnoty</w:t>
      </w:r>
      <w:r w:rsidRPr="00326E55">
        <w:rPr>
          <w:rStyle w:val="FootnoteReference"/>
          <w:rFonts w:ascii="Times New Roman" w:hAnsi="Times New Roman" w:cs="Times New Roman"/>
          <w:noProof/>
          <w:spacing w:val="-6"/>
          <w:lang w:val="sk-SK"/>
        </w:rPr>
        <w:footnoteReference w:id="11"/>
      </w:r>
      <w:r w:rsidRPr="00326E55">
        <w:rPr>
          <w:rFonts w:ascii="Times New Roman" w:hAnsi="Times New Roman" w:cs="Times New Roman"/>
          <w:noProof/>
          <w:spacing w:val="-6"/>
          <w:lang w:val="sk-SK"/>
        </w:rPr>
        <w:t>; III)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 so skládkami odpadov, spaľovňami</w:t>
      </w:r>
      <w:r w:rsidRPr="00326E55">
        <w:rPr>
          <w:rStyle w:val="FootnoteReference"/>
          <w:rFonts w:ascii="Times New Roman" w:hAnsi="Times New Roman" w:cs="Times New Roman"/>
          <w:noProof/>
          <w:spacing w:val="-6"/>
          <w:lang w:val="sk-SK"/>
        </w:rPr>
        <w:footnoteReference w:id="12"/>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mechanickými biologickými čistiarňami</w:t>
      </w:r>
      <w:r w:rsidRPr="00326E55">
        <w:rPr>
          <w:rStyle w:val="FootnoteReference"/>
          <w:rFonts w:ascii="Times New Roman" w:hAnsi="Times New Roman" w:cs="Times New Roman"/>
          <w:noProof/>
          <w:spacing w:val="-6"/>
          <w:lang w:val="sk-SK"/>
        </w:rPr>
        <w:footnoteReference w:id="13"/>
      </w:r>
      <w:r w:rsidRPr="00326E55">
        <w:rPr>
          <w:rFonts w:ascii="Times New Roman" w:hAnsi="Times New Roman" w:cs="Times New Roman"/>
          <w:noProof/>
          <w:spacing w:val="-6"/>
          <w:lang w:val="sk-SK"/>
        </w:rPr>
        <w:t>.</w:t>
      </w:r>
    </w:p>
    <w:p w14:paraId="29CCA58B" w14:textId="30243743" w:rsidR="00BF03AA" w:rsidRPr="00326E55" w:rsidRDefault="00FB452D">
      <w:pPr>
        <w:pStyle w:val="P68B1DB1-ListParagraph37"/>
        <w:numPr>
          <w:ilvl w:val="0"/>
          <w:numId w:val="75"/>
        </w:numPr>
        <w:spacing w:after="120" w:line="276" w:lineRule="auto"/>
        <w:jc w:val="both"/>
        <w:rPr>
          <w:noProof/>
          <w:spacing w:val="-6"/>
          <w:lang w:val="sk-SK"/>
        </w:rPr>
      </w:pPr>
      <w:r w:rsidRPr="00326E55">
        <w:rPr>
          <w:noProof/>
          <w:spacing w:val="-6"/>
          <w:lang w:val="sk-SK"/>
        </w:rPr>
        <w:t>Opis monitorovacieho systému, ktorý sa má použiť na podávanie správ</w:t>
      </w:r>
      <w:r w:rsidR="00326E55" w:rsidRPr="00326E55">
        <w:rPr>
          <w:noProof/>
          <w:spacing w:val="-6"/>
          <w:lang w:val="sk-SK"/>
        </w:rPr>
        <w:t xml:space="preserve"> o </w:t>
      </w:r>
      <w:r w:rsidRPr="00326E55">
        <w:rPr>
          <w:noProof/>
          <w:spacing w:val="-6"/>
          <w:lang w:val="sk-SK"/>
        </w:rPr>
        <w:t>mobilizovaných finančných prostriedkoch.</w:t>
      </w:r>
    </w:p>
    <w:bookmarkEnd w:id="10"/>
    <w:p w14:paraId="2AF7875C" w14:textId="77777777" w:rsidR="00BF03AA" w:rsidRPr="00326E55" w:rsidRDefault="00BF03AA">
      <w:pPr>
        <w:spacing w:line="240" w:lineRule="auto"/>
        <w:jc w:val="both"/>
        <w:rPr>
          <w:rFonts w:ascii="Times New Roman" w:eastAsia="Calibri" w:hAnsi="Times New Roman" w:cs="Times New Roman"/>
          <w:noProof/>
          <w:spacing w:val="-6"/>
          <w:lang w:val="sk-SK"/>
        </w:rPr>
      </w:pPr>
    </w:p>
    <w:p w14:paraId="79541E0C" w14:textId="77777777" w:rsidR="00326E55" w:rsidRPr="00326E55" w:rsidRDefault="00FB452D">
      <w:pPr>
        <w:pStyle w:val="P68B1DB1-Normal5"/>
        <w:spacing w:before="120" w:after="120"/>
        <w:jc w:val="both"/>
        <w:rPr>
          <w:noProof/>
          <w:spacing w:val="-6"/>
          <w:lang w:val="sk-SK"/>
        </w:rPr>
      </w:pPr>
      <w:r w:rsidRPr="00326E55">
        <w:rPr>
          <w:noProof/>
          <w:spacing w:val="-6"/>
          <w:lang w:val="sk-SK"/>
        </w:rPr>
        <w:t xml:space="preserve">Investícia 9: Rozšírenie </w:t>
      </w:r>
      <w:r w:rsidRPr="00326E55">
        <w:rPr>
          <w:noProof/>
          <w:spacing w:val="-6"/>
          <w:lang w:val="sk-SK"/>
        </w:rPr>
        <w:t>opatrenia: Transformácia 4.0</w:t>
      </w:r>
    </w:p>
    <w:p w14:paraId="1A08C863" w14:textId="1C3D5E37" w:rsidR="00BF03AA" w:rsidRPr="00326E55" w:rsidRDefault="00FB452D">
      <w:pPr>
        <w:pStyle w:val="P68B1DB1-Normal7"/>
        <w:spacing w:before="120" w:after="120"/>
        <w:jc w:val="both"/>
        <w:rPr>
          <w:noProof/>
          <w:spacing w:val="-6"/>
          <w:lang w:val="sk-SK"/>
        </w:rPr>
        <w:sectPr w:rsidR="00BF03AA" w:rsidRPr="00326E55" w:rsidSect="005F11B9">
          <w:headerReference w:type="even" r:id="rId48"/>
          <w:headerReference w:type="default" r:id="rId49"/>
          <w:footerReference w:type="even" r:id="rId50"/>
          <w:footerReference w:type="default" r:id="rId51"/>
          <w:headerReference w:type="first" r:id="rId52"/>
          <w:footerReference w:type="first" r:id="rId53"/>
          <w:pgSz w:w="11907" w:h="16838" w:code="12"/>
          <w:pgMar w:top="1134" w:right="1134" w:bottom="1134" w:left="1134" w:header="567" w:footer="567" w:gutter="0"/>
          <w:cols w:space="720"/>
          <w:docGrid w:linePitch="360"/>
        </w:sectPr>
      </w:pPr>
      <w:r w:rsidRPr="00326E55">
        <w:rPr>
          <w:noProof/>
          <w:spacing w:val="-6"/>
          <w:lang w:val="sk-SK"/>
        </w:rPr>
        <w:t>Cieľom opatrenia je podporiť digitálnu transformáciu podnikov stimulovaním súkromných investícií do aktív</w:t>
      </w:r>
      <w:r w:rsidR="00326E55" w:rsidRPr="00326E55">
        <w:rPr>
          <w:noProof/>
          <w:spacing w:val="-6"/>
          <w:lang w:val="sk-SK"/>
        </w:rPr>
        <w:t xml:space="preserve"> a </w:t>
      </w:r>
      <w:r w:rsidRPr="00326E55">
        <w:rPr>
          <w:noProof/>
          <w:spacing w:val="-6"/>
          <w:lang w:val="sk-SK"/>
        </w:rPr>
        <w:t>činností podporujúcich digitalizáciu. Opatrenie pozostáva</w:t>
      </w:r>
      <w:r w:rsidRPr="00326E55">
        <w:rPr>
          <w:noProof/>
          <w:spacing w:val="-6"/>
          <w:lang w:val="sk-SK"/>
        </w:rPr>
        <w:t xml:space="preserve"> zo schémy daňového úveru.</w:t>
      </w:r>
    </w:p>
    <w:p w14:paraId="5DFC4778" w14:textId="09B8FA60" w:rsidR="00BF03AA" w:rsidRPr="00326E55" w:rsidRDefault="00FB452D">
      <w:pPr>
        <w:pStyle w:val="P68B1DB1-Heading39"/>
        <w:numPr>
          <w:ilvl w:val="2"/>
          <w:numId w:val="0"/>
        </w:numPr>
        <w:ind w:left="850" w:hanging="850"/>
        <w:rPr>
          <w:b/>
          <w:bCs/>
          <w:i/>
          <w:iCs/>
          <w:noProof/>
          <w:spacing w:val="-6"/>
          <w:u w:val="single"/>
          <w:lang w:val="sk-SK"/>
        </w:rPr>
      </w:pPr>
      <w:r w:rsidRPr="00326E55">
        <w:rPr>
          <w:b/>
          <w:noProof/>
          <w:spacing w:val="-6"/>
          <w:u w:val="single"/>
          <w:lang w:val="sk-SK"/>
        </w:rPr>
        <w:t xml:space="preserve">B.4.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 xml:space="preserve">úverom </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985"/>
        <w:gridCol w:w="1275"/>
        <w:gridCol w:w="1276"/>
        <w:gridCol w:w="1276"/>
        <w:gridCol w:w="1134"/>
        <w:gridCol w:w="1163"/>
        <w:gridCol w:w="992"/>
        <w:gridCol w:w="850"/>
        <w:gridCol w:w="709"/>
        <w:gridCol w:w="3232"/>
      </w:tblGrid>
      <w:tr w:rsidR="00BF03AA" w:rsidRPr="00326E55" w14:paraId="5BA5649F" w14:textId="77777777">
        <w:trPr>
          <w:trHeight w:val="315"/>
          <w:tblHeader/>
        </w:trPr>
        <w:tc>
          <w:tcPr>
            <w:tcW w:w="1418" w:type="dxa"/>
            <w:vMerge w:val="restart"/>
            <w:shd w:val="clear" w:color="auto" w:fill="BDD7EE"/>
            <w:vAlign w:val="center"/>
          </w:tcPr>
          <w:p w14:paraId="324EA7B4"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Poradové číslo</w:t>
            </w:r>
          </w:p>
        </w:tc>
        <w:tc>
          <w:tcPr>
            <w:tcW w:w="1985" w:type="dxa"/>
            <w:vMerge w:val="restart"/>
            <w:shd w:val="clear" w:color="auto" w:fill="BDD7EE"/>
            <w:vAlign w:val="center"/>
          </w:tcPr>
          <w:p w14:paraId="0E846774"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Opatrenie</w:t>
            </w:r>
          </w:p>
        </w:tc>
        <w:tc>
          <w:tcPr>
            <w:tcW w:w="1275" w:type="dxa"/>
            <w:vMerge w:val="restart"/>
            <w:shd w:val="clear" w:color="auto" w:fill="BDD7EE"/>
            <w:vAlign w:val="center"/>
          </w:tcPr>
          <w:p w14:paraId="0881966D"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Míľnik/cieľ</w:t>
            </w:r>
          </w:p>
        </w:tc>
        <w:tc>
          <w:tcPr>
            <w:tcW w:w="1276" w:type="dxa"/>
            <w:vMerge w:val="restart"/>
            <w:shd w:val="clear" w:color="auto" w:fill="BDD7EE"/>
            <w:vAlign w:val="center"/>
          </w:tcPr>
          <w:p w14:paraId="6E74796F"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Názov</w:t>
            </w:r>
          </w:p>
        </w:tc>
        <w:tc>
          <w:tcPr>
            <w:tcW w:w="1276" w:type="dxa"/>
            <w:vMerge w:val="restart"/>
            <w:shd w:val="clear" w:color="auto" w:fill="BDD7EE"/>
            <w:vAlign w:val="center"/>
          </w:tcPr>
          <w:p w14:paraId="05638D1E" w14:textId="0C930BA3" w:rsidR="00BF03AA" w:rsidRPr="00326E55" w:rsidRDefault="00FB452D">
            <w:pPr>
              <w:spacing w:before="120" w:after="120"/>
              <w:jc w:val="center"/>
              <w:rPr>
                <w:rFonts w:ascii="Times New Roman" w:hAnsi="Times New Roman"/>
                <w:noProof/>
                <w:color w:val="006100"/>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289" w:type="dxa"/>
            <w:gridSpan w:val="3"/>
            <w:shd w:val="clear" w:color="auto" w:fill="BDD7EE"/>
            <w:vAlign w:val="center"/>
          </w:tcPr>
          <w:p w14:paraId="572959B1" w14:textId="1DF0DB3C" w:rsidR="00BF03AA" w:rsidRPr="00326E55" w:rsidRDefault="00FB452D">
            <w:pPr>
              <w:spacing w:before="120" w:after="120"/>
              <w:jc w:val="center"/>
              <w:rPr>
                <w:rFonts w:ascii="Times New Roman" w:hAnsi="Times New Roman"/>
                <w:noProof/>
                <w:color w:val="006100"/>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 xml:space="preserve">(pre cieľové </w:t>
            </w:r>
            <w:r w:rsidRPr="00326E55">
              <w:rPr>
                <w:rFonts w:ascii="Times New Roman" w:hAnsi="Times New Roman"/>
                <w:b/>
                <w:noProof/>
                <w:spacing w:val="-6"/>
                <w:sz w:val="20"/>
                <w:lang w:val="sk-SK"/>
              </w:rPr>
              <w:t>hodnoty)</w:t>
            </w:r>
          </w:p>
        </w:tc>
        <w:tc>
          <w:tcPr>
            <w:tcW w:w="1559" w:type="dxa"/>
            <w:gridSpan w:val="2"/>
            <w:shd w:val="clear" w:color="auto" w:fill="BDD7EE"/>
            <w:vAlign w:val="center"/>
          </w:tcPr>
          <w:p w14:paraId="6862B211"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Orientačný harmonogram dokončenia</w:t>
            </w:r>
          </w:p>
        </w:tc>
        <w:tc>
          <w:tcPr>
            <w:tcW w:w="3232" w:type="dxa"/>
            <w:vMerge w:val="restart"/>
            <w:shd w:val="clear" w:color="auto" w:fill="BDD7EE"/>
            <w:vAlign w:val="center"/>
          </w:tcPr>
          <w:p w14:paraId="2D561D0E" w14:textId="345C5B57" w:rsidR="00BF03AA" w:rsidRPr="00326E55" w:rsidRDefault="00FB452D">
            <w:pPr>
              <w:pStyle w:val="P68B1DB1-Normal10"/>
              <w:spacing w:before="120" w:after="120"/>
              <w:jc w:val="center"/>
              <w:rPr>
                <w:rFonts w:ascii="Times New Roman" w:hAnsi="Times New Roman"/>
                <w:bCs/>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29BA27AD" w14:textId="77777777">
        <w:trPr>
          <w:trHeight w:val="315"/>
          <w:tblHeader/>
        </w:trPr>
        <w:tc>
          <w:tcPr>
            <w:tcW w:w="1418" w:type="dxa"/>
            <w:vMerge/>
            <w:vAlign w:val="center"/>
          </w:tcPr>
          <w:p w14:paraId="73120CFD" w14:textId="77777777" w:rsidR="00BF03AA" w:rsidRPr="00326E55" w:rsidRDefault="00BF03AA">
            <w:pPr>
              <w:spacing w:before="120" w:after="120"/>
              <w:jc w:val="center"/>
              <w:rPr>
                <w:rFonts w:ascii="Times New Roman" w:hAnsi="Times New Roman"/>
                <w:noProof/>
                <w:color w:val="006100"/>
                <w:spacing w:val="-6"/>
                <w:sz w:val="20"/>
                <w:szCs w:val="20"/>
                <w:lang w:val="sk-SK"/>
              </w:rPr>
            </w:pPr>
          </w:p>
        </w:tc>
        <w:tc>
          <w:tcPr>
            <w:tcW w:w="1985" w:type="dxa"/>
            <w:vMerge/>
            <w:vAlign w:val="center"/>
          </w:tcPr>
          <w:p w14:paraId="16892EF6" w14:textId="77777777" w:rsidR="00BF03AA" w:rsidRPr="00326E55" w:rsidRDefault="00BF03AA">
            <w:pPr>
              <w:spacing w:before="120" w:after="120"/>
              <w:jc w:val="center"/>
              <w:rPr>
                <w:rFonts w:ascii="Times New Roman" w:hAnsi="Times New Roman"/>
                <w:noProof/>
                <w:color w:val="006100"/>
                <w:spacing w:val="-6"/>
                <w:sz w:val="20"/>
                <w:szCs w:val="20"/>
                <w:lang w:val="sk-SK"/>
              </w:rPr>
            </w:pPr>
          </w:p>
        </w:tc>
        <w:tc>
          <w:tcPr>
            <w:tcW w:w="1275" w:type="dxa"/>
            <w:vMerge/>
            <w:vAlign w:val="center"/>
          </w:tcPr>
          <w:p w14:paraId="27DB6052" w14:textId="77777777" w:rsidR="00BF03AA" w:rsidRPr="00326E55" w:rsidRDefault="00BF03AA">
            <w:pPr>
              <w:spacing w:before="120" w:after="120"/>
              <w:jc w:val="center"/>
              <w:rPr>
                <w:rFonts w:ascii="Times New Roman" w:hAnsi="Times New Roman"/>
                <w:noProof/>
                <w:color w:val="006100"/>
                <w:spacing w:val="-6"/>
                <w:sz w:val="20"/>
                <w:szCs w:val="20"/>
                <w:lang w:val="sk-SK"/>
              </w:rPr>
            </w:pPr>
          </w:p>
        </w:tc>
        <w:tc>
          <w:tcPr>
            <w:tcW w:w="1276" w:type="dxa"/>
            <w:vMerge/>
            <w:vAlign w:val="center"/>
          </w:tcPr>
          <w:p w14:paraId="260AF22C" w14:textId="77777777" w:rsidR="00BF03AA" w:rsidRPr="00326E55" w:rsidRDefault="00BF03AA">
            <w:pPr>
              <w:spacing w:before="120" w:after="120"/>
              <w:jc w:val="center"/>
              <w:rPr>
                <w:rFonts w:ascii="Times New Roman" w:hAnsi="Times New Roman"/>
                <w:noProof/>
                <w:color w:val="006100"/>
                <w:spacing w:val="-6"/>
                <w:sz w:val="20"/>
                <w:szCs w:val="20"/>
                <w:lang w:val="sk-SK"/>
              </w:rPr>
            </w:pPr>
          </w:p>
        </w:tc>
        <w:tc>
          <w:tcPr>
            <w:tcW w:w="1276" w:type="dxa"/>
            <w:vMerge/>
            <w:vAlign w:val="center"/>
          </w:tcPr>
          <w:p w14:paraId="0CF9474C" w14:textId="77777777" w:rsidR="00BF03AA" w:rsidRPr="00326E55" w:rsidRDefault="00BF03AA">
            <w:pPr>
              <w:spacing w:before="120" w:after="120"/>
              <w:jc w:val="center"/>
              <w:rPr>
                <w:rFonts w:ascii="Times New Roman" w:hAnsi="Times New Roman"/>
                <w:noProof/>
                <w:color w:val="006100"/>
                <w:spacing w:val="-6"/>
                <w:sz w:val="20"/>
                <w:szCs w:val="20"/>
                <w:lang w:val="sk-SK"/>
              </w:rPr>
            </w:pPr>
          </w:p>
        </w:tc>
        <w:tc>
          <w:tcPr>
            <w:tcW w:w="1134" w:type="dxa"/>
            <w:shd w:val="clear" w:color="auto" w:fill="BDD7EE"/>
            <w:vAlign w:val="center"/>
          </w:tcPr>
          <w:p w14:paraId="5230E2C2"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Merná jednotka</w:t>
            </w:r>
          </w:p>
        </w:tc>
        <w:tc>
          <w:tcPr>
            <w:tcW w:w="1163" w:type="dxa"/>
            <w:shd w:val="clear" w:color="auto" w:fill="BDD7EE"/>
            <w:vAlign w:val="center"/>
          </w:tcPr>
          <w:p w14:paraId="38781680"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Základná</w:t>
            </w:r>
          </w:p>
        </w:tc>
        <w:tc>
          <w:tcPr>
            <w:tcW w:w="992" w:type="dxa"/>
            <w:shd w:val="clear" w:color="auto" w:fill="BDD7EE"/>
            <w:vAlign w:val="center"/>
          </w:tcPr>
          <w:p w14:paraId="72040729"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Cieľ</w:t>
            </w:r>
          </w:p>
        </w:tc>
        <w:tc>
          <w:tcPr>
            <w:tcW w:w="850" w:type="dxa"/>
            <w:shd w:val="clear" w:color="auto" w:fill="BDD7EE"/>
            <w:vAlign w:val="center"/>
          </w:tcPr>
          <w:p w14:paraId="1F93A7DB"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Štvrtina</w:t>
            </w:r>
          </w:p>
        </w:tc>
        <w:tc>
          <w:tcPr>
            <w:tcW w:w="709" w:type="dxa"/>
            <w:shd w:val="clear" w:color="auto" w:fill="BDD7EE"/>
            <w:vAlign w:val="center"/>
          </w:tcPr>
          <w:p w14:paraId="7E9B4F0D" w14:textId="77777777" w:rsidR="00BF03AA" w:rsidRPr="00326E55" w:rsidRDefault="00FB452D">
            <w:pPr>
              <w:pStyle w:val="P68B1DB1-Normal10"/>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Rok</w:t>
            </w:r>
          </w:p>
        </w:tc>
        <w:tc>
          <w:tcPr>
            <w:tcW w:w="3232" w:type="dxa"/>
            <w:vMerge/>
            <w:vAlign w:val="center"/>
          </w:tcPr>
          <w:p w14:paraId="2734A567" w14:textId="77777777" w:rsidR="00BF03AA" w:rsidRPr="00326E55" w:rsidRDefault="00BF03AA">
            <w:pPr>
              <w:spacing w:before="120" w:after="120"/>
              <w:rPr>
                <w:rFonts w:ascii="Times New Roman" w:hAnsi="Times New Roman"/>
                <w:noProof/>
                <w:color w:val="006100"/>
                <w:spacing w:val="-6"/>
                <w:sz w:val="20"/>
                <w:szCs w:val="20"/>
                <w:lang w:val="sk-SK"/>
              </w:rPr>
            </w:pPr>
          </w:p>
        </w:tc>
      </w:tr>
      <w:tr w:rsidR="00BF03AA" w:rsidRPr="00326E55" w14:paraId="57EB5263" w14:textId="77777777">
        <w:trPr>
          <w:trHeight w:val="315"/>
        </w:trPr>
        <w:tc>
          <w:tcPr>
            <w:tcW w:w="1418" w:type="dxa"/>
            <w:shd w:val="clear" w:color="auto" w:fill="C6EFCE"/>
            <w:vAlign w:val="center"/>
          </w:tcPr>
          <w:p w14:paraId="6590E7B8"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15</w:t>
            </w:r>
          </w:p>
        </w:tc>
        <w:tc>
          <w:tcPr>
            <w:tcW w:w="1985" w:type="dxa"/>
            <w:shd w:val="clear" w:color="auto" w:fill="C6EFCE"/>
            <w:vAlign w:val="center"/>
          </w:tcPr>
          <w:p w14:paraId="03166FD0" w14:textId="79408FBC"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2: Inovácia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technológia mikroelektroniky</w:t>
            </w:r>
          </w:p>
        </w:tc>
        <w:tc>
          <w:tcPr>
            <w:tcW w:w="1275" w:type="dxa"/>
            <w:shd w:val="clear" w:color="auto" w:fill="C6EFCE"/>
            <w:vAlign w:val="center"/>
          </w:tcPr>
          <w:p w14:paraId="0ECC3C9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4C3DC912" w14:textId="6DC98238"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Výrobná kapacita substrátov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karbidu kremíka</w:t>
            </w:r>
          </w:p>
        </w:tc>
        <w:tc>
          <w:tcPr>
            <w:tcW w:w="1276" w:type="dxa"/>
            <w:shd w:val="clear" w:color="auto" w:fill="C6EFCE"/>
            <w:vAlign w:val="center"/>
          </w:tcPr>
          <w:p w14:paraId="7957A24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31FAAAA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7872CA5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66C8A851"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 xml:space="preserve">197 028 </w:t>
            </w:r>
          </w:p>
        </w:tc>
        <w:tc>
          <w:tcPr>
            <w:tcW w:w="850" w:type="dxa"/>
            <w:shd w:val="clear" w:color="auto" w:fill="C6EFCE"/>
            <w:vAlign w:val="center"/>
          </w:tcPr>
          <w:p w14:paraId="3AEE276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5D6B986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32" w:type="dxa"/>
            <w:shd w:val="clear" w:color="auto" w:fill="C6EFCE"/>
            <w:vAlign w:val="center"/>
          </w:tcPr>
          <w:p w14:paraId="03C28169" w14:textId="4F88E30B"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Realizácia dodatočnej výrobnej kapacity najmenej 197 028 8-palcových substrátov karbidu kremíka ročne.</w:t>
            </w:r>
          </w:p>
        </w:tc>
      </w:tr>
      <w:tr w:rsidR="00BF03AA" w:rsidRPr="00326E55" w14:paraId="3A0ABC22" w14:textId="77777777">
        <w:trPr>
          <w:trHeight w:val="315"/>
        </w:trPr>
        <w:tc>
          <w:tcPr>
            <w:tcW w:w="1418" w:type="dxa"/>
            <w:shd w:val="clear" w:color="auto" w:fill="C6EFCE"/>
            <w:vAlign w:val="center"/>
          </w:tcPr>
          <w:p w14:paraId="79C4977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16</w:t>
            </w:r>
          </w:p>
        </w:tc>
        <w:tc>
          <w:tcPr>
            <w:tcW w:w="1985" w:type="dxa"/>
            <w:shd w:val="clear" w:color="auto" w:fill="C6EFCE"/>
            <w:vAlign w:val="center"/>
          </w:tcPr>
          <w:p w14:paraId="05F3F24C" w14:textId="20B2C7C6"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3: Rýchle internetové pripojenie (širokopásmové pripojenie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5G)</w:t>
            </w:r>
          </w:p>
        </w:tc>
        <w:tc>
          <w:tcPr>
            <w:tcW w:w="1275" w:type="dxa"/>
            <w:shd w:val="clear" w:color="auto" w:fill="C6EFCE"/>
            <w:vAlign w:val="center"/>
          </w:tcPr>
          <w:p w14:paraId="7AA3127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276" w:type="dxa"/>
            <w:shd w:val="clear" w:color="auto" w:fill="C6EFCE"/>
            <w:vAlign w:val="center"/>
          </w:tcPr>
          <w:p w14:paraId="5D085CA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Zadávanie všetkých verejných </w:t>
            </w:r>
            <w:r w:rsidRPr="00326E55">
              <w:rPr>
                <w:rFonts w:ascii="Times New Roman" w:hAnsi="Times New Roman"/>
                <w:noProof/>
                <w:spacing w:val="-6"/>
                <w:lang w:val="sk-SK"/>
              </w:rPr>
              <w:t>zákaziek na projekty rýchlejšieho pripojenia</w:t>
            </w:r>
          </w:p>
        </w:tc>
        <w:tc>
          <w:tcPr>
            <w:tcW w:w="1276" w:type="dxa"/>
            <w:shd w:val="clear" w:color="auto" w:fill="C6EFCE"/>
            <w:vAlign w:val="center"/>
          </w:tcPr>
          <w:p w14:paraId="24D79BEF" w14:textId="1E264ED3"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projekty rýchlejšieho pripojenia</w:t>
            </w:r>
          </w:p>
        </w:tc>
        <w:tc>
          <w:tcPr>
            <w:tcW w:w="1134" w:type="dxa"/>
            <w:shd w:val="clear" w:color="auto" w:fill="C6EFCE"/>
            <w:vAlign w:val="center"/>
          </w:tcPr>
          <w:p w14:paraId="7E85DFC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63" w:type="dxa"/>
            <w:shd w:val="clear" w:color="auto" w:fill="C6EFCE"/>
            <w:vAlign w:val="center"/>
          </w:tcPr>
          <w:p w14:paraId="70E80D0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1149612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0" w:type="dxa"/>
            <w:shd w:val="clear" w:color="auto" w:fill="C6EFCE"/>
            <w:vAlign w:val="center"/>
          </w:tcPr>
          <w:p w14:paraId="4720B5E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4CEF93F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232" w:type="dxa"/>
            <w:shd w:val="clear" w:color="auto" w:fill="C6EFCE"/>
            <w:vAlign w:val="center"/>
          </w:tcPr>
          <w:p w14:paraId="1E0B7EC3" w14:textId="0B9A27FC"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w:t>
            </w:r>
            <w:r w:rsidRPr="00326E55">
              <w:rPr>
                <w:rFonts w:ascii="Times New Roman" w:hAnsi="Times New Roman"/>
                <w:noProof/>
                <w:spacing w:val="-6"/>
                <w:lang w:val="sk-SK"/>
              </w:rPr>
              <w:t xml:space="preserve"> projekty rýchlejšieho pripojenia, ktoré pozostávajú</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i) „Italia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1 giga“, (ii) „Italia 5G“, (iii) „prepojené školy“, (iv) „prepojené zdravotnícke zariadenia“;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 „prepojené menšie ostrovy“.</w:t>
            </w:r>
          </w:p>
        </w:tc>
      </w:tr>
      <w:tr w:rsidR="00BF03AA" w:rsidRPr="00326E55" w14:paraId="521189F1" w14:textId="77777777">
        <w:trPr>
          <w:trHeight w:val="315"/>
        </w:trPr>
        <w:tc>
          <w:tcPr>
            <w:tcW w:w="1418" w:type="dxa"/>
            <w:shd w:val="clear" w:color="auto" w:fill="C6EFCE"/>
            <w:vAlign w:val="center"/>
          </w:tcPr>
          <w:p w14:paraId="48E02E28"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17</w:t>
            </w:r>
          </w:p>
        </w:tc>
        <w:tc>
          <w:tcPr>
            <w:tcW w:w="1985" w:type="dxa"/>
            <w:shd w:val="clear" w:color="auto" w:fill="C6EFCE"/>
            <w:vAlign w:val="center"/>
          </w:tcPr>
          <w:p w14:paraId="5B578B26" w14:textId="7FFA19AA"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3: Rýchle internetové pripojenie </w:t>
            </w:r>
            <w:r w:rsidRPr="00326E55">
              <w:rPr>
                <w:rFonts w:ascii="Times New Roman" w:hAnsi="Times New Roman"/>
                <w:noProof/>
                <w:spacing w:val="-6"/>
                <w:lang w:val="sk-SK"/>
              </w:rPr>
              <w:t>(širokopásmové pripojenie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5G)</w:t>
            </w:r>
          </w:p>
        </w:tc>
        <w:tc>
          <w:tcPr>
            <w:tcW w:w="1275" w:type="dxa"/>
            <w:shd w:val="clear" w:color="auto" w:fill="C6EFCE"/>
            <w:vAlign w:val="center"/>
          </w:tcPr>
          <w:p w14:paraId="488209B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3FBCAF2A" w14:textId="482F0820"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Čísla domov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pripojením 1 Gb/s</w:t>
            </w:r>
          </w:p>
        </w:tc>
        <w:tc>
          <w:tcPr>
            <w:tcW w:w="1276" w:type="dxa"/>
            <w:shd w:val="clear" w:color="auto" w:fill="C6EFCE"/>
            <w:vAlign w:val="center"/>
          </w:tcPr>
          <w:p w14:paraId="4498C2B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3373966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745D49F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39EBD8E2" w14:textId="5804872E"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2 692 905</w:t>
            </w:r>
          </w:p>
        </w:tc>
        <w:tc>
          <w:tcPr>
            <w:tcW w:w="850" w:type="dxa"/>
            <w:shd w:val="clear" w:color="auto" w:fill="C6EFCE"/>
            <w:vAlign w:val="center"/>
          </w:tcPr>
          <w:p w14:paraId="27EC20A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28AD9C9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32" w:type="dxa"/>
            <w:shd w:val="clear" w:color="auto" w:fill="C6EFCE"/>
            <w:vAlign w:val="center"/>
          </w:tcPr>
          <w:p w14:paraId="275DBC67" w14:textId="6BA669F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szCs w:val="20"/>
                <w:lang w:val="sk-SK"/>
              </w:rPr>
              <w:t>Aspoň 2692905 počtov</w:t>
            </w:r>
            <w:r w:rsidRPr="00326E55">
              <w:rPr>
                <w:rFonts w:ascii="Times New Roman" w:hAnsi="Times New Roman"/>
                <w:noProof/>
                <w:spacing w:val="-6"/>
                <w:lang w:val="sk-SK"/>
              </w:rPr>
              <w:t xml:space="preserve">  domov (z toho najmenej 266782 roztrúsených domácností, t. 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odľahlých oblastiach)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pripojením aspoň 1 Gb/s prostredníctvom Fiber-to-the-dom/budova (FTTH/B), pevného bezdrôtového prístupu (FWA) </w:t>
            </w:r>
          </w:p>
        </w:tc>
      </w:tr>
      <w:tr w:rsidR="00BF03AA" w:rsidRPr="00326E55" w14:paraId="177D2AA3" w14:textId="77777777">
        <w:trPr>
          <w:trHeight w:val="315"/>
        </w:trPr>
        <w:tc>
          <w:tcPr>
            <w:tcW w:w="1418" w:type="dxa"/>
            <w:shd w:val="clear" w:color="auto" w:fill="C6EFCE"/>
            <w:vAlign w:val="center"/>
          </w:tcPr>
          <w:p w14:paraId="05E5CA2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18</w:t>
            </w:r>
          </w:p>
        </w:tc>
        <w:tc>
          <w:tcPr>
            <w:tcW w:w="1985" w:type="dxa"/>
            <w:shd w:val="clear" w:color="auto" w:fill="C6EFCE"/>
            <w:vAlign w:val="center"/>
          </w:tcPr>
          <w:p w14:paraId="5B8A0234" w14:textId="7461ABA2"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3: Rýchle internetové pripojenie (širokopásmové pripojenie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5G)</w:t>
            </w:r>
          </w:p>
        </w:tc>
        <w:tc>
          <w:tcPr>
            <w:tcW w:w="1275" w:type="dxa"/>
            <w:shd w:val="clear" w:color="auto" w:fill="C6EFCE"/>
            <w:vAlign w:val="center"/>
          </w:tcPr>
          <w:p w14:paraId="58836745"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441DAEDD" w14:textId="0E013C38"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Školské budovy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zdravotnícke zariadenia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pripojením</w:t>
            </w:r>
            <w:r w:rsidRPr="00326E55">
              <w:rPr>
                <w:rFonts w:ascii="Times New Roman" w:hAnsi="Times New Roman"/>
                <w:noProof/>
                <w:spacing w:val="-6"/>
                <w:lang w:val="sk-SK"/>
              </w:rPr>
              <w:t xml:space="preserve"> 1 Gb/s</w:t>
            </w:r>
          </w:p>
        </w:tc>
        <w:tc>
          <w:tcPr>
            <w:tcW w:w="1276" w:type="dxa"/>
            <w:shd w:val="clear" w:color="auto" w:fill="C6EFCE"/>
            <w:vAlign w:val="center"/>
          </w:tcPr>
          <w:p w14:paraId="41CA243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02DCE45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6F31CA6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642FC77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17 700</w:t>
            </w:r>
          </w:p>
        </w:tc>
        <w:tc>
          <w:tcPr>
            <w:tcW w:w="850" w:type="dxa"/>
            <w:shd w:val="clear" w:color="auto" w:fill="C6EFCE"/>
            <w:vAlign w:val="center"/>
          </w:tcPr>
          <w:p w14:paraId="1803E13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67E30125"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32" w:type="dxa"/>
            <w:shd w:val="clear" w:color="auto" w:fill="C6EFCE"/>
            <w:vAlign w:val="center"/>
          </w:tcPr>
          <w:p w14:paraId="0AAFDB4F" w14:textId="3DA9764D"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Aspoň ďalších 9000 škôl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8700 verejných zariadení zdravotnej starostlivosti malo pripojenie aspoň 1 Gb/s.</w:t>
            </w:r>
          </w:p>
        </w:tc>
      </w:tr>
      <w:tr w:rsidR="00BF03AA" w:rsidRPr="00326E55" w14:paraId="1397F3B4" w14:textId="77777777">
        <w:trPr>
          <w:trHeight w:val="315"/>
        </w:trPr>
        <w:tc>
          <w:tcPr>
            <w:tcW w:w="1418" w:type="dxa"/>
            <w:shd w:val="clear" w:color="auto" w:fill="C6EFCE"/>
            <w:vAlign w:val="center"/>
          </w:tcPr>
          <w:p w14:paraId="37D966E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19</w:t>
            </w:r>
          </w:p>
        </w:tc>
        <w:tc>
          <w:tcPr>
            <w:tcW w:w="1985" w:type="dxa"/>
            <w:shd w:val="clear" w:color="auto" w:fill="C6EFCE"/>
            <w:vAlign w:val="center"/>
          </w:tcPr>
          <w:p w14:paraId="2A4CEABB" w14:textId="203F0D3F"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3: Rýchle internetové pripojenie (širokopásmové pripojenie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5G)</w:t>
            </w:r>
          </w:p>
        </w:tc>
        <w:tc>
          <w:tcPr>
            <w:tcW w:w="1275" w:type="dxa"/>
            <w:shd w:val="clear" w:color="auto" w:fill="C6EFCE"/>
            <w:vAlign w:val="center"/>
          </w:tcPr>
          <w:p w14:paraId="63D5E0B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1F1AFC6A" w14:textId="5BF17A9F"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Ostrovy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ultraširokopásmovým pripojením</w:t>
            </w:r>
          </w:p>
        </w:tc>
        <w:tc>
          <w:tcPr>
            <w:tcW w:w="1276" w:type="dxa"/>
            <w:shd w:val="clear" w:color="auto" w:fill="C6EFCE"/>
            <w:vAlign w:val="center"/>
          </w:tcPr>
          <w:p w14:paraId="695234D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11C2F1A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7EBC842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2127B89F"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18</w:t>
            </w:r>
          </w:p>
        </w:tc>
        <w:tc>
          <w:tcPr>
            <w:tcW w:w="850" w:type="dxa"/>
            <w:shd w:val="clear" w:color="auto" w:fill="C6EFCE"/>
            <w:vAlign w:val="center"/>
          </w:tcPr>
          <w:p w14:paraId="0BE2726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vAlign w:val="center"/>
          </w:tcPr>
          <w:p w14:paraId="094C57B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232" w:type="dxa"/>
            <w:shd w:val="clear" w:color="auto" w:fill="C6EFCE"/>
            <w:vAlign w:val="center"/>
          </w:tcPr>
          <w:p w14:paraId="50CE40C7" w14:textId="1BC7AA3E"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Najmenej ďalších 18 ostrovov bez optických prepojení na kontinent má</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dispozícii ultraširokopásmové pripojenie prostredníctvom nového optického medziuzlového spoja.</w:t>
            </w:r>
          </w:p>
        </w:tc>
      </w:tr>
      <w:tr w:rsidR="00BF03AA" w:rsidRPr="00326E55" w14:paraId="484C4603" w14:textId="77777777">
        <w:trPr>
          <w:trHeight w:val="315"/>
        </w:trPr>
        <w:tc>
          <w:tcPr>
            <w:tcW w:w="1418" w:type="dxa"/>
            <w:shd w:val="clear" w:color="auto" w:fill="C6EFCE"/>
            <w:vAlign w:val="center"/>
          </w:tcPr>
          <w:p w14:paraId="476CF8F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w:t>
            </w:r>
            <w:r w:rsidRPr="00326E55">
              <w:rPr>
                <w:rFonts w:ascii="Times New Roman" w:hAnsi="Times New Roman"/>
                <w:noProof/>
                <w:spacing w:val="-6"/>
                <w:lang w:val="sk-SK"/>
              </w:rPr>
              <w:t xml:space="preserve"> 20</w:t>
            </w:r>
          </w:p>
        </w:tc>
        <w:tc>
          <w:tcPr>
            <w:tcW w:w="1985" w:type="dxa"/>
            <w:shd w:val="clear" w:color="auto" w:fill="C6EFCE"/>
            <w:vAlign w:val="center"/>
          </w:tcPr>
          <w:p w14:paraId="3A97D487" w14:textId="5112F6DB"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3: Rýchle internetové pripojenie (širokopásmové pripojenie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5G)</w:t>
            </w:r>
          </w:p>
        </w:tc>
        <w:tc>
          <w:tcPr>
            <w:tcW w:w="1275" w:type="dxa"/>
            <w:shd w:val="clear" w:color="auto" w:fill="C6EFCE"/>
            <w:vAlign w:val="center"/>
          </w:tcPr>
          <w:p w14:paraId="6DC10CB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2212BCBA" w14:textId="74513751"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Mimomestské cesty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koridory aktivované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pokrytím 5G</w:t>
            </w:r>
          </w:p>
        </w:tc>
        <w:tc>
          <w:tcPr>
            <w:tcW w:w="1276" w:type="dxa"/>
            <w:shd w:val="clear" w:color="auto" w:fill="C6EFCE"/>
            <w:vAlign w:val="center"/>
          </w:tcPr>
          <w:p w14:paraId="43DEEE0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5A5E872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7774436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424B9F63" w14:textId="77777777" w:rsidR="00BF03AA" w:rsidRPr="00326E55" w:rsidRDefault="00FB452D">
            <w:pPr>
              <w:pStyle w:val="P68B1DB1-Normal11"/>
              <w:spacing w:before="120" w:line="257" w:lineRule="auto"/>
              <w:jc w:val="center"/>
              <w:rPr>
                <w:rFonts w:ascii="Times New Roman" w:hAnsi="Times New Roman"/>
                <w:noProof/>
                <w:spacing w:val="-6"/>
                <w:szCs w:val="20"/>
                <w:lang w:val="sk-SK"/>
              </w:rPr>
            </w:pPr>
            <w:r w:rsidRPr="00326E55">
              <w:rPr>
                <w:rFonts w:ascii="Times New Roman" w:hAnsi="Times New Roman"/>
                <w:noProof/>
                <w:spacing w:val="-6"/>
                <w:lang w:val="sk-SK"/>
              </w:rPr>
              <w:t>12 600</w:t>
            </w:r>
          </w:p>
        </w:tc>
        <w:tc>
          <w:tcPr>
            <w:tcW w:w="850" w:type="dxa"/>
            <w:shd w:val="clear" w:color="auto" w:fill="C6EFCE"/>
            <w:vAlign w:val="center"/>
          </w:tcPr>
          <w:p w14:paraId="6A2E7D4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1489886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32" w:type="dxa"/>
            <w:shd w:val="clear" w:color="auto" w:fill="C6EFCE"/>
            <w:vAlign w:val="center"/>
          </w:tcPr>
          <w:p w14:paraId="7B42AF4E" w14:textId="00E077ED"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Aspoň ďalších 12 600 km mimomestských ciest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koridorov umožnených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pokrytím 5G.</w:t>
            </w:r>
          </w:p>
        </w:tc>
      </w:tr>
      <w:tr w:rsidR="00BF03AA" w:rsidRPr="00326E55" w14:paraId="3AD10E37" w14:textId="77777777">
        <w:trPr>
          <w:trHeight w:val="315"/>
        </w:trPr>
        <w:tc>
          <w:tcPr>
            <w:tcW w:w="1418" w:type="dxa"/>
            <w:shd w:val="clear" w:color="auto" w:fill="C6EFCE"/>
            <w:vAlign w:val="center"/>
          </w:tcPr>
          <w:p w14:paraId="3126B28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21</w:t>
            </w:r>
          </w:p>
        </w:tc>
        <w:tc>
          <w:tcPr>
            <w:tcW w:w="1985" w:type="dxa"/>
            <w:shd w:val="clear" w:color="auto" w:fill="C6EFCE"/>
            <w:vAlign w:val="center"/>
          </w:tcPr>
          <w:p w14:paraId="349C1C9E" w14:textId="55174101"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3: Rýchle internetové pripojenie (širokopásmové pripojenie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5G)</w:t>
            </w:r>
          </w:p>
        </w:tc>
        <w:tc>
          <w:tcPr>
            <w:tcW w:w="1275" w:type="dxa"/>
            <w:shd w:val="clear" w:color="auto" w:fill="C6EFCE"/>
            <w:vAlign w:val="center"/>
          </w:tcPr>
          <w:p w14:paraId="6402B3F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56BFBB8A" w14:textId="75C885AA"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Možné oblasti zlyhania trhu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pokrytím 5G</w:t>
            </w:r>
          </w:p>
        </w:tc>
        <w:tc>
          <w:tcPr>
            <w:tcW w:w="1276" w:type="dxa"/>
            <w:shd w:val="clear" w:color="auto" w:fill="C6EFCE"/>
            <w:vAlign w:val="center"/>
          </w:tcPr>
          <w:p w14:paraId="148A73A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1E8485D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5D0E9830"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13F14D8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1 400</w:t>
            </w:r>
          </w:p>
        </w:tc>
        <w:tc>
          <w:tcPr>
            <w:tcW w:w="850" w:type="dxa"/>
            <w:shd w:val="clear" w:color="auto" w:fill="C6EFCE"/>
            <w:vAlign w:val="center"/>
          </w:tcPr>
          <w:p w14:paraId="2B389AC0"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359575A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32" w:type="dxa"/>
            <w:shd w:val="clear" w:color="auto" w:fill="C6EFCE"/>
            <w:vAlign w:val="center"/>
          </w:tcPr>
          <w:p w14:paraId="41CEEFC4" w14:textId="703C4840"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xml:space="preserve">Aspoň ďalších 1 400 m² obývaných oblastí so zlyhaním trhu </w:t>
            </w:r>
            <w:r w:rsidRPr="00326E55">
              <w:rPr>
                <w:rFonts w:ascii="Times New Roman" w:hAnsi="Times New Roman"/>
                <w:noProof/>
                <w:spacing w:val="-6"/>
                <w:lang w:val="sk-SK"/>
              </w:rPr>
              <w:t>umožnených pokrytím 5G,</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 aspoň 500 km² vybavených pokrytím 5G.</w:t>
            </w:r>
          </w:p>
        </w:tc>
      </w:tr>
      <w:tr w:rsidR="00BF03AA" w:rsidRPr="00326E55" w14:paraId="4936033D" w14:textId="77777777">
        <w:trPr>
          <w:trHeight w:val="315"/>
        </w:trPr>
        <w:tc>
          <w:tcPr>
            <w:tcW w:w="1418" w:type="dxa"/>
            <w:shd w:val="clear" w:color="auto" w:fill="C6EFCE"/>
            <w:vAlign w:val="center"/>
          </w:tcPr>
          <w:p w14:paraId="011B2FE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22</w:t>
            </w:r>
          </w:p>
        </w:tc>
        <w:tc>
          <w:tcPr>
            <w:tcW w:w="1985" w:type="dxa"/>
            <w:shd w:val="clear" w:color="auto" w:fill="C6EFCE"/>
            <w:vAlign w:val="center"/>
          </w:tcPr>
          <w:p w14:paraId="0B0A1F58" w14:textId="59511FED"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4: Satelitné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vesmírne hospodárstvo</w:t>
            </w:r>
          </w:p>
        </w:tc>
        <w:tc>
          <w:tcPr>
            <w:tcW w:w="1275" w:type="dxa"/>
            <w:shd w:val="clear" w:color="auto" w:fill="C6EFCE"/>
            <w:vAlign w:val="center"/>
          </w:tcPr>
          <w:p w14:paraId="1E6125B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276" w:type="dxa"/>
            <w:shd w:val="clear" w:color="auto" w:fill="C6EFCE"/>
            <w:vAlign w:val="center"/>
          </w:tcPr>
          <w:p w14:paraId="0FF001E2" w14:textId="5357F87E"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Zadávanie všetkých verejných zákaziek na projekty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satelitnej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vesmíru</w:t>
            </w:r>
          </w:p>
        </w:tc>
        <w:tc>
          <w:tcPr>
            <w:tcW w:w="1276" w:type="dxa"/>
            <w:shd w:val="clear" w:color="auto" w:fill="C6EFCE"/>
            <w:vAlign w:val="center"/>
          </w:tcPr>
          <w:p w14:paraId="0584FFA1" w14:textId="14830C20"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projekty satelitnej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vesmírne projekty</w:t>
            </w:r>
          </w:p>
        </w:tc>
        <w:tc>
          <w:tcPr>
            <w:tcW w:w="1134" w:type="dxa"/>
            <w:shd w:val="clear" w:color="auto" w:fill="C6EFCE"/>
            <w:vAlign w:val="center"/>
          </w:tcPr>
          <w:p w14:paraId="5A4F680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63" w:type="dxa"/>
            <w:shd w:val="clear" w:color="auto" w:fill="C6EFCE"/>
            <w:vAlign w:val="center"/>
          </w:tcPr>
          <w:p w14:paraId="33563D3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0E76CAA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0" w:type="dxa"/>
            <w:shd w:val="clear" w:color="auto" w:fill="C6EFCE"/>
            <w:vAlign w:val="center"/>
          </w:tcPr>
          <w:p w14:paraId="7E4975E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09" w:type="dxa"/>
            <w:shd w:val="clear" w:color="auto" w:fill="C6EFCE"/>
            <w:vAlign w:val="center"/>
          </w:tcPr>
          <w:p w14:paraId="633D2E2E"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232" w:type="dxa"/>
            <w:shd w:val="clear" w:color="auto" w:fill="C6EFCE"/>
            <w:vAlign w:val="center"/>
          </w:tcPr>
          <w:p w14:paraId="3D217FF1" w14:textId="7E90C9BD"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projekty satelitnej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vesmírne projekty, ktoré </w:t>
            </w:r>
            <w:r w:rsidRPr="00326E55">
              <w:rPr>
                <w:rFonts w:ascii="Times New Roman" w:hAnsi="Times New Roman"/>
                <w:noProof/>
                <w:spacing w:val="-6"/>
                <w:lang w:val="sk-SK"/>
              </w:rPr>
              <w:t>pozostávajú</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i) Satcom, ii) pozorovania Zeme, iii) vesmírnej továrne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iv) hospodárstva in-Orbit.</w:t>
            </w:r>
          </w:p>
        </w:tc>
      </w:tr>
      <w:tr w:rsidR="00BF03AA" w:rsidRPr="00326E55" w14:paraId="7D2AE63D" w14:textId="77777777">
        <w:trPr>
          <w:trHeight w:val="315"/>
        </w:trPr>
        <w:tc>
          <w:tcPr>
            <w:tcW w:w="1418" w:type="dxa"/>
            <w:shd w:val="clear" w:color="auto" w:fill="C6EFCE"/>
            <w:vAlign w:val="center"/>
          </w:tcPr>
          <w:p w14:paraId="382707F6"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23 bis</w:t>
            </w:r>
          </w:p>
        </w:tc>
        <w:tc>
          <w:tcPr>
            <w:tcW w:w="1985" w:type="dxa"/>
            <w:shd w:val="clear" w:color="auto" w:fill="C6EFCE"/>
            <w:vAlign w:val="center"/>
          </w:tcPr>
          <w:p w14:paraId="4C69492D" w14:textId="56DFA610"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Investícia 4: Satelitné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vesmírne hospodárstvo</w:t>
            </w:r>
          </w:p>
        </w:tc>
        <w:tc>
          <w:tcPr>
            <w:tcW w:w="1275" w:type="dxa"/>
            <w:shd w:val="clear" w:color="auto" w:fill="C6EFCE"/>
            <w:vAlign w:val="center"/>
          </w:tcPr>
          <w:p w14:paraId="7E2910E5"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276" w:type="dxa"/>
            <w:shd w:val="clear" w:color="auto" w:fill="C6EFCE"/>
            <w:vAlign w:val="center"/>
          </w:tcPr>
          <w:p w14:paraId="087A2153" w14:textId="611FA69B"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Satelitné technologické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vesmírne projekty</w:t>
            </w:r>
          </w:p>
        </w:tc>
        <w:tc>
          <w:tcPr>
            <w:tcW w:w="1276" w:type="dxa"/>
            <w:shd w:val="clear" w:color="auto" w:fill="C6EFCE"/>
            <w:vAlign w:val="center"/>
          </w:tcPr>
          <w:p w14:paraId="505D11A4" w14:textId="31996DD9"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Záverečné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projektoch </w:t>
            </w:r>
            <w:r w:rsidRPr="00326E55">
              <w:rPr>
                <w:rFonts w:ascii="Times New Roman" w:hAnsi="Times New Roman"/>
                <w:noProof/>
                <w:spacing w:val="-6"/>
                <w:lang w:val="sk-SK"/>
              </w:rPr>
              <w:t>satelitnej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vesmírnych projektoch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dôkaz</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prenose</w:t>
            </w:r>
          </w:p>
        </w:tc>
        <w:tc>
          <w:tcPr>
            <w:tcW w:w="1134" w:type="dxa"/>
            <w:shd w:val="clear" w:color="auto" w:fill="C6EFCE"/>
            <w:vAlign w:val="center"/>
          </w:tcPr>
          <w:p w14:paraId="1D7AAC07"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63" w:type="dxa"/>
            <w:shd w:val="clear" w:color="auto" w:fill="C6EFCE"/>
            <w:vAlign w:val="center"/>
          </w:tcPr>
          <w:p w14:paraId="06264E28"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shd w:val="clear" w:color="auto" w:fill="C6EFCE"/>
            <w:vAlign w:val="center"/>
          </w:tcPr>
          <w:p w14:paraId="0690FE32"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50" w:type="dxa"/>
            <w:shd w:val="clear" w:color="auto" w:fill="C6EFCE"/>
            <w:vAlign w:val="center"/>
          </w:tcPr>
          <w:p w14:paraId="03747758"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261320C5"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32" w:type="dxa"/>
            <w:shd w:val="clear" w:color="auto" w:fill="C6EFCE"/>
            <w:vAlign w:val="center"/>
          </w:tcPr>
          <w:p w14:paraId="6D67183F" w14:textId="77777777" w:rsidR="00326E55"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Záverečné správy sa predkladajú za tieto činnosti</w:t>
            </w:r>
            <w:r w:rsidR="00326E55" w:rsidRPr="00326E55">
              <w:rPr>
                <w:rFonts w:ascii="Times New Roman" w:hAnsi="Times New Roman"/>
                <w:noProof/>
                <w:spacing w:val="-6"/>
                <w:lang w:val="sk-SK"/>
              </w:rPr>
              <w:t>:</w:t>
            </w:r>
          </w:p>
          <w:p w14:paraId="464BA200" w14:textId="3C244598" w:rsidR="00326E55" w:rsidRPr="00326E55" w:rsidRDefault="00FB452D">
            <w:pPr>
              <w:pStyle w:val="P68B1DB1-Normal12"/>
              <w:spacing w:before="120" w:after="120"/>
              <w:ind w:left="313" w:hanging="313"/>
              <w:rPr>
                <w:rFonts w:ascii="Times New Roman" w:hAnsi="Times New Roman"/>
                <w:noProof/>
                <w:spacing w:val="-6"/>
                <w:lang w:val="sk-SK"/>
              </w:rPr>
            </w:pPr>
            <w:r w:rsidRPr="00326E55">
              <w:rPr>
                <w:rFonts w:ascii="Times New Roman" w:hAnsi="Times New Roman"/>
                <w:noProof/>
                <w:spacing w:val="-6"/>
                <w:lang w:val="sk-SK"/>
              </w:rPr>
              <w:t>1.</w:t>
            </w:r>
            <w:r w:rsidRPr="00326E55">
              <w:rPr>
                <w:rFonts w:ascii="Times New Roman" w:hAnsi="Times New Roman"/>
                <w:noProof/>
                <w:spacing w:val="-6"/>
                <w:lang w:val="sk-SK"/>
              </w:rPr>
              <w:tab/>
              <w:t>SATCOM: vytvorenie technológií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systémov dvojakého použitia, ktoré sa majú používať na</w:t>
            </w:r>
            <w:r w:rsidRPr="00326E55">
              <w:rPr>
                <w:rFonts w:ascii="Times New Roman" w:hAnsi="Times New Roman"/>
                <w:noProof/>
                <w:spacing w:val="-6"/>
                <w:lang w:val="sk-SK"/>
              </w:rPr>
              <w:t xml:space="preserve"> poskytovanie vysoko bezpečných služieb satelitnej komunikácie na vládne účely</w:t>
            </w:r>
            <w:r w:rsidR="00326E55" w:rsidRPr="00326E55">
              <w:rPr>
                <w:rFonts w:ascii="Times New Roman" w:hAnsi="Times New Roman"/>
                <w:noProof/>
                <w:spacing w:val="-6"/>
                <w:lang w:val="sk-SK"/>
              </w:rPr>
              <w:t>.</w:t>
            </w:r>
          </w:p>
          <w:p w14:paraId="5A899A1C" w14:textId="27742282" w:rsidR="00BF03AA" w:rsidRPr="00326E55" w:rsidRDefault="00FB452D">
            <w:pPr>
              <w:spacing w:before="120" w:after="120"/>
              <w:ind w:left="313" w:hanging="313"/>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2.</w:t>
            </w:r>
            <w:r w:rsidRPr="00326E55">
              <w:rPr>
                <w:rFonts w:ascii="Times New Roman" w:hAnsi="Times New Roman"/>
                <w:noProof/>
                <w:spacing w:val="-6"/>
                <w:lang w:val="sk-SK"/>
              </w:rPr>
              <w:tab/>
            </w:r>
            <w:r w:rsidRPr="00326E55">
              <w:rPr>
                <w:rFonts w:ascii="Times New Roman" w:hAnsi="Times New Roman"/>
                <w:noProof/>
                <w:color w:val="006100"/>
                <w:spacing w:val="-6"/>
                <w:sz w:val="20"/>
                <w:szCs w:val="20"/>
                <w:lang w:val="sk-SK"/>
              </w:rPr>
              <w:t>Pozorovanie Zeme (EO), ktoré pozostáva</w:t>
            </w:r>
            <w:r w:rsidR="00326E55" w:rsidRPr="00326E55">
              <w:rPr>
                <w:rFonts w:ascii="Times New Roman" w:hAnsi="Times New Roman"/>
                <w:noProof/>
                <w:color w:val="006100"/>
                <w:spacing w:val="-6"/>
                <w:sz w:val="20"/>
                <w:szCs w:val="20"/>
                <w:lang w:val="sk-SK"/>
              </w:rPr>
              <w:t xml:space="preserve"> z </w:t>
            </w:r>
            <w:r w:rsidRPr="00326E55">
              <w:rPr>
                <w:rFonts w:ascii="Times New Roman" w:hAnsi="Times New Roman"/>
                <w:noProof/>
                <w:color w:val="006100"/>
                <w:spacing w:val="-6"/>
                <w:sz w:val="20"/>
                <w:szCs w:val="20"/>
                <w:lang w:val="sk-SK"/>
              </w:rPr>
              <w:t>i) činností</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rámci dodávateľského reťazca: vrátane špecifikácie, návrhu, výroby multisenzorovej konštelácie konštelácií na diaľkové</w:t>
            </w:r>
            <w:r w:rsidRPr="00326E55">
              <w:rPr>
                <w:rFonts w:ascii="Times New Roman" w:hAnsi="Times New Roman"/>
                <w:noProof/>
                <w:color w:val="006100"/>
                <w:spacing w:val="-6"/>
                <w:sz w:val="20"/>
                <w:szCs w:val="20"/>
                <w:lang w:val="sk-SK"/>
              </w:rPr>
              <w:t xml:space="preserve"> snímanie [rada pre syntetickú apertúru (SAR), hyperspektrálna, optická]</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obstarávanie vypúšťania zamerané na monitorovanie pevniny, mora</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 xml:space="preserve">atmosféry; aspoň jedna konštelácia alebo dôkaz koncepcie konštelácií je na obežnej dráhe ii) nadväzujúce činnosti: </w:t>
            </w:r>
            <w:r w:rsidRPr="00326E55">
              <w:rPr>
                <w:rFonts w:ascii="Times New Roman" w:hAnsi="Times New Roman"/>
                <w:noProof/>
                <w:color w:val="006100"/>
                <w:spacing w:val="-6"/>
                <w:sz w:val="20"/>
                <w:szCs w:val="20"/>
                <w:lang w:val="sk-SK"/>
              </w:rPr>
              <w:t>Projekt Cyber Italy, Marketplace</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súvisiace služby.</w:t>
            </w:r>
          </w:p>
          <w:p w14:paraId="6BEA1C34" w14:textId="6CACC02C" w:rsidR="00BF03AA" w:rsidRPr="00326E55" w:rsidRDefault="00FB452D">
            <w:pPr>
              <w:pStyle w:val="P68B1DB1-Normal12"/>
              <w:spacing w:before="120" w:after="120"/>
              <w:ind w:left="313" w:hanging="313"/>
              <w:rPr>
                <w:rFonts w:ascii="Times New Roman" w:hAnsi="Times New Roman"/>
                <w:noProof/>
                <w:spacing w:val="-6"/>
                <w:lang w:val="sk-SK"/>
              </w:rPr>
            </w:pPr>
            <w:r w:rsidRPr="00326E55">
              <w:rPr>
                <w:rFonts w:ascii="Times New Roman" w:hAnsi="Times New Roman"/>
                <w:noProof/>
                <w:spacing w:val="-6"/>
                <w:lang w:val="sk-SK"/>
              </w:rPr>
              <w:t>3.</w:t>
            </w:r>
            <w:r w:rsidRPr="00326E55">
              <w:rPr>
                <w:rFonts w:ascii="Times New Roman" w:hAnsi="Times New Roman"/>
                <w:noProof/>
                <w:spacing w:val="-6"/>
                <w:lang w:val="sk-SK"/>
              </w:rPr>
              <w:tab/>
              <w:t>Vesmírna továreň, ktorá pozostáva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dvoch podprojektov: I) Vesmírna továreň 4.0: (integrované linky na výrobu, montáž, integráciu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skúšanie (M-AIT) malých satelitov); II) prístup do vesmíru: Výskum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vytváranie prototypov na realizáciu ekologických technológií pre budúcu generáciu príznakov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nosných rakiet.</w:t>
            </w:r>
          </w:p>
          <w:p w14:paraId="667FA26A" w14:textId="533FDA00" w:rsidR="00BF03AA" w:rsidRPr="00326E55" w:rsidRDefault="00FB452D">
            <w:pPr>
              <w:spacing w:before="120" w:after="120"/>
              <w:ind w:left="313" w:hanging="313"/>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4.</w:t>
            </w:r>
            <w:r w:rsidRPr="00326E55">
              <w:rPr>
                <w:rFonts w:ascii="Times New Roman" w:hAnsi="Times New Roman"/>
                <w:noProof/>
                <w:spacing w:val="-6"/>
                <w:lang w:val="sk-SK"/>
              </w:rPr>
              <w:tab/>
            </w:r>
            <w:r w:rsidRPr="00326E55">
              <w:rPr>
                <w:rFonts w:ascii="Times New Roman" w:hAnsi="Times New Roman"/>
                <w:noProof/>
                <w:color w:val="006100"/>
                <w:spacing w:val="-6"/>
                <w:sz w:val="20"/>
                <w:szCs w:val="20"/>
                <w:lang w:val="sk-SK"/>
              </w:rPr>
              <w:t>Hospodárstvo na obežnej dráhe: činnosti týkajúce sa demonštračného zariadenia pre technológie obsluhujúce na obežnej dráhe; zvýšenie v</w:t>
            </w:r>
            <w:r w:rsidRPr="00326E55">
              <w:rPr>
                <w:rFonts w:ascii="Times New Roman" w:hAnsi="Times New Roman"/>
                <w:noProof/>
                <w:color w:val="006100"/>
                <w:spacing w:val="-6"/>
                <w:sz w:val="20"/>
                <w:szCs w:val="20"/>
                <w:lang w:val="sk-SK"/>
              </w:rPr>
              <w:t>nútroštátnej kapacity dohľadu nad kozmickým priestorom</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sledovania tohto priestoru (SST); návrh</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výroba aktív na získanie, správu</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poskytovanie dátovej služby na podporu činností manažmentu vesmírnej prevádzky.</w:t>
            </w:r>
          </w:p>
          <w:p w14:paraId="0F48F6A6" w14:textId="5F3C6083"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szCs w:val="20"/>
                <w:lang w:val="sk-SK"/>
              </w:rPr>
              <w:t>Vykonávacím orgánom sa vydajú platobné prí</w:t>
            </w:r>
            <w:r w:rsidRPr="00326E55">
              <w:rPr>
                <w:rFonts w:ascii="Times New Roman" w:hAnsi="Times New Roman"/>
                <w:noProof/>
                <w:spacing w:val="-6"/>
                <w:szCs w:val="20"/>
                <w:lang w:val="sk-SK"/>
              </w:rPr>
              <w:t>kazy</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celkovej hodnote najmenej 1 340 000 000 EUR.</w:t>
            </w:r>
          </w:p>
        </w:tc>
      </w:tr>
      <w:tr w:rsidR="00BF03AA" w:rsidRPr="00326E55" w14:paraId="7D9152BB" w14:textId="77777777">
        <w:trPr>
          <w:trHeight w:val="315"/>
        </w:trPr>
        <w:tc>
          <w:tcPr>
            <w:tcW w:w="1418" w:type="dxa"/>
            <w:shd w:val="clear" w:color="auto" w:fill="C6EFCE"/>
            <w:vAlign w:val="center"/>
          </w:tcPr>
          <w:p w14:paraId="7D615C75"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26</w:t>
            </w:r>
          </w:p>
        </w:tc>
        <w:tc>
          <w:tcPr>
            <w:tcW w:w="1985" w:type="dxa"/>
            <w:shd w:val="clear" w:color="auto" w:fill="C6EFCE"/>
            <w:vAlign w:val="center"/>
          </w:tcPr>
          <w:p w14:paraId="1B24F3CF" w14:textId="7F8F1859"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5.1: Refinancovanie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reorganizácia fondu 394/81 spravovaného spoločnosťou SIMEST</w:t>
            </w:r>
          </w:p>
        </w:tc>
        <w:tc>
          <w:tcPr>
            <w:tcW w:w="1275" w:type="dxa"/>
            <w:shd w:val="clear" w:color="auto" w:fill="C6EFCE"/>
            <w:vAlign w:val="center"/>
          </w:tcPr>
          <w:p w14:paraId="73AA170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276" w:type="dxa"/>
            <w:shd w:val="clear" w:color="auto" w:fill="C6EFCE"/>
            <w:vAlign w:val="center"/>
          </w:tcPr>
          <w:p w14:paraId="5F43392B" w14:textId="1285388E"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refinancovania fondu 394/81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prijatie investičnej politiky</w:t>
            </w:r>
          </w:p>
        </w:tc>
        <w:tc>
          <w:tcPr>
            <w:tcW w:w="1276" w:type="dxa"/>
            <w:shd w:val="clear" w:color="auto" w:fill="C6EFCE"/>
            <w:vAlign w:val="center"/>
          </w:tcPr>
          <w:p w14:paraId="30F512BE" w14:textId="2E75002B"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zákonného dekrétu (vyhlášok), ktorým sa refinancuje grantová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úverová zložka fondu 394/81</w:t>
            </w:r>
          </w:p>
          <w:p w14:paraId="44DCE0F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Schválenie rozhodnutia rady, ktorým sa stanovujú kritériá výberu projektov, ktoré sa majú financovať</w:t>
            </w:r>
          </w:p>
        </w:tc>
        <w:tc>
          <w:tcPr>
            <w:tcW w:w="1134" w:type="dxa"/>
            <w:shd w:val="clear" w:color="auto" w:fill="C6EFCE"/>
            <w:vAlign w:val="center"/>
          </w:tcPr>
          <w:p w14:paraId="68AFF4D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63" w:type="dxa"/>
            <w:shd w:val="clear" w:color="auto" w:fill="C6EFCE"/>
            <w:vAlign w:val="center"/>
          </w:tcPr>
          <w:p w14:paraId="4150DF6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56966F1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0" w:type="dxa"/>
            <w:shd w:val="clear" w:color="auto" w:fill="C6EFCE"/>
            <w:vAlign w:val="center"/>
          </w:tcPr>
          <w:p w14:paraId="642FCF6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09" w:type="dxa"/>
            <w:shd w:val="clear" w:color="auto" w:fill="C6EFCE"/>
            <w:vAlign w:val="center"/>
          </w:tcPr>
          <w:p w14:paraId="1935197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232" w:type="dxa"/>
            <w:shd w:val="clear" w:color="auto" w:fill="C6EFCE"/>
            <w:vAlign w:val="center"/>
          </w:tcPr>
          <w:p w14:paraId="251E7253" w14:textId="25964847" w:rsidR="00BF03AA" w:rsidRPr="00326E55" w:rsidRDefault="00FB452D">
            <w:pPr>
              <w:pStyle w:val="P68B1DB1-Normal11"/>
              <w:spacing w:before="120"/>
              <w:rPr>
                <w:rFonts w:ascii="Times New Roman" w:hAnsi="Times New Roman"/>
                <w:noProof/>
                <w:spacing w:val="-6"/>
                <w:szCs w:val="20"/>
                <w:lang w:val="sk-SK"/>
              </w:rPr>
            </w:pPr>
            <w:r w:rsidRPr="00326E55">
              <w:rPr>
                <w:rFonts w:ascii="Times New Roman" w:hAnsi="Times New Roman"/>
                <w:noProof/>
                <w:spacing w:val="-6"/>
                <w:lang w:val="sk-SK"/>
              </w:rPr>
              <w:t>V zákonnom(-ých) dekréte(-och) sa stanovuje refinancovanie grantovej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úverovej zložky fondu 394/81. Rada fondu schváli rozhodnutie, ktorým sa ustanovuje investičná politika.</w:t>
            </w:r>
          </w:p>
          <w:p w14:paraId="1C14A54F" w14:textId="78BEF3BD" w:rsidR="00BF03AA" w:rsidRPr="00326E55" w:rsidRDefault="00FB452D">
            <w:pPr>
              <w:pStyle w:val="P68B1DB1-Normal11"/>
              <w:spacing w:before="120"/>
              <w:rPr>
                <w:rFonts w:ascii="Times New Roman" w:hAnsi="Times New Roman"/>
                <w:noProof/>
                <w:spacing w:val="-6"/>
                <w:szCs w:val="20"/>
                <w:lang w:val="sk-SK"/>
              </w:rPr>
            </w:pPr>
            <w:r w:rsidRPr="00326E55">
              <w:rPr>
                <w:rFonts w:ascii="Times New Roman" w:hAnsi="Times New Roman"/>
                <w:noProof/>
                <w:spacing w:val="-6"/>
                <w:lang w:val="sk-SK"/>
              </w:rPr>
              <w:t>Investičná politika spojená</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refinancovaním fondu</w:t>
            </w:r>
            <w:r w:rsidRPr="00326E55">
              <w:rPr>
                <w:rFonts w:ascii="Times New Roman" w:hAnsi="Times New Roman"/>
                <w:noProof/>
                <w:spacing w:val="-6"/>
                <w:lang w:val="sk-SK"/>
              </w:rPr>
              <w:t xml:space="preserve"> 394/81 definuje minimálne: I) povaha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rozsah podporovaných projektov, ktoré musia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nariadenia (EÚ) 2021/241; referenčný rámec zahŕňa kritériá oprávnenosti na zabezpečenie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w:t>
            </w:r>
            <w:r w:rsidRPr="00326E55">
              <w:rPr>
                <w:rFonts w:ascii="Times New Roman" w:hAnsi="Times New Roman"/>
                <w:noProof/>
                <w:spacing w:val="-6"/>
                <w:lang w:val="sk-SK"/>
              </w:rPr>
              <w:t xml:space="preserve"> (2021/C58/01) podporovaných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tohto opatrenia prostredníctvom využívania overovania udržateľnosti,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w:t>
            </w:r>
            <w:r w:rsidRPr="00326E55">
              <w:rPr>
                <w:rFonts w:ascii="Times New Roman" w:hAnsi="Times New Roman"/>
                <w:noProof/>
                <w:spacing w:val="-6"/>
                <w:lang w:val="sk-SK"/>
              </w:rPr>
              <w:t xml:space="preserve"> prostredia; druhom podporovaných operácií; dotknutými prijímateľmi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prevalenciou MSP</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ich kritériami oprávnenosti; ustanoveniami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reinvestovaní potenciálnych spätných tokov na podobné politické ciele aj po roku 2026</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že sa opätovne nepoužívaj</w:t>
            </w:r>
            <w:r w:rsidRPr="00326E55">
              <w:rPr>
                <w:rFonts w:ascii="Times New Roman" w:hAnsi="Times New Roman"/>
                <w:noProof/>
                <w:spacing w:val="-6"/>
                <w:lang w:val="sk-SK"/>
              </w:rPr>
              <w:t>ú na spätné zaplatenie úrokových sadzieb vyplývajúcich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úverov poskytnutých podľa nariadenia (EÚ) 2021/241.</w:t>
            </w:r>
          </w:p>
          <w:p w14:paraId="5F16824B" w14:textId="1D1F868C" w:rsidR="00BF03AA" w:rsidRPr="00326E55" w:rsidRDefault="00FB452D">
            <w:pPr>
              <w:pStyle w:val="P68B1DB1-Normal11"/>
              <w:spacing w:before="120"/>
              <w:rPr>
                <w:rFonts w:ascii="Times New Roman" w:hAnsi="Times New Roman"/>
                <w:noProof/>
                <w:spacing w:val="-6"/>
                <w:szCs w:val="20"/>
                <w:lang w:val="sk-SK"/>
              </w:rPr>
            </w:pPr>
            <w:r w:rsidRPr="00326E55">
              <w:rPr>
                <w:rFonts w:ascii="Times New Roman" w:hAnsi="Times New Roman"/>
                <w:noProof/>
                <w:spacing w:val="-6"/>
                <w:lang w:val="sk-SK"/>
              </w:rPr>
              <w:t>V zmluvnej dohode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povereným subjektom alebo finančným sprostredkovateľom sa vyžaduje používanie technického usmernenia týkajúceho sa zásady „výra</w:t>
            </w:r>
            <w:r w:rsidRPr="00326E55">
              <w:rPr>
                <w:rFonts w:ascii="Times New Roman" w:hAnsi="Times New Roman"/>
                <w:noProof/>
                <w:spacing w:val="-6"/>
                <w:lang w:val="sk-SK"/>
              </w:rPr>
              <w:t>zne nenarušiť“ (2021/C58/01).</w:t>
            </w:r>
          </w:p>
        </w:tc>
      </w:tr>
      <w:tr w:rsidR="00BF03AA" w:rsidRPr="00326E55" w14:paraId="6A390C78" w14:textId="77777777">
        <w:trPr>
          <w:trHeight w:val="315"/>
        </w:trPr>
        <w:tc>
          <w:tcPr>
            <w:tcW w:w="1418" w:type="dxa"/>
            <w:shd w:val="clear" w:color="auto" w:fill="C6EFCE"/>
            <w:vAlign w:val="center"/>
          </w:tcPr>
          <w:p w14:paraId="4B1FC7D2"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27</w:t>
            </w:r>
          </w:p>
        </w:tc>
        <w:tc>
          <w:tcPr>
            <w:tcW w:w="1985" w:type="dxa"/>
            <w:shd w:val="clear" w:color="auto" w:fill="C6EFCE"/>
            <w:vAlign w:val="center"/>
          </w:tcPr>
          <w:p w14:paraId="1D418EBF" w14:textId="2E9C9173"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5.1: Refinancovanie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reorganizácia fondu 394/81 spravovaného spoločnosťou SIMEST</w:t>
            </w:r>
          </w:p>
        </w:tc>
        <w:tc>
          <w:tcPr>
            <w:tcW w:w="1275" w:type="dxa"/>
            <w:shd w:val="clear" w:color="auto" w:fill="C6EFCE"/>
            <w:vAlign w:val="center"/>
          </w:tcPr>
          <w:p w14:paraId="770DE57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6B29DDC6" w14:textId="03A9924E"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MSP, ktoré získali podporu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fondu 394/81</w:t>
            </w:r>
          </w:p>
        </w:tc>
        <w:tc>
          <w:tcPr>
            <w:tcW w:w="1276" w:type="dxa"/>
            <w:shd w:val="clear" w:color="auto" w:fill="C6EFCE"/>
            <w:vAlign w:val="center"/>
          </w:tcPr>
          <w:p w14:paraId="402DEE6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3D1F36B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7183C44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670DCCE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4 000</w:t>
            </w:r>
          </w:p>
        </w:tc>
        <w:tc>
          <w:tcPr>
            <w:tcW w:w="850" w:type="dxa"/>
            <w:shd w:val="clear" w:color="auto" w:fill="C6EFCE"/>
            <w:vAlign w:val="center"/>
          </w:tcPr>
          <w:p w14:paraId="177AB68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vAlign w:val="center"/>
          </w:tcPr>
          <w:p w14:paraId="59B90F2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232" w:type="dxa"/>
            <w:shd w:val="clear" w:color="auto" w:fill="C6EFCE"/>
            <w:vAlign w:val="center"/>
          </w:tcPr>
          <w:p w14:paraId="2B86B777" w14:textId="2DE3E4A6"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 xml:space="preserve">Najmenej ďalších 4000 MSP </w:t>
            </w:r>
            <w:r w:rsidRPr="00326E55">
              <w:rPr>
                <w:rFonts w:ascii="Times New Roman" w:hAnsi="Times New Roman"/>
                <w:noProof/>
                <w:spacing w:val="-6"/>
                <w:lang w:val="sk-SK"/>
              </w:rPr>
              <w:t>získalo podporu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fondu 394/81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2021.</w:t>
            </w:r>
          </w:p>
        </w:tc>
      </w:tr>
      <w:tr w:rsidR="00BF03AA" w:rsidRPr="00326E55" w14:paraId="11BF1FAE" w14:textId="77777777">
        <w:trPr>
          <w:trHeight w:val="315"/>
        </w:trPr>
        <w:tc>
          <w:tcPr>
            <w:tcW w:w="1418" w:type="dxa"/>
            <w:shd w:val="clear" w:color="auto" w:fill="C6EFCE"/>
            <w:vAlign w:val="center"/>
          </w:tcPr>
          <w:p w14:paraId="29A0594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28</w:t>
            </w:r>
          </w:p>
        </w:tc>
        <w:tc>
          <w:tcPr>
            <w:tcW w:w="1985" w:type="dxa"/>
            <w:shd w:val="clear" w:color="auto" w:fill="C6EFCE"/>
            <w:vAlign w:val="center"/>
          </w:tcPr>
          <w:p w14:paraId="078E7C33" w14:textId="48313B5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5.2: Konkurencieschopnosť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odolnosť dodávateľských reťazcov</w:t>
            </w:r>
          </w:p>
        </w:tc>
        <w:tc>
          <w:tcPr>
            <w:tcW w:w="1275" w:type="dxa"/>
            <w:shd w:val="clear" w:color="auto" w:fill="C6EFCE"/>
            <w:vAlign w:val="center"/>
          </w:tcPr>
          <w:p w14:paraId="003F5DDD"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276" w:type="dxa"/>
            <w:shd w:val="clear" w:color="auto" w:fill="C6EFCE"/>
            <w:vAlign w:val="center"/>
          </w:tcPr>
          <w:p w14:paraId="1A0096A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dekrétu obsahujúceho investičnú politiku rozvojových zmlúv</w:t>
            </w:r>
          </w:p>
        </w:tc>
        <w:tc>
          <w:tcPr>
            <w:tcW w:w="1276" w:type="dxa"/>
            <w:shd w:val="clear" w:color="auto" w:fill="C6EFCE"/>
            <w:vAlign w:val="center"/>
          </w:tcPr>
          <w:p w14:paraId="239FE3A1" w14:textId="4DBCF85A"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w:t>
            </w:r>
            <w:r w:rsidRPr="00326E55">
              <w:rPr>
                <w:rFonts w:ascii="Times New Roman" w:hAnsi="Times New Roman"/>
                <w:noProof/>
                <w:spacing w:val="-6"/>
                <w:lang w:val="sk-SK"/>
              </w:rPr>
              <w:t>účinnosti dekrétu</w:t>
            </w:r>
          </w:p>
        </w:tc>
        <w:tc>
          <w:tcPr>
            <w:tcW w:w="1134" w:type="dxa"/>
            <w:shd w:val="clear" w:color="auto" w:fill="C6EFCE"/>
            <w:vAlign w:val="center"/>
          </w:tcPr>
          <w:p w14:paraId="47EC555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63" w:type="dxa"/>
            <w:shd w:val="clear" w:color="auto" w:fill="C6EFCE"/>
            <w:vAlign w:val="center"/>
          </w:tcPr>
          <w:p w14:paraId="50938D7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47A7601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0" w:type="dxa"/>
            <w:shd w:val="clear" w:color="auto" w:fill="C6EFCE"/>
            <w:vAlign w:val="center"/>
          </w:tcPr>
          <w:p w14:paraId="7B1EBD07"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09" w:type="dxa"/>
            <w:shd w:val="clear" w:color="auto" w:fill="C6EFCE"/>
            <w:vAlign w:val="center"/>
          </w:tcPr>
          <w:p w14:paraId="6546B1D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232" w:type="dxa"/>
            <w:shd w:val="clear" w:color="auto" w:fill="C6EFCE"/>
            <w:vAlign w:val="center"/>
          </w:tcPr>
          <w:p w14:paraId="6421B8DB" w14:textId="504281D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investičnej politike rozvojových zmlúv sa vymedzuje minimálne: I) povaha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rozsah podporovaných projektov, ktoré musia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cieľmi nariadenia (EÚ) 2021/241; referenčný rámec </w:t>
            </w:r>
            <w:r w:rsidRPr="00326E55">
              <w:rPr>
                <w:rFonts w:ascii="Times New Roman" w:hAnsi="Times New Roman"/>
                <w:noProof/>
                <w:spacing w:val="-6"/>
                <w:lang w:val="sk-SK"/>
              </w:rPr>
              <w:t>zahŕňa kritériá oprávnenosti na zabezpečenie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podporovaných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tohto opatrenia prostredníctvom využívania overovania udržateľnosti,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w:t>
            </w:r>
            <w:r w:rsidRPr="00326E55">
              <w:rPr>
                <w:rFonts w:ascii="Times New Roman" w:hAnsi="Times New Roman"/>
                <w:noProof/>
                <w:spacing w:val="-6"/>
                <w:lang w:val="sk-SK"/>
              </w:rPr>
              <w:t>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 druhom podporovaných operácií; cieľovými prijímateľmi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ich kritériami oprávnenosti; ustanoveniami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reinvestovaní potenciálnych spätnýc</w:t>
            </w:r>
            <w:r w:rsidRPr="00326E55">
              <w:rPr>
                <w:rFonts w:ascii="Times New Roman" w:hAnsi="Times New Roman"/>
                <w:noProof/>
                <w:spacing w:val="-6"/>
                <w:lang w:val="sk-SK"/>
              </w:rPr>
              <w:t>h tokov na podobné politické ciele aj po roku 2026</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že sa opätovne nepoužívajú na spätné zaplatenie úrokových sadzieb vyplývajúcich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úverov poskytnutých podľa nariadenia (EÚ) 2021/241.</w:t>
            </w:r>
          </w:p>
          <w:p w14:paraId="7CBDA064" w14:textId="1662926B"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zmluvnej dohode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povereným subjektom alebo finančným spro</w:t>
            </w:r>
            <w:r w:rsidRPr="00326E55">
              <w:rPr>
                <w:rFonts w:ascii="Times New Roman" w:hAnsi="Times New Roman"/>
                <w:noProof/>
                <w:spacing w:val="-6"/>
                <w:lang w:val="sk-SK"/>
              </w:rPr>
              <w:t>stredkovateľom sa vyžaduje používanie technického usmernenia týkajúceho sa zásady „výrazne nenarušiť“ (2021/C58/01).</w:t>
            </w:r>
          </w:p>
        </w:tc>
      </w:tr>
      <w:tr w:rsidR="00BF03AA" w:rsidRPr="00326E55" w14:paraId="2CFBC3AF" w14:textId="77777777">
        <w:trPr>
          <w:trHeight w:val="315"/>
        </w:trPr>
        <w:tc>
          <w:tcPr>
            <w:tcW w:w="1418" w:type="dxa"/>
            <w:shd w:val="clear" w:color="auto" w:fill="C6EFCE"/>
            <w:vAlign w:val="center"/>
          </w:tcPr>
          <w:p w14:paraId="6C2F19B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M1C2 – 29</w:t>
            </w:r>
          </w:p>
        </w:tc>
        <w:tc>
          <w:tcPr>
            <w:tcW w:w="1985" w:type="dxa"/>
            <w:shd w:val="clear" w:color="auto" w:fill="C6EFCE"/>
            <w:vAlign w:val="center"/>
          </w:tcPr>
          <w:p w14:paraId="65FA9AEE" w14:textId="087640FC"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5.2: Konkurencieschopnosť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odolnosť dodávateľských reťazcov</w:t>
            </w:r>
          </w:p>
        </w:tc>
        <w:tc>
          <w:tcPr>
            <w:tcW w:w="1275" w:type="dxa"/>
            <w:shd w:val="clear" w:color="auto" w:fill="C6EFCE"/>
            <w:vAlign w:val="center"/>
          </w:tcPr>
          <w:p w14:paraId="5A169CA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3084F76E" w14:textId="116B61F1"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Schválené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vývoji</w:t>
            </w:r>
          </w:p>
        </w:tc>
        <w:tc>
          <w:tcPr>
            <w:tcW w:w="1276" w:type="dxa"/>
            <w:shd w:val="clear" w:color="auto" w:fill="C6EFCE"/>
            <w:vAlign w:val="center"/>
          </w:tcPr>
          <w:p w14:paraId="7815105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5B211AE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20129B7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992" w:type="dxa"/>
            <w:shd w:val="clear" w:color="auto" w:fill="C6EFCE"/>
            <w:vAlign w:val="center"/>
          </w:tcPr>
          <w:p w14:paraId="04E3D66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40</w:t>
            </w:r>
          </w:p>
        </w:tc>
        <w:tc>
          <w:tcPr>
            <w:tcW w:w="850" w:type="dxa"/>
            <w:shd w:val="clear" w:color="auto" w:fill="C6EFCE"/>
            <w:vAlign w:val="center"/>
          </w:tcPr>
          <w:p w14:paraId="33A474D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vAlign w:val="center"/>
          </w:tcPr>
          <w:p w14:paraId="47237D5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232" w:type="dxa"/>
            <w:shd w:val="clear" w:color="auto" w:fill="C6EFCE"/>
            <w:vAlign w:val="center"/>
          </w:tcPr>
          <w:p w14:paraId="378CBB57" w14:textId="37FC3806"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Najmenej 40 schválených rozvojových zmlúv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ich investičnou politikou. Uspokojivé splnenie cieľa závisí aj od aktivácie investícií vo výške najmenej 1500 miliónov EUR.</w:t>
            </w:r>
          </w:p>
        </w:tc>
      </w:tr>
      <w:tr w:rsidR="00BF03AA" w:rsidRPr="00326E55" w14:paraId="7340B532" w14:textId="77777777">
        <w:trPr>
          <w:trHeight w:val="315"/>
        </w:trPr>
        <w:tc>
          <w:tcPr>
            <w:tcW w:w="1418" w:type="dxa"/>
            <w:shd w:val="clear" w:color="auto" w:fill="C6EFCE"/>
            <w:vAlign w:val="center"/>
          </w:tcPr>
          <w:p w14:paraId="518EEA90"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30</w:t>
            </w:r>
          </w:p>
        </w:tc>
        <w:tc>
          <w:tcPr>
            <w:tcW w:w="1985" w:type="dxa"/>
            <w:shd w:val="clear" w:color="auto" w:fill="C6EFCE"/>
            <w:vAlign w:val="center"/>
          </w:tcPr>
          <w:p w14:paraId="72C975EB"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Investícia 7: Národný fond pre konektivitu</w:t>
            </w:r>
          </w:p>
        </w:tc>
        <w:tc>
          <w:tcPr>
            <w:tcW w:w="1275" w:type="dxa"/>
            <w:shd w:val="clear" w:color="auto" w:fill="C6EFCE"/>
            <w:vAlign w:val="center"/>
          </w:tcPr>
          <w:p w14:paraId="35BDAFE2"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276" w:type="dxa"/>
            <w:shd w:val="clear" w:color="auto" w:fill="C6EFCE"/>
          </w:tcPr>
          <w:p w14:paraId="49114027"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Vykonávacia dohoda</w:t>
            </w:r>
          </w:p>
        </w:tc>
        <w:tc>
          <w:tcPr>
            <w:tcW w:w="1276" w:type="dxa"/>
            <w:shd w:val="clear" w:color="auto" w:fill="C6EFCE"/>
          </w:tcPr>
          <w:p w14:paraId="35D6E3D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c>
          <w:tcPr>
            <w:tcW w:w="1134" w:type="dxa"/>
            <w:shd w:val="clear" w:color="auto" w:fill="C6EFCE"/>
            <w:vAlign w:val="center"/>
          </w:tcPr>
          <w:p w14:paraId="0FEFC0D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63" w:type="dxa"/>
            <w:shd w:val="clear" w:color="auto" w:fill="C6EFCE"/>
            <w:vAlign w:val="center"/>
          </w:tcPr>
          <w:p w14:paraId="7BC5DD1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shd w:val="clear" w:color="auto" w:fill="C6EFCE"/>
            <w:vAlign w:val="center"/>
          </w:tcPr>
          <w:p w14:paraId="70C04F5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50" w:type="dxa"/>
            <w:shd w:val="clear" w:color="auto" w:fill="C6EFCE"/>
            <w:vAlign w:val="center"/>
          </w:tcPr>
          <w:p w14:paraId="1CAFAFA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09" w:type="dxa"/>
            <w:shd w:val="clear" w:color="auto" w:fill="C6EFCE"/>
            <w:vAlign w:val="center"/>
          </w:tcPr>
          <w:p w14:paraId="1AF2F37D"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232" w:type="dxa"/>
            <w:shd w:val="clear" w:color="auto" w:fill="C6EFCE"/>
          </w:tcPr>
          <w:p w14:paraId="7573B702" w14:textId="77777777"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r>
      <w:tr w:rsidR="00BF03AA" w:rsidRPr="00326E55" w14:paraId="5B1E8EC8" w14:textId="77777777">
        <w:trPr>
          <w:trHeight w:val="315"/>
        </w:trPr>
        <w:tc>
          <w:tcPr>
            <w:tcW w:w="1418" w:type="dxa"/>
            <w:shd w:val="clear" w:color="auto" w:fill="C6EFCE"/>
            <w:vAlign w:val="center"/>
          </w:tcPr>
          <w:p w14:paraId="1474278B"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31</w:t>
            </w:r>
          </w:p>
        </w:tc>
        <w:tc>
          <w:tcPr>
            <w:tcW w:w="1985" w:type="dxa"/>
            <w:shd w:val="clear" w:color="auto" w:fill="C6EFCE"/>
            <w:vAlign w:val="center"/>
          </w:tcPr>
          <w:p w14:paraId="471DB405"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Investícia 7: Národný fond pre konektivitu</w:t>
            </w:r>
          </w:p>
        </w:tc>
        <w:tc>
          <w:tcPr>
            <w:tcW w:w="1275" w:type="dxa"/>
            <w:shd w:val="clear" w:color="auto" w:fill="C6EFCE"/>
            <w:vAlign w:val="center"/>
          </w:tcPr>
          <w:p w14:paraId="59900A51"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276" w:type="dxa"/>
            <w:shd w:val="clear" w:color="auto" w:fill="C6EFCE"/>
          </w:tcPr>
          <w:p w14:paraId="05E8B1DA" w14:textId="2D2DA6F4"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dokončenie investícií</w:t>
            </w:r>
          </w:p>
        </w:tc>
        <w:tc>
          <w:tcPr>
            <w:tcW w:w="1276" w:type="dxa"/>
            <w:shd w:val="clear" w:color="auto" w:fill="C6EFCE"/>
          </w:tcPr>
          <w:p w14:paraId="4AFBA54D" w14:textId="58CF515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Podpísané právne dohody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p>
        </w:tc>
        <w:tc>
          <w:tcPr>
            <w:tcW w:w="1134" w:type="dxa"/>
            <w:shd w:val="clear" w:color="auto" w:fill="C6EFCE"/>
            <w:vAlign w:val="center"/>
          </w:tcPr>
          <w:p w14:paraId="3301622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63" w:type="dxa"/>
            <w:shd w:val="clear" w:color="auto" w:fill="C6EFCE"/>
            <w:vAlign w:val="center"/>
          </w:tcPr>
          <w:p w14:paraId="571F2A3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shd w:val="clear" w:color="auto" w:fill="C6EFCE"/>
            <w:vAlign w:val="center"/>
          </w:tcPr>
          <w:p w14:paraId="61A354B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50" w:type="dxa"/>
            <w:shd w:val="clear" w:color="auto" w:fill="C6EFCE"/>
            <w:vAlign w:val="center"/>
          </w:tcPr>
          <w:p w14:paraId="51F627C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6B5FFC30"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32" w:type="dxa"/>
            <w:shd w:val="clear" w:color="auto" w:fill="C6EFCE"/>
          </w:tcPr>
          <w:p w14:paraId="3C29DADE" w14:textId="3B010B01" w:rsidR="00326E55" w:rsidRPr="00326E55" w:rsidRDefault="00FB452D">
            <w:pPr>
              <w:pStyle w:val="P68B1DB1-Normal11"/>
              <w:spacing w:line="240" w:lineRule="auto"/>
              <w:jc w:val="both"/>
              <w:rPr>
                <w:rFonts w:ascii="Times New Roman" w:hAnsi="Times New Roman"/>
                <w:noProof/>
                <w:spacing w:val="-6"/>
                <w:lang w:val="sk-SK"/>
              </w:rPr>
            </w:pPr>
            <w:r w:rsidRPr="00326E55">
              <w:rPr>
                <w:rFonts w:ascii="Times New Roman" w:hAnsi="Times New Roman"/>
                <w:noProof/>
                <w:spacing w:val="-6"/>
                <w:lang w:val="sk-SK"/>
              </w:rPr>
              <w:t>Spoločnosť Invitalia S.p.A. musí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uzavrieť zákonné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grante na sumu potrebnú na </w:t>
            </w:r>
            <w:r w:rsidRPr="00326E55">
              <w:rPr>
                <w:rFonts w:ascii="Times New Roman" w:hAnsi="Times New Roman"/>
                <w:noProof/>
                <w:spacing w:val="-6"/>
                <w:lang w:val="sk-SK"/>
              </w:rPr>
              <w:t>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do schémy (s prihliadnutím na poplatky za správu)</w:t>
            </w:r>
            <w:r w:rsidR="00326E55" w:rsidRPr="00326E55">
              <w:rPr>
                <w:rFonts w:ascii="Times New Roman" w:hAnsi="Times New Roman"/>
                <w:noProof/>
                <w:spacing w:val="-6"/>
                <w:lang w:val="sk-SK"/>
              </w:rPr>
              <w:t>.</w:t>
            </w:r>
          </w:p>
          <w:p w14:paraId="205AEC0E" w14:textId="5E92ADFE"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Taliansko prevedie 733 402 818 EUR na nástroj Invitalia S.p.A.</w:t>
            </w:r>
          </w:p>
        </w:tc>
      </w:tr>
      <w:tr w:rsidR="00BF03AA" w:rsidRPr="00326E55" w14:paraId="098ED12A" w14:textId="77777777">
        <w:trPr>
          <w:trHeight w:val="315"/>
        </w:trPr>
        <w:tc>
          <w:tcPr>
            <w:tcW w:w="1418" w:type="dxa"/>
            <w:shd w:val="clear" w:color="auto" w:fill="C6EFCE"/>
            <w:vAlign w:val="center"/>
          </w:tcPr>
          <w:p w14:paraId="3E586340"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32</w:t>
            </w:r>
          </w:p>
        </w:tc>
        <w:tc>
          <w:tcPr>
            <w:tcW w:w="1985" w:type="dxa"/>
            <w:shd w:val="clear" w:color="auto" w:fill="C6EFCE"/>
            <w:vAlign w:val="center"/>
          </w:tcPr>
          <w:p w14:paraId="5FE46ADC"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Investícia 8: Zložka členského štátu InvestEU</w:t>
            </w:r>
          </w:p>
          <w:p w14:paraId="58E4673E" w14:textId="77777777" w:rsidR="00BF03AA" w:rsidRPr="00326E55" w:rsidRDefault="00BF03AA">
            <w:pPr>
              <w:spacing w:before="120" w:after="120"/>
              <w:jc w:val="center"/>
              <w:rPr>
                <w:rFonts w:ascii="Times New Roman" w:hAnsi="Times New Roman"/>
                <w:noProof/>
                <w:color w:val="006100"/>
                <w:spacing w:val="-6"/>
                <w:sz w:val="20"/>
                <w:lang w:val="sk-SK"/>
              </w:rPr>
            </w:pPr>
          </w:p>
        </w:tc>
        <w:tc>
          <w:tcPr>
            <w:tcW w:w="1275" w:type="dxa"/>
            <w:shd w:val="clear" w:color="auto" w:fill="C6EFCE"/>
            <w:vAlign w:val="center"/>
          </w:tcPr>
          <w:p w14:paraId="4D598FE3"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276" w:type="dxa"/>
            <w:shd w:val="clear" w:color="auto" w:fill="C6EFCE"/>
            <w:vAlign w:val="center"/>
          </w:tcPr>
          <w:p w14:paraId="7B4DAB20" w14:textId="72CF2FD2"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Podpísanie</w:t>
            </w:r>
            <w:r w:rsidRPr="00326E55">
              <w:rPr>
                <w:rFonts w:ascii="Times New Roman" w:hAnsi="Times New Roman"/>
                <w:noProof/>
                <w:spacing w:val="-6"/>
                <w:lang w:val="sk-SK"/>
              </w:rPr>
              <w:t xml:space="preserv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príspevku medzi vládou Talianska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Európskou komisiou</w:t>
            </w:r>
          </w:p>
        </w:tc>
        <w:tc>
          <w:tcPr>
            <w:tcW w:w="1276" w:type="dxa"/>
            <w:shd w:val="clear" w:color="auto" w:fill="C6EFCE"/>
            <w:vAlign w:val="center"/>
          </w:tcPr>
          <w:p w14:paraId="6DAAE1D5" w14:textId="5B3133E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Podpísanie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príspevku</w:t>
            </w:r>
          </w:p>
        </w:tc>
        <w:tc>
          <w:tcPr>
            <w:tcW w:w="1134" w:type="dxa"/>
            <w:shd w:val="clear" w:color="auto" w:fill="C6EFCE"/>
            <w:vAlign w:val="center"/>
          </w:tcPr>
          <w:p w14:paraId="4FA6A84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63" w:type="dxa"/>
            <w:shd w:val="clear" w:color="auto" w:fill="C6EFCE"/>
            <w:vAlign w:val="center"/>
          </w:tcPr>
          <w:p w14:paraId="4792AE65"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shd w:val="clear" w:color="auto" w:fill="C6EFCE"/>
            <w:vAlign w:val="center"/>
          </w:tcPr>
          <w:p w14:paraId="6139232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50" w:type="dxa"/>
            <w:shd w:val="clear" w:color="auto" w:fill="C6EFCE"/>
            <w:vAlign w:val="center"/>
          </w:tcPr>
          <w:p w14:paraId="6807179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PRVÝ ŠTVRŤROK</w:t>
            </w:r>
          </w:p>
        </w:tc>
        <w:tc>
          <w:tcPr>
            <w:tcW w:w="709" w:type="dxa"/>
            <w:shd w:val="clear" w:color="auto" w:fill="C6EFCE"/>
            <w:vAlign w:val="center"/>
          </w:tcPr>
          <w:p w14:paraId="7320D611"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32" w:type="dxa"/>
            <w:shd w:val="clear" w:color="auto" w:fill="C6EFCE"/>
            <w:vAlign w:val="center"/>
          </w:tcPr>
          <w:p w14:paraId="4DC13EB0" w14:textId="3E6DBE6B" w:rsidR="00BF03AA" w:rsidRPr="00326E55" w:rsidRDefault="00FB452D">
            <w:pPr>
              <w:pStyle w:val="P68B1DB1-Normal11"/>
              <w:spacing w:line="240" w:lineRule="auto"/>
              <w:jc w:val="both"/>
              <w:rPr>
                <w:rFonts w:ascii="Times New Roman" w:hAnsi="Times New Roman"/>
                <w:noProof/>
                <w:spacing w:val="-6"/>
                <w:lang w:val="sk-SK"/>
              </w:rPr>
            </w:pPr>
            <w:r w:rsidRPr="00326E55">
              <w:rPr>
                <w:rFonts w:ascii="Times New Roman" w:hAnsi="Times New Roman"/>
                <w:noProof/>
                <w:spacing w:val="-6"/>
                <w:lang w:val="sk-SK"/>
              </w:rPr>
              <w:t>Podpísanie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príspevku medzi vládou Talianska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Európskou komisiou vo výške 500 000 000 EUR. </w:t>
            </w:r>
          </w:p>
        </w:tc>
      </w:tr>
      <w:tr w:rsidR="00BF03AA" w:rsidRPr="00326E55" w14:paraId="6243DCB5" w14:textId="77777777">
        <w:trPr>
          <w:trHeight w:val="315"/>
        </w:trPr>
        <w:tc>
          <w:tcPr>
            <w:tcW w:w="1418" w:type="dxa"/>
            <w:shd w:val="clear" w:color="auto" w:fill="C6EFCE"/>
            <w:vAlign w:val="center"/>
          </w:tcPr>
          <w:p w14:paraId="46FAE8F6"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33</w:t>
            </w:r>
          </w:p>
        </w:tc>
        <w:tc>
          <w:tcPr>
            <w:tcW w:w="1985" w:type="dxa"/>
            <w:shd w:val="clear" w:color="auto" w:fill="C6EFCE"/>
            <w:vAlign w:val="center"/>
          </w:tcPr>
          <w:p w14:paraId="22C801C2"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Investícia 8: Zložka členského štátu InvestEU</w:t>
            </w:r>
          </w:p>
        </w:tc>
        <w:tc>
          <w:tcPr>
            <w:tcW w:w="1275" w:type="dxa"/>
            <w:shd w:val="clear" w:color="auto" w:fill="C6EFCE"/>
            <w:vAlign w:val="center"/>
          </w:tcPr>
          <w:p w14:paraId="6DF82187"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276" w:type="dxa"/>
            <w:shd w:val="clear" w:color="auto" w:fill="C6EFCE"/>
            <w:vAlign w:val="center"/>
          </w:tcPr>
          <w:p w14:paraId="632B1EC5"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Operácie financovania alebo investičné operácie schválené investičným výborom InvestEU.</w:t>
            </w:r>
          </w:p>
        </w:tc>
        <w:tc>
          <w:tcPr>
            <w:tcW w:w="1276" w:type="dxa"/>
            <w:shd w:val="clear" w:color="auto" w:fill="C6EFCE"/>
            <w:vAlign w:val="center"/>
          </w:tcPr>
          <w:p w14:paraId="0848469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4" w:type="dxa"/>
            <w:shd w:val="clear" w:color="auto" w:fill="C6EFCE"/>
            <w:vAlign w:val="center"/>
          </w:tcPr>
          <w:p w14:paraId="57C9766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Percento</w:t>
            </w:r>
          </w:p>
        </w:tc>
        <w:tc>
          <w:tcPr>
            <w:tcW w:w="1163" w:type="dxa"/>
            <w:shd w:val="clear" w:color="auto" w:fill="C6EFCE"/>
            <w:vAlign w:val="center"/>
          </w:tcPr>
          <w:p w14:paraId="66CF71C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992" w:type="dxa"/>
            <w:shd w:val="clear" w:color="auto" w:fill="C6EFCE"/>
            <w:vAlign w:val="center"/>
          </w:tcPr>
          <w:p w14:paraId="3F4CD9E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100</w:t>
            </w:r>
          </w:p>
        </w:tc>
        <w:tc>
          <w:tcPr>
            <w:tcW w:w="850" w:type="dxa"/>
            <w:shd w:val="clear" w:color="auto" w:fill="C6EFCE"/>
            <w:vAlign w:val="center"/>
          </w:tcPr>
          <w:p w14:paraId="024F468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3650C4CA"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32" w:type="dxa"/>
            <w:shd w:val="clear" w:color="auto" w:fill="C6EFCE"/>
            <w:vAlign w:val="center"/>
          </w:tcPr>
          <w:p w14:paraId="539A51E0" w14:textId="2A00881A" w:rsidR="00BF03AA" w:rsidRPr="00326E55" w:rsidRDefault="00FB452D">
            <w:pPr>
              <w:pStyle w:val="P68B1DB1-Normal12"/>
              <w:spacing w:line="240" w:lineRule="auto"/>
              <w:jc w:val="both"/>
              <w:rPr>
                <w:rFonts w:ascii="Times New Roman" w:hAnsi="Times New Roman"/>
                <w:noProof/>
                <w:spacing w:val="-6"/>
                <w:lang w:val="sk-SK"/>
              </w:rPr>
            </w:pPr>
            <w:r w:rsidRPr="00326E55">
              <w:rPr>
                <w:rFonts w:ascii="Times New Roman" w:hAnsi="Times New Roman"/>
                <w:noProof/>
                <w:spacing w:val="-6"/>
                <w:lang w:val="sk-SK"/>
              </w:rPr>
              <w:t>Operácie financovania alebo investičné operácie vo výške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celkovej sumy zdrojov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alokovaných na nástroj musí schváliť investičný výbor InvestEU.</w:t>
            </w:r>
          </w:p>
        </w:tc>
      </w:tr>
      <w:tr w:rsidR="00BF03AA" w:rsidRPr="00326E55" w14:paraId="703454DD" w14:textId="77777777">
        <w:trPr>
          <w:trHeight w:val="315"/>
        </w:trPr>
        <w:tc>
          <w:tcPr>
            <w:tcW w:w="1418" w:type="dxa"/>
            <w:shd w:val="clear" w:color="auto" w:fill="C6EFCE"/>
            <w:vAlign w:val="center"/>
          </w:tcPr>
          <w:p w14:paraId="6076FFE4"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M1C2 – 34</w:t>
            </w:r>
          </w:p>
        </w:tc>
        <w:tc>
          <w:tcPr>
            <w:tcW w:w="1985" w:type="dxa"/>
            <w:shd w:val="clear" w:color="auto" w:fill="C6EFCE"/>
            <w:vAlign w:val="center"/>
          </w:tcPr>
          <w:p w14:paraId="5043BC7F" w14:textId="5AEA94FA"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Investícia 9: Rozšírenie opatrenia: Transformácia 4.0</w:t>
            </w:r>
          </w:p>
        </w:tc>
        <w:tc>
          <w:tcPr>
            <w:tcW w:w="1275" w:type="dxa"/>
            <w:shd w:val="clear" w:color="auto" w:fill="C6EFCE"/>
            <w:vAlign w:val="center"/>
          </w:tcPr>
          <w:p w14:paraId="51A338D7" w14:textId="77777777" w:rsidR="00BF03AA" w:rsidRPr="00326E55" w:rsidRDefault="00FB452D">
            <w:pPr>
              <w:pStyle w:val="P68B1DB1-Normal11"/>
              <w:spacing w:before="120" w:after="120"/>
              <w:jc w:val="center"/>
              <w:rPr>
                <w:rFonts w:ascii="Times New Roman" w:hAnsi="Times New Roman" w:cs="Times New Roman"/>
                <w:noProof/>
                <w:spacing w:val="-6"/>
                <w:szCs w:val="20"/>
                <w:lang w:val="sk-SK"/>
              </w:rPr>
            </w:pPr>
            <w:r w:rsidRPr="00326E55">
              <w:rPr>
                <w:rFonts w:ascii="Times New Roman" w:hAnsi="Times New Roman"/>
                <w:noProof/>
                <w:spacing w:val="-6"/>
                <w:lang w:val="sk-SK"/>
              </w:rPr>
              <w:t>Cieľ</w:t>
            </w:r>
          </w:p>
        </w:tc>
        <w:tc>
          <w:tcPr>
            <w:tcW w:w="1276" w:type="dxa"/>
            <w:shd w:val="clear" w:color="auto" w:fill="C6EFCE"/>
            <w:vAlign w:val="center"/>
          </w:tcPr>
          <w:p w14:paraId="7DC86EBD" w14:textId="6AAD37D7" w:rsidR="00BF03AA" w:rsidRPr="00326E55" w:rsidRDefault="00FB452D">
            <w:pPr>
              <w:pStyle w:val="P68B1DB1-Normal11"/>
              <w:spacing w:before="120" w:after="120"/>
              <w:jc w:val="center"/>
              <w:rPr>
                <w:rFonts w:ascii="Times New Roman" w:hAnsi="Times New Roman" w:cs="Times New Roman"/>
                <w:noProof/>
                <w:spacing w:val="-6"/>
                <w:szCs w:val="20"/>
                <w:lang w:val="sk-SK"/>
              </w:rPr>
            </w:pPr>
            <w:r w:rsidRPr="00326E55">
              <w:rPr>
                <w:rFonts w:ascii="Times New Roman" w:hAnsi="Times New Roman"/>
                <w:noProof/>
                <w:spacing w:val="-6"/>
                <w:lang w:val="sk-SK"/>
              </w:rPr>
              <w:t xml:space="preserve">Prechod 4.0 dobropisov na dane poskytnutých firmám na </w:t>
            </w:r>
            <w:r w:rsidRPr="00326E55">
              <w:rPr>
                <w:rFonts w:ascii="Times New Roman" w:hAnsi="Times New Roman"/>
                <w:noProof/>
                <w:spacing w:val="-6"/>
                <w:lang w:val="sk-SK"/>
              </w:rPr>
              <w:t>základe dokumentov predložených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rokoch 2021 – 2026</w:t>
            </w:r>
          </w:p>
        </w:tc>
        <w:tc>
          <w:tcPr>
            <w:tcW w:w="1276" w:type="dxa"/>
            <w:shd w:val="clear" w:color="auto" w:fill="C6EFCE"/>
            <w:vAlign w:val="center"/>
          </w:tcPr>
          <w:p w14:paraId="0D4D3250" w14:textId="77777777" w:rsidR="00BF03AA" w:rsidRPr="00326E55" w:rsidRDefault="00FB452D">
            <w:pPr>
              <w:pStyle w:val="P68B1DB1-Normal11"/>
              <w:jc w:val="center"/>
              <w:rPr>
                <w:rFonts w:ascii="Times New Roman" w:hAnsi="Times New Roman" w:cs="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vAlign w:val="center"/>
          </w:tcPr>
          <w:p w14:paraId="658FDF08" w14:textId="77777777" w:rsidR="00BF03AA" w:rsidRPr="00326E55" w:rsidRDefault="00FB452D">
            <w:pPr>
              <w:pStyle w:val="P68B1DB1-Normal11"/>
              <w:jc w:val="center"/>
              <w:rPr>
                <w:rFonts w:ascii="Times New Roman" w:hAnsi="Times New Roman" w:cs="Times New Roman"/>
                <w:noProof/>
                <w:spacing w:val="-6"/>
                <w:szCs w:val="20"/>
                <w:lang w:val="sk-SK"/>
              </w:rPr>
            </w:pPr>
            <w:r w:rsidRPr="00326E55">
              <w:rPr>
                <w:rFonts w:ascii="Times New Roman" w:hAnsi="Times New Roman"/>
                <w:noProof/>
                <w:spacing w:val="-6"/>
                <w:lang w:val="sk-SK"/>
              </w:rPr>
              <w:t>Počet</w:t>
            </w:r>
          </w:p>
        </w:tc>
        <w:tc>
          <w:tcPr>
            <w:tcW w:w="1163" w:type="dxa"/>
            <w:shd w:val="clear" w:color="auto" w:fill="C6EFCE"/>
            <w:vAlign w:val="center"/>
          </w:tcPr>
          <w:p w14:paraId="5B6C2A0B" w14:textId="77777777" w:rsidR="00BF03AA" w:rsidRPr="00326E55" w:rsidRDefault="00FB452D">
            <w:pPr>
              <w:pStyle w:val="P68B1DB1-Normal11"/>
              <w:jc w:val="center"/>
              <w:rPr>
                <w:rFonts w:ascii="Times New Roman" w:hAnsi="Times New Roman" w:cs="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5F95D6AA" w14:textId="2A5D7B7F" w:rsidR="00BF03AA" w:rsidRPr="00326E55" w:rsidRDefault="00FB452D">
            <w:pPr>
              <w:pStyle w:val="P68B1DB1-Normal11"/>
              <w:jc w:val="center"/>
              <w:rPr>
                <w:rFonts w:ascii="Times New Roman" w:hAnsi="Times New Roman" w:cs="Times New Roman"/>
                <w:noProof/>
                <w:spacing w:val="-6"/>
                <w:szCs w:val="20"/>
                <w:lang w:val="sk-SK"/>
              </w:rPr>
            </w:pPr>
            <w:r w:rsidRPr="00326E55">
              <w:rPr>
                <w:rFonts w:ascii="Times New Roman" w:hAnsi="Times New Roman"/>
                <w:noProof/>
                <w:spacing w:val="-6"/>
                <w:lang w:val="sk-SK"/>
              </w:rPr>
              <w:t>50 942</w:t>
            </w:r>
          </w:p>
        </w:tc>
        <w:tc>
          <w:tcPr>
            <w:tcW w:w="850" w:type="dxa"/>
            <w:shd w:val="clear" w:color="auto" w:fill="C6EFCE"/>
            <w:vAlign w:val="center"/>
          </w:tcPr>
          <w:p w14:paraId="12591C77" w14:textId="3F81E489" w:rsidR="00BF03AA" w:rsidRPr="00326E55" w:rsidRDefault="00FB452D">
            <w:pPr>
              <w:pStyle w:val="P68B1DB1-Normal11"/>
              <w:jc w:val="center"/>
              <w:rPr>
                <w:rFonts w:ascii="Times New Roman" w:hAnsi="Times New Roman" w:cs="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7FA5B980" w14:textId="4A6D42A9" w:rsidR="00BF03AA" w:rsidRPr="00326E55" w:rsidRDefault="00FB452D">
            <w:pPr>
              <w:pStyle w:val="P68B1DB1-Normal11"/>
              <w:spacing w:before="120" w:after="120"/>
              <w:jc w:val="center"/>
              <w:rPr>
                <w:rFonts w:ascii="Times New Roman" w:hAnsi="Times New Roman" w:cs="Times New Roman"/>
                <w:noProof/>
                <w:spacing w:val="-6"/>
                <w:szCs w:val="20"/>
                <w:lang w:val="sk-SK"/>
              </w:rPr>
            </w:pPr>
            <w:r w:rsidRPr="00326E55">
              <w:rPr>
                <w:rFonts w:ascii="Times New Roman" w:hAnsi="Times New Roman"/>
                <w:noProof/>
                <w:spacing w:val="-6"/>
                <w:lang w:val="sk-SK"/>
              </w:rPr>
              <w:t>2026</w:t>
            </w:r>
          </w:p>
        </w:tc>
        <w:tc>
          <w:tcPr>
            <w:tcW w:w="3232" w:type="dxa"/>
            <w:shd w:val="clear" w:color="auto" w:fill="C6EFCE"/>
            <w:vAlign w:val="center"/>
          </w:tcPr>
          <w:p w14:paraId="13CA4D27" w14:textId="2CE7D5C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szCs w:val="20"/>
                <w:lang w:val="sk-SK"/>
              </w:rPr>
              <w:t>V súvislosti</w:t>
            </w:r>
            <w:r w:rsidR="00326E55" w:rsidRPr="00326E55">
              <w:rPr>
                <w:rFonts w:ascii="Times New Roman" w:hAnsi="Times New Roman"/>
                <w:noProof/>
                <w:spacing w:val="-6"/>
                <w:szCs w:val="20"/>
                <w:lang w:val="sk-SK"/>
              </w:rPr>
              <w:t xml:space="preserve"> s </w:t>
            </w:r>
            <w:r w:rsidRPr="00326E55">
              <w:rPr>
                <w:rFonts w:ascii="Times New Roman" w:hAnsi="Times New Roman"/>
                <w:noProof/>
                <w:spacing w:val="-6"/>
                <w:szCs w:val="20"/>
                <w:lang w:val="sk-SK"/>
              </w:rPr>
              <w:t>hmotným investičným majetkom 4,0, nehmotným investičným majetkom, štandardným nehmotným investičným majetkom, výskumnou, vývojovou</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 xml:space="preserve">inováciou </w:t>
            </w:r>
            <w:r w:rsidRPr="00326E55">
              <w:rPr>
                <w:rFonts w:ascii="Times New Roman" w:hAnsi="Times New Roman"/>
                <w:noProof/>
                <w:spacing w:val="-6"/>
                <w:szCs w:val="20"/>
                <w:lang w:val="sk-SK"/>
              </w:rPr>
              <w:t>bolo firmám poskytnutých najmenej 50942 daňových úľav</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prechodnom období 4.0. Daňový úver sa považuje za poskytnutý</w:t>
            </w:r>
            <w:r w:rsidR="00326E55" w:rsidRPr="00326E55">
              <w:rPr>
                <w:rFonts w:ascii="Times New Roman" w:hAnsi="Times New Roman"/>
                <w:noProof/>
                <w:spacing w:val="-6"/>
                <w:szCs w:val="20"/>
                <w:lang w:val="sk-SK"/>
              </w:rPr>
              <w:t xml:space="preserve"> s </w:t>
            </w:r>
            <w:r w:rsidRPr="00326E55">
              <w:rPr>
                <w:rFonts w:ascii="Times New Roman" w:hAnsi="Times New Roman"/>
                <w:noProof/>
                <w:spacing w:val="-6"/>
                <w:szCs w:val="20"/>
                <w:lang w:val="sk-SK"/>
              </w:rPr>
              <w:t>predložením daňového priznania alebo</w:t>
            </w:r>
            <w:r w:rsidR="00326E55" w:rsidRPr="00326E55">
              <w:rPr>
                <w:rFonts w:ascii="Times New Roman" w:hAnsi="Times New Roman"/>
                <w:noProof/>
                <w:spacing w:val="-6"/>
                <w:szCs w:val="20"/>
                <w:lang w:val="sk-SK"/>
              </w:rPr>
              <w:t xml:space="preserve"> s </w:t>
            </w:r>
            <w:r w:rsidRPr="00326E55">
              <w:rPr>
                <w:rFonts w:ascii="Times New Roman" w:hAnsi="Times New Roman"/>
                <w:noProof/>
                <w:spacing w:val="-6"/>
                <w:lang w:val="sk-SK"/>
              </w:rPr>
              <w:t>predložením vyplnených formulárov za roky 2024</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2025 Gestore Servizi Energetici (ďalej len „GSE“)</w:t>
            </w:r>
            <w:r w:rsidRPr="00326E55">
              <w:rPr>
                <w:rFonts w:ascii="Times New Roman" w:hAnsi="Times New Roman"/>
                <w:noProof/>
                <w:spacing w:val="-6"/>
                <w:szCs w:val="20"/>
                <w:lang w:val="sk-SK"/>
              </w:rPr>
              <w:t>. Daňové priznania sa podávajú</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období od 1</w:t>
            </w:r>
            <w:r w:rsidR="00326E55" w:rsidRPr="00326E55">
              <w:rPr>
                <w:rFonts w:ascii="Times New Roman" w:hAnsi="Times New Roman"/>
                <w:noProof/>
                <w:spacing w:val="-6"/>
                <w:szCs w:val="20"/>
                <w:lang w:val="sk-SK"/>
              </w:rPr>
              <w:t>. januára</w:t>
            </w:r>
            <w:r w:rsidRPr="00326E55">
              <w:rPr>
                <w:rFonts w:ascii="Times New Roman" w:hAnsi="Times New Roman"/>
                <w:noProof/>
                <w:spacing w:val="-6"/>
                <w:szCs w:val="20"/>
                <w:lang w:val="sk-SK"/>
              </w:rPr>
              <w:t xml:space="preserve"> 2021 do 31</w:t>
            </w:r>
            <w:r w:rsidR="00326E55" w:rsidRPr="00326E55">
              <w:rPr>
                <w:rFonts w:ascii="Times New Roman" w:hAnsi="Times New Roman"/>
                <w:noProof/>
                <w:spacing w:val="-6"/>
                <w:szCs w:val="20"/>
                <w:lang w:val="sk-SK"/>
              </w:rPr>
              <w:t>. decembra</w:t>
            </w:r>
            <w:r w:rsidRPr="00326E55">
              <w:rPr>
                <w:rFonts w:ascii="Times New Roman" w:hAnsi="Times New Roman"/>
                <w:noProof/>
                <w:spacing w:val="-6"/>
                <w:szCs w:val="20"/>
                <w:lang w:val="sk-SK"/>
              </w:rPr>
              <w:t xml:space="preserve"> 2024.</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prípade spoločností, ktorých daňový rok nezodpovedá kalendárnemu roku, sa koniec posudzovaného obdobia na predkladanie daňových priznaní týkajúcich sa všetkých uvedených daň</w:t>
            </w:r>
            <w:r w:rsidRPr="00326E55">
              <w:rPr>
                <w:rFonts w:ascii="Times New Roman" w:hAnsi="Times New Roman"/>
                <w:noProof/>
                <w:spacing w:val="-6"/>
                <w:szCs w:val="20"/>
                <w:lang w:val="sk-SK"/>
              </w:rPr>
              <w:t>ových úľav predlžuje</w:t>
            </w:r>
            <w:r w:rsidR="00326E55" w:rsidRPr="00326E55">
              <w:rPr>
                <w:rFonts w:ascii="Times New Roman" w:hAnsi="Times New Roman"/>
                <w:noProof/>
                <w:spacing w:val="-6"/>
                <w:szCs w:val="20"/>
                <w:lang w:val="sk-SK"/>
              </w:rPr>
              <w:t xml:space="preserve"> z </w:t>
            </w:r>
            <w:r w:rsidRPr="00326E55">
              <w:rPr>
                <w:rFonts w:ascii="Times New Roman" w:hAnsi="Times New Roman"/>
                <w:noProof/>
                <w:spacing w:val="-6"/>
                <w:szCs w:val="20"/>
                <w:lang w:val="sk-SK"/>
              </w:rPr>
              <w:t>31</w:t>
            </w:r>
            <w:r w:rsidR="00326E55" w:rsidRPr="00326E55">
              <w:rPr>
                <w:rFonts w:ascii="Times New Roman" w:hAnsi="Times New Roman"/>
                <w:noProof/>
                <w:spacing w:val="-6"/>
                <w:szCs w:val="20"/>
                <w:lang w:val="sk-SK"/>
              </w:rPr>
              <w:t>. decembra</w:t>
            </w:r>
            <w:r w:rsidRPr="00326E55">
              <w:rPr>
                <w:rFonts w:ascii="Times New Roman" w:hAnsi="Times New Roman"/>
                <w:noProof/>
                <w:spacing w:val="-6"/>
                <w:szCs w:val="20"/>
                <w:lang w:val="sk-SK"/>
              </w:rPr>
              <w:t xml:space="preserve"> 2024 do 30</w:t>
            </w:r>
            <w:r w:rsidR="00326E55" w:rsidRPr="00326E55">
              <w:rPr>
                <w:rFonts w:ascii="Times New Roman" w:hAnsi="Times New Roman"/>
                <w:noProof/>
                <w:spacing w:val="-6"/>
                <w:szCs w:val="20"/>
                <w:lang w:val="sk-SK"/>
              </w:rPr>
              <w:t>. novembra</w:t>
            </w:r>
            <w:r w:rsidRPr="00326E55">
              <w:rPr>
                <w:rFonts w:ascii="Times New Roman" w:hAnsi="Times New Roman"/>
                <w:noProof/>
                <w:spacing w:val="-6"/>
                <w:szCs w:val="20"/>
                <w:lang w:val="sk-SK"/>
              </w:rPr>
              <w:t xml:space="preserve"> 2025.</w:t>
            </w:r>
          </w:p>
          <w:p w14:paraId="52FE8923" w14:textId="2271F27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Formuláre na vyplnenie sa predložia GSE do 31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2026.</w:t>
            </w:r>
          </w:p>
          <w:p w14:paraId="09DFF7DB" w14:textId="6FE6EB38" w:rsidR="00BF03AA" w:rsidRPr="00326E55" w:rsidRDefault="00FB452D">
            <w:pPr>
              <w:pStyle w:val="P68B1DB1-Normal12"/>
              <w:spacing w:line="240" w:lineRule="auto"/>
              <w:jc w:val="both"/>
              <w:rPr>
                <w:rFonts w:ascii="Times New Roman" w:hAnsi="Times New Roman" w:cs="Times New Roman"/>
                <w:noProof/>
                <w:spacing w:val="-6"/>
                <w:lang w:val="sk-SK"/>
              </w:rPr>
            </w:pPr>
            <w:r w:rsidRPr="00326E55">
              <w:rPr>
                <w:rFonts w:ascii="Times New Roman" w:hAnsi="Times New Roman"/>
                <w:noProof/>
                <w:spacing w:val="-6"/>
                <w:lang w:val="sk-SK"/>
              </w:rPr>
              <w:t>Pre cieľ sa neberú do úvahy žiadne spoločnosti pôsobiace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odvetviach činnosti označených kódmi ATECO 05, 06, 07</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09. Okrem toho, p</w:t>
            </w:r>
            <w:r w:rsidRPr="00326E55">
              <w:rPr>
                <w:rFonts w:ascii="Times New Roman" w:hAnsi="Times New Roman"/>
                <w:noProof/>
                <w:spacing w:val="-6"/>
                <w:lang w:val="sk-SK"/>
              </w:rPr>
              <w:t>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investície do 4.0 hmotného investičného majetku, ako aj do vývojových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inovačných činností, žiadne spoločnosti pôsobiace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odvetviach činnosti označených kódmi ATECO 30. Pre cieľ sa berie do úvahy 22, 29, 38, 41, 42, 43, 17, 01, 50, 19, 20, 51</w:t>
            </w:r>
            <w:r w:rsidRPr="00326E55">
              <w:rPr>
                <w:rFonts w:ascii="Times New Roman" w:hAnsi="Times New Roman"/>
                <w:noProof/>
                <w:spacing w:val="-6"/>
                <w:lang w:val="sk-SK"/>
              </w:rPr>
              <w:t>, 24, 49, 23</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35.</w:t>
            </w:r>
          </w:p>
        </w:tc>
      </w:tr>
    </w:tbl>
    <w:p w14:paraId="2942058E" w14:textId="77777777" w:rsidR="00BF03AA" w:rsidRPr="00326E55" w:rsidRDefault="00BF03AA">
      <w:pPr>
        <w:spacing w:before="120" w:after="120"/>
        <w:jc w:val="both"/>
        <w:rPr>
          <w:rFonts w:ascii="Times New Roman" w:hAnsi="Times New Roman"/>
          <w:b/>
          <w:noProof/>
          <w:spacing w:val="-6"/>
          <w:lang w:val="sk-SK"/>
        </w:rPr>
        <w:sectPr w:rsidR="00BF03AA" w:rsidRPr="00326E55" w:rsidSect="005A558B">
          <w:headerReference w:type="even" r:id="rId54"/>
          <w:headerReference w:type="default" r:id="rId55"/>
          <w:footerReference w:type="even" r:id="rId56"/>
          <w:footerReference w:type="default" r:id="rId57"/>
          <w:headerReference w:type="first" r:id="rId58"/>
          <w:footerReference w:type="first" r:id="rId59"/>
          <w:pgSz w:w="16838" w:h="11906" w:orient="landscape"/>
          <w:pgMar w:top="1440" w:right="1440" w:bottom="1440" w:left="1440" w:header="708" w:footer="708" w:gutter="0"/>
          <w:cols w:space="708"/>
          <w:docGrid w:linePitch="360"/>
        </w:sectPr>
      </w:pPr>
    </w:p>
    <w:p w14:paraId="6B37F458" w14:textId="40525556" w:rsidR="00326E55" w:rsidRPr="00326E55" w:rsidRDefault="00FB452D">
      <w:pPr>
        <w:pStyle w:val="P68B1DB1-Heading23"/>
        <w:ind w:left="1080"/>
        <w:rPr>
          <w:noProof/>
          <w:spacing w:val="-6"/>
          <w:lang w:val="sk-SK"/>
        </w:rPr>
      </w:pPr>
      <w:r w:rsidRPr="00326E55">
        <w:rPr>
          <w:noProof/>
          <w:spacing w:val="-6"/>
          <w:lang w:val="sk-SK"/>
        </w:rPr>
        <w:t>C. ÚLOHA 1 ZLOŽKA 3: Cestovný ruch</w:t>
      </w:r>
      <w:r w:rsidR="00326E55" w:rsidRPr="00326E55">
        <w:rPr>
          <w:noProof/>
          <w:spacing w:val="-6"/>
          <w:lang w:val="sk-SK"/>
        </w:rPr>
        <w:t xml:space="preserve"> a </w:t>
      </w:r>
      <w:r w:rsidRPr="00326E55">
        <w:rPr>
          <w:noProof/>
          <w:spacing w:val="-6"/>
          <w:lang w:val="sk-SK"/>
        </w:rPr>
        <w:t>kultúra 4.0</w:t>
      </w:r>
      <w:r w:rsidR="00326E55" w:rsidRPr="00326E55">
        <w:rPr>
          <w:noProof/>
          <w:spacing w:val="-6"/>
          <w:lang w:val="sk-SK"/>
        </w:rPr>
        <w:t>.</w:t>
      </w:r>
    </w:p>
    <w:p w14:paraId="5D31971D" w14:textId="08E04B8A" w:rsidR="00326E55" w:rsidRPr="00326E55" w:rsidRDefault="00FB452D">
      <w:pPr>
        <w:pStyle w:val="P68B1DB1-Normal8"/>
        <w:spacing w:before="120" w:after="120"/>
        <w:jc w:val="both"/>
        <w:rPr>
          <w:noProof/>
          <w:spacing w:val="-6"/>
          <w:lang w:val="sk-SK"/>
        </w:rPr>
      </w:pPr>
      <w:r w:rsidRPr="00326E55">
        <w:rPr>
          <w:noProof/>
          <w:spacing w:val="-6"/>
          <w:lang w:val="sk-SK"/>
        </w:rPr>
        <w:t>Tento komponent talianskeho plánu obnovy</w:t>
      </w:r>
      <w:r w:rsidR="00326E55" w:rsidRPr="00326E55">
        <w:rPr>
          <w:noProof/>
          <w:spacing w:val="-6"/>
          <w:lang w:val="sk-SK"/>
        </w:rPr>
        <w:t xml:space="preserve"> a </w:t>
      </w:r>
      <w:r w:rsidRPr="00326E55">
        <w:rPr>
          <w:noProof/>
          <w:spacing w:val="-6"/>
          <w:lang w:val="sk-SK"/>
        </w:rPr>
        <w:t xml:space="preserve">odolnosti sa zameriava na oživenie dvoch odvetví výrazne zasiahnutých krízou </w:t>
      </w:r>
      <w:r w:rsidRPr="00326E55">
        <w:rPr>
          <w:noProof/>
          <w:spacing w:val="-6"/>
          <w:lang w:val="sk-SK"/>
        </w:rPr>
        <w:t>spôsobenou ochorením COVID-19: kultúra</w:t>
      </w:r>
      <w:r w:rsidR="00326E55" w:rsidRPr="00326E55">
        <w:rPr>
          <w:noProof/>
          <w:spacing w:val="-6"/>
          <w:lang w:val="sk-SK"/>
        </w:rPr>
        <w:t xml:space="preserve"> a </w:t>
      </w:r>
      <w:r w:rsidRPr="00326E55">
        <w:rPr>
          <w:noProof/>
          <w:spacing w:val="-6"/>
          <w:lang w:val="sk-SK"/>
        </w:rPr>
        <w:t>cestovný ruch. Cieľom opatrení súvisiacich so sektorom kultúry je zvýšiť digitálnu aj fyzickú prístupnosť kultúrnych pamiatok, zvýšiť energetickú efektívnosť</w:t>
      </w:r>
      <w:r w:rsidR="00326E55" w:rsidRPr="00326E55">
        <w:rPr>
          <w:noProof/>
          <w:spacing w:val="-6"/>
          <w:lang w:val="sk-SK"/>
        </w:rPr>
        <w:t xml:space="preserve"> a </w:t>
      </w:r>
      <w:r w:rsidRPr="00326E55">
        <w:rPr>
          <w:noProof/>
          <w:spacing w:val="-6"/>
          <w:lang w:val="sk-SK"/>
        </w:rPr>
        <w:t>bezpečnosť</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prírodnými katastrofami, podp</w:t>
      </w:r>
      <w:r w:rsidRPr="00326E55">
        <w:rPr>
          <w:noProof/>
          <w:spacing w:val="-6"/>
          <w:lang w:val="sk-SK"/>
        </w:rPr>
        <w:t>oriť obnovu kultúrnych</w:t>
      </w:r>
      <w:r w:rsidR="00326E55" w:rsidRPr="00326E55">
        <w:rPr>
          <w:noProof/>
          <w:spacing w:val="-6"/>
          <w:lang w:val="sk-SK"/>
        </w:rPr>
        <w:t xml:space="preserve"> a </w:t>
      </w:r>
      <w:r w:rsidRPr="00326E55">
        <w:rPr>
          <w:noProof/>
          <w:spacing w:val="-6"/>
          <w:lang w:val="sk-SK"/>
        </w:rPr>
        <w:t>kreatívnych sektorov,</w:t>
      </w:r>
      <w:r w:rsidR="00326E55" w:rsidRPr="00326E55">
        <w:rPr>
          <w:noProof/>
          <w:spacing w:val="-6"/>
          <w:lang w:val="sk-SK"/>
        </w:rPr>
        <w:t xml:space="preserve"> a </w:t>
      </w:r>
      <w:r w:rsidRPr="00326E55">
        <w:rPr>
          <w:noProof/>
          <w:spacing w:val="-6"/>
          <w:lang w:val="sk-SK"/>
        </w:rPr>
        <w:t>to aj podporou atraktívnosti malých kultúrnych pamiatok</w:t>
      </w:r>
      <w:r w:rsidR="00326E55" w:rsidRPr="00326E55">
        <w:rPr>
          <w:noProof/>
          <w:spacing w:val="-6"/>
          <w:lang w:val="sk-SK"/>
        </w:rPr>
        <w:t xml:space="preserve"> a </w:t>
      </w:r>
      <w:r w:rsidRPr="00326E55">
        <w:rPr>
          <w:noProof/>
          <w:spacing w:val="-6"/>
          <w:lang w:val="sk-SK"/>
        </w:rPr>
        <w:t>vidieckej architektúry, ako aj posilniť územnú súdržnosť. Predpokladajú sa tri súbory opatrení: I) intervencie na rozvoj kultúrneho dedičstva pre ďal</w:t>
      </w:r>
      <w:r w:rsidRPr="00326E55">
        <w:rPr>
          <w:noProof/>
          <w:spacing w:val="-6"/>
          <w:lang w:val="sk-SK"/>
        </w:rPr>
        <w:t>šiu generáciu vrátane investícií do digitálnej transformácie</w:t>
      </w:r>
      <w:r w:rsidR="00326E55" w:rsidRPr="00326E55">
        <w:rPr>
          <w:noProof/>
          <w:spacing w:val="-6"/>
          <w:lang w:val="sk-SK"/>
        </w:rPr>
        <w:t xml:space="preserve"> a </w:t>
      </w:r>
      <w:r w:rsidRPr="00326E55">
        <w:rPr>
          <w:noProof/>
          <w:spacing w:val="-6"/>
          <w:lang w:val="sk-SK"/>
        </w:rPr>
        <w:t>na zlepšenie energetickej efektívnosti kultúrnych pamiatok; obnova malých historických pamiatok, náboženského</w:t>
      </w:r>
      <w:r w:rsidR="00326E55" w:rsidRPr="00326E55">
        <w:rPr>
          <w:noProof/>
          <w:spacing w:val="-6"/>
          <w:lang w:val="sk-SK"/>
        </w:rPr>
        <w:t xml:space="preserve"> a </w:t>
      </w:r>
      <w:r w:rsidRPr="00326E55">
        <w:rPr>
          <w:noProof/>
          <w:spacing w:val="-6"/>
          <w:lang w:val="sk-SK"/>
        </w:rPr>
        <w:t>vidieckeho dedičstva vedená kultúrou; III) intervencie pre kultúrny</w:t>
      </w:r>
      <w:r w:rsidR="00326E55" w:rsidRPr="00326E55">
        <w:rPr>
          <w:noProof/>
          <w:spacing w:val="-6"/>
          <w:lang w:val="sk-SK"/>
        </w:rPr>
        <w:t xml:space="preserve"> a </w:t>
      </w:r>
      <w:r w:rsidRPr="00326E55">
        <w:rPr>
          <w:noProof/>
          <w:spacing w:val="-6"/>
          <w:lang w:val="sk-SK"/>
        </w:rPr>
        <w:t>kreatívny p</w:t>
      </w:r>
      <w:r w:rsidRPr="00326E55">
        <w:rPr>
          <w:noProof/>
          <w:spacing w:val="-6"/>
          <w:lang w:val="sk-SK"/>
        </w:rPr>
        <w:t>riemysel 4.0. Opatrenia súvisiace</w:t>
      </w:r>
      <w:r w:rsidR="00326E55" w:rsidRPr="00326E55">
        <w:rPr>
          <w:noProof/>
          <w:spacing w:val="-6"/>
          <w:lang w:val="sk-SK"/>
        </w:rPr>
        <w:t xml:space="preserve"> s </w:t>
      </w:r>
      <w:r w:rsidRPr="00326E55">
        <w:rPr>
          <w:noProof/>
          <w:spacing w:val="-6"/>
          <w:lang w:val="sk-SK"/>
        </w:rPr>
        <w:t>cestovným ruchom sú zamerané na zvýšenie konkurencieschopnosti odvetvia,</w:t>
      </w:r>
      <w:r w:rsidR="00326E55" w:rsidRPr="00326E55">
        <w:rPr>
          <w:noProof/>
          <w:spacing w:val="-6"/>
          <w:lang w:val="sk-SK"/>
        </w:rPr>
        <w:t xml:space="preserve"> a </w:t>
      </w:r>
      <w:r w:rsidRPr="00326E55">
        <w:rPr>
          <w:noProof/>
          <w:spacing w:val="-6"/>
          <w:lang w:val="sk-SK"/>
        </w:rPr>
        <w:t>to aj znížením fragmentácie odvetvia</w:t>
      </w:r>
      <w:r w:rsidR="00326E55" w:rsidRPr="00326E55">
        <w:rPr>
          <w:noProof/>
          <w:spacing w:val="-6"/>
          <w:lang w:val="sk-SK"/>
        </w:rPr>
        <w:t xml:space="preserve"> a </w:t>
      </w:r>
      <w:r w:rsidRPr="00326E55">
        <w:rPr>
          <w:noProof/>
          <w:spacing w:val="-6"/>
          <w:lang w:val="sk-SK"/>
        </w:rPr>
        <w:t>zvýšením úspor</w:t>
      </w:r>
      <w:r w:rsidR="00326E55" w:rsidRPr="00326E55">
        <w:rPr>
          <w:noProof/>
          <w:spacing w:val="-6"/>
          <w:lang w:val="sk-SK"/>
        </w:rPr>
        <w:t xml:space="preserve"> z </w:t>
      </w:r>
      <w:r w:rsidRPr="00326E55">
        <w:rPr>
          <w:noProof/>
          <w:spacing w:val="-6"/>
          <w:lang w:val="sk-SK"/>
        </w:rPr>
        <w:t>rozsahu, zlepšením</w:t>
      </w:r>
      <w:r w:rsidR="00326E55" w:rsidRPr="00326E55">
        <w:rPr>
          <w:noProof/>
          <w:spacing w:val="-6"/>
          <w:lang w:val="sk-SK"/>
        </w:rPr>
        <w:t xml:space="preserve"> a </w:t>
      </w:r>
      <w:r w:rsidRPr="00326E55">
        <w:rPr>
          <w:noProof/>
          <w:spacing w:val="-6"/>
          <w:lang w:val="sk-SK"/>
        </w:rPr>
        <w:t>modernizáciou noriem odvetvia ubytovacích</w:t>
      </w:r>
      <w:r w:rsidR="00326E55" w:rsidRPr="00326E55">
        <w:rPr>
          <w:noProof/>
          <w:spacing w:val="-6"/>
          <w:lang w:val="sk-SK"/>
        </w:rPr>
        <w:t xml:space="preserve"> a </w:t>
      </w:r>
      <w:r w:rsidRPr="00326E55">
        <w:rPr>
          <w:noProof/>
          <w:spacing w:val="-6"/>
          <w:lang w:val="sk-SK"/>
        </w:rPr>
        <w:t>ubytovacích</w:t>
      </w:r>
      <w:r w:rsidR="00326E55" w:rsidRPr="00326E55">
        <w:rPr>
          <w:noProof/>
          <w:spacing w:val="-6"/>
          <w:lang w:val="sk-SK"/>
        </w:rPr>
        <w:t xml:space="preserve"> a </w:t>
      </w:r>
      <w:r w:rsidRPr="00326E55">
        <w:rPr>
          <w:noProof/>
          <w:spacing w:val="-6"/>
          <w:lang w:val="sk-SK"/>
        </w:rPr>
        <w:t>ubytovacíc</w:t>
      </w:r>
      <w:r w:rsidRPr="00326E55">
        <w:rPr>
          <w:noProof/>
          <w:spacing w:val="-6"/>
          <w:lang w:val="sk-SK"/>
        </w:rPr>
        <w:t>h služieb, podporou digitálnych inovácií</w:t>
      </w:r>
      <w:r w:rsidR="00326E55" w:rsidRPr="00326E55">
        <w:rPr>
          <w:noProof/>
          <w:spacing w:val="-6"/>
          <w:lang w:val="sk-SK"/>
        </w:rPr>
        <w:t xml:space="preserve"> a </w:t>
      </w:r>
      <w:r w:rsidRPr="00326E55">
        <w:rPr>
          <w:noProof/>
          <w:spacing w:val="-6"/>
          <w:lang w:val="sk-SK"/>
        </w:rPr>
        <w:t>využívania nových technológií prevádzkovateľmi</w:t>
      </w:r>
      <w:r w:rsidR="00326E55" w:rsidRPr="00326E55">
        <w:rPr>
          <w:noProof/>
          <w:spacing w:val="-6"/>
          <w:lang w:val="sk-SK"/>
        </w:rPr>
        <w:t xml:space="preserve"> a </w:t>
      </w:r>
      <w:r w:rsidRPr="00326E55">
        <w:rPr>
          <w:noProof/>
          <w:spacing w:val="-6"/>
          <w:lang w:val="sk-SK"/>
        </w:rPr>
        <w:t>podporou zelenej transformácie tohto odvetvia.</w:t>
      </w:r>
      <w:r w:rsidR="00326E55" w:rsidRPr="00326E55">
        <w:rPr>
          <w:noProof/>
          <w:spacing w:val="-6"/>
          <w:lang w:val="sk-SK"/>
        </w:rPr>
        <w:t xml:space="preserve"> V </w:t>
      </w:r>
      <w:r w:rsidRPr="00326E55">
        <w:rPr>
          <w:noProof/>
          <w:spacing w:val="-6"/>
          <w:lang w:val="sk-SK"/>
        </w:rPr>
        <w:t>tejto súvislosti sa plánujú opatrenia na podporu firiem vrátane MSP pôsobiacich</w:t>
      </w:r>
      <w:r w:rsidR="00326E55" w:rsidRPr="00326E55">
        <w:rPr>
          <w:noProof/>
          <w:spacing w:val="-6"/>
          <w:lang w:val="sk-SK"/>
        </w:rPr>
        <w:t xml:space="preserve"> v </w:t>
      </w:r>
      <w:r w:rsidRPr="00326E55">
        <w:rPr>
          <w:noProof/>
          <w:spacing w:val="-6"/>
          <w:lang w:val="sk-SK"/>
        </w:rPr>
        <w:t>odvetví cestovného ruchu</w:t>
      </w:r>
      <w:r w:rsidR="00326E55" w:rsidRPr="00326E55">
        <w:rPr>
          <w:noProof/>
          <w:spacing w:val="-6"/>
          <w:lang w:val="sk-SK"/>
        </w:rPr>
        <w:t xml:space="preserve"> a </w:t>
      </w:r>
      <w:r w:rsidRPr="00326E55">
        <w:rPr>
          <w:noProof/>
          <w:spacing w:val="-6"/>
          <w:lang w:val="sk-SK"/>
        </w:rPr>
        <w:t>prevád</w:t>
      </w:r>
      <w:r w:rsidRPr="00326E55">
        <w:rPr>
          <w:noProof/>
          <w:spacing w:val="-6"/>
          <w:lang w:val="sk-SK"/>
        </w:rPr>
        <w:t>zkovateľov cestovného ruchu,</w:t>
      </w:r>
      <w:r w:rsidR="00326E55" w:rsidRPr="00326E55">
        <w:rPr>
          <w:noProof/>
          <w:spacing w:val="-6"/>
          <w:lang w:val="sk-SK"/>
        </w:rPr>
        <w:t xml:space="preserve"> a </w:t>
      </w:r>
      <w:r w:rsidRPr="00326E55">
        <w:rPr>
          <w:noProof/>
          <w:spacing w:val="-6"/>
          <w:lang w:val="sk-SK"/>
        </w:rPr>
        <w:t>to aj prostredníctvom investícií do digitálnych nástrojov</w:t>
      </w:r>
      <w:r w:rsidR="00326E55" w:rsidRPr="00326E55">
        <w:rPr>
          <w:noProof/>
          <w:spacing w:val="-6"/>
          <w:lang w:val="sk-SK"/>
        </w:rPr>
        <w:t>.</w:t>
      </w:r>
    </w:p>
    <w:p w14:paraId="7252E976" w14:textId="6476E1E7" w:rsidR="00326E55" w:rsidRPr="00326E55" w:rsidRDefault="00FB452D">
      <w:pPr>
        <w:pStyle w:val="P68B1DB1-Normal8"/>
        <w:spacing w:before="120" w:after="120"/>
        <w:jc w:val="both"/>
        <w:rPr>
          <w:noProof/>
          <w:spacing w:val="-6"/>
          <w:lang w:val="sk-SK"/>
        </w:rPr>
      </w:pPr>
      <w:r w:rsidRPr="00326E55">
        <w:rPr>
          <w:noProof/>
          <w:spacing w:val="-6"/>
          <w:lang w:val="sk-SK"/>
        </w:rPr>
        <w:t>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rámci tohto komponentu prispejú</w:t>
      </w:r>
      <w:r w:rsidR="00326E55" w:rsidRPr="00326E55">
        <w:rPr>
          <w:noProof/>
          <w:spacing w:val="-6"/>
          <w:lang w:val="sk-SK"/>
        </w:rPr>
        <w:t xml:space="preserve"> k </w:t>
      </w:r>
      <w:r w:rsidRPr="00326E55">
        <w:rPr>
          <w:noProof/>
          <w:spacing w:val="-6"/>
          <w:lang w:val="sk-SK"/>
        </w:rPr>
        <w:t>riešeniu odporúčaní pre jednotlivé krajiny adresovaných Taliansku, najmä pokiaľ ide</w:t>
      </w:r>
      <w:r w:rsidR="00326E55" w:rsidRPr="00326E55">
        <w:rPr>
          <w:noProof/>
          <w:spacing w:val="-6"/>
          <w:lang w:val="sk-SK"/>
        </w:rPr>
        <w:t xml:space="preserve"> o </w:t>
      </w:r>
      <w:r w:rsidRPr="00326E55">
        <w:rPr>
          <w:noProof/>
          <w:spacing w:val="-6"/>
          <w:lang w:val="sk-SK"/>
        </w:rPr>
        <w:t>potrebu „podporovať súk</w:t>
      </w:r>
      <w:r w:rsidRPr="00326E55">
        <w:rPr>
          <w:noProof/>
          <w:spacing w:val="-6"/>
          <w:lang w:val="sk-SK"/>
        </w:rPr>
        <w:t>romné investície</w:t>
      </w:r>
      <w:r w:rsidR="00326E55" w:rsidRPr="00326E55">
        <w:rPr>
          <w:noProof/>
          <w:spacing w:val="-6"/>
          <w:lang w:val="sk-SK"/>
        </w:rPr>
        <w:t xml:space="preserve"> s </w:t>
      </w:r>
      <w:r w:rsidRPr="00326E55">
        <w:rPr>
          <w:noProof/>
          <w:spacing w:val="-6"/>
          <w:lang w:val="sk-SK"/>
        </w:rPr>
        <w:t>cieľom podporiť oživenie hospodárstva</w:t>
      </w:r>
      <w:r w:rsidR="00326E55" w:rsidRPr="00326E55">
        <w:rPr>
          <w:noProof/>
          <w:spacing w:val="-6"/>
          <w:lang w:val="sk-SK"/>
        </w:rPr>
        <w:t xml:space="preserve"> a </w:t>
      </w:r>
      <w:r w:rsidRPr="00326E55">
        <w:rPr>
          <w:noProof/>
          <w:spacing w:val="-6"/>
          <w:lang w:val="sk-SK"/>
        </w:rPr>
        <w:t>zamerať investície na zelenú</w:t>
      </w:r>
      <w:r w:rsidR="00326E55" w:rsidRPr="00326E55">
        <w:rPr>
          <w:noProof/>
          <w:spacing w:val="-6"/>
          <w:lang w:val="sk-SK"/>
        </w:rPr>
        <w:t xml:space="preserve"> a </w:t>
      </w:r>
      <w:r w:rsidRPr="00326E55">
        <w:rPr>
          <w:noProof/>
          <w:spacing w:val="-6"/>
          <w:lang w:val="sk-SK"/>
        </w:rPr>
        <w:t xml:space="preserve">digitálnu transformáciu“ (odporúčanie pre Španielsko </w:t>
      </w:r>
      <w:r w:rsidR="00326E55" w:rsidRPr="00326E55">
        <w:rPr>
          <w:noProof/>
          <w:spacing w:val="-6"/>
          <w:lang w:val="sk-SK"/>
        </w:rPr>
        <w:t>č. </w:t>
      </w:r>
      <w:r w:rsidRPr="00326E55">
        <w:rPr>
          <w:noProof/>
          <w:spacing w:val="-6"/>
          <w:lang w:val="sk-SK"/>
        </w:rPr>
        <w:t>3, 2020). Podporujú aj sociálnu</w:t>
      </w:r>
      <w:r w:rsidR="00326E55" w:rsidRPr="00326E55">
        <w:rPr>
          <w:noProof/>
          <w:spacing w:val="-6"/>
          <w:lang w:val="sk-SK"/>
        </w:rPr>
        <w:t xml:space="preserve"> a </w:t>
      </w:r>
      <w:r w:rsidRPr="00326E55">
        <w:rPr>
          <w:noProof/>
          <w:spacing w:val="-6"/>
          <w:lang w:val="sk-SK"/>
        </w:rPr>
        <w:t>územnú súdržnosť</w:t>
      </w:r>
      <w:r w:rsidR="00326E55" w:rsidRPr="00326E55">
        <w:rPr>
          <w:noProof/>
          <w:spacing w:val="-6"/>
          <w:lang w:val="sk-SK"/>
        </w:rPr>
        <w:t xml:space="preserve"> a </w:t>
      </w:r>
      <w:r w:rsidRPr="00326E55">
        <w:rPr>
          <w:noProof/>
          <w:spacing w:val="-6"/>
          <w:lang w:val="sk-SK"/>
        </w:rPr>
        <w:t>konkurencieschopnosť talianskeho hospodárstva</w:t>
      </w:r>
      <w:r w:rsidR="00326E55" w:rsidRPr="00326E55">
        <w:rPr>
          <w:noProof/>
          <w:spacing w:val="-6"/>
          <w:lang w:val="sk-SK"/>
        </w:rPr>
        <w:t xml:space="preserve"> a </w:t>
      </w:r>
      <w:r w:rsidRPr="00326E55">
        <w:rPr>
          <w:noProof/>
          <w:spacing w:val="-6"/>
          <w:lang w:val="sk-SK"/>
        </w:rPr>
        <w:t>zároveň p</w:t>
      </w:r>
      <w:r w:rsidRPr="00326E55">
        <w:rPr>
          <w:noProof/>
          <w:spacing w:val="-6"/>
          <w:lang w:val="sk-SK"/>
        </w:rPr>
        <w:t>odporujú digitalizáciu</w:t>
      </w:r>
      <w:r w:rsidR="00326E55" w:rsidRPr="00326E55">
        <w:rPr>
          <w:noProof/>
          <w:spacing w:val="-6"/>
          <w:lang w:val="sk-SK"/>
        </w:rPr>
        <w:t xml:space="preserve"> a </w:t>
      </w:r>
      <w:r w:rsidRPr="00326E55">
        <w:rPr>
          <w:noProof/>
          <w:spacing w:val="-6"/>
          <w:lang w:val="sk-SK"/>
        </w:rPr>
        <w:t>udržateľnosť odvetvia cestovného ruchu</w:t>
      </w:r>
      <w:r w:rsidR="00326E55" w:rsidRPr="00326E55">
        <w:rPr>
          <w:noProof/>
          <w:spacing w:val="-6"/>
          <w:lang w:val="sk-SK"/>
        </w:rPr>
        <w:t>.</w:t>
      </w:r>
    </w:p>
    <w:p w14:paraId="02730FEA" w14:textId="3EF7F728" w:rsidR="00BF03AA" w:rsidRPr="00326E55" w:rsidRDefault="00FB452D">
      <w:pPr>
        <w:pStyle w:val="P68B1DB1-Heading341"/>
        <w:ind w:left="850" w:hanging="850"/>
        <w:rPr>
          <w:rFonts w:ascii="Times New Roman" w:eastAsia="Times New Roman" w:hAnsi="Times New Roman" w:cs="Times New Roman"/>
          <w:b/>
          <w:bCs/>
          <w:i/>
          <w:iCs/>
          <w:noProof/>
          <w:spacing w:val="-6"/>
          <w:u w:val="single"/>
          <w:lang w:val="sk-SK"/>
        </w:rPr>
      </w:pPr>
      <w:r w:rsidRPr="00326E55">
        <w:rPr>
          <w:rFonts w:ascii="Times New Roman" w:eastAsia="Times New Roman" w:hAnsi="Times New Roman" w:cs="Times New Roman"/>
          <w:b/>
          <w:noProof/>
          <w:spacing w:val="-6"/>
          <w:u w:val="single"/>
          <w:lang w:val="sk-SK"/>
        </w:rPr>
        <w:t xml:space="preserve">C.1. </w:t>
      </w:r>
      <w:r w:rsidRPr="00326E55">
        <w:rPr>
          <w:rFonts w:ascii="Times New Roman" w:hAnsi="Times New Roman" w:cs="Times New Roman"/>
          <w:noProof/>
          <w:spacing w:val="-6"/>
          <w:lang w:val="sk-SK"/>
        </w:rPr>
        <w:t xml:space="preserve"> </w:t>
      </w:r>
      <w:r w:rsidRPr="00326E55">
        <w:rPr>
          <w:rFonts w:ascii="Times New Roman" w:eastAsia="Times New Roman" w:hAnsi="Times New Roman" w:cs="Times New Roman"/>
          <w:b/>
          <w:noProof/>
          <w:spacing w:val="-6"/>
          <w:u w:val="single"/>
          <w:lang w:val="sk-SK"/>
        </w:rPr>
        <w:t>Opis reforiem</w:t>
      </w:r>
      <w:r w:rsidR="00326E55" w:rsidRPr="00326E55">
        <w:rPr>
          <w:rFonts w:ascii="Times New Roman" w:eastAsia="Times New Roman" w:hAnsi="Times New Roman" w:cs="Times New Roman"/>
          <w:b/>
          <w:noProof/>
          <w:spacing w:val="-6"/>
          <w:u w:val="single"/>
          <w:lang w:val="sk-SK"/>
        </w:rPr>
        <w:t xml:space="preserve"> a </w:t>
      </w:r>
      <w:r w:rsidRPr="00326E55">
        <w:rPr>
          <w:rFonts w:ascii="Times New Roman" w:eastAsia="Times New Roman" w:hAnsi="Times New Roman" w:cs="Times New Roman"/>
          <w:b/>
          <w:noProof/>
          <w:spacing w:val="-6"/>
          <w:u w:val="single"/>
          <w:lang w:val="sk-SK"/>
        </w:rPr>
        <w:t>investícií</w:t>
      </w:r>
      <w:r w:rsidR="00326E55" w:rsidRPr="00326E55">
        <w:rPr>
          <w:rFonts w:ascii="Times New Roman" w:eastAsia="Times New Roman" w:hAnsi="Times New Roman" w:cs="Times New Roman"/>
          <w:b/>
          <w:noProof/>
          <w:spacing w:val="-6"/>
          <w:u w:val="single"/>
          <w:lang w:val="sk-SK"/>
        </w:rPr>
        <w:t xml:space="preserve"> v </w:t>
      </w:r>
      <w:r w:rsidRPr="00326E55">
        <w:rPr>
          <w:rFonts w:ascii="Times New Roman" w:eastAsia="Times New Roman" w:hAnsi="Times New Roman" w:cs="Times New Roman"/>
          <w:b/>
          <w:noProof/>
          <w:spacing w:val="-6"/>
          <w:u w:val="single"/>
          <w:lang w:val="sk-SK"/>
        </w:rPr>
        <w:t>rámci nenávratnej finančnej podpory</w:t>
      </w:r>
    </w:p>
    <w:p w14:paraId="20451F01" w14:textId="77777777" w:rsidR="00326E55" w:rsidRPr="00326E55" w:rsidRDefault="00FB452D">
      <w:pPr>
        <w:pStyle w:val="P68B1DB1-Normal29"/>
        <w:spacing w:before="120" w:after="120"/>
        <w:jc w:val="both"/>
        <w:rPr>
          <w:noProof/>
          <w:spacing w:val="-6"/>
          <w:lang w:val="sk-SK"/>
        </w:rPr>
      </w:pPr>
      <w:r w:rsidRPr="00326E55">
        <w:rPr>
          <w:noProof/>
          <w:spacing w:val="-6"/>
          <w:lang w:val="sk-SK"/>
        </w:rPr>
        <w:t>Investícia 1.1 Digitálna stratégia</w:t>
      </w:r>
      <w:r w:rsidR="00326E55" w:rsidRPr="00326E55">
        <w:rPr>
          <w:noProof/>
          <w:spacing w:val="-6"/>
          <w:lang w:val="sk-SK"/>
        </w:rPr>
        <w:t xml:space="preserve"> a </w:t>
      </w:r>
      <w:r w:rsidRPr="00326E55">
        <w:rPr>
          <w:noProof/>
          <w:spacing w:val="-6"/>
          <w:lang w:val="sk-SK"/>
        </w:rPr>
        <w:t>platformy kultúrneho dedičstva</w:t>
      </w:r>
    </w:p>
    <w:p w14:paraId="22B07993" w14:textId="01B5387F" w:rsidR="00BF03AA" w:rsidRPr="00326E55" w:rsidRDefault="00FB452D">
      <w:pPr>
        <w:pStyle w:val="P68B1DB1-Normal8"/>
        <w:spacing w:before="120" w:after="120"/>
        <w:jc w:val="both"/>
        <w:rPr>
          <w:noProof/>
          <w:spacing w:val="-6"/>
          <w:lang w:val="sk-SK"/>
        </w:rPr>
      </w:pPr>
      <w:r w:rsidRPr="00326E55">
        <w:rPr>
          <w:noProof/>
          <w:spacing w:val="-6"/>
          <w:lang w:val="sk-SK"/>
        </w:rPr>
        <w:t xml:space="preserve">Cieľom tohto opatrenia je digitalizovať talianske </w:t>
      </w:r>
      <w:r w:rsidRPr="00326E55">
        <w:rPr>
          <w:noProof/>
          <w:spacing w:val="-6"/>
          <w:lang w:val="sk-SK"/>
        </w:rPr>
        <w:t>kultúrne dedičstvo</w:t>
      </w:r>
      <w:r w:rsidR="00326E55" w:rsidRPr="00326E55">
        <w:rPr>
          <w:noProof/>
          <w:spacing w:val="-6"/>
          <w:lang w:val="sk-SK"/>
        </w:rPr>
        <w:t xml:space="preserve"> a </w:t>
      </w:r>
      <w:r w:rsidRPr="00326E55">
        <w:rPr>
          <w:noProof/>
          <w:spacing w:val="-6"/>
          <w:lang w:val="sk-SK"/>
        </w:rPr>
        <w:t>poskytnúť prístup ku kultúrnym zdrojom</w:t>
      </w:r>
      <w:r w:rsidR="00326E55" w:rsidRPr="00326E55">
        <w:rPr>
          <w:noProof/>
          <w:spacing w:val="-6"/>
          <w:lang w:val="sk-SK"/>
        </w:rPr>
        <w:t xml:space="preserve"> a </w:t>
      </w:r>
      <w:r w:rsidRPr="00326E55">
        <w:rPr>
          <w:noProof/>
          <w:spacing w:val="-6"/>
          <w:lang w:val="sk-SK"/>
        </w:rPr>
        <w:t>digitálnym službám. Opatrenie pozostáva</w:t>
      </w:r>
      <w:r w:rsidR="00326E55" w:rsidRPr="00326E55">
        <w:rPr>
          <w:noProof/>
          <w:spacing w:val="-6"/>
          <w:lang w:val="sk-SK"/>
        </w:rPr>
        <w:t xml:space="preserve"> z </w:t>
      </w:r>
      <w:r w:rsidRPr="00326E55">
        <w:rPr>
          <w:noProof/>
          <w:spacing w:val="-6"/>
          <w:lang w:val="sk-SK"/>
        </w:rPr>
        <w:t>vytvorenia digitálnej infraštruktúry na zber, integráciu</w:t>
      </w:r>
      <w:r w:rsidR="00326E55" w:rsidRPr="00326E55">
        <w:rPr>
          <w:noProof/>
          <w:spacing w:val="-6"/>
          <w:lang w:val="sk-SK"/>
        </w:rPr>
        <w:t xml:space="preserve"> a </w:t>
      </w:r>
      <w:r w:rsidRPr="00326E55">
        <w:rPr>
          <w:noProof/>
          <w:spacing w:val="-6"/>
          <w:lang w:val="sk-SK"/>
        </w:rPr>
        <w:t>uchovávanie digitálnych zdrojov</w:t>
      </w:r>
      <w:r w:rsidR="00326E55" w:rsidRPr="00326E55">
        <w:rPr>
          <w:noProof/>
          <w:spacing w:val="-6"/>
          <w:lang w:val="sk-SK"/>
        </w:rPr>
        <w:t xml:space="preserve"> a </w:t>
      </w:r>
      <w:r w:rsidRPr="00326E55">
        <w:rPr>
          <w:noProof/>
          <w:spacing w:val="-6"/>
          <w:lang w:val="sk-SK"/>
        </w:rPr>
        <w:t>ich sprístupnenia na verejné použitie prostredníctvom špeci</w:t>
      </w:r>
      <w:r w:rsidRPr="00326E55">
        <w:rPr>
          <w:noProof/>
          <w:spacing w:val="-6"/>
          <w:lang w:val="sk-SK"/>
        </w:rPr>
        <w:t>alizovaných platforiem.</w:t>
      </w:r>
    </w:p>
    <w:p w14:paraId="6734CF59" w14:textId="259C7509" w:rsidR="00BF03AA" w:rsidRPr="00326E55" w:rsidRDefault="00FB452D">
      <w:pPr>
        <w:pStyle w:val="P68B1DB1-Normal29"/>
        <w:spacing w:before="120" w:after="120"/>
        <w:jc w:val="both"/>
        <w:rPr>
          <w:bCs/>
          <w:noProof/>
          <w:spacing w:val="-6"/>
          <w:lang w:val="sk-SK"/>
        </w:rPr>
      </w:pPr>
      <w:r w:rsidRPr="00326E55">
        <w:rPr>
          <w:noProof/>
          <w:spacing w:val="-6"/>
          <w:lang w:val="sk-SK"/>
        </w:rPr>
        <w:t>Investícia 1.2: Odstránenie fyzických</w:t>
      </w:r>
      <w:r w:rsidR="00326E55" w:rsidRPr="00326E55">
        <w:rPr>
          <w:noProof/>
          <w:spacing w:val="-6"/>
          <w:lang w:val="sk-SK"/>
        </w:rPr>
        <w:t xml:space="preserve"> a </w:t>
      </w:r>
      <w:r w:rsidRPr="00326E55">
        <w:rPr>
          <w:noProof/>
          <w:spacing w:val="-6"/>
          <w:lang w:val="sk-SK"/>
        </w:rPr>
        <w:t>kognitívnych prekážok</w:t>
      </w:r>
      <w:r w:rsidR="00326E55" w:rsidRPr="00326E55">
        <w:rPr>
          <w:noProof/>
          <w:spacing w:val="-6"/>
          <w:lang w:val="sk-SK"/>
        </w:rPr>
        <w:t xml:space="preserve"> v </w:t>
      </w:r>
      <w:r w:rsidRPr="00326E55">
        <w:rPr>
          <w:noProof/>
          <w:spacing w:val="-6"/>
          <w:lang w:val="sk-SK"/>
        </w:rPr>
        <w:t>múzeách, knižniciach</w:t>
      </w:r>
      <w:r w:rsidR="00326E55" w:rsidRPr="00326E55">
        <w:rPr>
          <w:noProof/>
          <w:spacing w:val="-6"/>
          <w:lang w:val="sk-SK"/>
        </w:rPr>
        <w:t xml:space="preserve"> a </w:t>
      </w:r>
      <w:r w:rsidRPr="00326E55">
        <w:rPr>
          <w:noProof/>
          <w:spacing w:val="-6"/>
          <w:lang w:val="sk-SK"/>
        </w:rPr>
        <w:t>archívoch</w:t>
      </w:r>
      <w:r w:rsidR="00326E55" w:rsidRPr="00326E55">
        <w:rPr>
          <w:noProof/>
          <w:spacing w:val="-6"/>
          <w:lang w:val="sk-SK"/>
        </w:rPr>
        <w:t xml:space="preserve"> s </w:t>
      </w:r>
      <w:r w:rsidRPr="00326E55">
        <w:rPr>
          <w:noProof/>
          <w:spacing w:val="-6"/>
          <w:lang w:val="sk-SK"/>
        </w:rPr>
        <w:t>cieľom umožniť širší prístup ku kultúre</w:t>
      </w:r>
      <w:r w:rsidR="00326E55" w:rsidRPr="00326E55">
        <w:rPr>
          <w:noProof/>
          <w:spacing w:val="-6"/>
          <w:lang w:val="sk-SK"/>
        </w:rPr>
        <w:t xml:space="preserve"> a </w:t>
      </w:r>
      <w:r w:rsidRPr="00326E55">
        <w:rPr>
          <w:noProof/>
          <w:spacing w:val="-6"/>
          <w:lang w:val="sk-SK"/>
        </w:rPr>
        <w:t>účasť na nej</w:t>
      </w:r>
    </w:p>
    <w:p w14:paraId="70036617" w14:textId="16F9DF4D" w:rsidR="00BF03AA" w:rsidRPr="00326E55" w:rsidRDefault="00FB452D">
      <w:pPr>
        <w:pStyle w:val="P68B1DB1-Normal8"/>
        <w:spacing w:before="120" w:after="120"/>
        <w:jc w:val="both"/>
        <w:rPr>
          <w:noProof/>
          <w:spacing w:val="-6"/>
          <w:lang w:val="sk-SK"/>
        </w:rPr>
      </w:pPr>
      <w:r w:rsidRPr="00326E55">
        <w:rPr>
          <w:noProof/>
          <w:spacing w:val="-6"/>
          <w:lang w:val="sk-SK"/>
        </w:rPr>
        <w:t>Cieľom tohto opatrenia je umožniť fyzický</w:t>
      </w:r>
      <w:r w:rsidR="00326E55" w:rsidRPr="00326E55">
        <w:rPr>
          <w:noProof/>
          <w:spacing w:val="-6"/>
          <w:lang w:val="sk-SK"/>
        </w:rPr>
        <w:t xml:space="preserve"> a </w:t>
      </w:r>
      <w:r w:rsidRPr="00326E55">
        <w:rPr>
          <w:noProof/>
          <w:spacing w:val="-6"/>
          <w:lang w:val="sk-SK"/>
        </w:rPr>
        <w:t>kognitívny prístup</w:t>
      </w:r>
      <w:r w:rsidR="00326E55" w:rsidRPr="00326E55">
        <w:rPr>
          <w:noProof/>
          <w:spacing w:val="-6"/>
          <w:lang w:val="sk-SK"/>
        </w:rPr>
        <w:t xml:space="preserve"> k </w:t>
      </w:r>
      <w:r w:rsidRPr="00326E55">
        <w:rPr>
          <w:noProof/>
          <w:spacing w:val="-6"/>
          <w:lang w:val="sk-SK"/>
        </w:rPr>
        <w:t>viacerým tali</w:t>
      </w:r>
      <w:r w:rsidRPr="00326E55">
        <w:rPr>
          <w:noProof/>
          <w:spacing w:val="-6"/>
          <w:lang w:val="sk-SK"/>
        </w:rPr>
        <w:t>anskym kultúrnym inštitúciám. Opatrenie spočíva</w:t>
      </w:r>
      <w:r w:rsidR="00326E55" w:rsidRPr="00326E55">
        <w:rPr>
          <w:noProof/>
          <w:spacing w:val="-6"/>
          <w:lang w:val="sk-SK"/>
        </w:rPr>
        <w:t xml:space="preserve"> v </w:t>
      </w:r>
      <w:r w:rsidRPr="00326E55">
        <w:rPr>
          <w:noProof/>
          <w:spacing w:val="-6"/>
          <w:lang w:val="sk-SK"/>
        </w:rPr>
        <w:t>odstránení architektonických</w:t>
      </w:r>
      <w:r w:rsidR="00326E55" w:rsidRPr="00326E55">
        <w:rPr>
          <w:noProof/>
          <w:spacing w:val="-6"/>
          <w:lang w:val="sk-SK"/>
        </w:rPr>
        <w:t xml:space="preserve"> a </w:t>
      </w:r>
      <w:r w:rsidRPr="00326E55">
        <w:rPr>
          <w:noProof/>
          <w:spacing w:val="-6"/>
          <w:lang w:val="sk-SK"/>
        </w:rPr>
        <w:t>kognitívnych prekážok</w:t>
      </w:r>
      <w:r w:rsidR="00326E55" w:rsidRPr="00326E55">
        <w:rPr>
          <w:noProof/>
          <w:spacing w:val="-6"/>
          <w:lang w:val="sk-SK"/>
        </w:rPr>
        <w:t xml:space="preserve"> v </w:t>
      </w:r>
      <w:r w:rsidRPr="00326E55">
        <w:rPr>
          <w:noProof/>
          <w:spacing w:val="-6"/>
          <w:lang w:val="sk-SK"/>
        </w:rPr>
        <w:t>talianskych kultúrnych inštitúciách.</w:t>
      </w:r>
    </w:p>
    <w:p w14:paraId="4D707B9D" w14:textId="77777777" w:rsidR="00BF03AA" w:rsidRPr="00326E55" w:rsidRDefault="00FB452D">
      <w:pPr>
        <w:pStyle w:val="P68B1DB1-Normal8"/>
        <w:rPr>
          <w:b/>
          <w:bCs/>
          <w:noProof/>
          <w:spacing w:val="-6"/>
          <w:lang w:val="sk-SK"/>
        </w:rPr>
      </w:pPr>
      <w:r w:rsidRPr="00326E55">
        <w:rPr>
          <w:noProof/>
          <w:spacing w:val="-6"/>
          <w:lang w:val="sk-SK"/>
        </w:rPr>
        <w:br w:type="page"/>
      </w:r>
    </w:p>
    <w:p w14:paraId="6F43083B" w14:textId="73B2EC15" w:rsidR="00BF03AA" w:rsidRPr="00326E55" w:rsidRDefault="00FB452D">
      <w:pPr>
        <w:pStyle w:val="P68B1DB1-Normal29"/>
        <w:spacing w:before="120" w:after="120"/>
        <w:jc w:val="both"/>
        <w:rPr>
          <w:bCs/>
          <w:noProof/>
          <w:spacing w:val="-6"/>
          <w:lang w:val="sk-SK"/>
        </w:rPr>
      </w:pPr>
      <w:r w:rsidRPr="00326E55">
        <w:rPr>
          <w:noProof/>
          <w:spacing w:val="-6"/>
          <w:lang w:val="sk-SK"/>
        </w:rPr>
        <w:t>Investícia 1.3: Zlepšiť energetickú účinnosť</w:t>
      </w:r>
      <w:r w:rsidR="00326E55" w:rsidRPr="00326E55">
        <w:rPr>
          <w:noProof/>
          <w:spacing w:val="-6"/>
          <w:lang w:val="sk-SK"/>
        </w:rPr>
        <w:t xml:space="preserve"> v </w:t>
      </w:r>
      <w:r w:rsidRPr="00326E55">
        <w:rPr>
          <w:noProof/>
          <w:spacing w:val="-6"/>
          <w:lang w:val="sk-SK"/>
        </w:rPr>
        <w:t>kinách, divadlách</w:t>
      </w:r>
      <w:r w:rsidR="00326E55" w:rsidRPr="00326E55">
        <w:rPr>
          <w:noProof/>
          <w:spacing w:val="-6"/>
          <w:lang w:val="sk-SK"/>
        </w:rPr>
        <w:t xml:space="preserve"> a </w:t>
      </w:r>
      <w:r w:rsidRPr="00326E55">
        <w:rPr>
          <w:noProof/>
          <w:spacing w:val="-6"/>
          <w:lang w:val="sk-SK"/>
        </w:rPr>
        <w:t>múzeách</w:t>
      </w:r>
    </w:p>
    <w:p w14:paraId="799FA33C" w14:textId="4463E7A3" w:rsidR="00BF03AA" w:rsidRPr="00326E55" w:rsidRDefault="00FB452D">
      <w:pPr>
        <w:pStyle w:val="P68B1DB1-Normal8"/>
        <w:spacing w:before="120" w:after="120"/>
        <w:jc w:val="both"/>
        <w:rPr>
          <w:noProof/>
          <w:spacing w:val="-6"/>
          <w:lang w:val="sk-SK"/>
        </w:rPr>
      </w:pPr>
      <w:r w:rsidRPr="00326E55">
        <w:rPr>
          <w:noProof/>
          <w:spacing w:val="-6"/>
          <w:lang w:val="sk-SK"/>
        </w:rPr>
        <w:t xml:space="preserve">Cieľom tohto opatrenia je zvýšiť </w:t>
      </w:r>
      <w:r w:rsidRPr="00326E55">
        <w:rPr>
          <w:noProof/>
          <w:spacing w:val="-6"/>
          <w:lang w:val="sk-SK"/>
        </w:rPr>
        <w:t>energetickú účinnosť kultúrnych</w:t>
      </w:r>
      <w:r w:rsidR="00326E55" w:rsidRPr="00326E55">
        <w:rPr>
          <w:noProof/>
          <w:spacing w:val="-6"/>
          <w:lang w:val="sk-SK"/>
        </w:rPr>
        <w:t xml:space="preserve"> a </w:t>
      </w:r>
      <w:r w:rsidRPr="00326E55">
        <w:rPr>
          <w:noProof/>
          <w:spacing w:val="-6"/>
          <w:lang w:val="sk-SK"/>
        </w:rPr>
        <w:t>kreatívnych priestorov, ako sú verejné</w:t>
      </w:r>
      <w:r w:rsidR="00326E55" w:rsidRPr="00326E55">
        <w:rPr>
          <w:noProof/>
          <w:spacing w:val="-6"/>
          <w:lang w:val="sk-SK"/>
        </w:rPr>
        <w:t xml:space="preserve"> a </w:t>
      </w:r>
      <w:r w:rsidRPr="00326E55">
        <w:rPr>
          <w:noProof/>
          <w:spacing w:val="-6"/>
          <w:lang w:val="sk-SK"/>
        </w:rPr>
        <w:t>súkromné múzeá, kiná</w:t>
      </w:r>
      <w:r w:rsidR="00326E55" w:rsidRPr="00326E55">
        <w:rPr>
          <w:noProof/>
          <w:spacing w:val="-6"/>
          <w:lang w:val="sk-SK"/>
        </w:rPr>
        <w:t xml:space="preserve"> a </w:t>
      </w:r>
      <w:r w:rsidRPr="00326E55">
        <w:rPr>
          <w:noProof/>
          <w:spacing w:val="-6"/>
          <w:lang w:val="sk-SK"/>
        </w:rPr>
        <w:t>divadlá. Opatrenie pozostáva</w:t>
      </w:r>
      <w:r w:rsidR="00326E55" w:rsidRPr="00326E55">
        <w:rPr>
          <w:noProof/>
          <w:spacing w:val="-6"/>
          <w:lang w:val="sk-SK"/>
        </w:rPr>
        <w:t xml:space="preserve"> z </w:t>
      </w:r>
      <w:r w:rsidRPr="00326E55">
        <w:rPr>
          <w:noProof/>
          <w:spacing w:val="-6"/>
          <w:lang w:val="sk-SK"/>
        </w:rPr>
        <w:t>intervencií</w:t>
      </w:r>
      <w:r w:rsidR="00326E55" w:rsidRPr="00326E55">
        <w:rPr>
          <w:noProof/>
          <w:spacing w:val="-6"/>
          <w:lang w:val="sk-SK"/>
        </w:rPr>
        <w:t xml:space="preserve"> v </w:t>
      </w:r>
      <w:r w:rsidRPr="00326E55">
        <w:rPr>
          <w:noProof/>
          <w:spacing w:val="-6"/>
          <w:lang w:val="sk-SK"/>
        </w:rPr>
        <w:t>oblasti energetickej efektívnosti</w:t>
      </w:r>
      <w:r w:rsidR="00326E55" w:rsidRPr="00326E55">
        <w:rPr>
          <w:noProof/>
          <w:spacing w:val="-6"/>
          <w:lang w:val="sk-SK"/>
        </w:rPr>
        <w:t xml:space="preserve"> v </w:t>
      </w:r>
      <w:r w:rsidRPr="00326E55">
        <w:rPr>
          <w:noProof/>
          <w:spacing w:val="-6"/>
          <w:lang w:val="sk-SK"/>
        </w:rPr>
        <w:t>kultúrnych</w:t>
      </w:r>
      <w:r w:rsidR="00326E55" w:rsidRPr="00326E55">
        <w:rPr>
          <w:noProof/>
          <w:spacing w:val="-6"/>
          <w:lang w:val="sk-SK"/>
        </w:rPr>
        <w:t xml:space="preserve"> a </w:t>
      </w:r>
      <w:r w:rsidRPr="00326E55">
        <w:rPr>
          <w:noProof/>
          <w:spacing w:val="-6"/>
          <w:lang w:val="sk-SK"/>
        </w:rPr>
        <w:t>kreatívnych priestoroch.</w:t>
      </w:r>
    </w:p>
    <w:p w14:paraId="7C4632E6" w14:textId="77777777" w:rsidR="00BF03AA" w:rsidRPr="00326E55" w:rsidRDefault="00FB452D">
      <w:pPr>
        <w:pStyle w:val="P68B1DB1-Normal29"/>
        <w:spacing w:before="120" w:after="120"/>
        <w:jc w:val="both"/>
        <w:rPr>
          <w:noProof/>
          <w:spacing w:val="-6"/>
          <w:lang w:val="sk-SK"/>
        </w:rPr>
      </w:pPr>
      <w:r w:rsidRPr="00326E55">
        <w:rPr>
          <w:noProof/>
          <w:spacing w:val="-6"/>
          <w:lang w:val="sk-SK"/>
        </w:rPr>
        <w:t>Reforma 3.1: Prijatie minimálnych envir</w:t>
      </w:r>
      <w:r w:rsidRPr="00326E55">
        <w:rPr>
          <w:noProof/>
          <w:spacing w:val="-6"/>
          <w:lang w:val="sk-SK"/>
        </w:rPr>
        <w:t>onmentálnych kritérií pre kultúrne podujatia</w:t>
      </w:r>
    </w:p>
    <w:p w14:paraId="2C1B965F" w14:textId="21367553" w:rsidR="00BF03AA" w:rsidRPr="00326E55" w:rsidRDefault="00FB452D">
      <w:pPr>
        <w:pStyle w:val="P68B1DB1-Normal8"/>
        <w:spacing w:before="120" w:after="120"/>
        <w:jc w:val="both"/>
        <w:rPr>
          <w:noProof/>
          <w:spacing w:val="-6"/>
          <w:lang w:val="sk-SK"/>
        </w:rPr>
      </w:pPr>
      <w:r w:rsidRPr="00326E55">
        <w:rPr>
          <w:noProof/>
          <w:spacing w:val="-6"/>
          <w:lang w:val="sk-SK"/>
        </w:rPr>
        <w:t>Cieľom reformy je zlepšiť ekologickú stopu kultúrnych podujatí (ako sú výstavy, festivaly, kultúrne podujatia</w:t>
      </w:r>
      <w:r w:rsidR="00326E55" w:rsidRPr="00326E55">
        <w:rPr>
          <w:noProof/>
          <w:spacing w:val="-6"/>
          <w:lang w:val="sk-SK"/>
        </w:rPr>
        <w:t xml:space="preserve"> a </w:t>
      </w:r>
      <w:r w:rsidRPr="00326E55">
        <w:rPr>
          <w:noProof/>
          <w:spacing w:val="-6"/>
          <w:lang w:val="sk-SK"/>
        </w:rPr>
        <w:t>hudobné podujatia) zahrnutím sociálnych</w:t>
      </w:r>
      <w:r w:rsidR="00326E55" w:rsidRPr="00326E55">
        <w:rPr>
          <w:noProof/>
          <w:spacing w:val="-6"/>
          <w:lang w:val="sk-SK"/>
        </w:rPr>
        <w:t xml:space="preserve"> a </w:t>
      </w:r>
      <w:r w:rsidRPr="00326E55">
        <w:rPr>
          <w:noProof/>
          <w:spacing w:val="-6"/>
          <w:lang w:val="sk-SK"/>
        </w:rPr>
        <w:t>environmentálnych kritérií do verejného obstarávania kult</w:t>
      </w:r>
      <w:r w:rsidRPr="00326E55">
        <w:rPr>
          <w:noProof/>
          <w:spacing w:val="-6"/>
          <w:lang w:val="sk-SK"/>
        </w:rPr>
        <w:t>úrnych podujatí financovaných, propagovaných alebo organizovaných verejným orgánom.</w:t>
      </w:r>
    </w:p>
    <w:p w14:paraId="587DD287" w14:textId="77777777" w:rsidR="00326E55" w:rsidRPr="00326E55" w:rsidRDefault="00FB452D">
      <w:pPr>
        <w:pStyle w:val="P68B1DB1-Normal42"/>
        <w:spacing w:before="120" w:after="120"/>
        <w:jc w:val="both"/>
        <w:rPr>
          <w:noProof/>
          <w:spacing w:val="-6"/>
          <w:lang w:val="sk-SK"/>
        </w:rPr>
      </w:pPr>
      <w:r w:rsidRPr="00326E55">
        <w:rPr>
          <w:noProof/>
          <w:spacing w:val="-6"/>
          <w:lang w:val="sk-SK"/>
        </w:rPr>
        <w:t>Investícia 3.3: Budovanie kapacít pre prevádzkovateľov</w:t>
      </w:r>
      <w:r w:rsidR="00326E55" w:rsidRPr="00326E55">
        <w:rPr>
          <w:noProof/>
          <w:spacing w:val="-6"/>
          <w:lang w:val="sk-SK"/>
        </w:rPr>
        <w:t xml:space="preserve"> v </w:t>
      </w:r>
      <w:r w:rsidRPr="00326E55">
        <w:rPr>
          <w:noProof/>
          <w:spacing w:val="-6"/>
          <w:lang w:val="sk-SK"/>
        </w:rPr>
        <w:t>oblasti kultúry na riadenie digitálnej</w:t>
      </w:r>
      <w:r w:rsidR="00326E55" w:rsidRPr="00326E55">
        <w:rPr>
          <w:noProof/>
          <w:spacing w:val="-6"/>
          <w:lang w:val="sk-SK"/>
        </w:rPr>
        <w:t xml:space="preserve"> a </w:t>
      </w:r>
      <w:r w:rsidRPr="00326E55">
        <w:rPr>
          <w:noProof/>
          <w:spacing w:val="-6"/>
          <w:lang w:val="sk-SK"/>
        </w:rPr>
        <w:t>zelenej transformácie</w:t>
      </w:r>
    </w:p>
    <w:p w14:paraId="5366E70C" w14:textId="16C32C0E" w:rsidR="00326E55" w:rsidRPr="00326E55" w:rsidRDefault="00FB452D">
      <w:pPr>
        <w:pStyle w:val="P68B1DB1-Normal8"/>
        <w:spacing w:before="120" w:after="120"/>
        <w:jc w:val="both"/>
        <w:rPr>
          <w:noProof/>
          <w:spacing w:val="-6"/>
          <w:lang w:val="sk-SK"/>
        </w:rPr>
      </w:pPr>
      <w:r w:rsidRPr="00326E55">
        <w:rPr>
          <w:noProof/>
          <w:spacing w:val="-6"/>
          <w:lang w:val="sk-SK"/>
        </w:rPr>
        <w:t>Celkovým cieľom investície je podporiť obnovu kultúr</w:t>
      </w:r>
      <w:r w:rsidRPr="00326E55">
        <w:rPr>
          <w:noProof/>
          <w:spacing w:val="-6"/>
          <w:lang w:val="sk-SK"/>
        </w:rPr>
        <w:t>nych</w:t>
      </w:r>
      <w:r w:rsidR="00326E55" w:rsidRPr="00326E55">
        <w:rPr>
          <w:noProof/>
          <w:spacing w:val="-6"/>
          <w:lang w:val="sk-SK"/>
        </w:rPr>
        <w:t xml:space="preserve"> a </w:t>
      </w:r>
      <w:r w:rsidRPr="00326E55">
        <w:rPr>
          <w:noProof/>
          <w:spacing w:val="-6"/>
          <w:lang w:val="sk-SK"/>
        </w:rPr>
        <w:t>kreatívnych sektorov. Pozostáva</w:t>
      </w:r>
      <w:r w:rsidR="00326E55" w:rsidRPr="00326E55">
        <w:rPr>
          <w:noProof/>
          <w:spacing w:val="-6"/>
          <w:lang w:val="sk-SK"/>
        </w:rPr>
        <w:t xml:space="preserve"> z </w:t>
      </w:r>
      <w:r w:rsidRPr="00326E55">
        <w:rPr>
          <w:noProof/>
          <w:spacing w:val="-6"/>
          <w:lang w:val="sk-SK"/>
        </w:rPr>
        <w:t>dvoch intervencií</w:t>
      </w:r>
      <w:r w:rsidR="00326E55" w:rsidRPr="00326E55">
        <w:rPr>
          <w:noProof/>
          <w:spacing w:val="-6"/>
          <w:lang w:val="sk-SK"/>
        </w:rPr>
        <w:t>.</w:t>
      </w:r>
    </w:p>
    <w:p w14:paraId="2CF3BF76" w14:textId="640598CE" w:rsidR="00BF03AA" w:rsidRPr="00326E55" w:rsidRDefault="00FB452D">
      <w:pPr>
        <w:pStyle w:val="P68B1DB1-Normal7"/>
        <w:spacing w:before="120" w:after="120"/>
        <w:jc w:val="both"/>
        <w:rPr>
          <w:rFonts w:eastAsia="Times New Roman"/>
          <w:noProof/>
          <w:spacing w:val="-6"/>
          <w:lang w:val="sk-SK"/>
        </w:rPr>
      </w:pPr>
      <w:r w:rsidRPr="00326E55">
        <w:rPr>
          <w:noProof/>
          <w:spacing w:val="-6"/>
          <w:lang w:val="sk-SK"/>
        </w:rPr>
        <w:t>Cieľom prvého zásahu (podpora obnovy kultúrnych činností podnecovaním inovácií</w:t>
      </w:r>
      <w:r w:rsidR="00326E55" w:rsidRPr="00326E55">
        <w:rPr>
          <w:noProof/>
          <w:spacing w:val="-6"/>
          <w:lang w:val="sk-SK"/>
        </w:rPr>
        <w:t xml:space="preserve"> a </w:t>
      </w:r>
      <w:r w:rsidRPr="00326E55">
        <w:rPr>
          <w:noProof/>
          <w:spacing w:val="-6"/>
          <w:lang w:val="sk-SK"/>
        </w:rPr>
        <w:t>využívania digitálnych technológií</w:t>
      </w:r>
      <w:r w:rsidR="00326E55" w:rsidRPr="00326E55">
        <w:rPr>
          <w:noProof/>
          <w:spacing w:val="-6"/>
          <w:lang w:val="sk-SK"/>
        </w:rPr>
        <w:t xml:space="preserve"> v </w:t>
      </w:r>
      <w:r w:rsidRPr="00326E55">
        <w:rPr>
          <w:noProof/>
          <w:spacing w:val="-6"/>
          <w:lang w:val="sk-SK"/>
        </w:rPr>
        <w:t>celom hodnotovom reťazci) je podporiť subjekty pôsobiace</w:t>
      </w:r>
      <w:r w:rsidR="00326E55" w:rsidRPr="00326E55">
        <w:rPr>
          <w:noProof/>
          <w:spacing w:val="-6"/>
          <w:lang w:val="sk-SK"/>
        </w:rPr>
        <w:t xml:space="preserve"> v </w:t>
      </w:r>
      <w:r w:rsidRPr="00326E55">
        <w:rPr>
          <w:noProof/>
          <w:spacing w:val="-6"/>
          <w:lang w:val="sk-SK"/>
        </w:rPr>
        <w:t>oblasti kultúry</w:t>
      </w:r>
      <w:r w:rsidR="00326E55" w:rsidRPr="00326E55">
        <w:rPr>
          <w:noProof/>
          <w:spacing w:val="-6"/>
          <w:lang w:val="sk-SK"/>
        </w:rPr>
        <w:t xml:space="preserve"> a </w:t>
      </w:r>
      <w:r w:rsidRPr="00326E55">
        <w:rPr>
          <w:noProof/>
          <w:spacing w:val="-6"/>
          <w:lang w:val="sk-SK"/>
        </w:rPr>
        <w:t>t</w:t>
      </w:r>
      <w:r w:rsidRPr="00326E55">
        <w:rPr>
          <w:noProof/>
          <w:spacing w:val="-6"/>
          <w:lang w:val="sk-SK"/>
        </w:rPr>
        <w:t>vorivej činnosti pri vykonávaní digitálnych stratégií</w:t>
      </w:r>
      <w:r w:rsidR="00326E55" w:rsidRPr="00326E55">
        <w:rPr>
          <w:noProof/>
          <w:spacing w:val="-6"/>
          <w:lang w:val="sk-SK"/>
        </w:rPr>
        <w:t xml:space="preserve"> a </w:t>
      </w:r>
      <w:r w:rsidRPr="00326E55">
        <w:rPr>
          <w:noProof/>
          <w:spacing w:val="-6"/>
          <w:lang w:val="sk-SK"/>
        </w:rPr>
        <w:t>zvyšovaní ich riadiacich kapacít.</w:t>
      </w:r>
    </w:p>
    <w:p w14:paraId="1E04DC33" w14:textId="12B08E43" w:rsidR="00BF03AA" w:rsidRPr="00326E55" w:rsidRDefault="00FB452D">
      <w:pPr>
        <w:pStyle w:val="P68B1DB1-Normal7"/>
        <w:spacing w:before="120" w:after="120"/>
        <w:jc w:val="both"/>
        <w:rPr>
          <w:rFonts w:eastAsia="Times New Roman"/>
          <w:noProof/>
          <w:spacing w:val="-6"/>
          <w:lang w:val="sk-SK"/>
        </w:rPr>
      </w:pPr>
      <w:r w:rsidRPr="00326E55">
        <w:rPr>
          <w:noProof/>
          <w:spacing w:val="-6"/>
          <w:lang w:val="sk-SK"/>
        </w:rPr>
        <w:t>Cieľom druhej intervencie (Podpora ekologického prístupu</w:t>
      </w:r>
      <w:r w:rsidR="00326E55" w:rsidRPr="00326E55">
        <w:rPr>
          <w:noProof/>
          <w:spacing w:val="-6"/>
          <w:lang w:val="sk-SK"/>
        </w:rPr>
        <w:t xml:space="preserve"> v </w:t>
      </w:r>
      <w:r w:rsidRPr="00326E55">
        <w:rPr>
          <w:noProof/>
          <w:spacing w:val="-6"/>
          <w:lang w:val="sk-SK"/>
        </w:rPr>
        <w:t>celom kultúrnom</w:t>
      </w:r>
      <w:r w:rsidR="00326E55" w:rsidRPr="00326E55">
        <w:rPr>
          <w:noProof/>
          <w:spacing w:val="-6"/>
          <w:lang w:val="sk-SK"/>
        </w:rPr>
        <w:t xml:space="preserve"> a </w:t>
      </w:r>
      <w:r w:rsidRPr="00326E55">
        <w:rPr>
          <w:noProof/>
          <w:spacing w:val="-6"/>
          <w:lang w:val="sk-SK"/>
        </w:rPr>
        <w:t>kreatívnom reťazci) je podporiť environmentálne udržateľný prístup</w:t>
      </w:r>
      <w:r w:rsidR="00326E55" w:rsidRPr="00326E55">
        <w:rPr>
          <w:noProof/>
          <w:spacing w:val="-6"/>
          <w:lang w:val="sk-SK"/>
        </w:rPr>
        <w:t xml:space="preserve"> v </w:t>
      </w:r>
      <w:r w:rsidRPr="00326E55">
        <w:rPr>
          <w:noProof/>
          <w:spacing w:val="-6"/>
          <w:lang w:val="sk-SK"/>
        </w:rPr>
        <w:t xml:space="preserve">celom reťazci, </w:t>
      </w:r>
      <w:r w:rsidRPr="00326E55">
        <w:rPr>
          <w:noProof/>
          <w:spacing w:val="-6"/>
          <w:lang w:val="sk-SK"/>
        </w:rPr>
        <w:t>znížiť ekologickú stopu, podporiť inovatívny</w:t>
      </w:r>
      <w:r w:rsidR="00326E55" w:rsidRPr="00326E55">
        <w:rPr>
          <w:noProof/>
          <w:spacing w:val="-6"/>
          <w:lang w:val="sk-SK"/>
        </w:rPr>
        <w:t xml:space="preserve"> a </w:t>
      </w:r>
      <w:r w:rsidRPr="00326E55">
        <w:rPr>
          <w:noProof/>
          <w:spacing w:val="-6"/>
          <w:lang w:val="sk-SK"/>
        </w:rPr>
        <w:t>inkluzívny ekodizajn,</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v </w:t>
      </w:r>
      <w:r w:rsidRPr="00326E55">
        <w:rPr>
          <w:noProof/>
          <w:spacing w:val="-6"/>
          <w:lang w:val="sk-SK"/>
        </w:rPr>
        <w:t>kontexte obehového hospodárstva,</w:t>
      </w:r>
      <w:r w:rsidR="00326E55" w:rsidRPr="00326E55">
        <w:rPr>
          <w:noProof/>
          <w:spacing w:val="-6"/>
          <w:lang w:val="sk-SK"/>
        </w:rPr>
        <w:t xml:space="preserve"> s </w:t>
      </w:r>
      <w:r w:rsidRPr="00326E55">
        <w:rPr>
          <w:noProof/>
          <w:spacing w:val="-6"/>
          <w:lang w:val="sk-SK"/>
        </w:rPr>
        <w:t>cieľom nasmerovať verejnosť</w:t>
      </w:r>
      <w:r w:rsidR="00326E55" w:rsidRPr="00326E55">
        <w:rPr>
          <w:noProof/>
          <w:spacing w:val="-6"/>
          <w:lang w:val="sk-SK"/>
        </w:rPr>
        <w:t xml:space="preserve"> k </w:t>
      </w:r>
      <w:r w:rsidRPr="00326E55">
        <w:rPr>
          <w:noProof/>
          <w:spacing w:val="-6"/>
          <w:lang w:val="sk-SK"/>
        </w:rPr>
        <w:t>zodpovednejšiemu environmentálnemu správaniu.</w:t>
      </w:r>
    </w:p>
    <w:p w14:paraId="3B804B32" w14:textId="4A0B1209" w:rsidR="00BF03AA" w:rsidRPr="00326E55" w:rsidRDefault="00FB452D">
      <w:pPr>
        <w:jc w:val="both"/>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spacing w:val="-6"/>
          <w:lang w:val="sk-SK"/>
        </w:rPr>
        <w:t>S cieľom zabezpečiť, aby opatrenie bolo</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súlade</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technickými usm</w:t>
      </w:r>
      <w:r w:rsidRPr="00326E55">
        <w:rPr>
          <w:rFonts w:ascii="Times New Roman" w:eastAsia="Times New Roman" w:hAnsi="Times New Roman" w:cs="Times New Roman"/>
          <w:noProof/>
          <w:spacing w:val="-6"/>
          <w:lang w:val="sk-SK"/>
        </w:rPr>
        <w:t>erneniami „nespôsobiť žiadne významné škody“ (2021/C58/01), kritériá oprávnenosti uvedené</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zadávacích podmienkach pre nadchádzajúce výzvy na predkladanie projektov nezahŕňajú tento zoznam činností: I) činnosti súvisiace</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fosílnymi palivami vrátane násled</w:t>
      </w:r>
      <w:r w:rsidRPr="00326E55">
        <w:rPr>
          <w:rFonts w:ascii="Times New Roman" w:eastAsia="Times New Roman" w:hAnsi="Times New Roman" w:cs="Times New Roman"/>
          <w:noProof/>
          <w:spacing w:val="-6"/>
          <w:lang w:val="sk-SK"/>
        </w:rPr>
        <w:t>ného použitia</w:t>
      </w:r>
      <w:r w:rsidRPr="00326E55">
        <w:rPr>
          <w:rStyle w:val="FootnoteReference"/>
          <w:rFonts w:ascii="Times New Roman" w:eastAsia="Times New Roman" w:hAnsi="Times New Roman" w:cs="Times New Roman"/>
          <w:noProof/>
          <w:spacing w:val="-6"/>
          <w:lang w:val="sk-SK"/>
        </w:rPr>
        <w:footnoteReference w:id="14"/>
      </w:r>
      <w:r w:rsidRPr="00326E55">
        <w:rPr>
          <w:rFonts w:ascii="Times New Roman" w:eastAsia="Times New Roman" w:hAnsi="Times New Roman" w:cs="Times New Roman"/>
          <w:noProof/>
          <w:spacing w:val="-6"/>
          <w:lang w:val="sk-SK"/>
        </w:rPr>
        <w:t>; II) činností</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rámci systému EÚ na obchodovanie</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emisiami (ETS), ktorými sa dosahujú predpokladané emisie skleníkových plynov, ktoré nie sú nižšie ako príslušné referenčné hodnoty</w:t>
      </w:r>
      <w:r w:rsidRPr="00326E55">
        <w:rPr>
          <w:rStyle w:val="FootnoteReference"/>
          <w:rFonts w:ascii="Times New Roman" w:eastAsia="Times New Roman" w:hAnsi="Times New Roman" w:cs="Times New Roman"/>
          <w:noProof/>
          <w:spacing w:val="-6"/>
          <w:lang w:val="sk-SK"/>
        </w:rPr>
        <w:footnoteReference w:id="15"/>
      </w:r>
      <w:r w:rsidRPr="00326E55">
        <w:rPr>
          <w:rFonts w:ascii="Times New Roman" w:eastAsia="Times New Roman" w:hAnsi="Times New Roman" w:cs="Times New Roman"/>
          <w:noProof/>
          <w:spacing w:val="-6"/>
          <w:lang w:val="sk-SK"/>
        </w:rPr>
        <w:t>; III) činnosti súvisiace so skládkami odpadov, spaľovňami</w:t>
      </w:r>
      <w:r w:rsidRPr="00326E55">
        <w:rPr>
          <w:rStyle w:val="FootnoteReference"/>
          <w:rFonts w:ascii="Times New Roman" w:eastAsia="Times New Roman" w:hAnsi="Times New Roman" w:cs="Times New Roman"/>
          <w:noProof/>
          <w:spacing w:val="-6"/>
          <w:lang w:val="sk-SK"/>
        </w:rPr>
        <w:footnoteReference w:id="16"/>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mechanickými biologickými čistiarňami</w:t>
      </w:r>
      <w:r w:rsidRPr="00326E55">
        <w:rPr>
          <w:rStyle w:val="FootnoteReference"/>
          <w:rFonts w:ascii="Times New Roman" w:eastAsia="Times New Roman" w:hAnsi="Times New Roman" w:cs="Times New Roman"/>
          <w:noProof/>
          <w:spacing w:val="-6"/>
          <w:lang w:val="sk-SK"/>
        </w:rPr>
        <w:footnoteReference w:id="17"/>
      </w:r>
      <w:r w:rsidRPr="00326E55">
        <w:rPr>
          <w:rFonts w:ascii="Times New Roman" w:eastAsia="Times New Roman" w:hAnsi="Times New Roman" w:cs="Times New Roman"/>
          <w:noProof/>
          <w:spacing w:val="-6"/>
          <w:lang w:val="sk-SK"/>
        </w:rPr>
        <w:t>;</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iv) činnosti, pri ktorých dlhodobé zneškodňovanie odpadu môže poškodiť životné prostredie.</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zadávacích podmienkach sa okrem toho vyžaduje, aby sa mohli vybrať len tie činnosti, ktoré sú</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súlade</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príslušnými p</w:t>
      </w:r>
      <w:r w:rsidRPr="00326E55">
        <w:rPr>
          <w:rFonts w:ascii="Times New Roman" w:eastAsia="Times New Roman" w:hAnsi="Times New Roman" w:cs="Times New Roman"/>
          <w:noProof/>
          <w:spacing w:val="-6"/>
          <w:lang w:val="sk-SK"/>
        </w:rPr>
        <w:t>rávnymi predpismi EÚ</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vnútroštátnymi právnymi predpismi</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oblasti životného prostredia.</w:t>
      </w:r>
    </w:p>
    <w:p w14:paraId="2C2758AA" w14:textId="77777777" w:rsidR="00BF03AA" w:rsidRPr="00326E55" w:rsidRDefault="00FB452D">
      <w:pPr>
        <w:pStyle w:val="P68B1DB1-Normal8"/>
        <w:rPr>
          <w:b/>
          <w:noProof/>
          <w:spacing w:val="-6"/>
          <w:lang w:val="sk-SK"/>
        </w:rPr>
      </w:pPr>
      <w:bookmarkStart w:id="11" w:name="_Hlk160472807"/>
      <w:r w:rsidRPr="00326E55">
        <w:rPr>
          <w:noProof/>
          <w:spacing w:val="-6"/>
          <w:lang w:val="sk-SK"/>
        </w:rPr>
        <w:br w:type="page"/>
      </w:r>
    </w:p>
    <w:p w14:paraId="43D19F9F" w14:textId="0388A4CF" w:rsidR="00BF03AA" w:rsidRPr="00326E55" w:rsidRDefault="00FB452D">
      <w:pPr>
        <w:pStyle w:val="P68B1DB1-Normal29"/>
        <w:rPr>
          <w:i/>
          <w:noProof/>
          <w:spacing w:val="-6"/>
          <w:lang w:val="sk-SK"/>
        </w:rPr>
      </w:pPr>
      <w:r w:rsidRPr="00326E55">
        <w:rPr>
          <w:noProof/>
          <w:spacing w:val="-6"/>
          <w:lang w:val="sk-SK"/>
        </w:rPr>
        <w:t>Investícia 4.1: Centrum digitálneho cestovného ruchu</w:t>
      </w:r>
    </w:p>
    <w:bookmarkEnd w:id="11"/>
    <w:p w14:paraId="5BE56429" w14:textId="4AF4283F" w:rsidR="00BF03AA" w:rsidRPr="00326E55" w:rsidRDefault="00FB452D">
      <w:pPr>
        <w:pStyle w:val="P68B1DB1-Normal8"/>
        <w:spacing w:before="120" w:after="120"/>
        <w:jc w:val="both"/>
        <w:rPr>
          <w:rStyle w:val="eop"/>
          <w:rFonts w:eastAsiaTheme="majorEastAsia"/>
          <w:noProof/>
          <w:snapToGrid w:val="0"/>
          <w:color w:val="000000"/>
          <w:spacing w:val="-6"/>
          <w:sz w:val="0"/>
          <w:szCs w:val="0"/>
          <w:u w:color="000000"/>
          <w:bdr w:val="none" w:sz="0" w:space="0" w:color="000000"/>
          <w:shd w:val="clear" w:color="000000" w:fill="000000"/>
          <w:lang w:val="sk-SK"/>
        </w:rPr>
      </w:pPr>
      <w:r w:rsidRPr="00326E55">
        <w:rPr>
          <w:noProof/>
          <w:spacing w:val="-6"/>
          <w:lang w:val="sk-SK"/>
        </w:rPr>
        <w:t>Cieľom tohto opatrenia je umožniť celému ekosystému cestovného ruchu zvýšiť, integrovať</w:t>
      </w:r>
      <w:r w:rsidR="00326E55" w:rsidRPr="00326E55">
        <w:rPr>
          <w:noProof/>
          <w:spacing w:val="-6"/>
          <w:lang w:val="sk-SK"/>
        </w:rPr>
        <w:t xml:space="preserve"> a </w:t>
      </w:r>
      <w:r w:rsidRPr="00326E55">
        <w:rPr>
          <w:noProof/>
          <w:spacing w:val="-6"/>
          <w:lang w:val="sk-SK"/>
        </w:rPr>
        <w:t xml:space="preserve">šíriť svoju vlastnú </w:t>
      </w:r>
      <w:r w:rsidRPr="00326E55">
        <w:rPr>
          <w:noProof/>
          <w:spacing w:val="-6"/>
          <w:lang w:val="sk-SK"/>
        </w:rPr>
        <w:t>ponuku. Opatrenie pozostáva</w:t>
      </w:r>
      <w:r w:rsidR="00326E55" w:rsidRPr="00326E55">
        <w:rPr>
          <w:noProof/>
          <w:spacing w:val="-6"/>
          <w:lang w:val="sk-SK"/>
        </w:rPr>
        <w:t xml:space="preserve"> z </w:t>
      </w:r>
      <w:r w:rsidRPr="00326E55">
        <w:rPr>
          <w:noProof/>
          <w:spacing w:val="-6"/>
          <w:lang w:val="sk-SK"/>
        </w:rPr>
        <w:t>vytvorenia centra digitálneho cestovného ruchu dostupného prostredníctvom špecializovanej webovej platformy.</w:t>
      </w:r>
    </w:p>
    <w:p w14:paraId="0A406B17" w14:textId="77777777" w:rsidR="00BF03AA" w:rsidRPr="00326E55" w:rsidRDefault="00FB452D">
      <w:pPr>
        <w:pStyle w:val="P68B1DB1-Normal42"/>
        <w:jc w:val="both"/>
        <w:rPr>
          <w:noProof/>
          <w:spacing w:val="-6"/>
          <w:lang w:val="sk-SK"/>
        </w:rPr>
      </w:pPr>
      <w:r w:rsidRPr="00326E55">
        <w:rPr>
          <w:noProof/>
          <w:spacing w:val="-6"/>
          <w:lang w:val="sk-SK"/>
        </w:rPr>
        <w:t>Reforma 4.1: Nariadenie, ktorým sa nariaďujú povolania sprievodcov cestovného ruchu</w:t>
      </w:r>
    </w:p>
    <w:p w14:paraId="6458FDF0" w14:textId="4A3555E3" w:rsidR="00BF03AA" w:rsidRPr="00326E55" w:rsidRDefault="00FB452D">
      <w:pPr>
        <w:spacing w:before="120" w:after="120"/>
        <w:jc w:val="both"/>
        <w:rPr>
          <w:rFonts w:ascii="Times New Roman" w:eastAsiaTheme="majorEastAsia" w:hAnsi="Times New Roman" w:cstheme="majorBidi"/>
          <w:b/>
          <w:noProof/>
          <w:color w:val="0F4761" w:themeColor="accent1" w:themeShade="BF"/>
          <w:spacing w:val="-6"/>
          <w:sz w:val="28"/>
          <w:szCs w:val="28"/>
          <w:u w:val="single"/>
          <w:lang w:val="sk-SK"/>
        </w:rPr>
      </w:pPr>
      <w:r w:rsidRPr="00326E55">
        <w:rPr>
          <w:rFonts w:ascii="Times New Roman" w:eastAsia="Times New Roman" w:hAnsi="Times New Roman" w:cs="Times New Roman"/>
          <w:noProof/>
          <w:spacing w:val="-6"/>
          <w:lang w:val="sk-SK"/>
        </w:rPr>
        <w:t xml:space="preserve">Investíciu do centra digitálneho </w:t>
      </w:r>
      <w:r w:rsidRPr="00326E55">
        <w:rPr>
          <w:rFonts w:ascii="Times New Roman" w:eastAsia="Times New Roman" w:hAnsi="Times New Roman" w:cs="Times New Roman"/>
          <w:noProof/>
          <w:spacing w:val="-6"/>
          <w:lang w:val="sk-SK"/>
        </w:rPr>
        <w:t>cestovného ruchu dopĺňa reforma na zefektívnenie nariadení</w:t>
      </w:r>
      <w:r w:rsidR="00326E55" w:rsidRPr="00326E55">
        <w:rPr>
          <w:rFonts w:ascii="Times New Roman" w:eastAsia="Times New Roman" w:hAnsi="Times New Roman" w:cs="Times New Roman"/>
          <w:noProof/>
          <w:spacing w:val="-6"/>
          <w:lang w:val="sk-SK"/>
        </w:rPr>
        <w:t xml:space="preserve"> o </w:t>
      </w:r>
      <w:r w:rsidRPr="00326E55">
        <w:rPr>
          <w:rFonts w:ascii="Times New Roman" w:eastAsia="Times New Roman" w:hAnsi="Times New Roman" w:cs="Times New Roman"/>
          <w:noProof/>
          <w:spacing w:val="-6"/>
          <w:lang w:val="sk-SK"/>
        </w:rPr>
        <w:t>turistických sprievodcoch. Opatrením sa</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náležitým ohľadom na miestnu reguláciu ustanovuje profesijná organizácia turistických sprievodcov</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ich oblasť pôvodu. Systematické</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jednotné uplatňovan</w:t>
      </w:r>
      <w:r w:rsidRPr="00326E55">
        <w:rPr>
          <w:rFonts w:ascii="Times New Roman" w:eastAsia="Times New Roman" w:hAnsi="Times New Roman" w:cs="Times New Roman"/>
          <w:noProof/>
          <w:spacing w:val="-6"/>
          <w:lang w:val="sk-SK"/>
        </w:rPr>
        <w:t>ie reformy by umožnilo regulovať základné zásady povolania</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štandardizovať úrovne poskytovania služieb na celom území štátu, čo by malo pozitívny vplyv na trh. Reforma zahŕňa odbornú prípravu</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ďalšiu odbornú prípravu</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cieľom čo najlepšie podporiť ponuku</w:t>
      </w:r>
      <w:r w:rsidRPr="00326E55">
        <w:rPr>
          <w:rFonts w:ascii="Times New Roman" w:eastAsia="Times New Roman" w:hAnsi="Times New Roman" w:cs="Times New Roman"/>
          <w:noProof/>
          <w:spacing w:val="-6"/>
          <w:lang w:val="sk-SK"/>
        </w:rPr>
        <w:t>.</w:t>
      </w:r>
    </w:p>
    <w:p w14:paraId="4512BCF3" w14:textId="77777777" w:rsidR="00BF03AA" w:rsidRPr="00326E55" w:rsidRDefault="00BF03AA">
      <w:pPr>
        <w:pStyle w:val="Heading3"/>
        <w:ind w:left="850" w:hanging="850"/>
        <w:rPr>
          <w:rFonts w:ascii="Times New Roman" w:hAnsi="Times New Roman"/>
          <w:b/>
          <w:noProof/>
          <w:spacing w:val="-6"/>
          <w:u w:val="single"/>
          <w:lang w:val="sk-SK"/>
        </w:rPr>
        <w:sectPr w:rsidR="00BF03AA" w:rsidRPr="00326E55" w:rsidSect="005F11B9">
          <w:headerReference w:type="default" r:id="rId60"/>
          <w:footerReference w:type="default" r:id="rId61"/>
          <w:pgSz w:w="11906" w:h="16838"/>
          <w:pgMar w:top="1440" w:right="1440" w:bottom="1440" w:left="1440" w:header="708" w:footer="708" w:gutter="0"/>
          <w:cols w:space="708"/>
          <w:docGrid w:linePitch="360"/>
        </w:sectPr>
      </w:pPr>
    </w:p>
    <w:p w14:paraId="7AE78B2B" w14:textId="1A61902A"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C.2.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15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8"/>
        <w:gridCol w:w="1705"/>
        <w:gridCol w:w="990"/>
        <w:gridCol w:w="1563"/>
        <w:gridCol w:w="1243"/>
        <w:gridCol w:w="1135"/>
        <w:gridCol w:w="1307"/>
        <w:gridCol w:w="1132"/>
        <w:gridCol w:w="848"/>
        <w:gridCol w:w="694"/>
        <w:gridCol w:w="3672"/>
      </w:tblGrid>
      <w:tr w:rsidR="00BF03AA" w:rsidRPr="00326E55" w14:paraId="7D4E2920" w14:textId="77777777">
        <w:trPr>
          <w:trHeight w:val="1013"/>
          <w:tblHeader/>
          <w:jc w:val="center"/>
        </w:trPr>
        <w:tc>
          <w:tcPr>
            <w:tcW w:w="366" w:type="pct"/>
            <w:vMerge w:val="restart"/>
            <w:shd w:val="clear" w:color="auto" w:fill="BDD7EE"/>
            <w:vAlign w:val="center"/>
          </w:tcPr>
          <w:p w14:paraId="1FD2E91C" w14:textId="77777777" w:rsidR="00BF03AA" w:rsidRPr="00326E55" w:rsidRDefault="00FB452D">
            <w:pPr>
              <w:pStyle w:val="P68B1DB1-Normal10"/>
              <w:spacing w:after="200" w:line="276" w:lineRule="auto"/>
              <w:rPr>
                <w:rFonts w:ascii="Times New Roman" w:hAnsi="Times New Roman"/>
                <w:bCs/>
                <w:noProof/>
                <w:spacing w:val="-6"/>
                <w:szCs w:val="20"/>
                <w:lang w:val="sk-SK"/>
              </w:rPr>
            </w:pPr>
            <w:r w:rsidRPr="00326E55">
              <w:rPr>
                <w:rFonts w:ascii="Times New Roman" w:hAnsi="Times New Roman"/>
                <w:noProof/>
                <w:spacing w:val="-6"/>
                <w:lang w:val="sk-SK"/>
              </w:rPr>
              <w:t>Poradové číslo</w:t>
            </w:r>
          </w:p>
        </w:tc>
        <w:tc>
          <w:tcPr>
            <w:tcW w:w="553" w:type="pct"/>
            <w:vMerge w:val="restart"/>
            <w:shd w:val="clear" w:color="auto" w:fill="BDD7EE"/>
            <w:vAlign w:val="center"/>
          </w:tcPr>
          <w:p w14:paraId="79458DA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Opatrenie</w:t>
            </w:r>
          </w:p>
        </w:tc>
        <w:tc>
          <w:tcPr>
            <w:tcW w:w="321" w:type="pct"/>
            <w:vMerge w:val="restart"/>
            <w:shd w:val="clear" w:color="auto" w:fill="BDD7EE"/>
            <w:vAlign w:val="center"/>
          </w:tcPr>
          <w:p w14:paraId="7C57CEC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507" w:type="pct"/>
            <w:vMerge w:val="restart"/>
            <w:shd w:val="clear" w:color="auto" w:fill="BDD7EE"/>
            <w:vAlign w:val="center"/>
          </w:tcPr>
          <w:p w14:paraId="4FA582FC"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403" w:type="pct"/>
            <w:vMerge w:val="restart"/>
            <w:shd w:val="clear" w:color="auto" w:fill="BDD7EE"/>
            <w:vAlign w:val="center"/>
          </w:tcPr>
          <w:p w14:paraId="1B9EE8C6" w14:textId="36AF51D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1159" w:type="pct"/>
            <w:gridSpan w:val="3"/>
            <w:shd w:val="clear" w:color="auto" w:fill="BDD7EE"/>
            <w:vAlign w:val="center"/>
          </w:tcPr>
          <w:p w14:paraId="3A54A4A2" w14:textId="0D955196"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w:t>
            </w:r>
            <w:r w:rsidRPr="00326E55">
              <w:rPr>
                <w:rFonts w:ascii="Times New Roman" w:hAnsi="Times New Roman"/>
                <w:b/>
                <w:noProof/>
                <w:spacing w:val="-6"/>
                <w:sz w:val="20"/>
                <w:lang w:val="sk-SK"/>
              </w:rPr>
              <w:t xml:space="preserv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500" w:type="pct"/>
            <w:gridSpan w:val="2"/>
            <w:shd w:val="clear" w:color="auto" w:fill="BDD7EE"/>
            <w:vAlign w:val="center"/>
          </w:tcPr>
          <w:p w14:paraId="5C3CB73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1191" w:type="pct"/>
            <w:vMerge w:val="restart"/>
            <w:shd w:val="clear" w:color="auto" w:fill="BDD7EE"/>
            <w:vAlign w:val="center"/>
          </w:tcPr>
          <w:p w14:paraId="204E7794" w14:textId="74AF85CC" w:rsidR="00BF03AA" w:rsidRPr="00326E55" w:rsidRDefault="00FB452D">
            <w:pPr>
              <w:pStyle w:val="P68B1DB1-Normal10"/>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46AD13C3" w14:textId="77777777">
        <w:trPr>
          <w:trHeight w:val="363"/>
          <w:tblHeader/>
          <w:jc w:val="center"/>
        </w:trPr>
        <w:tc>
          <w:tcPr>
            <w:tcW w:w="366" w:type="pct"/>
            <w:vMerge/>
            <w:vAlign w:val="center"/>
            <w:hideMark/>
          </w:tcPr>
          <w:p w14:paraId="3A8CB1F4" w14:textId="77777777" w:rsidR="00BF03AA" w:rsidRPr="00326E55" w:rsidRDefault="00BF03AA">
            <w:pPr>
              <w:spacing w:after="200" w:line="276" w:lineRule="auto"/>
              <w:rPr>
                <w:rFonts w:ascii="Times New Roman" w:hAnsi="Times New Roman"/>
                <w:b/>
                <w:noProof/>
                <w:spacing w:val="-6"/>
                <w:sz w:val="20"/>
                <w:szCs w:val="20"/>
                <w:lang w:val="sk-SK"/>
              </w:rPr>
            </w:pPr>
          </w:p>
        </w:tc>
        <w:tc>
          <w:tcPr>
            <w:tcW w:w="553" w:type="pct"/>
            <w:vMerge/>
            <w:vAlign w:val="center"/>
            <w:hideMark/>
          </w:tcPr>
          <w:p w14:paraId="4293A4E6" w14:textId="77777777" w:rsidR="00BF03AA" w:rsidRPr="00326E55" w:rsidRDefault="00BF03AA">
            <w:pPr>
              <w:jc w:val="center"/>
              <w:rPr>
                <w:rFonts w:ascii="Times New Roman" w:hAnsi="Times New Roman"/>
                <w:b/>
                <w:noProof/>
                <w:spacing w:val="-6"/>
                <w:sz w:val="20"/>
                <w:szCs w:val="20"/>
                <w:lang w:val="sk-SK"/>
              </w:rPr>
            </w:pPr>
          </w:p>
        </w:tc>
        <w:tc>
          <w:tcPr>
            <w:tcW w:w="321" w:type="pct"/>
            <w:vMerge/>
            <w:vAlign w:val="center"/>
            <w:hideMark/>
          </w:tcPr>
          <w:p w14:paraId="3529DB6E" w14:textId="77777777" w:rsidR="00BF03AA" w:rsidRPr="00326E55" w:rsidRDefault="00BF03AA">
            <w:pPr>
              <w:jc w:val="center"/>
              <w:rPr>
                <w:rFonts w:ascii="Times New Roman" w:hAnsi="Times New Roman"/>
                <w:b/>
                <w:noProof/>
                <w:spacing w:val="-6"/>
                <w:sz w:val="20"/>
                <w:szCs w:val="20"/>
                <w:lang w:val="sk-SK"/>
              </w:rPr>
            </w:pPr>
          </w:p>
        </w:tc>
        <w:tc>
          <w:tcPr>
            <w:tcW w:w="507" w:type="pct"/>
            <w:vMerge/>
            <w:vAlign w:val="center"/>
            <w:hideMark/>
          </w:tcPr>
          <w:p w14:paraId="21D3D691" w14:textId="77777777" w:rsidR="00BF03AA" w:rsidRPr="00326E55" w:rsidRDefault="00BF03AA">
            <w:pPr>
              <w:jc w:val="center"/>
              <w:rPr>
                <w:rFonts w:ascii="Times New Roman" w:hAnsi="Times New Roman"/>
                <w:b/>
                <w:noProof/>
                <w:spacing w:val="-6"/>
                <w:sz w:val="20"/>
                <w:szCs w:val="20"/>
                <w:lang w:val="sk-SK"/>
              </w:rPr>
            </w:pPr>
          </w:p>
        </w:tc>
        <w:tc>
          <w:tcPr>
            <w:tcW w:w="403" w:type="pct"/>
            <w:vMerge/>
            <w:vAlign w:val="center"/>
            <w:hideMark/>
          </w:tcPr>
          <w:p w14:paraId="56DB36B7" w14:textId="77777777" w:rsidR="00BF03AA" w:rsidRPr="00326E55" w:rsidRDefault="00BF03AA">
            <w:pPr>
              <w:jc w:val="center"/>
              <w:rPr>
                <w:rFonts w:ascii="Times New Roman" w:hAnsi="Times New Roman"/>
                <w:b/>
                <w:noProof/>
                <w:spacing w:val="-6"/>
                <w:sz w:val="20"/>
                <w:szCs w:val="20"/>
                <w:lang w:val="sk-SK"/>
              </w:rPr>
            </w:pPr>
          </w:p>
        </w:tc>
        <w:tc>
          <w:tcPr>
            <w:tcW w:w="368" w:type="pct"/>
            <w:shd w:val="clear" w:color="auto" w:fill="BDD7EE"/>
            <w:vAlign w:val="center"/>
            <w:hideMark/>
          </w:tcPr>
          <w:p w14:paraId="32CEF39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424" w:type="pct"/>
            <w:shd w:val="clear" w:color="auto" w:fill="BDD7EE"/>
            <w:vAlign w:val="center"/>
            <w:hideMark/>
          </w:tcPr>
          <w:p w14:paraId="4864551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367" w:type="pct"/>
            <w:shd w:val="clear" w:color="auto" w:fill="BDD7EE"/>
            <w:vAlign w:val="center"/>
            <w:hideMark/>
          </w:tcPr>
          <w:p w14:paraId="4C20BCF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275" w:type="pct"/>
            <w:shd w:val="clear" w:color="auto" w:fill="BDD7EE"/>
            <w:vAlign w:val="center"/>
            <w:hideMark/>
          </w:tcPr>
          <w:p w14:paraId="1EFDAA92"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225" w:type="pct"/>
            <w:shd w:val="clear" w:color="auto" w:fill="BDD7EE"/>
            <w:vAlign w:val="center"/>
            <w:hideMark/>
          </w:tcPr>
          <w:p w14:paraId="048552EC"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1191" w:type="pct"/>
            <w:vMerge/>
            <w:vAlign w:val="center"/>
            <w:hideMark/>
          </w:tcPr>
          <w:p w14:paraId="09CADDD6" w14:textId="77777777" w:rsidR="00BF03AA" w:rsidRPr="00326E55" w:rsidRDefault="00BF03AA">
            <w:pPr>
              <w:rPr>
                <w:rFonts w:ascii="Times New Roman" w:hAnsi="Times New Roman"/>
                <w:b/>
                <w:noProof/>
                <w:spacing w:val="-6"/>
                <w:sz w:val="20"/>
                <w:szCs w:val="20"/>
                <w:lang w:val="sk-SK"/>
              </w:rPr>
            </w:pPr>
          </w:p>
        </w:tc>
      </w:tr>
      <w:tr w:rsidR="00BF03AA" w:rsidRPr="00326E55" w14:paraId="75EFAF18" w14:textId="77777777">
        <w:trPr>
          <w:trHeight w:val="309"/>
          <w:jc w:val="center"/>
        </w:trPr>
        <w:tc>
          <w:tcPr>
            <w:tcW w:w="366" w:type="pct"/>
            <w:shd w:val="clear" w:color="auto" w:fill="C6EFCE"/>
            <w:noWrap/>
            <w:vAlign w:val="center"/>
            <w:hideMark/>
          </w:tcPr>
          <w:p w14:paraId="78DC027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M1C3 – 2</w:t>
            </w:r>
          </w:p>
        </w:tc>
        <w:tc>
          <w:tcPr>
            <w:tcW w:w="553" w:type="pct"/>
            <w:shd w:val="clear" w:color="auto" w:fill="C6EFCE"/>
            <w:noWrap/>
            <w:vAlign w:val="center"/>
            <w:hideMark/>
          </w:tcPr>
          <w:p w14:paraId="2B56AAC1" w14:textId="5D857DC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Investície – 1.1 Digitálna stratégia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platformy pre kultúrne dedičstvo</w:t>
            </w:r>
          </w:p>
        </w:tc>
        <w:tc>
          <w:tcPr>
            <w:tcW w:w="321" w:type="pct"/>
            <w:shd w:val="clear" w:color="auto" w:fill="C6EFCE"/>
            <w:noWrap/>
            <w:vAlign w:val="center"/>
            <w:hideMark/>
          </w:tcPr>
          <w:p w14:paraId="36E171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07" w:type="pct"/>
            <w:shd w:val="clear" w:color="auto" w:fill="C6EFCE"/>
            <w:noWrap/>
            <w:vAlign w:val="center"/>
            <w:hideMark/>
          </w:tcPr>
          <w:p w14:paraId="01D69399" w14:textId="3C7B0A6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Uverejnené digitálne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mediálne zdroje</w:t>
            </w:r>
          </w:p>
        </w:tc>
        <w:tc>
          <w:tcPr>
            <w:tcW w:w="403" w:type="pct"/>
            <w:shd w:val="clear" w:color="auto" w:fill="C6EFCE"/>
            <w:noWrap/>
            <w:vAlign w:val="center"/>
            <w:hideMark/>
          </w:tcPr>
          <w:p w14:paraId="1FE8FFD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68" w:type="pct"/>
            <w:shd w:val="clear" w:color="auto" w:fill="C6EFCE"/>
            <w:noWrap/>
            <w:vAlign w:val="center"/>
            <w:hideMark/>
          </w:tcPr>
          <w:p w14:paraId="48AAC75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424" w:type="pct"/>
            <w:shd w:val="clear" w:color="auto" w:fill="C6EFCE"/>
            <w:noWrap/>
            <w:vAlign w:val="center"/>
            <w:hideMark/>
          </w:tcPr>
          <w:p w14:paraId="5AAE8AA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367" w:type="pct"/>
            <w:shd w:val="clear" w:color="auto" w:fill="C6EFCE"/>
            <w:noWrap/>
            <w:vAlign w:val="center"/>
            <w:hideMark/>
          </w:tcPr>
          <w:p w14:paraId="750B1DE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65 000 000</w:t>
            </w:r>
          </w:p>
        </w:tc>
        <w:tc>
          <w:tcPr>
            <w:tcW w:w="275" w:type="pct"/>
            <w:shd w:val="clear" w:color="auto" w:fill="C6EFCE"/>
            <w:noWrap/>
            <w:vAlign w:val="center"/>
            <w:hideMark/>
          </w:tcPr>
          <w:p w14:paraId="46865DC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5" w:type="pct"/>
            <w:shd w:val="clear" w:color="auto" w:fill="C6EFCE"/>
            <w:noWrap/>
            <w:vAlign w:val="center"/>
            <w:hideMark/>
          </w:tcPr>
          <w:p w14:paraId="61F0665F" w14:textId="474A164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1191" w:type="pct"/>
            <w:shd w:val="clear" w:color="auto" w:fill="C6EFCE"/>
            <w:noWrap/>
            <w:vAlign w:val="center"/>
            <w:hideMark/>
          </w:tcPr>
          <w:p w14:paraId="5E942F83" w14:textId="54CBFA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Zverejní sa najmenej 65000000 zdrojov digitálnych médií.</w:t>
            </w:r>
          </w:p>
        </w:tc>
      </w:tr>
      <w:tr w:rsidR="00BF03AA" w:rsidRPr="00326E55" w14:paraId="2A98186A" w14:textId="77777777">
        <w:trPr>
          <w:trHeight w:val="309"/>
          <w:jc w:val="center"/>
        </w:trPr>
        <w:tc>
          <w:tcPr>
            <w:tcW w:w="366" w:type="pct"/>
            <w:shd w:val="clear" w:color="auto" w:fill="C6EFCE"/>
            <w:noWrap/>
            <w:vAlign w:val="center"/>
            <w:hideMark/>
          </w:tcPr>
          <w:p w14:paraId="071D2B4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M1C3 – 3</w:t>
            </w:r>
          </w:p>
        </w:tc>
        <w:tc>
          <w:tcPr>
            <w:tcW w:w="553" w:type="pct"/>
            <w:shd w:val="clear" w:color="auto" w:fill="C6EFCE"/>
            <w:noWrap/>
            <w:vAlign w:val="center"/>
            <w:hideMark/>
          </w:tcPr>
          <w:p w14:paraId="0510EFB9" w14:textId="5CD3DA6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Investície – 1.2 Odstránenie fyzických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kognitívnych prekážok</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múzeách, knižniciach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archívoch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umožniť širší</w:t>
            </w:r>
            <w:r w:rsidRPr="00326E55">
              <w:rPr>
                <w:rFonts w:ascii="Times New Roman" w:hAnsi="Times New Roman"/>
                <w:noProof/>
                <w:spacing w:val="-6"/>
                <w:lang w:val="sk-SK"/>
              </w:rPr>
              <w:t xml:space="preserve"> prístup ku kultúre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účasť na nej</w:t>
            </w:r>
          </w:p>
        </w:tc>
        <w:tc>
          <w:tcPr>
            <w:tcW w:w="321" w:type="pct"/>
            <w:shd w:val="clear" w:color="auto" w:fill="C6EFCE"/>
            <w:noWrap/>
            <w:vAlign w:val="center"/>
            <w:hideMark/>
          </w:tcPr>
          <w:p w14:paraId="75C94BE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07" w:type="pct"/>
            <w:shd w:val="clear" w:color="auto" w:fill="C6EFCE"/>
            <w:noWrap/>
            <w:vAlign w:val="center"/>
            <w:hideMark/>
          </w:tcPr>
          <w:p w14:paraId="4671792A" w14:textId="17DD33E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Intervencie na odstránenie fyzických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kognitívnych bariér</w:t>
            </w:r>
            <w:r w:rsidR="00326E55" w:rsidRPr="00326E55">
              <w:rPr>
                <w:rFonts w:ascii="Times New Roman" w:hAnsi="Times New Roman"/>
                <w:noProof/>
                <w:spacing w:val="-6"/>
                <w:lang w:val="sk-SK"/>
              </w:rPr>
              <w:t xml:space="preserve"> v </w:t>
            </w:r>
            <w:r w:rsidRPr="00326E55">
              <w:rPr>
                <w:rFonts w:ascii="Times New Roman" w:hAnsi="Times New Roman"/>
                <w:noProof/>
                <w:spacing w:val="-6"/>
                <w:szCs w:val="20"/>
                <w:lang w:val="sk-SK"/>
              </w:rPr>
              <w:t>múzeách, pamiatok, archeologických priestoroch</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parkoch, archívoch</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knižniciach</w:t>
            </w:r>
          </w:p>
        </w:tc>
        <w:tc>
          <w:tcPr>
            <w:tcW w:w="403" w:type="pct"/>
            <w:shd w:val="clear" w:color="auto" w:fill="C6EFCE"/>
            <w:noWrap/>
            <w:vAlign w:val="center"/>
            <w:hideMark/>
          </w:tcPr>
          <w:p w14:paraId="0A422C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68" w:type="pct"/>
            <w:shd w:val="clear" w:color="auto" w:fill="C6EFCE"/>
            <w:noWrap/>
            <w:vAlign w:val="center"/>
            <w:hideMark/>
          </w:tcPr>
          <w:p w14:paraId="27B322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424" w:type="pct"/>
            <w:shd w:val="clear" w:color="auto" w:fill="C6EFCE"/>
            <w:noWrap/>
            <w:vAlign w:val="center"/>
            <w:hideMark/>
          </w:tcPr>
          <w:p w14:paraId="1E50409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367" w:type="pct"/>
            <w:shd w:val="clear" w:color="auto" w:fill="C6EFCE"/>
            <w:noWrap/>
            <w:vAlign w:val="center"/>
            <w:hideMark/>
          </w:tcPr>
          <w:p w14:paraId="07CB57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617</w:t>
            </w:r>
          </w:p>
        </w:tc>
        <w:tc>
          <w:tcPr>
            <w:tcW w:w="275" w:type="pct"/>
            <w:shd w:val="clear" w:color="auto" w:fill="C6EFCE"/>
            <w:noWrap/>
            <w:vAlign w:val="center"/>
            <w:hideMark/>
          </w:tcPr>
          <w:p w14:paraId="1EFAA0E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5" w:type="pct"/>
            <w:shd w:val="clear" w:color="auto" w:fill="C6EFCE"/>
            <w:noWrap/>
            <w:vAlign w:val="center"/>
            <w:hideMark/>
          </w:tcPr>
          <w:p w14:paraId="0FFAC52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1191" w:type="pct"/>
            <w:shd w:val="clear" w:color="auto" w:fill="C6EFCE"/>
            <w:noWrap/>
            <w:vAlign w:val="center"/>
            <w:hideMark/>
          </w:tcPr>
          <w:p w14:paraId="45FA338A" w14:textId="6BB81051"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prác sa </w:t>
            </w:r>
            <w:r w:rsidRPr="00326E55">
              <w:rPr>
                <w:rFonts w:ascii="Times New Roman" w:hAnsi="Times New Roman"/>
                <w:noProof/>
                <w:spacing w:val="-6"/>
                <w:lang w:val="sk-SK"/>
              </w:rPr>
              <w:t>vydávajú pre najmenej 617 múzeí, pamiatok, archeologických priestorov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parkov, archívov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knižníc.</w:t>
            </w:r>
          </w:p>
        </w:tc>
      </w:tr>
      <w:tr w:rsidR="00BF03AA" w:rsidRPr="00326E55" w14:paraId="463F85FC" w14:textId="77777777">
        <w:trPr>
          <w:trHeight w:val="309"/>
          <w:jc w:val="center"/>
        </w:trPr>
        <w:tc>
          <w:tcPr>
            <w:tcW w:w="366" w:type="pct"/>
            <w:shd w:val="clear" w:color="auto" w:fill="C6EFCE"/>
            <w:noWrap/>
            <w:vAlign w:val="center"/>
            <w:hideMark/>
          </w:tcPr>
          <w:p w14:paraId="27ED67D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4</w:t>
            </w:r>
          </w:p>
        </w:tc>
        <w:tc>
          <w:tcPr>
            <w:tcW w:w="553" w:type="pct"/>
            <w:shd w:val="clear" w:color="auto" w:fill="C6EFCE"/>
            <w:noWrap/>
            <w:vAlign w:val="center"/>
            <w:hideMark/>
          </w:tcPr>
          <w:p w14:paraId="59B5419A" w14:textId="11B4088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Investície – 1.3 Zlepšiť energetickú účinnosť kín, divadiel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múzeí</w:t>
            </w:r>
          </w:p>
        </w:tc>
        <w:tc>
          <w:tcPr>
            <w:tcW w:w="321" w:type="pct"/>
            <w:shd w:val="clear" w:color="auto" w:fill="C6EFCE"/>
            <w:noWrap/>
            <w:vAlign w:val="center"/>
            <w:hideMark/>
          </w:tcPr>
          <w:p w14:paraId="19A2880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07" w:type="pct"/>
            <w:shd w:val="clear" w:color="auto" w:fill="C6EFCE"/>
            <w:noWrap/>
            <w:vAlign w:val="center"/>
            <w:hideMark/>
          </w:tcPr>
          <w:p w14:paraId="0B48B77B" w14:textId="37A806F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Skončili sa vystúpenia na štátnych múzeách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kultúrnych pamiatok, </w:t>
            </w:r>
            <w:r w:rsidRPr="00326E55">
              <w:rPr>
                <w:rFonts w:ascii="Times New Roman" w:hAnsi="Times New Roman"/>
                <w:noProof/>
                <w:spacing w:val="-6"/>
                <w:lang w:val="sk-SK"/>
              </w:rPr>
              <w:t>divadelných sálach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kinách (prvá séria)</w:t>
            </w:r>
          </w:p>
        </w:tc>
        <w:tc>
          <w:tcPr>
            <w:tcW w:w="403" w:type="pct"/>
            <w:shd w:val="clear" w:color="auto" w:fill="C6EFCE"/>
            <w:noWrap/>
            <w:vAlign w:val="center"/>
            <w:hideMark/>
          </w:tcPr>
          <w:p w14:paraId="7FB39BB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68" w:type="pct"/>
            <w:shd w:val="clear" w:color="auto" w:fill="C6EFCE"/>
            <w:noWrap/>
            <w:vAlign w:val="center"/>
            <w:hideMark/>
          </w:tcPr>
          <w:p w14:paraId="286A620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424" w:type="pct"/>
            <w:shd w:val="clear" w:color="auto" w:fill="C6EFCE"/>
            <w:noWrap/>
            <w:vAlign w:val="center"/>
            <w:hideMark/>
          </w:tcPr>
          <w:p w14:paraId="143F5B3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367" w:type="pct"/>
            <w:shd w:val="clear" w:color="auto" w:fill="C6EFCE"/>
            <w:noWrap/>
            <w:vAlign w:val="center"/>
            <w:hideMark/>
          </w:tcPr>
          <w:p w14:paraId="5D9B416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80</w:t>
            </w:r>
          </w:p>
        </w:tc>
        <w:tc>
          <w:tcPr>
            <w:tcW w:w="275" w:type="pct"/>
            <w:shd w:val="clear" w:color="auto" w:fill="C6EFCE"/>
            <w:noWrap/>
            <w:vAlign w:val="center"/>
            <w:hideMark/>
          </w:tcPr>
          <w:p w14:paraId="28298A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225" w:type="pct"/>
            <w:shd w:val="clear" w:color="auto" w:fill="C6EFCE"/>
            <w:noWrap/>
            <w:vAlign w:val="center"/>
            <w:hideMark/>
          </w:tcPr>
          <w:p w14:paraId="5CA1E8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1191" w:type="pct"/>
            <w:shd w:val="clear" w:color="auto" w:fill="C6EFCE"/>
            <w:noWrap/>
            <w:vAlign w:val="center"/>
            <w:hideMark/>
          </w:tcPr>
          <w:p w14:paraId="4A7245AF"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Ukazovateľ sa vzťahuje na počet uzavretých intervencií, čo dokazuje certifikácia pravidelného vykonávania prác.</w:t>
            </w:r>
          </w:p>
          <w:p w14:paraId="1CE82624"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Typy intervencií, ktoré sa majú dokončiť, zahŕňajú:</w:t>
            </w:r>
          </w:p>
          <w:p w14:paraId="110BE535" w14:textId="663D245C" w:rsidR="00BF03AA" w:rsidRPr="00326E55" w:rsidRDefault="00FB452D">
            <w:pPr>
              <w:ind w:left="315" w:hanging="315"/>
              <w:rPr>
                <w:rFonts w:ascii="Times New Roman" w:hAnsi="Times New Roman"/>
                <w:noProof/>
                <w:color w:val="006100"/>
                <w:spacing w:val="-6"/>
                <w:sz w:val="20"/>
                <w:szCs w:val="20"/>
                <w:lang w:val="sk-SK"/>
              </w:rPr>
            </w:pPr>
            <w:r w:rsidRPr="00326E55">
              <w:rPr>
                <w:rFonts w:ascii="Times New Roman" w:hAnsi="Times New Roman"/>
                <w:noProof/>
                <w:color w:val="003A00"/>
                <w:spacing w:val="-6"/>
                <w:sz w:val="20"/>
                <w:lang w:val="sk-SK"/>
              </w:rPr>
              <w:t>-</w:t>
            </w:r>
            <w:r w:rsidRPr="00326E55">
              <w:rPr>
                <w:rFonts w:ascii="Times New Roman" w:hAnsi="Times New Roman"/>
                <w:noProof/>
                <w:color w:val="003A00"/>
                <w:spacing w:val="-6"/>
                <w:lang w:val="sk-SK"/>
              </w:rPr>
              <w:t xml:space="preserve"> </w:t>
            </w:r>
            <w:r w:rsidRPr="00326E55">
              <w:rPr>
                <w:rFonts w:ascii="Times New Roman" w:hAnsi="Times New Roman"/>
                <w:noProof/>
                <w:color w:val="006100"/>
                <w:spacing w:val="-6"/>
                <w:sz w:val="20"/>
                <w:lang w:val="sk-SK"/>
              </w:rPr>
              <w:t>technické</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hospodársko-finančné plánovanie, energetické audity, počiatočné environmentálne analýzy, posudzovanie vplyvov na životné prostredie, úľavy</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posúdenia zamerané na identifikáciu kritických problémov, určenie následných zásahov na zlepšenie energ</w:t>
            </w:r>
            <w:r w:rsidRPr="00326E55">
              <w:rPr>
                <w:rFonts w:ascii="Times New Roman" w:hAnsi="Times New Roman"/>
                <w:noProof/>
                <w:color w:val="006100"/>
                <w:spacing w:val="-6"/>
                <w:sz w:val="20"/>
                <w:lang w:val="sk-SK"/>
              </w:rPr>
              <w:t>etickej hospodárnosti;</w:t>
            </w:r>
          </w:p>
          <w:p w14:paraId="1064E997" w14:textId="77777777" w:rsidR="00BF03AA" w:rsidRPr="00326E55" w:rsidRDefault="00FB452D">
            <w:pPr>
              <w:ind w:left="315" w:hanging="315"/>
              <w:rPr>
                <w:rFonts w:ascii="Times New Roman" w:hAnsi="Times New Roman"/>
                <w:noProof/>
                <w:color w:val="006100"/>
                <w:spacing w:val="-6"/>
                <w:sz w:val="20"/>
                <w:szCs w:val="20"/>
                <w:lang w:val="sk-SK"/>
              </w:rPr>
            </w:pPr>
            <w:r w:rsidRPr="00326E55">
              <w:rPr>
                <w:rFonts w:ascii="Times New Roman" w:hAnsi="Times New Roman"/>
                <w:noProof/>
                <w:color w:val="003A00"/>
                <w:spacing w:val="-6"/>
                <w:sz w:val="20"/>
                <w:lang w:val="sk-SK"/>
              </w:rPr>
              <w:t>-</w:t>
            </w:r>
            <w:r w:rsidRPr="00326E55">
              <w:rPr>
                <w:rFonts w:ascii="Times New Roman" w:hAnsi="Times New Roman"/>
                <w:noProof/>
                <w:color w:val="003A00"/>
                <w:spacing w:val="-6"/>
                <w:lang w:val="sk-SK"/>
              </w:rPr>
              <w:t xml:space="preserve"> </w:t>
            </w:r>
            <w:r w:rsidRPr="00326E55">
              <w:rPr>
                <w:rFonts w:ascii="Times New Roman" w:hAnsi="Times New Roman"/>
                <w:noProof/>
                <w:color w:val="006100"/>
                <w:spacing w:val="-6"/>
                <w:sz w:val="20"/>
                <w:lang w:val="sk-SK"/>
              </w:rPr>
              <w:t>intervencie týkajúce sa plášťa budovy;</w:t>
            </w:r>
          </w:p>
          <w:p w14:paraId="0A61F656" w14:textId="2E5A4DB4" w:rsidR="00BF03AA" w:rsidRPr="00326E55" w:rsidRDefault="00FB452D">
            <w:pPr>
              <w:ind w:left="315" w:hanging="315"/>
              <w:rPr>
                <w:rFonts w:ascii="Times New Roman" w:hAnsi="Times New Roman"/>
                <w:noProof/>
                <w:color w:val="006100"/>
                <w:spacing w:val="-6"/>
                <w:sz w:val="20"/>
                <w:szCs w:val="20"/>
                <w:lang w:val="sk-SK"/>
              </w:rPr>
            </w:pPr>
            <w:r w:rsidRPr="00326E55">
              <w:rPr>
                <w:rFonts w:ascii="Times New Roman" w:hAnsi="Times New Roman"/>
                <w:noProof/>
                <w:color w:val="003A00"/>
                <w:spacing w:val="-6"/>
                <w:sz w:val="20"/>
                <w:lang w:val="sk-SK"/>
              </w:rPr>
              <w:t>-</w:t>
            </w:r>
            <w:r w:rsidRPr="00326E55">
              <w:rPr>
                <w:rFonts w:ascii="Times New Roman" w:hAnsi="Times New Roman"/>
                <w:noProof/>
                <w:color w:val="003A00"/>
                <w:spacing w:val="-6"/>
                <w:lang w:val="sk-SK"/>
              </w:rPr>
              <w:t xml:space="preserve"> </w:t>
            </w:r>
            <w:r w:rsidRPr="00326E55">
              <w:rPr>
                <w:rFonts w:ascii="Times New Roman" w:hAnsi="Times New Roman"/>
                <w:noProof/>
                <w:color w:val="006100"/>
                <w:spacing w:val="-6"/>
                <w:sz w:val="20"/>
                <w:lang w:val="sk-SK"/>
              </w:rPr>
              <w:t>zásahy spočívajúce</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výmene/nadobudnutí vybavenia, nástrojov, systémov, zariadení, softvéru digitálnych aplikácií, ako aj pomocných prístrojov na ich prevádzku, nadobúdanie patentov, licenci</w:t>
            </w:r>
            <w:r w:rsidRPr="00326E55">
              <w:rPr>
                <w:rFonts w:ascii="Times New Roman" w:hAnsi="Times New Roman"/>
                <w:noProof/>
                <w:color w:val="006100"/>
                <w:spacing w:val="-6"/>
                <w:sz w:val="20"/>
                <w:lang w:val="sk-SK"/>
              </w:rPr>
              <w:t>í</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know-how;</w:t>
            </w:r>
          </w:p>
          <w:p w14:paraId="6B3408B9" w14:textId="396FA34C" w:rsidR="00BF03AA" w:rsidRPr="00326E55" w:rsidRDefault="00FB452D">
            <w:pPr>
              <w:ind w:left="315" w:hanging="315"/>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color w:val="003A00"/>
                <w:spacing w:val="-6"/>
                <w:lang w:val="sk-SK"/>
              </w:rPr>
              <w:t xml:space="preserve"> </w:t>
            </w:r>
            <w:r w:rsidRPr="00326E55">
              <w:rPr>
                <w:rFonts w:ascii="Times New Roman" w:hAnsi="Times New Roman"/>
                <w:noProof/>
                <w:color w:val="006100"/>
                <w:spacing w:val="-6"/>
                <w:sz w:val="20"/>
                <w:lang w:val="sk-SK"/>
              </w:rPr>
              <w:t>inštalácia inteligentných systémov na diaľkové ovládanie, reguláciu, riadenie, monitorovanie</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optimalizáciu spotreby energie (inteligentné budovy)</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znečisťujúcich emisií aj prostredníctvom využívania technologických kombinácií.</w:t>
            </w:r>
          </w:p>
        </w:tc>
      </w:tr>
      <w:tr w:rsidR="00BF03AA" w:rsidRPr="00326E55" w14:paraId="2FF17127" w14:textId="77777777">
        <w:trPr>
          <w:trHeight w:val="309"/>
          <w:jc w:val="center"/>
        </w:trPr>
        <w:tc>
          <w:tcPr>
            <w:tcW w:w="366" w:type="pct"/>
            <w:shd w:val="clear" w:color="auto" w:fill="C6EFCE"/>
            <w:noWrap/>
            <w:vAlign w:val="center"/>
            <w:hideMark/>
          </w:tcPr>
          <w:p w14:paraId="0E03FA3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5</w:t>
            </w:r>
          </w:p>
        </w:tc>
        <w:tc>
          <w:tcPr>
            <w:tcW w:w="553" w:type="pct"/>
            <w:shd w:val="clear" w:color="auto" w:fill="C6EFCE"/>
            <w:noWrap/>
            <w:vAlign w:val="center"/>
            <w:hideMark/>
          </w:tcPr>
          <w:p w14:paraId="49A34934" w14:textId="2B3D855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Investície – 1.3 Zlepšiť energetickú účinnosť kín, divadiel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múzeí</w:t>
            </w:r>
          </w:p>
        </w:tc>
        <w:tc>
          <w:tcPr>
            <w:tcW w:w="321" w:type="pct"/>
            <w:shd w:val="clear" w:color="auto" w:fill="C6EFCE"/>
            <w:noWrap/>
            <w:vAlign w:val="center"/>
            <w:hideMark/>
          </w:tcPr>
          <w:p w14:paraId="183C2A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07" w:type="pct"/>
            <w:shd w:val="clear" w:color="auto" w:fill="C6EFCE"/>
            <w:noWrap/>
            <w:vAlign w:val="center"/>
            <w:hideMark/>
          </w:tcPr>
          <w:p w14:paraId="5730BB92" w14:textId="28EFB79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Uzatvárajú sa vystúpenia na štátnych múzeách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kultúrnych pamiatok, divadelných sálach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kinách (druhá séria)</w:t>
            </w:r>
          </w:p>
        </w:tc>
        <w:tc>
          <w:tcPr>
            <w:tcW w:w="403" w:type="pct"/>
            <w:shd w:val="clear" w:color="auto" w:fill="C6EFCE"/>
            <w:noWrap/>
            <w:vAlign w:val="center"/>
            <w:hideMark/>
          </w:tcPr>
          <w:p w14:paraId="0398AED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68" w:type="pct"/>
            <w:shd w:val="clear" w:color="auto" w:fill="C6EFCE"/>
            <w:noWrap/>
            <w:vAlign w:val="center"/>
            <w:hideMark/>
          </w:tcPr>
          <w:p w14:paraId="1377A5E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424" w:type="pct"/>
            <w:shd w:val="clear" w:color="auto" w:fill="C6EFCE"/>
            <w:noWrap/>
            <w:vAlign w:val="center"/>
            <w:hideMark/>
          </w:tcPr>
          <w:p w14:paraId="702358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80</w:t>
            </w:r>
          </w:p>
        </w:tc>
        <w:tc>
          <w:tcPr>
            <w:tcW w:w="367" w:type="pct"/>
            <w:shd w:val="clear" w:color="auto" w:fill="C6EFCE"/>
            <w:noWrap/>
            <w:vAlign w:val="center"/>
            <w:hideMark/>
          </w:tcPr>
          <w:p w14:paraId="1700026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420</w:t>
            </w:r>
          </w:p>
        </w:tc>
        <w:tc>
          <w:tcPr>
            <w:tcW w:w="275" w:type="pct"/>
            <w:shd w:val="clear" w:color="auto" w:fill="C6EFCE"/>
            <w:noWrap/>
            <w:vAlign w:val="center"/>
            <w:hideMark/>
          </w:tcPr>
          <w:p w14:paraId="76680CE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5" w:type="pct"/>
            <w:shd w:val="clear" w:color="auto" w:fill="C6EFCE"/>
            <w:noWrap/>
            <w:vAlign w:val="center"/>
            <w:hideMark/>
          </w:tcPr>
          <w:p w14:paraId="10C375E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1191" w:type="pct"/>
            <w:shd w:val="clear" w:color="auto" w:fill="C6EFCE"/>
            <w:noWrap/>
            <w:vAlign w:val="center"/>
            <w:hideMark/>
          </w:tcPr>
          <w:p w14:paraId="1C0B80F0" w14:textId="3E7E2E7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prác sa </w:t>
            </w:r>
            <w:r w:rsidRPr="00326E55">
              <w:rPr>
                <w:rFonts w:ascii="Times New Roman" w:hAnsi="Times New Roman"/>
                <w:noProof/>
                <w:spacing w:val="-6"/>
                <w:szCs w:val="20"/>
                <w:lang w:val="sk-SK"/>
              </w:rPr>
              <w:t xml:space="preserve">vydávajú </w:t>
            </w:r>
            <w:r w:rsidRPr="00326E55">
              <w:rPr>
                <w:rFonts w:ascii="Times New Roman" w:hAnsi="Times New Roman"/>
                <w:noProof/>
                <w:spacing w:val="-6"/>
                <w:lang w:val="sk-SK"/>
              </w:rPr>
              <w:t>najmenej na 340 zásahov vrátane:</w:t>
            </w:r>
          </w:p>
          <w:p w14:paraId="005E341C" w14:textId="6FB7FD6D" w:rsidR="00BF03AA" w:rsidRPr="00326E55" w:rsidRDefault="00FB452D">
            <w:pPr>
              <w:pStyle w:val="P68B1DB1-ListParagraph15"/>
              <w:numPr>
                <w:ilvl w:val="0"/>
                <w:numId w:val="171"/>
              </w:numPr>
              <w:rPr>
                <w:rFonts w:ascii="Times New Roman" w:hAnsi="Times New Roman"/>
                <w:noProof/>
                <w:spacing w:val="-6"/>
                <w:szCs w:val="20"/>
                <w:lang w:val="sk-SK"/>
              </w:rPr>
            </w:pPr>
            <w:r w:rsidRPr="00326E55">
              <w:rPr>
                <w:rFonts w:ascii="Times New Roman" w:hAnsi="Times New Roman"/>
                <w:noProof/>
                <w:spacing w:val="-6"/>
                <w:lang w:val="sk-SK"/>
              </w:rPr>
              <w:t>technické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hospodársko-finančné plánovanie, energetické audity, počiatočné environmentálne analýzy, posudzovanie vplyvov na životné prostredie, úľavy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posúdenia zamerané na identifikáciu kritick</w:t>
            </w:r>
            <w:r w:rsidRPr="00326E55">
              <w:rPr>
                <w:rFonts w:ascii="Times New Roman" w:hAnsi="Times New Roman"/>
                <w:noProof/>
                <w:spacing w:val="-6"/>
                <w:lang w:val="sk-SK"/>
              </w:rPr>
              <w:t>ých problémov, určenie následných zásahov na zlepšenie energetickej hospodárnosti;</w:t>
            </w:r>
          </w:p>
          <w:p w14:paraId="3901BD23" w14:textId="490B671A" w:rsidR="00BF03AA" w:rsidRPr="00326E55" w:rsidRDefault="00FB452D">
            <w:pPr>
              <w:pStyle w:val="P68B1DB1-ListParagraph15"/>
              <w:numPr>
                <w:ilvl w:val="0"/>
                <w:numId w:val="171"/>
              </w:numPr>
              <w:rPr>
                <w:rFonts w:ascii="Times New Roman" w:hAnsi="Times New Roman"/>
                <w:noProof/>
                <w:spacing w:val="-6"/>
                <w:szCs w:val="20"/>
                <w:lang w:val="sk-SK"/>
              </w:rPr>
            </w:pPr>
            <w:r w:rsidRPr="00326E55">
              <w:rPr>
                <w:rFonts w:ascii="Times New Roman" w:hAnsi="Times New Roman"/>
                <w:noProof/>
                <w:spacing w:val="-6"/>
                <w:lang w:val="sk-SK"/>
              </w:rPr>
              <w:t>intervencie týkajúce sa plášťa budovy;</w:t>
            </w:r>
          </w:p>
          <w:p w14:paraId="12C1AC94" w14:textId="1CECF009" w:rsidR="00BF03AA" w:rsidRPr="00326E55" w:rsidRDefault="00FB452D">
            <w:pPr>
              <w:pStyle w:val="P68B1DB1-ListParagraph15"/>
              <w:numPr>
                <w:ilvl w:val="0"/>
                <w:numId w:val="171"/>
              </w:numPr>
              <w:rPr>
                <w:rFonts w:ascii="Times New Roman" w:hAnsi="Times New Roman"/>
                <w:noProof/>
                <w:spacing w:val="-6"/>
                <w:szCs w:val="20"/>
                <w:lang w:val="sk-SK"/>
              </w:rPr>
            </w:pPr>
            <w:r w:rsidRPr="00326E55">
              <w:rPr>
                <w:rFonts w:ascii="Times New Roman" w:hAnsi="Times New Roman"/>
                <w:noProof/>
                <w:spacing w:val="-6"/>
                <w:lang w:val="sk-SK"/>
              </w:rPr>
              <w:t>zásahy spočívajúce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výmene/nadobudnutí vybavenia, nástrojov, systémov, zariadení, softvéru digitálnych aplikácií, ako aj pomocných pr</w:t>
            </w:r>
            <w:r w:rsidRPr="00326E55">
              <w:rPr>
                <w:rFonts w:ascii="Times New Roman" w:hAnsi="Times New Roman"/>
                <w:noProof/>
                <w:spacing w:val="-6"/>
                <w:lang w:val="sk-SK"/>
              </w:rPr>
              <w:t>ístrojov na ich prevádzku, nadobúdanie patentov, licencií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know-how;</w:t>
            </w:r>
          </w:p>
          <w:p w14:paraId="2B0668DB" w14:textId="4BFB1F53" w:rsidR="00BF03AA" w:rsidRPr="00326E55" w:rsidRDefault="00FB452D">
            <w:pPr>
              <w:pStyle w:val="P68B1DB1-ListParagraph15"/>
              <w:numPr>
                <w:ilvl w:val="0"/>
                <w:numId w:val="171"/>
              </w:numPr>
              <w:rPr>
                <w:rFonts w:ascii="Times New Roman" w:hAnsi="Times New Roman"/>
                <w:noProof/>
                <w:spacing w:val="-6"/>
                <w:szCs w:val="20"/>
                <w:lang w:val="sk-SK"/>
              </w:rPr>
            </w:pPr>
            <w:r w:rsidRPr="00326E55">
              <w:rPr>
                <w:rFonts w:ascii="Times New Roman" w:hAnsi="Times New Roman"/>
                <w:noProof/>
                <w:spacing w:val="-6"/>
                <w:lang w:val="sk-SK"/>
              </w:rPr>
              <w:t>inštalácia inteligentných systémov na diaľkové ovládanie, reguláciu, riadenie, monitorovanie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optimalizáciu spotreby energie (inteligentné budovy)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znečisťujúcich emisií aj prostredníc</w:t>
            </w:r>
            <w:r w:rsidRPr="00326E55">
              <w:rPr>
                <w:rFonts w:ascii="Times New Roman" w:hAnsi="Times New Roman"/>
                <w:noProof/>
                <w:spacing w:val="-6"/>
                <w:lang w:val="sk-SK"/>
              </w:rPr>
              <w:t>tvom využívania technologických kombinácií.</w:t>
            </w:r>
          </w:p>
        </w:tc>
      </w:tr>
      <w:tr w:rsidR="00BF03AA" w:rsidRPr="00326E55" w14:paraId="368B173B" w14:textId="77777777">
        <w:trPr>
          <w:trHeight w:val="309"/>
          <w:jc w:val="center"/>
        </w:trPr>
        <w:tc>
          <w:tcPr>
            <w:tcW w:w="366" w:type="pct"/>
            <w:shd w:val="clear" w:color="auto" w:fill="C6EFCE"/>
            <w:noWrap/>
            <w:vAlign w:val="center"/>
          </w:tcPr>
          <w:p w14:paraId="5C8EA59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6</w:t>
            </w:r>
          </w:p>
        </w:tc>
        <w:tc>
          <w:tcPr>
            <w:tcW w:w="553" w:type="pct"/>
            <w:shd w:val="clear" w:color="auto" w:fill="C6EFCE"/>
            <w:noWrap/>
            <w:vAlign w:val="center"/>
          </w:tcPr>
          <w:p w14:paraId="67740D3D" w14:textId="58F601B3"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Reforma – 3.1 Minimálne environmentálne kritériá pre kultúrne podujatia</w:t>
            </w:r>
          </w:p>
        </w:tc>
        <w:tc>
          <w:tcPr>
            <w:tcW w:w="321" w:type="pct"/>
            <w:shd w:val="clear" w:color="auto" w:fill="C6EFCE"/>
            <w:noWrap/>
            <w:vAlign w:val="center"/>
          </w:tcPr>
          <w:p w14:paraId="6A2CC68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507" w:type="pct"/>
            <w:shd w:val="clear" w:color="auto" w:fill="C6EFCE"/>
            <w:noWrap/>
            <w:vAlign w:val="center"/>
          </w:tcPr>
          <w:p w14:paraId="52C851E7" w14:textId="669C7789"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Nadobudnutie účinnosti vyhlášky, ktorou sa vymedzujú sociálne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environmentálne kritériá vo verejných obstarávaniach </w:t>
            </w:r>
            <w:r w:rsidRPr="00326E55">
              <w:rPr>
                <w:rFonts w:ascii="Times New Roman" w:hAnsi="Times New Roman"/>
                <w:noProof/>
                <w:spacing w:val="-6"/>
                <w:lang w:val="sk-SK"/>
              </w:rPr>
              <w:t>týkajúcich sa kultúrnych podujatí financovaných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verejných zdrojov</w:t>
            </w:r>
          </w:p>
        </w:tc>
        <w:tc>
          <w:tcPr>
            <w:tcW w:w="403" w:type="pct"/>
            <w:shd w:val="clear" w:color="auto" w:fill="C6EFCE"/>
            <w:noWrap/>
            <w:vAlign w:val="center"/>
          </w:tcPr>
          <w:p w14:paraId="69FADB3D" w14:textId="270662F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Ustanovenie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 minimálnych environmentálnych kritérií pre kultúrne podujatia</w:t>
            </w:r>
          </w:p>
        </w:tc>
        <w:tc>
          <w:tcPr>
            <w:tcW w:w="368" w:type="pct"/>
            <w:shd w:val="clear" w:color="auto" w:fill="C6EFCE"/>
            <w:noWrap/>
            <w:vAlign w:val="center"/>
          </w:tcPr>
          <w:p w14:paraId="57B9A89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shd w:val="clear" w:color="auto" w:fill="C6EFCE"/>
            <w:noWrap/>
            <w:vAlign w:val="center"/>
          </w:tcPr>
          <w:p w14:paraId="0884DB1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67" w:type="pct"/>
            <w:shd w:val="clear" w:color="auto" w:fill="C6EFCE"/>
            <w:noWrap/>
            <w:vAlign w:val="center"/>
          </w:tcPr>
          <w:p w14:paraId="6BD579A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275" w:type="pct"/>
            <w:shd w:val="clear" w:color="auto" w:fill="C6EFCE"/>
            <w:noWrap/>
            <w:vAlign w:val="center"/>
          </w:tcPr>
          <w:p w14:paraId="77A8473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225" w:type="pct"/>
            <w:shd w:val="clear" w:color="auto" w:fill="C6EFCE"/>
            <w:noWrap/>
            <w:vAlign w:val="center"/>
          </w:tcPr>
          <w:p w14:paraId="0DC1037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2022</w:t>
            </w:r>
          </w:p>
        </w:tc>
        <w:tc>
          <w:tcPr>
            <w:tcW w:w="1191" w:type="pct"/>
            <w:shd w:val="clear" w:color="auto" w:fill="C6EFCE"/>
            <w:noWrap/>
            <w:vAlign w:val="center"/>
          </w:tcPr>
          <w:p w14:paraId="40AFABA6" w14:textId="7D4CE2D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Prijmú sa </w:t>
            </w:r>
            <w:r w:rsidRPr="00326E55">
              <w:rPr>
                <w:rFonts w:ascii="Times New Roman" w:hAnsi="Times New Roman"/>
                <w:noProof/>
                <w:spacing w:val="-6"/>
                <w:lang w:val="sk-SK"/>
              </w:rPr>
              <w:t>kritériá pre tieto aspekty: obmedzenie používania papiera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tlače, používanie ekologických materiálov, postupné nastavenie vyrobené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recyklovaných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opätovne použitých materiálov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udržateľného vybavenia, gadgety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nízkym vplyvom na životné prostredie, vý</w:t>
            </w:r>
            <w:r w:rsidRPr="00326E55">
              <w:rPr>
                <w:rFonts w:ascii="Times New Roman" w:hAnsi="Times New Roman"/>
                <w:noProof/>
                <w:spacing w:val="-6"/>
                <w:lang w:val="sk-SK"/>
              </w:rPr>
              <w:t>ber miesta na základe ochrany biodiverzity, stravovacie služby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nízkym vplyvom na životné prostredie, doprava na podujatie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preprava materiálov, spotreba energie na organizáciu podujatia.</w:t>
            </w:r>
          </w:p>
          <w:p w14:paraId="2E58E5F5" w14:textId="219E4F7B"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Sociálne kritériá podporujúce prístupnosť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začlenenie zahŕňajú: p</w:t>
            </w:r>
            <w:r w:rsidRPr="00326E55">
              <w:rPr>
                <w:rFonts w:ascii="Times New Roman" w:hAnsi="Times New Roman"/>
                <w:noProof/>
                <w:spacing w:val="-6"/>
                <w:lang w:val="sk-SK"/>
              </w:rPr>
              <w:t>odpora prístupnosti pre osoby so zdravotným postihnutím; podpora príležitostí na zamestnanie mladých ľudí, dlhodobo nezamestnaných, osôb patriacich</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znevýhodneným skupinám (ako sú migrujúci pracovníci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etnické menšiny)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osôb so zdravotným postihnutím; z</w:t>
            </w:r>
            <w:r w:rsidRPr="00326E55">
              <w:rPr>
                <w:rFonts w:ascii="Times New Roman" w:hAnsi="Times New Roman"/>
                <w:noProof/>
                <w:spacing w:val="-6"/>
                <w:lang w:val="sk-SK"/>
              </w:rPr>
              <w:t>abezpečiť rovnaký 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verejnému obstarávaniu pre podniky, ktorých vlastníci alebo zamestnanci patria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etnickým alebo menšinovým skupinám, ako sú družstvá, sociálne podniky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neziskové organizácie; podpora „dôstojnej práce“ chápanej ako právo na prod</w:t>
            </w:r>
            <w:r w:rsidRPr="00326E55">
              <w:rPr>
                <w:rFonts w:ascii="Times New Roman" w:hAnsi="Times New Roman"/>
                <w:noProof/>
                <w:spacing w:val="-6"/>
                <w:lang w:val="sk-SK"/>
              </w:rPr>
              <w:t>uktívnu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slobodne vybranú prácu, na základné zásady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práva pri práci, na dôstojné mzdy, sociálnu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sociálny dialóg.</w:t>
            </w:r>
          </w:p>
          <w:p w14:paraId="237ABC00" w14:textId="4CC243E9"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Reforma sa bude týkať kultúrnych podujatí, ako sú výstavy, festivaly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podujatia divadelného umenia.</w:t>
            </w:r>
          </w:p>
        </w:tc>
      </w:tr>
      <w:tr w:rsidR="00BF03AA" w:rsidRPr="00326E55" w14:paraId="2BB5FE4C" w14:textId="77777777">
        <w:trPr>
          <w:trHeight w:val="309"/>
          <w:jc w:val="center"/>
        </w:trPr>
        <w:tc>
          <w:tcPr>
            <w:tcW w:w="366" w:type="pct"/>
            <w:shd w:val="clear" w:color="auto" w:fill="C6EFCE"/>
            <w:noWrap/>
            <w:vAlign w:val="center"/>
            <w:hideMark/>
          </w:tcPr>
          <w:p w14:paraId="1106F40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7</w:t>
            </w:r>
          </w:p>
        </w:tc>
        <w:tc>
          <w:tcPr>
            <w:tcW w:w="553" w:type="pct"/>
            <w:shd w:val="clear" w:color="auto" w:fill="C6EFCE"/>
            <w:noWrap/>
            <w:vAlign w:val="center"/>
            <w:hideMark/>
          </w:tcPr>
          <w:p w14:paraId="52CB5501" w14:textId="3D9B0C3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Investície – 3.3 </w:t>
            </w:r>
            <w:r w:rsidRPr="00326E55">
              <w:rPr>
                <w:rFonts w:ascii="Times New Roman" w:hAnsi="Times New Roman"/>
                <w:noProof/>
                <w:spacing w:val="-6"/>
                <w:lang w:val="sk-SK"/>
              </w:rPr>
              <w:t>Budovanie kapacít pre prevádzkovateľov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kultúry na riadenie digitálnej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zelenej transformácie.</w:t>
            </w:r>
          </w:p>
        </w:tc>
        <w:tc>
          <w:tcPr>
            <w:tcW w:w="321" w:type="pct"/>
            <w:shd w:val="clear" w:color="auto" w:fill="C6EFCE"/>
            <w:noWrap/>
            <w:vAlign w:val="center"/>
            <w:hideMark/>
          </w:tcPr>
          <w:p w14:paraId="5D88D94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07" w:type="pct"/>
            <w:shd w:val="clear" w:color="auto" w:fill="C6EFCE"/>
            <w:noWrap/>
            <w:vAlign w:val="center"/>
            <w:hideMark/>
          </w:tcPr>
          <w:p w14:paraId="6603A745" w14:textId="678021B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Zadávanie všetkých verejných zákaziek vykonávacej organizácii/príjemcom na všetky intervencie na riadenie digitálnej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zelenej transformácie kul</w:t>
            </w:r>
            <w:r w:rsidRPr="00326E55">
              <w:rPr>
                <w:rFonts w:ascii="Times New Roman" w:hAnsi="Times New Roman"/>
                <w:noProof/>
                <w:spacing w:val="-6"/>
                <w:lang w:val="sk-SK"/>
              </w:rPr>
              <w:t>túrnych subjektov</w:t>
            </w:r>
          </w:p>
        </w:tc>
        <w:tc>
          <w:tcPr>
            <w:tcW w:w="403" w:type="pct"/>
            <w:shd w:val="clear" w:color="auto" w:fill="C6EFCE"/>
            <w:noWrap/>
            <w:vAlign w:val="center"/>
            <w:hideMark/>
          </w:tcPr>
          <w:p w14:paraId="3534EA4B" w14:textId="140F0B7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organizáciám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sieťam, ktoré sú zodpovedné za realizáciu činností budovania kapacít</w:t>
            </w:r>
          </w:p>
        </w:tc>
        <w:tc>
          <w:tcPr>
            <w:tcW w:w="368" w:type="pct"/>
            <w:shd w:val="clear" w:color="auto" w:fill="C6EFCE"/>
            <w:noWrap/>
            <w:vAlign w:val="center"/>
            <w:hideMark/>
          </w:tcPr>
          <w:p w14:paraId="4A0D0C1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424" w:type="pct"/>
            <w:shd w:val="clear" w:color="auto" w:fill="C6EFCE"/>
            <w:noWrap/>
            <w:vAlign w:val="center"/>
            <w:hideMark/>
          </w:tcPr>
          <w:p w14:paraId="7196E90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67" w:type="pct"/>
            <w:shd w:val="clear" w:color="auto" w:fill="C6EFCE"/>
            <w:noWrap/>
            <w:vAlign w:val="center"/>
            <w:hideMark/>
          </w:tcPr>
          <w:p w14:paraId="4576EE1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275" w:type="pct"/>
            <w:shd w:val="clear" w:color="auto" w:fill="C6EFCE"/>
            <w:noWrap/>
            <w:vAlign w:val="center"/>
            <w:hideMark/>
          </w:tcPr>
          <w:p w14:paraId="7E97B5F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5" w:type="pct"/>
            <w:shd w:val="clear" w:color="auto" w:fill="C6EFCE"/>
            <w:noWrap/>
            <w:vAlign w:val="center"/>
            <w:hideMark/>
          </w:tcPr>
          <w:p w14:paraId="1D2C18D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1191" w:type="pct"/>
            <w:shd w:val="clear" w:color="auto" w:fill="C6EFCE"/>
            <w:noWrap/>
            <w:vAlign w:val="center"/>
            <w:hideMark/>
          </w:tcPr>
          <w:p w14:paraId="3FC11FB5" w14:textId="7DF1EC58"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Vybranými vykonávacími orgánmi sú špecializované </w:t>
            </w:r>
            <w:r w:rsidRPr="00326E55">
              <w:rPr>
                <w:rFonts w:ascii="Times New Roman" w:hAnsi="Times New Roman"/>
                <w:noProof/>
                <w:spacing w:val="-6"/>
                <w:lang w:val="sk-SK"/>
              </w:rPr>
              <w:t>organizácie alebo siete, ktoré majú zručnosti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skúsenosti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odbornej prípravy, ako aj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kultúrnej produkcie, životného prostredia, kultúrneho 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odbornej prípravy.</w:t>
            </w:r>
          </w:p>
          <w:p w14:paraId="6EEA4069" w14:textId="7821F6A0"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w:t>
            </w:r>
            <w:r w:rsidRPr="00326E55">
              <w:rPr>
                <w:rFonts w:ascii="Times New Roman" w:hAnsi="Times New Roman"/>
                <w:noProof/>
                <w:spacing w:val="-6"/>
                <w:lang w:val="sk-SK"/>
              </w:rPr>
              <w:t>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3FF8D711" w14:textId="77777777">
        <w:trPr>
          <w:trHeight w:val="309"/>
          <w:jc w:val="center"/>
        </w:trPr>
        <w:tc>
          <w:tcPr>
            <w:tcW w:w="366" w:type="pct"/>
            <w:shd w:val="clear" w:color="auto" w:fill="C6EFCE"/>
            <w:noWrap/>
            <w:vAlign w:val="center"/>
          </w:tcPr>
          <w:p w14:paraId="7FE970B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8</w:t>
            </w:r>
          </w:p>
        </w:tc>
        <w:tc>
          <w:tcPr>
            <w:tcW w:w="553" w:type="pct"/>
            <w:shd w:val="clear" w:color="auto" w:fill="C6EFCE"/>
            <w:noWrap/>
            <w:vAlign w:val="center"/>
          </w:tcPr>
          <w:p w14:paraId="399604C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 4.1 Centrum digitálneho cestovného ruchu</w:t>
            </w:r>
          </w:p>
        </w:tc>
        <w:tc>
          <w:tcPr>
            <w:tcW w:w="321" w:type="pct"/>
            <w:shd w:val="clear" w:color="auto" w:fill="C6EFCE"/>
            <w:noWrap/>
            <w:vAlign w:val="center"/>
          </w:tcPr>
          <w:p w14:paraId="4B42408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507" w:type="pct"/>
            <w:shd w:val="clear" w:color="auto" w:fill="C6EFCE"/>
            <w:noWrap/>
            <w:vAlign w:val="center"/>
          </w:tcPr>
          <w:p w14:paraId="47B15228"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Zadávanie zákaziek na vývoj portálu digitálneho cestovného ruchu</w:t>
            </w:r>
          </w:p>
        </w:tc>
        <w:tc>
          <w:tcPr>
            <w:tcW w:w="403" w:type="pct"/>
            <w:shd w:val="clear" w:color="auto" w:fill="C6EFCE"/>
            <w:noWrap/>
            <w:vAlign w:val="center"/>
          </w:tcPr>
          <w:p w14:paraId="78A99255" w14:textId="40D4C773"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všetkých verejných zákaziek na vývoj </w:t>
            </w:r>
            <w:r w:rsidRPr="00326E55">
              <w:rPr>
                <w:rFonts w:ascii="Times New Roman" w:hAnsi="Times New Roman"/>
                <w:noProof/>
                <w:spacing w:val="-6"/>
                <w:lang w:val="sk-SK"/>
              </w:rPr>
              <w:t>portálu digitálneho cestovného ruchu</w:t>
            </w:r>
          </w:p>
        </w:tc>
        <w:tc>
          <w:tcPr>
            <w:tcW w:w="368" w:type="pct"/>
            <w:shd w:val="clear" w:color="auto" w:fill="C6EFCE"/>
            <w:noWrap/>
            <w:vAlign w:val="center"/>
          </w:tcPr>
          <w:p w14:paraId="1C5FC3D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shd w:val="clear" w:color="auto" w:fill="C6EFCE"/>
            <w:noWrap/>
            <w:vAlign w:val="center"/>
          </w:tcPr>
          <w:p w14:paraId="20E9A7D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67" w:type="pct"/>
            <w:shd w:val="clear" w:color="auto" w:fill="C6EFCE"/>
            <w:noWrap/>
            <w:vAlign w:val="center"/>
          </w:tcPr>
          <w:p w14:paraId="3ED9941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275" w:type="pct"/>
            <w:shd w:val="clear" w:color="auto" w:fill="C6EFCE"/>
            <w:noWrap/>
            <w:vAlign w:val="center"/>
          </w:tcPr>
          <w:p w14:paraId="3C120E4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225" w:type="pct"/>
            <w:shd w:val="clear" w:color="auto" w:fill="C6EFCE"/>
            <w:noWrap/>
            <w:vAlign w:val="center"/>
          </w:tcPr>
          <w:p w14:paraId="1BBB1CF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2021</w:t>
            </w:r>
          </w:p>
        </w:tc>
        <w:tc>
          <w:tcPr>
            <w:tcW w:w="1191" w:type="pct"/>
            <w:shd w:val="clear" w:color="auto" w:fill="C6EFCE"/>
            <w:noWrap/>
            <w:vAlign w:val="center"/>
          </w:tcPr>
          <w:p w14:paraId="74537277" w14:textId="65648576"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vývoj portálu digitálneho cestovného ruchu.</w:t>
            </w:r>
          </w:p>
          <w:p w14:paraId="405B42A8" w14:textId="024D629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Portál digitálneho cestovného ruchu zmodernizuje súčasný portál Italia.i</w:t>
            </w:r>
            <w:r w:rsidRPr="00326E55">
              <w:rPr>
                <w:rFonts w:ascii="Times New Roman" w:hAnsi="Times New Roman"/>
                <w:noProof/>
                <w:spacing w:val="-6"/>
                <w:lang w:val="sk-SK"/>
              </w:rPr>
              <w:t>t zavedením cloudu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otvorenej architektúry, čím sa výrazne podporí prepojenie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ekosystémom. Modernizovaný portál zahŕňa: vytvorenie nového front-endového rozhrania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navigačného stromu; preskúmanie štruktúry, 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funkcií oddielov, strán</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článkov</w:t>
            </w:r>
            <w:r w:rsidRPr="00326E55">
              <w:rPr>
                <w:rFonts w:ascii="Times New Roman" w:hAnsi="Times New Roman"/>
                <w:noProof/>
                <w:spacing w:val="-6"/>
                <w:lang w:val="sk-SK"/>
              </w:rPr>
              <w:t>; zavedenie máp; viacjazyčné riadenie (v čase prechodu bude portál predstavený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taliančine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angličtine). Integrácia ostatných jazykov, ktoré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súčasnosti podporujú, sa očakáva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mesiacoch, ktoré bezprostredne nasledujú po uvedení do prevádzky.</w:t>
            </w:r>
          </w:p>
          <w:p w14:paraId="0818F197" w14:textId="58FCCC89"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Zadávan</w:t>
            </w:r>
            <w:r w:rsidRPr="00326E55">
              <w:rPr>
                <w:rFonts w:ascii="Times New Roman" w:hAnsi="Times New Roman"/>
                <w:noProof/>
                <w:spacing w:val="-6"/>
                <w:lang w:val="sk-SK"/>
              </w:rPr>
              <w:t>ie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w:t>
            </w:r>
            <w:r w:rsidRPr="00326E55">
              <w:rPr>
                <w:rFonts w:ascii="Times New Roman" w:hAnsi="Times New Roman"/>
                <w:noProof/>
                <w:spacing w:val="-6"/>
                <w:lang w:val="sk-SK"/>
              </w:rPr>
              <w:t xml:space="preserve">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1EB0A82B" w14:textId="77777777">
        <w:trPr>
          <w:trHeight w:val="309"/>
          <w:jc w:val="center"/>
        </w:trPr>
        <w:tc>
          <w:tcPr>
            <w:tcW w:w="366" w:type="pct"/>
            <w:shd w:val="clear" w:color="auto" w:fill="C6EFCE"/>
            <w:noWrap/>
            <w:vAlign w:val="center"/>
          </w:tcPr>
          <w:p w14:paraId="485F7D4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9</w:t>
            </w:r>
          </w:p>
        </w:tc>
        <w:tc>
          <w:tcPr>
            <w:tcW w:w="553" w:type="pct"/>
            <w:shd w:val="clear" w:color="auto" w:fill="C6EFCE"/>
            <w:noWrap/>
            <w:vAlign w:val="center"/>
          </w:tcPr>
          <w:p w14:paraId="12558E98" w14:textId="43C7C166"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4.1 Centrum digitálneho cestovného ruchu</w:t>
            </w:r>
          </w:p>
        </w:tc>
        <w:tc>
          <w:tcPr>
            <w:tcW w:w="321" w:type="pct"/>
            <w:shd w:val="clear" w:color="auto" w:fill="C6EFCE"/>
            <w:noWrap/>
            <w:vAlign w:val="center"/>
          </w:tcPr>
          <w:p w14:paraId="774C1E7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507" w:type="pct"/>
            <w:shd w:val="clear" w:color="auto" w:fill="C6EFCE"/>
            <w:noWrap/>
            <w:vAlign w:val="center"/>
          </w:tcPr>
          <w:p w14:paraId="3E3A368A" w14:textId="25B4DD74"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Registrácia prevádzkovateľov cestovného ruchu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centre digitálneho cestovného ruchu</w:t>
            </w:r>
          </w:p>
        </w:tc>
        <w:tc>
          <w:tcPr>
            <w:tcW w:w="403" w:type="pct"/>
            <w:shd w:val="clear" w:color="auto" w:fill="C6EFCE"/>
            <w:noWrap/>
            <w:vAlign w:val="center"/>
          </w:tcPr>
          <w:p w14:paraId="5A4B2EA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68" w:type="pct"/>
            <w:shd w:val="clear" w:color="auto" w:fill="C6EFCE"/>
            <w:noWrap/>
            <w:vAlign w:val="center"/>
          </w:tcPr>
          <w:p w14:paraId="114A042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424" w:type="pct"/>
            <w:shd w:val="clear" w:color="auto" w:fill="C6EFCE"/>
            <w:noWrap/>
            <w:vAlign w:val="center"/>
          </w:tcPr>
          <w:p w14:paraId="5F8D2DB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367" w:type="pct"/>
            <w:shd w:val="clear" w:color="auto" w:fill="C6EFCE"/>
            <w:noWrap/>
            <w:vAlign w:val="center"/>
          </w:tcPr>
          <w:p w14:paraId="461ED8F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20 000</w:t>
            </w:r>
          </w:p>
        </w:tc>
        <w:tc>
          <w:tcPr>
            <w:tcW w:w="275" w:type="pct"/>
            <w:shd w:val="clear" w:color="auto" w:fill="C6EFCE"/>
            <w:noWrap/>
            <w:vAlign w:val="center"/>
          </w:tcPr>
          <w:p w14:paraId="287714C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225" w:type="pct"/>
            <w:shd w:val="clear" w:color="auto" w:fill="C6EFCE"/>
            <w:noWrap/>
            <w:vAlign w:val="center"/>
          </w:tcPr>
          <w:p w14:paraId="7B6549A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1191" w:type="pct"/>
            <w:shd w:val="clear" w:color="auto" w:fill="C6EFCE"/>
            <w:noWrap/>
            <w:vAlign w:val="center"/>
          </w:tcPr>
          <w:p w14:paraId="77C81F7A" w14:textId="381D70F0" w:rsidR="00BF03AA" w:rsidRPr="00326E55" w:rsidRDefault="00FB452D">
            <w:pPr>
              <w:pStyle w:val="P68B1DB1-Normal11"/>
              <w:spacing w:line="256"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Počet prevádzkovateľov cestovného ruchu zaregistrovaných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uzle (ktorý môže okrem iného zahŕňať hotel, cestovnú kanceláriu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firmy vymedzené kódmi ATECO 55.00.00; 56.00.00; 79.00.00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iné štruktúry patriace do sektora) musí byť</w:t>
            </w:r>
            <w:r w:rsidRPr="00326E55">
              <w:rPr>
                <w:rFonts w:ascii="Times New Roman" w:hAnsi="Times New Roman"/>
                <w:noProof/>
                <w:spacing w:val="-6"/>
                <w:lang w:val="sk-SK"/>
              </w:rPr>
              <w:t xml:space="preserve"> najmenej 20000.</w:t>
            </w:r>
          </w:p>
          <w:p w14:paraId="536C7CFC" w14:textId="7495E80F" w:rsidR="00BF03AA" w:rsidRPr="00326E55" w:rsidRDefault="00FB452D">
            <w:pPr>
              <w:pStyle w:val="P68B1DB1-Normal11"/>
              <w:spacing w:line="256"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Najmenej 7400 prevádzkovateľov cestovného ruchu (t. j. 37</w:t>
            </w:r>
            <w:r w:rsidR="00326E55" w:rsidRPr="00326E55">
              <w:rPr>
                <w:rFonts w:ascii="Times New Roman" w:hAnsi="Times New Roman"/>
                <w:noProof/>
                <w:spacing w:val="-6"/>
                <w:lang w:val="sk-SK"/>
              </w:rPr>
              <w:t> % z </w:t>
            </w:r>
            <w:r w:rsidRPr="00326E55">
              <w:rPr>
                <w:rFonts w:ascii="Times New Roman" w:hAnsi="Times New Roman"/>
                <w:noProof/>
                <w:spacing w:val="-6"/>
                <w:lang w:val="sk-SK"/>
              </w:rPr>
              <w:t>20000) má sídlo na juhu.</w:t>
            </w:r>
          </w:p>
          <w:p w14:paraId="0403BE85" w14:textId="77777777" w:rsidR="00BF03AA" w:rsidRPr="00326E55" w:rsidRDefault="00BF03AA">
            <w:pPr>
              <w:rPr>
                <w:rFonts w:ascii="Times New Roman" w:hAnsi="Times New Roman"/>
                <w:noProof/>
                <w:color w:val="006100"/>
                <w:spacing w:val="-6"/>
                <w:sz w:val="20"/>
                <w:lang w:val="sk-SK"/>
              </w:rPr>
            </w:pPr>
          </w:p>
        </w:tc>
      </w:tr>
      <w:tr w:rsidR="00BF03AA" w:rsidRPr="00326E55" w14:paraId="1698F795" w14:textId="77777777">
        <w:trPr>
          <w:trHeight w:val="309"/>
          <w:jc w:val="center"/>
        </w:trPr>
        <w:tc>
          <w:tcPr>
            <w:tcW w:w="366" w:type="pct"/>
            <w:shd w:val="clear" w:color="auto" w:fill="C6EFCE"/>
            <w:noWrap/>
            <w:vAlign w:val="center"/>
          </w:tcPr>
          <w:p w14:paraId="369AFEA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10</w:t>
            </w:r>
          </w:p>
        </w:tc>
        <w:tc>
          <w:tcPr>
            <w:tcW w:w="553" w:type="pct"/>
            <w:shd w:val="clear" w:color="auto" w:fill="C6EFCE"/>
            <w:noWrap/>
            <w:vAlign w:val="center"/>
          </w:tcPr>
          <w:p w14:paraId="732955A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4.1 Nariadenie, ktorým sa nariaďujú povolania sprievodcov cestovného ruchu.</w:t>
            </w:r>
          </w:p>
          <w:p w14:paraId="13C84FA6" w14:textId="77777777" w:rsidR="00BF03AA" w:rsidRPr="00326E55" w:rsidRDefault="00BF03AA">
            <w:pPr>
              <w:jc w:val="center"/>
              <w:rPr>
                <w:rFonts w:ascii="Times New Roman" w:hAnsi="Times New Roman"/>
                <w:noProof/>
                <w:color w:val="006100"/>
                <w:spacing w:val="-6"/>
                <w:sz w:val="20"/>
                <w:lang w:val="sk-SK"/>
              </w:rPr>
            </w:pPr>
          </w:p>
        </w:tc>
        <w:tc>
          <w:tcPr>
            <w:tcW w:w="321" w:type="pct"/>
            <w:shd w:val="clear" w:color="auto" w:fill="C6EFCE"/>
            <w:noWrap/>
            <w:vAlign w:val="center"/>
          </w:tcPr>
          <w:p w14:paraId="06A4549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507" w:type="pct"/>
            <w:shd w:val="clear" w:color="auto" w:fill="C6EFCE"/>
            <w:noWrap/>
            <w:vAlign w:val="center"/>
          </w:tcPr>
          <w:p w14:paraId="694D2088"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Vymedzenie vnútroštátnej normy pre turistických </w:t>
            </w:r>
            <w:r w:rsidRPr="00326E55">
              <w:rPr>
                <w:rFonts w:ascii="Times New Roman" w:hAnsi="Times New Roman"/>
                <w:noProof/>
                <w:spacing w:val="-6"/>
                <w:lang w:val="sk-SK"/>
              </w:rPr>
              <w:t>sprievodcov</w:t>
            </w:r>
          </w:p>
        </w:tc>
        <w:tc>
          <w:tcPr>
            <w:tcW w:w="403" w:type="pct"/>
            <w:shd w:val="clear" w:color="auto" w:fill="C6EFCE"/>
            <w:noWrap/>
            <w:vAlign w:val="center"/>
          </w:tcPr>
          <w:p w14:paraId="4EE5E3C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Vymedzenie minimálnej vnútroštátnej normy neznamená vytvorenie nového regulovaného povolania.</w:t>
            </w:r>
          </w:p>
        </w:tc>
        <w:tc>
          <w:tcPr>
            <w:tcW w:w="368" w:type="pct"/>
            <w:shd w:val="clear" w:color="auto" w:fill="C6EFCE"/>
            <w:noWrap/>
            <w:vAlign w:val="center"/>
          </w:tcPr>
          <w:p w14:paraId="646082D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shd w:val="clear" w:color="auto" w:fill="C6EFCE"/>
            <w:noWrap/>
            <w:vAlign w:val="center"/>
          </w:tcPr>
          <w:p w14:paraId="65875BD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67" w:type="pct"/>
            <w:shd w:val="clear" w:color="auto" w:fill="C6EFCE"/>
            <w:noWrap/>
            <w:vAlign w:val="center"/>
          </w:tcPr>
          <w:p w14:paraId="14DC72F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275" w:type="pct"/>
            <w:shd w:val="clear" w:color="auto" w:fill="C6EFCE"/>
            <w:noWrap/>
            <w:vAlign w:val="center"/>
          </w:tcPr>
          <w:p w14:paraId="68328E3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p w14:paraId="7685FDA9" w14:textId="77777777" w:rsidR="00BF03AA" w:rsidRPr="00326E55" w:rsidRDefault="00BF03AA">
            <w:pPr>
              <w:jc w:val="center"/>
              <w:rPr>
                <w:rFonts w:ascii="Times New Roman" w:hAnsi="Times New Roman"/>
                <w:noProof/>
                <w:color w:val="006100"/>
                <w:spacing w:val="-6"/>
                <w:sz w:val="20"/>
                <w:lang w:val="sk-SK"/>
              </w:rPr>
            </w:pPr>
          </w:p>
        </w:tc>
        <w:tc>
          <w:tcPr>
            <w:tcW w:w="225" w:type="pct"/>
            <w:shd w:val="clear" w:color="auto" w:fill="C6EFCE"/>
            <w:noWrap/>
            <w:vAlign w:val="center"/>
          </w:tcPr>
          <w:p w14:paraId="0D6133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p w14:paraId="64EE9BE1" w14:textId="77777777" w:rsidR="00BF03AA" w:rsidRPr="00326E55" w:rsidRDefault="00BF03AA">
            <w:pPr>
              <w:jc w:val="center"/>
              <w:rPr>
                <w:rFonts w:ascii="Times New Roman" w:hAnsi="Times New Roman"/>
                <w:noProof/>
                <w:color w:val="006100"/>
                <w:spacing w:val="-6"/>
                <w:sz w:val="20"/>
                <w:lang w:val="sk-SK"/>
              </w:rPr>
            </w:pPr>
          </w:p>
        </w:tc>
        <w:tc>
          <w:tcPr>
            <w:tcW w:w="1191" w:type="pct"/>
            <w:shd w:val="clear" w:color="auto" w:fill="C6EFCE"/>
            <w:noWrap/>
            <w:vAlign w:val="center"/>
          </w:tcPr>
          <w:p w14:paraId="30DF03DF"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Vymedzenie minimálnej vnútroštátnej normy neznamená vytvorenie nového regulovaného povolania.</w:t>
            </w:r>
          </w:p>
          <w:p w14:paraId="76A44286" w14:textId="43A02071"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Refo</w:t>
            </w:r>
            <w:r w:rsidRPr="00326E55">
              <w:rPr>
                <w:rFonts w:ascii="Times New Roman" w:hAnsi="Times New Roman"/>
                <w:noProof/>
                <w:spacing w:val="-6"/>
                <w:lang w:val="sk-SK"/>
              </w:rPr>
              <w:t>rmou sa zabezpečí aj odborná príprava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aktualizácia odborných znalostí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lepšie podporiť ponuku. Reforma sa považuje za metódu získania jedinečnej odbornej kvalifikácie prijatej</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jednotnými normami na vnútroštátnej úrovni prostredníctvom vnútroštá</w:t>
            </w:r>
            <w:r w:rsidRPr="00326E55">
              <w:rPr>
                <w:rFonts w:ascii="Times New Roman" w:hAnsi="Times New Roman"/>
                <w:noProof/>
                <w:spacing w:val="-6"/>
                <w:lang w:val="sk-SK"/>
              </w:rPr>
              <w:t>tneho zákona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následného vykonávania ministerských vyhlášok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porozumení štátnym regiónom.</w:t>
            </w:r>
          </w:p>
        </w:tc>
      </w:tr>
      <w:tr w:rsidR="00BF03AA" w:rsidRPr="00326E55" w14:paraId="65763C2F" w14:textId="77777777">
        <w:trPr>
          <w:trHeight w:val="309"/>
          <w:jc w:val="center"/>
        </w:trPr>
        <w:tc>
          <w:tcPr>
            <w:tcW w:w="366" w:type="pct"/>
            <w:shd w:val="clear" w:color="auto" w:fill="C6EFCE"/>
            <w:noWrap/>
            <w:vAlign w:val="center"/>
          </w:tcPr>
          <w:p w14:paraId="055ECDF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11</w:t>
            </w:r>
          </w:p>
        </w:tc>
        <w:tc>
          <w:tcPr>
            <w:tcW w:w="553" w:type="pct"/>
            <w:shd w:val="clear" w:color="auto" w:fill="C6EFCE"/>
            <w:noWrap/>
            <w:vAlign w:val="center"/>
          </w:tcPr>
          <w:p w14:paraId="21117253" w14:textId="11DE7AE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1.3 – Zlepšenie energetickej účinnosti kín, divadiel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múzeí</w:t>
            </w:r>
          </w:p>
        </w:tc>
        <w:tc>
          <w:tcPr>
            <w:tcW w:w="321" w:type="pct"/>
            <w:shd w:val="clear" w:color="auto" w:fill="C6EFCE"/>
            <w:noWrap/>
            <w:vAlign w:val="center"/>
          </w:tcPr>
          <w:p w14:paraId="355BA6F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07" w:type="pct"/>
            <w:shd w:val="clear" w:color="auto" w:fill="C6EFCE"/>
            <w:noWrap/>
            <w:vAlign w:val="center"/>
          </w:tcPr>
          <w:p w14:paraId="1820BF73" w14:textId="78092EC0"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vyhlášky ministerstva kultúry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prideľovaní </w:t>
            </w:r>
            <w:r w:rsidRPr="00326E55">
              <w:rPr>
                <w:rFonts w:ascii="Times New Roman" w:hAnsi="Times New Roman"/>
                <w:noProof/>
                <w:spacing w:val="-6"/>
                <w:lang w:val="sk-SK"/>
              </w:rPr>
              <w:t>zdrojov:</w:t>
            </w:r>
          </w:p>
          <w:p w14:paraId="3B5D6C5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zlepšiť energetickú účinnosť na miestach kultúry</w:t>
            </w:r>
          </w:p>
          <w:p w14:paraId="0A11AC49" w14:textId="77777777" w:rsidR="00BF03AA" w:rsidRPr="00326E55" w:rsidRDefault="00BF03AA">
            <w:pPr>
              <w:jc w:val="center"/>
              <w:rPr>
                <w:rFonts w:ascii="Times New Roman" w:hAnsi="Times New Roman"/>
                <w:noProof/>
                <w:color w:val="006100"/>
                <w:spacing w:val="-6"/>
                <w:sz w:val="20"/>
                <w:szCs w:val="20"/>
                <w:lang w:val="sk-SK"/>
              </w:rPr>
            </w:pPr>
          </w:p>
        </w:tc>
        <w:tc>
          <w:tcPr>
            <w:tcW w:w="403" w:type="pct"/>
            <w:shd w:val="clear" w:color="auto" w:fill="C6EFCE"/>
            <w:noWrap/>
            <w:vAlign w:val="center"/>
          </w:tcPr>
          <w:p w14:paraId="630B10DC" w14:textId="7D5FE1D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vyhlášky ministerstva kultúry (MIC)</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prideľovaní zdrojov na zlepšenie energetickej účinnosti miest kultúry</w:t>
            </w:r>
          </w:p>
          <w:p w14:paraId="3A92A56F" w14:textId="77777777" w:rsidR="00BF03AA" w:rsidRPr="00326E55" w:rsidRDefault="00BF03AA">
            <w:pPr>
              <w:jc w:val="center"/>
              <w:rPr>
                <w:rFonts w:ascii="Times New Roman" w:hAnsi="Times New Roman"/>
                <w:noProof/>
                <w:color w:val="006100"/>
                <w:spacing w:val="-6"/>
                <w:sz w:val="20"/>
                <w:szCs w:val="20"/>
                <w:lang w:val="sk-SK"/>
              </w:rPr>
            </w:pPr>
          </w:p>
        </w:tc>
        <w:tc>
          <w:tcPr>
            <w:tcW w:w="368" w:type="pct"/>
            <w:shd w:val="clear" w:color="auto" w:fill="C6EFCE"/>
            <w:noWrap/>
            <w:vAlign w:val="center"/>
          </w:tcPr>
          <w:p w14:paraId="26E1612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424" w:type="pct"/>
            <w:shd w:val="clear" w:color="auto" w:fill="C6EFCE"/>
            <w:noWrap/>
            <w:vAlign w:val="center"/>
          </w:tcPr>
          <w:p w14:paraId="2F59CAA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67" w:type="pct"/>
            <w:shd w:val="clear" w:color="auto" w:fill="C6EFCE"/>
            <w:noWrap/>
            <w:vAlign w:val="center"/>
          </w:tcPr>
          <w:p w14:paraId="22BF165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275" w:type="pct"/>
            <w:shd w:val="clear" w:color="auto" w:fill="C6EFCE"/>
            <w:noWrap/>
            <w:vAlign w:val="center"/>
          </w:tcPr>
          <w:p w14:paraId="17C90CF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w:t>
            </w:r>
            <w:r w:rsidRPr="00326E55">
              <w:rPr>
                <w:rFonts w:ascii="Times New Roman" w:hAnsi="Times New Roman"/>
                <w:noProof/>
                <w:spacing w:val="-6"/>
                <w:lang w:val="sk-SK"/>
              </w:rPr>
              <w:t>K</w:t>
            </w:r>
          </w:p>
        </w:tc>
        <w:tc>
          <w:tcPr>
            <w:tcW w:w="225" w:type="pct"/>
            <w:shd w:val="clear" w:color="auto" w:fill="C6EFCE"/>
            <w:noWrap/>
            <w:vAlign w:val="center"/>
          </w:tcPr>
          <w:p w14:paraId="1703B8F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1191" w:type="pct"/>
            <w:shd w:val="clear" w:color="auto" w:fill="C6EFCE"/>
            <w:noWrap/>
            <w:vAlign w:val="center"/>
          </w:tcPr>
          <w:p w14:paraId="04DB0BDC" w14:textId="7D49970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Miesta kultúry sú kiná, divadlá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múzeá.</w:t>
            </w:r>
          </w:p>
          <w:p w14:paraId="6262B8A2" w14:textId="1DE28A50"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(INV. 1.3)</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múzeí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 kultúry na zlepšenie energetickej účinnosti sa intervencia realizuje uznaním návrhov projektov na štátnych kultúrnych pamiatkach, ministerstvo kultúry (MiC)</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prípade cieľa </w:t>
            </w:r>
            <w:r w:rsidRPr="00326E55">
              <w:rPr>
                <w:rFonts w:ascii="Times New Roman" w:hAnsi="Times New Roman"/>
                <w:noProof/>
                <w:spacing w:val="-6"/>
                <w:lang w:val="sk-SK"/>
              </w:rPr>
              <w:t>1.</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opačnom prípade sa identifikácia neštátnych inštitúcií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prípadoch cieľov 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3 vykoná prostredníctvom výziev na predkladanie ponúk.</w:t>
            </w:r>
          </w:p>
          <w:p w14:paraId="00520429" w14:textId="0BBA69F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Zadávanie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w:t>
            </w:r>
            <w:r w:rsidRPr="00326E55">
              <w:rPr>
                <w:rFonts w:ascii="Times New Roman" w:hAnsi="Times New Roman"/>
                <w:noProof/>
                <w:spacing w:val="-6"/>
                <w:lang w:val="sk-SK"/>
              </w:rPr>
              <w:t>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bl>
    <w:p w14:paraId="03EFC620" w14:textId="77777777" w:rsidR="00BF03AA" w:rsidRPr="00326E55" w:rsidRDefault="00BF03AA">
      <w:pPr>
        <w:spacing w:before="120" w:after="120"/>
        <w:ind w:left="709"/>
        <w:jc w:val="both"/>
        <w:rPr>
          <w:rFonts w:ascii="Times New Roman" w:hAnsi="Times New Roman"/>
          <w:noProof/>
          <w:spacing w:val="-6"/>
          <w:lang w:val="sk-SK"/>
        </w:rPr>
      </w:pPr>
    </w:p>
    <w:p w14:paraId="20905C78"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default" r:id="rId62"/>
          <w:footerReference w:type="default" r:id="rId63"/>
          <w:pgSz w:w="16839" w:h="11907" w:orient="landscape"/>
          <w:pgMar w:top="1134" w:right="1134" w:bottom="1134" w:left="1134" w:header="567" w:footer="567" w:gutter="0"/>
          <w:cols w:space="720"/>
          <w:docGrid w:linePitch="360"/>
        </w:sectPr>
      </w:pPr>
    </w:p>
    <w:p w14:paraId="464CA027" w14:textId="77777777" w:rsidR="00326E55" w:rsidRPr="00326E55" w:rsidRDefault="00FB452D">
      <w:pPr>
        <w:pStyle w:val="P68B1DB1-Heading39"/>
        <w:ind w:left="850" w:hanging="850"/>
        <w:rPr>
          <w:b/>
          <w:noProof/>
          <w:spacing w:val="-6"/>
          <w:u w:val="single"/>
          <w:lang w:val="sk-SK"/>
        </w:rPr>
      </w:pPr>
      <w:r w:rsidRPr="00326E55">
        <w:rPr>
          <w:b/>
          <w:noProof/>
          <w:spacing w:val="-6"/>
          <w:u w:val="single"/>
          <w:lang w:val="sk-SK"/>
        </w:rPr>
        <w:t xml:space="preserve">C3.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4F1C948F" w14:textId="1AA85188" w:rsidR="00BF03AA" w:rsidRPr="00326E55" w:rsidRDefault="00BF03AA">
      <w:pPr>
        <w:jc w:val="both"/>
        <w:rPr>
          <w:rFonts w:ascii="Times New Roman" w:hAnsi="Times New Roman" w:cs="Times New Roman"/>
          <w:b/>
          <w:noProof/>
          <w:spacing w:val="-6"/>
          <w:lang w:val="sk-SK"/>
        </w:rPr>
      </w:pPr>
    </w:p>
    <w:p w14:paraId="167C2019" w14:textId="77777777" w:rsidR="00BF03AA" w:rsidRPr="00326E55" w:rsidRDefault="00FB452D">
      <w:pPr>
        <w:pStyle w:val="P68B1DB1-Normal29"/>
        <w:rPr>
          <w:i/>
          <w:noProof/>
          <w:spacing w:val="-6"/>
          <w:lang w:val="sk-SK"/>
        </w:rPr>
      </w:pPr>
      <w:r w:rsidRPr="00326E55">
        <w:rPr>
          <w:noProof/>
          <w:spacing w:val="-6"/>
          <w:lang w:val="sk-SK"/>
        </w:rPr>
        <w:t>Investícia 4.1: Centrum digitálneho cestovného ruchu</w:t>
      </w:r>
    </w:p>
    <w:p w14:paraId="32E81302" w14:textId="34078F92" w:rsidR="00BF03AA" w:rsidRPr="00326E55" w:rsidRDefault="00FB452D">
      <w:pPr>
        <w:pStyle w:val="P68B1DB1-Normal8"/>
        <w:spacing w:before="120" w:after="120"/>
        <w:jc w:val="both"/>
        <w:rPr>
          <w:rFonts w:eastAsiaTheme="majorEastAsia"/>
          <w:noProof/>
          <w:snapToGrid w:val="0"/>
          <w:color w:val="000000"/>
          <w:spacing w:val="-6"/>
          <w:sz w:val="0"/>
          <w:szCs w:val="0"/>
          <w:u w:color="000000"/>
          <w:bdr w:val="none" w:sz="0" w:space="0" w:color="000000"/>
          <w:shd w:val="clear" w:color="000000" w:fill="000000"/>
          <w:lang w:val="sk-SK"/>
        </w:rPr>
      </w:pPr>
      <w:r w:rsidRPr="00326E55">
        <w:rPr>
          <w:noProof/>
          <w:spacing w:val="-6"/>
          <w:lang w:val="sk-SK"/>
        </w:rPr>
        <w:t xml:space="preserve">Cieľom tohto opatrenia je umožniť celému ekosystému cestovného ruchu zvýšiť, </w:t>
      </w:r>
      <w:r w:rsidRPr="00326E55">
        <w:rPr>
          <w:noProof/>
          <w:spacing w:val="-6"/>
          <w:lang w:val="sk-SK"/>
        </w:rPr>
        <w:t>integrovať</w:t>
      </w:r>
      <w:r w:rsidR="00326E55" w:rsidRPr="00326E55">
        <w:rPr>
          <w:noProof/>
          <w:spacing w:val="-6"/>
          <w:lang w:val="sk-SK"/>
        </w:rPr>
        <w:t xml:space="preserve"> a </w:t>
      </w:r>
      <w:r w:rsidRPr="00326E55">
        <w:rPr>
          <w:noProof/>
          <w:spacing w:val="-6"/>
          <w:lang w:val="sk-SK"/>
        </w:rPr>
        <w:t>šíriť svoju vlastnú ponuku. Opatrenie pozostáva</w:t>
      </w:r>
      <w:r w:rsidR="00326E55" w:rsidRPr="00326E55">
        <w:rPr>
          <w:noProof/>
          <w:spacing w:val="-6"/>
          <w:lang w:val="sk-SK"/>
        </w:rPr>
        <w:t xml:space="preserve"> z </w:t>
      </w:r>
      <w:r w:rsidRPr="00326E55">
        <w:rPr>
          <w:noProof/>
          <w:spacing w:val="-6"/>
          <w:lang w:val="sk-SK"/>
        </w:rPr>
        <w:t>vytvorenia centra digitálneho cestovného ruchu dostupného prostredníctvom špecializovanej webovej platformy.</w:t>
      </w:r>
    </w:p>
    <w:p w14:paraId="0C2E08D9" w14:textId="77777777" w:rsidR="00BF03AA" w:rsidRPr="00326E55" w:rsidRDefault="00FB452D">
      <w:pPr>
        <w:pStyle w:val="P68B1DB1-Normal5"/>
        <w:jc w:val="both"/>
        <w:rPr>
          <w:noProof/>
          <w:spacing w:val="-6"/>
          <w:lang w:val="sk-SK"/>
        </w:rPr>
      </w:pPr>
      <w:r w:rsidRPr="00326E55">
        <w:rPr>
          <w:noProof/>
          <w:spacing w:val="-6"/>
          <w:lang w:val="sk-SK"/>
        </w:rPr>
        <w:t>Investícia 2.1: Atraktívnosť malých historických miest</w:t>
      </w:r>
    </w:p>
    <w:p w14:paraId="34DEAC08" w14:textId="635CD0B3" w:rsidR="00326E55" w:rsidRPr="00326E55" w:rsidRDefault="00FB452D">
      <w:pPr>
        <w:pStyle w:val="P68B1DB1-Normal7"/>
        <w:jc w:val="both"/>
        <w:rPr>
          <w:noProof/>
          <w:spacing w:val="-6"/>
          <w:lang w:val="sk-SK"/>
        </w:rPr>
      </w:pPr>
      <w:r w:rsidRPr="00326E55">
        <w:rPr>
          <w:noProof/>
          <w:spacing w:val="-6"/>
          <w:lang w:val="sk-SK"/>
        </w:rPr>
        <w:t>Cieľom tohto opatrenia je pod</w:t>
      </w:r>
      <w:r w:rsidRPr="00326E55">
        <w:rPr>
          <w:noProof/>
          <w:spacing w:val="-6"/>
          <w:lang w:val="sk-SK"/>
        </w:rPr>
        <w:t>poriť hospodársky</w:t>
      </w:r>
      <w:r w:rsidR="00326E55" w:rsidRPr="00326E55">
        <w:rPr>
          <w:noProof/>
          <w:spacing w:val="-6"/>
          <w:lang w:val="sk-SK"/>
        </w:rPr>
        <w:t xml:space="preserve"> a </w:t>
      </w:r>
      <w:r w:rsidRPr="00326E55">
        <w:rPr>
          <w:noProof/>
          <w:spacing w:val="-6"/>
          <w:lang w:val="sk-SK"/>
        </w:rPr>
        <w:t>sociálny rozvoj znevýhodnených oblastí na základe kultúrnej obnovy malých miest</w:t>
      </w:r>
      <w:r w:rsidR="00326E55" w:rsidRPr="00326E55">
        <w:rPr>
          <w:noProof/>
          <w:spacing w:val="-6"/>
          <w:lang w:val="sk-SK"/>
        </w:rPr>
        <w:t xml:space="preserve"> a </w:t>
      </w:r>
      <w:r w:rsidRPr="00326E55">
        <w:rPr>
          <w:noProof/>
          <w:spacing w:val="-6"/>
          <w:lang w:val="sk-SK"/>
        </w:rPr>
        <w:t>najmä rastu miestnych hospodárstiev</w:t>
      </w:r>
      <w:r w:rsidR="00326E55" w:rsidRPr="00326E55">
        <w:rPr>
          <w:noProof/>
          <w:spacing w:val="-6"/>
          <w:lang w:val="sk-SK"/>
        </w:rPr>
        <w:t xml:space="preserve"> a </w:t>
      </w:r>
      <w:r w:rsidRPr="00326E55">
        <w:rPr>
          <w:noProof/>
          <w:spacing w:val="-6"/>
          <w:lang w:val="sk-SK"/>
        </w:rPr>
        <w:t>cestovného ruchu. Investícia pozostáva</w:t>
      </w:r>
      <w:r w:rsidR="00326E55" w:rsidRPr="00326E55">
        <w:rPr>
          <w:noProof/>
          <w:spacing w:val="-6"/>
          <w:lang w:val="sk-SK"/>
        </w:rPr>
        <w:t xml:space="preserve"> z </w:t>
      </w:r>
      <w:r w:rsidRPr="00326E55">
        <w:rPr>
          <w:noProof/>
          <w:spacing w:val="-6"/>
          <w:lang w:val="sk-SK"/>
        </w:rPr>
        <w:t>podpory kultúrnej</w:t>
      </w:r>
      <w:r w:rsidR="00326E55" w:rsidRPr="00326E55">
        <w:rPr>
          <w:noProof/>
          <w:spacing w:val="-6"/>
          <w:lang w:val="sk-SK"/>
        </w:rPr>
        <w:t xml:space="preserve"> a </w:t>
      </w:r>
      <w:r w:rsidRPr="00326E55">
        <w:rPr>
          <w:noProof/>
          <w:spacing w:val="-6"/>
          <w:lang w:val="sk-SK"/>
        </w:rPr>
        <w:t>sociálnej infraštruktúry, služieb</w:t>
      </w:r>
      <w:r w:rsidR="00326E55" w:rsidRPr="00326E55">
        <w:rPr>
          <w:noProof/>
          <w:spacing w:val="-6"/>
          <w:lang w:val="sk-SK"/>
        </w:rPr>
        <w:t xml:space="preserve"> a </w:t>
      </w:r>
      <w:r w:rsidRPr="00326E55">
        <w:rPr>
          <w:noProof/>
          <w:spacing w:val="-6"/>
          <w:lang w:val="sk-SK"/>
        </w:rPr>
        <w:t>činností súvisiacic</w:t>
      </w:r>
      <w:r w:rsidRPr="00326E55">
        <w:rPr>
          <w:noProof/>
          <w:spacing w:val="-6"/>
          <w:lang w:val="sk-SK"/>
        </w:rPr>
        <w:t>h</w:t>
      </w:r>
      <w:r w:rsidR="00326E55" w:rsidRPr="00326E55">
        <w:rPr>
          <w:noProof/>
          <w:spacing w:val="-6"/>
          <w:lang w:val="sk-SK"/>
        </w:rPr>
        <w:t xml:space="preserve"> s </w:t>
      </w:r>
      <w:r w:rsidRPr="00326E55">
        <w:rPr>
          <w:noProof/>
          <w:spacing w:val="-6"/>
          <w:lang w:val="sk-SK"/>
        </w:rPr>
        <w:t>cestovným ruchom</w:t>
      </w:r>
      <w:r w:rsidR="00326E55" w:rsidRPr="00326E55">
        <w:rPr>
          <w:noProof/>
          <w:spacing w:val="-6"/>
          <w:lang w:val="sk-SK"/>
        </w:rPr>
        <w:t>.</w:t>
      </w:r>
    </w:p>
    <w:p w14:paraId="5C877D25" w14:textId="77777777" w:rsidR="00326E55" w:rsidRPr="00326E55" w:rsidRDefault="00FB452D">
      <w:pPr>
        <w:pStyle w:val="P68B1DB1-Normal5"/>
        <w:spacing w:after="120"/>
        <w:jc w:val="both"/>
        <w:rPr>
          <w:noProof/>
          <w:spacing w:val="-6"/>
          <w:lang w:val="sk-SK"/>
        </w:rPr>
      </w:pPr>
      <w:r w:rsidRPr="00326E55">
        <w:rPr>
          <w:noProof/>
          <w:spacing w:val="-6"/>
          <w:lang w:val="sk-SK"/>
        </w:rPr>
        <w:t>Investícia 2.2: Ochrana</w:t>
      </w:r>
      <w:r w:rsidR="00326E55" w:rsidRPr="00326E55">
        <w:rPr>
          <w:noProof/>
          <w:spacing w:val="-6"/>
          <w:lang w:val="sk-SK"/>
        </w:rPr>
        <w:t xml:space="preserve"> a </w:t>
      </w:r>
      <w:r w:rsidRPr="00326E55">
        <w:rPr>
          <w:noProof/>
          <w:spacing w:val="-6"/>
          <w:lang w:val="sk-SK"/>
        </w:rPr>
        <w:t>zlepšenie vidieckej architektúry</w:t>
      </w:r>
      <w:r w:rsidR="00326E55" w:rsidRPr="00326E55">
        <w:rPr>
          <w:noProof/>
          <w:spacing w:val="-6"/>
          <w:lang w:val="sk-SK"/>
        </w:rPr>
        <w:t xml:space="preserve"> a </w:t>
      </w:r>
      <w:r w:rsidRPr="00326E55">
        <w:rPr>
          <w:noProof/>
          <w:spacing w:val="-6"/>
          <w:lang w:val="sk-SK"/>
        </w:rPr>
        <w:t>krajiny</w:t>
      </w:r>
    </w:p>
    <w:p w14:paraId="38680AA9" w14:textId="04A8D888" w:rsidR="00BF03AA" w:rsidRPr="00326E55" w:rsidRDefault="00FB452D">
      <w:pPr>
        <w:pStyle w:val="P68B1DB1-Normal7"/>
        <w:spacing w:after="120"/>
        <w:jc w:val="both"/>
        <w:rPr>
          <w:noProof/>
          <w:spacing w:val="-6"/>
          <w:lang w:val="sk-SK"/>
        </w:rPr>
      </w:pPr>
      <w:r w:rsidRPr="00326E55">
        <w:rPr>
          <w:noProof/>
          <w:spacing w:val="-6"/>
          <w:lang w:val="sk-SK"/>
        </w:rPr>
        <w:t>Cieľom tohto opatrenia je zlepšiť vidiecke</w:t>
      </w:r>
      <w:r w:rsidR="00326E55" w:rsidRPr="00326E55">
        <w:rPr>
          <w:noProof/>
          <w:spacing w:val="-6"/>
          <w:lang w:val="sk-SK"/>
        </w:rPr>
        <w:t xml:space="preserve"> a </w:t>
      </w:r>
      <w:r w:rsidRPr="00326E55">
        <w:rPr>
          <w:noProof/>
          <w:spacing w:val="-6"/>
          <w:lang w:val="sk-SK"/>
        </w:rPr>
        <w:t>vidiecke okolie. Opatrenie spočíva</w:t>
      </w:r>
      <w:r w:rsidR="00326E55" w:rsidRPr="00326E55">
        <w:rPr>
          <w:noProof/>
          <w:spacing w:val="-6"/>
          <w:lang w:val="sk-SK"/>
        </w:rPr>
        <w:t xml:space="preserve"> v </w:t>
      </w:r>
      <w:r w:rsidRPr="00326E55">
        <w:rPr>
          <w:noProof/>
          <w:spacing w:val="-6"/>
          <w:lang w:val="sk-SK"/>
        </w:rPr>
        <w:t>podpore obnovy súkromných vidieckych budov.</w:t>
      </w:r>
    </w:p>
    <w:p w14:paraId="20202748" w14:textId="77777777" w:rsidR="00326E55" w:rsidRPr="00326E55" w:rsidRDefault="00FB452D">
      <w:pPr>
        <w:pStyle w:val="P68B1DB1-Normal5"/>
        <w:spacing w:after="120"/>
        <w:jc w:val="both"/>
        <w:rPr>
          <w:noProof/>
          <w:spacing w:val="-6"/>
          <w:lang w:val="sk-SK"/>
        </w:rPr>
      </w:pPr>
      <w:r w:rsidRPr="00326E55">
        <w:rPr>
          <w:noProof/>
          <w:spacing w:val="-6"/>
          <w:lang w:val="sk-SK"/>
        </w:rPr>
        <w:t xml:space="preserve">Investícia 2.3: Programy na posilnenie </w:t>
      </w:r>
      <w:r w:rsidRPr="00326E55">
        <w:rPr>
          <w:noProof/>
          <w:spacing w:val="-6"/>
          <w:lang w:val="sk-SK"/>
        </w:rPr>
        <w:t>identity miest, parkov</w:t>
      </w:r>
      <w:r w:rsidR="00326E55" w:rsidRPr="00326E55">
        <w:rPr>
          <w:noProof/>
          <w:spacing w:val="-6"/>
          <w:lang w:val="sk-SK"/>
        </w:rPr>
        <w:t xml:space="preserve"> a </w:t>
      </w:r>
      <w:r w:rsidRPr="00326E55">
        <w:rPr>
          <w:noProof/>
          <w:spacing w:val="-6"/>
          <w:lang w:val="sk-SK"/>
        </w:rPr>
        <w:t>historických záhrad</w:t>
      </w:r>
    </w:p>
    <w:p w14:paraId="2E588923" w14:textId="54D8E6EE" w:rsidR="00BF03AA" w:rsidRPr="00326E55" w:rsidRDefault="00FB452D">
      <w:pPr>
        <w:pStyle w:val="P68B1DB1-Normal7"/>
        <w:spacing w:after="120"/>
        <w:jc w:val="both"/>
        <w:rPr>
          <w:noProof/>
          <w:spacing w:val="-6"/>
          <w:lang w:val="sk-SK"/>
        </w:rPr>
      </w:pPr>
      <w:r w:rsidRPr="00326E55">
        <w:rPr>
          <w:noProof/>
          <w:spacing w:val="-6"/>
          <w:lang w:val="sk-SK"/>
        </w:rPr>
        <w:t>Cieľom tohto opatrenia je zachovať</w:t>
      </w:r>
      <w:r w:rsidR="00326E55" w:rsidRPr="00326E55">
        <w:rPr>
          <w:noProof/>
          <w:spacing w:val="-6"/>
          <w:lang w:val="sk-SK"/>
        </w:rPr>
        <w:t xml:space="preserve"> a </w:t>
      </w:r>
      <w:r w:rsidRPr="00326E55">
        <w:rPr>
          <w:noProof/>
          <w:spacing w:val="-6"/>
          <w:lang w:val="sk-SK"/>
        </w:rPr>
        <w:t>posilniť historické parky</w:t>
      </w:r>
      <w:r w:rsidR="00326E55" w:rsidRPr="00326E55">
        <w:rPr>
          <w:noProof/>
          <w:spacing w:val="-6"/>
          <w:lang w:val="sk-SK"/>
        </w:rPr>
        <w:t xml:space="preserve"> a </w:t>
      </w:r>
      <w:r w:rsidRPr="00326E55">
        <w:rPr>
          <w:noProof/>
          <w:spacing w:val="-6"/>
          <w:lang w:val="sk-SK"/>
        </w:rPr>
        <w:t>záhrady, chrániť ich kultúrne</w:t>
      </w:r>
      <w:r w:rsidR="00326E55" w:rsidRPr="00326E55">
        <w:rPr>
          <w:noProof/>
          <w:spacing w:val="-6"/>
          <w:lang w:val="sk-SK"/>
        </w:rPr>
        <w:t xml:space="preserve"> a </w:t>
      </w:r>
      <w:r w:rsidRPr="00326E55">
        <w:rPr>
          <w:noProof/>
          <w:spacing w:val="-6"/>
          <w:lang w:val="sk-SK"/>
        </w:rPr>
        <w:t>historické dedičstvo</w:t>
      </w:r>
      <w:r w:rsidR="00326E55" w:rsidRPr="00326E55">
        <w:rPr>
          <w:noProof/>
          <w:spacing w:val="-6"/>
          <w:lang w:val="sk-SK"/>
        </w:rPr>
        <w:t xml:space="preserve"> a </w:t>
      </w:r>
      <w:r w:rsidRPr="00326E55">
        <w:rPr>
          <w:noProof/>
          <w:spacing w:val="-6"/>
          <w:lang w:val="sk-SK"/>
        </w:rPr>
        <w:t>zároveň zlepšiť prístupnosť, bezpečnosť</w:t>
      </w:r>
      <w:r w:rsidR="00326E55" w:rsidRPr="00326E55">
        <w:rPr>
          <w:noProof/>
          <w:spacing w:val="-6"/>
          <w:lang w:val="sk-SK"/>
        </w:rPr>
        <w:t xml:space="preserve"> a </w:t>
      </w:r>
      <w:r w:rsidRPr="00326E55">
        <w:rPr>
          <w:noProof/>
          <w:spacing w:val="-6"/>
          <w:lang w:val="sk-SK"/>
        </w:rPr>
        <w:t>zábavu verejnosti. Opatrenie pozostáva</w:t>
      </w:r>
      <w:r w:rsidR="00326E55" w:rsidRPr="00326E55">
        <w:rPr>
          <w:noProof/>
          <w:spacing w:val="-6"/>
          <w:lang w:val="sk-SK"/>
        </w:rPr>
        <w:t xml:space="preserve"> z </w:t>
      </w:r>
      <w:r w:rsidRPr="00326E55">
        <w:rPr>
          <w:noProof/>
          <w:spacing w:val="-6"/>
          <w:lang w:val="sk-SK"/>
        </w:rPr>
        <w:t>renov</w:t>
      </w:r>
      <w:r w:rsidRPr="00326E55">
        <w:rPr>
          <w:noProof/>
          <w:spacing w:val="-6"/>
          <w:lang w:val="sk-SK"/>
        </w:rPr>
        <w:t>ácie historických parkov</w:t>
      </w:r>
      <w:r w:rsidR="00326E55" w:rsidRPr="00326E55">
        <w:rPr>
          <w:noProof/>
          <w:spacing w:val="-6"/>
          <w:lang w:val="sk-SK"/>
        </w:rPr>
        <w:t xml:space="preserve"> a </w:t>
      </w:r>
      <w:r w:rsidRPr="00326E55">
        <w:rPr>
          <w:noProof/>
          <w:spacing w:val="-6"/>
          <w:lang w:val="sk-SK"/>
        </w:rPr>
        <w:t>záhrad, podpory obnovy, udržateľného riadenia</w:t>
      </w:r>
      <w:r w:rsidR="00326E55" w:rsidRPr="00326E55">
        <w:rPr>
          <w:noProof/>
          <w:spacing w:val="-6"/>
          <w:lang w:val="sk-SK"/>
        </w:rPr>
        <w:t xml:space="preserve"> a </w:t>
      </w:r>
      <w:r w:rsidRPr="00326E55">
        <w:rPr>
          <w:noProof/>
          <w:spacing w:val="-6"/>
          <w:lang w:val="sk-SK"/>
        </w:rPr>
        <w:t>odbornej prípravy, zabezpečenia dlhodobého zachovania</w:t>
      </w:r>
      <w:r w:rsidR="00326E55" w:rsidRPr="00326E55">
        <w:rPr>
          <w:noProof/>
          <w:spacing w:val="-6"/>
          <w:lang w:val="sk-SK"/>
        </w:rPr>
        <w:t xml:space="preserve"> a </w:t>
      </w:r>
      <w:r w:rsidRPr="00326E55">
        <w:rPr>
          <w:noProof/>
          <w:spacing w:val="-6"/>
          <w:lang w:val="sk-SK"/>
        </w:rPr>
        <w:t>posilnenia ich kultúrnej, vzdelávacej</w:t>
      </w:r>
      <w:r w:rsidR="00326E55" w:rsidRPr="00326E55">
        <w:rPr>
          <w:noProof/>
          <w:spacing w:val="-6"/>
          <w:lang w:val="sk-SK"/>
        </w:rPr>
        <w:t xml:space="preserve"> a </w:t>
      </w:r>
      <w:r w:rsidRPr="00326E55">
        <w:rPr>
          <w:noProof/>
          <w:spacing w:val="-6"/>
          <w:lang w:val="sk-SK"/>
        </w:rPr>
        <w:t>environmentálnej úlohy.</w:t>
      </w:r>
    </w:p>
    <w:p w14:paraId="1591E1AE" w14:textId="70939E6D" w:rsidR="00BF03AA" w:rsidRPr="00326E55" w:rsidRDefault="00FB452D">
      <w:pPr>
        <w:pStyle w:val="P68B1DB1-Normal5"/>
        <w:spacing w:after="120"/>
        <w:jc w:val="both"/>
        <w:rPr>
          <w:noProof/>
          <w:spacing w:val="-6"/>
          <w:lang w:val="sk-SK"/>
        </w:rPr>
      </w:pPr>
      <w:r w:rsidRPr="00326E55">
        <w:rPr>
          <w:noProof/>
          <w:spacing w:val="-6"/>
          <w:lang w:val="sk-SK"/>
        </w:rPr>
        <w:t>Investícia 2.4: Seizmická bezpečnosť bohoslužobných miest, ob</w:t>
      </w:r>
      <w:r w:rsidRPr="00326E55">
        <w:rPr>
          <w:noProof/>
          <w:spacing w:val="-6"/>
          <w:lang w:val="sk-SK"/>
        </w:rPr>
        <w:t>nova dedičstva KES</w:t>
      </w:r>
      <w:r w:rsidR="00326E55" w:rsidRPr="00326E55">
        <w:rPr>
          <w:noProof/>
          <w:spacing w:val="-6"/>
          <w:lang w:val="sk-SK"/>
        </w:rPr>
        <w:t xml:space="preserve"> a </w:t>
      </w:r>
      <w:r w:rsidRPr="00326E55">
        <w:rPr>
          <w:noProof/>
          <w:spacing w:val="-6"/>
          <w:lang w:val="sk-SK"/>
        </w:rPr>
        <w:t>útulkov pre umelecké diela (obnova umenia)</w:t>
      </w:r>
    </w:p>
    <w:p w14:paraId="188B7B26" w14:textId="0EF630B5" w:rsidR="00BF03AA" w:rsidRPr="00326E55" w:rsidRDefault="00FB452D">
      <w:pPr>
        <w:pStyle w:val="P68B1DB1-Normal7"/>
        <w:spacing w:after="120"/>
        <w:jc w:val="both"/>
        <w:rPr>
          <w:b/>
          <w:noProof/>
          <w:spacing w:val="-6"/>
          <w:u w:val="single"/>
          <w:lang w:val="sk-SK"/>
        </w:rPr>
      </w:pPr>
      <w:r w:rsidRPr="00326E55">
        <w:rPr>
          <w:noProof/>
          <w:spacing w:val="-6"/>
          <w:lang w:val="sk-SK"/>
        </w:rPr>
        <w:t>Cieľom tohto opatrenia je znížiť seizmické riziko na bohoslužobných miestach. Investícia pozostáva zo zavedenia antiseizmického preventívneho akčného plánu na realizáciu seizmickej rekonštrukc</w:t>
      </w:r>
      <w:r w:rsidRPr="00326E55">
        <w:rPr>
          <w:noProof/>
          <w:spacing w:val="-6"/>
          <w:lang w:val="sk-SK"/>
        </w:rPr>
        <w:t>ie bohoslužobných budov, obnovy majetku FEC (</w:t>
      </w:r>
      <w:r w:rsidRPr="00326E55">
        <w:rPr>
          <w:i/>
          <w:noProof/>
          <w:spacing w:val="-6"/>
          <w:lang w:val="sk-SK"/>
        </w:rPr>
        <w:t>Fondo Edifici di Culto</w:t>
      </w:r>
      <w:r w:rsidRPr="00326E55">
        <w:rPr>
          <w:noProof/>
          <w:spacing w:val="-6"/>
          <w:lang w:val="sk-SK"/>
        </w:rPr>
        <w:t>)</w:t>
      </w:r>
      <w:r w:rsidR="00326E55" w:rsidRPr="00326E55">
        <w:rPr>
          <w:noProof/>
          <w:spacing w:val="-6"/>
          <w:lang w:val="sk-SK"/>
        </w:rPr>
        <w:t xml:space="preserve"> a </w:t>
      </w:r>
      <w:r w:rsidRPr="00326E55">
        <w:rPr>
          <w:noProof/>
          <w:spacing w:val="-6"/>
          <w:lang w:val="sk-SK"/>
        </w:rPr>
        <w:t>výstavby prístreškov pre umelecké diela.</w:t>
      </w:r>
    </w:p>
    <w:p w14:paraId="3A00175A" w14:textId="77777777" w:rsidR="00BF03AA" w:rsidRPr="00326E55" w:rsidRDefault="00FB452D">
      <w:pPr>
        <w:pStyle w:val="P68B1DB1-Normal5"/>
        <w:spacing w:after="120"/>
        <w:jc w:val="both"/>
        <w:rPr>
          <w:noProof/>
          <w:spacing w:val="-6"/>
          <w:lang w:val="sk-SK"/>
        </w:rPr>
      </w:pPr>
      <w:r w:rsidRPr="00326E55">
        <w:rPr>
          <w:noProof/>
          <w:spacing w:val="-6"/>
          <w:lang w:val="sk-SK"/>
        </w:rPr>
        <w:t>Investícia 4.2: Fondy pre konkurencieschopnosť podnikov cestovného ruchu</w:t>
      </w:r>
    </w:p>
    <w:p w14:paraId="308CBA87" w14:textId="429BBE76" w:rsidR="00BF03AA" w:rsidRPr="00326E55" w:rsidRDefault="00FB452D">
      <w:pPr>
        <w:pStyle w:val="P68B1DB1-Normal7"/>
        <w:spacing w:after="120"/>
        <w:jc w:val="both"/>
        <w:rPr>
          <w:noProof/>
          <w:spacing w:val="-6"/>
          <w:lang w:val="sk-SK"/>
        </w:rPr>
      </w:pPr>
      <w:r w:rsidRPr="00326E55">
        <w:rPr>
          <w:noProof/>
          <w:spacing w:val="-6"/>
          <w:lang w:val="sk-SK"/>
        </w:rPr>
        <w:t>Opatrenie je zamerané na podporu firiem pôsobiacich</w:t>
      </w:r>
      <w:r w:rsidR="00326E55" w:rsidRPr="00326E55">
        <w:rPr>
          <w:noProof/>
          <w:spacing w:val="-6"/>
          <w:lang w:val="sk-SK"/>
        </w:rPr>
        <w:t xml:space="preserve"> v </w:t>
      </w:r>
      <w:r w:rsidRPr="00326E55">
        <w:rPr>
          <w:noProof/>
          <w:spacing w:val="-6"/>
          <w:lang w:val="sk-SK"/>
        </w:rPr>
        <w:t>odvetví cestovnéh</w:t>
      </w:r>
      <w:r w:rsidRPr="00326E55">
        <w:rPr>
          <w:noProof/>
          <w:spacing w:val="-6"/>
          <w:lang w:val="sk-SK"/>
        </w:rPr>
        <w:t>o ruchu. Zahŕňa daňový úver na práce zamerané na zlepšenie ubytovacích zariadení, záručný fond na uľahčenie prístupu podnikov</w:t>
      </w:r>
      <w:r w:rsidR="00326E55" w:rsidRPr="00326E55">
        <w:rPr>
          <w:noProof/>
          <w:spacing w:val="-6"/>
          <w:lang w:val="sk-SK"/>
        </w:rPr>
        <w:t xml:space="preserve"> v </w:t>
      </w:r>
      <w:r w:rsidRPr="00326E55">
        <w:rPr>
          <w:noProof/>
          <w:spacing w:val="-6"/>
          <w:lang w:val="sk-SK"/>
        </w:rPr>
        <w:t>tomto odvetví</w:t>
      </w:r>
      <w:r w:rsidR="00326E55" w:rsidRPr="00326E55">
        <w:rPr>
          <w:noProof/>
          <w:spacing w:val="-6"/>
          <w:lang w:val="sk-SK"/>
        </w:rPr>
        <w:t xml:space="preserve"> k </w:t>
      </w:r>
      <w:r w:rsidRPr="00326E55">
        <w:rPr>
          <w:noProof/>
          <w:spacing w:val="-6"/>
          <w:lang w:val="sk-SK"/>
        </w:rPr>
        <w:t>úverom (prostredníctvom osobitnej sekcie Garančného fondu pre MSP), aktiváciu tematického fondu EIB pre cestovný</w:t>
      </w:r>
      <w:r w:rsidRPr="00326E55">
        <w:rPr>
          <w:noProof/>
          <w:spacing w:val="-6"/>
          <w:lang w:val="sk-SK"/>
        </w:rPr>
        <w:t xml:space="preserve"> ruch na podporu inovačných investícií</w:t>
      </w:r>
      <w:r w:rsidR="00326E55" w:rsidRPr="00326E55">
        <w:rPr>
          <w:noProof/>
          <w:spacing w:val="-6"/>
          <w:lang w:val="sk-SK"/>
        </w:rPr>
        <w:t xml:space="preserve"> v </w:t>
      </w:r>
      <w:r w:rsidRPr="00326E55">
        <w:rPr>
          <w:noProof/>
          <w:spacing w:val="-6"/>
          <w:lang w:val="sk-SK"/>
        </w:rPr>
        <w:t>tomto sektore, kapitálový fond (Národný fond cestovného ruchu) na rekonštrukciu nehnuteľností</w:t>
      </w:r>
      <w:r w:rsidR="00326E55" w:rsidRPr="00326E55">
        <w:rPr>
          <w:noProof/>
          <w:spacing w:val="-6"/>
          <w:lang w:val="sk-SK"/>
        </w:rPr>
        <w:t xml:space="preserve"> s </w:t>
      </w:r>
      <w:r w:rsidRPr="00326E55">
        <w:rPr>
          <w:noProof/>
          <w:spacing w:val="-6"/>
          <w:lang w:val="sk-SK"/>
        </w:rPr>
        <w:t xml:space="preserve">vysokým turistickým potenciálom. Uvedené opatrenia dopĺňa dodatočný finančný nástroj (FRI – Fondo Rotativo) na podporu </w:t>
      </w:r>
      <w:r w:rsidRPr="00326E55">
        <w:rPr>
          <w:noProof/>
          <w:spacing w:val="-6"/>
          <w:lang w:val="sk-SK"/>
        </w:rPr>
        <w:t>firiem pôsobiacich</w:t>
      </w:r>
      <w:r w:rsidR="00326E55" w:rsidRPr="00326E55">
        <w:rPr>
          <w:noProof/>
          <w:spacing w:val="-6"/>
          <w:lang w:val="sk-SK"/>
        </w:rPr>
        <w:t xml:space="preserve"> v </w:t>
      </w:r>
      <w:r w:rsidRPr="00326E55">
        <w:rPr>
          <w:noProof/>
          <w:spacing w:val="-6"/>
          <w:lang w:val="sk-SK"/>
        </w:rPr>
        <w:t>odvetví cestovného ruchu. Uvedené intervencie sa vykonávajú</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investičnými politikami</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cieľmi nariadenia (EÚ) 2021/241,</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uplatňovaním zásady „výrazne nenarušiť“, ako sa bližšie špecifikuje</w:t>
      </w:r>
      <w:r w:rsidR="00326E55" w:rsidRPr="00326E55">
        <w:rPr>
          <w:noProof/>
          <w:spacing w:val="-6"/>
          <w:lang w:val="sk-SK"/>
        </w:rPr>
        <w:t xml:space="preserve"> v </w:t>
      </w:r>
      <w:r w:rsidRPr="00326E55">
        <w:rPr>
          <w:noProof/>
          <w:spacing w:val="-6"/>
          <w:lang w:val="sk-SK"/>
        </w:rPr>
        <w:t>tec</w:t>
      </w:r>
      <w:r w:rsidRPr="00326E55">
        <w:rPr>
          <w:noProof/>
          <w:spacing w:val="-6"/>
          <w:lang w:val="sk-SK"/>
        </w:rPr>
        <w:t>hnických usmerneniach</w:t>
      </w:r>
      <w:r w:rsidR="00326E55" w:rsidRPr="00326E55">
        <w:rPr>
          <w:noProof/>
          <w:spacing w:val="-6"/>
          <w:lang w:val="sk-SK"/>
        </w:rPr>
        <w:t xml:space="preserve"> k </w:t>
      </w:r>
      <w:r w:rsidRPr="00326E55">
        <w:rPr>
          <w:noProof/>
          <w:spacing w:val="-6"/>
          <w:lang w:val="sk-SK"/>
        </w:rPr>
        <w:t>uplatňovaniu zásady „výrazne nenarušiť“ podľa nariadenia</w:t>
      </w:r>
      <w:r w:rsidR="00326E55" w:rsidRPr="00326E55">
        <w:rPr>
          <w:noProof/>
          <w:spacing w:val="-6"/>
          <w:lang w:val="sk-SK"/>
        </w:rPr>
        <w:t xml:space="preserve"> o </w:t>
      </w:r>
      <w:r w:rsidRPr="00326E55">
        <w:rPr>
          <w:noProof/>
          <w:spacing w:val="-6"/>
          <w:lang w:val="sk-SK"/>
        </w:rPr>
        <w:t>Mechanizme na podporu obnovy</w:t>
      </w:r>
      <w:r w:rsidR="00326E55" w:rsidRPr="00326E55">
        <w:rPr>
          <w:noProof/>
          <w:spacing w:val="-6"/>
          <w:lang w:val="sk-SK"/>
        </w:rPr>
        <w:t xml:space="preserve"> a </w:t>
      </w:r>
      <w:r w:rsidRPr="00326E55">
        <w:rPr>
          <w:noProof/>
          <w:spacing w:val="-6"/>
          <w:lang w:val="sk-SK"/>
        </w:rPr>
        <w:t>odolnosti (2021/C58/01).</w:t>
      </w:r>
    </w:p>
    <w:p w14:paraId="3E2AF819" w14:textId="088D1574" w:rsidR="00326E55" w:rsidRPr="00326E55" w:rsidRDefault="00FB452D">
      <w:pPr>
        <w:pStyle w:val="P68B1DB1-Text143"/>
        <w:spacing w:before="0"/>
        <w:ind w:left="0"/>
        <w:rPr>
          <w:noProof/>
          <w:spacing w:val="-6"/>
          <w:lang w:val="sk-SK"/>
        </w:rPr>
      </w:pPr>
      <w:r w:rsidRPr="00326E55">
        <w:rPr>
          <w:noProof/>
          <w:spacing w:val="-6"/>
          <w:lang w:val="sk-SK"/>
        </w:rPr>
        <w:t>S cieľom zabezpečiť, aby opatrenie bolo</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technickými usmerneniami</w:t>
      </w:r>
      <w:r w:rsidR="00326E55" w:rsidRPr="00326E55">
        <w:rPr>
          <w:noProof/>
          <w:spacing w:val="-6"/>
          <w:lang w:val="sk-SK"/>
        </w:rPr>
        <w:t xml:space="preserve"> k </w:t>
      </w:r>
      <w:r w:rsidRPr="00326E55">
        <w:rPr>
          <w:noProof/>
          <w:spacing w:val="-6"/>
          <w:lang w:val="sk-SK"/>
        </w:rPr>
        <w:t>zásade „výrazne nenarušiť“ (2021/C58/01</w:t>
      </w:r>
      <w:r w:rsidRPr="00326E55">
        <w:rPr>
          <w:noProof/>
          <w:spacing w:val="-6"/>
          <w:lang w:val="sk-SK"/>
        </w:rPr>
        <w:t>), právnou dohodou</w:t>
      </w:r>
      <w:r w:rsidR="00326E55" w:rsidRPr="00326E55">
        <w:rPr>
          <w:noProof/>
          <w:spacing w:val="-6"/>
          <w:lang w:val="sk-SK"/>
        </w:rPr>
        <w:t xml:space="preserve"> a </w:t>
      </w:r>
      <w:r w:rsidRPr="00326E55">
        <w:rPr>
          <w:noProof/>
          <w:spacing w:val="-6"/>
          <w:lang w:val="sk-SK"/>
        </w:rPr>
        <w:t>následnou investičnou politikou finančných nástrojov</w:t>
      </w:r>
      <w:r w:rsidR="00326E55" w:rsidRPr="00326E55">
        <w:rPr>
          <w:noProof/>
          <w:spacing w:val="-6"/>
          <w:lang w:val="sk-SK"/>
        </w:rPr>
        <w:t>.</w:t>
      </w:r>
    </w:p>
    <w:p w14:paraId="2696B952" w14:textId="76CCD930" w:rsidR="00BF03AA" w:rsidRPr="00326E55" w:rsidRDefault="00FB452D">
      <w:pPr>
        <w:pStyle w:val="P68B1DB1-Text143"/>
        <w:numPr>
          <w:ilvl w:val="0"/>
          <w:numId w:val="53"/>
        </w:numPr>
        <w:spacing w:before="0"/>
        <w:ind w:left="567" w:hanging="283"/>
        <w:rPr>
          <w:noProof/>
          <w:spacing w:val="-6"/>
          <w:lang w:val="sk-SK"/>
        </w:rPr>
      </w:pPr>
      <w:r w:rsidRPr="00326E55">
        <w:rPr>
          <w:noProof/>
          <w:spacing w:val="-6"/>
          <w:lang w:val="sk-SK"/>
        </w:rPr>
        <w:t>požadovať uplatňovanie technických usmernení Komisie týkajúcich sa preverovania udržateľnosti pre Fond InvestEU;</w:t>
      </w:r>
      <w:r w:rsidR="00326E55" w:rsidRPr="00326E55">
        <w:rPr>
          <w:noProof/>
          <w:spacing w:val="-6"/>
          <w:lang w:val="sk-SK"/>
        </w:rPr>
        <w:t xml:space="preserve"> a </w:t>
      </w:r>
      <w:r w:rsidRPr="00326E55">
        <w:rPr>
          <w:noProof/>
          <w:spacing w:val="-6"/>
          <w:lang w:val="sk-SK"/>
        </w:rPr>
        <w:t>zároveň</w:t>
      </w:r>
    </w:p>
    <w:p w14:paraId="7F50539B" w14:textId="02FD056F" w:rsidR="00BF03AA" w:rsidRPr="00326E55" w:rsidRDefault="00FB452D">
      <w:pPr>
        <w:pStyle w:val="Text1"/>
        <w:numPr>
          <w:ilvl w:val="0"/>
          <w:numId w:val="53"/>
        </w:numPr>
        <w:spacing w:before="0"/>
        <w:ind w:left="567" w:hanging="283"/>
        <w:rPr>
          <w:noProof/>
          <w:spacing w:val="-6"/>
          <w:sz w:val="22"/>
          <w:szCs w:val="22"/>
          <w:lang w:val="sk-SK"/>
        </w:rPr>
      </w:pPr>
      <w:r w:rsidRPr="00326E55">
        <w:rPr>
          <w:noProof/>
          <w:spacing w:val="-6"/>
          <w:sz w:val="22"/>
          <w:szCs w:val="22"/>
          <w:lang w:val="sk-SK"/>
        </w:rPr>
        <w:t>vylúčiť tento zoznam činností: I) činnosti súvisiace</w:t>
      </w:r>
      <w:r w:rsidR="00326E55" w:rsidRPr="00326E55">
        <w:rPr>
          <w:noProof/>
          <w:spacing w:val="-6"/>
          <w:sz w:val="22"/>
          <w:szCs w:val="22"/>
          <w:lang w:val="sk-SK"/>
        </w:rPr>
        <w:t xml:space="preserve"> s </w:t>
      </w:r>
      <w:r w:rsidRPr="00326E55">
        <w:rPr>
          <w:noProof/>
          <w:spacing w:val="-6"/>
          <w:sz w:val="22"/>
          <w:szCs w:val="22"/>
          <w:lang w:val="sk-SK"/>
        </w:rPr>
        <w:t>fosílnymi palivami vrátane následného použitia</w:t>
      </w:r>
      <w:r w:rsidRPr="00326E55">
        <w:rPr>
          <w:rStyle w:val="FootnoteReference"/>
          <w:noProof/>
          <w:spacing w:val="-6"/>
          <w:sz w:val="22"/>
          <w:szCs w:val="22"/>
          <w:lang w:val="sk-SK"/>
        </w:rPr>
        <w:footnoteReference w:id="18"/>
      </w:r>
      <w:r w:rsidRPr="00326E55">
        <w:rPr>
          <w:noProof/>
          <w:spacing w:val="-6"/>
          <w:sz w:val="22"/>
          <w:szCs w:val="22"/>
          <w:lang w:val="sk-SK"/>
        </w:rPr>
        <w:t>; II) činností</w:t>
      </w:r>
      <w:r w:rsidR="00326E55" w:rsidRPr="00326E55">
        <w:rPr>
          <w:noProof/>
          <w:spacing w:val="-6"/>
          <w:sz w:val="22"/>
          <w:szCs w:val="22"/>
          <w:lang w:val="sk-SK"/>
        </w:rPr>
        <w:t xml:space="preserve"> v </w:t>
      </w:r>
      <w:r w:rsidRPr="00326E55">
        <w:rPr>
          <w:noProof/>
          <w:spacing w:val="-6"/>
          <w:sz w:val="22"/>
          <w:szCs w:val="22"/>
          <w:lang w:val="sk-SK"/>
        </w:rPr>
        <w:t>rámci systému EÚ na obchodovanie</w:t>
      </w:r>
      <w:r w:rsidR="00326E55" w:rsidRPr="00326E55">
        <w:rPr>
          <w:noProof/>
          <w:spacing w:val="-6"/>
          <w:sz w:val="22"/>
          <w:szCs w:val="22"/>
          <w:lang w:val="sk-SK"/>
        </w:rPr>
        <w:t xml:space="preserve"> s </w:t>
      </w:r>
      <w:r w:rsidRPr="00326E55">
        <w:rPr>
          <w:noProof/>
          <w:spacing w:val="-6"/>
          <w:sz w:val="22"/>
          <w:szCs w:val="22"/>
          <w:lang w:val="sk-SK"/>
        </w:rPr>
        <w:t>emisiami (ETS), ktorými sa dosahujú predpokladané emisie skleníkových plynov, ktoré nie sú nižšie ako príslušné referenčné hodnoty</w:t>
      </w:r>
      <w:r w:rsidRPr="00326E55">
        <w:rPr>
          <w:rStyle w:val="FootnoteReference"/>
          <w:noProof/>
          <w:spacing w:val="-6"/>
          <w:sz w:val="22"/>
          <w:szCs w:val="22"/>
          <w:lang w:val="sk-SK"/>
        </w:rPr>
        <w:footnoteReference w:id="19"/>
      </w:r>
      <w:r w:rsidRPr="00326E55">
        <w:rPr>
          <w:noProof/>
          <w:spacing w:val="-6"/>
          <w:sz w:val="22"/>
          <w:szCs w:val="22"/>
          <w:lang w:val="sk-SK"/>
        </w:rPr>
        <w:t xml:space="preserve">; III) činnosti súvisiace </w:t>
      </w:r>
      <w:r w:rsidRPr="00326E55">
        <w:rPr>
          <w:noProof/>
          <w:spacing w:val="-6"/>
          <w:sz w:val="22"/>
          <w:szCs w:val="22"/>
          <w:lang w:val="sk-SK"/>
        </w:rPr>
        <w:t>so skládkami odpadov, spaľovňami</w:t>
      </w:r>
      <w:r w:rsidRPr="00326E55">
        <w:rPr>
          <w:rStyle w:val="FootnoteReference"/>
          <w:noProof/>
          <w:spacing w:val="-6"/>
          <w:sz w:val="22"/>
          <w:szCs w:val="22"/>
          <w:lang w:val="sk-SK"/>
        </w:rPr>
        <w:footnoteReference w:id="20"/>
      </w:r>
      <w:r w:rsidR="00326E55" w:rsidRPr="00326E55">
        <w:rPr>
          <w:noProof/>
          <w:spacing w:val="-6"/>
          <w:sz w:val="22"/>
          <w:szCs w:val="22"/>
          <w:lang w:val="sk-SK"/>
        </w:rPr>
        <w:t xml:space="preserve"> a </w:t>
      </w:r>
      <w:r w:rsidRPr="00326E55">
        <w:rPr>
          <w:noProof/>
          <w:spacing w:val="-6"/>
          <w:sz w:val="22"/>
          <w:szCs w:val="22"/>
          <w:lang w:val="sk-SK"/>
        </w:rPr>
        <w:t>mechanickými biologickými čistiarňami</w:t>
      </w:r>
      <w:r w:rsidRPr="00326E55">
        <w:rPr>
          <w:rStyle w:val="FootnoteReference"/>
          <w:noProof/>
          <w:spacing w:val="-6"/>
          <w:sz w:val="22"/>
          <w:szCs w:val="22"/>
          <w:lang w:val="sk-SK"/>
        </w:rPr>
        <w:footnoteReference w:id="21"/>
      </w:r>
      <w:r w:rsidRPr="00326E55">
        <w:rPr>
          <w:noProof/>
          <w:spacing w:val="-6"/>
          <w:sz w:val="22"/>
          <w:szCs w:val="22"/>
          <w:lang w:val="sk-SK"/>
        </w:rPr>
        <w:t>;</w:t>
      </w:r>
      <w:r w:rsidR="00326E55" w:rsidRPr="00326E55">
        <w:rPr>
          <w:noProof/>
          <w:spacing w:val="-6"/>
          <w:sz w:val="22"/>
          <w:szCs w:val="22"/>
          <w:lang w:val="sk-SK"/>
        </w:rPr>
        <w:t xml:space="preserve"> a </w:t>
      </w:r>
      <w:r w:rsidRPr="00326E55">
        <w:rPr>
          <w:noProof/>
          <w:spacing w:val="-6"/>
          <w:sz w:val="22"/>
          <w:szCs w:val="22"/>
          <w:lang w:val="sk-SK"/>
        </w:rPr>
        <w:t>iv) činnosti, pri ktorých môže dlhodobé zneškodňovanie odpadu poškodiť životné prostredie;</w:t>
      </w:r>
      <w:r w:rsidR="00326E55" w:rsidRPr="00326E55">
        <w:rPr>
          <w:noProof/>
          <w:spacing w:val="-6"/>
          <w:sz w:val="22"/>
          <w:szCs w:val="22"/>
          <w:lang w:val="sk-SK"/>
        </w:rPr>
        <w:t xml:space="preserve"> a </w:t>
      </w:r>
      <w:r w:rsidRPr="00326E55">
        <w:rPr>
          <w:noProof/>
          <w:spacing w:val="-6"/>
          <w:sz w:val="22"/>
          <w:szCs w:val="22"/>
          <w:lang w:val="sk-SK"/>
        </w:rPr>
        <w:t>zároveň</w:t>
      </w:r>
    </w:p>
    <w:p w14:paraId="47A452D3" w14:textId="2E92063F" w:rsidR="00BF03AA" w:rsidRPr="00326E55" w:rsidRDefault="00FB452D">
      <w:pPr>
        <w:pStyle w:val="P68B1DB1-Text143"/>
        <w:numPr>
          <w:ilvl w:val="0"/>
          <w:numId w:val="53"/>
        </w:numPr>
        <w:spacing w:before="0"/>
        <w:ind w:left="567" w:hanging="283"/>
        <w:rPr>
          <w:noProof/>
          <w:spacing w:val="-6"/>
          <w:lang w:val="sk-SK"/>
        </w:rPr>
      </w:pPr>
      <w:r w:rsidRPr="00326E55">
        <w:rPr>
          <w:noProof/>
          <w:spacing w:val="-6"/>
          <w:lang w:val="sk-SK"/>
        </w:rPr>
        <w:t>vyžadovať, aby [poverený subjekt alebo finančný sprostredkovateľ] overil súla</w:t>
      </w:r>
      <w:r w:rsidRPr="00326E55">
        <w:rPr>
          <w:noProof/>
          <w:spacing w:val="-6"/>
          <w:lang w:val="sk-SK"/>
        </w:rPr>
        <w:t>d projektov</w:t>
      </w:r>
      <w:r w:rsidR="00326E55" w:rsidRPr="00326E55">
        <w:rPr>
          <w:noProof/>
          <w:spacing w:val="-6"/>
          <w:lang w:val="sk-SK"/>
        </w:rPr>
        <w:t xml:space="preserve"> s </w:t>
      </w:r>
      <w:r w:rsidRPr="00326E55">
        <w:rPr>
          <w:noProof/>
          <w:spacing w:val="-6"/>
          <w:lang w:val="sk-SK"/>
        </w:rPr>
        <w:t>príslušnými právnymi predpismi EÚ</w:t>
      </w:r>
      <w:r w:rsidR="00326E55" w:rsidRPr="00326E55">
        <w:rPr>
          <w:noProof/>
          <w:spacing w:val="-6"/>
          <w:lang w:val="sk-SK"/>
        </w:rPr>
        <w:t xml:space="preserve"> a </w:t>
      </w:r>
      <w:r w:rsidRPr="00326E55">
        <w:rPr>
          <w:noProof/>
          <w:spacing w:val="-6"/>
          <w:lang w:val="sk-SK"/>
        </w:rPr>
        <w:t>vnútroštátnymi právnymi predpismi</w:t>
      </w:r>
      <w:r w:rsidR="00326E55" w:rsidRPr="00326E55">
        <w:rPr>
          <w:noProof/>
          <w:spacing w:val="-6"/>
          <w:lang w:val="sk-SK"/>
        </w:rPr>
        <w:t xml:space="preserve"> v </w:t>
      </w:r>
      <w:r w:rsidRPr="00326E55">
        <w:rPr>
          <w:noProof/>
          <w:spacing w:val="-6"/>
          <w:lang w:val="sk-SK"/>
        </w:rPr>
        <w:t>oblasti životného prostredia</w:t>
      </w:r>
      <w:r w:rsidR="00326E55" w:rsidRPr="00326E55">
        <w:rPr>
          <w:noProof/>
          <w:spacing w:val="-6"/>
          <w:lang w:val="sk-SK"/>
        </w:rPr>
        <w:t xml:space="preserve"> v </w:t>
      </w:r>
      <w:r w:rsidRPr="00326E55">
        <w:rPr>
          <w:noProof/>
          <w:spacing w:val="-6"/>
          <w:lang w:val="sk-SK"/>
        </w:rPr>
        <w:t>prípade všetkých transakcií vrátane tých, ktoré sú vyňaté</w:t>
      </w:r>
      <w:r w:rsidR="00326E55" w:rsidRPr="00326E55">
        <w:rPr>
          <w:noProof/>
          <w:spacing w:val="-6"/>
          <w:lang w:val="sk-SK"/>
        </w:rPr>
        <w:t xml:space="preserve"> z </w:t>
      </w:r>
      <w:r w:rsidRPr="00326E55">
        <w:rPr>
          <w:noProof/>
          <w:spacing w:val="-6"/>
          <w:lang w:val="sk-SK"/>
        </w:rPr>
        <w:t>preverovania udržateľnosti.</w:t>
      </w:r>
    </w:p>
    <w:p w14:paraId="060A49B0" w14:textId="77777777" w:rsidR="00BF03AA" w:rsidRPr="00326E55" w:rsidRDefault="00FB452D">
      <w:pPr>
        <w:pStyle w:val="P68B1DB1-Normal5"/>
        <w:spacing w:after="120"/>
        <w:jc w:val="both"/>
        <w:rPr>
          <w:bCs/>
          <w:noProof/>
          <w:spacing w:val="-6"/>
          <w:lang w:val="sk-SK"/>
        </w:rPr>
      </w:pPr>
      <w:r w:rsidRPr="00326E55">
        <w:rPr>
          <w:noProof/>
          <w:spacing w:val="-6"/>
          <w:lang w:val="sk-SK"/>
        </w:rPr>
        <w:t>Investícia 3.2: Rozvoj filmového priemyslu (projekt</w:t>
      </w:r>
      <w:r w:rsidRPr="00326E55">
        <w:rPr>
          <w:noProof/>
          <w:spacing w:val="-6"/>
          <w:lang w:val="sk-SK"/>
        </w:rPr>
        <w:t xml:space="preserve"> Cinecittà)</w:t>
      </w:r>
    </w:p>
    <w:p w14:paraId="53B9A107" w14:textId="324953EC" w:rsidR="00BF03AA" w:rsidRPr="00326E55" w:rsidRDefault="00FB452D">
      <w:pPr>
        <w:pStyle w:val="P68B1DB1-Normal7"/>
        <w:spacing w:after="120"/>
        <w:jc w:val="both"/>
        <w:rPr>
          <w:noProof/>
          <w:spacing w:val="-6"/>
          <w:lang w:val="sk-SK"/>
        </w:rPr>
      </w:pPr>
      <w:r w:rsidRPr="00326E55">
        <w:rPr>
          <w:noProof/>
          <w:spacing w:val="-6"/>
          <w:lang w:val="sk-SK"/>
        </w:rPr>
        <w:t>Cieľom tohto opatrenia je zvýšiť konkurencieschopnosť talianskeho filmového</w:t>
      </w:r>
      <w:r w:rsidR="00326E55" w:rsidRPr="00326E55">
        <w:rPr>
          <w:noProof/>
          <w:spacing w:val="-6"/>
          <w:lang w:val="sk-SK"/>
        </w:rPr>
        <w:t xml:space="preserve"> a </w:t>
      </w:r>
      <w:r w:rsidRPr="00326E55">
        <w:rPr>
          <w:noProof/>
          <w:spacing w:val="-6"/>
          <w:lang w:val="sk-SK"/>
        </w:rPr>
        <w:t>audiovizuálneho sektora. Investícia pozostáva</w:t>
      </w:r>
      <w:r w:rsidR="00326E55" w:rsidRPr="00326E55">
        <w:rPr>
          <w:noProof/>
          <w:spacing w:val="-6"/>
          <w:lang w:val="sk-SK"/>
        </w:rPr>
        <w:t xml:space="preserve"> z </w:t>
      </w:r>
      <w:r w:rsidRPr="00326E55">
        <w:rPr>
          <w:noProof/>
          <w:spacing w:val="-6"/>
          <w:lang w:val="sk-SK"/>
        </w:rPr>
        <w:t>renovácie štúdií</w:t>
      </w:r>
      <w:r w:rsidR="00326E55" w:rsidRPr="00326E55">
        <w:rPr>
          <w:noProof/>
          <w:spacing w:val="-6"/>
          <w:lang w:val="sk-SK"/>
        </w:rPr>
        <w:t xml:space="preserve"> a </w:t>
      </w:r>
      <w:r w:rsidRPr="00326E55">
        <w:rPr>
          <w:noProof/>
          <w:spacing w:val="-6"/>
          <w:lang w:val="sk-SK"/>
        </w:rPr>
        <w:t xml:space="preserve">budovania nových, čím sa zlepšujú výrobné činnosti. To môže okrem iného zahŕňať využívanie nových </w:t>
      </w:r>
      <w:r w:rsidRPr="00326E55">
        <w:rPr>
          <w:noProof/>
          <w:spacing w:val="-6"/>
          <w:lang w:val="sk-SK"/>
        </w:rPr>
        <w:t>technológií, zachovanie</w:t>
      </w:r>
      <w:r w:rsidR="00326E55" w:rsidRPr="00326E55">
        <w:rPr>
          <w:noProof/>
          <w:spacing w:val="-6"/>
          <w:lang w:val="sk-SK"/>
        </w:rPr>
        <w:t xml:space="preserve"> a </w:t>
      </w:r>
      <w:r w:rsidRPr="00326E55">
        <w:rPr>
          <w:noProof/>
          <w:spacing w:val="-6"/>
          <w:lang w:val="sk-SK"/>
        </w:rPr>
        <w:t>digitalizáciu audiovizuálneho dedičstva</w:t>
      </w:r>
      <w:r w:rsidR="00326E55" w:rsidRPr="00326E55">
        <w:rPr>
          <w:noProof/>
          <w:spacing w:val="-6"/>
          <w:lang w:val="sk-SK"/>
        </w:rPr>
        <w:t xml:space="preserve"> v </w:t>
      </w:r>
      <w:r w:rsidRPr="00326E55">
        <w:rPr>
          <w:noProof/>
          <w:spacing w:val="-6"/>
          <w:lang w:val="sk-SK"/>
        </w:rPr>
        <w:t>experimentálnom centre pre kinematografiu, ako aj posilnenie profesijných profilov</w:t>
      </w:r>
      <w:r w:rsidR="00326E55" w:rsidRPr="00326E55">
        <w:rPr>
          <w:noProof/>
          <w:spacing w:val="-6"/>
          <w:lang w:val="sk-SK"/>
        </w:rPr>
        <w:t xml:space="preserve"> a </w:t>
      </w:r>
      <w:r w:rsidRPr="00326E55">
        <w:rPr>
          <w:noProof/>
          <w:spacing w:val="-6"/>
          <w:lang w:val="sk-SK"/>
        </w:rPr>
        <w:t>zručností</w:t>
      </w:r>
      <w:r w:rsidR="00326E55" w:rsidRPr="00326E55">
        <w:rPr>
          <w:noProof/>
          <w:spacing w:val="-6"/>
          <w:lang w:val="sk-SK"/>
        </w:rPr>
        <w:t xml:space="preserve"> v </w:t>
      </w:r>
      <w:r w:rsidRPr="00326E55">
        <w:rPr>
          <w:noProof/>
          <w:spacing w:val="-6"/>
          <w:lang w:val="sk-SK"/>
        </w:rPr>
        <w:t>tomto odvetví prostredníctvom činností odbornej prípravy, ktoré vykonávajú Cinecittà</w:t>
      </w:r>
      <w:r w:rsidR="00326E55" w:rsidRPr="00326E55">
        <w:rPr>
          <w:noProof/>
          <w:spacing w:val="-6"/>
          <w:lang w:val="sk-SK"/>
        </w:rPr>
        <w:t xml:space="preserve"> a </w:t>
      </w:r>
      <w:r w:rsidRPr="00326E55">
        <w:rPr>
          <w:noProof/>
          <w:spacing w:val="-6"/>
          <w:lang w:val="sk-SK"/>
        </w:rPr>
        <w:t>expe</w:t>
      </w:r>
      <w:r w:rsidRPr="00326E55">
        <w:rPr>
          <w:noProof/>
          <w:spacing w:val="-6"/>
          <w:lang w:val="sk-SK"/>
        </w:rPr>
        <w:t>rimentálne centrum pre kinematografiu.</w:t>
      </w:r>
    </w:p>
    <w:p w14:paraId="13637D4F" w14:textId="77777777" w:rsidR="00BF03AA" w:rsidRPr="00326E55" w:rsidRDefault="00FB452D">
      <w:pPr>
        <w:pStyle w:val="P68B1DB1-Normal29"/>
        <w:spacing w:after="120"/>
        <w:jc w:val="both"/>
        <w:rPr>
          <w:bCs/>
          <w:noProof/>
          <w:spacing w:val="-6"/>
          <w:lang w:val="sk-SK"/>
        </w:rPr>
      </w:pPr>
      <w:r w:rsidRPr="00326E55">
        <w:rPr>
          <w:noProof/>
          <w:spacing w:val="-6"/>
          <w:lang w:val="sk-SK"/>
        </w:rPr>
        <w:t>Investícia 4.3: Caput Mundi Next Generation EU pre veľké turistické podujatia.</w:t>
      </w:r>
    </w:p>
    <w:p w14:paraId="0687DB3F" w14:textId="066B1EA3" w:rsidR="00BF03AA" w:rsidRPr="00326E55" w:rsidRDefault="00FB452D">
      <w:pPr>
        <w:pStyle w:val="P68B1DB1-Normal8"/>
        <w:tabs>
          <w:tab w:val="left" w:pos="1340"/>
          <w:tab w:val="left" w:pos="1341"/>
        </w:tabs>
        <w:spacing w:after="120"/>
        <w:ind w:right="-7"/>
        <w:jc w:val="both"/>
        <w:rPr>
          <w:noProof/>
          <w:spacing w:val="-6"/>
          <w:lang w:val="sk-SK"/>
        </w:rPr>
      </w:pPr>
      <w:r w:rsidRPr="00326E55">
        <w:rPr>
          <w:noProof/>
          <w:spacing w:val="-6"/>
          <w:lang w:val="sk-SK"/>
        </w:rPr>
        <w:t>Cieľom tohto opatrenia je zlepšiť skúsenosti</w:t>
      </w:r>
      <w:r w:rsidR="00326E55" w:rsidRPr="00326E55">
        <w:rPr>
          <w:noProof/>
          <w:spacing w:val="-6"/>
          <w:lang w:val="sk-SK"/>
        </w:rPr>
        <w:t xml:space="preserve"> s </w:t>
      </w:r>
      <w:r w:rsidRPr="00326E55">
        <w:rPr>
          <w:noProof/>
          <w:spacing w:val="-6"/>
          <w:lang w:val="sk-SK"/>
        </w:rPr>
        <w:t>turistickými významnými podujatiami</w:t>
      </w:r>
      <w:r w:rsidR="00326E55" w:rsidRPr="00326E55">
        <w:rPr>
          <w:noProof/>
          <w:spacing w:val="-6"/>
          <w:lang w:val="sk-SK"/>
        </w:rPr>
        <w:t xml:space="preserve"> a </w:t>
      </w:r>
      <w:r w:rsidRPr="00326E55">
        <w:rPr>
          <w:noProof/>
          <w:spacing w:val="-6"/>
          <w:lang w:val="sk-SK"/>
        </w:rPr>
        <w:t>udržateľnosť cestovného ruchu prostredníctvom renovác</w:t>
      </w:r>
      <w:r w:rsidRPr="00326E55">
        <w:rPr>
          <w:noProof/>
          <w:spacing w:val="-6"/>
          <w:lang w:val="sk-SK"/>
        </w:rPr>
        <w:t>ie pamiatok, vytvárania turistických</w:t>
      </w:r>
      <w:r w:rsidR="00326E55" w:rsidRPr="00326E55">
        <w:rPr>
          <w:noProof/>
          <w:spacing w:val="-6"/>
          <w:lang w:val="sk-SK"/>
        </w:rPr>
        <w:t xml:space="preserve"> a </w:t>
      </w:r>
      <w:r w:rsidRPr="00326E55">
        <w:rPr>
          <w:noProof/>
          <w:spacing w:val="-6"/>
          <w:lang w:val="sk-SK"/>
        </w:rPr>
        <w:t>kultúrnych alternatív, pokiaľ ide</w:t>
      </w:r>
      <w:r w:rsidR="00326E55" w:rsidRPr="00326E55">
        <w:rPr>
          <w:noProof/>
          <w:spacing w:val="-6"/>
          <w:lang w:val="sk-SK"/>
        </w:rPr>
        <w:t xml:space="preserve"> o </w:t>
      </w:r>
      <w:r w:rsidRPr="00326E55">
        <w:rPr>
          <w:noProof/>
          <w:spacing w:val="-6"/>
          <w:lang w:val="sk-SK"/>
        </w:rPr>
        <w:t>preplnené oblasti, digitalizácie kultúrnych</w:t>
      </w:r>
      <w:r w:rsidR="00326E55" w:rsidRPr="00326E55">
        <w:rPr>
          <w:noProof/>
          <w:spacing w:val="-6"/>
          <w:lang w:val="sk-SK"/>
        </w:rPr>
        <w:t xml:space="preserve"> a </w:t>
      </w:r>
      <w:r w:rsidRPr="00326E55">
        <w:rPr>
          <w:noProof/>
          <w:spacing w:val="-6"/>
          <w:lang w:val="sk-SK"/>
        </w:rPr>
        <w:t>turistických služieb</w:t>
      </w:r>
      <w:r w:rsidR="00326E55" w:rsidRPr="00326E55">
        <w:rPr>
          <w:noProof/>
          <w:spacing w:val="-6"/>
          <w:lang w:val="sk-SK"/>
        </w:rPr>
        <w:t xml:space="preserve"> a </w:t>
      </w:r>
      <w:r w:rsidRPr="00326E55">
        <w:rPr>
          <w:noProof/>
          <w:spacing w:val="-6"/>
          <w:lang w:val="sk-SK"/>
        </w:rPr>
        <w:t>zveľaďovania zelených plôch. Investícia pozostáva</w:t>
      </w:r>
      <w:r w:rsidR="00326E55" w:rsidRPr="00326E55">
        <w:rPr>
          <w:noProof/>
          <w:spacing w:val="-6"/>
          <w:lang w:val="sk-SK"/>
        </w:rPr>
        <w:t xml:space="preserve"> z </w:t>
      </w:r>
      <w:r w:rsidRPr="00326E55">
        <w:rPr>
          <w:noProof/>
          <w:spacing w:val="-6"/>
          <w:lang w:val="sk-SK"/>
        </w:rPr>
        <w:t>prijatia</w:t>
      </w:r>
      <w:r w:rsidR="00326E55" w:rsidRPr="00326E55">
        <w:rPr>
          <w:noProof/>
          <w:spacing w:val="-6"/>
          <w:lang w:val="sk-SK"/>
        </w:rPr>
        <w:t xml:space="preserve"> a </w:t>
      </w:r>
      <w:r w:rsidRPr="00326E55">
        <w:rPr>
          <w:noProof/>
          <w:spacing w:val="-6"/>
          <w:lang w:val="sk-SK"/>
        </w:rPr>
        <w:t xml:space="preserve">vykonávania programu „Caput Mundi“, ktorý zahŕňa </w:t>
      </w:r>
      <w:r w:rsidRPr="00326E55">
        <w:rPr>
          <w:noProof/>
          <w:spacing w:val="-6"/>
          <w:lang w:val="sk-SK"/>
        </w:rPr>
        <w:t>obnovu kultúrneho</w:t>
      </w:r>
      <w:r w:rsidR="00326E55" w:rsidRPr="00326E55">
        <w:rPr>
          <w:noProof/>
          <w:spacing w:val="-6"/>
          <w:lang w:val="sk-SK"/>
        </w:rPr>
        <w:t xml:space="preserve"> a </w:t>
      </w:r>
      <w:r w:rsidRPr="00326E55">
        <w:rPr>
          <w:noProof/>
          <w:spacing w:val="-6"/>
          <w:lang w:val="sk-SK"/>
        </w:rPr>
        <w:t>historického majetku, obnovu zelených plôch</w:t>
      </w:r>
      <w:r w:rsidR="00326E55" w:rsidRPr="00326E55">
        <w:rPr>
          <w:noProof/>
          <w:spacing w:val="-6"/>
          <w:lang w:val="sk-SK"/>
        </w:rPr>
        <w:t xml:space="preserve"> a </w:t>
      </w:r>
      <w:r w:rsidRPr="00326E55">
        <w:rPr>
          <w:noProof/>
          <w:spacing w:val="-6"/>
          <w:lang w:val="sk-SK"/>
        </w:rPr>
        <w:t>historických zariadení</w:t>
      </w:r>
      <w:r w:rsidR="00326E55" w:rsidRPr="00326E55">
        <w:rPr>
          <w:noProof/>
          <w:spacing w:val="-6"/>
          <w:lang w:val="sk-SK"/>
        </w:rPr>
        <w:t xml:space="preserve"> a </w:t>
      </w:r>
      <w:r w:rsidRPr="00326E55">
        <w:rPr>
          <w:noProof/>
          <w:spacing w:val="-6"/>
          <w:lang w:val="sk-SK"/>
        </w:rPr>
        <w:t>vytvorenie digitálnych služieb pre cestovný ruch.</w:t>
      </w:r>
    </w:p>
    <w:p w14:paraId="6ACB0B86" w14:textId="1F27D7B8" w:rsidR="00BF03AA" w:rsidRPr="00326E55" w:rsidRDefault="00BF03AA">
      <w:pPr>
        <w:tabs>
          <w:tab w:val="left" w:pos="1340"/>
          <w:tab w:val="left" w:pos="1341"/>
        </w:tabs>
        <w:spacing w:after="120"/>
        <w:ind w:right="-7"/>
        <w:jc w:val="both"/>
        <w:rPr>
          <w:rFonts w:ascii="Times New Roman" w:hAnsi="Times New Roman"/>
          <w:noProof/>
          <w:spacing w:val="-6"/>
          <w:lang w:val="sk-SK"/>
        </w:rPr>
        <w:sectPr w:rsidR="00BF03AA" w:rsidRPr="00326E55" w:rsidSect="005F11B9">
          <w:headerReference w:type="even" r:id="rId64"/>
          <w:headerReference w:type="default" r:id="rId65"/>
          <w:footerReference w:type="even" r:id="rId66"/>
          <w:footerReference w:type="default" r:id="rId67"/>
          <w:headerReference w:type="first" r:id="rId68"/>
          <w:footerReference w:type="first" r:id="rId69"/>
          <w:pgSz w:w="11907" w:h="16839"/>
          <w:pgMar w:top="1134" w:right="1134" w:bottom="1134" w:left="1134" w:header="567" w:footer="567" w:gutter="0"/>
          <w:cols w:space="720"/>
          <w:docGrid w:linePitch="360"/>
        </w:sectPr>
      </w:pPr>
    </w:p>
    <w:p w14:paraId="0A860CFE" w14:textId="716D452E"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C.4.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 xml:space="preserve">harmonogram </w:t>
      </w:r>
      <w:r w:rsidRPr="00326E55">
        <w:rPr>
          <w:b/>
          <w:noProof/>
          <w:spacing w:val="-6"/>
          <w:u w:val="single"/>
          <w:lang w:val="sk-SK"/>
        </w:rPr>
        <w:t>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 xml:space="preserve">úverom </w:t>
      </w: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518"/>
        <w:gridCol w:w="1103"/>
        <w:gridCol w:w="1518"/>
        <w:gridCol w:w="1518"/>
        <w:gridCol w:w="966"/>
        <w:gridCol w:w="969"/>
        <w:gridCol w:w="1238"/>
        <w:gridCol w:w="969"/>
        <w:gridCol w:w="642"/>
        <w:gridCol w:w="3053"/>
      </w:tblGrid>
      <w:tr w:rsidR="00BF03AA" w:rsidRPr="00326E55" w14:paraId="4B130771" w14:textId="77777777">
        <w:trPr>
          <w:trHeight w:val="313"/>
          <w:tblHeader/>
          <w:jc w:val="center"/>
        </w:trPr>
        <w:tc>
          <w:tcPr>
            <w:tcW w:w="377" w:type="pct"/>
            <w:vMerge w:val="restart"/>
            <w:shd w:val="clear" w:color="auto" w:fill="BDD7EE"/>
            <w:noWrap/>
            <w:vAlign w:val="center"/>
          </w:tcPr>
          <w:p w14:paraId="53AD22BF" w14:textId="77777777" w:rsidR="00BF03AA" w:rsidRPr="00326E55" w:rsidRDefault="00BF03AA">
            <w:pPr>
              <w:jc w:val="center"/>
              <w:rPr>
                <w:rFonts w:ascii="Times New Roman" w:hAnsi="Times New Roman"/>
                <w:noProof/>
                <w:spacing w:val="-6"/>
                <w:sz w:val="20"/>
                <w:szCs w:val="20"/>
                <w:lang w:val="sk-SK"/>
              </w:rPr>
            </w:pPr>
          </w:p>
          <w:p w14:paraId="341AD54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520" w:type="pct"/>
            <w:vMerge w:val="restart"/>
            <w:shd w:val="clear" w:color="auto" w:fill="BDD7EE"/>
            <w:noWrap/>
            <w:vAlign w:val="center"/>
          </w:tcPr>
          <w:p w14:paraId="0473C64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378" w:type="pct"/>
            <w:vMerge w:val="restart"/>
            <w:shd w:val="clear" w:color="auto" w:fill="BDD7EE"/>
            <w:noWrap/>
            <w:vAlign w:val="center"/>
          </w:tcPr>
          <w:p w14:paraId="68896275"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520" w:type="pct"/>
            <w:vMerge w:val="restart"/>
            <w:shd w:val="clear" w:color="auto" w:fill="BDD7EE"/>
            <w:noWrap/>
            <w:vAlign w:val="center"/>
          </w:tcPr>
          <w:p w14:paraId="7993213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520" w:type="pct"/>
            <w:vMerge w:val="restart"/>
            <w:shd w:val="clear" w:color="auto" w:fill="BDD7EE"/>
            <w:noWrap/>
            <w:vAlign w:val="center"/>
          </w:tcPr>
          <w:p w14:paraId="1C6DCE04" w14:textId="16EFFE49"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1087" w:type="pct"/>
            <w:gridSpan w:val="3"/>
            <w:shd w:val="clear" w:color="auto" w:fill="BDD7EE"/>
            <w:noWrap/>
            <w:vAlign w:val="center"/>
          </w:tcPr>
          <w:p w14:paraId="3B852853" w14:textId="77777777" w:rsidR="00BF03AA" w:rsidRPr="00326E55" w:rsidRDefault="00FB452D">
            <w:pPr>
              <w:jc w:val="center"/>
              <w:rPr>
                <w:rFonts w:ascii="Times New Roman" w:hAnsi="Times New Roman"/>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552" w:type="pct"/>
            <w:gridSpan w:val="2"/>
            <w:shd w:val="clear" w:color="auto" w:fill="BDD7EE"/>
            <w:noWrap/>
            <w:vAlign w:val="center"/>
          </w:tcPr>
          <w:p w14:paraId="7E68CCD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1046" w:type="pct"/>
            <w:vMerge w:val="restart"/>
            <w:shd w:val="clear" w:color="auto" w:fill="BDD7EE"/>
            <w:noWrap/>
            <w:vAlign w:val="center"/>
          </w:tcPr>
          <w:p w14:paraId="158677DF" w14:textId="77777777" w:rsidR="00BF03AA" w:rsidRPr="00326E55" w:rsidRDefault="00BF03AA">
            <w:pPr>
              <w:jc w:val="center"/>
              <w:rPr>
                <w:rFonts w:ascii="Times New Roman" w:eastAsia="Calibri" w:hAnsi="Times New Roman"/>
                <w:noProof/>
                <w:color w:val="006100"/>
                <w:spacing w:val="-6"/>
                <w:sz w:val="20"/>
                <w:szCs w:val="20"/>
                <w:lang w:val="sk-SK"/>
              </w:rPr>
            </w:pPr>
          </w:p>
          <w:p w14:paraId="62B168EC" w14:textId="17D06848" w:rsidR="00BF03AA" w:rsidRPr="00326E55" w:rsidRDefault="00FB452D">
            <w:pPr>
              <w:pStyle w:val="P68B1DB1-Normal10"/>
              <w:jc w:val="center"/>
              <w:rPr>
                <w:rFonts w:ascii="Times New Roman" w:eastAsia="Calibri" w:hAnsi="Times New Roman"/>
                <w:noProof/>
                <w:color w:val="006100"/>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482EC076" w14:textId="77777777">
        <w:trPr>
          <w:trHeight w:val="313"/>
          <w:tblHeader/>
          <w:jc w:val="center"/>
        </w:trPr>
        <w:tc>
          <w:tcPr>
            <w:tcW w:w="377" w:type="pct"/>
            <w:vMerge/>
            <w:noWrap/>
            <w:vAlign w:val="center"/>
          </w:tcPr>
          <w:p w14:paraId="34114E7F" w14:textId="77777777" w:rsidR="00BF03AA" w:rsidRPr="00326E55" w:rsidRDefault="00BF03AA">
            <w:pPr>
              <w:jc w:val="center"/>
              <w:rPr>
                <w:rFonts w:ascii="Times New Roman" w:hAnsi="Times New Roman"/>
                <w:noProof/>
                <w:spacing w:val="-6"/>
                <w:sz w:val="20"/>
                <w:szCs w:val="20"/>
                <w:lang w:val="sk-SK"/>
              </w:rPr>
            </w:pPr>
          </w:p>
        </w:tc>
        <w:tc>
          <w:tcPr>
            <w:tcW w:w="520" w:type="pct"/>
            <w:vMerge/>
            <w:noWrap/>
            <w:vAlign w:val="center"/>
          </w:tcPr>
          <w:p w14:paraId="16FD2CD0" w14:textId="77777777" w:rsidR="00BF03AA" w:rsidRPr="00326E55" w:rsidRDefault="00BF03AA">
            <w:pPr>
              <w:jc w:val="center"/>
              <w:rPr>
                <w:rFonts w:ascii="Times New Roman" w:hAnsi="Times New Roman"/>
                <w:noProof/>
                <w:spacing w:val="-6"/>
                <w:sz w:val="20"/>
                <w:szCs w:val="20"/>
                <w:lang w:val="sk-SK"/>
              </w:rPr>
            </w:pPr>
          </w:p>
        </w:tc>
        <w:tc>
          <w:tcPr>
            <w:tcW w:w="378" w:type="pct"/>
            <w:vMerge/>
            <w:noWrap/>
            <w:vAlign w:val="center"/>
          </w:tcPr>
          <w:p w14:paraId="09ACF6C4" w14:textId="77777777" w:rsidR="00BF03AA" w:rsidRPr="00326E55" w:rsidRDefault="00BF03AA">
            <w:pPr>
              <w:jc w:val="center"/>
              <w:rPr>
                <w:rFonts w:ascii="Times New Roman" w:hAnsi="Times New Roman"/>
                <w:noProof/>
                <w:spacing w:val="-6"/>
                <w:sz w:val="20"/>
                <w:szCs w:val="20"/>
                <w:lang w:val="sk-SK"/>
              </w:rPr>
            </w:pPr>
          </w:p>
        </w:tc>
        <w:tc>
          <w:tcPr>
            <w:tcW w:w="520" w:type="pct"/>
            <w:vMerge/>
            <w:noWrap/>
            <w:vAlign w:val="center"/>
          </w:tcPr>
          <w:p w14:paraId="4B837074" w14:textId="77777777" w:rsidR="00BF03AA" w:rsidRPr="00326E55" w:rsidRDefault="00BF03AA">
            <w:pPr>
              <w:jc w:val="center"/>
              <w:rPr>
                <w:rFonts w:ascii="Times New Roman" w:hAnsi="Times New Roman"/>
                <w:noProof/>
                <w:spacing w:val="-6"/>
                <w:sz w:val="20"/>
                <w:szCs w:val="20"/>
                <w:lang w:val="sk-SK"/>
              </w:rPr>
            </w:pPr>
          </w:p>
        </w:tc>
        <w:tc>
          <w:tcPr>
            <w:tcW w:w="520" w:type="pct"/>
            <w:vMerge/>
            <w:noWrap/>
            <w:vAlign w:val="center"/>
          </w:tcPr>
          <w:p w14:paraId="0C7DF546" w14:textId="77777777" w:rsidR="00BF03AA" w:rsidRPr="00326E55" w:rsidRDefault="00BF03AA">
            <w:pPr>
              <w:jc w:val="center"/>
              <w:rPr>
                <w:rFonts w:ascii="Times New Roman" w:eastAsia="Calibri" w:hAnsi="Times New Roman"/>
                <w:noProof/>
                <w:spacing w:val="-6"/>
                <w:sz w:val="20"/>
                <w:szCs w:val="20"/>
                <w:lang w:val="sk-SK"/>
              </w:rPr>
            </w:pPr>
          </w:p>
        </w:tc>
        <w:tc>
          <w:tcPr>
            <w:tcW w:w="331" w:type="pct"/>
            <w:shd w:val="clear" w:color="auto" w:fill="BDD7EE"/>
            <w:noWrap/>
            <w:vAlign w:val="center"/>
          </w:tcPr>
          <w:p w14:paraId="57373DD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332" w:type="pct"/>
            <w:shd w:val="clear" w:color="auto" w:fill="BDD7EE"/>
            <w:noWrap/>
            <w:vAlign w:val="center"/>
          </w:tcPr>
          <w:p w14:paraId="7D4B6E63"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424" w:type="pct"/>
            <w:shd w:val="clear" w:color="auto" w:fill="BDD7EE"/>
            <w:noWrap/>
            <w:vAlign w:val="center"/>
          </w:tcPr>
          <w:p w14:paraId="51D6C8A5"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332" w:type="pct"/>
            <w:shd w:val="clear" w:color="auto" w:fill="BDD7EE"/>
            <w:noWrap/>
            <w:vAlign w:val="center"/>
          </w:tcPr>
          <w:p w14:paraId="37DC455F"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220" w:type="pct"/>
            <w:shd w:val="clear" w:color="auto" w:fill="BDD7EE"/>
            <w:noWrap/>
            <w:vAlign w:val="center"/>
          </w:tcPr>
          <w:p w14:paraId="185E28C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1046" w:type="pct"/>
            <w:vMerge/>
            <w:noWrap/>
            <w:vAlign w:val="center"/>
          </w:tcPr>
          <w:p w14:paraId="6F4F16E8" w14:textId="77777777" w:rsidR="00BF03AA" w:rsidRPr="00326E55" w:rsidRDefault="00BF03AA">
            <w:pPr>
              <w:jc w:val="center"/>
              <w:rPr>
                <w:rFonts w:ascii="Times New Roman" w:eastAsia="Calibri" w:hAnsi="Times New Roman"/>
                <w:noProof/>
                <w:color w:val="006100"/>
                <w:spacing w:val="-6"/>
                <w:sz w:val="20"/>
                <w:szCs w:val="20"/>
                <w:lang w:val="sk-SK"/>
              </w:rPr>
            </w:pPr>
          </w:p>
        </w:tc>
      </w:tr>
      <w:tr w:rsidR="00BF03AA" w:rsidRPr="00326E55" w14:paraId="655A0098"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9A443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9bis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D37A12F" w14:textId="0FFAE26E"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4.1 Centrum digitálneho 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2F728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4A430B" w14:textId="18E12FC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Registrácia prevádzkovateľov cestovného ruchu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centre digitálneho cestovného ruchu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službám, ktoré centrum poskytuje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0FAE33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EAEC1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66F78D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20 000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7C4F3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35 000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4F89D4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B720A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52C185B" w14:textId="2FD2665D"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V centre sa zaregistruje najmenej 35000 prevádzkovateľov cestovného ruchu (čo môže okrem iného zahŕňať hotel, cestovnú kanceláriu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firmy vymedzené kódmi ATECO 55.00.00; 5</w:t>
            </w:r>
            <w:r w:rsidRPr="00326E55">
              <w:rPr>
                <w:rFonts w:ascii="Times New Roman" w:hAnsi="Times New Roman"/>
                <w:noProof/>
                <w:spacing w:val="-6"/>
                <w:lang w:val="sk-SK"/>
              </w:rPr>
              <w:t>6.00.00; 79.00.00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iné štruktúry patriace do sektora)</w:t>
            </w:r>
            <w:r w:rsidR="00326E55" w:rsidRPr="00326E55">
              <w:rPr>
                <w:rFonts w:ascii="Times New Roman" w:hAnsi="Times New Roman"/>
                <w:noProof/>
                <w:spacing w:val="-6"/>
                <w:lang w:val="sk-SK"/>
              </w:rPr>
              <w:t>.</w:t>
            </w:r>
          </w:p>
          <w:p w14:paraId="005EE1C9" w14:textId="6A79752C"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Prevádzkovateľom cestovného ruchu registrovaným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centre digitálneho cestovného ruchu sa sprístupnia tieto služby</w:t>
            </w:r>
            <w:r w:rsidR="00326E55" w:rsidRPr="00326E55">
              <w:rPr>
                <w:rFonts w:ascii="Times New Roman" w:hAnsi="Times New Roman"/>
                <w:noProof/>
                <w:spacing w:val="-6"/>
                <w:lang w:val="sk-SK"/>
              </w:rPr>
              <w:t>:</w:t>
            </w:r>
          </w:p>
          <w:p w14:paraId="782E52D5" w14:textId="00C0D2AD" w:rsidR="00326E55" w:rsidRPr="00326E55" w:rsidRDefault="00FB452D">
            <w:pPr>
              <w:pStyle w:val="P68B1DB1-ListParagraph23"/>
              <w:numPr>
                <w:ilvl w:val="0"/>
                <w:numId w:val="76"/>
              </w:numPr>
              <w:spacing w:line="278" w:lineRule="auto"/>
              <w:rPr>
                <w:rFonts w:ascii="Times New Roman" w:hAnsi="Times New Roman"/>
                <w:noProof/>
                <w:spacing w:val="-6"/>
                <w:lang w:val="sk-SK"/>
              </w:rPr>
            </w:pPr>
            <w:r w:rsidRPr="00326E55">
              <w:rPr>
                <w:rFonts w:ascii="Times New Roman" w:hAnsi="Times New Roman"/>
                <w:noProof/>
                <w:spacing w:val="-6"/>
                <w:lang w:val="sk-SK"/>
              </w:rPr>
              <w:t>Komunikačné služby pre prevádzkovateľov cestovného ruchu, aby mohli navrhnúť svoju po</w:t>
            </w:r>
            <w:r w:rsidRPr="00326E55">
              <w:rPr>
                <w:rFonts w:ascii="Times New Roman" w:hAnsi="Times New Roman"/>
                <w:noProof/>
                <w:spacing w:val="-6"/>
                <w:lang w:val="sk-SK"/>
              </w:rPr>
              <w:t>nuku</w:t>
            </w:r>
            <w:r w:rsidR="00326E55" w:rsidRPr="00326E55">
              <w:rPr>
                <w:rFonts w:ascii="Times New Roman" w:hAnsi="Times New Roman"/>
                <w:noProof/>
                <w:spacing w:val="-6"/>
                <w:lang w:val="sk-SK"/>
              </w:rPr>
              <w:t>;</w:t>
            </w:r>
          </w:p>
          <w:p w14:paraId="1182A93B" w14:textId="68A34D64" w:rsidR="00326E55" w:rsidRPr="00326E55" w:rsidRDefault="00FB452D">
            <w:pPr>
              <w:pStyle w:val="P68B1DB1-ListParagraph15"/>
              <w:numPr>
                <w:ilvl w:val="0"/>
                <w:numId w:val="76"/>
              </w:numPr>
              <w:spacing w:line="278" w:lineRule="auto"/>
              <w:rPr>
                <w:rFonts w:ascii="Times New Roman" w:hAnsi="Times New Roman"/>
                <w:noProof/>
                <w:spacing w:val="-6"/>
                <w:lang w:val="sk-SK"/>
              </w:rPr>
            </w:pPr>
            <w:r w:rsidRPr="00326E55">
              <w:rPr>
                <w:rFonts w:ascii="Times New Roman" w:hAnsi="Times New Roman"/>
                <w:noProof/>
                <w:spacing w:val="-6"/>
                <w:lang w:val="sk-SK"/>
              </w:rPr>
              <w:t>Nástroje na analýzu údajov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prediktívne modely na podporu rozhodovania založeného na údajoch</w:t>
            </w:r>
            <w:r w:rsidR="00326E55" w:rsidRPr="00326E55">
              <w:rPr>
                <w:rFonts w:ascii="Times New Roman" w:hAnsi="Times New Roman"/>
                <w:noProof/>
                <w:spacing w:val="-6"/>
                <w:lang w:val="sk-SK"/>
              </w:rPr>
              <w:t>;</w:t>
            </w:r>
          </w:p>
          <w:p w14:paraId="758C44C4" w14:textId="43B37762" w:rsidR="00326E55" w:rsidRPr="00326E55" w:rsidRDefault="00FB452D">
            <w:pPr>
              <w:pStyle w:val="P68B1DB1-ListParagraph23"/>
              <w:numPr>
                <w:ilvl w:val="0"/>
                <w:numId w:val="76"/>
              </w:numPr>
              <w:spacing w:line="278" w:lineRule="auto"/>
              <w:rPr>
                <w:rFonts w:ascii="Times New Roman" w:hAnsi="Times New Roman"/>
                <w:noProof/>
                <w:spacing w:val="-6"/>
                <w:lang w:val="sk-SK"/>
              </w:rPr>
            </w:pPr>
            <w:r w:rsidRPr="00326E55">
              <w:rPr>
                <w:rFonts w:ascii="Times New Roman" w:hAnsi="Times New Roman"/>
                <w:noProof/>
                <w:spacing w:val="-6"/>
                <w:lang w:val="sk-SK"/>
              </w:rPr>
              <w:t>Odborná príprava zameraná na zvyšovanie úrovne zručností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rekvalifikáciu</w:t>
            </w:r>
            <w:r w:rsidR="00326E55" w:rsidRPr="00326E55">
              <w:rPr>
                <w:rFonts w:ascii="Times New Roman" w:hAnsi="Times New Roman"/>
                <w:noProof/>
                <w:spacing w:val="-6"/>
                <w:lang w:val="sk-SK"/>
              </w:rPr>
              <w:t>;</w:t>
            </w:r>
          </w:p>
          <w:p w14:paraId="63DB0BA1" w14:textId="6677FB06" w:rsidR="00BF03AA" w:rsidRPr="00326E55" w:rsidRDefault="00FB452D">
            <w:pPr>
              <w:pStyle w:val="P68B1DB1-ListParagraph13"/>
              <w:numPr>
                <w:ilvl w:val="0"/>
                <w:numId w:val="76"/>
              </w:numPr>
              <w:spacing w:line="278" w:lineRule="auto"/>
              <w:rPr>
                <w:rFonts w:ascii="Times New Roman" w:hAnsi="Times New Roman"/>
                <w:noProof/>
                <w:spacing w:val="-6"/>
                <w:lang w:val="sk-SK"/>
              </w:rPr>
            </w:pPr>
            <w:r w:rsidRPr="00326E55">
              <w:rPr>
                <w:rFonts w:ascii="Times New Roman" w:hAnsi="Times New Roman"/>
                <w:noProof/>
                <w:spacing w:val="-6"/>
                <w:lang w:val="sk-SK"/>
              </w:rPr>
              <w:t>Služby pre MSP pôsobiace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cestovnom ruchu na podporu inovácií.</w:t>
            </w:r>
          </w:p>
        </w:tc>
      </w:tr>
      <w:tr w:rsidR="00BF03AA" w:rsidRPr="00326E55" w14:paraId="1DA0EB9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D5B0A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12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E6733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2.1 – Atraktívnosť malých historických miest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BDF1DE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98B4311" w14:textId="4CC3A2C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vyhlášky ministerstva kultúry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prideľovaní zdrojov obciam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atraktívnosti malých historických miest</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E98D1B1" w14:textId="4E49D88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účinnosti vyhlášky </w:t>
            </w:r>
            <w:r w:rsidRPr="00326E55">
              <w:rPr>
                <w:rFonts w:ascii="Times New Roman" w:hAnsi="Times New Roman"/>
                <w:noProof/>
                <w:spacing w:val="-6"/>
                <w:lang w:val="sk-SK"/>
              </w:rPr>
              <w:t>ministerstva kultúry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prideľovaní zdrojov obciam na príťažlivosť malých historických miest</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B1706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D3312F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B6C44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8840B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D2864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926AF0"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Vyhláška ministerstva kultúry prideľuje obciam zdroje na príťažlivosť malých historických miest.</w:t>
            </w:r>
          </w:p>
          <w:p w14:paraId="091D3F79"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Obce zapojené do </w:t>
            </w:r>
            <w:r w:rsidRPr="00326E55">
              <w:rPr>
                <w:rFonts w:ascii="Times New Roman" w:hAnsi="Times New Roman"/>
                <w:noProof/>
                <w:spacing w:val="-6"/>
                <w:lang w:val="sk-SK"/>
              </w:rPr>
              <w:t>zvyšovania atraktívnosti malých historických miest sa odvolávajú na 250 obcí/obcí, ktoré predložili ministerstvu kultúry intervenčné programy.</w:t>
            </w:r>
          </w:p>
          <w:p w14:paraId="4218C6F8" w14:textId="453975F4" w:rsidR="00BF03AA" w:rsidRPr="00326E55" w:rsidRDefault="00FB452D">
            <w:pPr>
              <w:pStyle w:val="P68B1DB1-Normal44"/>
              <w:rPr>
                <w:rFonts w:ascii="Times New Roman" w:hAnsi="Times New Roman"/>
                <w:noProof/>
                <w:spacing w:val="-6"/>
                <w:szCs w:val="20"/>
                <w:lang w:val="sk-SK"/>
              </w:rPr>
            </w:pPr>
            <w:r w:rsidRPr="00326E55">
              <w:rPr>
                <w:rFonts w:ascii="Times New Roman" w:hAnsi="Times New Roman"/>
                <w:noProof/>
                <w:spacing w:val="-6"/>
                <w:lang w:val="sk-SK"/>
              </w:rPr>
              <w:t>Kritériá výberu 250 dedín (Inv. 2.1) spoločne využívajú MiC, regióny, ANCI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vnútorné oblasti, ktoré predbežne ur</w:t>
            </w:r>
            <w:r w:rsidRPr="00326E55">
              <w:rPr>
                <w:rFonts w:ascii="Times New Roman" w:hAnsi="Times New Roman"/>
                <w:noProof/>
                <w:spacing w:val="-6"/>
                <w:lang w:val="sk-SK"/>
              </w:rPr>
              <w:t>čia územné oblasti oprávnené na (Inv2.1)</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dôvodu komplementárnosti medzi rôznymi programami. Potom sa výber dedín uskutoční na základe a) územných, hospodárskych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sociálnych kritérií (štatistické ukazovatele), b) schopnosti projektu ovplyvniť atraktívnos</w:t>
            </w:r>
            <w:r w:rsidRPr="00326E55">
              <w:rPr>
                <w:rFonts w:ascii="Times New Roman" w:hAnsi="Times New Roman"/>
                <w:noProof/>
                <w:spacing w:val="-6"/>
                <w:lang w:val="sk-SK"/>
              </w:rPr>
              <w:t>ť cestovného ruchu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zvýšiť účasť na kultúrnom živote. Zohľadňujú sa tieto štatistické ukazovatele: demografická veľkosť (obce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pop. &amp; 5000 obyvateľov)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trend; turistické toky, návštevníci múzeí; konzistentnosť ponuky cestovného ruchu (hotely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iné hotel</w:t>
            </w:r>
            <w:r w:rsidRPr="00326E55">
              <w:rPr>
                <w:rFonts w:ascii="Times New Roman" w:hAnsi="Times New Roman"/>
                <w:noProof/>
                <w:spacing w:val="-6"/>
                <w:lang w:val="sk-SK"/>
              </w:rPr>
              <w:t>y, B &amp; B, izby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nájomné ubytovanie); demografický trend obce; miera účasti obyvateľstva na kultúrnom živote; konzistentnosť kultúrnych, kreatívnych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turistických podnikov (ziskových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neziskových)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súvisiacich zamestnancov.</w:t>
            </w:r>
          </w:p>
          <w:p w14:paraId="0AEBB302" w14:textId="74F4F5B3"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Zadávanie zákaziek na projekt</w:t>
            </w:r>
            <w:r w:rsidRPr="00326E55">
              <w:rPr>
                <w:rFonts w:ascii="Times New Roman" w:hAnsi="Times New Roman"/>
                <w:noProof/>
                <w:spacing w:val="-6"/>
                <w:lang w:val="sk-SK"/>
              </w:rPr>
              <w: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 zahŕňa</w:t>
            </w:r>
            <w:r w:rsidR="00326E55" w:rsidRPr="00326E55">
              <w:rPr>
                <w:rFonts w:ascii="Times New Roman" w:hAnsi="Times New Roman"/>
                <w:noProof/>
                <w:spacing w:val="-6"/>
                <w:lang w:val="sk-SK"/>
              </w:rPr>
              <w:t>:</w:t>
            </w:r>
          </w:p>
          <w:p w14:paraId="5B44A291" w14:textId="52630D72"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a) kritériá oprávnenosti, ktorými sa zabezpečuje, aby vybrané projekty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w:t>
            </w:r>
            <w:r w:rsidRPr="00326E55">
              <w:rPr>
                <w:rFonts w:ascii="Times New Roman" w:hAnsi="Times New Roman"/>
                <w:noProof/>
                <w:spacing w:val="-6"/>
                <w:lang w:val="sk-SK"/>
              </w:rPr>
              <w:t>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r w:rsidR="00326E55" w:rsidRPr="00326E55">
              <w:rPr>
                <w:rFonts w:ascii="Times New Roman" w:hAnsi="Times New Roman"/>
                <w:noProof/>
                <w:spacing w:val="-6"/>
                <w:lang w:val="sk-SK"/>
              </w:rPr>
              <w:t>.</w:t>
            </w:r>
          </w:p>
          <w:p w14:paraId="4FB77AFD" w14:textId="41910C24"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b) záväzok, že príspevok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podľa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w:t>
            </w:r>
            <w:r w:rsidRPr="00326E55">
              <w:rPr>
                <w:rFonts w:ascii="Times New Roman" w:hAnsi="Times New Roman"/>
                <w:noProof/>
                <w:spacing w:val="-6"/>
                <w:lang w:val="sk-SK"/>
              </w:rPr>
              <w:t>241 musí predstavovať aspoň 25</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investície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w:t>
            </w:r>
          </w:p>
          <w:p w14:paraId="3BFABFE8" w14:textId="6000873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C) záväzok podávať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vykonávaní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polovici trvania schémy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ukončení schémy.</w:t>
            </w:r>
          </w:p>
        </w:tc>
      </w:tr>
      <w:tr w:rsidR="00BF03AA" w:rsidRPr="00326E55" w14:paraId="6C49B51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17BD9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13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429A98" w14:textId="0C461FF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2.2 – Ochrana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vidieckej architektúry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krajiny</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1318F0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FA9C08D" w14:textId="2A28BA2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vyhlášky ministerstva kultúry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prideľovaní zdrojov na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vidieckej architektúry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krajiny</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6AF92B" w14:textId="47166BF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účinnosti vyhlášky ministerstva kultúry </w:t>
            </w:r>
            <w:r w:rsidRPr="00326E55">
              <w:rPr>
                <w:rFonts w:ascii="Times New Roman" w:hAnsi="Times New Roman"/>
                <w:noProof/>
                <w:spacing w:val="-6"/>
                <w:lang w:val="sk-SK"/>
              </w:rPr>
              <w:t>(MIC)</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prideľovaní prostriedkov na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vidieckej architektúry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krajiny</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E5C0A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1DE02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F2D053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2D1E8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6F86F2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39E694" w14:textId="5E8FF819"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Vyhláška ministerstva kultúry prideľuje prostriedky na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vidieckej architektúry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krajiny</w:t>
            </w:r>
            <w:r w:rsidR="00326E55" w:rsidRPr="00326E55">
              <w:rPr>
                <w:rFonts w:ascii="Times New Roman" w:hAnsi="Times New Roman"/>
                <w:noProof/>
                <w:spacing w:val="-6"/>
                <w:lang w:val="sk-SK"/>
              </w:rPr>
              <w:t>.</w:t>
            </w:r>
          </w:p>
          <w:p w14:paraId="565C67DB" w14:textId="1CFF511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Na ochra</w:t>
            </w:r>
            <w:r w:rsidRPr="00326E55">
              <w:rPr>
                <w:rFonts w:ascii="Times New Roman" w:hAnsi="Times New Roman"/>
                <w:noProof/>
                <w:spacing w:val="-6"/>
                <w:lang w:val="sk-SK"/>
              </w:rPr>
              <w:t>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vidieckej architektúry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krajiny (Inv 2.2) sa pri výbere aktív, ktoré sa majú získať späť, uprednostňuje schopnosť investície vytvárať účinky na ciele ochrany hodnôt krajiny. Prednosť má:</w:t>
            </w:r>
          </w:p>
          <w:p w14:paraId="32091008" w14:textId="6146D79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na aktíva nachádzajúce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územných oblastiach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w:t>
            </w:r>
            <w:r w:rsidRPr="00326E55">
              <w:rPr>
                <w:rFonts w:ascii="Times New Roman" w:hAnsi="Times New Roman"/>
                <w:noProof/>
                <w:spacing w:val="-6"/>
                <w:lang w:val="sk-SK"/>
              </w:rPr>
              <w:t>ysokou hodnotou krajiny (aktíva nachádzajúce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oblastiach záujmu krajiny alebo významného verejného záujmu (články 142 – 139 DLgs 42/2004), na krajinu, ktorá podlieha uznaniu UNESCO, FAO GIAHS;</w:t>
            </w:r>
          </w:p>
          <w:p w14:paraId="20B8C3B9" w14:textId="13880CE0"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na aktíva, ktoré sú už</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dispozícii na verejné použitie a</w:t>
            </w:r>
            <w:r w:rsidRPr="00326E55">
              <w:rPr>
                <w:rFonts w:ascii="Times New Roman" w:hAnsi="Times New Roman"/>
                <w:noProof/>
                <w:spacing w:val="-6"/>
                <w:lang w:val="sk-SK"/>
              </w:rPr>
              <w:t>lebo ktoré vlastník súhlasí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tým, že budú prístupné,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miestnych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integrovaných obvodov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sietí;</w:t>
            </w:r>
          </w:p>
          <w:p w14:paraId="6B394840"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na „oblastné projekty“ prezentované podľa súhrnných tém, ktoré sú schopné účinnejšie zabezpečiť dosiahnutie cieľov obnovy krajiny;</w:t>
            </w:r>
          </w:p>
          <w:p w14:paraId="0F95BA5C" w14:textId="65A51AD8"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projekty</w:t>
            </w:r>
            <w:r w:rsidRPr="00326E55">
              <w:rPr>
                <w:rFonts w:ascii="Times New Roman" w:hAnsi="Times New Roman"/>
                <w:noProof/>
                <w:spacing w:val="-6"/>
                <w:lang w:val="sk-SK"/>
              </w:rPr>
              <w:t xml:space="preserve"> umiestnené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oblastiach, ktoré posilňujú integráciu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synergie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ostatnými kandidátmi na PNRR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inými plánmi/projektmi územnej povahy podporovanými národným programovaním (ministerstvo kultúry).</w:t>
            </w:r>
          </w:p>
          <w:p w14:paraId="7E1B1FAE" w14:textId="6580A49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Na účely vymedzenia typov vidieckej architektúry, ktoré sú p</w:t>
            </w:r>
            <w:r w:rsidRPr="00326E55">
              <w:rPr>
                <w:rFonts w:ascii="Times New Roman" w:hAnsi="Times New Roman"/>
                <w:noProof/>
                <w:spacing w:val="-6"/>
                <w:lang w:val="sk-SK"/>
              </w:rPr>
              <w:t>redmetom intervencie, môže vychádzať vyhláška MiBAC zo 6</w:t>
            </w:r>
            <w:r w:rsidR="00326E55" w:rsidRPr="00326E55">
              <w:rPr>
                <w:rFonts w:ascii="Times New Roman" w:hAnsi="Times New Roman"/>
                <w:noProof/>
                <w:spacing w:val="-6"/>
                <w:lang w:val="sk-SK"/>
              </w:rPr>
              <w:t>. októbra</w:t>
            </w:r>
            <w:r w:rsidRPr="00326E55">
              <w:rPr>
                <w:rFonts w:ascii="Times New Roman" w:hAnsi="Times New Roman"/>
                <w:noProof/>
                <w:spacing w:val="-6"/>
                <w:lang w:val="sk-SK"/>
              </w:rPr>
              <w:t xml:space="preserve"> 2005 (pri vykonávaní 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378</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24</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2003 – ochrana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zlepšenie vidieckej architektúry). Predbežne sa kritériá môžu týkať: stav ochrany majetku, úroveň využívania, úloha, ktorú </w:t>
            </w:r>
            <w:r w:rsidRPr="00326E55">
              <w:rPr>
                <w:rFonts w:ascii="Times New Roman" w:hAnsi="Times New Roman"/>
                <w:noProof/>
                <w:spacing w:val="-6"/>
                <w:lang w:val="sk-SK"/>
              </w:rPr>
              <w:t>tieto aktíva zohrávajú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územnom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mestskom kontexte.</w:t>
            </w:r>
          </w:p>
          <w:p w14:paraId="719B4241" w14:textId="69AEF81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Zadávanie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w:t>
            </w:r>
            <w:r w:rsidRPr="00326E55">
              <w:rPr>
                <w:rFonts w:ascii="Times New Roman" w:hAnsi="Times New Roman"/>
                <w:noProof/>
                <w:spacing w:val="-6"/>
                <w:lang w:val="sk-SK"/>
              </w:rPr>
              <w:t>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0356F0BB"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2B6235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14</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07628DB" w14:textId="363AAF1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2.3 – Programy na posilnenie identity miest,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historických záhrad</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0A1D2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0CE824" w14:textId="4E1F116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vyhlášky ministerstva kultúry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prideľovaní zdrojov: na projekty na posilnenie identity miest,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historických záhrad</w:t>
            </w:r>
          </w:p>
          <w:p w14:paraId="1D3267E6" w14:textId="77777777" w:rsidR="00BF03AA" w:rsidRPr="00326E55" w:rsidRDefault="00BF03AA">
            <w:pPr>
              <w:jc w:val="center"/>
              <w:rPr>
                <w:rFonts w:ascii="Times New Roman" w:hAnsi="Times New Roman"/>
                <w:noProof/>
                <w:color w:val="006100"/>
                <w:spacing w:val="-6"/>
                <w:sz w:val="20"/>
                <w:szCs w:val="20"/>
                <w:lang w:val="sk-SK"/>
              </w:rPr>
            </w:pP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C8AC96" w14:textId="4446057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vyhlášky ministerstva kultúry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pridelení prostriedkov na </w:t>
            </w:r>
            <w:r w:rsidRPr="00326E55">
              <w:rPr>
                <w:rFonts w:ascii="Times New Roman" w:hAnsi="Times New Roman"/>
                <w:noProof/>
                <w:spacing w:val="-6"/>
                <w:lang w:val="sk-SK"/>
              </w:rPr>
              <w:t>projekty na posilnenie identity miest,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historických záhrad</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A91BBA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3D8C23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DA0B6F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996FD0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076392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27C7DAB" w14:textId="62F7CF93"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Vyhláška ministerstva kultúry prideľuje zdroje zodpovedným správam na projekty na zlepšenie identity miest,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historických záhrad.</w:t>
            </w:r>
          </w:p>
          <w:p w14:paraId="4CEDC86F" w14:textId="2E9769F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Historické parky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záhrady (Inv. Pod podmienkou intervencie sú výlučne chránené kultúrne statky, pre ktoré bol deklarovaný umelecký alebo historický záujem. Môžu patriť štátnemu ministerstvu kultúry, ako aj neštátnym aktívam. Výber sa uskutoční na základe </w:t>
            </w:r>
            <w:r w:rsidRPr="00326E55">
              <w:rPr>
                <w:rFonts w:ascii="Times New Roman" w:hAnsi="Times New Roman"/>
                <w:noProof/>
                <w:spacing w:val="-6"/>
                <w:lang w:val="sk-SK"/>
              </w:rPr>
              <w:t>kritérií, ktoré vymedzí technicko-vedecká koordinačná skupina zložená zo zástupcov MiC, univerzity, ANCI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odvetvových združení.</w:t>
            </w:r>
          </w:p>
          <w:p w14:paraId="592F36D2" w14:textId="5F148BC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Zadávanie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w:t>
            </w:r>
            <w:r w:rsidRPr="00326E55">
              <w:rPr>
                <w:rFonts w:ascii="Times New Roman" w:hAnsi="Times New Roman"/>
                <w:noProof/>
                <w:spacing w:val="-6"/>
                <w:lang w:val="sk-SK"/>
              </w:rPr>
              <w:t>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70D4F0EC"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5DF2A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15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431C2E8" w14:textId="05BE417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2.4 – </w:t>
            </w:r>
            <w:r w:rsidRPr="00326E55">
              <w:rPr>
                <w:rFonts w:ascii="Times New Roman" w:hAnsi="Times New Roman"/>
                <w:noProof/>
                <w:spacing w:val="-6"/>
                <w:lang w:val="sk-SK"/>
              </w:rPr>
              <w:t>Seizmická bezpečnosť miesta bohoslužieb, obnova dedičstva KES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útulkov pre umelecké diela</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40F35D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7D096CF" w14:textId="6299D41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vyhlášky ministerstva kultúry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prideľovaní zdrojov na seizmickú bezpečnosť namiesto bohoslužieb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obnovy dedičstva FEC (Fondo Edifici </w:t>
            </w:r>
            <w:r w:rsidRPr="00326E55">
              <w:rPr>
                <w:rFonts w:ascii="Times New Roman" w:hAnsi="Times New Roman"/>
                <w:noProof/>
                <w:spacing w:val="-6"/>
                <w:lang w:val="sk-SK"/>
              </w:rPr>
              <w:t>di Culto)</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297680" w14:textId="5C07675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vyhlášky ministerstva kultúry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pridelení zdrojov na seizmickú bezpečnosť namiesto bohoslužieb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obnovy dedičstva FEC (Fondo Edifici di Culto)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B3CF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2E909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56DE36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BA75A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3409C8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1A07C9" w14:textId="08BF245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Vo </w:t>
            </w:r>
            <w:r w:rsidRPr="00326E55">
              <w:rPr>
                <w:rFonts w:ascii="Times New Roman" w:hAnsi="Times New Roman"/>
                <w:noProof/>
                <w:spacing w:val="-6"/>
                <w:lang w:val="sk-SK"/>
              </w:rPr>
              <w:t>vyhláške ministerstva kultúry sa určí vykonávací subjekt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oprávnenosť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financovanie budov, na ktoré sa vzťahujú intervencie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typológia.</w:t>
            </w:r>
          </w:p>
          <w:p w14:paraId="6FA992EB" w14:textId="6643C128"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(INV 2.4) Seizmická prevencia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bezpečnostné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bohoslužobných miestach sa týkajú oblastí postihnutých viace</w:t>
            </w:r>
            <w:r w:rsidRPr="00326E55">
              <w:rPr>
                <w:rFonts w:ascii="Times New Roman" w:hAnsi="Times New Roman"/>
                <w:noProof/>
                <w:spacing w:val="-6"/>
                <w:lang w:val="sk-SK"/>
              </w:rPr>
              <w:t>rými zemetraseniami, ktoré zasiahli talianske regióny od roku 2009 (Abruzzo, Lazio, Marche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Umbria).</w:t>
            </w:r>
          </w:p>
          <w:p w14:paraId="57763210"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Intervencie FEC (Fondo Edifici di Culto) sa vyberajú na základe stavu zachovania majetku kultúrneho dedičstva FEC (Fondo Edifici di Culto).</w:t>
            </w:r>
          </w:p>
          <w:p w14:paraId="6C6B70D8" w14:textId="449B8DE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Zadávanie záka</w:t>
            </w:r>
            <w:r w:rsidRPr="00326E55">
              <w:rPr>
                <w:rFonts w:ascii="Times New Roman" w:hAnsi="Times New Roman"/>
                <w:noProof/>
                <w:spacing w:val="-6"/>
                <w:lang w:val="sk-SK"/>
              </w:rPr>
              <w:t>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w:t>
            </w:r>
            <w:r w:rsidRPr="00326E55">
              <w:rPr>
                <w:rFonts w:ascii="Times New Roman" w:hAnsi="Times New Roman"/>
                <w:noProof/>
                <w:spacing w:val="-6"/>
                <w:lang w:val="sk-SK"/>
              </w:rPr>
              <w:t>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06926804" w14:textId="77777777">
        <w:trPr>
          <w:trHeight w:val="313"/>
          <w:jc w:val="center"/>
        </w:trPr>
        <w:tc>
          <w:tcPr>
            <w:tcW w:w="377" w:type="pct"/>
            <w:shd w:val="clear" w:color="auto" w:fill="C6EFCE"/>
            <w:noWrap/>
            <w:vAlign w:val="center"/>
            <w:hideMark/>
          </w:tcPr>
          <w:p w14:paraId="342B81A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16</w:t>
            </w:r>
          </w:p>
        </w:tc>
        <w:tc>
          <w:tcPr>
            <w:tcW w:w="520" w:type="pct"/>
            <w:shd w:val="clear" w:color="auto" w:fill="C6EFCE"/>
            <w:noWrap/>
            <w:vAlign w:val="center"/>
          </w:tcPr>
          <w:p w14:paraId="0419972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 2.1 Atraktívnosť malých historických miest</w:t>
            </w:r>
          </w:p>
        </w:tc>
        <w:tc>
          <w:tcPr>
            <w:tcW w:w="378" w:type="pct"/>
            <w:shd w:val="clear" w:color="auto" w:fill="C6EFCE"/>
            <w:noWrap/>
            <w:vAlign w:val="center"/>
            <w:hideMark/>
          </w:tcPr>
          <w:p w14:paraId="64C8381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shd w:val="clear" w:color="auto" w:fill="C6EFCE"/>
            <w:noWrap/>
            <w:vAlign w:val="center"/>
          </w:tcPr>
          <w:p w14:paraId="701D89EC" w14:textId="7938010C"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Prijatie dekrétu (vyhlášok)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kótovaní firiem, ktorým bola poskytnutá podpora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malých </w:t>
            </w:r>
            <w:r w:rsidRPr="00326E55">
              <w:rPr>
                <w:rFonts w:ascii="Times New Roman" w:hAnsi="Times New Roman"/>
                <w:noProof/>
                <w:spacing w:val="-6"/>
                <w:lang w:val="sk-SK"/>
              </w:rPr>
              <w:t>historických mestách</w:t>
            </w:r>
          </w:p>
        </w:tc>
        <w:tc>
          <w:tcPr>
            <w:tcW w:w="520" w:type="pct"/>
            <w:shd w:val="clear" w:color="auto" w:fill="C6EFCE"/>
            <w:noWrap/>
            <w:vAlign w:val="center"/>
            <w:hideMark/>
          </w:tcPr>
          <w:p w14:paraId="38411753" w14:textId="1DE4135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Prijatie dekrétu (vyhlášok)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kótovaní podporených firiem</w:t>
            </w:r>
          </w:p>
        </w:tc>
        <w:tc>
          <w:tcPr>
            <w:tcW w:w="331" w:type="pct"/>
            <w:shd w:val="clear" w:color="auto" w:fill="C6EFCE"/>
            <w:noWrap/>
            <w:vAlign w:val="center"/>
            <w:hideMark/>
          </w:tcPr>
          <w:p w14:paraId="342896E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shd w:val="clear" w:color="auto" w:fill="C6EFCE"/>
            <w:noWrap/>
            <w:vAlign w:val="center"/>
          </w:tcPr>
          <w:p w14:paraId="14320E4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424" w:type="pct"/>
            <w:shd w:val="clear" w:color="auto" w:fill="C6EFCE"/>
            <w:noWrap/>
            <w:vAlign w:val="center"/>
          </w:tcPr>
          <w:p w14:paraId="5F59DAD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shd w:val="clear" w:color="auto" w:fill="C6EFCE"/>
            <w:noWrap/>
            <w:vAlign w:val="center"/>
            <w:hideMark/>
          </w:tcPr>
          <w:p w14:paraId="152DFE7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shd w:val="clear" w:color="auto" w:fill="C6EFCE"/>
            <w:noWrap/>
            <w:vAlign w:val="center"/>
            <w:hideMark/>
          </w:tcPr>
          <w:p w14:paraId="20870A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1046" w:type="pct"/>
            <w:shd w:val="clear" w:color="auto" w:fill="C6EFCE"/>
            <w:noWrap/>
            <w:vAlign w:val="center"/>
            <w:hideMark/>
          </w:tcPr>
          <w:p w14:paraId="77B219BD" w14:textId="656C577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szCs w:val="20"/>
                <w:lang w:val="sk-SK"/>
              </w:rPr>
              <w:t>Prijatie dekrétu (vyhlášok)</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zozname najmenej 1800 firiem, ktorým bola poskytnutá podpora</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malých historických mestách.</w:t>
            </w:r>
          </w:p>
        </w:tc>
      </w:tr>
      <w:tr w:rsidR="00BF03AA" w:rsidRPr="00326E55" w14:paraId="19ADE278"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AD1AC6" w14:textId="77777777" w:rsidR="00BF03AA" w:rsidRPr="00326E55" w:rsidRDefault="00FB452D">
            <w:pPr>
              <w:pStyle w:val="P68B1DB1-Normal11"/>
              <w:jc w:val="center"/>
              <w:rPr>
                <w:rFonts w:ascii="Times New Roman" w:hAnsi="Times New Roman"/>
                <w:noProof/>
                <w:spacing w:val="-6"/>
                <w:lang w:val="sk-SK"/>
              </w:rPr>
            </w:pPr>
            <w:bookmarkStart w:id="12" w:name="_Hlk212582527"/>
            <w:r w:rsidRPr="00326E55">
              <w:rPr>
                <w:rFonts w:ascii="Times New Roman" w:hAnsi="Times New Roman"/>
                <w:noProof/>
                <w:spacing w:val="-6"/>
                <w:lang w:val="sk-SK"/>
              </w:rPr>
              <w:t>M1C3</w:t>
            </w:r>
            <w:r w:rsidRPr="00326E55">
              <w:rPr>
                <w:rFonts w:ascii="Times New Roman" w:hAnsi="Times New Roman"/>
                <w:noProof/>
                <w:spacing w:val="-6"/>
                <w:lang w:val="sk-SK"/>
              </w:rPr>
              <w:t xml:space="preserve"> – 16bis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0E8F60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 2.1 Atraktívnosť malých historických miest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33F53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8530411" w14:textId="18C2C1B6"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kultúrnej obnovy malých historických miest</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3CFC5C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E3800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6B3FF8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5F06EE" w14:textId="41E5B80D"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3 250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299C27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C6E9C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E9AF4CA" w14:textId="5C76C68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alebo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poskytnutí služieb alebo </w:t>
            </w:r>
            <w:r w:rsidRPr="00326E55">
              <w:rPr>
                <w:rFonts w:ascii="Times New Roman" w:hAnsi="Times New Roman"/>
                <w:noProof/>
                <w:spacing w:val="-6"/>
                <w:lang w:val="sk-SK"/>
              </w:rPr>
              <w:t>dodaní tovaru sa vydávajú najmenej na 3250 zásahov,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 400 podľa línie A.</w:t>
            </w:r>
          </w:p>
        </w:tc>
      </w:tr>
      <w:bookmarkEnd w:id="12"/>
      <w:tr w:rsidR="00BF03AA" w:rsidRPr="00326E55" w14:paraId="16E08C99"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ED5DD7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17</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9D6609" w14:textId="7A89AF4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Investície – 2.2 Ochrana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vidieckej architektúry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krajiny</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60384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5B701B" w14:textId="5989E67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Intervencie na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vidieckej architektúry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krajiny</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E888C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1D3693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7875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62DF4F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3 900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1B91C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B373C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AA7F40" w14:textId="04C71216"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zásahoch na najmenej 3900 aktívach.</w:t>
            </w:r>
          </w:p>
        </w:tc>
      </w:tr>
      <w:tr w:rsidR="00BF03AA" w:rsidRPr="00326E55" w14:paraId="4364A278" w14:textId="77777777">
        <w:trPr>
          <w:trHeight w:val="364"/>
          <w:jc w:val="center"/>
        </w:trPr>
        <w:tc>
          <w:tcPr>
            <w:tcW w:w="377" w:type="pct"/>
            <w:shd w:val="clear" w:color="auto" w:fill="C6EFCE"/>
            <w:noWrap/>
            <w:vAlign w:val="center"/>
            <w:hideMark/>
          </w:tcPr>
          <w:p w14:paraId="3F7E94F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M1C3 – 18</w:t>
            </w:r>
          </w:p>
        </w:tc>
        <w:tc>
          <w:tcPr>
            <w:tcW w:w="520" w:type="pct"/>
            <w:shd w:val="clear" w:color="auto" w:fill="C6EFCE"/>
            <w:noWrap/>
            <w:vAlign w:val="center"/>
            <w:hideMark/>
          </w:tcPr>
          <w:p w14:paraId="762570DD" w14:textId="442F8F60"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2.3 Programy na posilnenie identity miest,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historických záhrad</w:t>
            </w:r>
          </w:p>
        </w:tc>
        <w:tc>
          <w:tcPr>
            <w:tcW w:w="378" w:type="pct"/>
            <w:shd w:val="clear" w:color="auto" w:fill="C6EFCE"/>
            <w:noWrap/>
            <w:vAlign w:val="center"/>
            <w:hideMark/>
          </w:tcPr>
          <w:p w14:paraId="1567C3C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shd w:val="clear" w:color="auto" w:fill="C6EFCE"/>
            <w:noWrap/>
            <w:vAlign w:val="center"/>
            <w:hideMark/>
          </w:tcPr>
          <w:p w14:paraId="48CE5593" w14:textId="588E523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preradených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historických záhrad</w:t>
            </w:r>
          </w:p>
        </w:tc>
        <w:tc>
          <w:tcPr>
            <w:tcW w:w="520" w:type="pct"/>
            <w:shd w:val="clear" w:color="auto" w:fill="C6EFCE"/>
            <w:noWrap/>
            <w:vAlign w:val="center"/>
            <w:hideMark/>
          </w:tcPr>
          <w:p w14:paraId="2EB5CFA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1" w:type="pct"/>
            <w:shd w:val="clear" w:color="auto" w:fill="C6EFCE"/>
            <w:noWrap/>
            <w:vAlign w:val="center"/>
            <w:hideMark/>
          </w:tcPr>
          <w:p w14:paraId="0FEC1F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332" w:type="pct"/>
            <w:shd w:val="clear" w:color="auto" w:fill="C6EFCE"/>
            <w:noWrap/>
            <w:vAlign w:val="center"/>
            <w:hideMark/>
          </w:tcPr>
          <w:p w14:paraId="706FDFF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424" w:type="pct"/>
            <w:shd w:val="clear" w:color="auto" w:fill="C6EFCE"/>
            <w:noWrap/>
            <w:vAlign w:val="center"/>
            <w:hideMark/>
          </w:tcPr>
          <w:p w14:paraId="0EF08B1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100</w:t>
            </w:r>
          </w:p>
        </w:tc>
        <w:tc>
          <w:tcPr>
            <w:tcW w:w="332" w:type="pct"/>
            <w:shd w:val="clear" w:color="auto" w:fill="C6EFCE"/>
            <w:noWrap/>
            <w:vAlign w:val="center"/>
            <w:hideMark/>
          </w:tcPr>
          <w:p w14:paraId="3D156C7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220" w:type="pct"/>
            <w:shd w:val="clear" w:color="auto" w:fill="C6EFCE"/>
            <w:noWrap/>
            <w:vAlign w:val="center"/>
            <w:hideMark/>
          </w:tcPr>
          <w:p w14:paraId="79EDF88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2025</w:t>
            </w:r>
          </w:p>
        </w:tc>
        <w:tc>
          <w:tcPr>
            <w:tcW w:w="1046" w:type="pct"/>
            <w:shd w:val="clear" w:color="auto" w:fill="C6EFCE"/>
            <w:noWrap/>
            <w:vAlign w:val="center"/>
            <w:hideMark/>
          </w:tcPr>
          <w:p w14:paraId="520C7801" w14:textId="0597E283"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rekvalifikáciu najmenej 100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historických záhrad.</w:t>
            </w:r>
          </w:p>
        </w:tc>
      </w:tr>
      <w:tr w:rsidR="00BF03AA" w:rsidRPr="00326E55" w14:paraId="79A9B41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B9A2D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19</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A91CBA" w14:textId="64254C4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 2.4 Seizmická bezpečnosť bohoslužobných miest, obnova FEC (Fondo Edifici di Culto)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útulkov pre </w:t>
            </w:r>
            <w:r w:rsidRPr="00326E55">
              <w:rPr>
                <w:rFonts w:ascii="Times New Roman" w:hAnsi="Times New Roman"/>
                <w:noProof/>
                <w:spacing w:val="-6"/>
                <w:lang w:val="sk-SK"/>
              </w:rPr>
              <w:t>umelecké diela (obnova umenia)</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BFC06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B44BEB4" w14:textId="3B0243F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seizmickej bezpečnosti na bohoslužobných miestach, obnova kultúrneho dedičstva FEC (Fondo Edifici di Culto)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útulkov umeleckých diel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54DB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6EFA7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8C402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85576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77F33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B9B61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6C87FC" w14:textId="0EF60855"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diel sa vydávajú najmenej na 700 zásahov,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 aspoň 3 útulky pre umelecké diela.</w:t>
            </w:r>
          </w:p>
        </w:tc>
      </w:tr>
      <w:tr w:rsidR="00BF03AA" w:rsidRPr="00326E55" w14:paraId="0DA051CB"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6E1B7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20</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2060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3.2: Rozvoj filmového priemyslu (projekt Cinecittà)</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22A7CF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098DBD" w14:textId="4416DB9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Podpísanie zmlúv medzi vykonávajúcim subjektom Cinecittà SPA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spoločnosťami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výstavbou deviatich štúdií</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8F5C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Podpísanie zmlúv</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D700F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4C47B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667FE5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96092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EB09E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5CE455" w14:textId="6391551A"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Podpísanie zmlúv medzi vykonávajúcim subjektom Cinecittà S.p.A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spoločnosťami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výstavbou deviatich štúdií</w:t>
            </w:r>
            <w:r w:rsidR="00326E55" w:rsidRPr="00326E55">
              <w:rPr>
                <w:rFonts w:ascii="Times New Roman" w:hAnsi="Times New Roman"/>
                <w:noProof/>
                <w:spacing w:val="-6"/>
                <w:lang w:val="sk-SK"/>
              </w:rPr>
              <w:t>.</w:t>
            </w:r>
          </w:p>
          <w:p w14:paraId="608D985C" w14:textId="51B15330"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Táto intervencia zahŕňa </w:t>
            </w:r>
            <w:r w:rsidRPr="00326E55">
              <w:rPr>
                <w:rFonts w:ascii="Times New Roman" w:hAnsi="Times New Roman"/>
                <w:noProof/>
                <w:spacing w:val="-6"/>
                <w:lang w:val="sk-SK"/>
              </w:rPr>
              <w:t>výstavbu nových štúdií, obnovu existujúcich štúdií, investície do nových digitálnych technológií, systémov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služieb zameraných na posilnenie filmových štúdií Cinecittà, ktoré spravuje Cinecittà S.p.A.</w:t>
            </w:r>
          </w:p>
          <w:p w14:paraId="331AF676" w14:textId="698ABC8B"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Zmluva medzi vykonávajúcim subjektom Cinecittà S.p.A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spoločnosťami obsahuje kritériá výberu/oprávnenosti pre súlad podporovaných aktív/činností a/alebo spoločností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usmernením týkajúcim sa zásady „výrazne nenarušiť“ (2021/C58/01).</w:t>
            </w:r>
          </w:p>
          <w:p w14:paraId="2C6DDC11" w14:textId="5A3EA915"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Záväzok/cieľ investovať 20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do aktív/činností a/alebo spoločnos</w:t>
            </w:r>
            <w:r w:rsidRPr="00326E55">
              <w:rPr>
                <w:rFonts w:ascii="Times New Roman" w:hAnsi="Times New Roman"/>
                <w:noProof/>
                <w:spacing w:val="-6"/>
                <w:lang w:val="sk-SK"/>
              </w:rPr>
              <w:t>tí spĺňajúcich kritériá výberu digitálneho označovania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70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do výberových kritérií na sledovanie klímy.</w:t>
            </w:r>
          </w:p>
        </w:tc>
      </w:tr>
      <w:tr w:rsidR="00BF03AA" w:rsidRPr="00326E55" w14:paraId="556F0A5D"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6E958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M1C3 – 21</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F6AA85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3.2: Rozvoj filmového priemyslu (projekt Cinecittà)</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C9051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D459D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 vybudovaných alebo obnovených štúdií</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08809F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F40A2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6371CF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B5F078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9</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B15B3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DRUHÝ </w:t>
            </w:r>
            <w:r w:rsidRPr="00326E55">
              <w:rPr>
                <w:rFonts w:ascii="Times New Roman" w:hAnsi="Times New Roman"/>
                <w:noProof/>
                <w:spacing w:val="-6"/>
                <w:lang w:val="sk-SK"/>
              </w:rPr>
              <w:t>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A04AF8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C728D7" w14:textId="5A6A9201" w:rsidR="00326E55" w:rsidRPr="00326E55" w:rsidRDefault="00FB452D">
            <w:pPr>
              <w:pStyle w:val="P68B1DB1-Normal12"/>
              <w:spacing w:line="257" w:lineRule="auto"/>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sa vydávajú na výstavbu alebo renováciu najmenej 9 štúdií</w:t>
            </w:r>
            <w:r w:rsidR="00326E55" w:rsidRPr="00326E55">
              <w:rPr>
                <w:rFonts w:ascii="Times New Roman" w:hAnsi="Times New Roman"/>
                <w:noProof/>
                <w:spacing w:val="-6"/>
                <w:lang w:val="sk-SK"/>
              </w:rPr>
              <w:t>.</w:t>
            </w:r>
          </w:p>
          <w:p w14:paraId="4C2C2AB4" w14:textId="7B3CB1B4" w:rsidR="00BF03AA" w:rsidRPr="00326E55" w:rsidRDefault="00FB452D">
            <w:pPr>
              <w:spacing w:line="257" w:lineRule="auto"/>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Dodanie tovaru, služieb</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prác pre Centrum experimentálnej kinematografie</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týchto riadkoch:</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szCs w:val="20"/>
                <w:lang w:val="sk-SK"/>
              </w:rPr>
              <w:t xml:space="preserve">I) vytvorenie virtuálneho živého súboru; II) platforma </w:t>
            </w:r>
            <w:r w:rsidRPr="00326E55">
              <w:rPr>
                <w:rFonts w:ascii="Times New Roman" w:hAnsi="Times New Roman"/>
                <w:noProof/>
                <w:color w:val="006100"/>
                <w:spacing w:val="-6"/>
                <w:sz w:val="20"/>
                <w:szCs w:val="20"/>
                <w:lang w:val="sk-SK"/>
              </w:rPr>
              <w:t>elektronického vzdelávania pre kinematografiu; III) digitalizácia vzdelávacích</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vyučovacích činností; IV) digitalizácia</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zachovanie audiovizuálneho dedičstva.</w:t>
            </w:r>
          </w:p>
        </w:tc>
      </w:tr>
      <w:tr w:rsidR="00BF03AA" w:rsidRPr="00326E55" w14:paraId="0E69411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ED7CD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22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4DBCD0D" w14:textId="5AE50A7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4.2 Fondy na konkurencieschopnosť podnikov 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56505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D55647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Investičná politika pre:</w:t>
            </w:r>
          </w:p>
          <w:p w14:paraId="6FFAEB0F" w14:textId="1FCF905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tematický fond Európskej investičnej banky;</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8189E8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Prijatie investičnej politiky</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857EA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359751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ED965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AADA78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2FFCB2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A21F927" w14:textId="6E842507" w:rsidR="00BF03AA" w:rsidRPr="00326E55" w:rsidRDefault="00FB452D">
            <w:pPr>
              <w:pStyle w:val="P68B1DB1-Normal12"/>
              <w:spacing w:line="257" w:lineRule="auto"/>
              <w:rPr>
                <w:rFonts w:ascii="Times New Roman" w:hAnsi="Times New Roman"/>
                <w:noProof/>
                <w:spacing w:val="-6"/>
                <w:lang w:val="sk-SK"/>
              </w:rPr>
            </w:pPr>
            <w:r w:rsidRPr="00326E55">
              <w:rPr>
                <w:rFonts w:ascii="Times New Roman" w:hAnsi="Times New Roman"/>
                <w:noProof/>
                <w:spacing w:val="-6"/>
                <w:lang w:val="sk-SK"/>
              </w:rPr>
              <w:t>V investičnej politike sa vymedzuje minimálne: povahu, rozsah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podporované operácie, dotknutých </w:t>
            </w:r>
            <w:r w:rsidRPr="00326E55">
              <w:rPr>
                <w:rFonts w:ascii="Times New Roman" w:hAnsi="Times New Roman"/>
                <w:noProof/>
                <w:spacing w:val="-6"/>
                <w:lang w:val="sk-SK"/>
              </w:rPr>
              <w:t>prijímateľov, kritériá oprávnenosti finančných prijímateľov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ich výber prostredníctvom verejnej výzvy;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ustanovenia na opätovné investovanie potenciálnych spätných tokov do tých istých cieľov politiky.</w:t>
            </w:r>
          </w:p>
          <w:p w14:paraId="1460206B" w14:textId="07890132" w:rsidR="00BF03AA" w:rsidRPr="00326E55" w:rsidRDefault="00FB452D">
            <w:pPr>
              <w:pStyle w:val="P68B1DB1-Normal12"/>
              <w:spacing w:line="257" w:lineRule="auto"/>
              <w:rPr>
                <w:rFonts w:ascii="Times New Roman" w:hAnsi="Times New Roman"/>
                <w:noProof/>
                <w:spacing w:val="-6"/>
                <w:lang w:val="sk-SK"/>
              </w:rPr>
            </w:pPr>
            <w:r w:rsidRPr="00326E55">
              <w:rPr>
                <w:rFonts w:ascii="Times New Roman" w:hAnsi="Times New Roman"/>
                <w:noProof/>
                <w:spacing w:val="-6"/>
                <w:lang w:val="sk-SK"/>
              </w:rPr>
              <w:t>V investičnej politike sa predpokladá, že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fondu</w:t>
            </w:r>
            <w:r w:rsidRPr="00326E55">
              <w:rPr>
                <w:rFonts w:ascii="Times New Roman" w:hAnsi="Times New Roman"/>
                <w:noProof/>
                <w:spacing w:val="-6"/>
                <w:lang w:val="sk-SK"/>
              </w:rPr>
              <w:t xml:space="preserve"> sa vyčlení na opatrenia energetickej efektívnosti.</w:t>
            </w:r>
          </w:p>
          <w:p w14:paraId="46C854C7" w14:textId="526F2E7E" w:rsidR="00BF03AA" w:rsidRPr="00326E55" w:rsidRDefault="00FB452D">
            <w:pPr>
              <w:pStyle w:val="P68B1DB1-Normal12"/>
              <w:spacing w:line="257" w:lineRule="auto"/>
              <w:rPr>
                <w:rFonts w:ascii="Times New Roman" w:hAnsi="Times New Roman"/>
                <w:noProof/>
                <w:spacing w:val="-6"/>
                <w:lang w:val="sk-SK"/>
              </w:rPr>
            </w:pPr>
            <w:r w:rsidRPr="00326E55">
              <w:rPr>
                <w:rFonts w:ascii="Times New Roman" w:hAnsi="Times New Roman"/>
                <w:noProof/>
                <w:spacing w:val="-6"/>
                <w:lang w:val="sk-SK"/>
              </w:rPr>
              <w:t>Investičná politika zahŕňa výberové kritériá na zabezpečenie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podporovaných transakcií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tohto opatrenia prostredníctvom o</w:t>
            </w:r>
            <w:r w:rsidRPr="00326E55">
              <w:rPr>
                <w:rFonts w:ascii="Times New Roman" w:hAnsi="Times New Roman"/>
                <w:noProof/>
                <w:spacing w:val="-6"/>
                <w:lang w:val="sk-SK"/>
              </w:rPr>
              <w:t>verovania udržateľnosti,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121B83F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6F1FCC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23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C7BECDC" w14:textId="450899B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4.2: Fondy pre konkurencieschopnosť podnikov cestovného </w:t>
            </w:r>
            <w:r w:rsidRPr="00326E55">
              <w:rPr>
                <w:rFonts w:ascii="Times New Roman" w:hAnsi="Times New Roman"/>
                <w:noProof/>
                <w:spacing w:val="-6"/>
                <w:lang w:val="sk-SK"/>
              </w:rPr>
              <w:t>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3A8A2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5D349B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Investičná politika pre Národný fond cestovného ruchu,</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5BFF76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Prijatie investičnej politiky</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820E6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6FF1F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9A27B6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65F79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7D914E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496D8C" w14:textId="4AA83839"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Fond je určený na nákup, reštrukturalizáciu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rekvalifikáciu talianskych nehnuteľností na podporu rozvoja </w:t>
            </w:r>
            <w:r w:rsidRPr="00326E55">
              <w:rPr>
                <w:rFonts w:ascii="Times New Roman" w:hAnsi="Times New Roman"/>
                <w:noProof/>
                <w:spacing w:val="-6"/>
                <w:lang w:val="sk-SK"/>
              </w:rPr>
              <w:t>cestovného ruchu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oblastiach najviac postihnutých krízou alebo okrajových oblastiach (pobrežné oblasti, menšie ostrovy, najodľahlejšie regióny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vidiecke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horské oblasti)</w:t>
            </w:r>
            <w:r w:rsidR="00326E55" w:rsidRPr="00326E55">
              <w:rPr>
                <w:rFonts w:ascii="Times New Roman" w:hAnsi="Times New Roman"/>
                <w:noProof/>
                <w:spacing w:val="-6"/>
                <w:lang w:val="sk-SK"/>
              </w:rPr>
              <w:t>.</w:t>
            </w:r>
          </w:p>
          <w:p w14:paraId="556B57FE" w14:textId="1F9A1A81"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Investičná politika zahŕňa výberové kritériá na zabezpečenie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technickými </w:t>
            </w:r>
            <w:r w:rsidRPr="00326E55">
              <w:rPr>
                <w:rFonts w:ascii="Times New Roman" w:hAnsi="Times New Roman"/>
                <w:noProof/>
                <w:spacing w:val="-6"/>
                <w:lang w:val="sk-SK"/>
              </w:rPr>
              <w:t>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podporovaných transakcií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tohto opatrenia prostredníctvom overovania udržateľnosti,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w:t>
            </w:r>
            <w:r w:rsidRPr="00326E55">
              <w:rPr>
                <w:rFonts w:ascii="Times New Roman" w:hAnsi="Times New Roman"/>
                <w:noProof/>
                <w:spacing w:val="-6"/>
                <w:lang w:val="sk-SK"/>
              </w:rPr>
              <w:t>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1292A384"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A35D2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24</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A394548" w14:textId="75FE4C2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4.2 Fondy na konkurencieschopnosť podnikov 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223CA2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20E07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Investičná politika pre: Záručný fond pre MSP,</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F4F914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Prijatie investičnej politiky</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A8455C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DB010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9C2D4D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6CF70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4DB21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B60196" w14:textId="420FA43B"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investičnej politike sa predpokladá, že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fondu sa vyčlení na opatrenia energetickej efektívnosti.</w:t>
            </w:r>
          </w:p>
          <w:p w14:paraId="25679A2E" w14:textId="3129ABD6"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Investičná politika zahŕňa výberové kritériá na zabezpečenie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podporova</w:t>
            </w:r>
            <w:r w:rsidRPr="00326E55">
              <w:rPr>
                <w:rFonts w:ascii="Times New Roman" w:hAnsi="Times New Roman"/>
                <w:noProof/>
                <w:spacing w:val="-6"/>
                <w:lang w:val="sk-SK"/>
              </w:rPr>
              <w:t>ných transakcií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tohto opatrenia prostredníctvom overovania udržateľnosti,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5EE8F5C9"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E97B96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25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B04B9B" w14:textId="5B7A399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w:t>
            </w:r>
            <w:r w:rsidRPr="00326E55">
              <w:rPr>
                <w:rFonts w:ascii="Times New Roman" w:hAnsi="Times New Roman"/>
                <w:noProof/>
                <w:spacing w:val="-6"/>
                <w:lang w:val="sk-SK"/>
              </w:rPr>
              <w:t xml:space="preserve"> 4.2: Fondy pre konkurencieschopnosť podnikov 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51531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ECCA9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Investičná politika pre Fondo Rotativo</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02579D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Prijatie investičnej politiky</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8BF3B2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B4CA35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23944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FC46E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37EC7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77A36B" w14:textId="6FD6E8E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investičnej politike sa predpokladá, že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fondu sa vyčlení na opatrenia energetickej efektívnosti.</w:t>
            </w:r>
          </w:p>
          <w:p w14:paraId="56C501F5" w14:textId="074CDBAF"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Investičná politika zahŕňa výberové kritériá na zabezpečenie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podporovaných transakcií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tohto opatrenia prostredníc</w:t>
            </w:r>
            <w:r w:rsidRPr="00326E55">
              <w:rPr>
                <w:rFonts w:ascii="Times New Roman" w:hAnsi="Times New Roman"/>
                <w:noProof/>
                <w:spacing w:val="-6"/>
                <w:lang w:val="sk-SK"/>
              </w:rPr>
              <w:t>tvom overovania udržateľnosti,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573441B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A29FB6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26</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79F9BE1" w14:textId="5945545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4.2: Fondy pre konkurencieschopnosť podnikov </w:t>
            </w:r>
            <w:r w:rsidRPr="00326E55">
              <w:rPr>
                <w:rFonts w:ascii="Times New Roman" w:hAnsi="Times New Roman"/>
                <w:noProof/>
                <w:spacing w:val="-6"/>
                <w:lang w:val="sk-SK"/>
              </w:rPr>
              <w:t>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2BD65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C99127" w14:textId="6464E46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vykonávacieho dekrétu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daňovému dobropisu na rekonštrukciu ubytovacích zariadení.</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D27A0E" w14:textId="1E64C504"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rozpočtového zákona umožňujúceho daňové úľavy,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súvisiacich vykonávacích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ich účinnosti</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A152B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CEEF1F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5C5BFD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5D618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F73BB1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5DCE733" w14:textId="605059D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Referenčnou právnou úpravou pre poskytovanie daňového úveru je zákon </w:t>
            </w:r>
            <w:r w:rsidR="00326E55" w:rsidRPr="00326E55">
              <w:rPr>
                <w:rFonts w:ascii="Times New Roman" w:hAnsi="Times New Roman"/>
                <w:noProof/>
                <w:spacing w:val="-6"/>
                <w:lang w:val="sk-SK"/>
              </w:rPr>
              <w:t>č. </w:t>
            </w:r>
            <w:r w:rsidRPr="00326E55">
              <w:rPr>
                <w:rFonts w:ascii="Times New Roman" w:hAnsi="Times New Roman"/>
                <w:noProof/>
                <w:spacing w:val="-6"/>
                <w:lang w:val="sk-SK"/>
              </w:rPr>
              <w:t>83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31</w:t>
            </w:r>
            <w:r w:rsidR="00326E55" w:rsidRPr="00326E55">
              <w:rPr>
                <w:rFonts w:ascii="Times New Roman" w:hAnsi="Times New Roman"/>
                <w:noProof/>
                <w:spacing w:val="-6"/>
                <w:lang w:val="sk-SK"/>
              </w:rPr>
              <w:t>. mája</w:t>
            </w:r>
            <w:r w:rsidRPr="00326E55">
              <w:rPr>
                <w:rFonts w:ascii="Times New Roman" w:hAnsi="Times New Roman"/>
                <w:noProof/>
                <w:spacing w:val="-6"/>
                <w:lang w:val="sk-SK"/>
              </w:rPr>
              <w:t xml:space="preserve"> 2014, ktorým sa zaviedlo uznanie daňo</w:t>
            </w:r>
            <w:r w:rsidRPr="00326E55">
              <w:rPr>
                <w:rFonts w:ascii="Times New Roman" w:hAnsi="Times New Roman"/>
                <w:noProof/>
                <w:spacing w:val="-6"/>
                <w:lang w:val="sk-SK"/>
              </w:rPr>
              <w:t>vej úľavy na zásahy zamerané na rekonštrukciu turistických ubytovacích zariadení.</w:t>
            </w:r>
          </w:p>
          <w:p w14:paraId="169E6FD0" w14:textId="3F98DC26"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Kritériá výberu/oprávnenosti na dosiahnutie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 týkajúcimi sa zásady „výrazne nenarušiť“ (2021/C58/01) podporovaných aktív/činností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prijímateľov,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vyžaduje aspoň použitie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súlad podporovaných aktív/činností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prijímateľov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 acquis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 acquis</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zabezpečenie súladu.</w:t>
            </w:r>
          </w:p>
        </w:tc>
      </w:tr>
      <w:tr w:rsidR="00BF03AA" w:rsidRPr="00326E55" w14:paraId="7488B06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C9404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27</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5B3ABD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w:t>
            </w:r>
            <w:r w:rsidRPr="00326E55">
              <w:rPr>
                <w:rFonts w:ascii="Times New Roman" w:hAnsi="Times New Roman"/>
                <w:noProof/>
                <w:spacing w:val="-6"/>
                <w:lang w:val="sk-SK"/>
              </w:rPr>
              <w:t xml:space="preserve"> 4.3 Caput Mundi-Next Generation EU pre veľké turistické podujatia</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8D5802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5B63FB6" w14:textId="0E4BB80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kultúrnych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turistických lokalít, ktorých rekvalifikácia dosiahla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priemere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spoločnosti Stato Avanzamento Lavori (SAL) (prvá skupina)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BB6EB9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786B0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AEB25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FCF31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007D09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6DA131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1B11DA" w14:textId="38B0C378" w:rsidR="00BF03AA" w:rsidRPr="00326E55" w:rsidRDefault="00FB452D">
            <w:pPr>
              <w:pStyle w:val="P68B1DB1-Normal12"/>
              <w:spacing w:line="257" w:lineRule="auto"/>
              <w:rPr>
                <w:rFonts w:ascii="Times New Roman" w:hAnsi="Times New Roman"/>
                <w:noProof/>
                <w:spacing w:val="-6"/>
                <w:lang w:val="sk-SK"/>
              </w:rPr>
            </w:pPr>
            <w:r w:rsidRPr="00326E55">
              <w:rPr>
                <w:rFonts w:ascii="Times New Roman" w:hAnsi="Times New Roman"/>
                <w:noProof/>
                <w:spacing w:val="-6"/>
                <w:lang w:val="sk-SK"/>
              </w:rPr>
              <w:t>Cieľ sa dosiahne, keď priemerný pokrok</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rekvalifikácii 100 kultúrnych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turistických lokalít dosiahne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statusu pokroku uvedeného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rozhodnutí Stato Avanzamento Lavori (SAL).</w:t>
            </w:r>
          </w:p>
        </w:tc>
      </w:tr>
      <w:tr w:rsidR="00BF03AA" w:rsidRPr="00326E55" w14:paraId="37F831A3"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AE397C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28</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42E158" w14:textId="53C1D11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4.2: Fondy pre konkurencieschopnosť podnikov </w:t>
            </w:r>
            <w:r w:rsidRPr="00326E55">
              <w:rPr>
                <w:rFonts w:ascii="Times New Roman" w:hAnsi="Times New Roman"/>
                <w:noProof/>
                <w:spacing w:val="-6"/>
                <w:lang w:val="sk-SK"/>
              </w:rPr>
              <w:t>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CBD9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F5CC4E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 podnikov podporovaných grantom a/alebo daňovým úverom na infraštruktúru a/alebo služby</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FBA36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B837B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A3EB2D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5F948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2 700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D2089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A1356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C613341" w14:textId="67F233F6"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Vyhláška (vyhláška)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udelení daňového úveru a/alebo grantu najmenej 2700 podnikom, ktoré </w:t>
            </w:r>
            <w:r w:rsidRPr="00326E55">
              <w:rPr>
                <w:rFonts w:ascii="Times New Roman" w:hAnsi="Times New Roman"/>
                <w:noProof/>
                <w:spacing w:val="-6"/>
                <w:lang w:val="sk-SK"/>
              </w:rPr>
              <w:t>investovali do infraštruktúry a/alebo služieb, čo bolo stanovené opätovným podaním žiadosti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vyplatenie.</w:t>
            </w:r>
          </w:p>
        </w:tc>
      </w:tr>
      <w:tr w:rsidR="00BF03AA" w:rsidRPr="00326E55" w14:paraId="22C0C9B4"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94F8C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29</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18DDD5" w14:textId="7C471C2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4.2: Fondy pre konkurencieschopnosť podnikov 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0311A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C98611" w14:textId="5641071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cestovného ruchu, ktoré sa majú </w:t>
            </w:r>
            <w:r w:rsidRPr="00326E55">
              <w:rPr>
                <w:rFonts w:ascii="Times New Roman" w:hAnsi="Times New Roman"/>
                <w:noProof/>
                <w:spacing w:val="-6"/>
                <w:lang w:val="sk-SK"/>
              </w:rPr>
              <w:t>podporiť prostredníctvom tematických fondov Európskej investičnej banky</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82915C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36AC0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72258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517044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70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0C469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FD52D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560EF14" w14:textId="674998EC" w:rsidR="00BF03AA" w:rsidRPr="00326E55" w:rsidRDefault="00FB452D">
            <w:pPr>
              <w:pStyle w:val="P68B1DB1-Normal12"/>
              <w:spacing w:line="257" w:lineRule="auto"/>
              <w:rPr>
                <w:rFonts w:ascii="Times New Roman" w:hAnsi="Times New Roman"/>
                <w:noProof/>
                <w:spacing w:val="-6"/>
                <w:lang w:val="sk-SK"/>
              </w:rPr>
            </w:pPr>
            <w:r w:rsidRPr="00326E55">
              <w:rPr>
                <w:rFonts w:ascii="Times New Roman" w:hAnsi="Times New Roman"/>
                <w:noProof/>
                <w:spacing w:val="-6"/>
                <w:lang w:val="sk-SK"/>
              </w:rPr>
              <w:t>Vybraní finanční sprostredkovatelia musia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 na podporu najmenej 70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cestovného ruchu prostredníctvom tematických fondov EIB.</w:t>
            </w:r>
          </w:p>
        </w:tc>
      </w:tr>
      <w:tr w:rsidR="00BF03AA" w:rsidRPr="00326E55" w14:paraId="40FA489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06C68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30</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FBBFA0" w14:textId="4F10456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4.2: Fondy pre konkurencieschopnosť cestovného ruchu</w:t>
            </w:r>
          </w:p>
          <w:p w14:paraId="1BF3440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podniky</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849C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086E8A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Tematické fondy Európskej investičnej banky:</w:t>
            </w:r>
          </w:p>
          <w:p w14:paraId="72983398" w14:textId="7C830D08" w:rsidR="00BF03AA" w:rsidRPr="00326E55" w:rsidRDefault="00FB452D">
            <w:pPr>
              <w:pStyle w:val="P68B1DB1-Normal44"/>
              <w:jc w:val="center"/>
              <w:rPr>
                <w:rFonts w:ascii="Times New Roman" w:hAnsi="Times New Roman"/>
                <w:noProof/>
                <w:spacing w:val="-6"/>
                <w:szCs w:val="20"/>
                <w:lang w:val="sk-SK"/>
              </w:rPr>
            </w:pPr>
            <w:r w:rsidRPr="00326E55">
              <w:rPr>
                <w:rFonts w:ascii="Times New Roman" w:hAnsi="Times New Roman"/>
                <w:noProof/>
                <w:spacing w:val="-6"/>
                <w:lang w:val="sk-SK"/>
              </w:rPr>
              <w:t>Vyplatenie do fondu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celkovej výške 350 000 000 EUR</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0041C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E78CE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15B3E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A3053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350 000 000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E0C3BE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63628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C81C81" w14:textId="328E5788"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Vyplatenie prostriedkov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investičnou politikou vymedzenou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čiastkovom cieli.</w:t>
            </w:r>
          </w:p>
        </w:tc>
      </w:tr>
      <w:tr w:rsidR="00BF03AA" w:rsidRPr="00326E55" w14:paraId="43F1D047"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CBEDC5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31</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188EAA" w14:textId="3E43920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4.2: Fondy pre konkurencieschopnosť podnikov 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25D00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AB305B" w14:textId="77777777" w:rsidR="00BF03AA" w:rsidRPr="00326E55" w:rsidRDefault="00BF03AA">
            <w:pPr>
              <w:jc w:val="center"/>
              <w:rPr>
                <w:rFonts w:ascii="Times New Roman" w:hAnsi="Times New Roman"/>
                <w:noProof/>
                <w:color w:val="006100"/>
                <w:spacing w:val="-6"/>
                <w:sz w:val="20"/>
                <w:szCs w:val="20"/>
                <w:lang w:val="sk-SK"/>
              </w:rPr>
            </w:pPr>
          </w:p>
          <w:p w14:paraId="496ADE4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Národný fond </w:t>
            </w:r>
            <w:r w:rsidRPr="00326E55">
              <w:rPr>
                <w:rFonts w:ascii="Times New Roman" w:hAnsi="Times New Roman"/>
                <w:noProof/>
                <w:spacing w:val="-6"/>
                <w:lang w:val="sk-SK"/>
              </w:rPr>
              <w:t>cestovného ruchu:</w:t>
            </w:r>
          </w:p>
          <w:p w14:paraId="23DE7E72" w14:textId="15698640" w:rsidR="00BF03AA" w:rsidRPr="00326E55" w:rsidRDefault="00FB452D">
            <w:pPr>
              <w:pStyle w:val="P68B1DB1-Normal21"/>
              <w:jc w:val="center"/>
              <w:rPr>
                <w:rFonts w:ascii="Times New Roman" w:hAnsi="Times New Roman"/>
                <w:noProof/>
                <w:spacing w:val="-6"/>
                <w:szCs w:val="20"/>
                <w:lang w:val="sk-SK"/>
              </w:rPr>
            </w:pPr>
            <w:r w:rsidRPr="00326E55">
              <w:rPr>
                <w:rFonts w:ascii="Times New Roman" w:hAnsi="Times New Roman"/>
                <w:noProof/>
                <w:spacing w:val="-6"/>
                <w:lang w:val="sk-SK"/>
              </w:rPr>
              <w:t>Vyplatenie do fondu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celkovej výške 150 000 000 EUR na kapitálovú podporu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9A5B2C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C8748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92C338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C1372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150 000 000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26EAC9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ADFDE4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5EC67E" w14:textId="7E771184"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Vyplatenie prostriedkov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investičnou politikou vymedzenou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čiastkovom cieli.</w:t>
            </w:r>
          </w:p>
        </w:tc>
      </w:tr>
      <w:tr w:rsidR="00BF03AA" w:rsidRPr="00326E55" w14:paraId="20CD9656"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ECFFB0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32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BDEF198" w14:textId="4145076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4.2: Fondy pre konkurencieschopnosť podnikov 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E7463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1DDA5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podnikov, ktoré sa majú podporiť prostredníctvom záručného fondu pre MSP</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4D251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9426F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7A79C2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41DAC5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69D7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6B1BC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C14B0C0" w14:textId="36F3E300"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List</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výsledku, ktorým sa poskytuje záruka, sa vydá</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prospech najmenej 1000 podnikov.</w:t>
            </w:r>
          </w:p>
        </w:tc>
      </w:tr>
      <w:tr w:rsidR="00BF03AA" w:rsidRPr="00326E55" w14:paraId="5A4524FC"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0D19E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33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A6FF98" w14:textId="3E30A5B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4.2 Fondy na konkurencieschopnosť podnikov cestovného ruchu</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A833C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D8012F" w14:textId="1DAA37BA"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 xml:space="preserve">Fondo Rotativo: </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Právne dohody podpísané</w:t>
            </w:r>
            <w:r w:rsidR="00326E55" w:rsidRPr="00326E55">
              <w:rPr>
                <w:rFonts w:ascii="Times New Roman" w:hAnsi="Times New Roman"/>
                <w:noProof/>
                <w:color w:val="006100"/>
                <w:spacing w:val="-6"/>
                <w:sz w:val="20"/>
                <w:szCs w:val="20"/>
                <w:lang w:val="sk-SK"/>
              </w:rPr>
              <w:t xml:space="preserve"> s </w:t>
            </w:r>
            <w:r w:rsidRPr="00326E55">
              <w:rPr>
                <w:rFonts w:ascii="Times New Roman" w:hAnsi="Times New Roman"/>
                <w:noProof/>
                <w:color w:val="006100"/>
                <w:spacing w:val="-6"/>
                <w:sz w:val="20"/>
                <w:szCs w:val="20"/>
                <w:lang w:val="sk-SK"/>
              </w:rPr>
              <w:t xml:space="preserve">konečnými príjemcami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B24D6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74F4BE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81F58D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5A1443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300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C1FC3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AF4CF5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CC26FBB" w14:textId="6685B494"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szCs w:val="20"/>
                <w:lang w:val="sk-SK"/>
              </w:rPr>
              <w:t>Právne dohody</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financovaní podpísané na</w:t>
            </w:r>
            <w:r w:rsidRPr="00326E55">
              <w:rPr>
                <w:rFonts w:ascii="Times New Roman" w:hAnsi="Times New Roman"/>
                <w:noProof/>
                <w:spacing w:val="-6"/>
                <w:lang w:val="sk-SK"/>
              </w:rPr>
              <w:t xml:space="preserve"> podporu najmenej 300 podnikov prostredníctvom Fondo Rotativo.</w:t>
            </w:r>
          </w:p>
        </w:tc>
      </w:tr>
      <w:tr w:rsidR="00BF03AA" w:rsidRPr="00326E55" w14:paraId="25A0D830"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01BC9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35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AC5ED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 4.3 Caput Mundi-Next Generation EU na turistické veľké podujatia</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CBF5F9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C2AC2C" w14:textId="57DA076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Podpísanie každej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šiestich projektoch medzi ministerstvom </w:t>
            </w:r>
            <w:r w:rsidRPr="00326E55">
              <w:rPr>
                <w:rFonts w:ascii="Times New Roman" w:hAnsi="Times New Roman"/>
                <w:noProof/>
                <w:spacing w:val="-6"/>
                <w:lang w:val="sk-SK"/>
              </w:rPr>
              <w:t>cestovného ruchu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príjemcami/vykonávacími orgánmi</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B53F41E" w14:textId="51EF754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Uverejnenie programovej dohody medzi ministerstvom cestovného ruchu, mestom Rím hlavné mesto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ostatnými zúčastnenými stranami</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EC8FE7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D6CD5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9109D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D32E7D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F4736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FB0F1A" w14:textId="64D7DFAB"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Dohody sa podpíšu</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 xml:space="preserve">prípade </w:t>
            </w:r>
            <w:r w:rsidRPr="00326E55">
              <w:rPr>
                <w:rFonts w:ascii="Times New Roman" w:hAnsi="Times New Roman"/>
                <w:noProof/>
                <w:color w:val="006100"/>
                <w:spacing w:val="-6"/>
                <w:sz w:val="20"/>
                <w:lang w:val="sk-SK"/>
              </w:rPr>
              <w:t>šiestich projektov:</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1. rímske kultúrne dedičstvo pre ďalšiu generáciu EÚ; Od Pagana Ríma po kresťanské cesty Rím – Jubilee; 3. #Lacittàcondivisa; 4) #Mitingodiverde; 5) Rómovia 4.0; 6) #Amanotesa</w:t>
            </w:r>
          </w:p>
          <w:p w14:paraId="4A7F417F" w14:textId="324F97C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Zoznam príjemcov/vykonávacích orgánov obsahuje: Hlavné mes</w:t>
            </w:r>
            <w:r w:rsidRPr="00326E55">
              <w:rPr>
                <w:rFonts w:ascii="Times New Roman" w:hAnsi="Times New Roman"/>
                <w:noProof/>
                <w:spacing w:val="-6"/>
                <w:lang w:val="sk-SK"/>
              </w:rPr>
              <w:t>to Rím; Archeologická kontrola kultúrneho, environmentálneho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krajinného dedičstva Ríma (MIC); Archeologický park Colosseum; Archeologický park Appia Antica; Rímska diocese; Ministerstvo cestovného ruchu; Región Lazio.</w:t>
            </w:r>
          </w:p>
          <w:p w14:paraId="0F0071F1" w14:textId="1DF8EC3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Pred výzvou na predkladanie ponúk sa</w:t>
            </w:r>
            <w:r w:rsidRPr="00326E55">
              <w:rPr>
                <w:rFonts w:ascii="Times New Roman" w:hAnsi="Times New Roman"/>
                <w:noProof/>
                <w:spacing w:val="-6"/>
                <w:lang w:val="sk-SK"/>
              </w:rPr>
              <w:t xml:space="preserve"> spolu so súvisiacimi zdrojmi vymedzia kritériá výberu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zadania zákazky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špecifiká projektov.</w:t>
            </w:r>
          </w:p>
          <w:p w14:paraId="1F1FE4FF" w14:textId="7E6993AC"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Zadávanie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w:t>
            </w:r>
            <w:r w:rsidRPr="00326E55">
              <w:rPr>
                <w:rFonts w:ascii="Times New Roman" w:hAnsi="Times New Roman"/>
                <w:noProof/>
                <w:spacing w:val="-6"/>
                <w:lang w:val="sk-SK"/>
              </w:rPr>
              <w:t>“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05070697"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92833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M1C3 – 36</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C02C98" w14:textId="4E8C2C3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Investície – 4.3 Caput Mundi-Next Generation EU na </w:t>
            </w:r>
            <w:r w:rsidRPr="00326E55">
              <w:rPr>
                <w:rFonts w:ascii="Times New Roman" w:hAnsi="Times New Roman"/>
                <w:noProof/>
                <w:spacing w:val="-6"/>
                <w:lang w:val="sk-SK"/>
              </w:rPr>
              <w:t>turistické veľké podujatia</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07BA0B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1D1F3CA" w14:textId="1AA4B853"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 intervencií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kultúrnych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turistických lokalitách</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E82354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435ED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99CA0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E82E4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45564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0BCA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41C3F2" w14:textId="2417B578"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alebo poskytovaní služieb sa vydávajú pre najmenej 200 intervencií uvedených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programe Caput </w:t>
            </w:r>
            <w:r w:rsidRPr="00326E55">
              <w:rPr>
                <w:rFonts w:ascii="Times New Roman" w:hAnsi="Times New Roman"/>
                <w:noProof/>
                <w:spacing w:val="-6"/>
                <w:lang w:val="sk-SK"/>
              </w:rPr>
              <w:t>Mundi.</w:t>
            </w:r>
          </w:p>
        </w:tc>
      </w:tr>
    </w:tbl>
    <w:p w14:paraId="79948301" w14:textId="77777777" w:rsidR="00BF03AA" w:rsidRPr="00326E55" w:rsidRDefault="00BF03AA">
      <w:pPr>
        <w:tabs>
          <w:tab w:val="left" w:pos="4908"/>
        </w:tabs>
        <w:rPr>
          <w:rFonts w:ascii="Times New Roman" w:hAnsi="Times New Roman"/>
          <w:noProof/>
          <w:spacing w:val="-6"/>
          <w:lang w:val="sk-SK"/>
        </w:rPr>
      </w:pPr>
    </w:p>
    <w:p w14:paraId="5CA6D409" w14:textId="77777777" w:rsidR="00BF03AA" w:rsidRPr="00326E55" w:rsidRDefault="00FB452D">
      <w:pPr>
        <w:tabs>
          <w:tab w:val="left" w:pos="2220"/>
        </w:tabs>
        <w:rPr>
          <w:rFonts w:ascii="Times New Roman" w:hAnsi="Times New Roman"/>
          <w:noProof/>
          <w:spacing w:val="-6"/>
          <w:lang w:val="sk-SK"/>
        </w:rPr>
        <w:sectPr w:rsidR="00BF03AA" w:rsidRPr="00326E55" w:rsidSect="005A558B">
          <w:headerReference w:type="even" r:id="rId70"/>
          <w:headerReference w:type="default" r:id="rId71"/>
          <w:footerReference w:type="even" r:id="rId72"/>
          <w:footerReference w:type="default" r:id="rId73"/>
          <w:headerReference w:type="first" r:id="rId74"/>
          <w:footerReference w:type="first" r:id="rId75"/>
          <w:pgSz w:w="16838" w:h="11906" w:orient="landscape"/>
          <w:pgMar w:top="1440" w:right="1440" w:bottom="1440" w:left="1440" w:header="709" w:footer="709" w:gutter="0"/>
          <w:cols w:space="708"/>
          <w:docGrid w:linePitch="360"/>
        </w:sectPr>
      </w:pPr>
      <w:r w:rsidRPr="00326E55">
        <w:rPr>
          <w:rFonts w:ascii="Times New Roman" w:hAnsi="Times New Roman"/>
          <w:noProof/>
          <w:spacing w:val="-6"/>
          <w:lang w:val="sk-SK"/>
        </w:rPr>
        <w:tab/>
      </w:r>
    </w:p>
    <w:p w14:paraId="5DF9054F" w14:textId="77777777" w:rsidR="00326E55" w:rsidRPr="00326E55" w:rsidRDefault="00FB452D">
      <w:pPr>
        <w:pStyle w:val="P68B1DB1-Heading23"/>
        <w:rPr>
          <w:noProof/>
          <w:spacing w:val="-6"/>
          <w:lang w:val="sk-SK"/>
        </w:rPr>
      </w:pPr>
      <w:r w:rsidRPr="00326E55">
        <w:rPr>
          <w:noProof/>
          <w:spacing w:val="-6"/>
          <w:lang w:val="sk-SK"/>
        </w:rPr>
        <w:t>D. ÚLOHA 2 ZLOŽKA 1: Obehové hospodárstvo, agropotravinárstvo</w:t>
      </w:r>
      <w:r w:rsidR="00326E55" w:rsidRPr="00326E55">
        <w:rPr>
          <w:noProof/>
          <w:spacing w:val="-6"/>
          <w:lang w:val="sk-SK"/>
        </w:rPr>
        <w:t xml:space="preserve"> a </w:t>
      </w:r>
      <w:r w:rsidRPr="00326E55">
        <w:rPr>
          <w:noProof/>
          <w:spacing w:val="-6"/>
          <w:lang w:val="sk-SK"/>
        </w:rPr>
        <w:t>zelená transformácia</w:t>
      </w:r>
    </w:p>
    <w:p w14:paraId="0B79D361" w14:textId="55ACB718"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Tento komponent talianskeho plánu obnovy</w:t>
      </w:r>
      <w:r w:rsidR="00326E55" w:rsidRPr="00326E55">
        <w:rPr>
          <w:noProof/>
          <w:spacing w:val="-6"/>
          <w:lang w:val="sk-SK"/>
        </w:rPr>
        <w:t xml:space="preserve"> a </w:t>
      </w:r>
      <w:r w:rsidRPr="00326E55">
        <w:rPr>
          <w:noProof/>
          <w:spacing w:val="-6"/>
          <w:lang w:val="sk-SK"/>
        </w:rPr>
        <w:t>odolnosti zahŕňa 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 xml:space="preserve">oblasti odpadového </w:t>
      </w:r>
      <w:r w:rsidRPr="00326E55">
        <w:rPr>
          <w:noProof/>
          <w:spacing w:val="-6"/>
          <w:lang w:val="sk-SK"/>
        </w:rPr>
        <w:t>hospodárstva, obehového hospodárstva, podpory agropotravinových hodnotových reťazcov</w:t>
      </w:r>
      <w:r w:rsidR="00326E55" w:rsidRPr="00326E55">
        <w:rPr>
          <w:noProof/>
          <w:spacing w:val="-6"/>
          <w:lang w:val="sk-SK"/>
        </w:rPr>
        <w:t xml:space="preserve"> a </w:t>
      </w:r>
      <w:r w:rsidRPr="00326E55">
        <w:rPr>
          <w:noProof/>
          <w:spacing w:val="-6"/>
          <w:lang w:val="sk-SK"/>
        </w:rPr>
        <w:t>zelenej transformácie. Tieto reformy</w:t>
      </w:r>
      <w:r w:rsidR="00326E55" w:rsidRPr="00326E55">
        <w:rPr>
          <w:noProof/>
          <w:spacing w:val="-6"/>
          <w:lang w:val="sk-SK"/>
        </w:rPr>
        <w:t xml:space="preserve"> a </w:t>
      </w:r>
      <w:r w:rsidRPr="00326E55">
        <w:rPr>
          <w:noProof/>
          <w:spacing w:val="-6"/>
          <w:lang w:val="sk-SK"/>
        </w:rPr>
        <w:t>investície dopĺňajú reformy zamerané na zvýšenie hospodárskej súťaže</w:t>
      </w:r>
      <w:r w:rsidR="00326E55" w:rsidRPr="00326E55">
        <w:rPr>
          <w:noProof/>
          <w:spacing w:val="-6"/>
          <w:lang w:val="sk-SK"/>
        </w:rPr>
        <w:t xml:space="preserve"> v </w:t>
      </w:r>
      <w:r w:rsidRPr="00326E55">
        <w:rPr>
          <w:noProof/>
          <w:spacing w:val="-6"/>
          <w:lang w:val="sk-SK"/>
        </w:rPr>
        <w:t>oblasti odpadového hospodárstva</w:t>
      </w:r>
      <w:r w:rsidR="00326E55" w:rsidRPr="00326E55">
        <w:rPr>
          <w:noProof/>
          <w:spacing w:val="-6"/>
          <w:lang w:val="sk-SK"/>
        </w:rPr>
        <w:t xml:space="preserve"> a </w:t>
      </w:r>
      <w:r w:rsidRPr="00326E55">
        <w:rPr>
          <w:noProof/>
          <w:spacing w:val="-6"/>
          <w:lang w:val="sk-SK"/>
        </w:rPr>
        <w:t>miestnych verejných služi</w:t>
      </w:r>
      <w:r w:rsidRPr="00326E55">
        <w:rPr>
          <w:noProof/>
          <w:spacing w:val="-6"/>
          <w:lang w:val="sk-SK"/>
        </w:rPr>
        <w:t>eb</w:t>
      </w:r>
      <w:r w:rsidR="00326E55" w:rsidRPr="00326E55">
        <w:rPr>
          <w:noProof/>
          <w:spacing w:val="-6"/>
          <w:lang w:val="sk-SK"/>
        </w:rPr>
        <w:t xml:space="preserve"> v </w:t>
      </w:r>
      <w:r w:rsidRPr="00326E55">
        <w:rPr>
          <w:noProof/>
          <w:spacing w:val="-6"/>
          <w:lang w:val="sk-SK"/>
        </w:rPr>
        <w:t>rámci reformnej zložky „podnikateľské prostredie“</w:t>
      </w:r>
      <w:r w:rsidR="00326E55" w:rsidRPr="00326E55">
        <w:rPr>
          <w:noProof/>
          <w:spacing w:val="-6"/>
          <w:lang w:val="sk-SK"/>
        </w:rPr>
        <w:t xml:space="preserve"> a </w:t>
      </w:r>
      <w:r w:rsidRPr="00326E55">
        <w:rPr>
          <w:noProof/>
          <w:spacing w:val="-6"/>
          <w:lang w:val="sk-SK"/>
        </w:rPr>
        <w:t>na zlepšenie spotreby vody</w:t>
      </w:r>
      <w:r w:rsidR="00326E55" w:rsidRPr="00326E55">
        <w:rPr>
          <w:noProof/>
          <w:spacing w:val="-6"/>
          <w:lang w:val="sk-SK"/>
        </w:rPr>
        <w:t xml:space="preserve"> v </w:t>
      </w:r>
      <w:r w:rsidRPr="00326E55">
        <w:rPr>
          <w:noProof/>
          <w:spacing w:val="-6"/>
          <w:lang w:val="sk-SK"/>
        </w:rPr>
        <w:t>poľnohospodárstve. Tento komponent je reakciou na odporúčania pre jednotlivé krajiny zamerané na investície do zelenej transformácie vrátane obehového hospodárstva</w:t>
      </w:r>
      <w:r w:rsidR="00326E55" w:rsidRPr="00326E55">
        <w:rPr>
          <w:noProof/>
          <w:spacing w:val="-6"/>
          <w:lang w:val="sk-SK"/>
        </w:rPr>
        <w:t>.</w:t>
      </w:r>
    </w:p>
    <w:p w14:paraId="303D8DE3" w14:textId="4707ED00"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rámci tohto komponentu prispievajú</w:t>
      </w:r>
      <w:r w:rsidR="00326E55" w:rsidRPr="00326E55">
        <w:rPr>
          <w:noProof/>
          <w:spacing w:val="-6"/>
          <w:lang w:val="sk-SK"/>
        </w:rPr>
        <w:t xml:space="preserve"> k </w:t>
      </w:r>
      <w:r w:rsidRPr="00326E55">
        <w:rPr>
          <w:noProof/>
          <w:spacing w:val="-6"/>
          <w:lang w:val="sk-SK"/>
        </w:rPr>
        <w:t>plneniu odporúčaní pre danú krajinu adresovaných Taliansku</w:t>
      </w:r>
      <w:r w:rsidR="00326E55" w:rsidRPr="00326E55">
        <w:rPr>
          <w:noProof/>
          <w:spacing w:val="-6"/>
          <w:lang w:val="sk-SK"/>
        </w:rPr>
        <w:t xml:space="preserve"> v </w:t>
      </w:r>
      <w:r w:rsidRPr="00326E55">
        <w:rPr>
          <w:noProof/>
          <w:spacing w:val="-6"/>
          <w:lang w:val="sk-SK"/>
        </w:rPr>
        <w:t>rokoch 2020</w:t>
      </w:r>
      <w:r w:rsidR="00326E55" w:rsidRPr="00326E55">
        <w:rPr>
          <w:noProof/>
          <w:spacing w:val="-6"/>
          <w:lang w:val="sk-SK"/>
        </w:rPr>
        <w:t xml:space="preserve"> a </w:t>
      </w:r>
      <w:r w:rsidRPr="00326E55">
        <w:rPr>
          <w:noProof/>
          <w:spacing w:val="-6"/>
          <w:lang w:val="sk-SK"/>
        </w:rPr>
        <w:t>2019 týkajúcich sa potreby „zamerať investície na zelenú</w:t>
      </w:r>
      <w:r w:rsidR="00326E55" w:rsidRPr="00326E55">
        <w:rPr>
          <w:noProof/>
          <w:spacing w:val="-6"/>
          <w:lang w:val="sk-SK"/>
        </w:rPr>
        <w:t xml:space="preserve"> a </w:t>
      </w:r>
      <w:r w:rsidRPr="00326E55">
        <w:rPr>
          <w:noProof/>
          <w:spacing w:val="-6"/>
          <w:lang w:val="sk-SK"/>
        </w:rPr>
        <w:t>digitálnu transformáciu, najmä na [...] odpadové hospodárstvo</w:t>
      </w:r>
      <w:r w:rsidR="00326E55" w:rsidRPr="00326E55">
        <w:rPr>
          <w:noProof/>
          <w:spacing w:val="-6"/>
          <w:lang w:val="sk-SK"/>
        </w:rPr>
        <w:t xml:space="preserve"> a </w:t>
      </w:r>
      <w:r w:rsidRPr="00326E55">
        <w:rPr>
          <w:noProof/>
          <w:spacing w:val="-6"/>
          <w:lang w:val="sk-SK"/>
        </w:rPr>
        <w:t>hospodárenie</w:t>
      </w:r>
      <w:r w:rsidR="00326E55" w:rsidRPr="00326E55">
        <w:rPr>
          <w:noProof/>
          <w:spacing w:val="-6"/>
          <w:lang w:val="sk-SK"/>
        </w:rPr>
        <w:t xml:space="preserve"> s </w:t>
      </w:r>
      <w:r w:rsidRPr="00326E55">
        <w:rPr>
          <w:noProof/>
          <w:spacing w:val="-6"/>
          <w:lang w:val="sk-SK"/>
        </w:rPr>
        <w:t xml:space="preserve">vodami“ (odporúčanie pre danú krajinu </w:t>
      </w:r>
      <w:r w:rsidR="00326E55" w:rsidRPr="00326E55">
        <w:rPr>
          <w:noProof/>
          <w:spacing w:val="-6"/>
          <w:lang w:val="sk-SK"/>
        </w:rPr>
        <w:t>č. </w:t>
      </w:r>
      <w:r w:rsidRPr="00326E55">
        <w:rPr>
          <w:noProof/>
          <w:spacing w:val="-6"/>
          <w:lang w:val="sk-SK"/>
        </w:rPr>
        <w:t>3, 2020)</w:t>
      </w:r>
      <w:r w:rsidR="00326E55" w:rsidRPr="00326E55">
        <w:rPr>
          <w:noProof/>
          <w:spacing w:val="-6"/>
          <w:lang w:val="sk-SK"/>
        </w:rPr>
        <w:t xml:space="preserve"> a </w:t>
      </w:r>
      <w:r w:rsidRPr="00326E55">
        <w:rPr>
          <w:noProof/>
          <w:spacing w:val="-6"/>
          <w:lang w:val="sk-SK"/>
        </w:rPr>
        <w:t>„zamerať hospodársku politiku súvisiacu</w:t>
      </w:r>
      <w:r w:rsidR="00326E55" w:rsidRPr="00326E55">
        <w:rPr>
          <w:noProof/>
          <w:spacing w:val="-6"/>
          <w:lang w:val="sk-SK"/>
        </w:rPr>
        <w:t xml:space="preserve"> s </w:t>
      </w:r>
      <w:r w:rsidRPr="00326E55">
        <w:rPr>
          <w:noProof/>
          <w:spacing w:val="-6"/>
          <w:lang w:val="sk-SK"/>
        </w:rPr>
        <w:t>investíciami na [...]</w:t>
      </w:r>
      <w:r w:rsidR="00326E55" w:rsidRPr="00326E55">
        <w:rPr>
          <w:noProof/>
          <w:spacing w:val="-6"/>
          <w:lang w:val="sk-SK"/>
        </w:rPr>
        <w:t xml:space="preserve"> a </w:t>
      </w:r>
      <w:r w:rsidRPr="00326E55">
        <w:rPr>
          <w:noProof/>
          <w:spacing w:val="-6"/>
          <w:lang w:val="sk-SK"/>
        </w:rPr>
        <w:t xml:space="preserve">kvalitu infraštruktúry, pričom sa zohľadnia aj regionálne rozdiely“ (odporúčanie pre jednotlivé krajiny </w:t>
      </w:r>
      <w:r w:rsidR="00326E55" w:rsidRPr="00326E55">
        <w:rPr>
          <w:noProof/>
          <w:spacing w:val="-6"/>
          <w:lang w:val="sk-SK"/>
        </w:rPr>
        <w:t>č. </w:t>
      </w:r>
      <w:r w:rsidRPr="00326E55">
        <w:rPr>
          <w:noProof/>
          <w:spacing w:val="-6"/>
          <w:lang w:val="sk-SK"/>
        </w:rPr>
        <w:t>3, 2019)</w:t>
      </w:r>
      <w:r w:rsidR="00326E55" w:rsidRPr="00326E55">
        <w:rPr>
          <w:noProof/>
          <w:spacing w:val="-6"/>
          <w:lang w:val="sk-SK"/>
        </w:rPr>
        <w:t>.</w:t>
      </w:r>
    </w:p>
    <w:p w14:paraId="70134FF6" w14:textId="094CB47E"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Očak</w:t>
      </w:r>
      <w:r w:rsidRPr="00326E55">
        <w:rPr>
          <w:noProof/>
          <w:spacing w:val="-6"/>
          <w:lang w:val="sk-SK"/>
        </w:rPr>
        <w:t>áva sa, že žiadne opatrenie</w:t>
      </w:r>
      <w:r w:rsidR="00326E55" w:rsidRPr="00326E55">
        <w:rPr>
          <w:noProof/>
          <w:spacing w:val="-6"/>
          <w:lang w:val="sk-SK"/>
        </w:rPr>
        <w:t xml:space="preserve"> v </w:t>
      </w:r>
      <w:r w:rsidRPr="00326E55">
        <w:rPr>
          <w:noProof/>
          <w:spacing w:val="-6"/>
          <w:lang w:val="sk-SK"/>
        </w:rPr>
        <w:t>tomto komponente výrazne nenaruší environmentálne ciele</w:t>
      </w:r>
      <w:r w:rsidR="00326E55" w:rsidRPr="00326E55">
        <w:rPr>
          <w:noProof/>
          <w:spacing w:val="-6"/>
          <w:lang w:val="sk-SK"/>
        </w:rPr>
        <w:t xml:space="preserve"> v </w:t>
      </w:r>
      <w:r w:rsidRPr="00326E55">
        <w:rPr>
          <w:noProof/>
          <w:spacing w:val="-6"/>
          <w:lang w:val="sk-SK"/>
        </w:rPr>
        <w:t>zmysle článku 17 nariadenia Európskeho parlamentu</w:t>
      </w:r>
      <w:r w:rsidR="00326E55" w:rsidRPr="00326E55">
        <w:rPr>
          <w:noProof/>
          <w:spacing w:val="-6"/>
          <w:lang w:val="sk-SK"/>
        </w:rPr>
        <w:t xml:space="preserve"> a </w:t>
      </w:r>
      <w:r w:rsidRPr="00326E55">
        <w:rPr>
          <w:noProof/>
          <w:spacing w:val="-6"/>
          <w:lang w:val="sk-SK"/>
        </w:rPr>
        <w:t>Rady (EÚ) 2020/852, berúc do úvahy opis opatrení</w:t>
      </w:r>
      <w:r w:rsidR="00326E55" w:rsidRPr="00326E55">
        <w:rPr>
          <w:noProof/>
          <w:spacing w:val="-6"/>
          <w:lang w:val="sk-SK"/>
        </w:rPr>
        <w:t xml:space="preserve"> a </w:t>
      </w:r>
      <w:r w:rsidRPr="00326E55">
        <w:rPr>
          <w:noProof/>
          <w:spacing w:val="-6"/>
          <w:lang w:val="sk-SK"/>
        </w:rPr>
        <w:t>zmierňujúce kroky stanovené</w:t>
      </w:r>
      <w:r w:rsidR="00326E55" w:rsidRPr="00326E55">
        <w:rPr>
          <w:noProof/>
          <w:spacing w:val="-6"/>
          <w:lang w:val="sk-SK"/>
        </w:rPr>
        <w:t xml:space="preserve"> v </w:t>
      </w:r>
      <w:r w:rsidRPr="00326E55">
        <w:rPr>
          <w:noProof/>
          <w:spacing w:val="-6"/>
          <w:lang w:val="sk-SK"/>
        </w:rPr>
        <w:t>pláne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v </w:t>
      </w:r>
      <w:r w:rsidRPr="00326E55">
        <w:rPr>
          <w:noProof/>
          <w:spacing w:val="-6"/>
          <w:lang w:val="sk-SK"/>
        </w:rPr>
        <w:t>súlade s</w:t>
      </w:r>
      <w:r w:rsidRPr="00326E55">
        <w:rPr>
          <w:noProof/>
          <w:spacing w:val="-6"/>
          <w:lang w:val="sk-SK"/>
        </w:rPr>
        <w:t>o zásadou technického usmernia týkajúceho sa uplatňovania zásady „výrazne nenarušiť“ (DNHS) (2021/C58/01)</w:t>
      </w:r>
      <w:r w:rsidR="00326E55" w:rsidRPr="00326E55">
        <w:rPr>
          <w:noProof/>
          <w:spacing w:val="-6"/>
          <w:lang w:val="sk-SK"/>
        </w:rPr>
        <w:t>.</w:t>
      </w:r>
    </w:p>
    <w:p w14:paraId="354D8FA0" w14:textId="77777777" w:rsidR="00326E55" w:rsidRPr="00326E55" w:rsidRDefault="00326E55">
      <w:pPr>
        <w:pStyle w:val="P68B1DB1-Normal46"/>
        <w:spacing w:after="0" w:line="240" w:lineRule="auto"/>
        <w:jc w:val="both"/>
        <w:textAlignment w:val="baseline"/>
        <w:rPr>
          <w:noProof/>
          <w:spacing w:val="-6"/>
          <w:lang w:val="sk-SK"/>
        </w:rPr>
      </w:pPr>
    </w:p>
    <w:p w14:paraId="3BFDE7AC" w14:textId="77777777" w:rsidR="00326E55" w:rsidRPr="00326E55" w:rsidRDefault="00FB452D">
      <w:pPr>
        <w:pStyle w:val="P68B1DB1-Heading347"/>
        <w:ind w:left="850" w:hanging="850"/>
        <w:rPr>
          <w:noProof/>
          <w:spacing w:val="-6"/>
          <w:lang w:val="sk-SK"/>
        </w:rPr>
      </w:pPr>
      <w:r w:rsidRPr="00326E55">
        <w:rPr>
          <w:noProof/>
          <w:spacing w:val="-6"/>
          <w:lang w:val="sk-SK"/>
        </w:rPr>
        <w:t xml:space="preserve">D.1. </w:t>
      </w:r>
      <w:r w:rsidRPr="00326E55">
        <w:rPr>
          <w:noProof/>
          <w:spacing w:val="-6"/>
          <w:lang w:val="sk-SK"/>
        </w:rPr>
        <w:tab/>
        <w:t>Opis reforiem</w:t>
      </w:r>
      <w:r w:rsidR="00326E55" w:rsidRPr="00326E55">
        <w:rPr>
          <w:noProof/>
          <w:spacing w:val="-6"/>
          <w:lang w:val="sk-SK"/>
        </w:rPr>
        <w:t xml:space="preserve"> a </w:t>
      </w:r>
      <w:r w:rsidRPr="00326E55">
        <w:rPr>
          <w:noProof/>
          <w:spacing w:val="-6"/>
          <w:lang w:val="sk-SK"/>
        </w:rPr>
        <w:t>investícií</w:t>
      </w:r>
      <w:r w:rsidR="00326E55" w:rsidRPr="00326E55">
        <w:rPr>
          <w:noProof/>
          <w:spacing w:val="-6"/>
          <w:lang w:val="sk-SK"/>
        </w:rPr>
        <w:t xml:space="preserve"> v </w:t>
      </w:r>
      <w:r w:rsidRPr="00326E55">
        <w:rPr>
          <w:noProof/>
          <w:spacing w:val="-6"/>
          <w:lang w:val="sk-SK"/>
        </w:rPr>
        <w:t>rámci nenávratnej finančnej podpory</w:t>
      </w:r>
    </w:p>
    <w:p w14:paraId="4DC36F08" w14:textId="7B8BC47D" w:rsidR="00BF03AA" w:rsidRPr="00326E55" w:rsidRDefault="00BF03AA">
      <w:pPr>
        <w:spacing w:after="0" w:line="240" w:lineRule="auto"/>
        <w:jc w:val="both"/>
        <w:textAlignment w:val="baseline"/>
        <w:rPr>
          <w:rFonts w:ascii="Times New Roman" w:eastAsia="Times New Roman" w:hAnsi="Times New Roman" w:cs="Times New Roman"/>
          <w:i/>
          <w:iCs/>
          <w:noProof/>
          <w:spacing w:val="-6"/>
          <w:kern w:val="0"/>
          <w:sz w:val="24"/>
          <w:szCs w:val="24"/>
          <w:lang w:val="sk-SK"/>
          <w14:ligatures w14:val="none"/>
        </w:rPr>
      </w:pPr>
    </w:p>
    <w:p w14:paraId="181A9F9B" w14:textId="77777777" w:rsidR="00326E55" w:rsidRPr="00326E55" w:rsidRDefault="00FB452D">
      <w:pPr>
        <w:pStyle w:val="P68B1DB1-Normal48"/>
        <w:spacing w:after="0" w:line="240" w:lineRule="auto"/>
        <w:jc w:val="both"/>
        <w:textAlignment w:val="baseline"/>
        <w:rPr>
          <w:noProof/>
          <w:spacing w:val="-6"/>
          <w:lang w:val="sk-SK"/>
        </w:rPr>
      </w:pPr>
      <w:r w:rsidRPr="00326E55">
        <w:rPr>
          <w:noProof/>
          <w:spacing w:val="-6"/>
          <w:lang w:val="sk-SK"/>
        </w:rPr>
        <w:t>Obehového hospodárstva</w:t>
      </w:r>
    </w:p>
    <w:p w14:paraId="2B8E09C9" w14:textId="16AD797E" w:rsidR="00BF03AA" w:rsidRPr="00326E55" w:rsidRDefault="00BF03AA">
      <w:pPr>
        <w:spacing w:after="0" w:line="240" w:lineRule="auto"/>
        <w:jc w:val="both"/>
        <w:textAlignment w:val="baseline"/>
        <w:rPr>
          <w:rFonts w:ascii="Times New Roman" w:eastAsia="Times New Roman" w:hAnsi="Times New Roman" w:cs="Times New Roman"/>
          <w:b/>
          <w:bCs/>
          <w:noProof/>
          <w:spacing w:val="-6"/>
          <w:kern w:val="0"/>
          <w:sz w:val="24"/>
          <w:szCs w:val="24"/>
          <w:lang w:val="sk-SK"/>
          <w14:ligatures w14:val="none"/>
        </w:rPr>
      </w:pPr>
    </w:p>
    <w:p w14:paraId="04E03BF7" w14:textId="77777777" w:rsidR="00326E55" w:rsidRPr="00326E55" w:rsidRDefault="00FB452D">
      <w:pPr>
        <w:pStyle w:val="P68B1DB1-Normal46"/>
        <w:spacing w:after="0" w:line="240" w:lineRule="auto"/>
        <w:jc w:val="both"/>
        <w:textAlignment w:val="baseline"/>
        <w:rPr>
          <w:noProof/>
          <w:spacing w:val="-6"/>
          <w:lang w:val="sk-SK"/>
        </w:rPr>
      </w:pPr>
      <w:r w:rsidRPr="00326E55">
        <w:rPr>
          <w:b/>
          <w:noProof/>
          <w:spacing w:val="-6"/>
          <w:lang w:val="sk-SK"/>
        </w:rPr>
        <w:t xml:space="preserve">Reforma 1.1 – Národná stratégia pre obehové </w:t>
      </w:r>
      <w:r w:rsidRPr="00326E55">
        <w:rPr>
          <w:b/>
          <w:noProof/>
          <w:spacing w:val="-6"/>
          <w:lang w:val="sk-SK"/>
        </w:rPr>
        <w:t>hospodárstvo</w:t>
      </w:r>
    </w:p>
    <w:p w14:paraId="10963050" w14:textId="5069C610"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Táto reforma pozostáva</w:t>
      </w:r>
      <w:r w:rsidR="00326E55" w:rsidRPr="00326E55">
        <w:rPr>
          <w:noProof/>
          <w:spacing w:val="-6"/>
          <w:lang w:val="sk-SK"/>
        </w:rPr>
        <w:t xml:space="preserve"> z </w:t>
      </w:r>
      <w:r w:rsidRPr="00326E55">
        <w:rPr>
          <w:noProof/>
          <w:spacing w:val="-6"/>
          <w:lang w:val="sk-SK"/>
        </w:rPr>
        <w:t>prijatia rozsiahlej národnej stratégie pre obehové hospodárstvo, ktorá zahŕňa nový digitálny systém vysledovateľnosti odpadu, daňové stimuly na podporu recyklačných činností</w:t>
      </w:r>
      <w:r w:rsidR="00326E55" w:rsidRPr="00326E55">
        <w:rPr>
          <w:noProof/>
          <w:spacing w:val="-6"/>
          <w:lang w:val="sk-SK"/>
        </w:rPr>
        <w:t xml:space="preserve"> a </w:t>
      </w:r>
      <w:r w:rsidRPr="00326E55">
        <w:rPr>
          <w:noProof/>
          <w:spacing w:val="-6"/>
          <w:lang w:val="sk-SK"/>
        </w:rPr>
        <w:t>využívania druhotných surovín, revíziu env</w:t>
      </w:r>
      <w:r w:rsidRPr="00326E55">
        <w:rPr>
          <w:noProof/>
          <w:spacing w:val="-6"/>
          <w:lang w:val="sk-SK"/>
        </w:rPr>
        <w:t>ironmentálneho zdaňovania, práva na opätovné použitie</w:t>
      </w:r>
      <w:r w:rsidR="00326E55" w:rsidRPr="00326E55">
        <w:rPr>
          <w:noProof/>
          <w:spacing w:val="-6"/>
          <w:lang w:val="sk-SK"/>
        </w:rPr>
        <w:t xml:space="preserve"> a </w:t>
      </w:r>
      <w:r w:rsidRPr="00326E55">
        <w:rPr>
          <w:noProof/>
          <w:spacing w:val="-6"/>
          <w:lang w:val="sk-SK"/>
        </w:rPr>
        <w:t>opravu, reformu rozšírenej zodpovednosti výrobcu</w:t>
      </w:r>
      <w:r w:rsidR="00326E55" w:rsidRPr="00326E55">
        <w:rPr>
          <w:noProof/>
          <w:spacing w:val="-6"/>
          <w:lang w:val="sk-SK"/>
        </w:rPr>
        <w:t xml:space="preserve"> a </w:t>
      </w:r>
      <w:r w:rsidRPr="00326E55">
        <w:rPr>
          <w:noProof/>
          <w:spacing w:val="-6"/>
          <w:lang w:val="sk-SK"/>
        </w:rPr>
        <w:t>systému konzorcií, podporu existujúcich regulačných nástrojov (ako sú právne predpisy</w:t>
      </w:r>
      <w:r w:rsidR="00326E55" w:rsidRPr="00326E55">
        <w:rPr>
          <w:noProof/>
          <w:spacing w:val="-6"/>
          <w:lang w:val="sk-SK"/>
        </w:rPr>
        <w:t xml:space="preserve"> o </w:t>
      </w:r>
      <w:r w:rsidRPr="00326E55">
        <w:rPr>
          <w:noProof/>
          <w:spacing w:val="-6"/>
          <w:lang w:val="sk-SK"/>
        </w:rPr>
        <w:t>ukončení odpadu</w:t>
      </w:r>
      <w:r w:rsidR="00326E55" w:rsidRPr="00326E55">
        <w:rPr>
          <w:noProof/>
          <w:spacing w:val="-6"/>
          <w:lang w:val="sk-SK"/>
        </w:rPr>
        <w:t xml:space="preserve"> a </w:t>
      </w:r>
      <w:r w:rsidRPr="00326E55">
        <w:rPr>
          <w:noProof/>
          <w:spacing w:val="-6"/>
          <w:lang w:val="sk-SK"/>
        </w:rPr>
        <w:t>minimálne environmentálne kritériá</w:t>
      </w:r>
      <w:r w:rsidR="00326E55" w:rsidRPr="00326E55">
        <w:rPr>
          <w:noProof/>
          <w:spacing w:val="-6"/>
          <w:lang w:val="sk-SK"/>
        </w:rPr>
        <w:t xml:space="preserve"> v </w:t>
      </w:r>
      <w:r w:rsidRPr="00326E55">
        <w:rPr>
          <w:noProof/>
          <w:spacing w:val="-6"/>
          <w:lang w:val="sk-SK"/>
        </w:rPr>
        <w:t xml:space="preserve">rámci </w:t>
      </w:r>
      <w:r w:rsidRPr="00326E55">
        <w:rPr>
          <w:noProof/>
          <w:spacing w:val="-6"/>
          <w:lang w:val="sk-SK"/>
        </w:rPr>
        <w:t>zeleného verejného obstarávania)</w:t>
      </w:r>
      <w:r w:rsidR="00326E55" w:rsidRPr="00326E55">
        <w:rPr>
          <w:noProof/>
          <w:spacing w:val="-6"/>
          <w:lang w:val="sk-SK"/>
        </w:rPr>
        <w:t xml:space="preserve"> a </w:t>
      </w:r>
      <w:r w:rsidRPr="00326E55">
        <w:rPr>
          <w:noProof/>
          <w:spacing w:val="-6"/>
          <w:lang w:val="sk-SK"/>
        </w:rPr>
        <w:t>podporu projektu priemyselnej symbiózy. Reformou systému rozšírenej zodpovednosti výrobcu</w:t>
      </w:r>
      <w:r w:rsidR="00326E55" w:rsidRPr="00326E55">
        <w:rPr>
          <w:noProof/>
          <w:spacing w:val="-6"/>
          <w:lang w:val="sk-SK"/>
        </w:rPr>
        <w:t xml:space="preserve"> a </w:t>
      </w:r>
      <w:r w:rsidRPr="00326E55">
        <w:rPr>
          <w:noProof/>
          <w:spacing w:val="-6"/>
          <w:lang w:val="sk-SK"/>
        </w:rPr>
        <w:t>konzorcií sa rieši aj potreba efektívnejšieho využívania environmentálneho príspevku</w:t>
      </w:r>
      <w:r w:rsidR="00326E55" w:rsidRPr="00326E55">
        <w:rPr>
          <w:noProof/>
          <w:spacing w:val="-6"/>
          <w:lang w:val="sk-SK"/>
        </w:rPr>
        <w:t xml:space="preserve"> s </w:t>
      </w:r>
      <w:r w:rsidRPr="00326E55">
        <w:rPr>
          <w:noProof/>
          <w:spacing w:val="-6"/>
          <w:lang w:val="sk-SK"/>
        </w:rPr>
        <w:t>cieľom zabezpečiť uplatňovanie transparent</w:t>
      </w:r>
      <w:r w:rsidRPr="00326E55">
        <w:rPr>
          <w:noProof/>
          <w:spacing w:val="-6"/>
          <w:lang w:val="sk-SK"/>
        </w:rPr>
        <w:t>ných</w:t>
      </w:r>
      <w:r w:rsidR="00326E55" w:rsidRPr="00326E55">
        <w:rPr>
          <w:noProof/>
          <w:spacing w:val="-6"/>
          <w:lang w:val="sk-SK"/>
        </w:rPr>
        <w:t xml:space="preserve"> a </w:t>
      </w:r>
      <w:r w:rsidRPr="00326E55">
        <w:rPr>
          <w:noProof/>
          <w:spacing w:val="-6"/>
          <w:lang w:val="sk-SK"/>
        </w:rPr>
        <w:t>nediskriminačných kritérií. Vytvorí sa osobitný dozorný orgán</w:t>
      </w:r>
      <w:r w:rsidR="00326E55" w:rsidRPr="00326E55">
        <w:rPr>
          <w:noProof/>
          <w:spacing w:val="-6"/>
          <w:lang w:val="sk-SK"/>
        </w:rPr>
        <w:t xml:space="preserve"> s </w:t>
      </w:r>
      <w:r w:rsidRPr="00326E55">
        <w:rPr>
          <w:noProof/>
          <w:spacing w:val="-6"/>
          <w:lang w:val="sk-SK"/>
        </w:rPr>
        <w:t>cieľom monitorovať fungovanie</w:t>
      </w:r>
      <w:r w:rsidR="00326E55" w:rsidRPr="00326E55">
        <w:rPr>
          <w:noProof/>
          <w:spacing w:val="-6"/>
          <w:lang w:val="sk-SK"/>
        </w:rPr>
        <w:t xml:space="preserve"> a </w:t>
      </w:r>
      <w:r w:rsidRPr="00326E55">
        <w:rPr>
          <w:noProof/>
          <w:spacing w:val="-6"/>
          <w:lang w:val="sk-SK"/>
        </w:rPr>
        <w:t>účinnosť systémov konzorcií pod predsedníctvom ministerstva pre ekologickú transformáciu (MITE). Opatrenie sa týka všetkých konzorcií (nielen baliaceho s</w:t>
      </w:r>
      <w:r w:rsidRPr="00326E55">
        <w:rPr>
          <w:noProof/>
          <w:spacing w:val="-6"/>
          <w:lang w:val="sk-SK"/>
        </w:rPr>
        <w:t>ystému CONAI)</w:t>
      </w:r>
      <w:r w:rsidR="00326E55" w:rsidRPr="00326E55">
        <w:rPr>
          <w:noProof/>
          <w:spacing w:val="-6"/>
          <w:lang w:val="sk-SK"/>
        </w:rPr>
        <w:t>.</w:t>
      </w:r>
    </w:p>
    <w:p w14:paraId="5172A763" w14:textId="2FEF7632" w:rsidR="00BF03AA" w:rsidRPr="00326E55" w:rsidRDefault="00BF03AA">
      <w:pPr>
        <w:tabs>
          <w:tab w:val="left" w:pos="2220"/>
        </w:tabs>
        <w:rPr>
          <w:rFonts w:ascii="Times New Roman" w:hAnsi="Times New Roman"/>
          <w:noProof/>
          <w:spacing w:val="-6"/>
          <w:lang w:val="sk-SK"/>
        </w:rPr>
      </w:pPr>
    </w:p>
    <w:p w14:paraId="44AEB11D" w14:textId="77777777" w:rsidR="00326E55" w:rsidRPr="00326E55" w:rsidRDefault="00FB452D">
      <w:pPr>
        <w:pStyle w:val="P68B1DB1-Normal46"/>
        <w:spacing w:after="0" w:line="240" w:lineRule="auto"/>
        <w:jc w:val="both"/>
        <w:textAlignment w:val="baseline"/>
        <w:rPr>
          <w:noProof/>
          <w:spacing w:val="-6"/>
          <w:lang w:val="sk-SK"/>
        </w:rPr>
      </w:pPr>
      <w:r w:rsidRPr="00326E55">
        <w:rPr>
          <w:b/>
          <w:noProof/>
          <w:spacing w:val="-6"/>
          <w:lang w:val="sk-SK"/>
        </w:rPr>
        <w:t>Reforma 1.3 – Technická podpora pre miestne orgány</w:t>
      </w:r>
    </w:p>
    <w:p w14:paraId="547B40F8" w14:textId="296938A4"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Táto reforma spočíva</w:t>
      </w:r>
      <w:r w:rsidR="00326E55" w:rsidRPr="00326E55">
        <w:rPr>
          <w:noProof/>
          <w:spacing w:val="-6"/>
          <w:lang w:val="sk-SK"/>
        </w:rPr>
        <w:t xml:space="preserve"> v </w:t>
      </w:r>
      <w:r w:rsidRPr="00326E55">
        <w:rPr>
          <w:noProof/>
          <w:spacing w:val="-6"/>
          <w:lang w:val="sk-SK"/>
        </w:rPr>
        <w:t>technickej podpore miestnych orgánov zo strany vlády pri vykonávaní právnych predpisov</w:t>
      </w:r>
      <w:r w:rsidR="00326E55" w:rsidRPr="00326E55">
        <w:rPr>
          <w:noProof/>
          <w:spacing w:val="-6"/>
          <w:lang w:val="sk-SK"/>
        </w:rPr>
        <w:t xml:space="preserve"> v </w:t>
      </w:r>
      <w:r w:rsidRPr="00326E55">
        <w:rPr>
          <w:noProof/>
          <w:spacing w:val="-6"/>
          <w:lang w:val="sk-SK"/>
        </w:rPr>
        <w:t>oblasti životného prostredia na úrovni EÚ</w:t>
      </w:r>
      <w:r w:rsidR="00326E55" w:rsidRPr="00326E55">
        <w:rPr>
          <w:noProof/>
          <w:spacing w:val="-6"/>
          <w:lang w:val="sk-SK"/>
        </w:rPr>
        <w:t xml:space="preserve"> a </w:t>
      </w:r>
      <w:r w:rsidRPr="00326E55">
        <w:rPr>
          <w:noProof/>
          <w:spacing w:val="-6"/>
          <w:lang w:val="sk-SK"/>
        </w:rPr>
        <w:t>na vnútroštátnej úrovni, pri vypr</w:t>
      </w:r>
      <w:r w:rsidRPr="00326E55">
        <w:rPr>
          <w:noProof/>
          <w:spacing w:val="-6"/>
          <w:lang w:val="sk-SK"/>
        </w:rPr>
        <w:t>acúvaní plánov</w:t>
      </w:r>
      <w:r w:rsidR="00326E55" w:rsidRPr="00326E55">
        <w:rPr>
          <w:noProof/>
          <w:spacing w:val="-6"/>
          <w:lang w:val="sk-SK"/>
        </w:rPr>
        <w:t xml:space="preserve"> a </w:t>
      </w:r>
      <w:r w:rsidRPr="00326E55">
        <w:rPr>
          <w:noProof/>
          <w:spacing w:val="-6"/>
          <w:lang w:val="sk-SK"/>
        </w:rPr>
        <w:t>projektov týkajúcich sa nakladania</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pri postupoch verejného obstarávania. Podporou postupov verejného obstarávania sa zabezpečí, aby sa koncesie</w:t>
      </w:r>
      <w:r w:rsidR="00326E55" w:rsidRPr="00326E55">
        <w:rPr>
          <w:noProof/>
          <w:spacing w:val="-6"/>
          <w:lang w:val="sk-SK"/>
        </w:rPr>
        <w:t xml:space="preserve"> v </w:t>
      </w:r>
      <w:r w:rsidRPr="00326E55">
        <w:rPr>
          <w:noProof/>
          <w:spacing w:val="-6"/>
          <w:lang w:val="sk-SK"/>
        </w:rPr>
        <w:t>oblasti odpadového hospodárstva udeľovali transparentným</w:t>
      </w:r>
      <w:r w:rsidR="00326E55" w:rsidRPr="00326E55">
        <w:rPr>
          <w:noProof/>
          <w:spacing w:val="-6"/>
          <w:lang w:val="sk-SK"/>
        </w:rPr>
        <w:t xml:space="preserve"> a </w:t>
      </w:r>
      <w:r w:rsidRPr="00326E55">
        <w:rPr>
          <w:noProof/>
          <w:spacing w:val="-6"/>
          <w:lang w:val="sk-SK"/>
        </w:rPr>
        <w:t>nediskriminačným spôso</w:t>
      </w:r>
      <w:r w:rsidRPr="00326E55">
        <w:rPr>
          <w:noProof/>
          <w:spacing w:val="-6"/>
          <w:lang w:val="sk-SK"/>
        </w:rPr>
        <w:t>bom, čím sa zvýšia súťažné postupy</w:t>
      </w:r>
      <w:r w:rsidR="00326E55" w:rsidRPr="00326E55">
        <w:rPr>
          <w:noProof/>
          <w:spacing w:val="-6"/>
          <w:lang w:val="sk-SK"/>
        </w:rPr>
        <w:t xml:space="preserve"> s </w:t>
      </w:r>
      <w:r w:rsidRPr="00326E55">
        <w:rPr>
          <w:noProof/>
          <w:spacing w:val="-6"/>
          <w:lang w:val="sk-SK"/>
        </w:rPr>
        <w:t>cieľom dosiahnuť lepšie normy pre verejné služby. Touto reformou sa preto podporuje vykonávanie reforiem odpadového hospodárstva navrhnutých</w:t>
      </w:r>
      <w:r w:rsidR="00326E55" w:rsidRPr="00326E55">
        <w:rPr>
          <w:noProof/>
          <w:spacing w:val="-6"/>
          <w:lang w:val="sk-SK"/>
        </w:rPr>
        <w:t xml:space="preserve"> v </w:t>
      </w:r>
      <w:r w:rsidRPr="00326E55">
        <w:rPr>
          <w:noProof/>
          <w:spacing w:val="-6"/>
          <w:lang w:val="sk-SK"/>
        </w:rPr>
        <w:t>rámci zložky reformy podnikateľského prostredia. Technická podpora sa vzťahu</w:t>
      </w:r>
      <w:r w:rsidRPr="00326E55">
        <w:rPr>
          <w:noProof/>
          <w:spacing w:val="-6"/>
          <w:lang w:val="sk-SK"/>
        </w:rPr>
        <w:t>je aj na zelené verejné obstarávanie</w:t>
      </w:r>
      <w:r w:rsidR="00326E55" w:rsidRPr="00326E55">
        <w:rPr>
          <w:noProof/>
          <w:spacing w:val="-6"/>
          <w:lang w:val="sk-SK"/>
        </w:rPr>
        <w:t>.</w:t>
      </w:r>
    </w:p>
    <w:p w14:paraId="141314B5" w14:textId="6CC81FDD" w:rsidR="00BF03AA" w:rsidRPr="00326E55" w:rsidRDefault="00BF03AA">
      <w:pPr>
        <w:spacing w:after="0" w:line="240" w:lineRule="auto"/>
        <w:jc w:val="both"/>
        <w:textAlignment w:val="baseline"/>
        <w:rPr>
          <w:rFonts w:ascii="Times New Roman" w:eastAsia="Times New Roman" w:hAnsi="Times New Roman" w:cs="Segoe UI"/>
          <w:noProof/>
          <w:spacing w:val="-6"/>
          <w:kern w:val="0"/>
          <w:sz w:val="18"/>
          <w:szCs w:val="18"/>
          <w:lang w:val="sk-SK"/>
          <w14:ligatures w14:val="none"/>
        </w:rPr>
      </w:pPr>
    </w:p>
    <w:p w14:paraId="1B29C985" w14:textId="77777777" w:rsidR="00BF03AA" w:rsidRPr="00326E55" w:rsidRDefault="00FB452D">
      <w:pPr>
        <w:pStyle w:val="P68B1DB1-Normal46"/>
        <w:rPr>
          <w:b/>
          <w:bCs/>
          <w:noProof/>
          <w:spacing w:val="-6"/>
          <w:lang w:val="sk-SK"/>
        </w:rPr>
      </w:pPr>
      <w:r w:rsidRPr="00326E55">
        <w:rPr>
          <w:noProof/>
          <w:spacing w:val="-6"/>
          <w:lang w:val="sk-SK"/>
        </w:rPr>
        <w:br w:type="page"/>
      </w:r>
    </w:p>
    <w:p w14:paraId="70187483" w14:textId="77777777" w:rsidR="00326E55" w:rsidRPr="00326E55" w:rsidRDefault="00FB452D">
      <w:pPr>
        <w:pStyle w:val="P68B1DB1-Normal46"/>
        <w:spacing w:after="0" w:line="240" w:lineRule="auto"/>
        <w:jc w:val="both"/>
        <w:textAlignment w:val="baseline"/>
        <w:rPr>
          <w:noProof/>
          <w:spacing w:val="-6"/>
          <w:lang w:val="sk-SK"/>
        </w:rPr>
      </w:pPr>
      <w:r w:rsidRPr="00326E55">
        <w:rPr>
          <w:b/>
          <w:noProof/>
          <w:spacing w:val="-6"/>
          <w:lang w:val="sk-SK"/>
        </w:rPr>
        <w:t>Investícia 2.1 – Plán logistiky</w:t>
      </w:r>
      <w:r w:rsidR="00326E55" w:rsidRPr="00326E55">
        <w:rPr>
          <w:b/>
          <w:noProof/>
          <w:spacing w:val="-6"/>
          <w:lang w:val="sk-SK"/>
        </w:rPr>
        <w:t xml:space="preserve"> v </w:t>
      </w:r>
      <w:r w:rsidRPr="00326E55">
        <w:rPr>
          <w:b/>
          <w:noProof/>
          <w:spacing w:val="-6"/>
          <w:lang w:val="sk-SK"/>
        </w:rPr>
        <w:t>odvetviach agropotravinárstva, rybolovu</w:t>
      </w:r>
      <w:r w:rsidR="00326E55" w:rsidRPr="00326E55">
        <w:rPr>
          <w:b/>
          <w:noProof/>
          <w:spacing w:val="-6"/>
          <w:lang w:val="sk-SK"/>
        </w:rPr>
        <w:t xml:space="preserve"> a </w:t>
      </w:r>
      <w:r w:rsidRPr="00326E55">
        <w:rPr>
          <w:b/>
          <w:noProof/>
          <w:spacing w:val="-6"/>
          <w:lang w:val="sk-SK"/>
        </w:rPr>
        <w:t>akvakultúry, lesného hospodárstva, kvetinárstva</w:t>
      </w:r>
      <w:r w:rsidR="00326E55" w:rsidRPr="00326E55">
        <w:rPr>
          <w:b/>
          <w:noProof/>
          <w:spacing w:val="-6"/>
          <w:lang w:val="sk-SK"/>
        </w:rPr>
        <w:t xml:space="preserve"> a </w:t>
      </w:r>
      <w:r w:rsidRPr="00326E55">
        <w:rPr>
          <w:b/>
          <w:noProof/>
          <w:spacing w:val="-6"/>
          <w:lang w:val="sk-SK"/>
        </w:rPr>
        <w:t>škôlok</w:t>
      </w:r>
    </w:p>
    <w:p w14:paraId="7B93BC57" w14:textId="7CCD6E96"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Cieľom tejto investície je podporiť znižovanie emisií vo fázach dopravy</w:t>
      </w:r>
      <w:r w:rsidR="00326E55" w:rsidRPr="00326E55">
        <w:rPr>
          <w:noProof/>
          <w:spacing w:val="-6"/>
          <w:lang w:val="sk-SK"/>
        </w:rPr>
        <w:t xml:space="preserve"> a </w:t>
      </w:r>
      <w:r w:rsidRPr="00326E55">
        <w:rPr>
          <w:noProof/>
          <w:spacing w:val="-6"/>
          <w:lang w:val="sk-SK"/>
        </w:rPr>
        <w:t>logistiky</w:t>
      </w:r>
      <w:r w:rsidR="00326E55" w:rsidRPr="00326E55">
        <w:rPr>
          <w:noProof/>
          <w:spacing w:val="-6"/>
          <w:lang w:val="sk-SK"/>
        </w:rPr>
        <w:t xml:space="preserve"> v </w:t>
      </w:r>
      <w:r w:rsidRPr="00326E55">
        <w:rPr>
          <w:noProof/>
          <w:spacing w:val="-6"/>
          <w:lang w:val="sk-SK"/>
        </w:rPr>
        <w:t>agropotravinárskom sektore, podporiť digitalizáciu tohto odvetvia</w:t>
      </w:r>
      <w:r w:rsidR="00326E55" w:rsidRPr="00326E55">
        <w:rPr>
          <w:noProof/>
          <w:spacing w:val="-6"/>
          <w:lang w:val="sk-SK"/>
        </w:rPr>
        <w:t xml:space="preserve"> a </w:t>
      </w:r>
      <w:r w:rsidRPr="00326E55">
        <w:rPr>
          <w:noProof/>
          <w:spacing w:val="-6"/>
          <w:lang w:val="sk-SK"/>
        </w:rPr>
        <w:t>využívanie energie</w:t>
      </w:r>
      <w:r w:rsidR="00326E55" w:rsidRPr="00326E55">
        <w:rPr>
          <w:noProof/>
          <w:spacing w:val="-6"/>
          <w:lang w:val="sk-SK"/>
        </w:rPr>
        <w:t xml:space="preserve"> z </w:t>
      </w:r>
      <w:r w:rsidRPr="00326E55">
        <w:rPr>
          <w:noProof/>
          <w:spacing w:val="-6"/>
          <w:lang w:val="sk-SK"/>
        </w:rPr>
        <w:t>obnoviteľných zdrojov. Toto opatrenie spočíva</w:t>
      </w:r>
      <w:r w:rsidR="00326E55" w:rsidRPr="00326E55">
        <w:rPr>
          <w:noProof/>
          <w:spacing w:val="-6"/>
          <w:lang w:val="sk-SK"/>
        </w:rPr>
        <w:t xml:space="preserve"> v </w:t>
      </w:r>
      <w:r w:rsidRPr="00326E55">
        <w:rPr>
          <w:noProof/>
          <w:spacing w:val="-6"/>
          <w:lang w:val="sk-SK"/>
        </w:rPr>
        <w:t>poskytovaní podpory na hmotné</w:t>
      </w:r>
      <w:r w:rsidR="00326E55" w:rsidRPr="00326E55">
        <w:rPr>
          <w:noProof/>
          <w:spacing w:val="-6"/>
          <w:lang w:val="sk-SK"/>
        </w:rPr>
        <w:t xml:space="preserve"> a </w:t>
      </w:r>
      <w:r w:rsidRPr="00326E55">
        <w:rPr>
          <w:noProof/>
          <w:spacing w:val="-6"/>
          <w:lang w:val="sk-SK"/>
        </w:rPr>
        <w:t>nehmotné investície</w:t>
      </w:r>
      <w:r w:rsidR="00326E55" w:rsidRPr="00326E55">
        <w:rPr>
          <w:noProof/>
          <w:spacing w:val="-6"/>
          <w:lang w:val="sk-SK"/>
        </w:rPr>
        <w:t>.</w:t>
      </w:r>
    </w:p>
    <w:p w14:paraId="65F89003" w14:textId="1778424A" w:rsidR="00BF03AA" w:rsidRPr="00326E55" w:rsidRDefault="00BF03AA">
      <w:pPr>
        <w:spacing w:after="0" w:line="240" w:lineRule="auto"/>
        <w:jc w:val="both"/>
        <w:textAlignment w:val="baseline"/>
        <w:rPr>
          <w:rFonts w:ascii="Times New Roman" w:eastAsia="Times New Roman" w:hAnsi="Times New Roman" w:cs="Segoe UI"/>
          <w:noProof/>
          <w:spacing w:val="-6"/>
          <w:kern w:val="0"/>
          <w:sz w:val="18"/>
          <w:szCs w:val="18"/>
          <w:lang w:val="sk-SK"/>
          <w14:ligatures w14:val="none"/>
        </w:rPr>
      </w:pPr>
    </w:p>
    <w:p w14:paraId="6B134ADF" w14:textId="77777777" w:rsidR="00326E55" w:rsidRPr="00326E55" w:rsidRDefault="00FB452D">
      <w:pPr>
        <w:pStyle w:val="P68B1DB1-Normal46"/>
        <w:spacing w:after="0" w:line="240" w:lineRule="auto"/>
        <w:jc w:val="both"/>
        <w:textAlignment w:val="baseline"/>
        <w:rPr>
          <w:noProof/>
          <w:spacing w:val="-6"/>
          <w:lang w:val="sk-SK"/>
        </w:rPr>
      </w:pPr>
      <w:r w:rsidRPr="00326E55">
        <w:rPr>
          <w:b/>
          <w:noProof/>
          <w:spacing w:val="-6"/>
          <w:lang w:val="sk-SK"/>
        </w:rPr>
        <w:t>Investícia 2.2 – Agrisolárny park</w:t>
      </w:r>
    </w:p>
    <w:p w14:paraId="2A0762E2" w14:textId="753AC7E3"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Cieľom tejto invest</w:t>
      </w:r>
      <w:r w:rsidRPr="00326E55">
        <w:rPr>
          <w:noProof/>
          <w:spacing w:val="-6"/>
          <w:lang w:val="sk-SK"/>
        </w:rPr>
        <w:t>ície je zvýšiť udržateľnosť</w:t>
      </w:r>
      <w:r w:rsidR="00326E55" w:rsidRPr="00326E55">
        <w:rPr>
          <w:noProof/>
          <w:spacing w:val="-6"/>
          <w:lang w:val="sk-SK"/>
        </w:rPr>
        <w:t xml:space="preserve"> a </w:t>
      </w:r>
      <w:r w:rsidRPr="00326E55">
        <w:rPr>
          <w:noProof/>
          <w:spacing w:val="-6"/>
          <w:lang w:val="sk-SK"/>
        </w:rPr>
        <w:t>konkurencieschopnosť odvetvia poľnohospodárstva. Toto opatrenie pozostáva</w:t>
      </w:r>
      <w:r w:rsidR="00326E55" w:rsidRPr="00326E55">
        <w:rPr>
          <w:noProof/>
          <w:spacing w:val="-6"/>
          <w:lang w:val="sk-SK"/>
        </w:rPr>
        <w:t xml:space="preserve"> z </w:t>
      </w:r>
      <w:r w:rsidRPr="00326E55">
        <w:rPr>
          <w:noProof/>
          <w:spacing w:val="-6"/>
          <w:lang w:val="sk-SK"/>
        </w:rPr>
        <w:t>poskytnutia podpory na investície do štruktúr</w:t>
      </w:r>
      <w:r w:rsidR="00326E55" w:rsidRPr="00326E55">
        <w:rPr>
          <w:noProof/>
          <w:spacing w:val="-6"/>
          <w:lang w:val="sk-SK"/>
        </w:rPr>
        <w:t xml:space="preserve"> v </w:t>
      </w:r>
      <w:r w:rsidRPr="00326E55">
        <w:rPr>
          <w:noProof/>
          <w:spacing w:val="-6"/>
          <w:lang w:val="sk-SK"/>
        </w:rPr>
        <w:t>odvetví poľnohospodárstva, chovu hospodárskych zvierat</w:t>
      </w:r>
      <w:r w:rsidR="00326E55" w:rsidRPr="00326E55">
        <w:rPr>
          <w:noProof/>
          <w:spacing w:val="-6"/>
          <w:lang w:val="sk-SK"/>
        </w:rPr>
        <w:t xml:space="preserve"> a </w:t>
      </w:r>
      <w:r w:rsidRPr="00326E55">
        <w:rPr>
          <w:noProof/>
          <w:spacing w:val="-6"/>
          <w:lang w:val="sk-SK"/>
        </w:rPr>
        <w:t>poľnohospodárstva na inštaláciu solárnych pan</w:t>
      </w:r>
      <w:r w:rsidRPr="00326E55">
        <w:rPr>
          <w:noProof/>
          <w:spacing w:val="-6"/>
          <w:lang w:val="sk-SK"/>
        </w:rPr>
        <w:t>elov, ako aj</w:t>
      </w:r>
      <w:r w:rsidR="00326E55" w:rsidRPr="00326E55">
        <w:rPr>
          <w:noProof/>
          <w:spacing w:val="-6"/>
          <w:lang w:val="sk-SK"/>
        </w:rPr>
        <w:t xml:space="preserve"> z </w:t>
      </w:r>
      <w:r w:rsidRPr="00326E55">
        <w:rPr>
          <w:noProof/>
          <w:spacing w:val="-6"/>
          <w:lang w:val="sk-SK"/>
        </w:rPr>
        <w:t>doplnkových intervencií</w:t>
      </w:r>
      <w:r w:rsidR="00326E55" w:rsidRPr="00326E55">
        <w:rPr>
          <w:noProof/>
          <w:spacing w:val="-6"/>
          <w:lang w:val="sk-SK"/>
        </w:rPr>
        <w:t>.</w:t>
      </w:r>
    </w:p>
    <w:p w14:paraId="224CC0BC" w14:textId="6DAD3CEE" w:rsidR="00BF03AA" w:rsidRPr="00326E55" w:rsidRDefault="00BF03AA">
      <w:pPr>
        <w:spacing w:after="0" w:line="240" w:lineRule="auto"/>
        <w:jc w:val="both"/>
        <w:textAlignment w:val="baseline"/>
        <w:rPr>
          <w:rFonts w:ascii="Times New Roman" w:eastAsia="Times New Roman" w:hAnsi="Times New Roman" w:cs="Segoe UI"/>
          <w:noProof/>
          <w:spacing w:val="-6"/>
          <w:kern w:val="0"/>
          <w:sz w:val="18"/>
          <w:szCs w:val="18"/>
          <w:lang w:val="sk-SK"/>
          <w14:ligatures w14:val="none"/>
        </w:rPr>
      </w:pPr>
    </w:p>
    <w:p w14:paraId="5FCCC014" w14:textId="77777777" w:rsidR="00326E55" w:rsidRPr="00326E55" w:rsidRDefault="00FB452D">
      <w:pPr>
        <w:pStyle w:val="P68B1DB1-Normal46"/>
        <w:spacing w:after="0" w:line="240" w:lineRule="auto"/>
        <w:jc w:val="both"/>
        <w:textAlignment w:val="baseline"/>
        <w:rPr>
          <w:noProof/>
          <w:spacing w:val="-6"/>
          <w:lang w:val="sk-SK"/>
        </w:rPr>
      </w:pPr>
      <w:r w:rsidRPr="00326E55">
        <w:rPr>
          <w:b/>
          <w:noProof/>
          <w:spacing w:val="-6"/>
          <w:lang w:val="sk-SK"/>
        </w:rPr>
        <w:t>Investícia 2.3 – Inovácie</w:t>
      </w:r>
      <w:r w:rsidR="00326E55" w:rsidRPr="00326E55">
        <w:rPr>
          <w:b/>
          <w:noProof/>
          <w:spacing w:val="-6"/>
          <w:lang w:val="sk-SK"/>
        </w:rPr>
        <w:t xml:space="preserve"> a </w:t>
      </w:r>
      <w:r w:rsidRPr="00326E55">
        <w:rPr>
          <w:b/>
          <w:noProof/>
          <w:spacing w:val="-6"/>
          <w:lang w:val="sk-SK"/>
        </w:rPr>
        <w:t>mechanizácia</w:t>
      </w:r>
      <w:r w:rsidR="00326E55" w:rsidRPr="00326E55">
        <w:rPr>
          <w:b/>
          <w:noProof/>
          <w:spacing w:val="-6"/>
          <w:lang w:val="sk-SK"/>
        </w:rPr>
        <w:t xml:space="preserve"> v </w:t>
      </w:r>
      <w:r w:rsidRPr="00326E55">
        <w:rPr>
          <w:b/>
          <w:noProof/>
          <w:spacing w:val="-6"/>
          <w:lang w:val="sk-SK"/>
        </w:rPr>
        <w:t>odvetví poľnohospodárstva</w:t>
      </w:r>
      <w:r w:rsidR="00326E55" w:rsidRPr="00326E55">
        <w:rPr>
          <w:b/>
          <w:noProof/>
          <w:spacing w:val="-6"/>
          <w:lang w:val="sk-SK"/>
        </w:rPr>
        <w:t xml:space="preserve"> a </w:t>
      </w:r>
      <w:r w:rsidRPr="00326E55">
        <w:rPr>
          <w:b/>
          <w:noProof/>
          <w:spacing w:val="-6"/>
          <w:lang w:val="sk-SK"/>
        </w:rPr>
        <w:t>potravinárstva</w:t>
      </w:r>
    </w:p>
    <w:p w14:paraId="7A87E715" w14:textId="5E2C2D25"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Cieľom tejto investície je stimulovať inovácie</w:t>
      </w:r>
      <w:r w:rsidR="00326E55" w:rsidRPr="00326E55">
        <w:rPr>
          <w:noProof/>
          <w:spacing w:val="-6"/>
          <w:lang w:val="sk-SK"/>
        </w:rPr>
        <w:t xml:space="preserve"> v </w:t>
      </w:r>
      <w:r w:rsidRPr="00326E55">
        <w:rPr>
          <w:noProof/>
          <w:spacing w:val="-6"/>
          <w:lang w:val="sk-SK"/>
        </w:rPr>
        <w:t>odvetví poľnohospodárstva</w:t>
      </w:r>
      <w:r w:rsidR="00326E55" w:rsidRPr="00326E55">
        <w:rPr>
          <w:noProof/>
          <w:spacing w:val="-6"/>
          <w:lang w:val="sk-SK"/>
        </w:rPr>
        <w:t xml:space="preserve"> a </w:t>
      </w:r>
      <w:r w:rsidRPr="00326E55">
        <w:rPr>
          <w:noProof/>
          <w:spacing w:val="-6"/>
          <w:lang w:val="sk-SK"/>
        </w:rPr>
        <w:t>potravinárstva. Toto opatrenie spočíva</w:t>
      </w:r>
      <w:r w:rsidR="00326E55" w:rsidRPr="00326E55">
        <w:rPr>
          <w:noProof/>
          <w:spacing w:val="-6"/>
          <w:lang w:val="sk-SK"/>
        </w:rPr>
        <w:t xml:space="preserve"> v </w:t>
      </w:r>
      <w:r w:rsidRPr="00326E55">
        <w:rPr>
          <w:noProof/>
          <w:spacing w:val="-6"/>
          <w:lang w:val="sk-SK"/>
        </w:rPr>
        <w:t>poskytovaní</w:t>
      </w:r>
      <w:r w:rsidRPr="00326E55">
        <w:rPr>
          <w:noProof/>
          <w:spacing w:val="-6"/>
          <w:lang w:val="sk-SK"/>
        </w:rPr>
        <w:t xml:space="preserve"> podpory na investície do hmotného</w:t>
      </w:r>
      <w:r w:rsidR="00326E55" w:rsidRPr="00326E55">
        <w:rPr>
          <w:noProof/>
          <w:spacing w:val="-6"/>
          <w:lang w:val="sk-SK"/>
        </w:rPr>
        <w:t xml:space="preserve"> a </w:t>
      </w:r>
      <w:r w:rsidRPr="00326E55">
        <w:rPr>
          <w:noProof/>
          <w:spacing w:val="-6"/>
          <w:lang w:val="sk-SK"/>
        </w:rPr>
        <w:t>nehmotného majetku</w:t>
      </w:r>
      <w:r w:rsidR="00326E55" w:rsidRPr="00326E55">
        <w:rPr>
          <w:noProof/>
          <w:spacing w:val="-6"/>
          <w:lang w:val="sk-SK"/>
        </w:rPr>
        <w:t>.</w:t>
      </w:r>
    </w:p>
    <w:p w14:paraId="65001F7E" w14:textId="78694BA5" w:rsidR="00BF03AA" w:rsidRPr="00326E55" w:rsidRDefault="00BF03AA">
      <w:pPr>
        <w:spacing w:after="0" w:line="240" w:lineRule="auto"/>
        <w:jc w:val="both"/>
        <w:textAlignment w:val="baseline"/>
        <w:rPr>
          <w:rFonts w:ascii="Times New Roman" w:eastAsia="Times New Roman" w:hAnsi="Times New Roman" w:cs="Segoe UI"/>
          <w:noProof/>
          <w:spacing w:val="-6"/>
          <w:kern w:val="0"/>
          <w:sz w:val="18"/>
          <w:szCs w:val="18"/>
          <w:lang w:val="sk-SK"/>
          <w14:ligatures w14:val="none"/>
        </w:rPr>
      </w:pPr>
    </w:p>
    <w:p w14:paraId="6C6308C7" w14:textId="77777777" w:rsidR="00326E55" w:rsidRPr="00326E55" w:rsidRDefault="00FB452D">
      <w:pPr>
        <w:pStyle w:val="P68B1DB1-Normal46"/>
        <w:spacing w:after="0" w:line="240" w:lineRule="auto"/>
        <w:textAlignment w:val="baseline"/>
        <w:rPr>
          <w:noProof/>
          <w:spacing w:val="-6"/>
          <w:lang w:val="sk-SK"/>
        </w:rPr>
      </w:pPr>
      <w:r w:rsidRPr="00326E55">
        <w:rPr>
          <w:b/>
          <w:noProof/>
          <w:spacing w:val="-6"/>
          <w:lang w:val="sk-SK"/>
        </w:rPr>
        <w:t>Investícia 3.3 – Kultúra</w:t>
      </w:r>
      <w:r w:rsidR="00326E55" w:rsidRPr="00326E55">
        <w:rPr>
          <w:b/>
          <w:noProof/>
          <w:spacing w:val="-6"/>
          <w:lang w:val="sk-SK"/>
        </w:rPr>
        <w:t xml:space="preserve"> a </w:t>
      </w:r>
      <w:r w:rsidRPr="00326E55">
        <w:rPr>
          <w:b/>
          <w:noProof/>
          <w:spacing w:val="-6"/>
          <w:lang w:val="sk-SK"/>
        </w:rPr>
        <w:t>informovanosť</w:t>
      </w:r>
      <w:r w:rsidR="00326E55" w:rsidRPr="00326E55">
        <w:rPr>
          <w:b/>
          <w:noProof/>
          <w:spacing w:val="-6"/>
          <w:lang w:val="sk-SK"/>
        </w:rPr>
        <w:t xml:space="preserve"> o </w:t>
      </w:r>
      <w:r w:rsidRPr="00326E55">
        <w:rPr>
          <w:b/>
          <w:noProof/>
          <w:spacing w:val="-6"/>
          <w:lang w:val="sk-SK"/>
        </w:rPr>
        <w:t>environmentálnych témach</w:t>
      </w:r>
      <w:r w:rsidR="00326E55" w:rsidRPr="00326E55">
        <w:rPr>
          <w:b/>
          <w:noProof/>
          <w:spacing w:val="-6"/>
          <w:lang w:val="sk-SK"/>
        </w:rPr>
        <w:t xml:space="preserve"> a </w:t>
      </w:r>
      <w:r w:rsidRPr="00326E55">
        <w:rPr>
          <w:b/>
          <w:noProof/>
          <w:spacing w:val="-6"/>
          <w:lang w:val="sk-SK"/>
        </w:rPr>
        <w:t>výzvach</w:t>
      </w:r>
    </w:p>
    <w:p w14:paraId="38DE8C18" w14:textId="4CF19EB9"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Cieľom tejto investície je navrhovanie</w:t>
      </w:r>
      <w:r w:rsidR="00326E55" w:rsidRPr="00326E55">
        <w:rPr>
          <w:noProof/>
          <w:spacing w:val="-6"/>
          <w:lang w:val="sk-SK"/>
        </w:rPr>
        <w:t xml:space="preserve"> a </w:t>
      </w:r>
      <w:r w:rsidRPr="00326E55">
        <w:rPr>
          <w:noProof/>
          <w:spacing w:val="-6"/>
          <w:lang w:val="sk-SK"/>
        </w:rPr>
        <w:t>výroba digitálneho obsahu</w:t>
      </w:r>
      <w:r w:rsidR="00326E55" w:rsidRPr="00326E55">
        <w:rPr>
          <w:noProof/>
          <w:spacing w:val="-6"/>
          <w:lang w:val="sk-SK"/>
        </w:rPr>
        <w:t xml:space="preserve"> s </w:t>
      </w:r>
      <w:r w:rsidRPr="00326E55">
        <w:rPr>
          <w:noProof/>
          <w:spacing w:val="-6"/>
          <w:lang w:val="sk-SK"/>
        </w:rPr>
        <w:t>cieľom zvýšiť informovanosť</w:t>
      </w:r>
      <w:r w:rsidR="00326E55" w:rsidRPr="00326E55">
        <w:rPr>
          <w:noProof/>
          <w:spacing w:val="-6"/>
          <w:lang w:val="sk-SK"/>
        </w:rPr>
        <w:t xml:space="preserve"> o </w:t>
      </w:r>
      <w:r w:rsidRPr="00326E55">
        <w:rPr>
          <w:noProof/>
          <w:spacing w:val="-6"/>
          <w:lang w:val="sk-SK"/>
        </w:rPr>
        <w:t>environmentálnych</w:t>
      </w:r>
      <w:r w:rsidR="00326E55" w:rsidRPr="00326E55">
        <w:rPr>
          <w:noProof/>
          <w:spacing w:val="-6"/>
          <w:lang w:val="sk-SK"/>
        </w:rPr>
        <w:t xml:space="preserve"> a </w:t>
      </w:r>
      <w:r w:rsidRPr="00326E55">
        <w:rPr>
          <w:noProof/>
          <w:spacing w:val="-6"/>
          <w:lang w:val="sk-SK"/>
        </w:rPr>
        <w:t>k</w:t>
      </w:r>
      <w:r w:rsidRPr="00326E55">
        <w:rPr>
          <w:noProof/>
          <w:spacing w:val="-6"/>
          <w:lang w:val="sk-SK"/>
        </w:rPr>
        <w:t>limatických výzvach. Investícia pozostáva</w:t>
      </w:r>
      <w:r w:rsidR="00326E55" w:rsidRPr="00326E55">
        <w:rPr>
          <w:noProof/>
          <w:spacing w:val="-6"/>
          <w:lang w:val="sk-SK"/>
        </w:rPr>
        <w:t xml:space="preserve"> z </w:t>
      </w:r>
      <w:r w:rsidRPr="00326E55">
        <w:rPr>
          <w:noProof/>
          <w:spacing w:val="-6"/>
          <w:lang w:val="sk-SK"/>
        </w:rPr>
        <w:t>vytvorenia online platformy bez predplatného na vytvorenie úložiska vzdelávacích</w:t>
      </w:r>
      <w:r w:rsidR="00326E55" w:rsidRPr="00326E55">
        <w:rPr>
          <w:noProof/>
          <w:spacing w:val="-6"/>
          <w:lang w:val="sk-SK"/>
        </w:rPr>
        <w:t xml:space="preserve"> a </w:t>
      </w:r>
      <w:r w:rsidRPr="00326E55">
        <w:rPr>
          <w:noProof/>
          <w:spacing w:val="-6"/>
          <w:lang w:val="sk-SK"/>
        </w:rPr>
        <w:t>rekreačných materiálov</w:t>
      </w:r>
      <w:r w:rsidR="00326E55" w:rsidRPr="00326E55">
        <w:rPr>
          <w:noProof/>
          <w:spacing w:val="-6"/>
          <w:lang w:val="sk-SK"/>
        </w:rPr>
        <w:t xml:space="preserve"> o </w:t>
      </w:r>
      <w:r w:rsidRPr="00326E55">
        <w:rPr>
          <w:noProof/>
          <w:spacing w:val="-6"/>
          <w:lang w:val="sk-SK"/>
        </w:rPr>
        <w:t>témach súvisiacich so životným prostredím</w:t>
      </w:r>
      <w:r w:rsidR="00326E55" w:rsidRPr="00326E55">
        <w:rPr>
          <w:noProof/>
          <w:spacing w:val="-6"/>
          <w:lang w:val="sk-SK"/>
        </w:rPr>
        <w:t>.</w:t>
      </w:r>
    </w:p>
    <w:p w14:paraId="2F31477F" w14:textId="4AB9116E" w:rsidR="00BF03AA" w:rsidRPr="00326E55" w:rsidRDefault="00BF03AA">
      <w:pPr>
        <w:spacing w:after="0" w:line="240" w:lineRule="auto"/>
        <w:jc w:val="both"/>
        <w:textAlignment w:val="baseline"/>
        <w:rPr>
          <w:rFonts w:ascii="Times New Roman" w:eastAsia="Times New Roman" w:hAnsi="Times New Roman" w:cs="Times New Roman"/>
          <w:noProof/>
          <w:spacing w:val="-6"/>
          <w:kern w:val="0"/>
          <w:sz w:val="24"/>
          <w:szCs w:val="24"/>
          <w:lang w:val="sk-SK"/>
          <w14:ligatures w14:val="none"/>
        </w:rPr>
      </w:pPr>
    </w:p>
    <w:p w14:paraId="51ADAF0C" w14:textId="77777777" w:rsidR="00BF03AA" w:rsidRPr="00326E55" w:rsidRDefault="00BF03AA">
      <w:pPr>
        <w:spacing w:after="0" w:line="240" w:lineRule="auto"/>
        <w:jc w:val="both"/>
        <w:textAlignment w:val="baseline"/>
        <w:rPr>
          <w:rFonts w:ascii="Times New Roman" w:eastAsia="Times New Roman" w:hAnsi="Times New Roman" w:cs="Times New Roman"/>
          <w:noProof/>
          <w:spacing w:val="-6"/>
          <w:kern w:val="0"/>
          <w:sz w:val="24"/>
          <w:szCs w:val="24"/>
          <w:lang w:val="sk-SK"/>
          <w14:ligatures w14:val="none"/>
        </w:rPr>
        <w:sectPr w:rsidR="00BF03AA" w:rsidRPr="00326E55" w:rsidSect="00726CF9">
          <w:headerReference w:type="default" r:id="rId76"/>
          <w:footerReference w:type="default" r:id="rId77"/>
          <w:pgSz w:w="11906" w:h="16838"/>
          <w:pgMar w:top="1440" w:right="1440" w:bottom="1440" w:left="1440" w:header="708" w:footer="708" w:gutter="0"/>
          <w:cols w:space="708"/>
          <w:docGrid w:linePitch="360"/>
        </w:sectPr>
      </w:pPr>
    </w:p>
    <w:p w14:paraId="333CFE1E" w14:textId="77777777" w:rsidR="00BF03AA" w:rsidRPr="00326E55" w:rsidRDefault="00BF03AA">
      <w:pPr>
        <w:spacing w:after="0" w:line="240" w:lineRule="auto"/>
        <w:jc w:val="both"/>
        <w:textAlignment w:val="baseline"/>
        <w:rPr>
          <w:rFonts w:ascii="Times New Roman" w:eastAsia="Times New Roman" w:hAnsi="Times New Roman" w:cs="Segoe UI"/>
          <w:noProof/>
          <w:spacing w:val="-6"/>
          <w:kern w:val="0"/>
          <w:sz w:val="18"/>
          <w:szCs w:val="18"/>
          <w:lang w:val="sk-SK"/>
          <w14:ligatures w14:val="none"/>
        </w:rPr>
      </w:pPr>
    </w:p>
    <w:p w14:paraId="58D88F4F" w14:textId="22BA4FE6" w:rsidR="00BF03AA" w:rsidRPr="00326E55" w:rsidRDefault="00FB452D">
      <w:pPr>
        <w:pStyle w:val="P68B1DB1-Heading347"/>
        <w:ind w:left="850" w:hanging="850"/>
        <w:rPr>
          <w:bCs/>
          <w:noProof/>
          <w:spacing w:val="-6"/>
          <w:lang w:val="sk-SK"/>
        </w:rPr>
      </w:pPr>
      <w:r w:rsidRPr="00326E55">
        <w:rPr>
          <w:noProof/>
          <w:spacing w:val="-6"/>
          <w:lang w:val="sk-SK"/>
        </w:rPr>
        <w:t xml:space="preserve">D.2. </w:t>
      </w:r>
      <w:r w:rsidRPr="00326E55">
        <w:rPr>
          <w:noProof/>
          <w:spacing w:val="-6"/>
          <w:lang w:val="sk-SK"/>
        </w:rPr>
        <w:tab/>
      </w:r>
      <w:r w:rsidRPr="00326E55">
        <w:rPr>
          <w:noProof/>
          <w:spacing w:val="-6"/>
          <w:lang w:val="sk-SK"/>
        </w:rPr>
        <w:t>Míľniky, ciele, ukazovatele</w:t>
      </w:r>
      <w:r w:rsidR="00326E55" w:rsidRPr="00326E55">
        <w:rPr>
          <w:noProof/>
          <w:spacing w:val="-6"/>
          <w:lang w:val="sk-SK"/>
        </w:rPr>
        <w:t xml:space="preserve"> a </w:t>
      </w:r>
      <w:r w:rsidRPr="00326E55">
        <w:rPr>
          <w:noProof/>
          <w:spacing w:val="-6"/>
          <w:lang w:val="sk-SK"/>
        </w:rPr>
        <w:t>harmonogram monitorovania</w:t>
      </w:r>
      <w:r w:rsidR="00326E55" w:rsidRPr="00326E55">
        <w:rPr>
          <w:noProof/>
          <w:spacing w:val="-6"/>
          <w:lang w:val="sk-SK"/>
        </w:rPr>
        <w:t xml:space="preserve"> a </w:t>
      </w:r>
      <w:r w:rsidRPr="00326E55">
        <w:rPr>
          <w:noProof/>
          <w:spacing w:val="-6"/>
          <w:lang w:val="sk-SK"/>
        </w:rPr>
        <w:t>realizácie pre nenávratnú finančnú podporu </w:t>
      </w:r>
    </w:p>
    <w:tbl>
      <w:tblPr>
        <w:tblW w:w="1516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62"/>
        <w:gridCol w:w="1590"/>
        <w:gridCol w:w="1210"/>
        <w:gridCol w:w="1644"/>
        <w:gridCol w:w="1644"/>
        <w:gridCol w:w="1211"/>
        <w:gridCol w:w="1211"/>
        <w:gridCol w:w="1211"/>
        <w:gridCol w:w="1062"/>
        <w:gridCol w:w="568"/>
        <w:gridCol w:w="2655"/>
      </w:tblGrid>
      <w:tr w:rsidR="00BF03AA" w:rsidRPr="00326E55" w14:paraId="4FFB539A" w14:textId="77777777">
        <w:trPr>
          <w:trHeight w:val="300"/>
          <w:tblHeader/>
        </w:trPr>
        <w:tc>
          <w:tcPr>
            <w:tcW w:w="1276" w:type="dxa"/>
            <w:vMerge w:val="restart"/>
            <w:shd w:val="clear" w:color="auto" w:fill="BDD7EE"/>
            <w:vAlign w:val="center"/>
            <w:hideMark/>
          </w:tcPr>
          <w:p w14:paraId="06FEAAE3"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Poradové číslo</w:t>
            </w:r>
            <w:r w:rsidRPr="00326E55">
              <w:rPr>
                <w:rFonts w:ascii="Times New Roman" w:hAnsi="Times New Roman"/>
                <w:noProof/>
                <w:spacing w:val="-6"/>
                <w:lang w:val="sk-SK"/>
              </w:rPr>
              <w:t> </w:t>
            </w:r>
          </w:p>
        </w:tc>
        <w:tc>
          <w:tcPr>
            <w:tcW w:w="1418" w:type="dxa"/>
            <w:vMerge w:val="restart"/>
            <w:shd w:val="clear" w:color="auto" w:fill="BDD7EE"/>
            <w:vAlign w:val="center"/>
            <w:hideMark/>
          </w:tcPr>
          <w:p w14:paraId="72EE6A21"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Súvisiace opatrenie (reforma alebo investícia)</w:t>
            </w:r>
            <w:r w:rsidRPr="00326E55">
              <w:rPr>
                <w:rFonts w:ascii="Times New Roman" w:hAnsi="Times New Roman"/>
                <w:noProof/>
                <w:spacing w:val="-6"/>
                <w:lang w:val="sk-SK"/>
              </w:rPr>
              <w:t> </w:t>
            </w:r>
          </w:p>
        </w:tc>
        <w:tc>
          <w:tcPr>
            <w:tcW w:w="1276" w:type="dxa"/>
            <w:vMerge w:val="restart"/>
            <w:shd w:val="clear" w:color="auto" w:fill="BDD7EE"/>
            <w:vAlign w:val="center"/>
            <w:hideMark/>
          </w:tcPr>
          <w:p w14:paraId="3F6A5F83"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Míľnik/cieľ</w:t>
            </w:r>
            <w:r w:rsidRPr="00326E55">
              <w:rPr>
                <w:rFonts w:ascii="Times New Roman" w:hAnsi="Times New Roman"/>
                <w:noProof/>
                <w:spacing w:val="-6"/>
                <w:lang w:val="sk-SK"/>
              </w:rPr>
              <w:t> </w:t>
            </w:r>
          </w:p>
        </w:tc>
        <w:tc>
          <w:tcPr>
            <w:tcW w:w="1701" w:type="dxa"/>
            <w:vMerge w:val="restart"/>
            <w:shd w:val="clear" w:color="auto" w:fill="BDD7EE"/>
            <w:vAlign w:val="center"/>
            <w:hideMark/>
          </w:tcPr>
          <w:p w14:paraId="6EDEF13D"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Názov</w:t>
            </w:r>
            <w:r w:rsidRPr="00326E55">
              <w:rPr>
                <w:rFonts w:ascii="Times New Roman" w:hAnsi="Times New Roman"/>
                <w:noProof/>
                <w:spacing w:val="-6"/>
                <w:lang w:val="sk-SK"/>
              </w:rPr>
              <w:t> </w:t>
            </w:r>
          </w:p>
        </w:tc>
        <w:tc>
          <w:tcPr>
            <w:tcW w:w="1771" w:type="dxa"/>
            <w:vMerge w:val="restart"/>
            <w:shd w:val="clear" w:color="auto" w:fill="BDD7EE"/>
            <w:vAlign w:val="center"/>
            <w:hideMark/>
          </w:tcPr>
          <w:p w14:paraId="79D9AA64" w14:textId="7C373D79"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lang w:val="sk-SK"/>
              </w:rPr>
              <w:t>(pre míľniky)</w:t>
            </w:r>
            <w:r w:rsidRPr="00326E55">
              <w:rPr>
                <w:rFonts w:ascii="Times New Roman" w:hAnsi="Times New Roman"/>
                <w:noProof/>
                <w:spacing w:val="-6"/>
                <w:lang w:val="sk-SK"/>
              </w:rPr>
              <w:t> </w:t>
            </w:r>
          </w:p>
        </w:tc>
        <w:tc>
          <w:tcPr>
            <w:tcW w:w="3338" w:type="dxa"/>
            <w:gridSpan w:val="3"/>
            <w:shd w:val="clear" w:color="auto" w:fill="BDD7EE"/>
            <w:vAlign w:val="center"/>
            <w:hideMark/>
          </w:tcPr>
          <w:p w14:paraId="2E6ABAA3" w14:textId="6612BE6F"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lang w:val="sk-SK"/>
              </w:rPr>
              <w:t>(pre</w:t>
            </w:r>
            <w:r w:rsidRPr="00326E55">
              <w:rPr>
                <w:rFonts w:ascii="Times New Roman" w:hAnsi="Times New Roman"/>
                <w:b/>
                <w:noProof/>
                <w:spacing w:val="-6"/>
                <w:lang w:val="sk-SK"/>
              </w:rPr>
              <w:t xml:space="preserve"> cieľové hodnoty)</w:t>
            </w:r>
            <w:r w:rsidRPr="00326E55">
              <w:rPr>
                <w:rFonts w:ascii="Times New Roman" w:hAnsi="Times New Roman"/>
                <w:noProof/>
                <w:spacing w:val="-6"/>
                <w:lang w:val="sk-SK"/>
              </w:rPr>
              <w:t> </w:t>
            </w:r>
          </w:p>
        </w:tc>
        <w:tc>
          <w:tcPr>
            <w:tcW w:w="1508" w:type="dxa"/>
            <w:gridSpan w:val="2"/>
            <w:shd w:val="clear" w:color="auto" w:fill="BDD7EE"/>
            <w:vAlign w:val="center"/>
            <w:hideMark/>
          </w:tcPr>
          <w:p w14:paraId="4F86BFE1"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Orientačný harmonogram dokončenia</w:t>
            </w:r>
            <w:r w:rsidRPr="00326E55">
              <w:rPr>
                <w:rFonts w:ascii="Times New Roman" w:hAnsi="Times New Roman"/>
                <w:noProof/>
                <w:spacing w:val="-6"/>
                <w:lang w:val="sk-SK"/>
              </w:rPr>
              <w:t> </w:t>
            </w:r>
          </w:p>
        </w:tc>
        <w:tc>
          <w:tcPr>
            <w:tcW w:w="2880" w:type="dxa"/>
            <w:vMerge w:val="restart"/>
            <w:shd w:val="clear" w:color="auto" w:fill="BDD7EE"/>
            <w:vAlign w:val="center"/>
            <w:hideMark/>
          </w:tcPr>
          <w:p w14:paraId="7F7BEB35" w14:textId="41C8358E" w:rsidR="00BF03AA" w:rsidRPr="00326E55" w:rsidRDefault="00FB452D">
            <w:pPr>
              <w:pStyle w:val="P68B1DB1-Normal49"/>
              <w:spacing w:after="0" w:line="240" w:lineRule="auto"/>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Opis každého míľnika</w:t>
            </w:r>
            <w:r w:rsidR="00326E55" w:rsidRPr="00326E55">
              <w:rPr>
                <w:rFonts w:ascii="Times New Roman" w:hAnsi="Times New Roman"/>
                <w:b/>
                <w:noProof/>
                <w:spacing w:val="-6"/>
                <w:lang w:val="sk-SK"/>
              </w:rPr>
              <w:t xml:space="preserve"> a </w:t>
            </w:r>
            <w:r w:rsidRPr="00326E55">
              <w:rPr>
                <w:rFonts w:ascii="Times New Roman" w:hAnsi="Times New Roman"/>
                <w:b/>
                <w:noProof/>
                <w:spacing w:val="-6"/>
                <w:lang w:val="sk-SK"/>
              </w:rPr>
              <w:t>cieľa</w:t>
            </w:r>
            <w:r w:rsidRPr="00326E55">
              <w:rPr>
                <w:rFonts w:ascii="Times New Roman" w:hAnsi="Times New Roman"/>
                <w:noProof/>
                <w:spacing w:val="-6"/>
                <w:lang w:val="sk-SK"/>
              </w:rPr>
              <w:t> </w:t>
            </w:r>
          </w:p>
        </w:tc>
      </w:tr>
      <w:tr w:rsidR="00BF03AA" w:rsidRPr="00326E55" w14:paraId="5CC718B7" w14:textId="77777777">
        <w:trPr>
          <w:trHeight w:val="300"/>
          <w:tblHeader/>
        </w:trPr>
        <w:tc>
          <w:tcPr>
            <w:tcW w:w="1276" w:type="dxa"/>
            <w:vMerge/>
            <w:vAlign w:val="center"/>
            <w:hideMark/>
          </w:tcPr>
          <w:p w14:paraId="77C324D1"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418" w:type="dxa"/>
            <w:vMerge/>
            <w:vAlign w:val="center"/>
            <w:hideMark/>
          </w:tcPr>
          <w:p w14:paraId="14685905"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276" w:type="dxa"/>
            <w:vMerge/>
            <w:vAlign w:val="center"/>
            <w:hideMark/>
          </w:tcPr>
          <w:p w14:paraId="022BC84C"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701" w:type="dxa"/>
            <w:vMerge/>
            <w:vAlign w:val="center"/>
            <w:hideMark/>
          </w:tcPr>
          <w:p w14:paraId="64AFB6EB"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771" w:type="dxa"/>
            <w:vMerge/>
            <w:vAlign w:val="center"/>
            <w:hideMark/>
          </w:tcPr>
          <w:p w14:paraId="44092EC3"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098" w:type="dxa"/>
            <w:shd w:val="clear" w:color="auto" w:fill="BDD7EE"/>
            <w:vAlign w:val="center"/>
            <w:hideMark/>
          </w:tcPr>
          <w:p w14:paraId="2F53D412"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Merná jednotka</w:t>
            </w:r>
            <w:r w:rsidRPr="00326E55">
              <w:rPr>
                <w:rFonts w:ascii="Times New Roman" w:hAnsi="Times New Roman"/>
                <w:noProof/>
                <w:spacing w:val="-6"/>
                <w:lang w:val="sk-SK"/>
              </w:rPr>
              <w:t> </w:t>
            </w:r>
          </w:p>
        </w:tc>
        <w:tc>
          <w:tcPr>
            <w:tcW w:w="1043" w:type="dxa"/>
            <w:shd w:val="clear" w:color="auto" w:fill="BDD7EE"/>
            <w:vAlign w:val="center"/>
            <w:hideMark/>
          </w:tcPr>
          <w:p w14:paraId="3DFB793A"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Základná</w:t>
            </w:r>
            <w:r w:rsidRPr="00326E55">
              <w:rPr>
                <w:rFonts w:ascii="Times New Roman" w:hAnsi="Times New Roman"/>
                <w:noProof/>
                <w:spacing w:val="-6"/>
                <w:lang w:val="sk-SK"/>
              </w:rPr>
              <w:t> </w:t>
            </w:r>
          </w:p>
        </w:tc>
        <w:tc>
          <w:tcPr>
            <w:tcW w:w="1197" w:type="dxa"/>
            <w:shd w:val="clear" w:color="auto" w:fill="BDD7EE"/>
            <w:vAlign w:val="center"/>
            <w:hideMark/>
          </w:tcPr>
          <w:p w14:paraId="736672DE"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Cieľ</w:t>
            </w:r>
            <w:r w:rsidRPr="00326E55">
              <w:rPr>
                <w:rFonts w:ascii="Times New Roman" w:hAnsi="Times New Roman"/>
                <w:noProof/>
                <w:spacing w:val="-6"/>
                <w:lang w:val="sk-SK"/>
              </w:rPr>
              <w:t> </w:t>
            </w:r>
          </w:p>
        </w:tc>
        <w:tc>
          <w:tcPr>
            <w:tcW w:w="900" w:type="dxa"/>
            <w:shd w:val="clear" w:color="auto" w:fill="BDD7EE"/>
            <w:vAlign w:val="center"/>
            <w:hideMark/>
          </w:tcPr>
          <w:p w14:paraId="3C51B5D2"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Štvrtina</w:t>
            </w:r>
            <w:r w:rsidRPr="00326E55">
              <w:rPr>
                <w:rFonts w:ascii="Times New Roman" w:hAnsi="Times New Roman"/>
                <w:noProof/>
                <w:spacing w:val="-6"/>
                <w:lang w:val="sk-SK"/>
              </w:rPr>
              <w:t> </w:t>
            </w:r>
          </w:p>
        </w:tc>
        <w:tc>
          <w:tcPr>
            <w:tcW w:w="608" w:type="dxa"/>
            <w:shd w:val="clear" w:color="auto" w:fill="BDD7EE"/>
            <w:vAlign w:val="center"/>
            <w:hideMark/>
          </w:tcPr>
          <w:p w14:paraId="25B906D7"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Rok</w:t>
            </w:r>
            <w:r w:rsidRPr="00326E55">
              <w:rPr>
                <w:rFonts w:ascii="Times New Roman" w:hAnsi="Times New Roman"/>
                <w:noProof/>
                <w:spacing w:val="-6"/>
                <w:lang w:val="sk-SK"/>
              </w:rPr>
              <w:t> </w:t>
            </w:r>
          </w:p>
        </w:tc>
        <w:tc>
          <w:tcPr>
            <w:tcW w:w="2880" w:type="dxa"/>
            <w:vMerge/>
            <w:vAlign w:val="center"/>
            <w:hideMark/>
          </w:tcPr>
          <w:p w14:paraId="46483FDF"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r>
      <w:tr w:rsidR="00BF03AA" w:rsidRPr="00326E55" w14:paraId="029204D0" w14:textId="77777777">
        <w:trPr>
          <w:trHeight w:val="300"/>
        </w:trPr>
        <w:tc>
          <w:tcPr>
            <w:tcW w:w="1276" w:type="dxa"/>
            <w:shd w:val="clear" w:color="auto" w:fill="C6EFCE"/>
            <w:vAlign w:val="center"/>
            <w:hideMark/>
          </w:tcPr>
          <w:p w14:paraId="5D0C01F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 </w:t>
            </w:r>
          </w:p>
        </w:tc>
        <w:tc>
          <w:tcPr>
            <w:tcW w:w="1418" w:type="dxa"/>
            <w:shd w:val="clear" w:color="auto" w:fill="C6EFCE"/>
            <w:vAlign w:val="center"/>
            <w:hideMark/>
          </w:tcPr>
          <w:p w14:paraId="30B53B20"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Reforma 1.1 – Národná stratégia pre obehové hospodárstvo </w:t>
            </w:r>
          </w:p>
        </w:tc>
        <w:tc>
          <w:tcPr>
            <w:tcW w:w="1276" w:type="dxa"/>
            <w:shd w:val="clear" w:color="auto" w:fill="C6EFCE"/>
            <w:vAlign w:val="center"/>
            <w:hideMark/>
          </w:tcPr>
          <w:p w14:paraId="33AA09E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701" w:type="dxa"/>
            <w:shd w:val="clear" w:color="auto" w:fill="C6EFCE"/>
            <w:vAlign w:val="center"/>
            <w:hideMark/>
          </w:tcPr>
          <w:p w14:paraId="1D4A9D24" w14:textId="30C167CD"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Nadobudnutie účinnosti ministerskej </w:t>
            </w:r>
            <w:r w:rsidRPr="00326E55">
              <w:rPr>
                <w:rFonts w:ascii="Times New Roman" w:hAnsi="Times New Roman"/>
                <w:noProof/>
                <w:spacing w:val="-6"/>
                <w:lang w:val="sk-SK"/>
              </w:rPr>
              <w:t>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 národnej stratégie pre obehové hospodárstvo </w:t>
            </w:r>
          </w:p>
        </w:tc>
        <w:tc>
          <w:tcPr>
            <w:tcW w:w="1771" w:type="dxa"/>
            <w:shd w:val="clear" w:color="auto" w:fill="C6EFCE"/>
            <w:vAlign w:val="center"/>
            <w:hideMark/>
          </w:tcPr>
          <w:p w14:paraId="527B26B9" w14:textId="5B837779"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Ustanovenie ministerskej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w:t>
            </w:r>
          </w:p>
        </w:tc>
        <w:tc>
          <w:tcPr>
            <w:tcW w:w="1098" w:type="dxa"/>
            <w:shd w:val="clear" w:color="auto" w:fill="C6EFCE"/>
            <w:vAlign w:val="center"/>
            <w:hideMark/>
          </w:tcPr>
          <w:p w14:paraId="59896D5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43" w:type="dxa"/>
            <w:shd w:val="clear" w:color="auto" w:fill="C6EFCE"/>
            <w:vAlign w:val="center"/>
            <w:hideMark/>
          </w:tcPr>
          <w:p w14:paraId="083445D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197" w:type="dxa"/>
            <w:shd w:val="clear" w:color="auto" w:fill="C6EFCE"/>
            <w:vAlign w:val="center"/>
            <w:hideMark/>
          </w:tcPr>
          <w:p w14:paraId="5867715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00" w:type="dxa"/>
            <w:shd w:val="clear" w:color="auto" w:fill="C6EFCE"/>
            <w:vAlign w:val="center"/>
            <w:hideMark/>
          </w:tcPr>
          <w:p w14:paraId="1374E21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08" w:type="dxa"/>
            <w:shd w:val="clear" w:color="auto" w:fill="C6EFCE"/>
            <w:vAlign w:val="center"/>
            <w:hideMark/>
          </w:tcPr>
          <w:p w14:paraId="0612560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2022 </w:t>
            </w:r>
          </w:p>
        </w:tc>
        <w:tc>
          <w:tcPr>
            <w:tcW w:w="2880" w:type="dxa"/>
            <w:shd w:val="clear" w:color="auto" w:fill="C6EFCE"/>
            <w:vAlign w:val="center"/>
            <w:hideMark/>
          </w:tcPr>
          <w:p w14:paraId="2943CD72" w14:textId="45344E91"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Ministerská vyhláška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prijatí národnej stratégie pre obehové hospodárstvo </w:t>
            </w:r>
            <w:r w:rsidRPr="00326E55">
              <w:rPr>
                <w:rFonts w:ascii="Times New Roman" w:hAnsi="Times New Roman"/>
                <w:noProof/>
                <w:spacing w:val="-6"/>
                <w:lang w:val="sk-SK"/>
              </w:rPr>
              <w:t>obsahuje aspoň tieto opatrenia</w:t>
            </w:r>
            <w:r w:rsidR="00326E55" w:rsidRPr="00326E55">
              <w:rPr>
                <w:rFonts w:ascii="Times New Roman" w:hAnsi="Times New Roman"/>
                <w:noProof/>
                <w:spacing w:val="-6"/>
                <w:lang w:val="sk-SK"/>
              </w:rPr>
              <w:t>:</w:t>
            </w:r>
          </w:p>
          <w:p w14:paraId="4528E346" w14:textId="076B44E5" w:rsidR="00326E55"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nový digitálny systém vysledovateľnosti odpadu, ktorý na jednej strane podporí rozvoj sekundárneho trhu so surovinami (poskytnutím jasného rámca pre dodávky druhotných surovín) na strane druhej kontrolným orgánom pri predchá</w:t>
            </w:r>
            <w:r w:rsidRPr="00326E55">
              <w:rPr>
                <w:rFonts w:ascii="Times New Roman" w:hAnsi="Times New Roman"/>
                <w:noProof/>
                <w:spacing w:val="-6"/>
                <w:lang w:val="sk-SK"/>
              </w:rPr>
              <w:t>dzaní nezákonnému nakladaniu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boji proti nemu</w:t>
            </w:r>
            <w:r w:rsidR="00326E55" w:rsidRPr="00326E55">
              <w:rPr>
                <w:rFonts w:ascii="Times New Roman" w:hAnsi="Times New Roman"/>
                <w:noProof/>
                <w:spacing w:val="-6"/>
                <w:lang w:val="sk-SK"/>
              </w:rPr>
              <w:t>.</w:t>
            </w:r>
          </w:p>
          <w:p w14:paraId="69B9FBB6" w14:textId="36398A0D" w:rsidR="00326E55"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daňové stimuly na podporu recyklačných činností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využívania druhotných surovín</w:t>
            </w:r>
            <w:r w:rsidR="00326E55" w:rsidRPr="00326E55">
              <w:rPr>
                <w:rFonts w:ascii="Times New Roman" w:hAnsi="Times New Roman"/>
                <w:noProof/>
                <w:spacing w:val="-6"/>
                <w:lang w:val="sk-SK"/>
              </w:rPr>
              <w:t>;</w:t>
            </w:r>
          </w:p>
          <w:p w14:paraId="053DACF6" w14:textId="2704CE89" w:rsidR="00326E55" w:rsidRPr="00326E55" w:rsidRDefault="00FB452D">
            <w:pPr>
              <w:pStyle w:val="P68B1DB1-ListParagraph52"/>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revíziu systému environmentálneho zdaňovania odpadu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aby recyklácia bola vhodnejšia ako skládkova</w:t>
            </w:r>
            <w:r w:rsidRPr="00326E55">
              <w:rPr>
                <w:rFonts w:ascii="Times New Roman" w:hAnsi="Times New Roman"/>
                <w:noProof/>
                <w:spacing w:val="-6"/>
                <w:lang w:val="sk-SK"/>
              </w:rPr>
              <w:t>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spaľovanie na celom území štátu</w:t>
            </w:r>
            <w:r w:rsidR="00326E55" w:rsidRPr="00326E55">
              <w:rPr>
                <w:rFonts w:ascii="Times New Roman" w:hAnsi="Times New Roman"/>
                <w:noProof/>
                <w:spacing w:val="-6"/>
                <w:lang w:val="sk-SK"/>
              </w:rPr>
              <w:t>;</w:t>
            </w:r>
          </w:p>
          <w:p w14:paraId="52861A2A" w14:textId="4A77F980" w:rsidR="00326E55"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právo na opätovné použitie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opravu</w:t>
            </w:r>
            <w:r w:rsidR="00326E55" w:rsidRPr="00326E55">
              <w:rPr>
                <w:rFonts w:ascii="Times New Roman" w:hAnsi="Times New Roman"/>
                <w:noProof/>
                <w:spacing w:val="-6"/>
                <w:lang w:val="sk-SK"/>
              </w:rPr>
              <w:t>;</w:t>
            </w:r>
          </w:p>
          <w:p w14:paraId="7B52C800" w14:textId="1A4B2EF7" w:rsidR="00326E55"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reforma rozšírenej zodpovednosti výrobcu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systému konzorcií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podporiť dosiahnutie cieľov EÚ vytvorením osobitného dozorného orgánu pod predsedníctvom MITE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monitor</w:t>
            </w:r>
            <w:r w:rsidRPr="00326E55">
              <w:rPr>
                <w:rFonts w:ascii="Times New Roman" w:hAnsi="Times New Roman"/>
                <w:noProof/>
                <w:spacing w:val="-6"/>
                <w:lang w:val="sk-SK"/>
              </w:rPr>
              <w:t>ovať fungovanie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účinnosť systémov konzorcií</w:t>
            </w:r>
            <w:r w:rsidR="00326E55" w:rsidRPr="00326E55">
              <w:rPr>
                <w:rFonts w:ascii="Times New Roman" w:hAnsi="Times New Roman"/>
                <w:noProof/>
                <w:spacing w:val="-6"/>
                <w:lang w:val="sk-SK"/>
              </w:rPr>
              <w:t>;</w:t>
            </w:r>
          </w:p>
          <w:p w14:paraId="42A5E4D1" w14:textId="7229AEEB" w:rsidR="00326E55"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podpora existujúcich regulačných nástrojov: Právne predpisy týkajúce sa konca odpadu (vnútroštátne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regionálne), minimálne environmentálne kritériá (CAM)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zeleného verejného obstarávania. Vývoj/aktuali</w:t>
            </w:r>
            <w:r w:rsidRPr="00326E55">
              <w:rPr>
                <w:rFonts w:ascii="Times New Roman" w:hAnsi="Times New Roman"/>
                <w:noProof/>
                <w:spacing w:val="-6"/>
                <w:lang w:val="sk-SK"/>
              </w:rPr>
              <w:t>zácia EOW</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CAM sa osobitne zaoberá stavbou, textilom, plastmi, odpadom</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elektrických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elektronických zariadení (OEEZ)</w:t>
            </w:r>
            <w:r w:rsidR="00326E55" w:rsidRPr="00326E55">
              <w:rPr>
                <w:rFonts w:ascii="Times New Roman" w:hAnsi="Times New Roman"/>
                <w:noProof/>
                <w:spacing w:val="-6"/>
                <w:lang w:val="sk-SK"/>
              </w:rPr>
              <w:t>.</w:t>
            </w:r>
          </w:p>
          <w:p w14:paraId="29642952" w14:textId="5C0688E9" w:rsidR="00BF03AA"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podpora projektu priemyselnej symbiózy prostredníctvom regulačných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finančných nástrojov.) </w:t>
            </w:r>
          </w:p>
        </w:tc>
      </w:tr>
      <w:tr w:rsidR="00BF03AA" w:rsidRPr="00326E55" w14:paraId="4383217E" w14:textId="77777777">
        <w:trPr>
          <w:trHeight w:val="300"/>
        </w:trPr>
        <w:tc>
          <w:tcPr>
            <w:tcW w:w="1276" w:type="dxa"/>
            <w:shd w:val="clear" w:color="auto" w:fill="C6EFCE"/>
            <w:vAlign w:val="center"/>
            <w:hideMark/>
          </w:tcPr>
          <w:p w14:paraId="36CF40C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2 </w:t>
            </w:r>
          </w:p>
        </w:tc>
        <w:tc>
          <w:tcPr>
            <w:tcW w:w="1418" w:type="dxa"/>
            <w:shd w:val="clear" w:color="auto" w:fill="C6EFCE"/>
            <w:vAlign w:val="center"/>
            <w:hideMark/>
          </w:tcPr>
          <w:p w14:paraId="47F417D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Reforma 1.3 – Technická </w:t>
            </w:r>
            <w:r w:rsidRPr="00326E55">
              <w:rPr>
                <w:rFonts w:ascii="Times New Roman" w:hAnsi="Times New Roman"/>
                <w:noProof/>
                <w:spacing w:val="-6"/>
                <w:lang w:val="sk-SK"/>
              </w:rPr>
              <w:t>podpora pre miestne orgány </w:t>
            </w:r>
          </w:p>
        </w:tc>
        <w:tc>
          <w:tcPr>
            <w:tcW w:w="1276" w:type="dxa"/>
            <w:shd w:val="clear" w:color="auto" w:fill="C6EFCE"/>
            <w:vAlign w:val="center"/>
            <w:hideMark/>
          </w:tcPr>
          <w:p w14:paraId="7A444B6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701" w:type="dxa"/>
            <w:shd w:val="clear" w:color="auto" w:fill="C6EFCE"/>
            <w:vAlign w:val="center"/>
            <w:hideMark/>
          </w:tcPr>
          <w:p w14:paraId="290DB19E" w14:textId="40E4BDE1"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Schválenie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vypracovaní akčného plánu budovania kapacít na podporu miestnych verejných orgánov </w:t>
            </w:r>
          </w:p>
        </w:tc>
        <w:tc>
          <w:tcPr>
            <w:tcW w:w="1771" w:type="dxa"/>
            <w:shd w:val="clear" w:color="auto" w:fill="C6EFCE"/>
            <w:vAlign w:val="center"/>
            <w:hideMark/>
          </w:tcPr>
          <w:p w14:paraId="0D63D65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Uverejnenie schválenej dohody na webovom sídle ministerstva </w:t>
            </w:r>
          </w:p>
        </w:tc>
        <w:tc>
          <w:tcPr>
            <w:tcW w:w="1098" w:type="dxa"/>
            <w:shd w:val="clear" w:color="auto" w:fill="C6EFCE"/>
            <w:vAlign w:val="center"/>
            <w:hideMark/>
          </w:tcPr>
          <w:p w14:paraId="4A22763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43" w:type="dxa"/>
            <w:shd w:val="clear" w:color="auto" w:fill="C6EFCE"/>
            <w:vAlign w:val="center"/>
            <w:hideMark/>
          </w:tcPr>
          <w:p w14:paraId="271DCEB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197" w:type="dxa"/>
            <w:shd w:val="clear" w:color="auto" w:fill="C6EFCE"/>
            <w:vAlign w:val="center"/>
            <w:hideMark/>
          </w:tcPr>
          <w:p w14:paraId="3D8FCE7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00" w:type="dxa"/>
            <w:shd w:val="clear" w:color="auto" w:fill="C6EFCE"/>
            <w:vAlign w:val="center"/>
            <w:hideMark/>
          </w:tcPr>
          <w:p w14:paraId="50F0ADD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08" w:type="dxa"/>
            <w:shd w:val="clear" w:color="auto" w:fill="C6EFCE"/>
            <w:vAlign w:val="center"/>
            <w:hideMark/>
          </w:tcPr>
          <w:p w14:paraId="3C498ED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2022 </w:t>
            </w:r>
          </w:p>
        </w:tc>
        <w:tc>
          <w:tcPr>
            <w:tcW w:w="2880" w:type="dxa"/>
            <w:shd w:val="clear" w:color="auto" w:fill="C6EFCE"/>
            <w:vAlign w:val="center"/>
            <w:hideMark/>
          </w:tcPr>
          <w:p w14:paraId="7262716A" w14:textId="4B08FF3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Schvaľuje sa dohoda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vypracovaní akčného plánu budovania kapacít na podporu miestnych verejných orgánov pri vykonávaní minimálnych environmentálnych kritérií (CAM) stanovených zákonom (legislatívna vyhláška </w:t>
            </w:r>
            <w:r w:rsidR="00326E55" w:rsidRPr="00326E55">
              <w:rPr>
                <w:rFonts w:ascii="Times New Roman" w:hAnsi="Times New Roman"/>
                <w:noProof/>
                <w:spacing w:val="-6"/>
                <w:lang w:val="sk-SK"/>
              </w:rPr>
              <w:t>č. </w:t>
            </w:r>
            <w:r w:rsidRPr="00326E55">
              <w:rPr>
                <w:rFonts w:ascii="Times New Roman" w:hAnsi="Times New Roman"/>
                <w:noProof/>
                <w:spacing w:val="-6"/>
                <w:lang w:val="sk-SK"/>
              </w:rPr>
              <w:t>50/2016</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verejnom obstarávaní)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zelen</w:t>
            </w:r>
            <w:r w:rsidRPr="00326E55">
              <w:rPr>
                <w:rFonts w:ascii="Times New Roman" w:hAnsi="Times New Roman"/>
                <w:noProof/>
                <w:spacing w:val="-6"/>
                <w:lang w:val="sk-SK"/>
              </w:rPr>
              <w:t>ého verejného obstarávania (GPP)</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začiatku podpornej akcie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postupov verejného obstarávania</w:t>
            </w:r>
            <w:r w:rsidR="00326E55" w:rsidRPr="00326E55">
              <w:rPr>
                <w:rFonts w:ascii="Times New Roman" w:hAnsi="Times New Roman"/>
                <w:noProof/>
                <w:spacing w:val="-6"/>
                <w:lang w:val="sk-SK"/>
              </w:rPr>
              <w:t>.</w:t>
            </w:r>
          </w:p>
          <w:p w14:paraId="4B11594C" w14:textId="5E506196"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Technickú podporu miestnym orgánom (regiónom, provinciám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obciam) zabezpečuje vláda (ministerstvo pre ekologickú transformáciu, ministerstvo pre hospodárs</w:t>
            </w:r>
            <w:r w:rsidRPr="00326E55">
              <w:rPr>
                <w:rFonts w:ascii="Times New Roman" w:hAnsi="Times New Roman"/>
                <w:noProof/>
                <w:spacing w:val="-6"/>
                <w:lang w:val="sk-SK"/>
              </w:rPr>
              <w:t>ky rozvoj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iné relevantné subjekty) prostredníctvom interných spoločností. Technická podpora sa vzťahuje na</w:t>
            </w:r>
            <w:r w:rsidR="00326E55" w:rsidRPr="00326E55">
              <w:rPr>
                <w:rFonts w:ascii="Times New Roman" w:hAnsi="Times New Roman"/>
                <w:noProof/>
                <w:spacing w:val="-6"/>
                <w:lang w:val="sk-SK"/>
              </w:rPr>
              <w:t>:</w:t>
            </w:r>
          </w:p>
          <w:p w14:paraId="05BCACEB" w14:textId="799EB5DB" w:rsidR="00326E55"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technická pomoc pri vykonávaní právnych predpisov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vnútroštátnych právnych predpisov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r w:rsidR="00326E55" w:rsidRPr="00326E55">
              <w:rPr>
                <w:rFonts w:ascii="Times New Roman" w:hAnsi="Times New Roman"/>
                <w:noProof/>
                <w:spacing w:val="-6"/>
                <w:lang w:val="sk-SK"/>
              </w:rPr>
              <w:t>;</w:t>
            </w:r>
          </w:p>
          <w:p w14:paraId="38B28188" w14:textId="7D934341" w:rsidR="00326E55"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podpora rozvoja plánov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projektov týkajúcich sa nakladania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r w:rsidR="00326E55" w:rsidRPr="00326E55">
              <w:rPr>
                <w:rFonts w:ascii="Times New Roman" w:hAnsi="Times New Roman"/>
                <w:noProof/>
                <w:spacing w:val="-6"/>
                <w:lang w:val="sk-SK"/>
              </w:rPr>
              <w:t>;</w:t>
            </w:r>
          </w:p>
          <w:p w14:paraId="099F2E3B" w14:textId="0B13E45E" w:rsidR="00326E55" w:rsidRPr="00326E55" w:rsidRDefault="00FB452D">
            <w:pPr>
              <w:pStyle w:val="P68B1DB1-ListParagraph51"/>
              <w:numPr>
                <w:ilvl w:val="0"/>
                <w:numId w:val="176"/>
              </w:numPr>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podpora postupov verejného obstarávania,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aby sa koncesie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odpadového hospodárstva udeľovali transparentným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nediskriminačným spôsobom, čím sa zvýšia konkurenčné postupy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dosiahnuť lepšie normy pre verejné služby</w:t>
            </w:r>
            <w:r w:rsidR="00326E55" w:rsidRPr="00326E55">
              <w:rPr>
                <w:rFonts w:ascii="Times New Roman" w:hAnsi="Times New Roman"/>
                <w:noProof/>
                <w:spacing w:val="-6"/>
                <w:lang w:val="sk-SK"/>
              </w:rPr>
              <w:t>.</w:t>
            </w:r>
          </w:p>
          <w:p w14:paraId="2E54B7E0" w14:textId="77777777" w:rsidR="00326E55" w:rsidRPr="00326E55" w:rsidRDefault="00326E55">
            <w:pPr>
              <w:pStyle w:val="P68B1DB1-Normal50"/>
              <w:spacing w:after="0" w:line="240" w:lineRule="auto"/>
              <w:ind w:left="330"/>
              <w:textAlignment w:val="baseline"/>
              <w:rPr>
                <w:rFonts w:ascii="Times New Roman" w:hAnsi="Times New Roman"/>
                <w:noProof/>
                <w:spacing w:val="-6"/>
                <w:lang w:val="sk-SK"/>
              </w:rPr>
            </w:pPr>
          </w:p>
          <w:p w14:paraId="58CCCA8B" w14:textId="620BC20A"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Ministerstvo pre ekologickú transformáciu vypracuje osobitný akčný plán budovania kapacít</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podporiť miestne verejné orgány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profesionálnych verejných obstarávateľo</w:t>
            </w:r>
            <w:r w:rsidRPr="00326E55">
              <w:rPr>
                <w:rFonts w:ascii="Times New Roman" w:hAnsi="Times New Roman"/>
                <w:noProof/>
                <w:spacing w:val="-6"/>
                <w:lang w:val="sk-SK"/>
              </w:rPr>
              <w:t xml:space="preserve">v pri uplatňovaní minimálnych environmentálnych kritérií (CAM) stanovených zákonom (legislatívna vyhláška </w:t>
            </w:r>
            <w:r w:rsidR="00326E55" w:rsidRPr="00326E55">
              <w:rPr>
                <w:rFonts w:ascii="Times New Roman" w:hAnsi="Times New Roman"/>
                <w:noProof/>
                <w:spacing w:val="-6"/>
                <w:lang w:val="sk-SK"/>
              </w:rPr>
              <w:t>č. </w:t>
            </w:r>
            <w:r w:rsidRPr="00326E55">
              <w:rPr>
                <w:rFonts w:ascii="Times New Roman" w:hAnsi="Times New Roman"/>
                <w:noProof/>
                <w:spacing w:val="-6"/>
                <w:lang w:val="sk-SK"/>
              </w:rPr>
              <w:t>50/2016</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verejnom obstarávaní)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zeleného verejného obstarávania (GPP). </w:t>
            </w:r>
          </w:p>
        </w:tc>
      </w:tr>
      <w:tr w:rsidR="00BF03AA" w:rsidRPr="00326E55" w14:paraId="32236AD3" w14:textId="77777777">
        <w:trPr>
          <w:trHeight w:val="300"/>
        </w:trPr>
        <w:tc>
          <w:tcPr>
            <w:tcW w:w="1276" w:type="dxa"/>
            <w:shd w:val="clear" w:color="auto" w:fill="C6EFCE"/>
            <w:vAlign w:val="center"/>
            <w:hideMark/>
          </w:tcPr>
          <w:p w14:paraId="18A8C74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3 </w:t>
            </w:r>
          </w:p>
        </w:tc>
        <w:tc>
          <w:tcPr>
            <w:tcW w:w="1418" w:type="dxa"/>
            <w:shd w:val="clear" w:color="auto" w:fill="C6EFCE"/>
            <w:vAlign w:val="center"/>
            <w:hideMark/>
          </w:tcPr>
          <w:p w14:paraId="1DF2975D" w14:textId="49778FD6"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Investícia 2.1: Logistický plán pre odvetvia </w:t>
            </w:r>
            <w:r w:rsidRPr="00326E55">
              <w:rPr>
                <w:rFonts w:ascii="Times New Roman" w:hAnsi="Times New Roman"/>
                <w:noProof/>
                <w:spacing w:val="-6"/>
                <w:lang w:val="sk-SK"/>
              </w:rPr>
              <w:t>agropotravinárstva, rybolovu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akvakultúry, lesného hospodárstva, kvetinárstva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škôlok </w:t>
            </w:r>
          </w:p>
        </w:tc>
        <w:tc>
          <w:tcPr>
            <w:tcW w:w="1276" w:type="dxa"/>
            <w:shd w:val="clear" w:color="auto" w:fill="C6EFCE"/>
            <w:vAlign w:val="center"/>
            <w:hideMark/>
          </w:tcPr>
          <w:p w14:paraId="7EA57BB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701" w:type="dxa"/>
            <w:shd w:val="clear" w:color="auto" w:fill="C6EFCE"/>
            <w:vAlign w:val="center"/>
            <w:hideMark/>
          </w:tcPr>
          <w:p w14:paraId="2D87E669" w14:textId="30268E7D"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Uverejnenie konečného poradia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systému logistických stimulov </w:t>
            </w:r>
          </w:p>
        </w:tc>
        <w:tc>
          <w:tcPr>
            <w:tcW w:w="1771" w:type="dxa"/>
            <w:shd w:val="clear" w:color="auto" w:fill="C6EFCE"/>
            <w:vAlign w:val="center"/>
            <w:hideMark/>
          </w:tcPr>
          <w:p w14:paraId="519F163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Uverejnenie na webovom sídle ministerstva alebo akéhokoľvek iného podporného kanála </w:t>
            </w:r>
          </w:p>
        </w:tc>
        <w:tc>
          <w:tcPr>
            <w:tcW w:w="1098" w:type="dxa"/>
            <w:shd w:val="clear" w:color="auto" w:fill="C6EFCE"/>
            <w:vAlign w:val="center"/>
            <w:hideMark/>
          </w:tcPr>
          <w:p w14:paraId="5F23640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43" w:type="dxa"/>
            <w:shd w:val="clear" w:color="auto" w:fill="C6EFCE"/>
            <w:vAlign w:val="center"/>
            <w:hideMark/>
          </w:tcPr>
          <w:p w14:paraId="6BC0BDD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197" w:type="dxa"/>
            <w:shd w:val="clear" w:color="auto" w:fill="C6EFCE"/>
            <w:vAlign w:val="center"/>
            <w:hideMark/>
          </w:tcPr>
          <w:p w14:paraId="5C402A3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00" w:type="dxa"/>
            <w:shd w:val="clear" w:color="auto" w:fill="C6EFCE"/>
            <w:vAlign w:val="center"/>
            <w:hideMark/>
          </w:tcPr>
          <w:p w14:paraId="24A0478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08" w:type="dxa"/>
            <w:shd w:val="clear" w:color="auto" w:fill="C6EFCE"/>
            <w:vAlign w:val="center"/>
            <w:hideMark/>
          </w:tcPr>
          <w:p w14:paraId="33E53E8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2022 </w:t>
            </w:r>
          </w:p>
        </w:tc>
        <w:tc>
          <w:tcPr>
            <w:tcW w:w="2880" w:type="dxa"/>
            <w:shd w:val="clear" w:color="auto" w:fill="C6EFCE"/>
            <w:vAlign w:val="center"/>
            <w:hideMark/>
          </w:tcPr>
          <w:p w14:paraId="09395EC7" w14:textId="48B55BE4"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Konečné poradie sa určí vo vyhláške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schválení</w:t>
            </w:r>
            <w:r w:rsidR="00326E55" w:rsidRPr="00326E55">
              <w:rPr>
                <w:rFonts w:ascii="Times New Roman" w:hAnsi="Times New Roman"/>
                <w:noProof/>
                <w:spacing w:val="-6"/>
                <w:lang w:val="sk-SK"/>
              </w:rPr>
              <w:t>.</w:t>
            </w:r>
          </w:p>
          <w:p w14:paraId="33AFA78B"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Systém logistických stimulov zahŕňa</w:t>
            </w:r>
            <w:r w:rsidR="00326E55" w:rsidRPr="00326E55">
              <w:rPr>
                <w:rFonts w:ascii="Times New Roman" w:hAnsi="Times New Roman"/>
                <w:noProof/>
                <w:spacing w:val="-6"/>
                <w:lang w:val="sk-SK"/>
              </w:rPr>
              <w:t>:</w:t>
            </w:r>
          </w:p>
          <w:p w14:paraId="03F6944D" w14:textId="2CD0463A" w:rsidR="00326E55" w:rsidRPr="00326E55" w:rsidRDefault="00FB452D">
            <w:pPr>
              <w:pStyle w:val="P68B1DB1-Normal53"/>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a) kritériá oprávnenosti, ktorými sa zabezpečuje, aby vybrané projekty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r w:rsidR="00326E55" w:rsidRPr="00326E55">
              <w:rPr>
                <w:rFonts w:ascii="Times New Roman" w:hAnsi="Times New Roman"/>
                <w:noProof/>
                <w:spacing w:val="-6"/>
                <w:lang w:val="sk-SK"/>
              </w:rPr>
              <w:t>.</w:t>
            </w:r>
          </w:p>
          <w:p w14:paraId="2206115D" w14:textId="4D646166" w:rsidR="00326E55" w:rsidRPr="00326E55" w:rsidRDefault="00FB452D">
            <w:pPr>
              <w:pStyle w:val="P68B1DB1-Normal53"/>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b) záväzok, že príspevok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podľa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musí predstavovať aspoň 32</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investície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w:t>
            </w:r>
          </w:p>
          <w:p w14:paraId="4920E22F" w14:textId="6092DDD8"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C) záväzok, že digitálny príspevok investície podľa metod</w:t>
            </w:r>
            <w:r w:rsidRPr="00326E55">
              <w:rPr>
                <w:rFonts w:ascii="Times New Roman" w:hAnsi="Times New Roman"/>
                <w:noProof/>
                <w:spacing w:val="-6"/>
                <w:lang w:val="sk-SK"/>
              </w:rPr>
              <w:t>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bude predstavovať aspoň 27</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investície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w:t>
            </w:r>
          </w:p>
          <w:p w14:paraId="56DE8865" w14:textId="4A409890"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 záväzok podávať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vykonávaní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polovici trvania schémy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ukončen</w:t>
            </w:r>
            <w:r w:rsidRPr="00326E55">
              <w:rPr>
                <w:rFonts w:ascii="Times New Roman" w:hAnsi="Times New Roman"/>
                <w:noProof/>
                <w:spacing w:val="-6"/>
                <w:lang w:val="sk-SK"/>
              </w:rPr>
              <w:t>í schémy. </w:t>
            </w:r>
          </w:p>
        </w:tc>
      </w:tr>
      <w:tr w:rsidR="00BF03AA" w:rsidRPr="00326E55" w14:paraId="648E6FBA" w14:textId="77777777">
        <w:trPr>
          <w:trHeight w:val="300"/>
        </w:trPr>
        <w:tc>
          <w:tcPr>
            <w:tcW w:w="1276" w:type="dxa"/>
            <w:shd w:val="clear" w:color="auto" w:fill="C6EFCE"/>
            <w:vAlign w:val="center"/>
            <w:hideMark/>
          </w:tcPr>
          <w:p w14:paraId="13C5FC3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4 </w:t>
            </w:r>
          </w:p>
        </w:tc>
        <w:tc>
          <w:tcPr>
            <w:tcW w:w="1418" w:type="dxa"/>
            <w:shd w:val="clear" w:color="auto" w:fill="C6EFCE"/>
            <w:vAlign w:val="center"/>
            <w:hideMark/>
          </w:tcPr>
          <w:p w14:paraId="2D69A27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2.2: Poľnohospodársko-solárny park </w:t>
            </w:r>
          </w:p>
        </w:tc>
        <w:tc>
          <w:tcPr>
            <w:tcW w:w="1276" w:type="dxa"/>
            <w:shd w:val="clear" w:color="auto" w:fill="C6EFCE"/>
            <w:vAlign w:val="center"/>
            <w:hideMark/>
          </w:tcPr>
          <w:p w14:paraId="488AC34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701" w:type="dxa"/>
            <w:shd w:val="clear" w:color="auto" w:fill="C6EFCE"/>
            <w:vAlign w:val="center"/>
            <w:hideMark/>
          </w:tcPr>
          <w:p w14:paraId="0E72C4BA" w14:textId="56316FA5"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Pridelenie zdrojov príjemcom ako</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finančných zdrojov pridelených na investíciu </w:t>
            </w:r>
          </w:p>
        </w:tc>
        <w:tc>
          <w:tcPr>
            <w:tcW w:w="1771" w:type="dxa"/>
            <w:shd w:val="clear" w:color="auto" w:fill="C6EFCE"/>
            <w:vAlign w:val="center"/>
            <w:hideMark/>
          </w:tcPr>
          <w:p w14:paraId="63F1DB0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98" w:type="dxa"/>
            <w:shd w:val="clear" w:color="auto" w:fill="C6EFCE"/>
            <w:vAlign w:val="center"/>
            <w:hideMark/>
          </w:tcPr>
          <w:p w14:paraId="506D6680"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Percento </w:t>
            </w:r>
          </w:p>
        </w:tc>
        <w:tc>
          <w:tcPr>
            <w:tcW w:w="1043" w:type="dxa"/>
            <w:shd w:val="clear" w:color="auto" w:fill="C6EFCE"/>
            <w:vAlign w:val="center"/>
            <w:hideMark/>
          </w:tcPr>
          <w:p w14:paraId="1002221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1197" w:type="dxa"/>
            <w:shd w:val="clear" w:color="auto" w:fill="C6EFCE"/>
            <w:vAlign w:val="center"/>
            <w:hideMark/>
          </w:tcPr>
          <w:p w14:paraId="3CE324F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30 </w:t>
            </w:r>
          </w:p>
        </w:tc>
        <w:tc>
          <w:tcPr>
            <w:tcW w:w="900" w:type="dxa"/>
            <w:shd w:val="clear" w:color="auto" w:fill="C6EFCE"/>
            <w:vAlign w:val="center"/>
            <w:hideMark/>
          </w:tcPr>
          <w:p w14:paraId="710E430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08" w:type="dxa"/>
            <w:shd w:val="clear" w:color="auto" w:fill="C6EFCE"/>
            <w:vAlign w:val="center"/>
            <w:hideMark/>
          </w:tcPr>
          <w:p w14:paraId="4B2DD32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2022 </w:t>
            </w:r>
          </w:p>
        </w:tc>
        <w:tc>
          <w:tcPr>
            <w:tcW w:w="2880" w:type="dxa"/>
            <w:shd w:val="clear" w:color="auto" w:fill="C6EFCE"/>
            <w:vAlign w:val="center"/>
            <w:hideMark/>
          </w:tcPr>
          <w:p w14:paraId="3809A1BC" w14:textId="0815DBF4"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Identifikácia prijímajúcich projektov, </w:t>
            </w:r>
            <w:r w:rsidRPr="00326E55">
              <w:rPr>
                <w:rFonts w:ascii="Times New Roman" w:hAnsi="Times New Roman"/>
                <w:noProof/>
                <w:spacing w:val="-6"/>
                <w:lang w:val="sk-SK"/>
              </w:rPr>
              <w:t>ktorých celková hodnota predstavuje aspoň 30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finančných zdrojov pridelených na investíciu. Investícia sa realizuje prostredníctvom dvoch rôznych postupov, ktoré už existujú,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refinancuje sa. Týmito postupmi sa zabezpečuje vyplácanie úverov spo</w:t>
            </w:r>
            <w:r w:rsidRPr="00326E55">
              <w:rPr>
                <w:rFonts w:ascii="Times New Roman" w:hAnsi="Times New Roman"/>
                <w:noProof/>
                <w:spacing w:val="-6"/>
                <w:lang w:val="sk-SK"/>
              </w:rPr>
              <w:t>ločnostiam, ktoré spĺňajú požiadavky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predkladajú žiadosť. </w:t>
            </w:r>
          </w:p>
        </w:tc>
      </w:tr>
      <w:tr w:rsidR="00BF03AA" w:rsidRPr="00326E55" w14:paraId="5BE973E3" w14:textId="77777777">
        <w:trPr>
          <w:trHeight w:val="300"/>
        </w:trPr>
        <w:tc>
          <w:tcPr>
            <w:tcW w:w="1276" w:type="dxa"/>
            <w:shd w:val="clear" w:color="auto" w:fill="C6EFCE"/>
            <w:vAlign w:val="center"/>
            <w:hideMark/>
          </w:tcPr>
          <w:p w14:paraId="476128E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5 </w:t>
            </w:r>
          </w:p>
        </w:tc>
        <w:tc>
          <w:tcPr>
            <w:tcW w:w="1418" w:type="dxa"/>
            <w:shd w:val="clear" w:color="auto" w:fill="C6EFCE"/>
            <w:vAlign w:val="center"/>
            <w:hideMark/>
          </w:tcPr>
          <w:p w14:paraId="756A38A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2.2: Poľnohospodársko-solárny park </w:t>
            </w:r>
          </w:p>
        </w:tc>
        <w:tc>
          <w:tcPr>
            <w:tcW w:w="1276" w:type="dxa"/>
            <w:shd w:val="clear" w:color="auto" w:fill="C6EFCE"/>
            <w:vAlign w:val="center"/>
            <w:hideMark/>
          </w:tcPr>
          <w:p w14:paraId="070CFEC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701" w:type="dxa"/>
            <w:shd w:val="clear" w:color="auto" w:fill="C6EFCE"/>
            <w:vAlign w:val="center"/>
            <w:hideMark/>
          </w:tcPr>
          <w:p w14:paraId="18968EC8" w14:textId="2CE137D5"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Pridelenie zdrojov príjemcom ako</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finančných zdrojov pridelených na investíciu </w:t>
            </w:r>
          </w:p>
        </w:tc>
        <w:tc>
          <w:tcPr>
            <w:tcW w:w="1771" w:type="dxa"/>
            <w:shd w:val="clear" w:color="auto" w:fill="C6EFCE"/>
            <w:vAlign w:val="center"/>
            <w:hideMark/>
          </w:tcPr>
          <w:p w14:paraId="62F03F8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98" w:type="dxa"/>
            <w:shd w:val="clear" w:color="auto" w:fill="C6EFCE"/>
            <w:vAlign w:val="center"/>
            <w:hideMark/>
          </w:tcPr>
          <w:p w14:paraId="35C1488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Percento </w:t>
            </w:r>
          </w:p>
        </w:tc>
        <w:tc>
          <w:tcPr>
            <w:tcW w:w="1043" w:type="dxa"/>
            <w:shd w:val="clear" w:color="auto" w:fill="C6EFCE"/>
            <w:vAlign w:val="center"/>
            <w:hideMark/>
          </w:tcPr>
          <w:p w14:paraId="5309196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19 </w:t>
            </w:r>
          </w:p>
        </w:tc>
        <w:tc>
          <w:tcPr>
            <w:tcW w:w="1197" w:type="dxa"/>
            <w:shd w:val="clear" w:color="auto" w:fill="C6EFCE"/>
            <w:vAlign w:val="center"/>
            <w:hideMark/>
          </w:tcPr>
          <w:p w14:paraId="1F201F2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32 </w:t>
            </w:r>
          </w:p>
        </w:tc>
        <w:tc>
          <w:tcPr>
            <w:tcW w:w="900" w:type="dxa"/>
            <w:shd w:val="clear" w:color="auto" w:fill="C6EFCE"/>
            <w:vAlign w:val="center"/>
            <w:hideMark/>
          </w:tcPr>
          <w:p w14:paraId="2E58888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ŠTVRTÝ </w:t>
            </w:r>
            <w:r w:rsidRPr="00326E55">
              <w:rPr>
                <w:rFonts w:ascii="Times New Roman" w:hAnsi="Times New Roman"/>
                <w:noProof/>
                <w:spacing w:val="-6"/>
                <w:lang w:val="sk-SK"/>
              </w:rPr>
              <w:t>ŠTVRŤROK </w:t>
            </w:r>
          </w:p>
        </w:tc>
        <w:tc>
          <w:tcPr>
            <w:tcW w:w="608" w:type="dxa"/>
            <w:shd w:val="clear" w:color="auto" w:fill="C6EFCE"/>
            <w:vAlign w:val="center"/>
            <w:hideMark/>
          </w:tcPr>
          <w:p w14:paraId="157B00C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2023 </w:t>
            </w:r>
          </w:p>
        </w:tc>
        <w:tc>
          <w:tcPr>
            <w:tcW w:w="2880" w:type="dxa"/>
            <w:shd w:val="clear" w:color="auto" w:fill="C6EFCE"/>
            <w:vAlign w:val="center"/>
            <w:hideMark/>
          </w:tcPr>
          <w:p w14:paraId="2AD8D829" w14:textId="26712AC8"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Určia sa prijímajúce projekty, ktorých celková hodnota predstavuje najmenej 32</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finančných zdrojov pridelených na investíciu.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postupe udeľovania sa stanovuje vyplácanie grantov alebo iných stimulov spoločnostiam, ktoré spĺňajú </w:t>
            </w:r>
            <w:r w:rsidRPr="00326E55">
              <w:rPr>
                <w:rFonts w:ascii="Times New Roman" w:hAnsi="Times New Roman"/>
                <w:noProof/>
                <w:spacing w:val="-6"/>
                <w:lang w:val="sk-SK"/>
              </w:rPr>
              <w:t>požiadavky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predkladajú žiadosť. </w:t>
            </w:r>
          </w:p>
        </w:tc>
      </w:tr>
      <w:tr w:rsidR="00BF03AA" w:rsidRPr="00326E55" w14:paraId="4BD923E8" w14:textId="77777777">
        <w:trPr>
          <w:trHeight w:val="300"/>
        </w:trPr>
        <w:tc>
          <w:tcPr>
            <w:tcW w:w="1276" w:type="dxa"/>
            <w:shd w:val="clear" w:color="auto" w:fill="C6EFCE"/>
            <w:vAlign w:val="center"/>
            <w:hideMark/>
          </w:tcPr>
          <w:p w14:paraId="260FA0E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6 </w:t>
            </w:r>
          </w:p>
        </w:tc>
        <w:tc>
          <w:tcPr>
            <w:tcW w:w="1418" w:type="dxa"/>
            <w:shd w:val="clear" w:color="auto" w:fill="C6EFCE"/>
            <w:vAlign w:val="center"/>
            <w:hideMark/>
          </w:tcPr>
          <w:p w14:paraId="409BDAA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2.2: Poľnohospodársko-solárny park </w:t>
            </w:r>
          </w:p>
        </w:tc>
        <w:tc>
          <w:tcPr>
            <w:tcW w:w="1276" w:type="dxa"/>
            <w:shd w:val="clear" w:color="auto" w:fill="C6EFCE"/>
            <w:vAlign w:val="center"/>
            <w:hideMark/>
          </w:tcPr>
          <w:p w14:paraId="361F859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701" w:type="dxa"/>
            <w:shd w:val="clear" w:color="auto" w:fill="C6EFCE"/>
            <w:vAlign w:val="center"/>
            <w:hideMark/>
          </w:tcPr>
          <w:p w14:paraId="7253EA28" w14:textId="64A7E9F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Pridelenie zdrojov príjemcom ako</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finančných zdrojov pridelených na investíciu </w:t>
            </w:r>
          </w:p>
        </w:tc>
        <w:tc>
          <w:tcPr>
            <w:tcW w:w="1771" w:type="dxa"/>
            <w:shd w:val="clear" w:color="auto" w:fill="C6EFCE"/>
            <w:vAlign w:val="center"/>
            <w:hideMark/>
          </w:tcPr>
          <w:p w14:paraId="184B029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98" w:type="dxa"/>
            <w:shd w:val="clear" w:color="auto" w:fill="C6EFCE"/>
            <w:vAlign w:val="center"/>
            <w:hideMark/>
          </w:tcPr>
          <w:p w14:paraId="10AFDAB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Percento </w:t>
            </w:r>
          </w:p>
        </w:tc>
        <w:tc>
          <w:tcPr>
            <w:tcW w:w="1043" w:type="dxa"/>
            <w:shd w:val="clear" w:color="auto" w:fill="C6EFCE"/>
            <w:vAlign w:val="center"/>
            <w:hideMark/>
          </w:tcPr>
          <w:p w14:paraId="456743C0"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32 </w:t>
            </w:r>
          </w:p>
        </w:tc>
        <w:tc>
          <w:tcPr>
            <w:tcW w:w="1197" w:type="dxa"/>
            <w:shd w:val="clear" w:color="auto" w:fill="C6EFCE"/>
            <w:vAlign w:val="center"/>
            <w:hideMark/>
          </w:tcPr>
          <w:p w14:paraId="259EF45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63.5 </w:t>
            </w:r>
          </w:p>
        </w:tc>
        <w:tc>
          <w:tcPr>
            <w:tcW w:w="900" w:type="dxa"/>
            <w:shd w:val="clear" w:color="auto" w:fill="C6EFCE"/>
            <w:vAlign w:val="center"/>
            <w:hideMark/>
          </w:tcPr>
          <w:p w14:paraId="5E10946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08" w:type="dxa"/>
            <w:shd w:val="clear" w:color="auto" w:fill="C6EFCE"/>
            <w:vAlign w:val="center"/>
            <w:hideMark/>
          </w:tcPr>
          <w:p w14:paraId="3D1A3BB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2024 </w:t>
            </w:r>
          </w:p>
        </w:tc>
        <w:tc>
          <w:tcPr>
            <w:tcW w:w="2880" w:type="dxa"/>
            <w:shd w:val="clear" w:color="auto" w:fill="C6EFCE"/>
            <w:vAlign w:val="center"/>
            <w:hideMark/>
          </w:tcPr>
          <w:p w14:paraId="32719E78" w14:textId="39676705"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Identifikácia</w:t>
            </w:r>
            <w:r w:rsidRPr="00326E55">
              <w:rPr>
                <w:rFonts w:ascii="Times New Roman" w:hAnsi="Times New Roman"/>
                <w:noProof/>
                <w:spacing w:val="-6"/>
                <w:lang w:val="sk-SK"/>
              </w:rPr>
              <w:t xml:space="preserve"> prijímajúcich projektov, ktorých celková hodnota predstavuje aspoň 63,5</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finančných zdrojov pridelených na investíciu.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postupe udeľovania sa stanoví vyplácanie grantov alebo iných stimulov spoločnostiam, ktoré spĺňajú požiadavky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predkladajú</w:t>
            </w:r>
            <w:r w:rsidRPr="00326E55">
              <w:rPr>
                <w:rFonts w:ascii="Times New Roman" w:hAnsi="Times New Roman"/>
                <w:noProof/>
                <w:spacing w:val="-6"/>
                <w:lang w:val="sk-SK"/>
              </w:rPr>
              <w:t xml:space="preserve"> žiadosť. </w:t>
            </w:r>
          </w:p>
        </w:tc>
      </w:tr>
      <w:tr w:rsidR="00BF03AA" w:rsidRPr="00326E55" w14:paraId="4C1A1547" w14:textId="77777777">
        <w:trPr>
          <w:trHeight w:val="300"/>
        </w:trPr>
        <w:tc>
          <w:tcPr>
            <w:tcW w:w="1276" w:type="dxa"/>
            <w:shd w:val="clear" w:color="auto" w:fill="C6EFCE"/>
            <w:vAlign w:val="center"/>
            <w:hideMark/>
          </w:tcPr>
          <w:p w14:paraId="64434B9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6bis </w:t>
            </w:r>
          </w:p>
        </w:tc>
        <w:tc>
          <w:tcPr>
            <w:tcW w:w="1418" w:type="dxa"/>
            <w:shd w:val="clear" w:color="auto" w:fill="C6EFCE"/>
            <w:vAlign w:val="center"/>
            <w:hideMark/>
          </w:tcPr>
          <w:p w14:paraId="04B8485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2.2: Poľnohospodársko-solárny park </w:t>
            </w:r>
          </w:p>
        </w:tc>
        <w:tc>
          <w:tcPr>
            <w:tcW w:w="1276" w:type="dxa"/>
            <w:shd w:val="clear" w:color="auto" w:fill="C6EFCE"/>
            <w:vAlign w:val="center"/>
            <w:hideMark/>
          </w:tcPr>
          <w:p w14:paraId="2CBCBD1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701" w:type="dxa"/>
            <w:shd w:val="clear" w:color="auto" w:fill="C6EFCE"/>
            <w:vAlign w:val="center"/>
            <w:hideMark/>
          </w:tcPr>
          <w:p w14:paraId="5FAF5374" w14:textId="3788A160"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Pridelenie zdrojov príjemcom ako</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finančných zdrojov pridelených na investíciu </w:t>
            </w:r>
          </w:p>
        </w:tc>
        <w:tc>
          <w:tcPr>
            <w:tcW w:w="1771" w:type="dxa"/>
            <w:shd w:val="clear" w:color="auto" w:fill="C6EFCE"/>
            <w:vAlign w:val="center"/>
            <w:hideMark/>
          </w:tcPr>
          <w:p w14:paraId="64216E2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98" w:type="dxa"/>
            <w:shd w:val="clear" w:color="auto" w:fill="C6EFCE"/>
            <w:vAlign w:val="center"/>
            <w:hideMark/>
          </w:tcPr>
          <w:p w14:paraId="718B559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Percento </w:t>
            </w:r>
          </w:p>
        </w:tc>
        <w:tc>
          <w:tcPr>
            <w:tcW w:w="1043" w:type="dxa"/>
            <w:shd w:val="clear" w:color="auto" w:fill="C6EFCE"/>
            <w:vAlign w:val="center"/>
            <w:hideMark/>
          </w:tcPr>
          <w:p w14:paraId="095F34A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63.5 </w:t>
            </w:r>
          </w:p>
        </w:tc>
        <w:tc>
          <w:tcPr>
            <w:tcW w:w="1197" w:type="dxa"/>
            <w:shd w:val="clear" w:color="auto" w:fill="C6EFCE"/>
            <w:vAlign w:val="center"/>
            <w:hideMark/>
          </w:tcPr>
          <w:p w14:paraId="2473F0D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100 </w:t>
            </w:r>
          </w:p>
        </w:tc>
        <w:tc>
          <w:tcPr>
            <w:tcW w:w="900" w:type="dxa"/>
            <w:shd w:val="clear" w:color="auto" w:fill="C6EFCE"/>
            <w:vAlign w:val="center"/>
            <w:hideMark/>
          </w:tcPr>
          <w:p w14:paraId="0EEC345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08" w:type="dxa"/>
            <w:shd w:val="clear" w:color="auto" w:fill="C6EFCE"/>
            <w:vAlign w:val="center"/>
            <w:hideMark/>
          </w:tcPr>
          <w:p w14:paraId="16A0B03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2024 </w:t>
            </w:r>
          </w:p>
        </w:tc>
        <w:tc>
          <w:tcPr>
            <w:tcW w:w="2880" w:type="dxa"/>
            <w:shd w:val="clear" w:color="auto" w:fill="C6EFCE"/>
            <w:vAlign w:val="center"/>
            <w:hideMark/>
          </w:tcPr>
          <w:p w14:paraId="2D951A2E" w14:textId="14C28E0E"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Identifikácia prijímajúcich </w:t>
            </w:r>
            <w:r w:rsidRPr="00326E55">
              <w:rPr>
                <w:rFonts w:ascii="Times New Roman" w:hAnsi="Times New Roman"/>
                <w:noProof/>
                <w:spacing w:val="-6"/>
                <w:lang w:val="sk-SK"/>
              </w:rPr>
              <w:t>projektov, ktorých celková hodnota predstavuje aspoň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dodatočných finančných zdrojov pridelených na investíciu.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postupe udeľovania sa stanovuje vyplácanie grantov alebo iných stimulov spoločnostiam, ktoré spĺňajú požiadavky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predkladajú žiadosť. </w:t>
            </w:r>
          </w:p>
        </w:tc>
      </w:tr>
      <w:tr w:rsidR="00BF03AA" w:rsidRPr="00326E55" w14:paraId="74D05FB3" w14:textId="77777777">
        <w:trPr>
          <w:trHeight w:val="300"/>
        </w:trPr>
        <w:tc>
          <w:tcPr>
            <w:tcW w:w="1276" w:type="dxa"/>
            <w:shd w:val="clear" w:color="auto" w:fill="C6EFCE"/>
            <w:vAlign w:val="center"/>
            <w:hideMark/>
          </w:tcPr>
          <w:p w14:paraId="1FAF11F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7 </w:t>
            </w:r>
          </w:p>
        </w:tc>
        <w:tc>
          <w:tcPr>
            <w:tcW w:w="1418" w:type="dxa"/>
            <w:shd w:val="clear" w:color="auto" w:fill="C6EFCE"/>
            <w:vAlign w:val="center"/>
            <w:hideMark/>
          </w:tcPr>
          <w:p w14:paraId="1A513462" w14:textId="322964FA"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2.3: Inovácie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mechanizácia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odvetví poľnohospodárstva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potravinárstva </w:t>
            </w:r>
          </w:p>
        </w:tc>
        <w:tc>
          <w:tcPr>
            <w:tcW w:w="1276" w:type="dxa"/>
            <w:shd w:val="clear" w:color="auto" w:fill="C6EFCE"/>
            <w:vAlign w:val="center"/>
            <w:hideMark/>
          </w:tcPr>
          <w:p w14:paraId="38534C8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701" w:type="dxa"/>
            <w:shd w:val="clear" w:color="auto" w:fill="C6EFCE"/>
            <w:vAlign w:val="center"/>
            <w:hideMark/>
          </w:tcPr>
          <w:p w14:paraId="6EAC727F" w14:textId="14CAAC50"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Uverejnenie konečných poradia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identifikáciou konečných prijímateľov. </w:t>
            </w:r>
          </w:p>
        </w:tc>
        <w:tc>
          <w:tcPr>
            <w:tcW w:w="1771" w:type="dxa"/>
            <w:shd w:val="clear" w:color="auto" w:fill="C6EFCE"/>
            <w:vAlign w:val="center"/>
            <w:hideMark/>
          </w:tcPr>
          <w:p w14:paraId="68B1519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98" w:type="dxa"/>
            <w:shd w:val="clear" w:color="auto" w:fill="C6EFCE"/>
            <w:vAlign w:val="center"/>
            <w:hideMark/>
          </w:tcPr>
          <w:p w14:paraId="75941DF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w:t>
            </w:r>
          </w:p>
        </w:tc>
        <w:tc>
          <w:tcPr>
            <w:tcW w:w="1043" w:type="dxa"/>
            <w:shd w:val="clear" w:color="auto" w:fill="C6EFCE"/>
            <w:vAlign w:val="center"/>
            <w:hideMark/>
          </w:tcPr>
          <w:p w14:paraId="4E4D8BB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1197" w:type="dxa"/>
            <w:shd w:val="clear" w:color="auto" w:fill="C6EFCE"/>
            <w:vAlign w:val="center"/>
            <w:hideMark/>
          </w:tcPr>
          <w:p w14:paraId="0FF55AA0" w14:textId="0EEFE9E2" w:rsidR="00BF03AA" w:rsidRPr="00326E55" w:rsidRDefault="00FB452D">
            <w:pPr>
              <w:pStyle w:val="P68B1DB1-Normal54"/>
              <w:spacing w:after="0" w:line="240" w:lineRule="auto"/>
              <w:jc w:val="center"/>
              <w:textAlignment w:val="baseline"/>
              <w:rPr>
                <w:rFonts w:ascii="Times New Roman" w:eastAsia="Times New Roman" w:hAnsi="Times New Roman" w:cs="Times New Roman"/>
                <w:noProof/>
                <w:spacing w:val="-6"/>
                <w:sz w:val="24"/>
                <w:szCs w:val="24"/>
                <w:lang w:val="sk-SK"/>
              </w:rPr>
            </w:pPr>
            <w:r w:rsidRPr="00326E55">
              <w:rPr>
                <w:rFonts w:ascii="Times New Roman" w:eastAsia="Times New Roman" w:hAnsi="Times New Roman"/>
                <w:noProof/>
                <w:spacing w:val="-6"/>
                <w:lang w:val="sk-SK"/>
              </w:rPr>
              <w:t xml:space="preserve">10 </w:t>
            </w:r>
            <w:r w:rsidRPr="00326E55">
              <w:rPr>
                <w:rFonts w:ascii="Times New Roman" w:eastAsia="Times New Roman" w:hAnsi="Times New Roman" w:cs="Times New Roman"/>
                <w:noProof/>
                <w:spacing w:val="-6"/>
                <w:lang w:val="sk-SK"/>
              </w:rPr>
              <w:t xml:space="preserve">000 </w:t>
            </w:r>
          </w:p>
        </w:tc>
        <w:tc>
          <w:tcPr>
            <w:tcW w:w="900" w:type="dxa"/>
            <w:shd w:val="clear" w:color="auto" w:fill="C6EFCE"/>
            <w:vAlign w:val="center"/>
            <w:hideMark/>
          </w:tcPr>
          <w:p w14:paraId="52A2649F"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08" w:type="dxa"/>
            <w:shd w:val="clear" w:color="auto" w:fill="C6EFCE"/>
            <w:vAlign w:val="center"/>
            <w:hideMark/>
          </w:tcPr>
          <w:p w14:paraId="3AFAFFF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2024 </w:t>
            </w:r>
          </w:p>
        </w:tc>
        <w:tc>
          <w:tcPr>
            <w:tcW w:w="2880" w:type="dxa"/>
            <w:shd w:val="clear" w:color="auto" w:fill="C6EFCE"/>
            <w:vAlign w:val="center"/>
            <w:hideMark/>
          </w:tcPr>
          <w:p w14:paraId="33EA7452" w14:textId="026FAFC2" w:rsidR="00326E55" w:rsidRPr="00326E55" w:rsidRDefault="00FB452D">
            <w:pPr>
              <w:pStyle w:val="P68B1DB1-Normal54"/>
              <w:spacing w:after="0" w:line="240" w:lineRule="auto"/>
              <w:textAlignment w:val="baseline"/>
              <w:rPr>
                <w:rFonts w:ascii="Times New Roman" w:eastAsia="Times New Roman" w:hAnsi="Times New Roman" w:cs="Times New Roman"/>
                <w:noProof/>
                <w:spacing w:val="-6"/>
                <w:lang w:val="sk-SK"/>
              </w:rPr>
            </w:pPr>
            <w:r w:rsidRPr="00326E55">
              <w:rPr>
                <w:rFonts w:ascii="Times New Roman" w:eastAsia="Times New Roman" w:hAnsi="Times New Roman"/>
                <w:noProof/>
                <w:spacing w:val="-6"/>
                <w:lang w:val="sk-SK"/>
              </w:rPr>
              <w:t xml:space="preserve">Identifikácia najmenej </w:t>
            </w:r>
            <w:r w:rsidRPr="00326E55">
              <w:rPr>
                <w:rFonts w:ascii="Times New Roman" w:eastAsia="Times New Roman" w:hAnsi="Times New Roman" w:cs="Times New Roman"/>
                <w:noProof/>
                <w:spacing w:val="-6"/>
                <w:lang w:val="sk-SK"/>
              </w:rPr>
              <w:t xml:space="preserve">10000 </w:t>
            </w:r>
            <w:r w:rsidRPr="00326E55">
              <w:rPr>
                <w:rFonts w:ascii="Times New Roman" w:eastAsia="Times New Roman" w:hAnsi="Times New Roman" w:cs="Times New Roman"/>
                <w:noProof/>
                <w:spacing w:val="-6"/>
                <w:lang w:val="sk-SK"/>
              </w:rPr>
              <w:t>konečných prijímateľov investícií do inovácií</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obehovom hospodárstve</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biohospodárstve</w:t>
            </w:r>
            <w:r w:rsidR="00326E55" w:rsidRPr="00326E55">
              <w:rPr>
                <w:rFonts w:ascii="Times New Roman" w:eastAsia="Times New Roman" w:hAnsi="Times New Roman" w:cs="Times New Roman"/>
                <w:noProof/>
                <w:spacing w:val="-6"/>
                <w:lang w:val="sk-SK"/>
              </w:rPr>
              <w:t>.</w:t>
            </w:r>
          </w:p>
          <w:p w14:paraId="511758A8" w14:textId="319A31D9"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Investície sa týkajú aspoň jedného</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týchto prvkov</w:t>
            </w:r>
            <w:r w:rsidR="00326E55" w:rsidRPr="00326E55">
              <w:rPr>
                <w:rFonts w:ascii="Times New Roman" w:hAnsi="Times New Roman"/>
                <w:noProof/>
                <w:spacing w:val="-6"/>
                <w:lang w:val="sk-SK"/>
              </w:rPr>
              <w:t>:</w:t>
            </w:r>
          </w:p>
          <w:p w14:paraId="502B436A"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 Nahradenie ďalších</w:t>
            </w:r>
          </w:p>
          <w:p w14:paraId="19EC4E79"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znečisťujúce terénne vozidlá</w:t>
            </w:r>
          </w:p>
          <w:p w14:paraId="0C3625AE"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 Zavedenie presného poľnohospodárstva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strojov pre poľnohospodá</w:t>
            </w:r>
            <w:r w:rsidRPr="00326E55">
              <w:rPr>
                <w:rFonts w:ascii="Times New Roman" w:hAnsi="Times New Roman"/>
                <w:noProof/>
                <w:spacing w:val="-6"/>
                <w:lang w:val="sk-SK"/>
              </w:rPr>
              <w:t>rstvo 4.0</w:t>
            </w:r>
          </w:p>
          <w:p w14:paraId="640511A7"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 Nahradenie zastaranejších zariadení pre lisovne olív</w:t>
            </w:r>
          </w:p>
          <w:p w14:paraId="0CAF9A22"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S cieľom dosiahnuť súlad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pravidlom „Nie“</w:t>
            </w:r>
          </w:p>
          <w:p w14:paraId="1337D3ED" w14:textId="31831454"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Terénne vozidlá musia mať nulové emisie alebo jazdiť výlučne na biometáne, ktorý musí spĺňať kritériá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smernici 2018/2001 (smernica RED I</w:t>
            </w:r>
            <w:r w:rsidRPr="00326E55">
              <w:rPr>
                <w:rFonts w:ascii="Times New Roman" w:hAnsi="Times New Roman"/>
                <w:noProof/>
                <w:spacing w:val="-6"/>
                <w:lang w:val="sk-SK"/>
              </w:rPr>
              <w:t>I)</w:t>
            </w:r>
            <w:r w:rsidR="00326E55" w:rsidRPr="00326E55">
              <w:rPr>
                <w:rFonts w:ascii="Times New Roman" w:hAnsi="Times New Roman"/>
                <w:noProof/>
                <w:spacing w:val="-6"/>
                <w:lang w:val="sk-SK"/>
              </w:rPr>
              <w:t>.</w:t>
            </w:r>
          </w:p>
          <w:p w14:paraId="5DD1460E" w14:textId="5F962CCB"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Výrobcovia biopalív, biometánu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plynu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biopalív musia poskytovať certifikáty (dôkaz</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udržateľnosti) vydané nezávislými hodnotiteľmi, ako sa stanovuje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smernici 2018/2001</w:t>
            </w:r>
            <w:r w:rsidR="00326E55" w:rsidRPr="00326E55">
              <w:rPr>
                <w:rFonts w:ascii="Times New Roman" w:hAnsi="Times New Roman"/>
                <w:noProof/>
                <w:spacing w:val="-6"/>
                <w:lang w:val="sk-SK"/>
              </w:rPr>
              <w:t>.</w:t>
            </w:r>
          </w:p>
          <w:p w14:paraId="7B227ADD" w14:textId="126A56E3"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Prevádzkovateľ zakúpi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záruke pôvodu zodpovedajúce očakávanému </w:t>
            </w:r>
            <w:r w:rsidRPr="00326E55">
              <w:rPr>
                <w:rFonts w:ascii="Times New Roman" w:hAnsi="Times New Roman"/>
                <w:noProof/>
                <w:spacing w:val="-6"/>
                <w:lang w:val="sk-SK"/>
              </w:rPr>
              <w:t>použitiu paliva. </w:t>
            </w:r>
          </w:p>
        </w:tc>
      </w:tr>
      <w:tr w:rsidR="00BF03AA" w:rsidRPr="00326E55" w14:paraId="54CE5655" w14:textId="77777777">
        <w:trPr>
          <w:trHeight w:val="300"/>
        </w:trPr>
        <w:tc>
          <w:tcPr>
            <w:tcW w:w="1276" w:type="dxa"/>
            <w:shd w:val="clear" w:color="auto" w:fill="C6EFCE"/>
            <w:vAlign w:val="center"/>
            <w:hideMark/>
          </w:tcPr>
          <w:p w14:paraId="78F45A1F"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8 </w:t>
            </w:r>
          </w:p>
        </w:tc>
        <w:tc>
          <w:tcPr>
            <w:tcW w:w="1418" w:type="dxa"/>
            <w:shd w:val="clear" w:color="auto" w:fill="C6EFCE"/>
            <w:vAlign w:val="center"/>
            <w:hideMark/>
          </w:tcPr>
          <w:p w14:paraId="51326074" w14:textId="779671F6"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2.3: Inovácie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mechanizácia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odvetví poľnohospodárstva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potravinárstva </w:t>
            </w:r>
          </w:p>
        </w:tc>
        <w:tc>
          <w:tcPr>
            <w:tcW w:w="1276" w:type="dxa"/>
            <w:shd w:val="clear" w:color="auto" w:fill="C6EFCE"/>
            <w:vAlign w:val="center"/>
            <w:hideMark/>
          </w:tcPr>
          <w:p w14:paraId="14AB327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701" w:type="dxa"/>
            <w:shd w:val="clear" w:color="auto" w:fill="C6EFCE"/>
            <w:vAlign w:val="center"/>
            <w:hideMark/>
          </w:tcPr>
          <w:p w14:paraId="06BB9710" w14:textId="265DAE73"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Podpora investícií do inovácií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obehovom hospodárstve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biohospodárstve </w:t>
            </w:r>
          </w:p>
        </w:tc>
        <w:tc>
          <w:tcPr>
            <w:tcW w:w="1771" w:type="dxa"/>
            <w:shd w:val="clear" w:color="auto" w:fill="C6EFCE"/>
            <w:vAlign w:val="center"/>
            <w:hideMark/>
          </w:tcPr>
          <w:p w14:paraId="659EEB2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98" w:type="dxa"/>
            <w:shd w:val="clear" w:color="auto" w:fill="C6EFCE"/>
            <w:vAlign w:val="center"/>
            <w:hideMark/>
          </w:tcPr>
          <w:p w14:paraId="1CAFDC5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w:t>
            </w:r>
          </w:p>
        </w:tc>
        <w:tc>
          <w:tcPr>
            <w:tcW w:w="1043" w:type="dxa"/>
            <w:shd w:val="clear" w:color="auto" w:fill="C6EFCE"/>
            <w:vAlign w:val="center"/>
            <w:hideMark/>
          </w:tcPr>
          <w:p w14:paraId="21A4865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1197" w:type="dxa"/>
            <w:shd w:val="clear" w:color="auto" w:fill="C6EFCE"/>
            <w:vAlign w:val="center"/>
            <w:hideMark/>
          </w:tcPr>
          <w:p w14:paraId="3FC1984F" w14:textId="11770B13" w:rsidR="00BF03AA" w:rsidRPr="00326E55" w:rsidRDefault="00FB452D">
            <w:pPr>
              <w:pStyle w:val="P68B1DB1-Normal21"/>
              <w:spacing w:after="0" w:line="240" w:lineRule="auto"/>
              <w:jc w:val="center"/>
              <w:textAlignment w:val="baseline"/>
              <w:rPr>
                <w:rFonts w:ascii="Times New Roman" w:eastAsia="Times New Roman" w:hAnsi="Times New Roman" w:cs="Times New Roman"/>
                <w:noProof/>
                <w:spacing w:val="-6"/>
                <w:kern w:val="0"/>
                <w:sz w:val="24"/>
                <w:szCs w:val="24"/>
                <w:lang w:val="sk-SK"/>
                <w14:ligatures w14:val="none"/>
              </w:rPr>
            </w:pPr>
            <w:r w:rsidRPr="00326E55">
              <w:rPr>
                <w:rFonts w:ascii="Times New Roman" w:eastAsia="Times New Roman" w:hAnsi="Times New Roman" w:cs="Times New Roman"/>
                <w:noProof/>
                <w:spacing w:val="-6"/>
                <w:kern w:val="0"/>
                <w:szCs w:val="20"/>
                <w:lang w:val="sk-SK"/>
                <w14:ligatures w14:val="none"/>
              </w:rPr>
              <w:t>10</w:t>
            </w:r>
            <w:r w:rsidRPr="00326E55">
              <w:rPr>
                <w:rFonts w:ascii="Times New Roman" w:hAnsi="Times New Roman"/>
                <w:noProof/>
                <w:spacing w:val="-6"/>
                <w:lang w:val="sk-SK"/>
              </w:rPr>
              <w:t xml:space="preserve"> </w:t>
            </w:r>
            <w:r w:rsidRPr="00326E55">
              <w:rPr>
                <w:rFonts w:ascii="Times New Roman" w:eastAsia="Times New Roman" w:hAnsi="Times New Roman" w:cs="Times New Roman"/>
                <w:noProof/>
                <w:spacing w:val="-6"/>
                <w:kern w:val="0"/>
                <w:szCs w:val="20"/>
                <w:lang w:val="sk-SK"/>
                <w14:ligatures w14:val="none"/>
              </w:rPr>
              <w:t xml:space="preserve">000 </w:t>
            </w:r>
          </w:p>
        </w:tc>
        <w:tc>
          <w:tcPr>
            <w:tcW w:w="900" w:type="dxa"/>
            <w:shd w:val="clear" w:color="auto" w:fill="C6EFCE"/>
            <w:vAlign w:val="center"/>
            <w:hideMark/>
          </w:tcPr>
          <w:p w14:paraId="00FCE21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08" w:type="dxa"/>
            <w:shd w:val="clear" w:color="auto" w:fill="C6EFCE"/>
            <w:vAlign w:val="center"/>
            <w:hideMark/>
          </w:tcPr>
          <w:p w14:paraId="007A92E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2026 </w:t>
            </w:r>
          </w:p>
        </w:tc>
        <w:tc>
          <w:tcPr>
            <w:tcW w:w="2880" w:type="dxa"/>
            <w:shd w:val="clear" w:color="auto" w:fill="C6EFCE"/>
            <w:vAlign w:val="center"/>
            <w:hideMark/>
          </w:tcPr>
          <w:p w14:paraId="10118186" w14:textId="038D881B" w:rsidR="00326E55" w:rsidRPr="00326E55" w:rsidRDefault="00FB452D">
            <w:pPr>
              <w:pStyle w:val="P68B1DB1-Normal21"/>
              <w:spacing w:after="0" w:line="240" w:lineRule="auto"/>
              <w:textAlignment w:val="baseline"/>
              <w:rPr>
                <w:rFonts w:ascii="Times New Roman" w:eastAsia="Times New Roman" w:hAnsi="Times New Roman" w:cs="Times New Roman"/>
                <w:noProof/>
                <w:spacing w:val="-6"/>
                <w:kern w:val="0"/>
                <w:szCs w:val="20"/>
                <w:lang w:val="sk-SK"/>
                <w14:ligatures w14:val="none"/>
              </w:rPr>
            </w:pPr>
            <w:r w:rsidRPr="00326E55">
              <w:rPr>
                <w:rFonts w:ascii="Times New Roman" w:eastAsia="Times New Roman" w:hAnsi="Times New Roman" w:cs="Times New Roman"/>
                <w:noProof/>
                <w:spacing w:val="-6"/>
                <w:kern w:val="0"/>
                <w:szCs w:val="20"/>
                <w:lang w:val="sk-SK"/>
                <w14:ligatures w14:val="none"/>
              </w:rPr>
              <w:t>Osvedčenia</w:t>
            </w:r>
            <w:r w:rsidR="00326E55" w:rsidRPr="00326E55">
              <w:rPr>
                <w:rFonts w:ascii="Times New Roman" w:eastAsia="Times New Roman" w:hAnsi="Times New Roman" w:cs="Times New Roman"/>
                <w:noProof/>
                <w:spacing w:val="-6"/>
                <w:kern w:val="0"/>
                <w:szCs w:val="20"/>
                <w:lang w:val="sk-SK"/>
                <w14:ligatures w14:val="none"/>
              </w:rPr>
              <w:t xml:space="preserve"> o </w:t>
            </w:r>
            <w:r w:rsidRPr="00326E55">
              <w:rPr>
                <w:rFonts w:ascii="Times New Roman" w:eastAsia="Times New Roman" w:hAnsi="Times New Roman" w:cs="Times New Roman"/>
                <w:noProof/>
                <w:spacing w:val="-6"/>
                <w:kern w:val="0"/>
                <w:szCs w:val="20"/>
                <w:lang w:val="sk-SK"/>
                <w14:ligatures w14:val="none"/>
              </w:rPr>
              <w:t>dokončení alebo „osvedčenie</w:t>
            </w:r>
            <w:r w:rsidR="00326E55" w:rsidRPr="00326E55">
              <w:rPr>
                <w:rFonts w:ascii="Times New Roman" w:eastAsia="Times New Roman" w:hAnsi="Times New Roman" w:cs="Times New Roman"/>
                <w:noProof/>
                <w:spacing w:val="-6"/>
                <w:kern w:val="0"/>
                <w:szCs w:val="20"/>
                <w:lang w:val="sk-SK"/>
                <w14:ligatures w14:val="none"/>
              </w:rPr>
              <w:t xml:space="preserve"> o </w:t>
            </w:r>
            <w:r w:rsidRPr="00326E55">
              <w:rPr>
                <w:rFonts w:ascii="Times New Roman" w:eastAsia="Times New Roman" w:hAnsi="Times New Roman" w:cs="Times New Roman"/>
                <w:noProof/>
                <w:spacing w:val="-6"/>
                <w:kern w:val="0"/>
                <w:szCs w:val="20"/>
                <w:lang w:val="sk-SK"/>
                <w14:ligatures w14:val="none"/>
              </w:rPr>
              <w:t>pravidelnom vykonávaní</w:t>
            </w:r>
            <w:r w:rsidRPr="00326E55">
              <w:rPr>
                <w:rFonts w:ascii="Times New Roman" w:eastAsia="Times New Roman" w:hAnsi="Times New Roman" w:cs="Times New Roman"/>
                <w:i/>
                <w:noProof/>
                <w:spacing w:val="-6"/>
                <w:kern w:val="0"/>
                <w:szCs w:val="20"/>
                <w:lang w:val="sk-SK"/>
                <w14:ligatures w14:val="none"/>
              </w:rPr>
              <w:t xml:space="preserve">“ </w:t>
            </w:r>
            <w:r w:rsidRPr="00326E55">
              <w:rPr>
                <w:rFonts w:ascii="Times New Roman" w:eastAsia="Times New Roman" w:hAnsi="Times New Roman" w:cs="Times New Roman"/>
                <w:noProof/>
                <w:spacing w:val="-6"/>
                <w:kern w:val="0"/>
                <w:szCs w:val="20"/>
                <w:lang w:val="sk-SK"/>
                <w14:ligatures w14:val="none"/>
              </w:rPr>
              <w:t>(„Attestazione di regolare esecuzione“)</w:t>
            </w:r>
            <w:r w:rsidRPr="00326E55">
              <w:rPr>
                <w:rFonts w:ascii="Times New Roman" w:eastAsia="Times New Roman" w:hAnsi="Times New Roman" w:cs="Times New Roman"/>
                <w:i/>
                <w:noProof/>
                <w:spacing w:val="-6"/>
                <w:kern w:val="0"/>
                <w:szCs w:val="20"/>
                <w:lang w:val="sk-SK"/>
                <w14:ligatures w14:val="none"/>
              </w:rPr>
              <w:t xml:space="preserve"> </w:t>
            </w:r>
            <w:r w:rsidRPr="00326E55">
              <w:rPr>
                <w:rFonts w:ascii="Times New Roman" w:eastAsia="Times New Roman" w:hAnsi="Times New Roman" w:cs="Times New Roman"/>
                <w:noProof/>
                <w:spacing w:val="-6"/>
                <w:kern w:val="0"/>
                <w:szCs w:val="20"/>
                <w:lang w:val="sk-SK"/>
                <w14:ligatures w14:val="none"/>
              </w:rPr>
              <w:t>vydané pre najmenej 10000</w:t>
            </w:r>
            <w:r w:rsidRPr="00326E55">
              <w:rPr>
                <w:rFonts w:ascii="Times New Roman" w:hAnsi="Times New Roman"/>
                <w:noProof/>
                <w:spacing w:val="-6"/>
                <w:lang w:val="sk-SK"/>
              </w:rPr>
              <w:t xml:space="preserve"> </w:t>
            </w:r>
            <w:r w:rsidRPr="00326E55">
              <w:rPr>
                <w:rFonts w:ascii="Times New Roman" w:eastAsia="Times New Roman" w:hAnsi="Times New Roman" w:cs="Times New Roman"/>
                <w:noProof/>
                <w:spacing w:val="-6"/>
                <w:kern w:val="0"/>
                <w:szCs w:val="20"/>
                <w:lang w:val="sk-SK"/>
                <w14:ligatures w14:val="none"/>
              </w:rPr>
              <w:t>projektov</w:t>
            </w:r>
            <w:r w:rsidR="00326E55" w:rsidRPr="00326E55">
              <w:rPr>
                <w:rFonts w:ascii="Times New Roman" w:eastAsia="Times New Roman" w:hAnsi="Times New Roman" w:cs="Times New Roman"/>
                <w:noProof/>
                <w:spacing w:val="-6"/>
                <w:kern w:val="0"/>
                <w:szCs w:val="20"/>
                <w:lang w:val="sk-SK"/>
                <w14:ligatures w14:val="none"/>
              </w:rPr>
              <w:t xml:space="preserve"> v </w:t>
            </w:r>
            <w:r w:rsidRPr="00326E55">
              <w:rPr>
                <w:rFonts w:ascii="Times New Roman" w:eastAsia="Times New Roman" w:hAnsi="Times New Roman" w:cs="Times New Roman"/>
                <w:noProof/>
                <w:spacing w:val="-6"/>
                <w:kern w:val="0"/>
                <w:szCs w:val="20"/>
                <w:lang w:val="sk-SK"/>
                <w14:ligatures w14:val="none"/>
              </w:rPr>
              <w:t>oblasti inovácií</w:t>
            </w:r>
            <w:r w:rsidR="00326E55" w:rsidRPr="00326E55">
              <w:rPr>
                <w:rFonts w:ascii="Times New Roman" w:eastAsia="Times New Roman" w:hAnsi="Times New Roman" w:cs="Times New Roman"/>
                <w:noProof/>
                <w:spacing w:val="-6"/>
                <w:kern w:val="0"/>
                <w:szCs w:val="20"/>
                <w:lang w:val="sk-SK"/>
                <w14:ligatures w14:val="none"/>
              </w:rPr>
              <w:t xml:space="preserve"> v </w:t>
            </w:r>
            <w:r w:rsidRPr="00326E55">
              <w:rPr>
                <w:rFonts w:ascii="Times New Roman" w:eastAsia="Times New Roman" w:hAnsi="Times New Roman" w:cs="Times New Roman"/>
                <w:noProof/>
                <w:spacing w:val="-6"/>
                <w:kern w:val="0"/>
                <w:szCs w:val="20"/>
                <w:lang w:val="sk-SK"/>
                <w14:ligatures w14:val="none"/>
              </w:rPr>
              <w:t>obehovom hospodárstve</w:t>
            </w:r>
            <w:r w:rsidR="00326E55" w:rsidRPr="00326E55">
              <w:rPr>
                <w:rFonts w:ascii="Times New Roman" w:eastAsia="Times New Roman" w:hAnsi="Times New Roman" w:cs="Times New Roman"/>
                <w:noProof/>
                <w:spacing w:val="-6"/>
                <w:kern w:val="0"/>
                <w:szCs w:val="20"/>
                <w:lang w:val="sk-SK"/>
                <w14:ligatures w14:val="none"/>
              </w:rPr>
              <w:t xml:space="preserve"> a </w:t>
            </w:r>
            <w:r w:rsidRPr="00326E55">
              <w:rPr>
                <w:rFonts w:ascii="Times New Roman" w:eastAsia="Times New Roman" w:hAnsi="Times New Roman" w:cs="Times New Roman"/>
                <w:noProof/>
                <w:spacing w:val="-6"/>
                <w:kern w:val="0"/>
                <w:szCs w:val="20"/>
                <w:lang w:val="sk-SK"/>
                <w14:ligatures w14:val="none"/>
              </w:rPr>
              <w:t>biohospodárstve, na ktoré sa poskytuje finančná podpora</w:t>
            </w:r>
            <w:r w:rsidR="00326E55" w:rsidRPr="00326E55">
              <w:rPr>
                <w:rFonts w:ascii="Times New Roman" w:eastAsia="Times New Roman" w:hAnsi="Times New Roman" w:cs="Times New Roman"/>
                <w:noProof/>
                <w:spacing w:val="-6"/>
                <w:kern w:val="0"/>
                <w:szCs w:val="20"/>
                <w:lang w:val="sk-SK"/>
                <w14:ligatures w14:val="none"/>
              </w:rPr>
              <w:t>.</w:t>
            </w:r>
          </w:p>
          <w:p w14:paraId="2D87732A"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Podporované</w:t>
            </w:r>
            <w:r w:rsidRPr="00326E55">
              <w:rPr>
                <w:rFonts w:ascii="Times New Roman" w:hAnsi="Times New Roman"/>
                <w:noProof/>
                <w:spacing w:val="-6"/>
                <w:lang w:val="sk-SK"/>
              </w:rPr>
              <w:t xml:space="preserve"> investície sú</w:t>
            </w:r>
            <w:r w:rsidR="00326E55" w:rsidRPr="00326E55">
              <w:rPr>
                <w:rFonts w:ascii="Times New Roman" w:hAnsi="Times New Roman"/>
                <w:noProof/>
                <w:spacing w:val="-6"/>
                <w:lang w:val="sk-SK"/>
              </w:rPr>
              <w:t>:</w:t>
            </w:r>
          </w:p>
          <w:p w14:paraId="16909198" w14:textId="77777777" w:rsidR="00326E55" w:rsidRPr="00326E55" w:rsidRDefault="00FB452D">
            <w:pPr>
              <w:pStyle w:val="P68B1DB1-Normal55"/>
              <w:spacing w:after="0" w:line="240" w:lineRule="auto"/>
              <w:textAlignment w:val="baseline"/>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w:t>
            </w:r>
            <w:r w:rsidRPr="00326E55">
              <w:rPr>
                <w:rFonts w:ascii="Times New Roman" w:hAnsi="Times New Roman"/>
                <w:noProof/>
                <w:spacing w:val="-6"/>
                <w:sz w:val="24"/>
                <w:szCs w:val="24"/>
                <w:lang w:val="sk-SK"/>
              </w:rPr>
              <w:t xml:space="preserve"> </w:t>
            </w:r>
            <w:r w:rsidRPr="00326E55">
              <w:rPr>
                <w:rFonts w:ascii="Times New Roman" w:hAnsi="Times New Roman"/>
                <w:noProof/>
                <w:color w:val="006100"/>
                <w:spacing w:val="-6"/>
                <w:sz w:val="20"/>
                <w:szCs w:val="20"/>
                <w:lang w:val="sk-SK"/>
              </w:rPr>
              <w:t>Výmena viac znečisťujúcich terénnych vozidiel</w:t>
            </w:r>
          </w:p>
          <w:p w14:paraId="5E50B6D7" w14:textId="77777777" w:rsidR="00326E55" w:rsidRPr="00326E55" w:rsidRDefault="00FB452D">
            <w:pPr>
              <w:pStyle w:val="P68B1DB1-Normal55"/>
              <w:spacing w:after="0" w:line="240" w:lineRule="auto"/>
              <w:textAlignment w:val="baseline"/>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w:t>
            </w:r>
            <w:r w:rsidRPr="00326E55">
              <w:rPr>
                <w:rFonts w:ascii="Times New Roman" w:hAnsi="Times New Roman"/>
                <w:noProof/>
                <w:spacing w:val="-6"/>
                <w:sz w:val="24"/>
                <w:szCs w:val="24"/>
                <w:lang w:val="sk-SK"/>
              </w:rPr>
              <w:t xml:space="preserve"> </w:t>
            </w:r>
            <w:r w:rsidRPr="00326E55">
              <w:rPr>
                <w:rFonts w:ascii="Times New Roman" w:hAnsi="Times New Roman"/>
                <w:noProof/>
                <w:color w:val="006100"/>
                <w:spacing w:val="-6"/>
                <w:sz w:val="20"/>
                <w:szCs w:val="20"/>
                <w:lang w:val="sk-SK"/>
              </w:rPr>
              <w:t>Zavedenie presného poľnohospodárstva</w:t>
            </w:r>
          </w:p>
          <w:p w14:paraId="1C6DDF13" w14:textId="77777777" w:rsidR="00326E55" w:rsidRPr="00326E55" w:rsidRDefault="00FB452D">
            <w:pPr>
              <w:pStyle w:val="P68B1DB1-Normal55"/>
              <w:spacing w:after="0" w:line="240" w:lineRule="auto"/>
              <w:textAlignment w:val="baseline"/>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w:t>
            </w:r>
            <w:r w:rsidRPr="00326E55">
              <w:rPr>
                <w:rFonts w:ascii="Times New Roman" w:hAnsi="Times New Roman"/>
                <w:noProof/>
                <w:spacing w:val="-6"/>
                <w:sz w:val="24"/>
                <w:szCs w:val="24"/>
                <w:lang w:val="sk-SK"/>
              </w:rPr>
              <w:t xml:space="preserve"> </w:t>
            </w:r>
            <w:r w:rsidRPr="00326E55">
              <w:rPr>
                <w:rFonts w:ascii="Times New Roman" w:hAnsi="Times New Roman"/>
                <w:noProof/>
                <w:color w:val="006100"/>
                <w:spacing w:val="-6"/>
                <w:sz w:val="20"/>
                <w:szCs w:val="20"/>
                <w:lang w:val="sk-SK"/>
              </w:rPr>
              <w:t>Nahradenie zastaranejších zariadení pre lisovne olív</w:t>
            </w:r>
          </w:p>
          <w:p w14:paraId="200ADA26" w14:textId="598347FF"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Aby sa dodržala zásada „nespôsobovať významnú škodu“, terénne vozidlá musia mať nulové emisie aleb</w:t>
            </w:r>
            <w:r w:rsidRPr="00326E55">
              <w:rPr>
                <w:rFonts w:ascii="Times New Roman" w:hAnsi="Times New Roman"/>
                <w:noProof/>
                <w:spacing w:val="-6"/>
                <w:lang w:val="sk-SK"/>
              </w:rPr>
              <w:t>o musia byť poháňané výlučne biometánom, ktorý musí spĺňať kritériá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smernici 2018/2001 (smernica RED II)</w:t>
            </w:r>
            <w:r w:rsidR="00326E55" w:rsidRPr="00326E55">
              <w:rPr>
                <w:rFonts w:ascii="Times New Roman" w:hAnsi="Times New Roman"/>
                <w:noProof/>
                <w:spacing w:val="-6"/>
                <w:lang w:val="sk-SK"/>
              </w:rPr>
              <w:t>.</w:t>
            </w:r>
          </w:p>
          <w:p w14:paraId="53BEABB6" w14:textId="3B795DE3"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Výrobcovia biopalív, biometánu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plynu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biopalív musia poskytovať certifikáty (dôkaz</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udržateľnosti) vydané nezávislými hodnotiteľmi, ak</w:t>
            </w:r>
            <w:r w:rsidRPr="00326E55">
              <w:rPr>
                <w:rFonts w:ascii="Times New Roman" w:hAnsi="Times New Roman"/>
                <w:noProof/>
                <w:spacing w:val="-6"/>
                <w:lang w:val="sk-SK"/>
              </w:rPr>
              <w:t>o sa stanovuje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smernici 2018/2001. Prevádzkovateľ zakúpi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záruke pôvodu zodpovedajúce očakávanému použitiu paliva. </w:t>
            </w:r>
          </w:p>
        </w:tc>
      </w:tr>
      <w:tr w:rsidR="00BF03AA" w:rsidRPr="00326E55" w14:paraId="7FC61F80" w14:textId="77777777">
        <w:trPr>
          <w:trHeight w:val="300"/>
        </w:trPr>
        <w:tc>
          <w:tcPr>
            <w:tcW w:w="1276" w:type="dxa"/>
            <w:shd w:val="clear" w:color="auto" w:fill="C6EFCE"/>
            <w:vAlign w:val="center"/>
            <w:hideMark/>
          </w:tcPr>
          <w:p w14:paraId="0AD2E65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9 </w:t>
            </w:r>
          </w:p>
        </w:tc>
        <w:tc>
          <w:tcPr>
            <w:tcW w:w="1418" w:type="dxa"/>
            <w:shd w:val="clear" w:color="auto" w:fill="C6EFCE"/>
            <w:vAlign w:val="center"/>
            <w:hideMark/>
          </w:tcPr>
          <w:p w14:paraId="57DAEA1F"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2.2: Poľnohospodársko-solárny park </w:t>
            </w:r>
          </w:p>
        </w:tc>
        <w:tc>
          <w:tcPr>
            <w:tcW w:w="1276" w:type="dxa"/>
            <w:shd w:val="clear" w:color="auto" w:fill="C6EFCE"/>
            <w:vAlign w:val="center"/>
            <w:hideMark/>
          </w:tcPr>
          <w:p w14:paraId="04549DA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701" w:type="dxa"/>
            <w:shd w:val="clear" w:color="auto" w:fill="C6EFCE"/>
            <w:vAlign w:val="center"/>
            <w:hideMark/>
          </w:tcPr>
          <w:p w14:paraId="3D30C2D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Agrovoltaická výroba elektrickej energie </w:t>
            </w:r>
          </w:p>
        </w:tc>
        <w:tc>
          <w:tcPr>
            <w:tcW w:w="1771" w:type="dxa"/>
            <w:shd w:val="clear" w:color="auto" w:fill="C6EFCE"/>
            <w:vAlign w:val="center"/>
            <w:hideMark/>
          </w:tcPr>
          <w:p w14:paraId="12AFB4A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98" w:type="dxa"/>
            <w:shd w:val="clear" w:color="auto" w:fill="C6EFCE"/>
            <w:vAlign w:val="center"/>
            <w:hideMark/>
          </w:tcPr>
          <w:p w14:paraId="79B16E5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kW </w:t>
            </w:r>
          </w:p>
        </w:tc>
        <w:tc>
          <w:tcPr>
            <w:tcW w:w="1043" w:type="dxa"/>
            <w:shd w:val="clear" w:color="auto" w:fill="C6EFCE"/>
            <w:vAlign w:val="center"/>
            <w:hideMark/>
          </w:tcPr>
          <w:p w14:paraId="26E3B28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1197" w:type="dxa"/>
            <w:shd w:val="clear" w:color="auto" w:fill="C6EFCE"/>
            <w:vAlign w:val="center"/>
            <w:hideMark/>
          </w:tcPr>
          <w:p w14:paraId="0844256F" w14:textId="1E3B4A99" w:rsidR="00BF03AA" w:rsidRPr="00326E55" w:rsidRDefault="00FB452D">
            <w:pPr>
              <w:pStyle w:val="P68B1DB1-Normal21"/>
              <w:spacing w:after="0" w:line="240" w:lineRule="auto"/>
              <w:jc w:val="center"/>
              <w:textAlignment w:val="baseline"/>
              <w:rPr>
                <w:rFonts w:ascii="Times New Roman" w:eastAsia="Times New Roman" w:hAnsi="Times New Roman" w:cs="Times New Roman"/>
                <w:noProof/>
                <w:spacing w:val="-6"/>
                <w:kern w:val="0"/>
                <w:sz w:val="24"/>
                <w:szCs w:val="24"/>
                <w:lang w:val="sk-SK"/>
                <w14:ligatures w14:val="none"/>
              </w:rPr>
            </w:pPr>
            <w:r w:rsidRPr="00326E55">
              <w:rPr>
                <w:rFonts w:ascii="Times New Roman" w:eastAsia="Times New Roman" w:hAnsi="Times New Roman" w:cs="Times New Roman"/>
                <w:noProof/>
                <w:spacing w:val="-6"/>
                <w:kern w:val="0"/>
                <w:szCs w:val="20"/>
                <w:lang w:val="sk-SK"/>
                <w14:ligatures w14:val="none"/>
              </w:rPr>
              <w:t>1</w:t>
            </w:r>
            <w:r w:rsidRPr="00326E55">
              <w:rPr>
                <w:rFonts w:ascii="Times New Roman" w:hAnsi="Times New Roman"/>
                <w:noProof/>
                <w:spacing w:val="-6"/>
                <w:lang w:val="sk-SK"/>
              </w:rPr>
              <w:t xml:space="preserve"> </w:t>
            </w:r>
            <w:r w:rsidRPr="00326E55">
              <w:rPr>
                <w:rFonts w:ascii="Times New Roman" w:eastAsia="Times New Roman" w:hAnsi="Times New Roman" w:cs="Times New Roman"/>
                <w:noProof/>
                <w:spacing w:val="-6"/>
                <w:kern w:val="0"/>
                <w:szCs w:val="20"/>
                <w:lang w:val="sk-SK"/>
                <w14:ligatures w14:val="none"/>
              </w:rPr>
              <w:t>550</w:t>
            </w:r>
            <w:r w:rsidRPr="00326E55">
              <w:rPr>
                <w:rFonts w:ascii="Times New Roman" w:hAnsi="Times New Roman"/>
                <w:noProof/>
                <w:spacing w:val="-6"/>
                <w:lang w:val="sk-SK"/>
              </w:rPr>
              <w:t xml:space="preserve"> </w:t>
            </w:r>
            <w:r w:rsidRPr="00326E55">
              <w:rPr>
                <w:rFonts w:ascii="Times New Roman" w:eastAsia="Times New Roman" w:hAnsi="Times New Roman" w:cs="Times New Roman"/>
                <w:noProof/>
                <w:spacing w:val="-6"/>
                <w:kern w:val="0"/>
                <w:szCs w:val="20"/>
                <w:lang w:val="sk-SK"/>
                <w14:ligatures w14:val="none"/>
              </w:rPr>
              <w:t xml:space="preserve">000 </w:t>
            </w:r>
          </w:p>
        </w:tc>
        <w:tc>
          <w:tcPr>
            <w:tcW w:w="900" w:type="dxa"/>
            <w:shd w:val="clear" w:color="auto" w:fill="C6EFCE"/>
            <w:vAlign w:val="center"/>
            <w:hideMark/>
          </w:tcPr>
          <w:p w14:paraId="395CBEA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08" w:type="dxa"/>
            <w:shd w:val="clear" w:color="auto" w:fill="C6EFCE"/>
            <w:vAlign w:val="center"/>
            <w:hideMark/>
          </w:tcPr>
          <w:p w14:paraId="360A263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2026 </w:t>
            </w:r>
          </w:p>
        </w:tc>
        <w:tc>
          <w:tcPr>
            <w:tcW w:w="2880" w:type="dxa"/>
            <w:shd w:val="clear" w:color="auto" w:fill="C6EFCE"/>
            <w:vAlign w:val="center"/>
            <w:hideMark/>
          </w:tcPr>
          <w:p w14:paraId="3E69E6C0" w14:textId="241C4293" w:rsidR="00BF03AA" w:rsidRPr="00326E55" w:rsidRDefault="00FB452D">
            <w:pPr>
              <w:pStyle w:val="P68B1DB1-Normal21"/>
              <w:spacing w:after="0" w:line="240" w:lineRule="auto"/>
              <w:textAlignment w:val="baseline"/>
              <w:rPr>
                <w:rFonts w:ascii="Times New Roman" w:eastAsia="Times New Roman" w:hAnsi="Times New Roman" w:cs="Times New Roman"/>
                <w:noProof/>
                <w:spacing w:val="-6"/>
                <w:kern w:val="0"/>
                <w:sz w:val="24"/>
                <w:szCs w:val="24"/>
                <w:lang w:val="sk-SK"/>
                <w14:ligatures w14:val="none"/>
              </w:rPr>
            </w:pPr>
            <w:r w:rsidRPr="00326E55">
              <w:rPr>
                <w:rFonts w:ascii="Times New Roman" w:eastAsia="Times New Roman" w:hAnsi="Times New Roman" w:cs="Times New Roman"/>
                <w:noProof/>
                <w:spacing w:val="-6"/>
                <w:kern w:val="0"/>
                <w:szCs w:val="20"/>
                <w:lang w:val="sk-SK"/>
                <w14:ligatures w14:val="none"/>
              </w:rPr>
              <w:t>Osvedčenia</w:t>
            </w:r>
            <w:r w:rsidR="00326E55" w:rsidRPr="00326E55">
              <w:rPr>
                <w:rFonts w:ascii="Times New Roman" w:eastAsia="Times New Roman" w:hAnsi="Times New Roman" w:cs="Times New Roman"/>
                <w:noProof/>
                <w:spacing w:val="-6"/>
                <w:kern w:val="0"/>
                <w:szCs w:val="20"/>
                <w:lang w:val="sk-SK"/>
                <w14:ligatures w14:val="none"/>
              </w:rPr>
              <w:t xml:space="preserve"> o </w:t>
            </w:r>
            <w:r w:rsidRPr="00326E55">
              <w:rPr>
                <w:rFonts w:ascii="Times New Roman" w:eastAsia="Times New Roman" w:hAnsi="Times New Roman" w:cs="Times New Roman"/>
                <w:noProof/>
                <w:spacing w:val="-6"/>
                <w:kern w:val="0"/>
                <w:szCs w:val="20"/>
                <w:lang w:val="sk-SK"/>
                <w14:ligatures w14:val="none"/>
              </w:rPr>
              <w:t>inštalácii vydané pre inštalovanú kapacitu výroby solárnej energie</w:t>
            </w:r>
            <w:r w:rsidR="00326E55" w:rsidRPr="00326E55">
              <w:rPr>
                <w:rFonts w:ascii="Times New Roman" w:eastAsia="Times New Roman" w:hAnsi="Times New Roman" w:cs="Times New Roman"/>
                <w:noProof/>
                <w:spacing w:val="-6"/>
                <w:kern w:val="0"/>
                <w:szCs w:val="20"/>
                <w:lang w:val="sk-SK"/>
                <w14:ligatures w14:val="none"/>
              </w:rPr>
              <w:t xml:space="preserve"> s </w:t>
            </w:r>
            <w:r w:rsidRPr="00326E55">
              <w:rPr>
                <w:rFonts w:ascii="Times New Roman" w:eastAsia="Times New Roman" w:hAnsi="Times New Roman" w:cs="Times New Roman"/>
                <w:noProof/>
                <w:spacing w:val="-6"/>
                <w:kern w:val="0"/>
                <w:szCs w:val="20"/>
                <w:lang w:val="sk-SK"/>
                <w14:ligatures w14:val="none"/>
              </w:rPr>
              <w:t>výkonom najmenej 1 550 000 kW.</w:t>
            </w:r>
          </w:p>
        </w:tc>
      </w:tr>
      <w:tr w:rsidR="00BF03AA" w:rsidRPr="00326E55" w14:paraId="14215262" w14:textId="77777777">
        <w:trPr>
          <w:trHeight w:val="300"/>
        </w:trPr>
        <w:tc>
          <w:tcPr>
            <w:tcW w:w="1276" w:type="dxa"/>
            <w:shd w:val="clear" w:color="auto" w:fill="C6EFCE"/>
            <w:vAlign w:val="center"/>
            <w:hideMark/>
          </w:tcPr>
          <w:p w14:paraId="07136FA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11 </w:t>
            </w:r>
          </w:p>
        </w:tc>
        <w:tc>
          <w:tcPr>
            <w:tcW w:w="1418" w:type="dxa"/>
            <w:shd w:val="clear" w:color="auto" w:fill="C6EFCE"/>
            <w:vAlign w:val="center"/>
            <w:hideMark/>
          </w:tcPr>
          <w:p w14:paraId="0FAE8E98" w14:textId="588A273D"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3.3: Kultúra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informovanosť</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environmentálnych témach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výzvach </w:t>
            </w:r>
          </w:p>
        </w:tc>
        <w:tc>
          <w:tcPr>
            <w:tcW w:w="1276" w:type="dxa"/>
            <w:shd w:val="clear" w:color="auto" w:fill="C6EFCE"/>
            <w:vAlign w:val="center"/>
            <w:hideMark/>
          </w:tcPr>
          <w:p w14:paraId="36A1108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701" w:type="dxa"/>
            <w:shd w:val="clear" w:color="auto" w:fill="C6EFCE"/>
            <w:vAlign w:val="center"/>
            <w:hideMark/>
          </w:tcPr>
          <w:p w14:paraId="5C048E98" w14:textId="52F8EB8D"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Spustenie </w:t>
            </w:r>
            <w:r w:rsidRPr="00326E55">
              <w:rPr>
                <w:rFonts w:ascii="Times New Roman" w:hAnsi="Times New Roman"/>
                <w:noProof/>
                <w:spacing w:val="-6"/>
                <w:lang w:val="sk-SK"/>
              </w:rPr>
              <w:t>webovej platformy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zmluvy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autormi </w:t>
            </w:r>
          </w:p>
        </w:tc>
        <w:tc>
          <w:tcPr>
            <w:tcW w:w="1771" w:type="dxa"/>
            <w:shd w:val="clear" w:color="auto" w:fill="C6EFCE"/>
            <w:vAlign w:val="center"/>
            <w:hideMark/>
          </w:tcPr>
          <w:p w14:paraId="35DF3EDA" w14:textId="22E04299"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podpise zmluvy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tvorcami obsahu </w:t>
            </w:r>
          </w:p>
        </w:tc>
        <w:tc>
          <w:tcPr>
            <w:tcW w:w="1098" w:type="dxa"/>
            <w:shd w:val="clear" w:color="auto" w:fill="C6EFCE"/>
            <w:vAlign w:val="center"/>
            <w:hideMark/>
          </w:tcPr>
          <w:p w14:paraId="507AFEA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43" w:type="dxa"/>
            <w:shd w:val="clear" w:color="auto" w:fill="C6EFCE"/>
            <w:vAlign w:val="center"/>
            <w:hideMark/>
          </w:tcPr>
          <w:p w14:paraId="1988DF4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197" w:type="dxa"/>
            <w:shd w:val="clear" w:color="auto" w:fill="C6EFCE"/>
            <w:vAlign w:val="center"/>
            <w:hideMark/>
          </w:tcPr>
          <w:p w14:paraId="32EA9BF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00" w:type="dxa"/>
            <w:shd w:val="clear" w:color="auto" w:fill="C6EFCE"/>
            <w:vAlign w:val="center"/>
            <w:hideMark/>
          </w:tcPr>
          <w:p w14:paraId="6D6EC95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08" w:type="dxa"/>
            <w:shd w:val="clear" w:color="auto" w:fill="C6EFCE"/>
            <w:vAlign w:val="center"/>
            <w:hideMark/>
          </w:tcPr>
          <w:p w14:paraId="4E2E202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2022 </w:t>
            </w:r>
          </w:p>
        </w:tc>
        <w:tc>
          <w:tcPr>
            <w:tcW w:w="2880" w:type="dxa"/>
            <w:shd w:val="clear" w:color="auto" w:fill="C6EFCE"/>
            <w:vAlign w:val="center"/>
            <w:hideMark/>
          </w:tcPr>
          <w:p w14:paraId="5A94A8EC" w14:textId="622EA1CA"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Verejné spustenie webovej platformy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podpísanie konečných dohôd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„tvorcami obsahu“. Projekty sú zamerané na vývoj </w:t>
            </w:r>
            <w:r w:rsidRPr="00326E55">
              <w:rPr>
                <w:rFonts w:ascii="Times New Roman" w:hAnsi="Times New Roman"/>
                <w:noProof/>
                <w:spacing w:val="-6"/>
                <w:lang w:val="sk-SK"/>
              </w:rPr>
              <w:t>najmenej 180 podcastov, vyučovacích videí pre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videoobsahu vytvorených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dostupných na webovej platforme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environmentálnej transformácii. </w:t>
            </w:r>
          </w:p>
        </w:tc>
      </w:tr>
      <w:tr w:rsidR="00BF03AA" w:rsidRPr="00326E55" w14:paraId="1F216D18" w14:textId="77777777">
        <w:trPr>
          <w:trHeight w:val="300"/>
        </w:trPr>
        <w:tc>
          <w:tcPr>
            <w:tcW w:w="1276" w:type="dxa"/>
            <w:shd w:val="clear" w:color="auto" w:fill="C6EFCE"/>
            <w:vAlign w:val="center"/>
            <w:hideMark/>
          </w:tcPr>
          <w:p w14:paraId="5D623B9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12 </w:t>
            </w:r>
          </w:p>
        </w:tc>
        <w:tc>
          <w:tcPr>
            <w:tcW w:w="1418" w:type="dxa"/>
            <w:shd w:val="clear" w:color="auto" w:fill="C6EFCE"/>
            <w:vAlign w:val="center"/>
            <w:hideMark/>
          </w:tcPr>
          <w:p w14:paraId="1C95D0DA" w14:textId="29BA91A3"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3.3: Kultúra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informovanosť</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environmentálnych témach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výzvach </w:t>
            </w:r>
          </w:p>
        </w:tc>
        <w:tc>
          <w:tcPr>
            <w:tcW w:w="1276" w:type="dxa"/>
            <w:shd w:val="clear" w:color="auto" w:fill="C6EFCE"/>
            <w:vAlign w:val="center"/>
            <w:hideMark/>
          </w:tcPr>
          <w:p w14:paraId="3A79F45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701" w:type="dxa"/>
            <w:shd w:val="clear" w:color="auto" w:fill="C6EFCE"/>
            <w:vAlign w:val="center"/>
            <w:hideMark/>
          </w:tcPr>
          <w:p w14:paraId="73A08453" w14:textId="7513DA0E"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Podcasty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environmentálnej transformácii </w:t>
            </w:r>
          </w:p>
        </w:tc>
        <w:tc>
          <w:tcPr>
            <w:tcW w:w="1771" w:type="dxa"/>
            <w:shd w:val="clear" w:color="auto" w:fill="C6EFCE"/>
            <w:vAlign w:val="center"/>
            <w:hideMark/>
          </w:tcPr>
          <w:p w14:paraId="70015D9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098" w:type="dxa"/>
            <w:shd w:val="clear" w:color="auto" w:fill="C6EFCE"/>
            <w:vAlign w:val="center"/>
            <w:hideMark/>
          </w:tcPr>
          <w:p w14:paraId="7F71147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w:t>
            </w:r>
          </w:p>
        </w:tc>
        <w:tc>
          <w:tcPr>
            <w:tcW w:w="1043" w:type="dxa"/>
            <w:shd w:val="clear" w:color="auto" w:fill="C6EFCE"/>
            <w:vAlign w:val="center"/>
            <w:hideMark/>
          </w:tcPr>
          <w:p w14:paraId="302A2D1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1197" w:type="dxa"/>
            <w:shd w:val="clear" w:color="auto" w:fill="C6EFCE"/>
            <w:vAlign w:val="center"/>
            <w:hideMark/>
          </w:tcPr>
          <w:p w14:paraId="5D1160F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180 </w:t>
            </w:r>
          </w:p>
        </w:tc>
        <w:tc>
          <w:tcPr>
            <w:tcW w:w="900" w:type="dxa"/>
            <w:shd w:val="clear" w:color="auto" w:fill="C6EFCE"/>
            <w:vAlign w:val="center"/>
            <w:hideMark/>
          </w:tcPr>
          <w:p w14:paraId="7EC1BCB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08" w:type="dxa"/>
            <w:shd w:val="clear" w:color="auto" w:fill="C6EFCE"/>
            <w:vAlign w:val="center"/>
            <w:hideMark/>
          </w:tcPr>
          <w:p w14:paraId="6972BD2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2025 </w:t>
            </w:r>
          </w:p>
        </w:tc>
        <w:tc>
          <w:tcPr>
            <w:tcW w:w="2880" w:type="dxa"/>
            <w:shd w:val="clear" w:color="auto" w:fill="C6EFCE"/>
            <w:vAlign w:val="center"/>
            <w:hideMark/>
          </w:tcPr>
          <w:p w14:paraId="71CEA1C8" w14:textId="4D315FE4"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Najmenej 180 podcastov uverejnených na webovej platforme. </w:t>
            </w:r>
          </w:p>
        </w:tc>
      </w:tr>
    </w:tbl>
    <w:p w14:paraId="2D9B727B" w14:textId="733117AA" w:rsidR="00BF03AA" w:rsidRPr="00326E55" w:rsidRDefault="00BF03AA">
      <w:pPr>
        <w:spacing w:after="0" w:line="240" w:lineRule="auto"/>
        <w:ind w:left="705"/>
        <w:jc w:val="both"/>
        <w:textAlignment w:val="baseline"/>
        <w:rPr>
          <w:rFonts w:ascii="Times New Roman" w:eastAsia="Times New Roman" w:hAnsi="Times New Roman" w:cs="Segoe UI"/>
          <w:noProof/>
          <w:spacing w:val="-6"/>
          <w:kern w:val="0"/>
          <w:sz w:val="18"/>
          <w:szCs w:val="18"/>
          <w:lang w:val="sk-SK"/>
          <w14:ligatures w14:val="none"/>
        </w:rPr>
      </w:pPr>
    </w:p>
    <w:p w14:paraId="60AE2574" w14:textId="77777777" w:rsidR="00BF03AA" w:rsidRPr="00326E55" w:rsidRDefault="00BF03AA">
      <w:pPr>
        <w:rPr>
          <w:rFonts w:ascii="Times New Roman" w:hAnsi="Times New Roman"/>
          <w:noProof/>
          <w:spacing w:val="-6"/>
          <w:lang w:val="sk-SK"/>
        </w:rPr>
        <w:sectPr w:rsidR="00BF03AA" w:rsidRPr="00326E55" w:rsidSect="004E142E">
          <w:headerReference w:type="default" r:id="rId78"/>
          <w:footerReference w:type="default" r:id="rId79"/>
          <w:pgSz w:w="16838" w:h="11906" w:orient="landscape"/>
          <w:pgMar w:top="1440" w:right="1440" w:bottom="1440" w:left="1440" w:header="708" w:footer="708" w:gutter="0"/>
          <w:cols w:space="708"/>
          <w:docGrid w:linePitch="360"/>
        </w:sectPr>
      </w:pPr>
    </w:p>
    <w:p w14:paraId="1258CC6B" w14:textId="77777777" w:rsidR="00326E55" w:rsidRPr="00326E55" w:rsidRDefault="00FB452D">
      <w:pPr>
        <w:pStyle w:val="P68B1DB1-Heading347"/>
        <w:ind w:left="850" w:hanging="850"/>
        <w:rPr>
          <w:noProof/>
          <w:spacing w:val="-6"/>
          <w:lang w:val="sk-SK"/>
        </w:rPr>
      </w:pPr>
      <w:r w:rsidRPr="00326E55">
        <w:rPr>
          <w:noProof/>
          <w:spacing w:val="-6"/>
          <w:lang w:val="sk-SK"/>
        </w:rPr>
        <w:t xml:space="preserve">D.3. </w:t>
      </w:r>
      <w:r w:rsidRPr="00326E55">
        <w:rPr>
          <w:noProof/>
          <w:spacing w:val="-6"/>
          <w:lang w:val="sk-SK"/>
        </w:rPr>
        <w:tab/>
        <w:t>Opis reforiem</w:t>
      </w:r>
      <w:r w:rsidR="00326E55" w:rsidRPr="00326E55">
        <w:rPr>
          <w:noProof/>
          <w:spacing w:val="-6"/>
          <w:lang w:val="sk-SK"/>
        </w:rPr>
        <w:t xml:space="preserve"> a </w:t>
      </w:r>
      <w:r w:rsidRPr="00326E55">
        <w:rPr>
          <w:noProof/>
          <w:spacing w:val="-6"/>
          <w:lang w:val="sk-SK"/>
        </w:rPr>
        <w:t>investícií</w:t>
      </w:r>
      <w:r w:rsidR="00326E55" w:rsidRPr="00326E55">
        <w:rPr>
          <w:noProof/>
          <w:spacing w:val="-6"/>
          <w:lang w:val="sk-SK"/>
        </w:rPr>
        <w:t xml:space="preserve"> v </w:t>
      </w:r>
      <w:r w:rsidRPr="00326E55">
        <w:rPr>
          <w:noProof/>
          <w:spacing w:val="-6"/>
          <w:lang w:val="sk-SK"/>
        </w:rPr>
        <w:t xml:space="preserve">rámci úverového </w:t>
      </w:r>
      <w:r w:rsidRPr="00326E55">
        <w:rPr>
          <w:noProof/>
          <w:spacing w:val="-6"/>
          <w:lang w:val="sk-SK"/>
        </w:rPr>
        <w:t>financovania</w:t>
      </w:r>
    </w:p>
    <w:p w14:paraId="2F53F0E2" w14:textId="3E13A2C9" w:rsidR="00BF03AA" w:rsidRPr="00326E55" w:rsidRDefault="00BF03AA">
      <w:pPr>
        <w:spacing w:after="0" w:line="240" w:lineRule="auto"/>
        <w:ind w:left="840" w:hanging="840"/>
        <w:textAlignment w:val="baseline"/>
        <w:rPr>
          <w:rFonts w:ascii="Times New Roman" w:eastAsia="Times New Roman" w:hAnsi="Times New Roman" w:cs="Segoe UI"/>
          <w:noProof/>
          <w:color w:val="0F4761"/>
          <w:spacing w:val="-6"/>
          <w:kern w:val="0"/>
          <w:sz w:val="18"/>
          <w:szCs w:val="18"/>
          <w:lang w:val="sk-SK"/>
          <w14:ligatures w14:val="none"/>
        </w:rPr>
      </w:pPr>
    </w:p>
    <w:p w14:paraId="63BAF502" w14:textId="77777777" w:rsidR="00326E55" w:rsidRPr="00326E55" w:rsidRDefault="00FB452D">
      <w:pPr>
        <w:pStyle w:val="P68B1DB1-Normal46"/>
        <w:spacing w:after="0" w:line="240" w:lineRule="auto"/>
        <w:jc w:val="both"/>
        <w:textAlignment w:val="baseline"/>
        <w:rPr>
          <w:noProof/>
          <w:spacing w:val="-6"/>
          <w:lang w:val="sk-SK"/>
        </w:rPr>
      </w:pPr>
      <w:r w:rsidRPr="00326E55">
        <w:rPr>
          <w:b/>
          <w:noProof/>
          <w:spacing w:val="-6"/>
          <w:lang w:val="sk-SK"/>
        </w:rPr>
        <w:t>Reforma 1.2 – Národný program odpadového hospodárstva</w:t>
      </w:r>
    </w:p>
    <w:p w14:paraId="0060529F" w14:textId="73A6DEB7"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Táto reforma pozostáva</w:t>
      </w:r>
      <w:r w:rsidR="00326E55" w:rsidRPr="00326E55">
        <w:rPr>
          <w:noProof/>
          <w:spacing w:val="-6"/>
          <w:lang w:val="sk-SK"/>
        </w:rPr>
        <w:t xml:space="preserve"> z </w:t>
      </w:r>
      <w:r w:rsidRPr="00326E55">
        <w:rPr>
          <w:noProof/>
          <w:spacing w:val="-6"/>
          <w:lang w:val="sk-SK"/>
        </w:rPr>
        <w:t>prijatia širokého národného programu odpadového hospodárstva zameraného na najvyššiu úroveň prípravy na opätovné použitie, recykláciu</w:t>
      </w:r>
      <w:r w:rsidR="00326E55" w:rsidRPr="00326E55">
        <w:rPr>
          <w:noProof/>
          <w:spacing w:val="-6"/>
          <w:lang w:val="sk-SK"/>
        </w:rPr>
        <w:t xml:space="preserve"> a </w:t>
      </w:r>
      <w:r w:rsidRPr="00326E55">
        <w:rPr>
          <w:noProof/>
          <w:spacing w:val="-6"/>
          <w:lang w:val="sk-SK"/>
        </w:rPr>
        <w:t>zhodnocovanie odpadu, prisp</w:t>
      </w:r>
      <w:r w:rsidRPr="00326E55">
        <w:rPr>
          <w:noProof/>
          <w:spacing w:val="-6"/>
          <w:lang w:val="sk-SK"/>
        </w:rPr>
        <w:t>ôsobenia siete zariadení potrebných na integrované nakladanie</w:t>
      </w:r>
      <w:r w:rsidR="00326E55" w:rsidRPr="00326E55">
        <w:rPr>
          <w:noProof/>
          <w:spacing w:val="-6"/>
          <w:lang w:val="sk-SK"/>
        </w:rPr>
        <w:t xml:space="preserve"> s </w:t>
      </w:r>
      <w:r w:rsidRPr="00326E55">
        <w:rPr>
          <w:noProof/>
          <w:spacing w:val="-6"/>
          <w:lang w:val="sk-SK"/>
        </w:rPr>
        <w:t>odpadom, minimalizácie konečného zneškodňovania ako konečnej</w:t>
      </w:r>
      <w:r w:rsidR="00326E55" w:rsidRPr="00326E55">
        <w:rPr>
          <w:noProof/>
          <w:spacing w:val="-6"/>
          <w:lang w:val="sk-SK"/>
        </w:rPr>
        <w:t xml:space="preserve"> a </w:t>
      </w:r>
      <w:r w:rsidRPr="00326E55">
        <w:rPr>
          <w:noProof/>
          <w:spacing w:val="-6"/>
          <w:lang w:val="sk-SK"/>
        </w:rPr>
        <w:t>zvyškovej možnosti, vytvorenia monitorovacích systémov, zabránenia začatiu nových postupov</w:t>
      </w:r>
      <w:r w:rsidR="00326E55" w:rsidRPr="00326E55">
        <w:rPr>
          <w:noProof/>
          <w:spacing w:val="-6"/>
          <w:lang w:val="sk-SK"/>
        </w:rPr>
        <w:t xml:space="preserve"> v </w:t>
      </w:r>
      <w:r w:rsidRPr="00326E55">
        <w:rPr>
          <w:noProof/>
          <w:spacing w:val="-6"/>
          <w:lang w:val="sk-SK"/>
        </w:rPr>
        <w:t xml:space="preserve">prípade nesplnenia povinnosti proti </w:t>
      </w:r>
      <w:r w:rsidRPr="00326E55">
        <w:rPr>
          <w:noProof/>
          <w:spacing w:val="-6"/>
          <w:lang w:val="sk-SK"/>
        </w:rPr>
        <w:t>Taliansku, boja proti nízkemu zberu odpadu, odrádzania od skládkovania</w:t>
      </w:r>
      <w:r w:rsidR="00326E55" w:rsidRPr="00326E55">
        <w:rPr>
          <w:noProof/>
          <w:spacing w:val="-6"/>
          <w:lang w:val="sk-SK"/>
        </w:rPr>
        <w:t xml:space="preserve"> a </w:t>
      </w:r>
      <w:r w:rsidRPr="00326E55">
        <w:rPr>
          <w:noProof/>
          <w:spacing w:val="-6"/>
          <w:lang w:val="sk-SK"/>
        </w:rPr>
        <w:t>zabezpečenia komplementárnosti</w:t>
      </w:r>
      <w:r w:rsidR="00326E55" w:rsidRPr="00326E55">
        <w:rPr>
          <w:noProof/>
          <w:spacing w:val="-6"/>
          <w:lang w:val="sk-SK"/>
        </w:rPr>
        <w:t xml:space="preserve"> s </w:t>
      </w:r>
      <w:r w:rsidRPr="00326E55">
        <w:rPr>
          <w:noProof/>
          <w:spacing w:val="-6"/>
          <w:lang w:val="sk-SK"/>
        </w:rPr>
        <w:t>regionálnymi programami odpadového hospodárstva, čím sa umožní dosiahnutie cieľov európskych</w:t>
      </w:r>
      <w:r w:rsidR="00326E55" w:rsidRPr="00326E55">
        <w:rPr>
          <w:noProof/>
          <w:spacing w:val="-6"/>
          <w:lang w:val="sk-SK"/>
        </w:rPr>
        <w:t xml:space="preserve"> a </w:t>
      </w:r>
      <w:r w:rsidRPr="00326E55">
        <w:rPr>
          <w:noProof/>
          <w:spacing w:val="-6"/>
          <w:lang w:val="sk-SK"/>
        </w:rPr>
        <w:t>vnútroštátnych právnych predpisov</w:t>
      </w:r>
      <w:r w:rsidR="00326E55" w:rsidRPr="00326E55">
        <w:rPr>
          <w:noProof/>
          <w:spacing w:val="-6"/>
          <w:lang w:val="sk-SK"/>
        </w:rPr>
        <w:t xml:space="preserve"> o </w:t>
      </w:r>
      <w:r w:rsidRPr="00326E55">
        <w:rPr>
          <w:noProof/>
          <w:spacing w:val="-6"/>
          <w:lang w:val="sk-SK"/>
        </w:rPr>
        <w:t>odpadoch</w:t>
      </w:r>
      <w:r w:rsidR="00326E55" w:rsidRPr="00326E55">
        <w:rPr>
          <w:noProof/>
          <w:spacing w:val="-6"/>
          <w:lang w:val="sk-SK"/>
        </w:rPr>
        <w:t xml:space="preserve"> a </w:t>
      </w:r>
      <w:r w:rsidRPr="00326E55">
        <w:rPr>
          <w:noProof/>
          <w:spacing w:val="-6"/>
          <w:lang w:val="sk-SK"/>
        </w:rPr>
        <w:t>boj prot</w:t>
      </w:r>
      <w:r w:rsidRPr="00326E55">
        <w:rPr>
          <w:noProof/>
          <w:spacing w:val="-6"/>
          <w:lang w:val="sk-SK"/>
        </w:rPr>
        <w:t>i nezákonnému skládkovaniu odpadu</w:t>
      </w:r>
      <w:r w:rsidR="00326E55" w:rsidRPr="00326E55">
        <w:rPr>
          <w:noProof/>
          <w:spacing w:val="-6"/>
          <w:lang w:val="sk-SK"/>
        </w:rPr>
        <w:t xml:space="preserve"> a </w:t>
      </w:r>
      <w:r w:rsidRPr="00326E55">
        <w:rPr>
          <w:noProof/>
          <w:spacing w:val="-6"/>
          <w:lang w:val="sk-SK"/>
        </w:rPr>
        <w:t>spaľovaniu na voľnom priestranstve</w:t>
      </w:r>
      <w:r w:rsidR="00326E55" w:rsidRPr="00326E55">
        <w:rPr>
          <w:noProof/>
          <w:spacing w:val="-6"/>
          <w:lang w:val="sk-SK"/>
        </w:rPr>
        <w:t>.</w:t>
      </w:r>
    </w:p>
    <w:p w14:paraId="16A53130" w14:textId="5B5FAC42" w:rsidR="00BF03AA" w:rsidRPr="00326E55" w:rsidRDefault="00BF03AA">
      <w:pPr>
        <w:spacing w:after="0" w:line="240" w:lineRule="auto"/>
        <w:jc w:val="both"/>
        <w:textAlignment w:val="baseline"/>
        <w:rPr>
          <w:rFonts w:ascii="Times New Roman" w:eastAsia="Times New Roman" w:hAnsi="Times New Roman" w:cs="Segoe UI"/>
          <w:noProof/>
          <w:spacing w:val="-6"/>
          <w:kern w:val="0"/>
          <w:sz w:val="18"/>
          <w:szCs w:val="18"/>
          <w:lang w:val="sk-SK"/>
          <w14:ligatures w14:val="none"/>
        </w:rPr>
      </w:pPr>
    </w:p>
    <w:p w14:paraId="07297E73" w14:textId="77777777" w:rsidR="00326E55" w:rsidRPr="00326E55" w:rsidRDefault="00FB452D">
      <w:pPr>
        <w:pStyle w:val="P68B1DB1-Normal56"/>
        <w:spacing w:after="0" w:line="240" w:lineRule="auto"/>
        <w:jc w:val="both"/>
        <w:textAlignment w:val="baseline"/>
        <w:rPr>
          <w:noProof/>
          <w:spacing w:val="-6"/>
          <w:lang w:val="sk-SK"/>
        </w:rPr>
      </w:pPr>
      <w:r w:rsidRPr="00326E55">
        <w:rPr>
          <w:noProof/>
          <w:spacing w:val="-6"/>
          <w:lang w:val="sk-SK"/>
        </w:rPr>
        <w:t>Investícia 1.1 – Realizácia nových zariadení na nakladanie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modernizácia existujúcich zariadení</w:t>
      </w:r>
      <w:r w:rsidR="00326E55" w:rsidRPr="00326E55">
        <w:rPr>
          <w:noProof/>
          <w:spacing w:val="-6"/>
          <w:lang w:val="sk-SK"/>
        </w:rPr>
        <w:t xml:space="preserve"> a </w:t>
      </w:r>
      <w:r w:rsidRPr="00326E55">
        <w:rPr>
          <w:noProof/>
          <w:spacing w:val="-6"/>
          <w:lang w:val="sk-SK"/>
        </w:rPr>
        <w:t>obehového hospodárstva „hlavné projekty“</w:t>
      </w:r>
    </w:p>
    <w:p w14:paraId="790B28C7" w14:textId="16564889"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 xml:space="preserve">Cieľom tejto investície je </w:t>
      </w:r>
      <w:r w:rsidRPr="00326E55">
        <w:rPr>
          <w:noProof/>
          <w:spacing w:val="-6"/>
          <w:lang w:val="sk-SK"/>
        </w:rPr>
        <w:t>zlepšiť odpadové hospodárstvo</w:t>
      </w:r>
      <w:r w:rsidR="00326E55" w:rsidRPr="00326E55">
        <w:rPr>
          <w:noProof/>
          <w:spacing w:val="-6"/>
          <w:lang w:val="sk-SK"/>
        </w:rPr>
        <w:t xml:space="preserve"> a </w:t>
      </w:r>
      <w:r w:rsidRPr="00326E55">
        <w:rPr>
          <w:noProof/>
          <w:spacing w:val="-6"/>
          <w:lang w:val="sk-SK"/>
        </w:rPr>
        <w:t>podporiť obehové hospodárstvo. Investícia pozostáva</w:t>
      </w:r>
      <w:r w:rsidR="00326E55" w:rsidRPr="00326E55">
        <w:rPr>
          <w:noProof/>
          <w:spacing w:val="-6"/>
          <w:lang w:val="sk-SK"/>
        </w:rPr>
        <w:t xml:space="preserve"> z </w:t>
      </w:r>
      <w:r w:rsidRPr="00326E55">
        <w:rPr>
          <w:noProof/>
          <w:spacing w:val="-6"/>
          <w:lang w:val="sk-SK"/>
        </w:rPr>
        <w:t>financovania projektov na vybudovanie nových zariadení na spracovanie/recykláciu alebo modernizáciu existujúcich zariadení, ako aj na podporu</w:t>
      </w:r>
      <w:r w:rsidR="00326E55" w:rsidRPr="00326E55">
        <w:rPr>
          <w:noProof/>
          <w:spacing w:val="-6"/>
          <w:lang w:val="sk-SK"/>
        </w:rPr>
        <w:t xml:space="preserve"> a </w:t>
      </w:r>
      <w:r w:rsidRPr="00326E55">
        <w:rPr>
          <w:noProof/>
          <w:spacing w:val="-6"/>
          <w:lang w:val="sk-SK"/>
        </w:rPr>
        <w:t>digitalizáciu triedeného z</w:t>
      </w:r>
      <w:r w:rsidRPr="00326E55">
        <w:rPr>
          <w:noProof/>
          <w:spacing w:val="-6"/>
          <w:lang w:val="sk-SK"/>
        </w:rPr>
        <w:t>beru pre rôzne toky odpadu</w:t>
      </w:r>
      <w:r w:rsidR="00326E55" w:rsidRPr="00326E55">
        <w:rPr>
          <w:noProof/>
          <w:spacing w:val="-6"/>
          <w:lang w:val="sk-SK"/>
        </w:rPr>
        <w:t>.</w:t>
      </w:r>
    </w:p>
    <w:p w14:paraId="5DE4AA9D" w14:textId="77777777" w:rsidR="00326E55" w:rsidRPr="00326E55" w:rsidRDefault="00326E55">
      <w:pPr>
        <w:pStyle w:val="P68B1DB1-Normal46"/>
        <w:spacing w:after="0" w:line="240" w:lineRule="auto"/>
        <w:ind w:left="360"/>
        <w:jc w:val="both"/>
        <w:textAlignment w:val="baseline"/>
        <w:rPr>
          <w:noProof/>
          <w:spacing w:val="-6"/>
          <w:lang w:val="sk-SK"/>
        </w:rPr>
      </w:pPr>
    </w:p>
    <w:p w14:paraId="3DA81D6F" w14:textId="77777777" w:rsidR="00326E55" w:rsidRPr="00326E55" w:rsidRDefault="00FB452D">
      <w:pPr>
        <w:pStyle w:val="P68B1DB1-Normal46"/>
        <w:spacing w:after="0" w:line="240" w:lineRule="auto"/>
        <w:jc w:val="both"/>
        <w:textAlignment w:val="baseline"/>
        <w:rPr>
          <w:noProof/>
          <w:spacing w:val="-6"/>
          <w:lang w:val="sk-SK"/>
        </w:rPr>
      </w:pPr>
      <w:r w:rsidRPr="00326E55">
        <w:rPr>
          <w:b/>
          <w:noProof/>
          <w:spacing w:val="-6"/>
          <w:lang w:val="sk-SK"/>
        </w:rPr>
        <w:t>Investícia 2.1 – Plán logistiky</w:t>
      </w:r>
      <w:r w:rsidR="00326E55" w:rsidRPr="00326E55">
        <w:rPr>
          <w:b/>
          <w:noProof/>
          <w:spacing w:val="-6"/>
          <w:lang w:val="sk-SK"/>
        </w:rPr>
        <w:t xml:space="preserve"> v </w:t>
      </w:r>
      <w:r w:rsidRPr="00326E55">
        <w:rPr>
          <w:b/>
          <w:noProof/>
          <w:spacing w:val="-6"/>
          <w:lang w:val="sk-SK"/>
        </w:rPr>
        <w:t>odvetviach agropotravinárstva, rybolovu</w:t>
      </w:r>
      <w:r w:rsidR="00326E55" w:rsidRPr="00326E55">
        <w:rPr>
          <w:b/>
          <w:noProof/>
          <w:spacing w:val="-6"/>
          <w:lang w:val="sk-SK"/>
        </w:rPr>
        <w:t xml:space="preserve"> a </w:t>
      </w:r>
      <w:r w:rsidRPr="00326E55">
        <w:rPr>
          <w:b/>
          <w:noProof/>
          <w:spacing w:val="-6"/>
          <w:lang w:val="sk-SK"/>
        </w:rPr>
        <w:t>akvakultúry, lesného hospodárstva, kvetinárstva</w:t>
      </w:r>
      <w:r w:rsidR="00326E55" w:rsidRPr="00326E55">
        <w:rPr>
          <w:b/>
          <w:noProof/>
          <w:spacing w:val="-6"/>
          <w:lang w:val="sk-SK"/>
        </w:rPr>
        <w:t xml:space="preserve"> a </w:t>
      </w:r>
      <w:r w:rsidRPr="00326E55">
        <w:rPr>
          <w:b/>
          <w:noProof/>
          <w:spacing w:val="-6"/>
          <w:lang w:val="sk-SK"/>
        </w:rPr>
        <w:t>škôlok</w:t>
      </w:r>
    </w:p>
    <w:p w14:paraId="74E49BB2" w14:textId="287222A7"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Cieľom tejto investície je podporiť znižovanie emisií vo fázach dopravy</w:t>
      </w:r>
      <w:r w:rsidR="00326E55" w:rsidRPr="00326E55">
        <w:rPr>
          <w:noProof/>
          <w:spacing w:val="-6"/>
          <w:lang w:val="sk-SK"/>
        </w:rPr>
        <w:t xml:space="preserve"> a </w:t>
      </w:r>
      <w:r w:rsidRPr="00326E55">
        <w:rPr>
          <w:noProof/>
          <w:spacing w:val="-6"/>
          <w:lang w:val="sk-SK"/>
        </w:rPr>
        <w:t>logistiky</w:t>
      </w:r>
      <w:r w:rsidR="00326E55" w:rsidRPr="00326E55">
        <w:rPr>
          <w:noProof/>
          <w:spacing w:val="-6"/>
          <w:lang w:val="sk-SK"/>
        </w:rPr>
        <w:t xml:space="preserve"> v </w:t>
      </w:r>
      <w:r w:rsidRPr="00326E55">
        <w:rPr>
          <w:noProof/>
          <w:spacing w:val="-6"/>
          <w:lang w:val="sk-SK"/>
        </w:rPr>
        <w:t>agropotr</w:t>
      </w:r>
      <w:r w:rsidRPr="00326E55">
        <w:rPr>
          <w:noProof/>
          <w:spacing w:val="-6"/>
          <w:lang w:val="sk-SK"/>
        </w:rPr>
        <w:t>avinárskom sektore, podporiť digitalizáciu tohto odvetvia</w:t>
      </w:r>
      <w:r w:rsidR="00326E55" w:rsidRPr="00326E55">
        <w:rPr>
          <w:noProof/>
          <w:spacing w:val="-6"/>
          <w:lang w:val="sk-SK"/>
        </w:rPr>
        <w:t xml:space="preserve"> a </w:t>
      </w:r>
      <w:r w:rsidRPr="00326E55">
        <w:rPr>
          <w:noProof/>
          <w:spacing w:val="-6"/>
          <w:lang w:val="sk-SK"/>
        </w:rPr>
        <w:t>využívanie energie</w:t>
      </w:r>
      <w:r w:rsidR="00326E55" w:rsidRPr="00326E55">
        <w:rPr>
          <w:noProof/>
          <w:spacing w:val="-6"/>
          <w:lang w:val="sk-SK"/>
        </w:rPr>
        <w:t xml:space="preserve"> z </w:t>
      </w:r>
      <w:r w:rsidRPr="00326E55">
        <w:rPr>
          <w:noProof/>
          <w:spacing w:val="-6"/>
          <w:lang w:val="sk-SK"/>
        </w:rPr>
        <w:t>obnoviteľných zdrojov. Toto opatrenie spočíva</w:t>
      </w:r>
      <w:r w:rsidR="00326E55" w:rsidRPr="00326E55">
        <w:rPr>
          <w:noProof/>
          <w:spacing w:val="-6"/>
          <w:lang w:val="sk-SK"/>
        </w:rPr>
        <w:t xml:space="preserve"> v </w:t>
      </w:r>
      <w:r w:rsidRPr="00326E55">
        <w:rPr>
          <w:noProof/>
          <w:spacing w:val="-6"/>
          <w:lang w:val="sk-SK"/>
        </w:rPr>
        <w:t>poskytovaní podpory na hmotné</w:t>
      </w:r>
      <w:r w:rsidR="00326E55" w:rsidRPr="00326E55">
        <w:rPr>
          <w:noProof/>
          <w:spacing w:val="-6"/>
          <w:lang w:val="sk-SK"/>
        </w:rPr>
        <w:t xml:space="preserve"> a </w:t>
      </w:r>
      <w:r w:rsidRPr="00326E55">
        <w:rPr>
          <w:noProof/>
          <w:spacing w:val="-6"/>
          <w:lang w:val="sk-SK"/>
        </w:rPr>
        <w:t>nehmotné investície</w:t>
      </w:r>
      <w:r w:rsidR="00326E55" w:rsidRPr="00326E55">
        <w:rPr>
          <w:noProof/>
          <w:spacing w:val="-6"/>
          <w:lang w:val="sk-SK"/>
        </w:rPr>
        <w:t>.</w:t>
      </w:r>
    </w:p>
    <w:p w14:paraId="45E36576" w14:textId="3C28662D" w:rsidR="00BF03AA" w:rsidRPr="00326E55" w:rsidRDefault="00BF03AA">
      <w:pPr>
        <w:spacing w:after="0" w:line="240" w:lineRule="auto"/>
        <w:jc w:val="both"/>
        <w:textAlignment w:val="baseline"/>
        <w:rPr>
          <w:rFonts w:ascii="Times New Roman" w:eastAsia="Times New Roman" w:hAnsi="Times New Roman" w:cs="Segoe UI"/>
          <w:noProof/>
          <w:spacing w:val="-6"/>
          <w:kern w:val="0"/>
          <w:sz w:val="18"/>
          <w:szCs w:val="18"/>
          <w:lang w:val="sk-SK"/>
          <w14:ligatures w14:val="none"/>
        </w:rPr>
      </w:pPr>
    </w:p>
    <w:p w14:paraId="632D9FCC" w14:textId="11F0B96F" w:rsidR="00BF03AA" w:rsidRPr="00326E55" w:rsidRDefault="00FB452D">
      <w:pPr>
        <w:pStyle w:val="P68B1DB1-Normal56"/>
        <w:spacing w:after="0" w:line="240" w:lineRule="auto"/>
        <w:jc w:val="both"/>
        <w:textAlignment w:val="baseline"/>
        <w:rPr>
          <w:rFonts w:cs="Segoe UI"/>
          <w:noProof/>
          <w:spacing w:val="-6"/>
          <w:sz w:val="18"/>
          <w:szCs w:val="18"/>
          <w:lang w:val="sk-SK"/>
        </w:rPr>
      </w:pPr>
      <w:r w:rsidRPr="00326E55">
        <w:rPr>
          <w:noProof/>
          <w:spacing w:val="-6"/>
          <w:lang w:val="sk-SK"/>
        </w:rPr>
        <w:t>Investícia 3.1 – Zelené ostrovy</w:t>
      </w:r>
    </w:p>
    <w:p w14:paraId="0B5A9006" w14:textId="14C9F0F6"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Cieľom tohto opatrenia je podporiť zelenú</w:t>
      </w:r>
      <w:r w:rsidRPr="00326E55">
        <w:rPr>
          <w:noProof/>
          <w:spacing w:val="-6"/>
          <w:lang w:val="sk-SK"/>
        </w:rPr>
        <w:t xml:space="preserve"> transformáciu na 19 neprepojených malých ostrovoch</w:t>
      </w:r>
      <w:r w:rsidR="00326E55" w:rsidRPr="00326E55">
        <w:rPr>
          <w:noProof/>
          <w:spacing w:val="-6"/>
          <w:lang w:val="sk-SK"/>
        </w:rPr>
        <w:t xml:space="preserve"> v </w:t>
      </w:r>
      <w:r w:rsidRPr="00326E55">
        <w:rPr>
          <w:noProof/>
          <w:spacing w:val="-6"/>
          <w:lang w:val="sk-SK"/>
        </w:rPr>
        <w:t>Taliansku. Táto investícia pozostáva</w:t>
      </w:r>
      <w:r w:rsidR="00326E55" w:rsidRPr="00326E55">
        <w:rPr>
          <w:noProof/>
          <w:spacing w:val="-6"/>
          <w:lang w:val="sk-SK"/>
        </w:rPr>
        <w:t xml:space="preserve"> z </w:t>
      </w:r>
      <w:r w:rsidRPr="00326E55">
        <w:rPr>
          <w:noProof/>
          <w:spacing w:val="-6"/>
          <w:lang w:val="sk-SK"/>
        </w:rPr>
        <w:t>financovania</w:t>
      </w:r>
      <w:r w:rsidR="00326E55" w:rsidRPr="00326E55">
        <w:rPr>
          <w:noProof/>
          <w:spacing w:val="-6"/>
          <w:lang w:val="sk-SK"/>
        </w:rPr>
        <w:t xml:space="preserve"> a </w:t>
      </w:r>
      <w:r w:rsidRPr="00326E55">
        <w:rPr>
          <w:noProof/>
          <w:spacing w:val="-6"/>
          <w:lang w:val="sk-SK"/>
        </w:rPr>
        <w:t>realizácie projektov</w:t>
      </w:r>
      <w:r w:rsidR="00326E55" w:rsidRPr="00326E55">
        <w:rPr>
          <w:noProof/>
          <w:spacing w:val="-6"/>
          <w:lang w:val="sk-SK"/>
        </w:rPr>
        <w:t xml:space="preserve"> v </w:t>
      </w:r>
      <w:r w:rsidRPr="00326E55">
        <w:rPr>
          <w:noProof/>
          <w:spacing w:val="-6"/>
          <w:lang w:val="sk-SK"/>
        </w:rPr>
        <w:t>oblasti energetiky (ktoré môžu okrem iného zahŕňať obnoviteľné zdroje energie, sieť alebo energetickú efektívnosť), vody (kto</w:t>
      </w:r>
      <w:r w:rsidRPr="00326E55">
        <w:rPr>
          <w:noProof/>
          <w:spacing w:val="-6"/>
          <w:lang w:val="sk-SK"/>
        </w:rPr>
        <w:t>ré môžu okrem iného zahŕňať odsoľovanie), dopravy (ktorá môže okrem iného zahŕňať cyklistické trasy, autobusy alebo člny</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odpadu (ktoré môžu okrem iného zahŕňať triedenie odpadu) na 19 neprepojených malých ostrovoch</w:t>
      </w:r>
      <w:r w:rsidR="00326E55" w:rsidRPr="00326E55">
        <w:rPr>
          <w:noProof/>
          <w:spacing w:val="-6"/>
          <w:lang w:val="sk-SK"/>
        </w:rPr>
        <w:t>.</w:t>
      </w:r>
    </w:p>
    <w:p w14:paraId="1BEC0B03" w14:textId="0135E338" w:rsidR="00BF03AA" w:rsidRPr="00326E55" w:rsidRDefault="00BF03AA">
      <w:pPr>
        <w:spacing w:after="0" w:line="240" w:lineRule="auto"/>
        <w:jc w:val="both"/>
        <w:textAlignment w:val="baseline"/>
        <w:rPr>
          <w:rFonts w:ascii="Times New Roman" w:eastAsia="Times New Roman" w:hAnsi="Times New Roman" w:cs="Segoe UI"/>
          <w:noProof/>
          <w:spacing w:val="-6"/>
          <w:kern w:val="0"/>
          <w:sz w:val="18"/>
          <w:szCs w:val="18"/>
          <w:lang w:val="sk-SK"/>
          <w14:ligatures w14:val="none"/>
        </w:rPr>
      </w:pPr>
    </w:p>
    <w:p w14:paraId="4C94178B" w14:textId="3F9C52F5" w:rsidR="00BF03AA" w:rsidRPr="00326E55" w:rsidRDefault="00FB452D">
      <w:pPr>
        <w:pStyle w:val="P68B1DB1-Normal56"/>
        <w:spacing w:after="0" w:line="240" w:lineRule="auto"/>
        <w:jc w:val="both"/>
        <w:textAlignment w:val="baseline"/>
        <w:rPr>
          <w:rFonts w:cs="Segoe UI"/>
          <w:noProof/>
          <w:spacing w:val="-6"/>
          <w:sz w:val="18"/>
          <w:szCs w:val="18"/>
          <w:lang w:val="sk-SK"/>
        </w:rPr>
      </w:pPr>
      <w:r w:rsidRPr="00326E55">
        <w:rPr>
          <w:noProof/>
          <w:spacing w:val="-6"/>
          <w:lang w:val="sk-SK"/>
        </w:rPr>
        <w:t>Investícia 3.2 –</w:t>
      </w:r>
      <w:r w:rsidRPr="00326E55">
        <w:rPr>
          <w:noProof/>
          <w:spacing w:val="-6"/>
          <w:lang w:val="sk-SK"/>
        </w:rPr>
        <w:t xml:space="preserve"> Zelené komunity</w:t>
      </w:r>
    </w:p>
    <w:p w14:paraId="13E10020" w14:textId="5259F879" w:rsidR="00BF03AA" w:rsidRPr="00326E55" w:rsidRDefault="00FB452D">
      <w:pPr>
        <w:pStyle w:val="P68B1DB1-Normal45"/>
        <w:spacing w:after="0" w:line="240" w:lineRule="auto"/>
        <w:jc w:val="both"/>
        <w:textAlignment w:val="baseline"/>
        <w:rPr>
          <w:rFonts w:cs="Segoe UI"/>
          <w:noProof/>
          <w:spacing w:val="-6"/>
          <w:lang w:val="sk-SK"/>
        </w:rPr>
      </w:pPr>
      <w:r w:rsidRPr="00326E55">
        <w:rPr>
          <w:noProof/>
          <w:spacing w:val="-6"/>
          <w:lang w:val="sk-SK"/>
        </w:rPr>
        <w:t>Cieľom tejto investície je podporiť zelenú transformáciu na vidieckych</w:t>
      </w:r>
      <w:r w:rsidR="00326E55" w:rsidRPr="00326E55">
        <w:rPr>
          <w:noProof/>
          <w:spacing w:val="-6"/>
          <w:lang w:val="sk-SK"/>
        </w:rPr>
        <w:t xml:space="preserve"> a </w:t>
      </w:r>
      <w:r w:rsidRPr="00326E55">
        <w:rPr>
          <w:noProof/>
          <w:spacing w:val="-6"/>
          <w:lang w:val="sk-SK"/>
        </w:rPr>
        <w:t>horských územiach (tzv. „zelené spoločenstvá“). Táto investícia pozostáva</w:t>
      </w:r>
      <w:r w:rsidR="00326E55" w:rsidRPr="00326E55">
        <w:rPr>
          <w:noProof/>
          <w:spacing w:val="-6"/>
          <w:lang w:val="sk-SK"/>
        </w:rPr>
        <w:t xml:space="preserve"> z </w:t>
      </w:r>
      <w:r w:rsidRPr="00326E55">
        <w:rPr>
          <w:noProof/>
          <w:spacing w:val="-6"/>
          <w:lang w:val="sk-SK"/>
        </w:rPr>
        <w:t>podpory projektov</w:t>
      </w:r>
      <w:r w:rsidR="00326E55" w:rsidRPr="00326E55">
        <w:rPr>
          <w:noProof/>
          <w:spacing w:val="-6"/>
          <w:lang w:val="sk-SK"/>
        </w:rPr>
        <w:t xml:space="preserve"> v </w:t>
      </w:r>
      <w:r w:rsidRPr="00326E55">
        <w:rPr>
          <w:noProof/>
          <w:spacing w:val="-6"/>
          <w:lang w:val="sk-SK"/>
        </w:rPr>
        <w:t>„zelených spoločenstvách“.</w:t>
      </w:r>
    </w:p>
    <w:p w14:paraId="757E1113" w14:textId="77777777" w:rsidR="00326E55" w:rsidRPr="00326E55" w:rsidRDefault="00326E55">
      <w:pPr>
        <w:pStyle w:val="P68B1DB1-Normal46"/>
        <w:spacing w:after="0" w:line="240" w:lineRule="auto"/>
        <w:jc w:val="both"/>
        <w:textAlignment w:val="baseline"/>
        <w:rPr>
          <w:noProof/>
          <w:spacing w:val="-6"/>
          <w:lang w:val="sk-SK"/>
        </w:rPr>
      </w:pPr>
    </w:p>
    <w:p w14:paraId="49A8618A" w14:textId="77777777" w:rsidR="00326E55" w:rsidRPr="00326E55" w:rsidRDefault="00FB452D">
      <w:pPr>
        <w:pStyle w:val="P68B1DB1-Normal46"/>
        <w:spacing w:after="0" w:line="240" w:lineRule="auto"/>
        <w:jc w:val="both"/>
        <w:textAlignment w:val="baseline"/>
        <w:rPr>
          <w:noProof/>
          <w:spacing w:val="-6"/>
          <w:lang w:val="sk-SK"/>
        </w:rPr>
      </w:pPr>
      <w:r w:rsidRPr="00326E55">
        <w:rPr>
          <w:b/>
          <w:noProof/>
          <w:spacing w:val="-6"/>
          <w:lang w:val="sk-SK"/>
        </w:rPr>
        <w:t xml:space="preserve">Investícia 3.4 – Fondo Rotativo Contratti </w:t>
      </w:r>
      <w:r w:rsidRPr="00326E55">
        <w:rPr>
          <w:b/>
          <w:noProof/>
          <w:spacing w:val="-6"/>
          <w:lang w:val="sk-SK"/>
        </w:rPr>
        <w:t>di Filiera (FCF) na podporu zmlúv</w:t>
      </w:r>
      <w:r w:rsidR="00326E55" w:rsidRPr="00326E55">
        <w:rPr>
          <w:b/>
          <w:noProof/>
          <w:spacing w:val="-6"/>
          <w:lang w:val="sk-SK"/>
        </w:rPr>
        <w:t xml:space="preserve"> o </w:t>
      </w:r>
      <w:r w:rsidRPr="00326E55">
        <w:rPr>
          <w:b/>
          <w:noProof/>
          <w:spacing w:val="-6"/>
          <w:lang w:val="sk-SK"/>
        </w:rPr>
        <w:t>dodávateľských reťazcoch pre odvetvia agropotravinárstva, rybolovu</w:t>
      </w:r>
      <w:r w:rsidR="00326E55" w:rsidRPr="00326E55">
        <w:rPr>
          <w:b/>
          <w:noProof/>
          <w:spacing w:val="-6"/>
          <w:lang w:val="sk-SK"/>
        </w:rPr>
        <w:t xml:space="preserve"> a </w:t>
      </w:r>
      <w:r w:rsidRPr="00326E55">
        <w:rPr>
          <w:b/>
          <w:noProof/>
          <w:spacing w:val="-6"/>
          <w:lang w:val="sk-SK"/>
        </w:rPr>
        <w:t>akvakultúry, lesného hospodárstva, kvetinárstva</w:t>
      </w:r>
      <w:r w:rsidR="00326E55" w:rsidRPr="00326E55">
        <w:rPr>
          <w:b/>
          <w:noProof/>
          <w:spacing w:val="-6"/>
          <w:lang w:val="sk-SK"/>
        </w:rPr>
        <w:t xml:space="preserve"> a </w:t>
      </w:r>
      <w:r w:rsidRPr="00326E55">
        <w:rPr>
          <w:b/>
          <w:noProof/>
          <w:spacing w:val="-6"/>
          <w:lang w:val="sk-SK"/>
        </w:rPr>
        <w:t>odchovní rastlín</w:t>
      </w:r>
    </w:p>
    <w:p w14:paraId="28746383" w14:textId="0061F95F"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verejných investícií do nástroja Fondo Rotativo Contratti</w:t>
      </w:r>
      <w:r w:rsidRPr="00326E55">
        <w:rPr>
          <w:noProof/>
          <w:spacing w:val="-6"/>
          <w:lang w:val="sk-SK"/>
        </w:rPr>
        <w:t xml:space="preserve"> di Filiera (FCF)</w:t>
      </w:r>
      <w:r w:rsidR="00326E55" w:rsidRPr="00326E55">
        <w:rPr>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talianskych odvetviach agropotravinárstva, rybolovu</w:t>
      </w:r>
      <w:r w:rsidR="00326E55" w:rsidRPr="00326E55">
        <w:rPr>
          <w:noProof/>
          <w:spacing w:val="-6"/>
          <w:lang w:val="sk-SK"/>
        </w:rPr>
        <w:t xml:space="preserve"> a </w:t>
      </w:r>
      <w:r w:rsidRPr="00326E55">
        <w:rPr>
          <w:noProof/>
          <w:spacing w:val="-6"/>
          <w:lang w:val="sk-SK"/>
        </w:rPr>
        <w:t>akvakultúry, lesného hospodárstva, kvetinárstva</w:t>
      </w:r>
      <w:r w:rsidR="00326E55" w:rsidRPr="00326E55">
        <w:rPr>
          <w:noProof/>
          <w:spacing w:val="-6"/>
          <w:lang w:val="sk-SK"/>
        </w:rPr>
        <w:t xml:space="preserve"> a </w:t>
      </w:r>
      <w:r w:rsidRPr="00326E55">
        <w:rPr>
          <w:noProof/>
          <w:spacing w:val="-6"/>
          <w:lang w:val="sk-SK"/>
        </w:rPr>
        <w:t>odchovní rastlín. Nástroj funguje tak, že poskytuje granty</w:t>
      </w:r>
      <w:r w:rsidR="00326E55" w:rsidRPr="00326E55">
        <w:rPr>
          <w:noProof/>
          <w:spacing w:val="-6"/>
          <w:lang w:val="sk-SK"/>
        </w:rPr>
        <w:t xml:space="preserve"> a </w:t>
      </w:r>
      <w:r w:rsidRPr="00326E55">
        <w:rPr>
          <w:noProof/>
          <w:spacing w:val="-6"/>
          <w:lang w:val="sk-SK"/>
        </w:rPr>
        <w:t>dotované úvery priamo prostredníctvom ISMEA (Istituto di Servizi per il Mercato Agricolo Alimentare)</w:t>
      </w:r>
      <w:r w:rsidR="00326E55" w:rsidRPr="00326E55">
        <w:rPr>
          <w:noProof/>
          <w:spacing w:val="-6"/>
          <w:lang w:val="sk-SK"/>
        </w:rPr>
        <w:t>.</w:t>
      </w:r>
    </w:p>
    <w:p w14:paraId="55530649" w14:textId="77777777"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Nástroj riadi ISMEA ako implementujúci partner. Nástroj zahŕňa tieto riadky výrobkov</w:t>
      </w:r>
      <w:r w:rsidR="00326E55" w:rsidRPr="00326E55">
        <w:rPr>
          <w:noProof/>
          <w:spacing w:val="-6"/>
          <w:lang w:val="sk-SK"/>
        </w:rPr>
        <w:t>:</w:t>
      </w:r>
    </w:p>
    <w:p w14:paraId="41E50A3A" w14:textId="0F61D82F" w:rsidR="00326E55" w:rsidRPr="00326E55" w:rsidRDefault="00FB452D">
      <w:pPr>
        <w:pStyle w:val="P68B1DB1-Normal45"/>
        <w:numPr>
          <w:ilvl w:val="0"/>
          <w:numId w:val="111"/>
        </w:numPr>
        <w:spacing w:after="0" w:line="240" w:lineRule="auto"/>
        <w:ind w:left="1080" w:firstLine="0"/>
        <w:jc w:val="both"/>
        <w:textAlignment w:val="baseline"/>
        <w:rPr>
          <w:noProof/>
          <w:spacing w:val="-6"/>
          <w:lang w:val="sk-SK"/>
        </w:rPr>
      </w:pPr>
      <w:r w:rsidRPr="00326E55">
        <w:rPr>
          <w:noProof/>
          <w:spacing w:val="-6"/>
          <w:lang w:val="sk-SK"/>
        </w:rPr>
        <w:t>Podporovať podniky, skupiny podnikov alebo združenia poľnohospodár</w:t>
      </w:r>
      <w:r w:rsidRPr="00326E55">
        <w:rPr>
          <w:noProof/>
          <w:spacing w:val="-6"/>
          <w:lang w:val="sk-SK"/>
        </w:rPr>
        <w:t>skych výrobcov, ako aj organizácie venujúce sa výskumu</w:t>
      </w:r>
      <w:r w:rsidR="00326E55" w:rsidRPr="00326E55">
        <w:rPr>
          <w:noProof/>
          <w:spacing w:val="-6"/>
          <w:lang w:val="sk-SK"/>
        </w:rPr>
        <w:t xml:space="preserve"> a </w:t>
      </w:r>
      <w:r w:rsidRPr="00326E55">
        <w:rPr>
          <w:noProof/>
          <w:spacing w:val="-6"/>
          <w:lang w:val="sk-SK"/>
        </w:rPr>
        <w:t>šíreniu poznatkov</w:t>
      </w:r>
      <w:r w:rsidR="00326E55" w:rsidRPr="00326E55">
        <w:rPr>
          <w:noProof/>
          <w:spacing w:val="-6"/>
          <w:lang w:val="sk-SK"/>
        </w:rPr>
        <w:t xml:space="preserve"> v </w:t>
      </w:r>
      <w:r w:rsidRPr="00326E55">
        <w:rPr>
          <w:noProof/>
          <w:spacing w:val="-6"/>
          <w:lang w:val="sk-SK"/>
        </w:rPr>
        <w:t>odvetviach agropotravinárstva, rybolovu</w:t>
      </w:r>
      <w:r w:rsidR="00326E55" w:rsidRPr="00326E55">
        <w:rPr>
          <w:noProof/>
          <w:spacing w:val="-6"/>
          <w:lang w:val="sk-SK"/>
        </w:rPr>
        <w:t xml:space="preserve"> a </w:t>
      </w:r>
      <w:r w:rsidRPr="00326E55">
        <w:rPr>
          <w:noProof/>
          <w:spacing w:val="-6"/>
          <w:lang w:val="sk-SK"/>
        </w:rPr>
        <w:t>akvakultúry, lesného hospodárstva, kvetinárstva</w:t>
      </w:r>
      <w:r w:rsidR="00326E55" w:rsidRPr="00326E55">
        <w:rPr>
          <w:noProof/>
          <w:spacing w:val="-6"/>
          <w:lang w:val="sk-SK"/>
        </w:rPr>
        <w:t xml:space="preserve"> a </w:t>
      </w:r>
      <w:r w:rsidRPr="00326E55">
        <w:rPr>
          <w:noProof/>
          <w:spacing w:val="-6"/>
          <w:lang w:val="sk-SK"/>
        </w:rPr>
        <w:t>odchovní rastlín zlepšením výrobných procesov zahrnutím kombinácie činností medzi</w:t>
      </w:r>
      <w:r w:rsidR="00326E55" w:rsidRPr="00326E55">
        <w:rPr>
          <w:noProof/>
          <w:spacing w:val="-6"/>
          <w:lang w:val="sk-SK"/>
        </w:rPr>
        <w:t>:</w:t>
      </w:r>
    </w:p>
    <w:p w14:paraId="6E88FA80" w14:textId="74981DA9" w:rsidR="00326E55" w:rsidRPr="00326E55" w:rsidRDefault="00FB452D">
      <w:pPr>
        <w:pStyle w:val="P68B1DB1-Normal45"/>
        <w:numPr>
          <w:ilvl w:val="0"/>
          <w:numId w:val="112"/>
        </w:numPr>
        <w:spacing w:after="0" w:line="240" w:lineRule="auto"/>
        <w:ind w:left="1800" w:firstLine="0"/>
        <w:jc w:val="both"/>
        <w:textAlignment w:val="baseline"/>
        <w:rPr>
          <w:noProof/>
          <w:spacing w:val="-6"/>
          <w:lang w:val="sk-SK"/>
        </w:rPr>
      </w:pPr>
      <w:r w:rsidRPr="00326E55">
        <w:rPr>
          <w:noProof/>
          <w:spacing w:val="-6"/>
          <w:lang w:val="sk-SK"/>
        </w:rPr>
        <w:t>Zlep</w:t>
      </w:r>
      <w:r w:rsidRPr="00326E55">
        <w:rPr>
          <w:noProof/>
          <w:spacing w:val="-6"/>
          <w:lang w:val="sk-SK"/>
        </w:rPr>
        <w:t>šiť environmentálnu udržateľnosť výrobných procesov investíciami do hmotných</w:t>
      </w:r>
      <w:r w:rsidR="00326E55" w:rsidRPr="00326E55">
        <w:rPr>
          <w:noProof/>
          <w:spacing w:val="-6"/>
          <w:lang w:val="sk-SK"/>
        </w:rPr>
        <w:t xml:space="preserve"> a </w:t>
      </w:r>
      <w:r w:rsidRPr="00326E55">
        <w:rPr>
          <w:noProof/>
          <w:spacing w:val="-6"/>
          <w:lang w:val="sk-SK"/>
        </w:rPr>
        <w:t>nehmotných aktív</w:t>
      </w:r>
      <w:r w:rsidR="00326E55" w:rsidRPr="00326E55">
        <w:rPr>
          <w:noProof/>
          <w:spacing w:val="-6"/>
          <w:lang w:val="sk-SK"/>
        </w:rPr>
        <w:t xml:space="preserve"> s </w:t>
      </w:r>
      <w:r w:rsidRPr="00326E55">
        <w:rPr>
          <w:noProof/>
          <w:spacing w:val="-6"/>
          <w:lang w:val="sk-SK"/>
        </w:rPr>
        <w:t>cieľom podstatne zvýšiť efektívnosť cieľových výrobných procesov</w:t>
      </w:r>
      <w:r w:rsidR="00326E55" w:rsidRPr="00326E55">
        <w:rPr>
          <w:noProof/>
          <w:spacing w:val="-6"/>
          <w:lang w:val="sk-SK"/>
        </w:rPr>
        <w:t xml:space="preserve"> v </w:t>
      </w:r>
      <w:r w:rsidRPr="00326E55">
        <w:rPr>
          <w:noProof/>
          <w:spacing w:val="-6"/>
          <w:lang w:val="sk-SK"/>
        </w:rPr>
        <w:t>oblasti spotreby energie, vody</w:t>
      </w:r>
      <w:r w:rsidR="00326E55" w:rsidRPr="00326E55">
        <w:rPr>
          <w:noProof/>
          <w:spacing w:val="-6"/>
          <w:lang w:val="sk-SK"/>
        </w:rPr>
        <w:t xml:space="preserve"> a </w:t>
      </w:r>
      <w:r w:rsidRPr="00326E55">
        <w:rPr>
          <w:noProof/>
          <w:spacing w:val="-6"/>
          <w:lang w:val="sk-SK"/>
        </w:rPr>
        <w:t>zdrojov</w:t>
      </w:r>
      <w:r w:rsidR="00326E55" w:rsidRPr="00326E55">
        <w:rPr>
          <w:noProof/>
          <w:spacing w:val="-6"/>
          <w:lang w:val="sk-SK"/>
        </w:rPr>
        <w:t>;</w:t>
      </w:r>
    </w:p>
    <w:p w14:paraId="2A0A8AE6" w14:textId="082CB34B" w:rsidR="00326E55" w:rsidRPr="00326E55" w:rsidRDefault="00FB452D">
      <w:pPr>
        <w:pStyle w:val="P68B1DB1-Normal45"/>
        <w:numPr>
          <w:ilvl w:val="0"/>
          <w:numId w:val="113"/>
        </w:numPr>
        <w:spacing w:after="0" w:line="240" w:lineRule="auto"/>
        <w:ind w:left="1800" w:firstLine="0"/>
        <w:jc w:val="both"/>
        <w:textAlignment w:val="baseline"/>
        <w:rPr>
          <w:noProof/>
          <w:spacing w:val="-6"/>
          <w:lang w:val="sk-SK"/>
        </w:rPr>
      </w:pPr>
      <w:r w:rsidRPr="00326E55">
        <w:rPr>
          <w:noProof/>
          <w:spacing w:val="-6"/>
          <w:lang w:val="sk-SK"/>
        </w:rPr>
        <w:t>Investície do znalostí, odbornej prípravy, výskum</w:t>
      </w:r>
      <w:r w:rsidRPr="00326E55">
        <w:rPr>
          <w:noProof/>
          <w:spacing w:val="-6"/>
          <w:lang w:val="sk-SK"/>
        </w:rPr>
        <w:t>u</w:t>
      </w:r>
      <w:r w:rsidR="00326E55" w:rsidRPr="00326E55">
        <w:rPr>
          <w:noProof/>
          <w:spacing w:val="-6"/>
          <w:lang w:val="sk-SK"/>
        </w:rPr>
        <w:t xml:space="preserve"> a </w:t>
      </w:r>
      <w:r w:rsidRPr="00326E55">
        <w:rPr>
          <w:noProof/>
          <w:spacing w:val="-6"/>
          <w:lang w:val="sk-SK"/>
        </w:rPr>
        <w:t>inovácií, transferu technológií</w:t>
      </w:r>
      <w:r w:rsidR="00326E55" w:rsidRPr="00326E55">
        <w:rPr>
          <w:noProof/>
          <w:spacing w:val="-6"/>
          <w:lang w:val="sk-SK"/>
        </w:rPr>
        <w:t xml:space="preserve"> a </w:t>
      </w:r>
      <w:r w:rsidRPr="00326E55">
        <w:rPr>
          <w:noProof/>
          <w:spacing w:val="-6"/>
          <w:lang w:val="sk-SK"/>
        </w:rPr>
        <w:t>projektov rozvoja, ktoré môžu podporiť aj reorganizáciu vzťahov medzi rôznymi aktérmi</w:t>
      </w:r>
      <w:r w:rsidR="00326E55" w:rsidRPr="00326E55">
        <w:rPr>
          <w:noProof/>
          <w:spacing w:val="-6"/>
          <w:lang w:val="sk-SK"/>
        </w:rPr>
        <w:t xml:space="preserve"> v </w:t>
      </w:r>
      <w:r w:rsidRPr="00326E55">
        <w:rPr>
          <w:noProof/>
          <w:spacing w:val="-6"/>
          <w:lang w:val="sk-SK"/>
        </w:rPr>
        <w:t>dodávateľskom reťazci</w:t>
      </w:r>
      <w:r w:rsidR="00326E55" w:rsidRPr="00326E55">
        <w:rPr>
          <w:noProof/>
          <w:spacing w:val="-6"/>
          <w:lang w:val="sk-SK"/>
        </w:rPr>
        <w:t xml:space="preserve"> s </w:t>
      </w:r>
      <w:r w:rsidRPr="00326E55">
        <w:rPr>
          <w:noProof/>
          <w:spacing w:val="-6"/>
          <w:lang w:val="sk-SK"/>
        </w:rPr>
        <w:t>cieľom zvýšiť udržateľnosť výrobných procesov</w:t>
      </w:r>
      <w:r w:rsidR="00326E55" w:rsidRPr="00326E55">
        <w:rPr>
          <w:noProof/>
          <w:spacing w:val="-6"/>
          <w:lang w:val="sk-SK"/>
        </w:rPr>
        <w:t>;</w:t>
      </w:r>
    </w:p>
    <w:p w14:paraId="3F94F138" w14:textId="7BCB0292" w:rsidR="00326E55" w:rsidRPr="00326E55" w:rsidRDefault="00FB452D">
      <w:pPr>
        <w:pStyle w:val="P68B1DB1-Normal45"/>
        <w:numPr>
          <w:ilvl w:val="0"/>
          <w:numId w:val="114"/>
        </w:numPr>
        <w:spacing w:after="0" w:line="240" w:lineRule="auto"/>
        <w:ind w:left="1800" w:firstLine="0"/>
        <w:jc w:val="both"/>
        <w:textAlignment w:val="baseline"/>
        <w:rPr>
          <w:noProof/>
          <w:spacing w:val="-6"/>
          <w:lang w:val="sk-SK"/>
        </w:rPr>
      </w:pPr>
      <w:r w:rsidRPr="00326E55">
        <w:rPr>
          <w:noProof/>
          <w:spacing w:val="-6"/>
          <w:lang w:val="sk-SK"/>
        </w:rPr>
        <w:t>Investície do digitalizácie podnikov vrátane elektronického</w:t>
      </w:r>
      <w:r w:rsidRPr="00326E55">
        <w:rPr>
          <w:noProof/>
          <w:spacing w:val="-6"/>
          <w:lang w:val="sk-SK"/>
        </w:rPr>
        <w:t xml:space="preserve"> obchodu</w:t>
      </w:r>
      <w:r w:rsidR="00326E55" w:rsidRPr="00326E55">
        <w:rPr>
          <w:noProof/>
          <w:spacing w:val="-6"/>
          <w:lang w:val="sk-SK"/>
        </w:rPr>
        <w:t xml:space="preserve"> a </w:t>
      </w:r>
      <w:r w:rsidRPr="00326E55">
        <w:rPr>
          <w:noProof/>
          <w:spacing w:val="-6"/>
          <w:lang w:val="sk-SK"/>
        </w:rPr>
        <w:t>vznikajúcich technológií</w:t>
      </w:r>
      <w:r w:rsidR="00326E55" w:rsidRPr="00326E55">
        <w:rPr>
          <w:noProof/>
          <w:spacing w:val="-6"/>
          <w:lang w:val="sk-SK"/>
        </w:rPr>
        <w:t>;</w:t>
      </w:r>
    </w:p>
    <w:p w14:paraId="76B6A7EE" w14:textId="77777777" w:rsidR="00326E55" w:rsidRPr="00326E55" w:rsidRDefault="00FB452D">
      <w:pPr>
        <w:pStyle w:val="P68B1DB1-Normal45"/>
        <w:numPr>
          <w:ilvl w:val="0"/>
          <w:numId w:val="115"/>
        </w:numPr>
        <w:spacing w:after="0" w:line="240" w:lineRule="auto"/>
        <w:ind w:left="1800" w:firstLine="0"/>
        <w:jc w:val="both"/>
        <w:textAlignment w:val="baseline"/>
        <w:rPr>
          <w:noProof/>
          <w:spacing w:val="-6"/>
          <w:lang w:val="sk-SK"/>
        </w:rPr>
      </w:pPr>
      <w:r w:rsidRPr="00326E55">
        <w:rPr>
          <w:noProof/>
          <w:spacing w:val="-6"/>
          <w:lang w:val="sk-SK"/>
        </w:rPr>
        <w:t>Inštalácia fotovoltických</w:t>
      </w:r>
      <w:r w:rsidR="00326E55" w:rsidRPr="00326E55">
        <w:rPr>
          <w:noProof/>
          <w:spacing w:val="-6"/>
          <w:lang w:val="sk-SK"/>
        </w:rPr>
        <w:t xml:space="preserve"> a </w:t>
      </w:r>
      <w:r w:rsidRPr="00326E55">
        <w:rPr>
          <w:noProof/>
          <w:spacing w:val="-6"/>
          <w:lang w:val="sk-SK"/>
        </w:rPr>
        <w:t>solárnych panelov</w:t>
      </w:r>
    </w:p>
    <w:p w14:paraId="5DE4665A" w14:textId="5BB2D588"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Cieľom opatrenia je znížiť emisie skleníkových plynov, plytvanie potravinami</w:t>
      </w:r>
      <w:r w:rsidR="00326E55" w:rsidRPr="00326E55">
        <w:rPr>
          <w:noProof/>
          <w:spacing w:val="-6"/>
          <w:lang w:val="sk-SK"/>
        </w:rPr>
        <w:t xml:space="preserve"> a </w:t>
      </w:r>
      <w:r w:rsidRPr="00326E55">
        <w:rPr>
          <w:noProof/>
          <w:spacing w:val="-6"/>
          <w:lang w:val="sk-SK"/>
        </w:rPr>
        <w:t>používanie pesticídov</w:t>
      </w:r>
      <w:r w:rsidR="00326E55" w:rsidRPr="00326E55">
        <w:rPr>
          <w:noProof/>
          <w:spacing w:val="-6"/>
          <w:lang w:val="sk-SK"/>
        </w:rPr>
        <w:t xml:space="preserve"> a </w:t>
      </w:r>
      <w:r w:rsidRPr="00326E55">
        <w:rPr>
          <w:noProof/>
          <w:spacing w:val="-6"/>
          <w:lang w:val="sk-SK"/>
        </w:rPr>
        <w:t>antimikrobiálnych látok, zlepšiť energetickú efektívnosť</w:t>
      </w:r>
      <w:r w:rsidR="00326E55" w:rsidRPr="00326E55">
        <w:rPr>
          <w:noProof/>
          <w:spacing w:val="-6"/>
          <w:lang w:val="sk-SK"/>
        </w:rPr>
        <w:t xml:space="preserve"> a </w:t>
      </w:r>
      <w:r w:rsidRPr="00326E55">
        <w:rPr>
          <w:noProof/>
          <w:spacing w:val="-6"/>
          <w:lang w:val="sk-SK"/>
        </w:rPr>
        <w:t>zvýšiť výro</w:t>
      </w:r>
      <w:r w:rsidRPr="00326E55">
        <w:rPr>
          <w:noProof/>
          <w:spacing w:val="-6"/>
          <w:lang w:val="sk-SK"/>
        </w:rPr>
        <w:t>bu</w:t>
      </w:r>
      <w:r w:rsidR="00326E55" w:rsidRPr="00326E55">
        <w:rPr>
          <w:noProof/>
          <w:spacing w:val="-6"/>
          <w:lang w:val="sk-SK"/>
        </w:rPr>
        <w:t xml:space="preserve"> a </w:t>
      </w:r>
      <w:r w:rsidRPr="00326E55">
        <w:rPr>
          <w:noProof/>
          <w:spacing w:val="-6"/>
          <w:lang w:val="sk-SK"/>
        </w:rPr>
        <w:t>využívanie energie</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w:t>
      </w:r>
    </w:p>
    <w:p w14:paraId="6FFAB536" w14:textId="487D283C"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S cieľom implementovať investície do nástroja podpíše ministerstvo</w:t>
      </w:r>
      <w:r w:rsidR="00326E55" w:rsidRPr="00326E55">
        <w:rPr>
          <w:noProof/>
          <w:spacing w:val="-6"/>
          <w:lang w:val="sk-SK"/>
        </w:rPr>
        <w:t xml:space="preserve"> a </w:t>
      </w:r>
      <w:r w:rsidRPr="00326E55">
        <w:rPr>
          <w:noProof/>
          <w:spacing w:val="-6"/>
          <w:lang w:val="sk-SK"/>
        </w:rPr>
        <w:t>ISMEA vykonávaciu dohodu, ktorá bude obsahovať tento obsah</w:t>
      </w:r>
      <w:r w:rsidR="00326E55" w:rsidRPr="00326E55">
        <w:rPr>
          <w:noProof/>
          <w:spacing w:val="-6"/>
          <w:lang w:val="sk-SK"/>
        </w:rPr>
        <w:t>:</w:t>
      </w:r>
    </w:p>
    <w:p w14:paraId="513F5A43" w14:textId="579CEF77" w:rsidR="00326E55" w:rsidRPr="00326E55" w:rsidRDefault="00FB452D">
      <w:pPr>
        <w:pStyle w:val="P68B1DB1-Normal45"/>
        <w:numPr>
          <w:ilvl w:val="0"/>
          <w:numId w:val="116"/>
        </w:numPr>
        <w:spacing w:after="0" w:line="240" w:lineRule="auto"/>
        <w:ind w:left="1080" w:firstLine="0"/>
        <w:jc w:val="both"/>
        <w:textAlignment w:val="baseline"/>
        <w:rPr>
          <w:noProof/>
          <w:spacing w:val="-6"/>
          <w:lang w:val="sk-SK"/>
        </w:rPr>
      </w:pPr>
      <w:r w:rsidRPr="00326E55">
        <w:rPr>
          <w:noProof/>
          <w:spacing w:val="-6"/>
          <w:lang w:val="sk-SK"/>
        </w:rPr>
        <w:t xml:space="preserve">Opis rozhodovacieho procesu nástroja: Konečné investičné rozhodnutie nástroja </w:t>
      </w:r>
      <w:r w:rsidRPr="00326E55">
        <w:rPr>
          <w:noProof/>
          <w:spacing w:val="-6"/>
          <w:lang w:val="sk-SK"/>
        </w:rPr>
        <w:t>prijíma 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 ktorí sú nezávislí od vlády</w:t>
      </w:r>
      <w:r w:rsidR="00326E55" w:rsidRPr="00326E55">
        <w:rPr>
          <w:noProof/>
          <w:spacing w:val="-6"/>
          <w:lang w:val="sk-SK"/>
        </w:rPr>
        <w:t>.</w:t>
      </w:r>
    </w:p>
    <w:p w14:paraId="1E54A918" w14:textId="77777777" w:rsidR="00326E55" w:rsidRPr="00326E55" w:rsidRDefault="00FB452D">
      <w:pPr>
        <w:pStyle w:val="P68B1DB1-Normal45"/>
        <w:numPr>
          <w:ilvl w:val="0"/>
          <w:numId w:val="117"/>
        </w:numPr>
        <w:spacing w:after="0" w:line="240" w:lineRule="auto"/>
        <w:ind w:left="1080" w:firstLine="0"/>
        <w:jc w:val="both"/>
        <w:textAlignment w:val="baseline"/>
        <w:rPr>
          <w:noProof/>
          <w:spacing w:val="-6"/>
          <w:lang w:val="sk-SK"/>
        </w:rPr>
      </w:pPr>
      <w:r w:rsidRPr="00326E55">
        <w:rPr>
          <w:noProof/>
          <w:spacing w:val="-6"/>
          <w:lang w:val="sk-SK"/>
        </w:rPr>
        <w:t>Kľúčové požiadavky súvisiacej investičnej politiky, ktoré zahŕňajú</w:t>
      </w:r>
      <w:r w:rsidR="00326E55" w:rsidRPr="00326E55">
        <w:rPr>
          <w:noProof/>
          <w:spacing w:val="-6"/>
          <w:lang w:val="sk-SK"/>
        </w:rPr>
        <w:t>:</w:t>
      </w:r>
    </w:p>
    <w:p w14:paraId="118CC055" w14:textId="7C638C7D" w:rsidR="00326E55" w:rsidRPr="00326E55" w:rsidRDefault="00FB452D">
      <w:pPr>
        <w:pStyle w:val="P68B1DB1-Normal45"/>
        <w:numPr>
          <w:ilvl w:val="0"/>
          <w:numId w:val="118"/>
        </w:numPr>
        <w:spacing w:after="0" w:line="240" w:lineRule="auto"/>
        <w:ind w:left="1800" w:firstLine="0"/>
        <w:jc w:val="both"/>
        <w:textAlignment w:val="baseline"/>
        <w:rPr>
          <w:noProof/>
          <w:spacing w:val="-6"/>
          <w:lang w:val="sk-SK"/>
        </w:rPr>
      </w:pPr>
      <w:r w:rsidRPr="00326E55">
        <w:rPr>
          <w:noProof/>
          <w:spacing w:val="-6"/>
          <w:lang w:val="sk-SK"/>
        </w:rPr>
        <w:t>Opis finančného(-ých) produktu(-ov)</w:t>
      </w:r>
      <w:r w:rsidR="00326E55" w:rsidRPr="00326E55">
        <w:rPr>
          <w:noProof/>
          <w:spacing w:val="-6"/>
          <w:lang w:val="sk-SK"/>
        </w:rPr>
        <w:t xml:space="preserve"> a </w:t>
      </w:r>
      <w:r w:rsidRPr="00326E55">
        <w:rPr>
          <w:noProof/>
          <w:spacing w:val="-6"/>
          <w:lang w:val="sk-SK"/>
        </w:rPr>
        <w:t>oprávnených</w:t>
      </w:r>
      <w:r w:rsidRPr="00326E55">
        <w:rPr>
          <w:noProof/>
          <w:spacing w:val="-6"/>
          <w:lang w:val="sk-SK"/>
        </w:rPr>
        <w:t xml:space="preserve"> konečných príjemcov</w:t>
      </w:r>
      <w:r w:rsidR="00326E55" w:rsidRPr="00326E55">
        <w:rPr>
          <w:noProof/>
          <w:spacing w:val="-6"/>
          <w:lang w:val="sk-SK"/>
        </w:rPr>
        <w:t>.</w:t>
      </w:r>
    </w:p>
    <w:p w14:paraId="2B1E2606" w14:textId="77777777" w:rsidR="00326E55" w:rsidRPr="00326E55" w:rsidRDefault="00FB452D">
      <w:pPr>
        <w:pStyle w:val="P68B1DB1-Normal45"/>
        <w:numPr>
          <w:ilvl w:val="0"/>
          <w:numId w:val="119"/>
        </w:numPr>
        <w:spacing w:after="0" w:line="240" w:lineRule="auto"/>
        <w:ind w:left="1800" w:firstLine="0"/>
        <w:jc w:val="both"/>
        <w:textAlignment w:val="baseline"/>
        <w:rPr>
          <w:noProof/>
          <w:spacing w:val="-6"/>
          <w:lang w:val="sk-SK"/>
        </w:rPr>
      </w:pPr>
      <w:r w:rsidRPr="00326E55">
        <w:rPr>
          <w:noProof/>
          <w:spacing w:val="-6"/>
          <w:lang w:val="sk-SK"/>
        </w:rPr>
        <w:t>Požiadavka, aby všetky podporované investície boli ekonomicky životaschopné</w:t>
      </w:r>
      <w:r w:rsidR="00326E55" w:rsidRPr="00326E55">
        <w:rPr>
          <w:noProof/>
          <w:spacing w:val="-6"/>
          <w:lang w:val="sk-SK"/>
        </w:rPr>
        <w:t>.</w:t>
      </w:r>
    </w:p>
    <w:p w14:paraId="70A22359" w14:textId="4A4B7466" w:rsidR="00326E55" w:rsidRPr="00326E55" w:rsidRDefault="00FB452D">
      <w:pPr>
        <w:numPr>
          <w:ilvl w:val="0"/>
          <w:numId w:val="120"/>
        </w:numPr>
        <w:spacing w:after="0" w:line="240" w:lineRule="auto"/>
        <w:ind w:left="1800" w:firstLine="0"/>
        <w:jc w:val="both"/>
        <w:textAlignment w:val="baseline"/>
        <w:rPr>
          <w:rFonts w:ascii="Times New Roman" w:eastAsia="Times New Roman" w:hAnsi="Times New Roman" w:cs="Times New Roman"/>
          <w:noProof/>
          <w:spacing w:val="-6"/>
          <w:kern w:val="0"/>
          <w:lang w:val="sk-SK"/>
          <w14:ligatures w14:val="none"/>
        </w:rPr>
      </w:pPr>
      <w:r w:rsidRPr="00326E55">
        <w:rPr>
          <w:rFonts w:ascii="Times New Roman" w:eastAsia="Times New Roman" w:hAnsi="Times New Roman" w:cs="Times New Roman"/>
          <w:noProof/>
          <w:spacing w:val="-6"/>
          <w:kern w:val="0"/>
          <w:lang w:val="sk-SK"/>
          <w14:ligatures w14:val="none"/>
        </w:rPr>
        <w:t>Požiadavka dodržiavať zásadu „výrazne nenarušiť“, ako sa stanovuje</w:t>
      </w:r>
      <w:r w:rsidR="00326E55" w:rsidRPr="00326E55">
        <w:rPr>
          <w:rFonts w:ascii="Times New Roman" w:eastAsia="Times New Roman" w:hAnsi="Times New Roman" w:cs="Times New Roman"/>
          <w:noProof/>
          <w:spacing w:val="-6"/>
          <w:kern w:val="0"/>
          <w:lang w:val="sk-SK"/>
          <w14:ligatures w14:val="none"/>
        </w:rPr>
        <w:t xml:space="preserve"> v </w:t>
      </w:r>
      <w:r w:rsidRPr="00326E55">
        <w:rPr>
          <w:rFonts w:ascii="Times New Roman" w:eastAsia="Times New Roman" w:hAnsi="Times New Roman" w:cs="Times New Roman"/>
          <w:noProof/>
          <w:spacing w:val="-6"/>
          <w:kern w:val="0"/>
          <w:lang w:val="sk-SK"/>
          <w14:ligatures w14:val="none"/>
        </w:rPr>
        <w:t>technickom usmernení</w:t>
      </w:r>
      <w:r w:rsidR="00326E55" w:rsidRPr="00326E55">
        <w:rPr>
          <w:rFonts w:ascii="Times New Roman" w:eastAsia="Times New Roman" w:hAnsi="Times New Roman" w:cs="Times New Roman"/>
          <w:noProof/>
          <w:spacing w:val="-6"/>
          <w:kern w:val="0"/>
          <w:lang w:val="sk-SK"/>
          <w14:ligatures w14:val="none"/>
        </w:rPr>
        <w:t xml:space="preserve"> k </w:t>
      </w:r>
      <w:r w:rsidRPr="00326E55">
        <w:rPr>
          <w:rFonts w:ascii="Times New Roman" w:eastAsia="Times New Roman" w:hAnsi="Times New Roman" w:cs="Times New Roman"/>
          <w:noProof/>
          <w:spacing w:val="-6"/>
          <w:kern w:val="0"/>
          <w:lang w:val="sk-SK"/>
          <w14:ligatures w14:val="none"/>
        </w:rPr>
        <w:t xml:space="preserve">zásade „výrazne nenarušiť“ (2021/C58/01). Investičná politika </w:t>
      </w:r>
      <w:r w:rsidRPr="00326E55">
        <w:rPr>
          <w:rFonts w:ascii="Times New Roman" w:eastAsia="Times New Roman" w:hAnsi="Times New Roman" w:cs="Times New Roman"/>
          <w:noProof/>
          <w:spacing w:val="-6"/>
          <w:kern w:val="0"/>
          <w:lang w:val="sk-SK"/>
          <w14:ligatures w14:val="none"/>
        </w:rPr>
        <w:t>vylučuje</w:t>
      </w:r>
      <w:r w:rsidR="00326E55" w:rsidRPr="00326E55">
        <w:rPr>
          <w:rFonts w:ascii="Times New Roman" w:eastAsia="Times New Roman" w:hAnsi="Times New Roman" w:cs="Times New Roman"/>
          <w:noProof/>
          <w:spacing w:val="-6"/>
          <w:kern w:val="0"/>
          <w:lang w:val="sk-SK"/>
          <w14:ligatures w14:val="none"/>
        </w:rPr>
        <w:t xml:space="preserve"> z </w:t>
      </w:r>
      <w:r w:rsidRPr="00326E55">
        <w:rPr>
          <w:rFonts w:ascii="Times New Roman" w:eastAsia="Times New Roman" w:hAnsi="Times New Roman" w:cs="Times New Roman"/>
          <w:noProof/>
          <w:spacing w:val="-6"/>
          <w:kern w:val="0"/>
          <w:lang w:val="sk-SK"/>
          <w14:ligatures w14:val="none"/>
        </w:rPr>
        <w:t>oprávnenosti najmä tento zoznam činností</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aktív: I) činnosti</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aktíva súvisiace</w:t>
      </w:r>
      <w:r w:rsidR="00326E55" w:rsidRPr="00326E55">
        <w:rPr>
          <w:rFonts w:ascii="Times New Roman" w:eastAsia="Times New Roman" w:hAnsi="Times New Roman" w:cs="Times New Roman"/>
          <w:noProof/>
          <w:spacing w:val="-6"/>
          <w:kern w:val="0"/>
          <w:lang w:val="sk-SK"/>
          <w14:ligatures w14:val="none"/>
        </w:rPr>
        <w:t xml:space="preserve"> s </w:t>
      </w:r>
      <w:r w:rsidRPr="00326E55">
        <w:rPr>
          <w:rFonts w:ascii="Times New Roman" w:eastAsia="Times New Roman" w:hAnsi="Times New Roman" w:cs="Times New Roman"/>
          <w:noProof/>
          <w:spacing w:val="-6"/>
          <w:kern w:val="0"/>
          <w:lang w:val="sk-SK"/>
          <w14:ligatures w14:val="none"/>
        </w:rPr>
        <w:t>fosílnymi palivami vrátane následného používania,</w:t>
      </w:r>
      <w:r w:rsidRPr="00326E55">
        <w:rPr>
          <w:rStyle w:val="FootnoteReference"/>
          <w:rFonts w:ascii="Times New Roman" w:eastAsia="Times New Roman" w:hAnsi="Times New Roman" w:cs="Times New Roman"/>
          <w:noProof/>
          <w:spacing w:val="-6"/>
          <w:kern w:val="0"/>
          <w:lang w:val="sk-SK"/>
          <w14:ligatures w14:val="none"/>
        </w:rPr>
        <w:footnoteReference w:id="22"/>
      </w:r>
      <w:r w:rsidRPr="00326E55">
        <w:rPr>
          <w:rFonts w:ascii="Times New Roman" w:eastAsia="Times New Roman" w:hAnsi="Times New Roman" w:cs="Times New Roman"/>
          <w:noProof/>
          <w:spacing w:val="-6"/>
          <w:kern w:val="0"/>
          <w:lang w:val="sk-SK"/>
          <w14:ligatures w14:val="none"/>
        </w:rPr>
        <w:t>ii) činnosti</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aktíva</w:t>
      </w:r>
      <w:r w:rsidR="00326E55" w:rsidRPr="00326E55">
        <w:rPr>
          <w:rFonts w:ascii="Times New Roman" w:eastAsia="Times New Roman" w:hAnsi="Times New Roman" w:cs="Times New Roman"/>
          <w:noProof/>
          <w:spacing w:val="-6"/>
          <w:kern w:val="0"/>
          <w:lang w:val="sk-SK"/>
          <w14:ligatures w14:val="none"/>
        </w:rPr>
        <w:t xml:space="preserve"> v </w:t>
      </w:r>
      <w:r w:rsidRPr="00326E55">
        <w:rPr>
          <w:rFonts w:ascii="Times New Roman" w:eastAsia="Times New Roman" w:hAnsi="Times New Roman" w:cs="Times New Roman"/>
          <w:noProof/>
          <w:spacing w:val="-6"/>
          <w:kern w:val="0"/>
          <w:lang w:val="sk-SK"/>
          <w14:ligatures w14:val="none"/>
        </w:rPr>
        <w:t>rámci systému EÚ na obchodovanie</w:t>
      </w:r>
      <w:r w:rsidR="00326E55" w:rsidRPr="00326E55">
        <w:rPr>
          <w:rFonts w:ascii="Times New Roman" w:eastAsia="Times New Roman" w:hAnsi="Times New Roman" w:cs="Times New Roman"/>
          <w:noProof/>
          <w:spacing w:val="-6"/>
          <w:kern w:val="0"/>
          <w:lang w:val="sk-SK"/>
          <w14:ligatures w14:val="none"/>
        </w:rPr>
        <w:t xml:space="preserve"> s </w:t>
      </w:r>
      <w:r w:rsidRPr="00326E55">
        <w:rPr>
          <w:rFonts w:ascii="Times New Roman" w:eastAsia="Times New Roman" w:hAnsi="Times New Roman" w:cs="Times New Roman"/>
          <w:noProof/>
          <w:spacing w:val="-6"/>
          <w:kern w:val="0"/>
          <w:lang w:val="sk-SK"/>
          <w14:ligatures w14:val="none"/>
        </w:rPr>
        <w:t>emisiami (ETS), ktorými sa dosahujú predpokladané emi</w:t>
      </w:r>
      <w:r w:rsidRPr="00326E55">
        <w:rPr>
          <w:rFonts w:ascii="Times New Roman" w:eastAsia="Times New Roman" w:hAnsi="Times New Roman" w:cs="Times New Roman"/>
          <w:noProof/>
          <w:spacing w:val="-6"/>
          <w:kern w:val="0"/>
          <w:lang w:val="sk-SK"/>
          <w14:ligatures w14:val="none"/>
        </w:rPr>
        <w:t>sie skleníkových plynov, ktoré nie sú nižšie ako príslušné referenčné hodnoty,</w:t>
      </w:r>
      <w:r w:rsidRPr="00326E55">
        <w:rPr>
          <w:rStyle w:val="FootnoteReference"/>
          <w:rFonts w:ascii="Times New Roman" w:eastAsia="Times New Roman" w:hAnsi="Times New Roman" w:cs="Times New Roman"/>
          <w:noProof/>
          <w:spacing w:val="-6"/>
          <w:kern w:val="0"/>
          <w:lang w:val="sk-SK"/>
          <w14:ligatures w14:val="none"/>
        </w:rPr>
        <w:footnoteReference w:id="23"/>
      </w:r>
      <w:r w:rsidRPr="00326E55">
        <w:rPr>
          <w:rFonts w:ascii="Times New Roman" w:eastAsia="Times New Roman" w:hAnsi="Times New Roman" w:cs="Times New Roman"/>
          <w:noProof/>
          <w:spacing w:val="-6"/>
          <w:kern w:val="0"/>
          <w:lang w:val="sk-SK"/>
          <w14:ligatures w14:val="none"/>
        </w:rPr>
        <w:t>iii) činnosti</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aktíva súvisiace so skládkami odpadu, spaľovňami</w:t>
      </w:r>
      <w:r w:rsidRPr="00326E55">
        <w:rPr>
          <w:rStyle w:val="FootnoteReference"/>
          <w:rFonts w:ascii="Times New Roman" w:eastAsia="Times New Roman" w:hAnsi="Times New Roman" w:cs="Times New Roman"/>
          <w:noProof/>
          <w:spacing w:val="-6"/>
          <w:kern w:val="0"/>
          <w:lang w:val="sk-SK"/>
          <w14:ligatures w14:val="none"/>
        </w:rPr>
        <w:footnoteReference w:id="24"/>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mechanickými biologickými čistiarňami</w:t>
      </w:r>
      <w:r w:rsidRPr="00326E55">
        <w:rPr>
          <w:rStyle w:val="FootnoteReference"/>
          <w:rFonts w:ascii="Times New Roman" w:eastAsia="Times New Roman" w:hAnsi="Times New Roman" w:cs="Times New Roman"/>
          <w:noProof/>
          <w:spacing w:val="-6"/>
          <w:kern w:val="0"/>
          <w:lang w:val="sk-SK"/>
          <w14:ligatures w14:val="none"/>
        </w:rPr>
        <w:footnoteReference w:id="25"/>
      </w:r>
      <w:r w:rsidR="00326E55" w:rsidRPr="00326E55">
        <w:rPr>
          <w:rFonts w:ascii="Times New Roman" w:eastAsia="Times New Roman" w:hAnsi="Times New Roman" w:cs="Times New Roman"/>
          <w:noProof/>
          <w:spacing w:val="-6"/>
          <w:kern w:val="0"/>
          <w:lang w:val="sk-SK"/>
          <w14:ligatures w14:val="none"/>
        </w:rPr>
        <w:t>.</w:t>
      </w:r>
    </w:p>
    <w:p w14:paraId="1A05F044" w14:textId="3BB6C6EF" w:rsidR="00326E55" w:rsidRPr="00326E55" w:rsidRDefault="00FB452D">
      <w:pPr>
        <w:pStyle w:val="P68B1DB1-Normal45"/>
        <w:numPr>
          <w:ilvl w:val="0"/>
          <w:numId w:val="121"/>
        </w:numPr>
        <w:spacing w:after="0" w:line="240" w:lineRule="auto"/>
        <w:ind w:left="1800" w:firstLine="0"/>
        <w:jc w:val="both"/>
        <w:textAlignment w:val="baseline"/>
        <w:rPr>
          <w:noProof/>
          <w:spacing w:val="-6"/>
          <w:lang w:val="sk-SK"/>
        </w:rPr>
      </w:pPr>
      <w:r w:rsidRPr="00326E55">
        <w:rPr>
          <w:noProof/>
          <w:spacing w:val="-6"/>
          <w:lang w:val="sk-SK"/>
        </w:rPr>
        <w:t>Požiadavka, aby koneční príjemcovia nástroja nedostali podporu</w:t>
      </w:r>
      <w:r w:rsidR="00326E55" w:rsidRPr="00326E55">
        <w:rPr>
          <w:noProof/>
          <w:spacing w:val="-6"/>
          <w:lang w:val="sk-SK"/>
        </w:rPr>
        <w:t xml:space="preserve"> z </w:t>
      </w:r>
      <w:r w:rsidRPr="00326E55">
        <w:rPr>
          <w:noProof/>
          <w:spacing w:val="-6"/>
          <w:lang w:val="sk-SK"/>
        </w:rPr>
        <w:t>inýc</w:t>
      </w:r>
      <w:r w:rsidRPr="00326E55">
        <w:rPr>
          <w:noProof/>
          <w:spacing w:val="-6"/>
          <w:lang w:val="sk-SK"/>
        </w:rPr>
        <w:t>h nástrojov Únie na pokrytie rovnakých nákladov</w:t>
      </w:r>
      <w:r w:rsidR="00326E55" w:rsidRPr="00326E55">
        <w:rPr>
          <w:noProof/>
          <w:spacing w:val="-6"/>
          <w:lang w:val="sk-SK"/>
        </w:rPr>
        <w:t>.</w:t>
      </w:r>
    </w:p>
    <w:p w14:paraId="3860E288" w14:textId="397A982A" w:rsidR="00326E55" w:rsidRPr="00326E55" w:rsidRDefault="00FB452D">
      <w:pPr>
        <w:pStyle w:val="P68B1DB1-Normal45"/>
        <w:numPr>
          <w:ilvl w:val="0"/>
          <w:numId w:val="122"/>
        </w:numPr>
        <w:spacing w:after="0" w:line="240" w:lineRule="auto"/>
        <w:ind w:left="1080" w:firstLine="0"/>
        <w:jc w:val="both"/>
        <w:textAlignment w:val="baseline"/>
        <w:rPr>
          <w:noProof/>
          <w:spacing w:val="-6"/>
          <w:lang w:val="sk-SK"/>
        </w:rPr>
      </w:pPr>
      <w:r w:rsidRPr="00326E55">
        <w:rPr>
          <w:noProof/>
          <w:spacing w:val="-6"/>
          <w:lang w:val="sk-SK"/>
        </w:rPr>
        <w:t>Suma,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reinvestovať akékoľvek spätné toky podľa investičnej politiky nástroja</w:t>
      </w:r>
      <w:r w:rsidR="00326E55" w:rsidRPr="00326E55">
        <w:rPr>
          <w:noProof/>
          <w:spacing w:val="-6"/>
          <w:lang w:val="sk-SK"/>
        </w:rPr>
        <w:t>.</w:t>
      </w:r>
    </w:p>
    <w:p w14:paraId="470961FE" w14:textId="50F15CCD" w:rsidR="00326E55" w:rsidRPr="00326E55" w:rsidRDefault="00FB452D">
      <w:pPr>
        <w:pStyle w:val="P68B1DB1-Normal45"/>
        <w:numPr>
          <w:ilvl w:val="0"/>
          <w:numId w:val="123"/>
        </w:numPr>
        <w:spacing w:after="0" w:line="240" w:lineRule="auto"/>
        <w:ind w:left="1080" w:firstLine="0"/>
        <w:jc w:val="both"/>
        <w:textAlignment w:val="baseline"/>
        <w:rPr>
          <w:noProof/>
          <w:spacing w:val="-6"/>
          <w:lang w:val="sk-SK"/>
        </w:rPr>
      </w:pPr>
      <w:r w:rsidRPr="00326E55">
        <w:rPr>
          <w:noProof/>
          <w:spacing w:val="-6"/>
          <w:lang w:val="sk-SK"/>
        </w:rPr>
        <w:t>Požiadavky na monitorovan</w:t>
      </w:r>
      <w:r w:rsidRPr="00326E55">
        <w:rPr>
          <w:noProof/>
          <w:spacing w:val="-6"/>
          <w:lang w:val="sk-SK"/>
        </w:rPr>
        <w:t>ie, audit</w:t>
      </w:r>
      <w:r w:rsidR="00326E55" w:rsidRPr="00326E55">
        <w:rPr>
          <w:noProof/>
          <w:spacing w:val="-6"/>
          <w:lang w:val="sk-SK"/>
        </w:rPr>
        <w:t xml:space="preserve"> a </w:t>
      </w:r>
      <w:r w:rsidRPr="00326E55">
        <w:rPr>
          <w:noProof/>
          <w:spacing w:val="-6"/>
          <w:lang w:val="sk-SK"/>
        </w:rPr>
        <w:t>kontrolu vrátane</w:t>
      </w:r>
      <w:r w:rsidR="00326E55" w:rsidRPr="00326E55">
        <w:rPr>
          <w:noProof/>
          <w:spacing w:val="-6"/>
          <w:lang w:val="sk-SK"/>
        </w:rPr>
        <w:t>:</w:t>
      </w:r>
    </w:p>
    <w:p w14:paraId="4C71B398" w14:textId="24CB6C89" w:rsidR="00326E55" w:rsidRPr="00326E55" w:rsidRDefault="00FB452D">
      <w:pPr>
        <w:pStyle w:val="P68B1DB1-Normal45"/>
        <w:numPr>
          <w:ilvl w:val="0"/>
          <w:numId w:val="124"/>
        </w:numPr>
        <w:spacing w:after="0" w:line="240" w:lineRule="auto"/>
        <w:ind w:left="1800" w:firstLine="0"/>
        <w:jc w:val="both"/>
        <w:textAlignment w:val="baseline"/>
        <w:rPr>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 </w:t>
      </w:r>
      <w:r w:rsidRPr="00326E55">
        <w:rPr>
          <w:noProof/>
          <w:spacing w:val="-6"/>
          <w:lang w:val="sk-SK"/>
        </w:rPr>
        <w:t>mobilizovaných investíciách</w:t>
      </w:r>
      <w:r w:rsidR="00326E55" w:rsidRPr="00326E55">
        <w:rPr>
          <w:noProof/>
          <w:spacing w:val="-6"/>
          <w:lang w:val="sk-SK"/>
        </w:rPr>
        <w:t>.</w:t>
      </w:r>
    </w:p>
    <w:p w14:paraId="461F046E" w14:textId="1989AD82" w:rsidR="00326E55" w:rsidRPr="00326E55" w:rsidRDefault="00FB452D">
      <w:pPr>
        <w:pStyle w:val="P68B1DB1-Normal45"/>
        <w:numPr>
          <w:ilvl w:val="0"/>
          <w:numId w:val="125"/>
        </w:numPr>
        <w:spacing w:after="0" w:line="240" w:lineRule="auto"/>
        <w:ind w:left="1800" w:firstLine="0"/>
        <w:jc w:val="both"/>
        <w:textAlignment w:val="baseline"/>
        <w:rPr>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 </w:t>
      </w:r>
      <w:r w:rsidRPr="00326E55">
        <w:rPr>
          <w:noProof/>
          <w:spacing w:val="-6"/>
          <w:lang w:val="sk-SK"/>
        </w:rPr>
        <w:t xml:space="preserve">konfliktom záujmov, ich </w:t>
      </w:r>
      <w:r w:rsidRPr="00326E55">
        <w:rPr>
          <w:noProof/>
          <w:spacing w:val="-6"/>
          <w:lang w:val="sk-SK"/>
        </w:rPr>
        <w:t>odhaľovanie</w:t>
      </w:r>
      <w:r w:rsidR="00326E55" w:rsidRPr="00326E55">
        <w:rPr>
          <w:noProof/>
          <w:spacing w:val="-6"/>
          <w:lang w:val="sk-SK"/>
        </w:rPr>
        <w:t xml:space="preserve"> a </w:t>
      </w:r>
      <w:r w:rsidRPr="00326E55">
        <w:rPr>
          <w:noProof/>
          <w:spacing w:val="-6"/>
          <w:lang w:val="sk-SK"/>
        </w:rPr>
        <w:t>náprava</w:t>
      </w:r>
      <w:r w:rsidR="00326E55" w:rsidRPr="00326E55">
        <w:rPr>
          <w:noProof/>
          <w:spacing w:val="-6"/>
          <w:lang w:val="sk-SK"/>
        </w:rPr>
        <w:t>.</w:t>
      </w:r>
    </w:p>
    <w:p w14:paraId="3E9A5C56" w14:textId="09069B98" w:rsidR="00326E55" w:rsidRPr="00326E55" w:rsidRDefault="00FB452D">
      <w:pPr>
        <w:pStyle w:val="P68B1DB1-Normal45"/>
        <w:numPr>
          <w:ilvl w:val="0"/>
          <w:numId w:val="126"/>
        </w:numPr>
        <w:spacing w:after="0" w:line="240" w:lineRule="auto"/>
        <w:ind w:left="1800" w:firstLine="0"/>
        <w:jc w:val="both"/>
        <w:textAlignment w:val="baseline"/>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tým, ako sa zaviaže financovať operáciu</w:t>
      </w:r>
      <w:r w:rsidR="00326E55" w:rsidRPr="00326E55">
        <w:rPr>
          <w:noProof/>
          <w:spacing w:val="-6"/>
          <w:lang w:val="sk-SK"/>
        </w:rPr>
        <w:t>.</w:t>
      </w:r>
    </w:p>
    <w:p w14:paraId="06455FED" w14:textId="134FF8D8" w:rsidR="00326E55" w:rsidRPr="00326E55" w:rsidRDefault="00FB452D">
      <w:pPr>
        <w:pStyle w:val="P68B1DB1-Normal45"/>
        <w:numPr>
          <w:ilvl w:val="0"/>
          <w:numId w:val="127"/>
        </w:numPr>
        <w:spacing w:after="0" w:line="240" w:lineRule="auto"/>
        <w:ind w:left="1800" w:firstLine="0"/>
        <w:jc w:val="both"/>
        <w:textAlignment w:val="baseline"/>
        <w:rPr>
          <w:noProof/>
          <w:spacing w:val="-6"/>
          <w:lang w:val="sk-SK"/>
        </w:rPr>
      </w:pPr>
      <w:r w:rsidRPr="00326E55">
        <w:rPr>
          <w:noProof/>
          <w:spacing w:val="-6"/>
          <w:lang w:val="sk-SK"/>
        </w:rPr>
        <w:t>Povinnosť vykonávať ex post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ISMEA</w:t>
      </w:r>
      <w:r w:rsidRPr="00326E55">
        <w:rPr>
          <w:noProof/>
          <w:spacing w:val="-6"/>
          <w:lang w:val="sk-SK"/>
        </w:rPr>
        <w:t>. Týmito auditmi sa overí i) účinnosť systémov kontroly vrátane odhaľovania podvodov, korupcie</w:t>
      </w:r>
      <w:r w:rsidR="00326E55" w:rsidRPr="00326E55">
        <w:rPr>
          <w:noProof/>
          <w:spacing w:val="-6"/>
          <w:lang w:val="sk-SK"/>
        </w:rPr>
        <w:t xml:space="preserve"> a </w:t>
      </w:r>
      <w:r w:rsidRPr="00326E55">
        <w:rPr>
          <w:noProof/>
          <w:spacing w:val="-6"/>
          <w:lang w:val="sk-SK"/>
        </w:rPr>
        <w:t>konfliktu záujmov; II) súlad so zásadou „výrazne nenarušiť“, pravidlami štátnej pomoci, požiadavkami na klimatické</w:t>
      </w:r>
      <w:r w:rsidR="00326E55" w:rsidRPr="00326E55">
        <w:rPr>
          <w:noProof/>
          <w:spacing w:val="-6"/>
          <w:lang w:val="sk-SK"/>
        </w:rPr>
        <w:t xml:space="preserve"> a </w:t>
      </w:r>
      <w:r w:rsidRPr="00326E55">
        <w:rPr>
          <w:noProof/>
          <w:spacing w:val="-6"/>
          <w:lang w:val="sk-SK"/>
        </w:rPr>
        <w:t>digitálne ciele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prílohou VI</w:t>
      </w:r>
      <w:r w:rsidR="00326E55" w:rsidRPr="00326E55">
        <w:rPr>
          <w:noProof/>
          <w:spacing w:val="-6"/>
          <w:lang w:val="sk-SK"/>
        </w:rPr>
        <w:t xml:space="preserve"> k </w:t>
      </w:r>
      <w:r w:rsidRPr="00326E55">
        <w:rPr>
          <w:noProof/>
          <w:spacing w:val="-6"/>
          <w:lang w:val="sk-SK"/>
        </w:rPr>
        <w:t>n</w:t>
      </w:r>
      <w:r w:rsidRPr="00326E55">
        <w:rPr>
          <w:noProof/>
          <w:spacing w:val="-6"/>
          <w:lang w:val="sk-SK"/>
        </w:rPr>
        <w:t>ariadeniu</w:t>
      </w:r>
      <w:r w:rsidR="00326E55" w:rsidRPr="00326E55">
        <w:rPr>
          <w:noProof/>
          <w:spacing w:val="-6"/>
          <w:lang w:val="sk-SK"/>
        </w:rPr>
        <w:t xml:space="preserve"> o </w:t>
      </w:r>
      <w:r w:rsidRPr="00326E55">
        <w:rPr>
          <w:noProof/>
          <w:spacing w:val="-6"/>
          <w:lang w:val="sk-SK"/>
        </w:rPr>
        <w:t>Mechanizme na podporu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a s </w:t>
      </w:r>
      <w:r w:rsidRPr="00326E55">
        <w:rPr>
          <w:noProof/>
          <w:spacing w:val="-6"/>
          <w:lang w:val="sk-SK"/>
        </w:rPr>
        <w:t>prílohou VII</w:t>
      </w:r>
      <w:r w:rsidR="00326E55" w:rsidRPr="00326E55">
        <w:rPr>
          <w:noProof/>
          <w:spacing w:val="-6"/>
          <w:lang w:val="sk-SK"/>
        </w:rPr>
        <w:t xml:space="preserve"> k </w:t>
      </w:r>
      <w:r w:rsidRPr="00326E55">
        <w:rPr>
          <w:noProof/>
          <w:spacing w:val="-6"/>
          <w:lang w:val="sk-SK"/>
        </w:rPr>
        <w:t>nariadeniu</w:t>
      </w:r>
      <w:r w:rsidR="00326E55" w:rsidRPr="00326E55">
        <w:rPr>
          <w:noProof/>
          <w:spacing w:val="-6"/>
          <w:lang w:val="sk-SK"/>
        </w:rPr>
        <w:t xml:space="preserve"> o </w:t>
      </w:r>
      <w:r w:rsidRPr="00326E55">
        <w:rPr>
          <w:noProof/>
          <w:spacing w:val="-6"/>
          <w:lang w:val="sk-SK"/>
        </w:rPr>
        <w:t>Mechanizme na podporu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a </w:t>
      </w:r>
      <w:r w:rsidRPr="00326E55">
        <w:rPr>
          <w:noProof/>
          <w:spacing w:val="-6"/>
          <w:lang w:val="sk-SK"/>
        </w:rPr>
        <w:t>iii) aby sa dodržala požiadavka, aby koneční príjemcovia nástroja nedostali podporu</w:t>
      </w:r>
      <w:r w:rsidR="00326E55" w:rsidRPr="00326E55">
        <w:rPr>
          <w:noProof/>
          <w:spacing w:val="-6"/>
          <w:lang w:val="sk-SK"/>
        </w:rPr>
        <w:t xml:space="preserve"> z </w:t>
      </w:r>
      <w:r w:rsidRPr="00326E55">
        <w:rPr>
          <w:noProof/>
          <w:spacing w:val="-6"/>
          <w:lang w:val="sk-SK"/>
        </w:rPr>
        <w:t>iných nástrojov Únie na pokrytie rovnakýc</w:t>
      </w:r>
      <w:r w:rsidRPr="00326E55">
        <w:rPr>
          <w:noProof/>
          <w:spacing w:val="-6"/>
          <w:lang w:val="sk-SK"/>
        </w:rPr>
        <w:t>h nákladov. Auditmi sa takisto overí zákonnosť transakcií</w:t>
      </w:r>
      <w:r w:rsidR="00326E55" w:rsidRPr="00326E55">
        <w:rPr>
          <w:noProof/>
          <w:spacing w:val="-6"/>
          <w:lang w:val="sk-SK"/>
        </w:rPr>
        <w:t xml:space="preserve"> a </w:t>
      </w:r>
      <w:r w:rsidRPr="00326E55">
        <w:rPr>
          <w:noProof/>
          <w:spacing w:val="-6"/>
          <w:lang w:val="sk-SK"/>
        </w:rPr>
        <w:t>dodržiavanie podmienok uplatniteľných vykonávacích dohôd</w:t>
      </w:r>
      <w:r w:rsidR="00326E55" w:rsidRPr="00326E55">
        <w:rPr>
          <w:noProof/>
          <w:spacing w:val="-6"/>
          <w:lang w:val="sk-SK"/>
        </w:rPr>
        <w:t xml:space="preserve"> a </w:t>
      </w:r>
      <w:r w:rsidRPr="00326E55">
        <w:rPr>
          <w:noProof/>
          <w:spacing w:val="-6"/>
          <w:lang w:val="sk-SK"/>
        </w:rPr>
        <w:t>dohôd</w:t>
      </w:r>
      <w:r w:rsidR="00326E55" w:rsidRPr="00326E55">
        <w:rPr>
          <w:noProof/>
          <w:spacing w:val="-6"/>
          <w:lang w:val="sk-SK"/>
        </w:rPr>
        <w:t xml:space="preserve"> o </w:t>
      </w:r>
      <w:r w:rsidRPr="00326E55">
        <w:rPr>
          <w:noProof/>
          <w:spacing w:val="-6"/>
          <w:lang w:val="sk-SK"/>
        </w:rPr>
        <w:t>financovaní</w:t>
      </w:r>
      <w:r w:rsidR="00326E55" w:rsidRPr="00326E55">
        <w:rPr>
          <w:noProof/>
          <w:spacing w:val="-6"/>
          <w:lang w:val="sk-SK"/>
        </w:rPr>
        <w:t>.</w:t>
      </w:r>
    </w:p>
    <w:p w14:paraId="58555A62" w14:textId="77777777" w:rsidR="00326E55" w:rsidRPr="00326E55" w:rsidRDefault="00326E55">
      <w:pPr>
        <w:pStyle w:val="P68B1DB1-Normal45"/>
        <w:spacing w:after="0" w:line="240" w:lineRule="auto"/>
        <w:ind w:left="1440"/>
        <w:jc w:val="both"/>
        <w:textAlignment w:val="baseline"/>
        <w:rPr>
          <w:noProof/>
          <w:spacing w:val="-6"/>
          <w:lang w:val="sk-SK"/>
        </w:rPr>
      </w:pPr>
    </w:p>
    <w:p w14:paraId="2BF3E397" w14:textId="3A713541" w:rsidR="00BF03AA" w:rsidRPr="00326E55" w:rsidRDefault="00FB452D">
      <w:pPr>
        <w:numPr>
          <w:ilvl w:val="0"/>
          <w:numId w:val="128"/>
        </w:numPr>
        <w:spacing w:after="0" w:line="240" w:lineRule="auto"/>
        <w:ind w:left="1080" w:firstLine="0"/>
        <w:jc w:val="both"/>
        <w:textAlignment w:val="baseline"/>
        <w:rPr>
          <w:rFonts w:ascii="Times New Roman" w:eastAsia="Times New Roman" w:hAnsi="Times New Roman" w:cs="Times New Roman"/>
          <w:noProof/>
          <w:spacing w:val="-6"/>
          <w:kern w:val="0"/>
          <w:lang w:val="sk-SK"/>
          <w14:ligatures w14:val="none"/>
        </w:rPr>
      </w:pPr>
      <w:r w:rsidRPr="00326E55">
        <w:rPr>
          <w:rFonts w:ascii="Times New Roman" w:eastAsia="Times New Roman" w:hAnsi="Times New Roman" w:cs="Times New Roman"/>
          <w:noProof/>
          <w:spacing w:val="-6"/>
          <w:kern w:val="0"/>
          <w:lang w:val="sk-SK"/>
          <w14:ligatures w14:val="none"/>
        </w:rPr>
        <w:t>Požiadavky na investície</w:t>
      </w:r>
      <w:r w:rsidR="00326E55" w:rsidRPr="00326E55">
        <w:rPr>
          <w:rFonts w:ascii="Times New Roman" w:eastAsia="Times New Roman" w:hAnsi="Times New Roman" w:cs="Times New Roman"/>
          <w:noProof/>
          <w:spacing w:val="-6"/>
          <w:kern w:val="0"/>
          <w:lang w:val="sk-SK"/>
          <w14:ligatures w14:val="none"/>
        </w:rPr>
        <w:t xml:space="preserve"> v </w:t>
      </w:r>
      <w:r w:rsidRPr="00326E55">
        <w:rPr>
          <w:rFonts w:ascii="Times New Roman" w:eastAsia="Times New Roman" w:hAnsi="Times New Roman" w:cs="Times New Roman"/>
          <w:noProof/>
          <w:spacing w:val="-6"/>
          <w:kern w:val="0"/>
          <w:lang w:val="sk-SK"/>
          <w14:ligatures w14:val="none"/>
        </w:rPr>
        <w:t>oblasti klímy realizované implementujúcim partnerom: najmenej 1 848 000 000,00 EUR</w:t>
      </w:r>
      <w:r w:rsidR="00326E55" w:rsidRPr="00326E55">
        <w:rPr>
          <w:rFonts w:ascii="Times New Roman" w:eastAsia="Times New Roman" w:hAnsi="Times New Roman" w:cs="Times New Roman"/>
          <w:noProof/>
          <w:spacing w:val="-6"/>
          <w:kern w:val="0"/>
          <w:lang w:val="sk-SK"/>
          <w14:ligatures w14:val="none"/>
        </w:rPr>
        <w:t xml:space="preserve"> z </w:t>
      </w:r>
      <w:r w:rsidRPr="00326E55">
        <w:rPr>
          <w:rFonts w:ascii="Times New Roman" w:eastAsia="Times New Roman" w:hAnsi="Times New Roman" w:cs="Times New Roman"/>
          <w:noProof/>
          <w:spacing w:val="-6"/>
          <w:kern w:val="0"/>
          <w:lang w:val="sk-SK"/>
          <w14:ligatures w14:val="none"/>
        </w:rPr>
        <w:t>investícií Mechanizmu na  podporu obnovy</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odolnosti do mechanizmu prispeje</w:t>
      </w:r>
      <w:r w:rsidR="00326E55" w:rsidRPr="00326E55">
        <w:rPr>
          <w:rFonts w:ascii="Times New Roman" w:eastAsia="Times New Roman" w:hAnsi="Times New Roman" w:cs="Times New Roman"/>
          <w:noProof/>
          <w:spacing w:val="-6"/>
          <w:kern w:val="0"/>
          <w:lang w:val="sk-SK"/>
          <w14:ligatures w14:val="none"/>
        </w:rPr>
        <w:t xml:space="preserve"> k </w:t>
      </w:r>
      <w:r w:rsidRPr="00326E55">
        <w:rPr>
          <w:rFonts w:ascii="Times New Roman" w:eastAsia="Times New Roman" w:hAnsi="Times New Roman" w:cs="Times New Roman"/>
          <w:noProof/>
          <w:spacing w:val="-6"/>
          <w:kern w:val="0"/>
          <w:lang w:val="sk-SK"/>
          <w14:ligatures w14:val="none"/>
        </w:rPr>
        <w:t>cieľom</w:t>
      </w:r>
      <w:r w:rsidR="00326E55" w:rsidRPr="00326E55">
        <w:rPr>
          <w:rFonts w:ascii="Times New Roman" w:eastAsia="Times New Roman" w:hAnsi="Times New Roman" w:cs="Times New Roman"/>
          <w:noProof/>
          <w:spacing w:val="-6"/>
          <w:kern w:val="0"/>
          <w:lang w:val="sk-SK"/>
          <w14:ligatures w14:val="none"/>
        </w:rPr>
        <w:t xml:space="preserve"> v </w:t>
      </w:r>
      <w:r w:rsidRPr="00326E55">
        <w:rPr>
          <w:rFonts w:ascii="Times New Roman" w:eastAsia="Times New Roman" w:hAnsi="Times New Roman" w:cs="Times New Roman"/>
          <w:noProof/>
          <w:spacing w:val="-6"/>
          <w:kern w:val="0"/>
          <w:lang w:val="sk-SK"/>
          <w14:ligatures w14:val="none"/>
        </w:rPr>
        <w:t>oblasti zmeny klímy</w:t>
      </w:r>
      <w:r w:rsidR="00326E55" w:rsidRPr="00326E55">
        <w:rPr>
          <w:rFonts w:ascii="Times New Roman" w:eastAsia="Times New Roman" w:hAnsi="Times New Roman" w:cs="Times New Roman"/>
          <w:noProof/>
          <w:spacing w:val="-6"/>
          <w:kern w:val="0"/>
          <w:lang w:val="sk-SK"/>
          <w14:ligatures w14:val="none"/>
        </w:rPr>
        <w:t xml:space="preserve"> v </w:t>
      </w:r>
      <w:r w:rsidRPr="00326E55">
        <w:rPr>
          <w:rFonts w:ascii="Times New Roman" w:eastAsia="Times New Roman" w:hAnsi="Times New Roman" w:cs="Times New Roman"/>
          <w:noProof/>
          <w:spacing w:val="-6"/>
          <w:kern w:val="0"/>
          <w:lang w:val="sk-SK"/>
          <w14:ligatures w14:val="none"/>
        </w:rPr>
        <w:t>súlade</w:t>
      </w:r>
      <w:r w:rsidR="00326E55" w:rsidRPr="00326E55">
        <w:rPr>
          <w:rFonts w:ascii="Times New Roman" w:eastAsia="Times New Roman" w:hAnsi="Times New Roman" w:cs="Times New Roman"/>
          <w:noProof/>
          <w:spacing w:val="-6"/>
          <w:kern w:val="0"/>
          <w:lang w:val="sk-SK"/>
          <w14:ligatures w14:val="none"/>
        </w:rPr>
        <w:t xml:space="preserve"> s </w:t>
      </w:r>
      <w:r w:rsidRPr="00326E55">
        <w:rPr>
          <w:rFonts w:ascii="Times New Roman" w:eastAsia="Times New Roman" w:hAnsi="Times New Roman" w:cs="Times New Roman"/>
          <w:noProof/>
          <w:spacing w:val="-6"/>
          <w:kern w:val="0"/>
          <w:lang w:val="sk-SK"/>
          <w14:ligatures w14:val="none"/>
        </w:rPr>
        <w:t>prílohou VI</w:t>
      </w:r>
      <w:r w:rsidR="00326E55" w:rsidRPr="00326E55">
        <w:rPr>
          <w:rFonts w:ascii="Times New Roman" w:eastAsia="Times New Roman" w:hAnsi="Times New Roman" w:cs="Times New Roman"/>
          <w:noProof/>
          <w:spacing w:val="-6"/>
          <w:kern w:val="0"/>
          <w:lang w:val="sk-SK"/>
          <w14:ligatures w14:val="none"/>
        </w:rPr>
        <w:t xml:space="preserve"> k </w:t>
      </w:r>
      <w:r w:rsidRPr="00326E55">
        <w:rPr>
          <w:rFonts w:ascii="Times New Roman" w:eastAsia="Times New Roman" w:hAnsi="Times New Roman" w:cs="Times New Roman"/>
          <w:noProof/>
          <w:spacing w:val="-6"/>
          <w:kern w:val="0"/>
          <w:lang w:val="sk-SK"/>
          <w14:ligatures w14:val="none"/>
        </w:rPr>
        <w:t>nariadeniu</w:t>
      </w:r>
      <w:r w:rsidR="00326E55" w:rsidRPr="00326E55">
        <w:rPr>
          <w:rFonts w:ascii="Times New Roman" w:eastAsia="Times New Roman" w:hAnsi="Times New Roman" w:cs="Times New Roman"/>
          <w:noProof/>
          <w:spacing w:val="-6"/>
          <w:kern w:val="0"/>
          <w:lang w:val="sk-SK"/>
          <w14:ligatures w14:val="none"/>
        </w:rPr>
        <w:t xml:space="preserve"> o </w:t>
      </w:r>
      <w:r w:rsidRPr="00326E55">
        <w:rPr>
          <w:rFonts w:ascii="Times New Roman" w:eastAsia="Times New Roman" w:hAnsi="Times New Roman" w:cs="Times New Roman"/>
          <w:noProof/>
          <w:spacing w:val="-6"/>
          <w:kern w:val="0"/>
          <w:lang w:val="sk-SK"/>
          <w14:ligatures w14:val="none"/>
        </w:rPr>
        <w:t>Mechanizme na podporu obnovy</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odolnosti.</w:t>
      </w:r>
      <w:r w:rsidRPr="00326E55">
        <w:rPr>
          <w:rFonts w:ascii="Times New Roman" w:hAnsi="Times New Roman"/>
          <w:noProof/>
          <w:color w:val="006100"/>
          <w:spacing w:val="-6"/>
          <w:lang w:val="sk-SK"/>
        </w:rPr>
        <w:t xml:space="preserve"> </w:t>
      </w:r>
      <w:r w:rsidRPr="00326E55">
        <w:rPr>
          <w:rStyle w:val="FootnoteReference"/>
          <w:rFonts w:ascii="Times New Roman" w:eastAsia="Times New Roman" w:hAnsi="Times New Roman" w:cs="Times New Roman"/>
          <w:noProof/>
          <w:spacing w:val="-6"/>
          <w:kern w:val="0"/>
          <w:lang w:val="sk-SK"/>
          <w14:ligatures w14:val="none"/>
        </w:rPr>
        <w:footnoteReference w:id="26"/>
      </w:r>
    </w:p>
    <w:p w14:paraId="2BC20A17" w14:textId="77777777" w:rsidR="00BF03AA" w:rsidRPr="00326E55" w:rsidRDefault="00BF03AA">
      <w:pPr>
        <w:spacing w:after="0" w:line="240" w:lineRule="auto"/>
        <w:jc w:val="both"/>
        <w:textAlignment w:val="baseline"/>
        <w:rPr>
          <w:rFonts w:ascii="Times New Roman" w:eastAsia="Times New Roman" w:hAnsi="Times New Roman" w:cs="Times New Roman"/>
          <w:noProof/>
          <w:spacing w:val="-6"/>
          <w:kern w:val="0"/>
          <w:sz w:val="24"/>
          <w:szCs w:val="24"/>
          <w:lang w:val="sk-SK"/>
          <w14:ligatures w14:val="none"/>
        </w:rPr>
      </w:pPr>
    </w:p>
    <w:p w14:paraId="10432035" w14:textId="77777777" w:rsidR="00326E55" w:rsidRPr="00326E55" w:rsidRDefault="00FB452D">
      <w:pPr>
        <w:pStyle w:val="P68B1DB1-Normal56"/>
        <w:spacing w:after="0" w:line="240" w:lineRule="auto"/>
        <w:jc w:val="both"/>
        <w:textAlignment w:val="baseline"/>
        <w:rPr>
          <w:noProof/>
          <w:spacing w:val="-6"/>
          <w:lang w:val="sk-SK"/>
        </w:rPr>
      </w:pPr>
      <w:r w:rsidRPr="00326E55">
        <w:rPr>
          <w:noProof/>
          <w:spacing w:val="-6"/>
          <w:lang w:val="sk-SK"/>
        </w:rPr>
        <w:t>Investícia 4 – Zariadenie poľnohospodársko-poolárneho parku</w:t>
      </w:r>
    </w:p>
    <w:p w14:paraId="2865AB56" w14:textId="5D79446E"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Toto o</w:t>
      </w:r>
      <w:r w:rsidRPr="00326E55">
        <w:rPr>
          <w:noProof/>
          <w:spacing w:val="-6"/>
          <w:lang w:val="sk-SK"/>
        </w:rPr>
        <w:t>patrenie pozostáva</w:t>
      </w:r>
      <w:r w:rsidR="00326E55" w:rsidRPr="00326E55">
        <w:rPr>
          <w:noProof/>
          <w:spacing w:val="-6"/>
          <w:lang w:val="sk-SK"/>
        </w:rPr>
        <w:t xml:space="preserve"> z </w:t>
      </w:r>
      <w:r w:rsidRPr="00326E55">
        <w:rPr>
          <w:noProof/>
          <w:spacing w:val="-6"/>
          <w:lang w:val="sk-SK"/>
        </w:rPr>
        <w:t>verejnej investície do grantovej schémy, do zariadenia pre poľnohospodárske parky,</w:t>
      </w:r>
      <w:r w:rsidR="00326E55" w:rsidRPr="00326E55">
        <w:rPr>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poľnohospodársko-priemyselnom sektore</w:t>
      </w:r>
      <w:r w:rsidRPr="00326E55">
        <w:rPr>
          <w:noProof/>
          <w:spacing w:val="-6"/>
          <w:lang w:val="sk-SK"/>
        </w:rPr>
        <w:t xml:space="preserve"> Talianska. Systém funguje tak, že poskytuje granty priamo súkromnému sektoru</w:t>
      </w:r>
      <w:r w:rsidR="00326E55" w:rsidRPr="00326E55">
        <w:rPr>
          <w:noProof/>
          <w:spacing w:val="-6"/>
          <w:lang w:val="sk-SK"/>
        </w:rPr>
        <w:t>.</w:t>
      </w:r>
    </w:p>
    <w:p w14:paraId="1CF51811" w14:textId="747B323B"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Schému spravuje spoločnosť Gestore Servizi Energetici S.p.A. (GSE) ako implementujúci partner.</w:t>
      </w:r>
      <w:r w:rsidR="00326E55" w:rsidRPr="00326E55">
        <w:rPr>
          <w:noProof/>
          <w:spacing w:val="-6"/>
          <w:lang w:val="sk-SK"/>
        </w:rPr>
        <w:t xml:space="preserve"> V </w:t>
      </w:r>
      <w:r w:rsidRPr="00326E55">
        <w:rPr>
          <w:noProof/>
          <w:spacing w:val="-6"/>
          <w:lang w:val="sk-SK"/>
        </w:rPr>
        <w:t>rámci schémy sa poskytne grant pokrývajúci časť nákladov na projekty.</w:t>
      </w:r>
      <w:r w:rsidR="00326E55" w:rsidRPr="00326E55">
        <w:rPr>
          <w:noProof/>
          <w:spacing w:val="-6"/>
          <w:lang w:val="sk-SK"/>
        </w:rPr>
        <w:t xml:space="preserve"> Z </w:t>
      </w:r>
      <w:r w:rsidRPr="00326E55">
        <w:rPr>
          <w:noProof/>
          <w:spacing w:val="-6"/>
          <w:lang w:val="sk-SK"/>
        </w:rPr>
        <w:t>tohto re</w:t>
      </w:r>
      <w:r w:rsidRPr="00326E55">
        <w:rPr>
          <w:noProof/>
          <w:spacing w:val="-6"/>
          <w:lang w:val="sk-SK"/>
        </w:rPr>
        <w:t>žimu sa podporujú investície do štruktúr</w:t>
      </w:r>
      <w:r w:rsidR="00326E55" w:rsidRPr="00326E55">
        <w:rPr>
          <w:noProof/>
          <w:spacing w:val="-6"/>
          <w:lang w:val="sk-SK"/>
        </w:rPr>
        <w:t xml:space="preserve"> v </w:t>
      </w:r>
      <w:r w:rsidRPr="00326E55">
        <w:rPr>
          <w:noProof/>
          <w:spacing w:val="-6"/>
          <w:lang w:val="sk-SK"/>
        </w:rPr>
        <w:t>odvetví poľnohospodárstva, chovu hospodárskych zvierat</w:t>
      </w:r>
      <w:r w:rsidR="00326E55" w:rsidRPr="00326E55">
        <w:rPr>
          <w:noProof/>
          <w:spacing w:val="-6"/>
          <w:lang w:val="sk-SK"/>
        </w:rPr>
        <w:t xml:space="preserve"> a </w:t>
      </w:r>
      <w:r w:rsidRPr="00326E55">
        <w:rPr>
          <w:noProof/>
          <w:spacing w:val="-6"/>
          <w:lang w:val="sk-SK"/>
        </w:rPr>
        <w:t>poľnohospodárstva</w:t>
      </w:r>
      <w:r w:rsidR="00326E55" w:rsidRPr="00326E55">
        <w:rPr>
          <w:noProof/>
          <w:spacing w:val="-6"/>
          <w:lang w:val="sk-SK"/>
        </w:rPr>
        <w:t xml:space="preserve"> s </w:t>
      </w:r>
      <w:r w:rsidRPr="00326E55">
        <w:rPr>
          <w:noProof/>
          <w:spacing w:val="-6"/>
          <w:lang w:val="sk-SK"/>
        </w:rPr>
        <w:t>cieľom inštalovať solárne panely, ako aj doplnkové intervencie. Pri posudzovaní návrhov projektov sa pozitívne zohľadní členstvo</w:t>
      </w:r>
      <w:r w:rsidR="00326E55" w:rsidRPr="00326E55">
        <w:rPr>
          <w:noProof/>
          <w:spacing w:val="-6"/>
          <w:lang w:val="sk-SK"/>
        </w:rPr>
        <w:t xml:space="preserve"> v </w:t>
      </w:r>
      <w:r w:rsidRPr="00326E55">
        <w:rPr>
          <w:noProof/>
          <w:spacing w:val="-6"/>
          <w:lang w:val="sk-SK"/>
        </w:rPr>
        <w:t>sieti</w:t>
      </w:r>
      <w:r w:rsidRPr="00326E55">
        <w:rPr>
          <w:noProof/>
          <w:spacing w:val="-6"/>
          <w:lang w:val="sk-SK"/>
        </w:rPr>
        <w:t xml:space="preserve"> „rete del lavoro agricolo di qualità“</w:t>
      </w:r>
      <w:r w:rsidR="00326E55" w:rsidRPr="00326E55">
        <w:rPr>
          <w:noProof/>
          <w:spacing w:val="-6"/>
          <w:lang w:val="sk-SK"/>
        </w:rPr>
        <w:t>.</w:t>
      </w:r>
    </w:p>
    <w:p w14:paraId="1FB61925" w14:textId="66D379B0" w:rsidR="00326E55" w:rsidRPr="00326E55" w:rsidRDefault="00FB452D">
      <w:pPr>
        <w:pStyle w:val="P68B1DB1-Normal45"/>
        <w:spacing w:after="0" w:line="240" w:lineRule="auto"/>
        <w:jc w:val="both"/>
        <w:textAlignment w:val="baseline"/>
        <w:rPr>
          <w:noProof/>
          <w:spacing w:val="-6"/>
          <w:lang w:val="sk-SK"/>
        </w:rPr>
      </w:pPr>
      <w:r w:rsidRPr="00326E55">
        <w:rPr>
          <w:noProof/>
          <w:spacing w:val="-6"/>
          <w:lang w:val="sk-SK"/>
        </w:rPr>
        <w:t>S cieľom implementovať investíciu do systému Taliansko</w:t>
      </w:r>
      <w:r w:rsidR="00326E55" w:rsidRPr="00326E55">
        <w:rPr>
          <w:noProof/>
          <w:spacing w:val="-6"/>
          <w:lang w:val="sk-SK"/>
        </w:rPr>
        <w:t xml:space="preserve"> a </w:t>
      </w:r>
      <w:r w:rsidRPr="00326E55">
        <w:rPr>
          <w:noProof/>
          <w:spacing w:val="-6"/>
          <w:lang w:val="sk-SK"/>
        </w:rPr>
        <w:t>GSE podpíšu vykonávaciu dohodu, ktorá bude obsahovať tento obsah</w:t>
      </w:r>
      <w:r w:rsidR="00326E55" w:rsidRPr="00326E55">
        <w:rPr>
          <w:noProof/>
          <w:spacing w:val="-6"/>
          <w:lang w:val="sk-SK"/>
        </w:rPr>
        <w:t>:</w:t>
      </w:r>
    </w:p>
    <w:p w14:paraId="4EE31D48" w14:textId="6F2DEF3A" w:rsidR="00326E55" w:rsidRPr="00326E55" w:rsidRDefault="00FB452D">
      <w:pPr>
        <w:pStyle w:val="P68B1DB1-Normal45"/>
        <w:numPr>
          <w:ilvl w:val="0"/>
          <w:numId w:val="98"/>
        </w:numPr>
        <w:spacing w:after="0" w:line="240" w:lineRule="auto"/>
        <w:ind w:firstLine="0"/>
        <w:jc w:val="both"/>
        <w:textAlignment w:val="baseline"/>
        <w:rPr>
          <w:noProof/>
          <w:spacing w:val="-6"/>
          <w:lang w:val="sk-SK"/>
        </w:rPr>
      </w:pPr>
      <w:r w:rsidRPr="00326E55">
        <w:rPr>
          <w:noProof/>
          <w:spacing w:val="-6"/>
          <w:lang w:val="sk-SK"/>
        </w:rPr>
        <w:t>Opis rozhodovacieho procesu</w:t>
      </w:r>
      <w:r w:rsidR="00326E55" w:rsidRPr="00326E55">
        <w:rPr>
          <w:noProof/>
          <w:spacing w:val="-6"/>
          <w:lang w:val="sk-SK"/>
        </w:rPr>
        <w:t xml:space="preserve"> v </w:t>
      </w:r>
      <w:r w:rsidRPr="00326E55">
        <w:rPr>
          <w:noProof/>
          <w:spacing w:val="-6"/>
          <w:lang w:val="sk-SK"/>
        </w:rPr>
        <w:t>rámci schémy: Konečné rozhodnutie</w:t>
      </w:r>
      <w:r w:rsidR="00326E55" w:rsidRPr="00326E55">
        <w:rPr>
          <w:noProof/>
          <w:spacing w:val="-6"/>
          <w:lang w:val="sk-SK"/>
        </w:rPr>
        <w:t xml:space="preserve"> o </w:t>
      </w:r>
      <w:r w:rsidRPr="00326E55">
        <w:rPr>
          <w:noProof/>
          <w:spacing w:val="-6"/>
          <w:lang w:val="sk-SK"/>
        </w:rPr>
        <w:t>poskytnutí pomoci</w:t>
      </w:r>
      <w:r w:rsidR="00326E55" w:rsidRPr="00326E55">
        <w:rPr>
          <w:noProof/>
          <w:spacing w:val="-6"/>
          <w:lang w:val="sk-SK"/>
        </w:rPr>
        <w:t xml:space="preserve"> v </w:t>
      </w:r>
      <w:r w:rsidRPr="00326E55">
        <w:rPr>
          <w:noProof/>
          <w:spacing w:val="-6"/>
          <w:lang w:val="sk-SK"/>
        </w:rPr>
        <w:t xml:space="preserve">rámci </w:t>
      </w:r>
      <w:r w:rsidRPr="00326E55">
        <w:rPr>
          <w:noProof/>
          <w:spacing w:val="-6"/>
          <w:lang w:val="sk-SK"/>
        </w:rPr>
        <w:t>schémy prijíma 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 ktorí sú nezávislí od vlády</w:t>
      </w:r>
      <w:r w:rsidR="00326E55" w:rsidRPr="00326E55">
        <w:rPr>
          <w:noProof/>
          <w:spacing w:val="-6"/>
          <w:lang w:val="sk-SK"/>
        </w:rPr>
        <w:t>.</w:t>
      </w:r>
    </w:p>
    <w:p w14:paraId="177065D5" w14:textId="01A916FA" w:rsidR="00BF03AA" w:rsidRPr="00326E55" w:rsidRDefault="00FB452D">
      <w:pPr>
        <w:pStyle w:val="P68B1DB1-Normal45"/>
        <w:rPr>
          <w:noProof/>
          <w:spacing w:val="-6"/>
          <w:lang w:val="sk-SK"/>
        </w:rPr>
      </w:pPr>
      <w:r w:rsidRPr="00326E55">
        <w:rPr>
          <w:noProof/>
          <w:spacing w:val="-6"/>
          <w:lang w:val="sk-SK"/>
        </w:rPr>
        <w:br w:type="page"/>
      </w:r>
    </w:p>
    <w:p w14:paraId="59554255" w14:textId="77777777" w:rsidR="00BF03AA" w:rsidRPr="00326E55" w:rsidRDefault="00BF03AA">
      <w:pPr>
        <w:spacing w:after="0" w:line="240" w:lineRule="auto"/>
        <w:ind w:left="720"/>
        <w:jc w:val="both"/>
        <w:textAlignment w:val="baseline"/>
        <w:rPr>
          <w:rFonts w:ascii="Times New Roman" w:eastAsia="Times New Roman" w:hAnsi="Times New Roman" w:cs="Times New Roman"/>
          <w:noProof/>
          <w:spacing w:val="-6"/>
          <w:kern w:val="0"/>
          <w:lang w:val="sk-SK"/>
          <w14:ligatures w14:val="none"/>
        </w:rPr>
      </w:pPr>
    </w:p>
    <w:p w14:paraId="2758A32B" w14:textId="77777777" w:rsidR="00326E55" w:rsidRPr="00326E55" w:rsidRDefault="00FB452D">
      <w:pPr>
        <w:pStyle w:val="P68B1DB1-Normal45"/>
        <w:numPr>
          <w:ilvl w:val="0"/>
          <w:numId w:val="99"/>
        </w:numPr>
        <w:spacing w:after="0" w:line="240" w:lineRule="auto"/>
        <w:ind w:firstLine="0"/>
        <w:jc w:val="both"/>
        <w:textAlignment w:val="baseline"/>
        <w:rPr>
          <w:noProof/>
          <w:spacing w:val="-6"/>
          <w:lang w:val="sk-SK"/>
        </w:rPr>
      </w:pPr>
      <w:r w:rsidRPr="00326E55">
        <w:rPr>
          <w:noProof/>
          <w:spacing w:val="-6"/>
          <w:lang w:val="sk-SK"/>
        </w:rPr>
        <w:t>Kľúčové požiadavky súvisiacej grantovej politiky,</w:t>
      </w:r>
      <w:r w:rsidRPr="00326E55">
        <w:rPr>
          <w:b/>
          <w:noProof/>
          <w:spacing w:val="-6"/>
          <w:lang w:val="sk-SK"/>
        </w:rPr>
        <w:t xml:space="preserve"> </w:t>
      </w:r>
      <w:r w:rsidRPr="00326E55">
        <w:rPr>
          <w:noProof/>
          <w:spacing w:val="-6"/>
          <w:lang w:val="sk-SK"/>
        </w:rPr>
        <w:t>ktoré zahŕňajú</w:t>
      </w:r>
      <w:r w:rsidR="00326E55" w:rsidRPr="00326E55">
        <w:rPr>
          <w:noProof/>
          <w:spacing w:val="-6"/>
          <w:lang w:val="sk-SK"/>
        </w:rPr>
        <w:t>:</w:t>
      </w:r>
    </w:p>
    <w:p w14:paraId="19368942" w14:textId="302C9E51" w:rsidR="00BF03AA" w:rsidRPr="00326E55" w:rsidRDefault="00FB452D">
      <w:pPr>
        <w:pStyle w:val="P68B1DB1-Normal45"/>
        <w:numPr>
          <w:ilvl w:val="0"/>
          <w:numId w:val="100"/>
        </w:numPr>
        <w:spacing w:after="0" w:line="240" w:lineRule="auto"/>
        <w:ind w:left="1200" w:firstLine="0"/>
        <w:jc w:val="both"/>
        <w:textAlignment w:val="baseline"/>
        <w:rPr>
          <w:noProof/>
          <w:spacing w:val="-6"/>
          <w:lang w:val="sk-SK"/>
        </w:rPr>
      </w:pPr>
      <w:r w:rsidRPr="00326E55">
        <w:rPr>
          <w:noProof/>
          <w:spacing w:val="-6"/>
          <w:lang w:val="sk-SK"/>
        </w:rPr>
        <w:t>Opis poskytnutých grantov</w:t>
      </w:r>
      <w:r w:rsidR="00326E55" w:rsidRPr="00326E55">
        <w:rPr>
          <w:noProof/>
          <w:spacing w:val="-6"/>
          <w:lang w:val="sk-SK"/>
        </w:rPr>
        <w:t xml:space="preserve"> a </w:t>
      </w:r>
      <w:r w:rsidRPr="00326E55">
        <w:rPr>
          <w:noProof/>
          <w:spacing w:val="-6"/>
          <w:lang w:val="sk-SK"/>
        </w:rPr>
        <w:t>oprávnených k</w:t>
      </w:r>
      <w:r w:rsidRPr="00326E55">
        <w:rPr>
          <w:noProof/>
          <w:spacing w:val="-6"/>
          <w:lang w:val="sk-SK"/>
        </w:rPr>
        <w:t>onečných príjemcov.</w:t>
      </w:r>
    </w:p>
    <w:p w14:paraId="35348A15" w14:textId="77777777" w:rsidR="00326E55" w:rsidRPr="00326E55" w:rsidRDefault="00FB452D">
      <w:pPr>
        <w:pStyle w:val="P68B1DB1-Normal45"/>
        <w:numPr>
          <w:ilvl w:val="0"/>
          <w:numId w:val="101"/>
        </w:numPr>
        <w:spacing w:after="0" w:line="240" w:lineRule="auto"/>
        <w:ind w:left="1200" w:firstLine="0"/>
        <w:jc w:val="both"/>
        <w:textAlignment w:val="baseline"/>
        <w:rPr>
          <w:b/>
          <w:noProof/>
          <w:spacing w:val="-6"/>
          <w:lang w:val="sk-SK"/>
        </w:rPr>
      </w:pPr>
      <w:r w:rsidRPr="00326E55">
        <w:rPr>
          <w:noProof/>
          <w:spacing w:val="-6"/>
          <w:lang w:val="sk-SK"/>
        </w:rPr>
        <w:t>Požiadavka, aby všetky podporované investície boli ekonomicky životaschopné</w:t>
      </w:r>
      <w:r w:rsidR="00326E55" w:rsidRPr="00326E55">
        <w:rPr>
          <w:b/>
          <w:noProof/>
          <w:spacing w:val="-6"/>
          <w:lang w:val="sk-SK"/>
        </w:rPr>
        <w:t>.</w:t>
      </w:r>
    </w:p>
    <w:p w14:paraId="563B46A5" w14:textId="2D2C52D1" w:rsidR="00326E55" w:rsidRPr="00326E55" w:rsidRDefault="00FB452D">
      <w:pPr>
        <w:numPr>
          <w:ilvl w:val="0"/>
          <w:numId w:val="102"/>
        </w:numPr>
        <w:spacing w:after="0" w:line="240" w:lineRule="auto"/>
        <w:ind w:left="1200" w:firstLine="0"/>
        <w:jc w:val="both"/>
        <w:textAlignment w:val="baseline"/>
        <w:rPr>
          <w:rFonts w:ascii="Times New Roman" w:eastAsia="Times New Roman" w:hAnsi="Times New Roman" w:cs="Times New Roman"/>
          <w:noProof/>
          <w:spacing w:val="-6"/>
          <w:kern w:val="0"/>
          <w:lang w:val="sk-SK"/>
          <w14:ligatures w14:val="none"/>
        </w:rPr>
      </w:pPr>
      <w:r w:rsidRPr="00326E55">
        <w:rPr>
          <w:rFonts w:ascii="Times New Roman" w:eastAsia="Times New Roman" w:hAnsi="Times New Roman" w:cs="Times New Roman"/>
          <w:noProof/>
          <w:spacing w:val="-6"/>
          <w:kern w:val="0"/>
          <w:lang w:val="sk-SK"/>
          <w14:ligatures w14:val="none"/>
        </w:rPr>
        <w:t>Požiadavka dodržiavať zásadu „výrazne nenarušiť“, ako sa stanovuje</w:t>
      </w:r>
      <w:r w:rsidR="00326E55" w:rsidRPr="00326E55">
        <w:rPr>
          <w:rFonts w:ascii="Times New Roman" w:eastAsia="Times New Roman" w:hAnsi="Times New Roman" w:cs="Times New Roman"/>
          <w:noProof/>
          <w:spacing w:val="-6"/>
          <w:kern w:val="0"/>
          <w:lang w:val="sk-SK"/>
          <w14:ligatures w14:val="none"/>
        </w:rPr>
        <w:t xml:space="preserve"> v </w:t>
      </w:r>
      <w:r w:rsidRPr="00326E55">
        <w:rPr>
          <w:rFonts w:ascii="Times New Roman" w:eastAsia="Times New Roman" w:hAnsi="Times New Roman" w:cs="Times New Roman"/>
          <w:noProof/>
          <w:spacing w:val="-6"/>
          <w:kern w:val="0"/>
          <w:lang w:val="sk-SK"/>
          <w14:ligatures w14:val="none"/>
        </w:rPr>
        <w:t>technickom usmernení</w:t>
      </w:r>
      <w:r w:rsidR="00326E55" w:rsidRPr="00326E55">
        <w:rPr>
          <w:rFonts w:ascii="Times New Roman" w:eastAsia="Times New Roman" w:hAnsi="Times New Roman" w:cs="Times New Roman"/>
          <w:noProof/>
          <w:spacing w:val="-6"/>
          <w:kern w:val="0"/>
          <w:lang w:val="sk-SK"/>
          <w14:ligatures w14:val="none"/>
        </w:rPr>
        <w:t xml:space="preserve"> k </w:t>
      </w:r>
      <w:r w:rsidRPr="00326E55">
        <w:rPr>
          <w:rFonts w:ascii="Times New Roman" w:eastAsia="Times New Roman" w:hAnsi="Times New Roman" w:cs="Times New Roman"/>
          <w:noProof/>
          <w:spacing w:val="-6"/>
          <w:kern w:val="0"/>
          <w:lang w:val="sk-SK"/>
          <w14:ligatures w14:val="none"/>
        </w:rPr>
        <w:t>zásade „výrazne nenarušiť“ (2021/C58/01). Grantová politika vyluču</w:t>
      </w:r>
      <w:r w:rsidRPr="00326E55">
        <w:rPr>
          <w:rFonts w:ascii="Times New Roman" w:eastAsia="Times New Roman" w:hAnsi="Times New Roman" w:cs="Times New Roman"/>
          <w:noProof/>
          <w:spacing w:val="-6"/>
          <w:kern w:val="0"/>
          <w:lang w:val="sk-SK"/>
          <w14:ligatures w14:val="none"/>
        </w:rPr>
        <w:t>je</w:t>
      </w:r>
      <w:r w:rsidR="00326E55" w:rsidRPr="00326E55">
        <w:rPr>
          <w:rFonts w:ascii="Times New Roman" w:eastAsia="Times New Roman" w:hAnsi="Times New Roman" w:cs="Times New Roman"/>
          <w:noProof/>
          <w:spacing w:val="-6"/>
          <w:kern w:val="0"/>
          <w:lang w:val="sk-SK"/>
          <w14:ligatures w14:val="none"/>
        </w:rPr>
        <w:t xml:space="preserve"> z </w:t>
      </w:r>
      <w:r w:rsidRPr="00326E55">
        <w:rPr>
          <w:rFonts w:ascii="Times New Roman" w:eastAsia="Times New Roman" w:hAnsi="Times New Roman" w:cs="Times New Roman"/>
          <w:noProof/>
          <w:spacing w:val="-6"/>
          <w:kern w:val="0"/>
          <w:lang w:val="sk-SK"/>
          <w14:ligatures w14:val="none"/>
        </w:rPr>
        <w:t>oprávnenosti</w:t>
      </w:r>
      <w:r w:rsidRPr="00326E55">
        <w:rPr>
          <w:rFonts w:ascii="Times New Roman" w:eastAsia="Times New Roman" w:hAnsi="Times New Roman" w:cs="Times New Roman"/>
          <w:noProof/>
          <w:spacing w:val="-6"/>
          <w:kern w:val="0"/>
          <w:sz w:val="24"/>
          <w:szCs w:val="24"/>
          <w:lang w:val="sk-SK"/>
          <w14:ligatures w14:val="none"/>
        </w:rPr>
        <w:t xml:space="preserve"> </w:t>
      </w:r>
      <w:r w:rsidRPr="00326E55">
        <w:rPr>
          <w:rFonts w:ascii="Times New Roman" w:eastAsia="Times New Roman" w:hAnsi="Times New Roman" w:cs="Times New Roman"/>
          <w:noProof/>
          <w:spacing w:val="-6"/>
          <w:kern w:val="0"/>
          <w:lang w:val="sk-SK"/>
          <w14:ligatures w14:val="none"/>
        </w:rPr>
        <w:t>najmä tento zoznam činností</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aktív: I) činnosti</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aktíva súvisiace</w:t>
      </w:r>
      <w:r w:rsidR="00326E55" w:rsidRPr="00326E55">
        <w:rPr>
          <w:rFonts w:ascii="Times New Roman" w:eastAsia="Times New Roman" w:hAnsi="Times New Roman" w:cs="Times New Roman"/>
          <w:noProof/>
          <w:spacing w:val="-6"/>
          <w:kern w:val="0"/>
          <w:lang w:val="sk-SK"/>
          <w14:ligatures w14:val="none"/>
        </w:rPr>
        <w:t xml:space="preserve"> s </w:t>
      </w:r>
      <w:r w:rsidRPr="00326E55">
        <w:rPr>
          <w:rFonts w:ascii="Times New Roman" w:eastAsia="Times New Roman" w:hAnsi="Times New Roman" w:cs="Times New Roman"/>
          <w:noProof/>
          <w:spacing w:val="-6"/>
          <w:kern w:val="0"/>
          <w:lang w:val="sk-SK"/>
          <w14:ligatures w14:val="none"/>
        </w:rPr>
        <w:t>fosílnymi palivami vrátane následného používania,</w:t>
      </w:r>
      <w:r w:rsidRPr="00326E55">
        <w:rPr>
          <w:rStyle w:val="FootnoteReference"/>
          <w:rFonts w:ascii="Times New Roman" w:eastAsia="Times New Roman" w:hAnsi="Times New Roman" w:cs="Times New Roman"/>
          <w:noProof/>
          <w:spacing w:val="-6"/>
          <w:kern w:val="0"/>
          <w:lang w:val="sk-SK"/>
          <w14:ligatures w14:val="none"/>
        </w:rPr>
        <w:footnoteReference w:id="27"/>
      </w:r>
      <w:r w:rsidRPr="00326E55">
        <w:rPr>
          <w:rFonts w:ascii="Times New Roman" w:eastAsia="Times New Roman" w:hAnsi="Times New Roman" w:cs="Times New Roman"/>
          <w:noProof/>
          <w:spacing w:val="-6"/>
          <w:kern w:val="0"/>
          <w:lang w:val="sk-SK"/>
          <w14:ligatures w14:val="none"/>
        </w:rPr>
        <w:t>ii) činnosti</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aktíva</w:t>
      </w:r>
      <w:r w:rsidR="00326E55" w:rsidRPr="00326E55">
        <w:rPr>
          <w:rFonts w:ascii="Times New Roman" w:eastAsia="Times New Roman" w:hAnsi="Times New Roman" w:cs="Times New Roman"/>
          <w:noProof/>
          <w:spacing w:val="-6"/>
          <w:kern w:val="0"/>
          <w:lang w:val="sk-SK"/>
          <w14:ligatures w14:val="none"/>
        </w:rPr>
        <w:t xml:space="preserve"> v </w:t>
      </w:r>
      <w:r w:rsidRPr="00326E55">
        <w:rPr>
          <w:rFonts w:ascii="Times New Roman" w:eastAsia="Times New Roman" w:hAnsi="Times New Roman" w:cs="Times New Roman"/>
          <w:noProof/>
          <w:spacing w:val="-6"/>
          <w:kern w:val="0"/>
          <w:lang w:val="sk-SK"/>
          <w14:ligatures w14:val="none"/>
        </w:rPr>
        <w:t>rámci systému EÚ na obchodovanie</w:t>
      </w:r>
      <w:r w:rsidR="00326E55" w:rsidRPr="00326E55">
        <w:rPr>
          <w:rFonts w:ascii="Times New Roman" w:eastAsia="Times New Roman" w:hAnsi="Times New Roman" w:cs="Times New Roman"/>
          <w:noProof/>
          <w:spacing w:val="-6"/>
          <w:kern w:val="0"/>
          <w:lang w:val="sk-SK"/>
          <w14:ligatures w14:val="none"/>
        </w:rPr>
        <w:t xml:space="preserve"> s </w:t>
      </w:r>
      <w:r w:rsidRPr="00326E55">
        <w:rPr>
          <w:rFonts w:ascii="Times New Roman" w:eastAsia="Times New Roman" w:hAnsi="Times New Roman" w:cs="Times New Roman"/>
          <w:noProof/>
          <w:spacing w:val="-6"/>
          <w:kern w:val="0"/>
          <w:lang w:val="sk-SK"/>
          <w14:ligatures w14:val="none"/>
        </w:rPr>
        <w:t>emisiami (ETS), ktorými sa dosahujú predpokladané emisie sk</w:t>
      </w:r>
      <w:r w:rsidRPr="00326E55">
        <w:rPr>
          <w:rFonts w:ascii="Times New Roman" w:eastAsia="Times New Roman" w:hAnsi="Times New Roman" w:cs="Times New Roman"/>
          <w:noProof/>
          <w:spacing w:val="-6"/>
          <w:kern w:val="0"/>
          <w:lang w:val="sk-SK"/>
          <w14:ligatures w14:val="none"/>
        </w:rPr>
        <w:t>leníkových plynov, ktoré nie sú nižšie ako príslušné referenčné hodnoty,</w:t>
      </w:r>
      <w:r w:rsidRPr="00326E55">
        <w:rPr>
          <w:rStyle w:val="FootnoteReference"/>
          <w:rFonts w:ascii="Times New Roman" w:eastAsia="Times New Roman" w:hAnsi="Times New Roman" w:cs="Times New Roman"/>
          <w:noProof/>
          <w:spacing w:val="-6"/>
          <w:kern w:val="0"/>
          <w:lang w:val="sk-SK"/>
          <w14:ligatures w14:val="none"/>
        </w:rPr>
        <w:footnoteReference w:id="28"/>
      </w:r>
      <w:r w:rsidRPr="00326E55">
        <w:rPr>
          <w:rFonts w:ascii="Times New Roman" w:eastAsia="Times New Roman" w:hAnsi="Times New Roman" w:cs="Times New Roman"/>
          <w:noProof/>
          <w:spacing w:val="-6"/>
          <w:kern w:val="0"/>
          <w:lang w:val="sk-SK"/>
          <w14:ligatures w14:val="none"/>
        </w:rPr>
        <w:t>iii) činnosti</w:t>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aktíva súvisiace so skládkami odpadu, spaľovňami</w:t>
      </w:r>
      <w:r w:rsidRPr="00326E55">
        <w:rPr>
          <w:rStyle w:val="FootnoteReference"/>
          <w:rFonts w:ascii="Times New Roman" w:eastAsia="Times New Roman" w:hAnsi="Times New Roman" w:cs="Times New Roman"/>
          <w:noProof/>
          <w:spacing w:val="-6"/>
          <w:kern w:val="0"/>
          <w:lang w:val="sk-SK"/>
          <w14:ligatures w14:val="none"/>
        </w:rPr>
        <w:footnoteReference w:id="29"/>
      </w:r>
      <w:r w:rsidR="00326E55" w:rsidRPr="00326E55">
        <w:rPr>
          <w:rFonts w:ascii="Times New Roman" w:eastAsia="Times New Roman" w:hAnsi="Times New Roman" w:cs="Times New Roman"/>
          <w:noProof/>
          <w:spacing w:val="-6"/>
          <w:kern w:val="0"/>
          <w:lang w:val="sk-SK"/>
          <w14:ligatures w14:val="none"/>
        </w:rPr>
        <w:t xml:space="preserve"> a </w:t>
      </w:r>
      <w:r w:rsidRPr="00326E55">
        <w:rPr>
          <w:rFonts w:ascii="Times New Roman" w:eastAsia="Times New Roman" w:hAnsi="Times New Roman" w:cs="Times New Roman"/>
          <w:noProof/>
          <w:spacing w:val="-6"/>
          <w:kern w:val="0"/>
          <w:lang w:val="sk-SK"/>
          <w14:ligatures w14:val="none"/>
        </w:rPr>
        <w:t>mechanickými biologickými čistiarňami</w:t>
      </w:r>
      <w:r w:rsidRPr="00326E55">
        <w:rPr>
          <w:rStyle w:val="FootnoteReference"/>
          <w:rFonts w:ascii="Times New Roman" w:eastAsia="Times New Roman" w:hAnsi="Times New Roman" w:cs="Times New Roman"/>
          <w:noProof/>
          <w:spacing w:val="-6"/>
          <w:kern w:val="0"/>
          <w:lang w:val="sk-SK"/>
          <w14:ligatures w14:val="none"/>
        </w:rPr>
        <w:footnoteReference w:id="30"/>
      </w:r>
      <w:r w:rsidR="00326E55" w:rsidRPr="00326E55">
        <w:rPr>
          <w:rFonts w:ascii="Times New Roman" w:eastAsia="Times New Roman" w:hAnsi="Times New Roman" w:cs="Times New Roman"/>
          <w:noProof/>
          <w:spacing w:val="-6"/>
          <w:kern w:val="0"/>
          <w:lang w:val="sk-SK"/>
          <w14:ligatures w14:val="none"/>
        </w:rPr>
        <w:t>.</w:t>
      </w:r>
    </w:p>
    <w:p w14:paraId="3CBE689F" w14:textId="7C527E24" w:rsidR="00326E55" w:rsidRPr="00326E55" w:rsidRDefault="00FB452D">
      <w:pPr>
        <w:pStyle w:val="P68B1DB1-Normal45"/>
        <w:numPr>
          <w:ilvl w:val="0"/>
          <w:numId w:val="103"/>
        </w:numPr>
        <w:spacing w:after="0" w:line="240" w:lineRule="auto"/>
        <w:ind w:left="1200" w:firstLine="0"/>
        <w:jc w:val="both"/>
        <w:textAlignment w:val="baseline"/>
        <w:rPr>
          <w:noProof/>
          <w:spacing w:val="-6"/>
          <w:lang w:val="sk-SK"/>
        </w:rPr>
      </w:pPr>
      <w:r w:rsidRPr="00326E55">
        <w:rPr>
          <w:noProof/>
          <w:spacing w:val="-6"/>
          <w:lang w:val="sk-SK"/>
        </w:rPr>
        <w:t>Požiadavka, aby koneční príjemcovia schémy nedostali podporu</w:t>
      </w:r>
      <w:r w:rsidR="00326E55" w:rsidRPr="00326E55">
        <w:rPr>
          <w:noProof/>
          <w:spacing w:val="-6"/>
          <w:lang w:val="sk-SK"/>
        </w:rPr>
        <w:t xml:space="preserve"> z </w:t>
      </w:r>
      <w:r w:rsidRPr="00326E55">
        <w:rPr>
          <w:noProof/>
          <w:spacing w:val="-6"/>
          <w:lang w:val="sk-SK"/>
        </w:rPr>
        <w:t>iných nást</w:t>
      </w:r>
      <w:r w:rsidRPr="00326E55">
        <w:rPr>
          <w:noProof/>
          <w:spacing w:val="-6"/>
          <w:lang w:val="sk-SK"/>
        </w:rPr>
        <w:t>rojov Únie na pokrytie rovnakých nákladov</w:t>
      </w:r>
      <w:r w:rsidR="00326E55" w:rsidRPr="00326E55">
        <w:rPr>
          <w:noProof/>
          <w:spacing w:val="-6"/>
          <w:lang w:val="sk-SK"/>
        </w:rPr>
        <w:t>.</w:t>
      </w:r>
    </w:p>
    <w:p w14:paraId="57DAE864" w14:textId="3B120108" w:rsidR="00BF03AA" w:rsidRPr="00326E55" w:rsidRDefault="00BF03AA">
      <w:pPr>
        <w:spacing w:after="0" w:line="240" w:lineRule="auto"/>
        <w:ind w:left="1200"/>
        <w:jc w:val="both"/>
        <w:textAlignment w:val="baseline"/>
        <w:rPr>
          <w:rFonts w:ascii="Times New Roman" w:eastAsia="Times New Roman" w:hAnsi="Times New Roman" w:cs="Times New Roman"/>
          <w:noProof/>
          <w:spacing w:val="-6"/>
          <w:kern w:val="0"/>
          <w:lang w:val="sk-SK"/>
          <w14:ligatures w14:val="none"/>
        </w:rPr>
      </w:pPr>
    </w:p>
    <w:p w14:paraId="45C8627B" w14:textId="7FFD4F48" w:rsidR="00326E55" w:rsidRPr="00326E55" w:rsidRDefault="00FB452D">
      <w:pPr>
        <w:pStyle w:val="P68B1DB1-Normal45"/>
        <w:numPr>
          <w:ilvl w:val="0"/>
          <w:numId w:val="104"/>
        </w:numPr>
        <w:spacing w:after="0" w:line="240" w:lineRule="auto"/>
        <w:ind w:firstLine="0"/>
        <w:jc w:val="both"/>
        <w:textAlignment w:val="baseline"/>
        <w:rPr>
          <w:noProof/>
          <w:spacing w:val="-6"/>
          <w:lang w:val="sk-SK"/>
        </w:rPr>
      </w:pPr>
      <w:r w:rsidRPr="00326E55">
        <w:rPr>
          <w:noProof/>
          <w:spacing w:val="-6"/>
          <w:lang w:val="sk-SK"/>
        </w:rPr>
        <w:t>Suma,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použiť akékoľvek nevyužité výnosy zo systému,</w:t>
      </w:r>
      <w:r w:rsidR="00326E55" w:rsidRPr="00326E55">
        <w:rPr>
          <w:noProof/>
          <w:spacing w:val="-6"/>
          <w:lang w:val="sk-SK"/>
        </w:rPr>
        <w:t xml:space="preserve"> a </w:t>
      </w:r>
      <w:r w:rsidRPr="00326E55">
        <w:rPr>
          <w:noProof/>
          <w:spacing w:val="-6"/>
          <w:lang w:val="sk-SK"/>
        </w:rPr>
        <w:t>to aj po roku 2026, na rovnaké politické účely</w:t>
      </w:r>
      <w:r w:rsidR="00326E55" w:rsidRPr="00326E55">
        <w:rPr>
          <w:noProof/>
          <w:spacing w:val="-6"/>
          <w:lang w:val="sk-SK"/>
        </w:rPr>
        <w:t>.</w:t>
      </w:r>
    </w:p>
    <w:p w14:paraId="48F36893" w14:textId="6FC077FF" w:rsidR="00BF03AA" w:rsidRPr="00326E55" w:rsidRDefault="00BF03AA">
      <w:pPr>
        <w:spacing w:after="0" w:line="240" w:lineRule="auto"/>
        <w:ind w:left="720"/>
        <w:jc w:val="both"/>
        <w:textAlignment w:val="baseline"/>
        <w:rPr>
          <w:rFonts w:ascii="Times New Roman" w:eastAsia="Times New Roman" w:hAnsi="Times New Roman" w:cs="Times New Roman"/>
          <w:noProof/>
          <w:spacing w:val="-6"/>
          <w:kern w:val="0"/>
          <w:lang w:val="sk-SK"/>
          <w14:ligatures w14:val="none"/>
        </w:rPr>
      </w:pPr>
    </w:p>
    <w:p w14:paraId="3E8B2D8D" w14:textId="6D080322" w:rsidR="00326E55" w:rsidRPr="00326E55" w:rsidRDefault="00FB452D">
      <w:pPr>
        <w:pStyle w:val="P68B1DB1-Normal45"/>
        <w:numPr>
          <w:ilvl w:val="0"/>
          <w:numId w:val="105"/>
        </w:numPr>
        <w:spacing w:after="0" w:line="240" w:lineRule="auto"/>
        <w:ind w:firstLine="0"/>
        <w:jc w:val="both"/>
        <w:textAlignment w:val="baseline"/>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r w:rsidR="00326E55" w:rsidRPr="00326E55">
        <w:rPr>
          <w:noProof/>
          <w:spacing w:val="-6"/>
          <w:lang w:val="sk-SK"/>
        </w:rPr>
        <w:t>:</w:t>
      </w:r>
    </w:p>
    <w:p w14:paraId="704D9DD6" w14:textId="7E8968B2" w:rsidR="00326E55" w:rsidRPr="00326E55" w:rsidRDefault="00FB452D">
      <w:pPr>
        <w:pStyle w:val="P68B1DB1-Normal45"/>
        <w:numPr>
          <w:ilvl w:val="0"/>
          <w:numId w:val="106"/>
        </w:numPr>
        <w:spacing w:after="0" w:line="240" w:lineRule="auto"/>
        <w:ind w:left="1800" w:firstLine="0"/>
        <w:jc w:val="both"/>
        <w:textAlignment w:val="baseline"/>
        <w:rPr>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 </w:t>
      </w:r>
      <w:r w:rsidRPr="00326E55">
        <w:rPr>
          <w:noProof/>
          <w:spacing w:val="-6"/>
          <w:lang w:val="sk-SK"/>
        </w:rPr>
        <w:t>mobilizovaných grantoch</w:t>
      </w:r>
      <w:r w:rsidR="00326E55" w:rsidRPr="00326E55">
        <w:rPr>
          <w:noProof/>
          <w:spacing w:val="-6"/>
          <w:lang w:val="sk-SK"/>
        </w:rPr>
        <w:t>.</w:t>
      </w:r>
    </w:p>
    <w:p w14:paraId="44F2EA10" w14:textId="52D25594" w:rsidR="00326E55" w:rsidRPr="00326E55" w:rsidRDefault="00FB452D">
      <w:pPr>
        <w:pStyle w:val="P68B1DB1-Normal45"/>
        <w:numPr>
          <w:ilvl w:val="0"/>
          <w:numId w:val="107"/>
        </w:numPr>
        <w:spacing w:after="0" w:line="240" w:lineRule="auto"/>
        <w:ind w:left="1800" w:firstLine="0"/>
        <w:jc w:val="both"/>
        <w:textAlignment w:val="baseline"/>
        <w:rPr>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 </w:t>
      </w:r>
      <w:r w:rsidRPr="00326E55">
        <w:rPr>
          <w:noProof/>
          <w:spacing w:val="-6"/>
          <w:lang w:val="sk-SK"/>
        </w:rPr>
        <w:t>kon</w:t>
      </w:r>
      <w:r w:rsidRPr="00326E55">
        <w:rPr>
          <w:noProof/>
          <w:spacing w:val="-6"/>
          <w:lang w:val="sk-SK"/>
        </w:rPr>
        <w:t>fliktom záujmov, ich odhaľovanie</w:t>
      </w:r>
      <w:r w:rsidR="00326E55" w:rsidRPr="00326E55">
        <w:rPr>
          <w:noProof/>
          <w:spacing w:val="-6"/>
          <w:lang w:val="sk-SK"/>
        </w:rPr>
        <w:t xml:space="preserve"> a </w:t>
      </w:r>
      <w:r w:rsidRPr="00326E55">
        <w:rPr>
          <w:noProof/>
          <w:spacing w:val="-6"/>
          <w:lang w:val="sk-SK"/>
        </w:rPr>
        <w:t>náprava</w:t>
      </w:r>
      <w:r w:rsidR="00326E55" w:rsidRPr="00326E55">
        <w:rPr>
          <w:noProof/>
          <w:spacing w:val="-6"/>
          <w:lang w:val="sk-SK"/>
        </w:rPr>
        <w:t>.</w:t>
      </w:r>
    </w:p>
    <w:p w14:paraId="410FC627" w14:textId="59BEFB07" w:rsidR="00326E55" w:rsidRPr="00326E55" w:rsidRDefault="00FB452D">
      <w:pPr>
        <w:pStyle w:val="P68B1DB1-Normal45"/>
        <w:numPr>
          <w:ilvl w:val="0"/>
          <w:numId w:val="108"/>
        </w:numPr>
        <w:spacing w:after="0" w:line="240" w:lineRule="auto"/>
        <w:ind w:left="1800" w:firstLine="0"/>
        <w:jc w:val="both"/>
        <w:textAlignment w:val="baseline"/>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udelením grantu na operáciu</w:t>
      </w:r>
      <w:r w:rsidR="00326E55" w:rsidRPr="00326E55">
        <w:rPr>
          <w:noProof/>
          <w:spacing w:val="-6"/>
          <w:lang w:val="sk-SK"/>
        </w:rPr>
        <w:t>.</w:t>
      </w:r>
    </w:p>
    <w:p w14:paraId="69939624" w14:textId="360A37E9" w:rsidR="00BF03AA" w:rsidRPr="00326E55" w:rsidRDefault="00FB452D">
      <w:pPr>
        <w:pStyle w:val="P68B1DB1-Normal45"/>
        <w:rPr>
          <w:noProof/>
          <w:spacing w:val="-6"/>
          <w:lang w:val="sk-SK"/>
        </w:rPr>
      </w:pPr>
      <w:r w:rsidRPr="00326E55">
        <w:rPr>
          <w:noProof/>
          <w:spacing w:val="-6"/>
          <w:lang w:val="sk-SK"/>
        </w:rPr>
        <w:br w:type="page"/>
      </w:r>
    </w:p>
    <w:p w14:paraId="2B8F4181" w14:textId="14E9B4CB" w:rsidR="00326E55" w:rsidRPr="00326E55" w:rsidRDefault="00FB452D">
      <w:pPr>
        <w:pStyle w:val="P68B1DB1-Normal45"/>
        <w:numPr>
          <w:ilvl w:val="0"/>
          <w:numId w:val="109"/>
        </w:numPr>
        <w:spacing w:after="0" w:line="240" w:lineRule="auto"/>
        <w:ind w:left="1800" w:firstLine="0"/>
        <w:jc w:val="both"/>
        <w:textAlignment w:val="baseline"/>
        <w:rPr>
          <w:noProof/>
          <w:spacing w:val="-6"/>
          <w:lang w:val="sk-SK"/>
        </w:rPr>
      </w:pPr>
      <w:r w:rsidRPr="00326E55">
        <w:rPr>
          <w:noProof/>
          <w:spacing w:val="-6"/>
          <w:lang w:val="sk-SK"/>
        </w:rPr>
        <w:t>Povinnosť vykonávať následné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 xml:space="preserve">plánom </w:t>
      </w:r>
      <w:r w:rsidRPr="00326E55">
        <w:rPr>
          <w:noProof/>
          <w:spacing w:val="-6"/>
          <w:lang w:val="sk-SK"/>
        </w:rPr>
        <w:t>auditu GSE. Týmito auditmi sa overí i) účinnosť systémov kontroly vrátane odhaľovania podvodov, korupcie</w:t>
      </w:r>
      <w:r w:rsidR="00326E55" w:rsidRPr="00326E55">
        <w:rPr>
          <w:noProof/>
          <w:spacing w:val="-6"/>
          <w:lang w:val="sk-SK"/>
        </w:rPr>
        <w:t xml:space="preserve"> a </w:t>
      </w:r>
      <w:r w:rsidRPr="00326E55">
        <w:rPr>
          <w:noProof/>
          <w:spacing w:val="-6"/>
          <w:lang w:val="sk-SK"/>
        </w:rPr>
        <w:t>konfliktu záujmov; II) súlad so zásadou „výrazne nenarušiť“, pravidlami štátnej pomoci, požiadavkami na ciele</w:t>
      </w:r>
      <w:r w:rsidR="00326E55" w:rsidRPr="00326E55">
        <w:rPr>
          <w:noProof/>
          <w:spacing w:val="-6"/>
          <w:lang w:val="sk-SK"/>
        </w:rPr>
        <w:t xml:space="preserve"> v </w:t>
      </w:r>
      <w:r w:rsidRPr="00326E55">
        <w:rPr>
          <w:noProof/>
          <w:spacing w:val="-6"/>
          <w:lang w:val="sk-SK"/>
        </w:rPr>
        <w:t>oblasti klímy;</w:t>
      </w:r>
      <w:r w:rsidR="00326E55" w:rsidRPr="00326E55">
        <w:rPr>
          <w:noProof/>
          <w:spacing w:val="-6"/>
          <w:lang w:val="sk-SK"/>
        </w:rPr>
        <w:t xml:space="preserve"> a </w:t>
      </w:r>
      <w:r w:rsidRPr="00326E55">
        <w:rPr>
          <w:noProof/>
          <w:spacing w:val="-6"/>
          <w:lang w:val="sk-SK"/>
        </w:rPr>
        <w:t>iii) aby sa dodržala</w:t>
      </w:r>
      <w:r w:rsidRPr="00326E55">
        <w:rPr>
          <w:noProof/>
          <w:spacing w:val="-6"/>
          <w:lang w:val="sk-SK"/>
        </w:rPr>
        <w:t xml:space="preserve"> 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 Auditom sa takisto overí zákonnosť transakcií</w:t>
      </w:r>
      <w:r w:rsidR="00326E55" w:rsidRPr="00326E55">
        <w:rPr>
          <w:noProof/>
          <w:spacing w:val="-6"/>
          <w:lang w:val="sk-SK"/>
        </w:rPr>
        <w:t xml:space="preserve"> a </w:t>
      </w:r>
      <w:r w:rsidRPr="00326E55">
        <w:rPr>
          <w:noProof/>
          <w:spacing w:val="-6"/>
          <w:lang w:val="sk-SK"/>
        </w:rPr>
        <w:t>dodržiavanie podmienok platných dohôd</w:t>
      </w:r>
      <w:r w:rsidR="00326E55" w:rsidRPr="00326E55">
        <w:rPr>
          <w:noProof/>
          <w:spacing w:val="-6"/>
          <w:lang w:val="sk-SK"/>
        </w:rPr>
        <w:t xml:space="preserve"> o </w:t>
      </w:r>
      <w:r w:rsidRPr="00326E55">
        <w:rPr>
          <w:noProof/>
          <w:spacing w:val="-6"/>
          <w:lang w:val="sk-SK"/>
        </w:rPr>
        <w:t>grante podľa vykonávacej dohody</w:t>
      </w:r>
      <w:r w:rsidR="00326E55" w:rsidRPr="00326E55">
        <w:rPr>
          <w:noProof/>
          <w:spacing w:val="-6"/>
          <w:lang w:val="sk-SK"/>
        </w:rPr>
        <w:t>.</w:t>
      </w:r>
    </w:p>
    <w:p w14:paraId="1D3F6D98" w14:textId="15319E36" w:rsidR="00BF03AA" w:rsidRPr="00326E55" w:rsidRDefault="00BF03AA">
      <w:pPr>
        <w:spacing w:after="0" w:line="240" w:lineRule="auto"/>
        <w:ind w:left="1800"/>
        <w:jc w:val="both"/>
        <w:textAlignment w:val="baseline"/>
        <w:rPr>
          <w:rFonts w:ascii="Times New Roman" w:eastAsia="Times New Roman" w:hAnsi="Times New Roman" w:cs="Times New Roman"/>
          <w:noProof/>
          <w:spacing w:val="-6"/>
          <w:kern w:val="0"/>
          <w:lang w:val="sk-SK"/>
          <w14:ligatures w14:val="none"/>
        </w:rPr>
      </w:pPr>
    </w:p>
    <w:p w14:paraId="2FA566C6" w14:textId="61044865" w:rsidR="00326E55" w:rsidRPr="00326E55" w:rsidRDefault="00FB452D">
      <w:pPr>
        <w:numPr>
          <w:ilvl w:val="0"/>
          <w:numId w:val="110"/>
        </w:numPr>
        <w:spacing w:after="0" w:line="240" w:lineRule="auto"/>
        <w:ind w:firstLine="0"/>
        <w:textAlignment w:val="baseline"/>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spacing w:val="-6"/>
          <w:kern w:val="0"/>
          <w:lang w:val="sk-SK"/>
          <w14:ligatures w14:val="none"/>
        </w:rPr>
        <w:t xml:space="preserve">Požiadavky na </w:t>
      </w:r>
      <w:r w:rsidRPr="00326E55">
        <w:rPr>
          <w:rFonts w:ascii="Times New Roman" w:eastAsia="Times New Roman" w:hAnsi="Times New Roman" w:cs="Times New Roman"/>
          <w:noProof/>
          <w:spacing w:val="-6"/>
          <w:kern w:val="0"/>
          <w:lang w:val="sk-SK"/>
          <w14:ligatures w14:val="none"/>
        </w:rPr>
        <w:t>investície</w:t>
      </w:r>
      <w:r w:rsidR="00326E55" w:rsidRPr="00326E55">
        <w:rPr>
          <w:rFonts w:ascii="Times New Roman" w:eastAsia="Times New Roman" w:hAnsi="Times New Roman" w:cs="Times New Roman"/>
          <w:noProof/>
          <w:spacing w:val="-6"/>
          <w:kern w:val="0"/>
          <w:lang w:val="sk-SK"/>
          <w14:ligatures w14:val="none"/>
        </w:rPr>
        <w:t xml:space="preserve"> v </w:t>
      </w:r>
      <w:r w:rsidRPr="00326E55">
        <w:rPr>
          <w:rFonts w:ascii="Times New Roman" w:eastAsia="Times New Roman" w:hAnsi="Times New Roman" w:cs="Times New Roman"/>
          <w:noProof/>
          <w:spacing w:val="-6"/>
          <w:kern w:val="0"/>
          <w:lang w:val="sk-SK"/>
          <w14:ligatures w14:val="none"/>
        </w:rPr>
        <w:t>oblasti klímy realizované implementujúcim partnerom: najmenej 633 000 000 EUR investície</w:t>
      </w:r>
      <w:r w:rsidR="00326E55" w:rsidRPr="00326E55">
        <w:rPr>
          <w:rFonts w:ascii="Times New Roman" w:eastAsia="Times New Roman" w:hAnsi="Times New Roman" w:cs="Times New Roman"/>
          <w:noProof/>
          <w:spacing w:val="-6"/>
          <w:kern w:val="0"/>
          <w:lang w:val="sk-SK"/>
          <w14:ligatures w14:val="none"/>
        </w:rPr>
        <w:t xml:space="preserve"> z </w:t>
      </w:r>
      <w:r w:rsidRPr="00326E55">
        <w:rPr>
          <w:rFonts w:ascii="Times New Roman" w:eastAsia="Times New Roman" w:hAnsi="Times New Roman" w:cs="Times New Roman"/>
          <w:noProof/>
          <w:spacing w:val="-6"/>
          <w:kern w:val="0"/>
          <w:lang w:val="sk-SK"/>
          <w14:ligatures w14:val="none"/>
        </w:rPr>
        <w:t xml:space="preserve">Mechanizmu </w:t>
      </w:r>
      <w:r w:rsidRPr="00326E55">
        <w:rPr>
          <w:rFonts w:ascii="Times New Roman" w:hAnsi="Times New Roman"/>
          <w:noProof/>
          <w:color w:val="006100"/>
          <w:spacing w:val="-6"/>
          <w:lang w:val="sk-SK"/>
        </w:rPr>
        <w:t xml:space="preserve">  </w:t>
      </w:r>
      <w:r w:rsidRPr="00326E55">
        <w:rPr>
          <w:rFonts w:ascii="Times New Roman" w:eastAsia="Times New Roman" w:hAnsi="Times New Roman" w:cs="Times New Roman"/>
          <w:noProof/>
          <w:spacing w:val="-6"/>
          <w:kern w:val="0"/>
          <w:lang w:val="sk-SK"/>
          <w14:ligatures w14:val="none"/>
        </w:rPr>
        <w:t xml:space="preserve">na </w:t>
      </w:r>
      <w:r w:rsidRPr="00326E55">
        <w:rPr>
          <w:rFonts w:ascii="Times New Roman" w:eastAsia="Times New Roman" w:hAnsi="Times New Roman" w:cs="Times New Roman"/>
          <w:noProof/>
          <w:spacing w:val="-6"/>
          <w:lang w:val="sk-SK"/>
        </w:rPr>
        <w:t>podporu obnovy</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odolnosti do systému prispeje</w:t>
      </w:r>
      <w:r w:rsidR="00326E55" w:rsidRPr="00326E55">
        <w:rPr>
          <w:rFonts w:ascii="Times New Roman" w:eastAsia="Times New Roman" w:hAnsi="Times New Roman" w:cs="Times New Roman"/>
          <w:noProof/>
          <w:spacing w:val="-6"/>
          <w:lang w:val="sk-SK"/>
        </w:rPr>
        <w:t xml:space="preserve"> k </w:t>
      </w:r>
      <w:r w:rsidRPr="00326E55">
        <w:rPr>
          <w:rFonts w:ascii="Times New Roman" w:eastAsia="Times New Roman" w:hAnsi="Times New Roman" w:cs="Times New Roman"/>
          <w:noProof/>
          <w:spacing w:val="-6"/>
          <w:lang w:val="sk-SK"/>
        </w:rPr>
        <w:t>cieľom</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oblasti zmeny klímy</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súlade</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prílohou VI</w:t>
      </w:r>
      <w:r w:rsidR="00326E55" w:rsidRPr="00326E55">
        <w:rPr>
          <w:rFonts w:ascii="Times New Roman" w:eastAsia="Times New Roman" w:hAnsi="Times New Roman" w:cs="Times New Roman"/>
          <w:noProof/>
          <w:spacing w:val="-6"/>
          <w:lang w:val="sk-SK"/>
        </w:rPr>
        <w:t xml:space="preserve"> k </w:t>
      </w:r>
      <w:r w:rsidRPr="00326E55">
        <w:rPr>
          <w:rFonts w:ascii="Times New Roman" w:eastAsia="Times New Roman" w:hAnsi="Times New Roman" w:cs="Times New Roman"/>
          <w:noProof/>
          <w:spacing w:val="-6"/>
          <w:lang w:val="sk-SK"/>
        </w:rPr>
        <w:t>nariadeniu</w:t>
      </w:r>
      <w:r w:rsidR="00326E55" w:rsidRPr="00326E55">
        <w:rPr>
          <w:rFonts w:ascii="Times New Roman" w:eastAsia="Times New Roman" w:hAnsi="Times New Roman" w:cs="Times New Roman"/>
          <w:noProof/>
          <w:spacing w:val="-6"/>
          <w:lang w:val="sk-SK"/>
        </w:rPr>
        <w:t xml:space="preserve"> o </w:t>
      </w:r>
      <w:r w:rsidRPr="00326E55">
        <w:rPr>
          <w:rFonts w:ascii="Times New Roman" w:eastAsia="Times New Roman" w:hAnsi="Times New Roman" w:cs="Times New Roman"/>
          <w:noProof/>
          <w:spacing w:val="-6"/>
          <w:lang w:val="sk-SK"/>
        </w:rPr>
        <w:t>Mechanizme na podpor</w:t>
      </w:r>
      <w:r w:rsidRPr="00326E55">
        <w:rPr>
          <w:rFonts w:ascii="Times New Roman" w:eastAsia="Times New Roman" w:hAnsi="Times New Roman" w:cs="Times New Roman"/>
          <w:noProof/>
          <w:spacing w:val="-6"/>
          <w:lang w:val="sk-SK"/>
        </w:rPr>
        <w:t>u obnovy</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odolnosti</w:t>
      </w:r>
      <w:r w:rsidRPr="00326E55">
        <w:rPr>
          <w:rStyle w:val="FootnoteReference"/>
          <w:rFonts w:ascii="Times New Roman" w:eastAsia="Times New Roman" w:hAnsi="Times New Roman" w:cs="Times New Roman"/>
          <w:noProof/>
          <w:spacing w:val="-6"/>
          <w:lang w:val="sk-SK"/>
        </w:rPr>
        <w:footnoteReference w:id="31"/>
      </w:r>
      <w:r w:rsidR="00326E55" w:rsidRPr="00326E55">
        <w:rPr>
          <w:rFonts w:ascii="Times New Roman" w:eastAsia="Times New Roman" w:hAnsi="Times New Roman" w:cs="Times New Roman"/>
          <w:noProof/>
          <w:spacing w:val="-6"/>
          <w:lang w:val="sk-SK"/>
        </w:rPr>
        <w:t>.</w:t>
      </w:r>
    </w:p>
    <w:p w14:paraId="64314F0B" w14:textId="31D0BB12" w:rsidR="00BF03AA" w:rsidRPr="00326E55" w:rsidRDefault="00BF03AA">
      <w:pPr>
        <w:rPr>
          <w:rFonts w:ascii="Times New Roman" w:hAnsi="Times New Roman"/>
          <w:noProof/>
          <w:spacing w:val="-6"/>
          <w:lang w:val="sk-SK"/>
        </w:rPr>
        <w:sectPr w:rsidR="00BF03AA" w:rsidRPr="00326E55" w:rsidSect="00726CF9">
          <w:headerReference w:type="default" r:id="rId80"/>
          <w:footerReference w:type="default" r:id="rId81"/>
          <w:pgSz w:w="11906" w:h="16838"/>
          <w:pgMar w:top="1440" w:right="1440" w:bottom="1440" w:left="1440" w:header="708" w:footer="708" w:gutter="0"/>
          <w:cols w:space="708"/>
          <w:docGrid w:linePitch="360"/>
        </w:sectPr>
      </w:pPr>
    </w:p>
    <w:p w14:paraId="05139FE8" w14:textId="73B56E3C" w:rsidR="00BF03AA" w:rsidRPr="00326E55" w:rsidRDefault="00FB452D">
      <w:pPr>
        <w:pStyle w:val="P68B1DB1-Heading347"/>
        <w:ind w:left="850" w:hanging="850"/>
        <w:rPr>
          <w:bCs/>
          <w:noProof/>
          <w:spacing w:val="-6"/>
          <w:lang w:val="sk-SK"/>
        </w:rPr>
      </w:pPr>
      <w:r w:rsidRPr="00326E55">
        <w:rPr>
          <w:noProof/>
          <w:spacing w:val="-6"/>
          <w:lang w:val="sk-SK"/>
        </w:rPr>
        <w:t xml:space="preserve">D.4. </w:t>
      </w:r>
      <w:r w:rsidRPr="00326E55">
        <w:rPr>
          <w:noProof/>
          <w:spacing w:val="-6"/>
          <w:lang w:val="sk-SK"/>
        </w:rPr>
        <w:tab/>
        <w:t>Míľniky, ciele, ukazovatele</w:t>
      </w:r>
      <w:r w:rsidR="00326E55" w:rsidRPr="00326E55">
        <w:rPr>
          <w:noProof/>
          <w:spacing w:val="-6"/>
          <w:lang w:val="sk-SK"/>
        </w:rPr>
        <w:t xml:space="preserve"> a </w:t>
      </w:r>
      <w:r w:rsidRPr="00326E55">
        <w:rPr>
          <w:noProof/>
          <w:spacing w:val="-6"/>
          <w:lang w:val="sk-SK"/>
        </w:rPr>
        <w:t>harmonogram monitorovania</w:t>
      </w:r>
      <w:r w:rsidR="00326E55" w:rsidRPr="00326E55">
        <w:rPr>
          <w:noProof/>
          <w:spacing w:val="-6"/>
          <w:lang w:val="sk-SK"/>
        </w:rPr>
        <w:t xml:space="preserve"> a </w:t>
      </w:r>
      <w:r w:rsidRPr="00326E55">
        <w:rPr>
          <w:noProof/>
          <w:spacing w:val="-6"/>
          <w:lang w:val="sk-SK"/>
        </w:rPr>
        <w:t>realizácie</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 xml:space="preserve">úverom </w:t>
      </w:r>
    </w:p>
    <w:tbl>
      <w:tblPr>
        <w:tblW w:w="15026" w:type="dxa"/>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52"/>
        <w:gridCol w:w="1479"/>
        <w:gridCol w:w="991"/>
        <w:gridCol w:w="1446"/>
        <w:gridCol w:w="1372"/>
        <w:gridCol w:w="1271"/>
        <w:gridCol w:w="1262"/>
        <w:gridCol w:w="1211"/>
        <w:gridCol w:w="1062"/>
        <w:gridCol w:w="633"/>
        <w:gridCol w:w="3247"/>
      </w:tblGrid>
      <w:tr w:rsidR="00BF03AA" w:rsidRPr="00326E55" w14:paraId="76E1AA8C" w14:textId="77777777">
        <w:trPr>
          <w:trHeight w:val="300"/>
          <w:tblHeader/>
        </w:trPr>
        <w:tc>
          <w:tcPr>
            <w:tcW w:w="1131" w:type="dxa"/>
            <w:vMerge w:val="restart"/>
            <w:shd w:val="clear" w:color="auto" w:fill="BDD7EE"/>
            <w:vAlign w:val="center"/>
            <w:hideMark/>
          </w:tcPr>
          <w:p w14:paraId="5CEA3DE7"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Poradové číslo</w:t>
            </w:r>
            <w:r w:rsidRPr="00326E55">
              <w:rPr>
                <w:rFonts w:ascii="Times New Roman" w:hAnsi="Times New Roman"/>
                <w:noProof/>
                <w:spacing w:val="-6"/>
                <w:lang w:val="sk-SK"/>
              </w:rPr>
              <w:t> </w:t>
            </w:r>
          </w:p>
        </w:tc>
        <w:tc>
          <w:tcPr>
            <w:tcW w:w="1418" w:type="dxa"/>
            <w:vMerge w:val="restart"/>
            <w:shd w:val="clear" w:color="auto" w:fill="BDD7EE"/>
            <w:vAlign w:val="center"/>
            <w:hideMark/>
          </w:tcPr>
          <w:p w14:paraId="2155B0B8"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Súvisiace opatrenie (reforma alebo investícia)</w:t>
            </w:r>
            <w:r w:rsidRPr="00326E55">
              <w:rPr>
                <w:rFonts w:ascii="Times New Roman" w:hAnsi="Times New Roman"/>
                <w:noProof/>
                <w:spacing w:val="-6"/>
                <w:lang w:val="sk-SK"/>
              </w:rPr>
              <w:t> </w:t>
            </w:r>
          </w:p>
        </w:tc>
        <w:tc>
          <w:tcPr>
            <w:tcW w:w="992" w:type="dxa"/>
            <w:vMerge w:val="restart"/>
            <w:shd w:val="clear" w:color="auto" w:fill="BDD7EE"/>
            <w:vAlign w:val="center"/>
            <w:hideMark/>
          </w:tcPr>
          <w:p w14:paraId="6F694899"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Míľnik/cieľ</w:t>
            </w:r>
            <w:r w:rsidRPr="00326E55">
              <w:rPr>
                <w:rFonts w:ascii="Times New Roman" w:hAnsi="Times New Roman"/>
                <w:noProof/>
                <w:spacing w:val="-6"/>
                <w:lang w:val="sk-SK"/>
              </w:rPr>
              <w:t> </w:t>
            </w:r>
          </w:p>
        </w:tc>
        <w:tc>
          <w:tcPr>
            <w:tcW w:w="1418" w:type="dxa"/>
            <w:vMerge w:val="restart"/>
            <w:shd w:val="clear" w:color="auto" w:fill="BDD7EE"/>
            <w:vAlign w:val="center"/>
            <w:hideMark/>
          </w:tcPr>
          <w:p w14:paraId="351319E8"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Názov</w:t>
            </w:r>
            <w:r w:rsidRPr="00326E55">
              <w:rPr>
                <w:rFonts w:ascii="Times New Roman" w:hAnsi="Times New Roman"/>
                <w:noProof/>
                <w:spacing w:val="-6"/>
                <w:lang w:val="sk-SK"/>
              </w:rPr>
              <w:t> </w:t>
            </w:r>
          </w:p>
        </w:tc>
        <w:tc>
          <w:tcPr>
            <w:tcW w:w="1417" w:type="dxa"/>
            <w:vMerge w:val="restart"/>
            <w:shd w:val="clear" w:color="auto" w:fill="BDD7EE"/>
            <w:vAlign w:val="center"/>
            <w:hideMark/>
          </w:tcPr>
          <w:p w14:paraId="38D5AABB" w14:textId="419B0BE1"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lang w:val="sk-SK"/>
              </w:rPr>
              <w:t>(pre míľniky)</w:t>
            </w:r>
            <w:r w:rsidRPr="00326E55">
              <w:rPr>
                <w:rFonts w:ascii="Times New Roman" w:hAnsi="Times New Roman"/>
                <w:noProof/>
                <w:spacing w:val="-6"/>
                <w:lang w:val="sk-SK"/>
              </w:rPr>
              <w:t> </w:t>
            </w:r>
          </w:p>
        </w:tc>
        <w:tc>
          <w:tcPr>
            <w:tcW w:w="3544" w:type="dxa"/>
            <w:gridSpan w:val="3"/>
            <w:shd w:val="clear" w:color="auto" w:fill="BDD7EE"/>
            <w:vAlign w:val="center"/>
            <w:hideMark/>
          </w:tcPr>
          <w:p w14:paraId="78038C6A" w14:textId="149C21DC"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lang w:val="sk-SK"/>
              </w:rPr>
              <w:t>(pre cieľové hodnoty)</w:t>
            </w:r>
            <w:r w:rsidRPr="00326E55">
              <w:rPr>
                <w:rFonts w:ascii="Times New Roman" w:hAnsi="Times New Roman"/>
                <w:noProof/>
                <w:spacing w:val="-6"/>
                <w:lang w:val="sk-SK"/>
              </w:rPr>
              <w:t> </w:t>
            </w:r>
          </w:p>
        </w:tc>
        <w:tc>
          <w:tcPr>
            <w:tcW w:w="1683" w:type="dxa"/>
            <w:gridSpan w:val="2"/>
            <w:shd w:val="clear" w:color="auto" w:fill="BDD7EE"/>
            <w:vAlign w:val="center"/>
            <w:hideMark/>
          </w:tcPr>
          <w:p w14:paraId="3B2EBF76"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Orientačný harmonogram dokončenia</w:t>
            </w:r>
            <w:r w:rsidRPr="00326E55">
              <w:rPr>
                <w:rFonts w:ascii="Times New Roman" w:hAnsi="Times New Roman"/>
                <w:noProof/>
                <w:spacing w:val="-6"/>
                <w:lang w:val="sk-SK"/>
              </w:rPr>
              <w:t> </w:t>
            </w:r>
          </w:p>
        </w:tc>
        <w:tc>
          <w:tcPr>
            <w:tcW w:w="3423" w:type="dxa"/>
            <w:vMerge w:val="restart"/>
            <w:shd w:val="clear" w:color="auto" w:fill="BDD7EE"/>
            <w:vAlign w:val="center"/>
            <w:hideMark/>
          </w:tcPr>
          <w:p w14:paraId="0B73DC93" w14:textId="1333B814"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Opis každého míľnika</w:t>
            </w:r>
            <w:r w:rsidR="00326E55" w:rsidRPr="00326E55">
              <w:rPr>
                <w:rFonts w:ascii="Times New Roman" w:hAnsi="Times New Roman"/>
                <w:b/>
                <w:noProof/>
                <w:spacing w:val="-6"/>
                <w:lang w:val="sk-SK"/>
              </w:rPr>
              <w:t xml:space="preserve"> a </w:t>
            </w:r>
            <w:r w:rsidRPr="00326E55">
              <w:rPr>
                <w:rFonts w:ascii="Times New Roman" w:hAnsi="Times New Roman"/>
                <w:b/>
                <w:noProof/>
                <w:spacing w:val="-6"/>
                <w:lang w:val="sk-SK"/>
              </w:rPr>
              <w:t>cieľa</w:t>
            </w:r>
            <w:r w:rsidRPr="00326E55">
              <w:rPr>
                <w:rFonts w:ascii="Times New Roman" w:hAnsi="Times New Roman"/>
                <w:noProof/>
                <w:spacing w:val="-6"/>
                <w:lang w:val="sk-SK"/>
              </w:rPr>
              <w:t> </w:t>
            </w:r>
          </w:p>
        </w:tc>
      </w:tr>
      <w:tr w:rsidR="00BF03AA" w:rsidRPr="00326E55" w14:paraId="3A5DDCE8" w14:textId="77777777">
        <w:trPr>
          <w:trHeight w:val="300"/>
          <w:tblHeader/>
        </w:trPr>
        <w:tc>
          <w:tcPr>
            <w:tcW w:w="1131" w:type="dxa"/>
            <w:vMerge/>
            <w:vAlign w:val="center"/>
            <w:hideMark/>
          </w:tcPr>
          <w:p w14:paraId="4A58B113"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418" w:type="dxa"/>
            <w:vMerge/>
            <w:vAlign w:val="center"/>
            <w:hideMark/>
          </w:tcPr>
          <w:p w14:paraId="478DF540"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992" w:type="dxa"/>
            <w:vMerge/>
            <w:vAlign w:val="center"/>
            <w:hideMark/>
          </w:tcPr>
          <w:p w14:paraId="2C067FCD"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418" w:type="dxa"/>
            <w:vMerge/>
            <w:vAlign w:val="center"/>
            <w:hideMark/>
          </w:tcPr>
          <w:p w14:paraId="1061B65D"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417" w:type="dxa"/>
            <w:vMerge/>
            <w:vAlign w:val="center"/>
            <w:hideMark/>
          </w:tcPr>
          <w:p w14:paraId="0F9DCDED"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c>
          <w:tcPr>
            <w:tcW w:w="1276" w:type="dxa"/>
            <w:shd w:val="clear" w:color="auto" w:fill="BDD7EE"/>
            <w:vAlign w:val="center"/>
            <w:hideMark/>
          </w:tcPr>
          <w:p w14:paraId="33F1C328"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Merná jednotka</w:t>
            </w:r>
            <w:r w:rsidRPr="00326E55">
              <w:rPr>
                <w:rFonts w:ascii="Times New Roman" w:hAnsi="Times New Roman"/>
                <w:noProof/>
                <w:spacing w:val="-6"/>
                <w:lang w:val="sk-SK"/>
              </w:rPr>
              <w:t> </w:t>
            </w:r>
          </w:p>
        </w:tc>
        <w:tc>
          <w:tcPr>
            <w:tcW w:w="1276" w:type="dxa"/>
            <w:shd w:val="clear" w:color="auto" w:fill="BDD7EE"/>
            <w:vAlign w:val="center"/>
            <w:hideMark/>
          </w:tcPr>
          <w:p w14:paraId="5CD8A900"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Základná</w:t>
            </w:r>
            <w:r w:rsidRPr="00326E55">
              <w:rPr>
                <w:rFonts w:ascii="Times New Roman" w:hAnsi="Times New Roman"/>
                <w:noProof/>
                <w:spacing w:val="-6"/>
                <w:lang w:val="sk-SK"/>
              </w:rPr>
              <w:t> </w:t>
            </w:r>
          </w:p>
        </w:tc>
        <w:tc>
          <w:tcPr>
            <w:tcW w:w="992" w:type="dxa"/>
            <w:shd w:val="clear" w:color="auto" w:fill="BDD7EE"/>
            <w:vAlign w:val="center"/>
            <w:hideMark/>
          </w:tcPr>
          <w:p w14:paraId="7ED84C2C"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Cieľ</w:t>
            </w:r>
            <w:r w:rsidRPr="00326E55">
              <w:rPr>
                <w:rFonts w:ascii="Times New Roman" w:hAnsi="Times New Roman"/>
                <w:noProof/>
                <w:spacing w:val="-6"/>
                <w:lang w:val="sk-SK"/>
              </w:rPr>
              <w:t> </w:t>
            </w:r>
          </w:p>
        </w:tc>
        <w:tc>
          <w:tcPr>
            <w:tcW w:w="992" w:type="dxa"/>
            <w:shd w:val="clear" w:color="auto" w:fill="BDD7EE"/>
            <w:vAlign w:val="center"/>
            <w:hideMark/>
          </w:tcPr>
          <w:p w14:paraId="4AEF38C2"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Štvrtina</w:t>
            </w:r>
            <w:r w:rsidRPr="00326E55">
              <w:rPr>
                <w:rFonts w:ascii="Times New Roman" w:hAnsi="Times New Roman"/>
                <w:noProof/>
                <w:spacing w:val="-6"/>
                <w:lang w:val="sk-SK"/>
              </w:rPr>
              <w:t> </w:t>
            </w:r>
          </w:p>
        </w:tc>
        <w:tc>
          <w:tcPr>
            <w:tcW w:w="691" w:type="dxa"/>
            <w:shd w:val="clear" w:color="auto" w:fill="BDD7EE"/>
            <w:vAlign w:val="center"/>
            <w:hideMark/>
          </w:tcPr>
          <w:p w14:paraId="56613F38" w14:textId="77777777"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b/>
                <w:noProof/>
                <w:spacing w:val="-6"/>
                <w:lang w:val="sk-SK"/>
              </w:rPr>
              <w:t>Rok</w:t>
            </w:r>
            <w:r w:rsidRPr="00326E55">
              <w:rPr>
                <w:rFonts w:ascii="Times New Roman" w:hAnsi="Times New Roman"/>
                <w:noProof/>
                <w:spacing w:val="-6"/>
                <w:lang w:val="sk-SK"/>
              </w:rPr>
              <w:t> </w:t>
            </w:r>
          </w:p>
        </w:tc>
        <w:tc>
          <w:tcPr>
            <w:tcW w:w="3423" w:type="dxa"/>
            <w:vMerge/>
            <w:vAlign w:val="center"/>
            <w:hideMark/>
          </w:tcPr>
          <w:p w14:paraId="6BC331E4" w14:textId="77777777" w:rsidR="00BF03AA" w:rsidRPr="00326E55" w:rsidRDefault="00BF03AA">
            <w:pPr>
              <w:spacing w:after="0" w:line="240" w:lineRule="auto"/>
              <w:rPr>
                <w:rFonts w:ascii="Times New Roman" w:eastAsia="Times New Roman" w:hAnsi="Times New Roman" w:cs="Times New Roman"/>
                <w:noProof/>
                <w:spacing w:val="-6"/>
                <w:kern w:val="0"/>
                <w:sz w:val="24"/>
                <w:szCs w:val="24"/>
                <w:lang w:val="sk-SK"/>
                <w14:ligatures w14:val="none"/>
              </w:rPr>
            </w:pPr>
          </w:p>
        </w:tc>
      </w:tr>
      <w:tr w:rsidR="00BF03AA" w:rsidRPr="00326E55" w14:paraId="6016973A" w14:textId="77777777">
        <w:trPr>
          <w:trHeight w:val="300"/>
        </w:trPr>
        <w:tc>
          <w:tcPr>
            <w:tcW w:w="1131" w:type="dxa"/>
            <w:shd w:val="clear" w:color="auto" w:fill="C6EFCE"/>
            <w:vAlign w:val="center"/>
            <w:hideMark/>
          </w:tcPr>
          <w:p w14:paraId="3DF08B7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13 </w:t>
            </w:r>
          </w:p>
        </w:tc>
        <w:tc>
          <w:tcPr>
            <w:tcW w:w="1418" w:type="dxa"/>
            <w:shd w:val="clear" w:color="auto" w:fill="C6EFCE"/>
            <w:vAlign w:val="center"/>
            <w:hideMark/>
          </w:tcPr>
          <w:p w14:paraId="5023569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Reforma 1.2 – Národný program</w:t>
            </w:r>
            <w:r w:rsidRPr="00326E55">
              <w:rPr>
                <w:rFonts w:ascii="Times New Roman" w:hAnsi="Times New Roman"/>
                <w:noProof/>
                <w:spacing w:val="-6"/>
                <w:lang w:val="sk-SK"/>
              </w:rPr>
              <w:t xml:space="preserve"> odpadového hospodárstva </w:t>
            </w:r>
          </w:p>
        </w:tc>
        <w:tc>
          <w:tcPr>
            <w:tcW w:w="992" w:type="dxa"/>
            <w:shd w:val="clear" w:color="auto" w:fill="C6EFCE"/>
            <w:vAlign w:val="center"/>
            <w:hideMark/>
          </w:tcPr>
          <w:p w14:paraId="76BE543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418" w:type="dxa"/>
            <w:shd w:val="clear" w:color="auto" w:fill="C6EFCE"/>
            <w:vAlign w:val="center"/>
            <w:hideMark/>
          </w:tcPr>
          <w:p w14:paraId="7EB2C9DA" w14:textId="1C466CE3"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Nadobudnutie účinnosti ministerskej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národnom programe odpadového hospodárstva </w:t>
            </w:r>
          </w:p>
        </w:tc>
        <w:tc>
          <w:tcPr>
            <w:tcW w:w="1417" w:type="dxa"/>
            <w:shd w:val="clear" w:color="auto" w:fill="C6EFCE"/>
            <w:vAlign w:val="center"/>
            <w:hideMark/>
          </w:tcPr>
          <w:p w14:paraId="2BF6AFCD" w14:textId="32739288"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w:t>
            </w:r>
          </w:p>
        </w:tc>
        <w:tc>
          <w:tcPr>
            <w:tcW w:w="1276" w:type="dxa"/>
            <w:shd w:val="clear" w:color="auto" w:fill="C6EFCE"/>
            <w:vAlign w:val="center"/>
            <w:hideMark/>
          </w:tcPr>
          <w:p w14:paraId="31C30BD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22A9EBB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6BC445D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63B8F13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91" w:type="dxa"/>
            <w:shd w:val="clear" w:color="auto" w:fill="C6EFCE"/>
            <w:vAlign w:val="center"/>
            <w:hideMark/>
          </w:tcPr>
          <w:p w14:paraId="490AEB8D" w14:textId="24D97BF8"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2022</w:t>
            </w:r>
          </w:p>
        </w:tc>
        <w:tc>
          <w:tcPr>
            <w:tcW w:w="3423" w:type="dxa"/>
            <w:shd w:val="clear" w:color="auto" w:fill="C6EFCE"/>
            <w:vAlign w:val="center"/>
            <w:hideMark/>
          </w:tcPr>
          <w:p w14:paraId="6EE3EA18" w14:textId="3EA6BF45"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Ministerská vyhláška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národnom </w:t>
            </w:r>
            <w:r w:rsidRPr="00326E55">
              <w:rPr>
                <w:rFonts w:ascii="Times New Roman" w:hAnsi="Times New Roman"/>
                <w:noProof/>
                <w:spacing w:val="-6"/>
                <w:lang w:val="sk-SK"/>
              </w:rPr>
              <w:t>programe odpadového hospodárstva obsahuje aspoň tieto ciele</w:t>
            </w:r>
            <w:r w:rsidR="00326E55" w:rsidRPr="00326E55">
              <w:rPr>
                <w:rFonts w:ascii="Times New Roman" w:hAnsi="Times New Roman"/>
                <w:noProof/>
                <w:spacing w:val="-6"/>
                <w:lang w:val="sk-SK"/>
              </w:rPr>
              <w:t>:</w:t>
            </w:r>
          </w:p>
          <w:p w14:paraId="4AB2522D" w14:textId="06C7FC10"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dosiahnuť najvyššiu úroveň prípravy na opätovné použitie, recykláciu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zhodnocovanie odpadu, dosiahnuť aspoň ciele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181 legislatívneho dekrétu 152/06</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tiež zohľadniť systémy ro</w:t>
            </w:r>
            <w:r w:rsidRPr="00326E55">
              <w:rPr>
                <w:rFonts w:ascii="Times New Roman" w:hAnsi="Times New Roman"/>
                <w:noProof/>
                <w:spacing w:val="-6"/>
                <w:lang w:val="sk-SK"/>
              </w:rPr>
              <w:t>zšírenej zodpovednosti výrobcu</w:t>
            </w:r>
            <w:r w:rsidR="00326E55" w:rsidRPr="00326E55">
              <w:rPr>
                <w:rFonts w:ascii="Times New Roman" w:hAnsi="Times New Roman"/>
                <w:noProof/>
                <w:spacing w:val="-6"/>
                <w:lang w:val="sk-SK"/>
              </w:rPr>
              <w:t>;</w:t>
            </w:r>
          </w:p>
          <w:p w14:paraId="54881A86" w14:textId="06C4C5EF" w:rsidR="00326E55" w:rsidRPr="00326E55" w:rsidRDefault="00FB452D">
            <w:pPr>
              <w:pStyle w:val="P68B1DB1-Normal50"/>
              <w:numPr>
                <w:ilvl w:val="0"/>
                <w:numId w:val="129"/>
              </w:numPr>
              <w:spacing w:after="0" w:line="240" w:lineRule="auto"/>
              <w:ind w:firstLine="0"/>
              <w:textAlignment w:val="baseline"/>
              <w:rPr>
                <w:rFonts w:ascii="Times New Roman" w:hAnsi="Times New Roman"/>
                <w:noProof/>
                <w:spacing w:val="-6"/>
                <w:lang w:val="sk-SK"/>
              </w:rPr>
            </w:pPr>
            <w:r w:rsidRPr="00326E55">
              <w:rPr>
                <w:rFonts w:ascii="Times New Roman" w:hAnsi="Times New Roman"/>
                <w:noProof/>
                <w:spacing w:val="-6"/>
                <w:lang w:val="sk-SK"/>
              </w:rPr>
              <w:t>prispôsobiť sieť zariadení potrebných na integrované 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 –</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rozvíjať obehové hospodárstvo – zabezpečiť potrebné kapacity na dosiahnutie cieľov stanovených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písmene 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následne minimalizovať konečn</w:t>
            </w:r>
            <w:r w:rsidRPr="00326E55">
              <w:rPr>
                <w:rFonts w:ascii="Times New Roman" w:hAnsi="Times New Roman"/>
                <w:noProof/>
                <w:spacing w:val="-6"/>
                <w:lang w:val="sk-SK"/>
              </w:rPr>
              <w:t>é zneškodnenie ako konečnú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zostatkovú možnosť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zásadou blízkosti</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prihliadnutím na ciele predchádzania vzniku odpadu vymedzené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vnútroštátneho plánovania predchádzania vzniku odpadu stanoveného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180 legislatívneho dekrétu 152</w:t>
            </w:r>
            <w:r w:rsidRPr="00326E55">
              <w:rPr>
                <w:rFonts w:ascii="Times New Roman" w:hAnsi="Times New Roman"/>
                <w:noProof/>
                <w:spacing w:val="-6"/>
                <w:lang w:val="sk-SK"/>
              </w:rPr>
              <w:t>/06</w:t>
            </w:r>
            <w:r w:rsidR="00326E55" w:rsidRPr="00326E55">
              <w:rPr>
                <w:rFonts w:ascii="Times New Roman" w:hAnsi="Times New Roman"/>
                <w:noProof/>
                <w:spacing w:val="-6"/>
                <w:lang w:val="sk-SK"/>
              </w:rPr>
              <w:t>;</w:t>
            </w:r>
          </w:p>
          <w:p w14:paraId="188DEA98" w14:textId="4170AEF0" w:rsidR="00326E55" w:rsidRPr="00326E55" w:rsidRDefault="00FB452D">
            <w:pPr>
              <w:pStyle w:val="P68B1DB1-Normal50"/>
              <w:numPr>
                <w:ilvl w:val="0"/>
                <w:numId w:val="130"/>
              </w:numPr>
              <w:spacing w:after="0" w:line="240" w:lineRule="auto"/>
              <w:ind w:firstLine="0"/>
              <w:textAlignment w:val="baseline"/>
              <w:rPr>
                <w:rFonts w:ascii="Times New Roman" w:hAnsi="Times New Roman"/>
                <w:noProof/>
                <w:spacing w:val="-6"/>
                <w:lang w:val="sk-SK"/>
              </w:rPr>
            </w:pPr>
            <w:r w:rsidRPr="00326E55">
              <w:rPr>
                <w:rFonts w:ascii="Times New Roman" w:hAnsi="Times New Roman"/>
                <w:noProof/>
                <w:spacing w:val="-6"/>
                <w:lang w:val="sk-SK"/>
              </w:rPr>
              <w:t>zaviesť primerané monitorovanie vykonávania programu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umožniť neustále overovanie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jeho cieľmi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prípadnú potrebu prijať nápravné nástroje na dosiahnutie plánovaných opatrení</w:t>
            </w:r>
            <w:r w:rsidR="00326E55" w:rsidRPr="00326E55">
              <w:rPr>
                <w:rFonts w:ascii="Times New Roman" w:hAnsi="Times New Roman"/>
                <w:noProof/>
                <w:spacing w:val="-6"/>
                <w:lang w:val="sk-SK"/>
              </w:rPr>
              <w:t>;</w:t>
            </w:r>
          </w:p>
          <w:p w14:paraId="62EA5592" w14:textId="6AB892F9" w:rsidR="00326E55" w:rsidRPr="00326E55" w:rsidRDefault="00FB452D">
            <w:pPr>
              <w:pStyle w:val="P68B1DB1-Normal50"/>
              <w:numPr>
                <w:ilvl w:val="0"/>
                <w:numId w:val="131"/>
              </w:numPr>
              <w:spacing w:after="0" w:line="240" w:lineRule="auto"/>
              <w:ind w:firstLine="0"/>
              <w:textAlignment w:val="baseline"/>
              <w:rPr>
                <w:rFonts w:ascii="Times New Roman" w:hAnsi="Times New Roman"/>
                <w:noProof/>
                <w:spacing w:val="-6"/>
                <w:lang w:val="sk-SK"/>
              </w:rPr>
            </w:pPr>
            <w:r w:rsidRPr="00326E55">
              <w:rPr>
                <w:rFonts w:ascii="Times New Roman" w:hAnsi="Times New Roman"/>
                <w:noProof/>
                <w:spacing w:val="-6"/>
                <w:lang w:val="sk-SK"/>
              </w:rPr>
              <w:t>zabrániť začatiu nových postupov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nesplnenia povin</w:t>
            </w:r>
            <w:r w:rsidRPr="00326E55">
              <w:rPr>
                <w:rFonts w:ascii="Times New Roman" w:hAnsi="Times New Roman"/>
                <w:noProof/>
                <w:spacing w:val="-6"/>
                <w:lang w:val="sk-SK"/>
              </w:rPr>
              <w:t>nosti proti Talianskej republike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dôvodu nevykonávania európskych nariadení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plánovaní odpadového cyklu</w:t>
            </w:r>
            <w:r w:rsidR="00326E55" w:rsidRPr="00326E55">
              <w:rPr>
                <w:rFonts w:ascii="Times New Roman" w:hAnsi="Times New Roman"/>
                <w:noProof/>
                <w:spacing w:val="-6"/>
                <w:lang w:val="sk-SK"/>
              </w:rPr>
              <w:t>;</w:t>
            </w:r>
          </w:p>
          <w:p w14:paraId="35118DCE" w14:textId="1C74039A" w:rsidR="00326E55" w:rsidRPr="00326E55" w:rsidRDefault="00FB452D">
            <w:pPr>
              <w:pStyle w:val="P68B1DB1-Normal50"/>
              <w:numPr>
                <w:ilvl w:val="0"/>
                <w:numId w:val="132"/>
              </w:numPr>
              <w:spacing w:after="0" w:line="240" w:lineRule="auto"/>
              <w:ind w:firstLine="0"/>
              <w:textAlignment w:val="baseline"/>
              <w:rPr>
                <w:rFonts w:ascii="Times New Roman" w:hAnsi="Times New Roman"/>
                <w:noProof/>
                <w:spacing w:val="-6"/>
                <w:lang w:val="sk-SK"/>
              </w:rPr>
            </w:pPr>
            <w:r w:rsidRPr="00326E55">
              <w:rPr>
                <w:rFonts w:ascii="Times New Roman" w:hAnsi="Times New Roman"/>
                <w:noProof/>
                <w:spacing w:val="-6"/>
                <w:lang w:val="sk-SK"/>
              </w:rPr>
              <w:t>riešiť nízky zber odpadu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odrádzať od skládkovania (pozri aj národnú stratégiu obehového hospodárstva)</w:t>
            </w:r>
            <w:r w:rsidR="00326E55" w:rsidRPr="00326E55">
              <w:rPr>
                <w:rFonts w:ascii="Times New Roman" w:hAnsi="Times New Roman"/>
                <w:noProof/>
                <w:spacing w:val="-6"/>
                <w:lang w:val="sk-SK"/>
              </w:rPr>
              <w:t>;</w:t>
            </w:r>
          </w:p>
          <w:p w14:paraId="4B41BF9F" w14:textId="15F9E34C" w:rsidR="00326E55" w:rsidRPr="00326E55" w:rsidRDefault="00FB452D">
            <w:pPr>
              <w:pStyle w:val="P68B1DB1-Normal50"/>
              <w:numPr>
                <w:ilvl w:val="0"/>
                <w:numId w:val="133"/>
              </w:numPr>
              <w:spacing w:after="0" w:line="240" w:lineRule="auto"/>
              <w:ind w:firstLine="0"/>
              <w:textAlignment w:val="baseline"/>
              <w:rPr>
                <w:rFonts w:ascii="Times New Roman" w:hAnsi="Times New Roman"/>
                <w:noProof/>
                <w:spacing w:val="-6"/>
                <w:lang w:val="sk-SK"/>
              </w:rPr>
            </w:pPr>
            <w:r w:rsidRPr="00326E55">
              <w:rPr>
                <w:rFonts w:ascii="Times New Roman" w:hAnsi="Times New Roman"/>
                <w:noProof/>
                <w:spacing w:val="-6"/>
                <w:lang w:val="sk-SK"/>
              </w:rPr>
              <w:t>regionálne zariadenie na 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odpadmi dopĺňa národný program odpadového hospodárstva</w:t>
            </w:r>
            <w:r w:rsidR="00326E55" w:rsidRPr="00326E55">
              <w:rPr>
                <w:rFonts w:ascii="Times New Roman" w:hAnsi="Times New Roman"/>
                <w:noProof/>
                <w:spacing w:val="-6"/>
                <w:lang w:val="sk-SK"/>
              </w:rPr>
              <w:t>;</w:t>
            </w:r>
          </w:p>
          <w:p w14:paraId="0B67AE61" w14:textId="32494CE3" w:rsidR="00326E55" w:rsidRPr="00326E55" w:rsidRDefault="00FB452D">
            <w:pPr>
              <w:pStyle w:val="P68B1DB1-Normal50"/>
              <w:numPr>
                <w:ilvl w:val="0"/>
                <w:numId w:val="134"/>
              </w:numPr>
              <w:spacing w:after="0" w:line="240" w:lineRule="auto"/>
              <w:ind w:firstLine="0"/>
              <w:textAlignment w:val="baseline"/>
              <w:rPr>
                <w:rFonts w:ascii="Times New Roman" w:hAnsi="Times New Roman"/>
                <w:noProof/>
                <w:spacing w:val="-6"/>
                <w:lang w:val="sk-SK"/>
              </w:rPr>
            </w:pPr>
            <w:r w:rsidRPr="00326E55">
              <w:rPr>
                <w:rFonts w:ascii="Times New Roman" w:hAnsi="Times New Roman"/>
                <w:noProof/>
                <w:spacing w:val="-6"/>
                <w:lang w:val="sk-SK"/>
              </w:rPr>
              <w:t>preklenúť medzery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nakladaní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regionálne rozdiely,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kapacitu zariadení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normy kvality existujúce medzi rôznymi regiónmi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oblasťami územia štátu,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obnoviť oneskorenia</w:t>
            </w:r>
            <w:r w:rsidR="00326E55" w:rsidRPr="00326E55">
              <w:rPr>
                <w:rFonts w:ascii="Times New Roman" w:hAnsi="Times New Roman"/>
                <w:noProof/>
                <w:spacing w:val="-6"/>
                <w:lang w:val="sk-SK"/>
              </w:rPr>
              <w:t>;</w:t>
            </w:r>
          </w:p>
          <w:p w14:paraId="50AA69F6" w14:textId="2963F2CB" w:rsidR="00326E55" w:rsidRPr="00326E55" w:rsidRDefault="00FB452D">
            <w:pPr>
              <w:pStyle w:val="P68B1DB1-Normal50"/>
              <w:numPr>
                <w:ilvl w:val="0"/>
                <w:numId w:val="135"/>
              </w:numPr>
              <w:spacing w:after="0" w:line="240" w:lineRule="auto"/>
              <w:ind w:firstLine="0"/>
              <w:textAlignment w:val="baseline"/>
              <w:rPr>
                <w:rFonts w:ascii="Times New Roman" w:hAnsi="Times New Roman"/>
                <w:noProof/>
                <w:spacing w:val="-6"/>
                <w:lang w:val="sk-SK"/>
              </w:rPr>
            </w:pPr>
            <w:r w:rsidRPr="00326E55">
              <w:rPr>
                <w:rFonts w:ascii="Times New Roman" w:hAnsi="Times New Roman"/>
                <w:noProof/>
                <w:spacing w:val="-6"/>
                <w:lang w:val="sk-SK"/>
              </w:rPr>
              <w:t>dosiahnuť súčasné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nové ciele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európskych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vnútroštátnych právnych predpisoch</w:t>
            </w:r>
            <w:r w:rsidR="00326E55" w:rsidRPr="00326E55">
              <w:rPr>
                <w:rFonts w:ascii="Times New Roman" w:hAnsi="Times New Roman"/>
                <w:noProof/>
                <w:spacing w:val="-6"/>
                <w:lang w:val="sk-SK"/>
              </w:rPr>
              <w:t>;</w:t>
            </w:r>
          </w:p>
          <w:p w14:paraId="3CE2B3C0" w14:textId="058EAD38" w:rsidR="00BF03AA" w:rsidRPr="00326E55" w:rsidRDefault="00FB452D">
            <w:pPr>
              <w:pStyle w:val="P68B1DB1-Normal50"/>
              <w:numPr>
                <w:ilvl w:val="0"/>
                <w:numId w:val="136"/>
              </w:numPr>
              <w:spacing w:after="0" w:line="240" w:lineRule="auto"/>
              <w:ind w:firstLine="0"/>
              <w:textAlignment w:val="baseline"/>
              <w:rPr>
                <w:rFonts w:ascii="Times New Roman" w:hAnsi="Times New Roman"/>
                <w:noProof/>
                <w:spacing w:val="-6"/>
                <w:lang w:val="sk-SK"/>
              </w:rPr>
            </w:pPr>
            <w:r w:rsidRPr="00326E55">
              <w:rPr>
                <w:rFonts w:ascii="Times New Roman" w:hAnsi="Times New Roman"/>
                <w:noProof/>
                <w:spacing w:val="-6"/>
                <w:lang w:val="sk-SK"/>
              </w:rPr>
              <w:t>s cieľom bojovať proti nezákonnému skládkovaniu odpadu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spaľovaniu vo voľnom priestranstve (napr.</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Terra dei Fuochi) sa prostredníctvom opatrení vrátane </w:t>
            </w:r>
            <w:r w:rsidRPr="00326E55">
              <w:rPr>
                <w:rFonts w:ascii="Times New Roman" w:hAnsi="Times New Roman"/>
                <w:noProof/>
                <w:spacing w:val="-6"/>
                <w:lang w:val="sk-SK"/>
              </w:rPr>
              <w:t>zavedenia nového systému vysledovateľnosti odpadu vytvorí podporovaný globálny monitorovací systém na riešenie nezákonného skládkovania pomocou satelitov, dronov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technológií umelej inteligencie. </w:t>
            </w:r>
          </w:p>
        </w:tc>
      </w:tr>
      <w:tr w:rsidR="00BF03AA" w:rsidRPr="00326E55" w14:paraId="4E9BAAC6" w14:textId="77777777">
        <w:trPr>
          <w:trHeight w:val="300"/>
        </w:trPr>
        <w:tc>
          <w:tcPr>
            <w:tcW w:w="1131" w:type="dxa"/>
            <w:shd w:val="clear" w:color="auto" w:fill="C6EFCE"/>
            <w:vAlign w:val="center"/>
            <w:hideMark/>
          </w:tcPr>
          <w:p w14:paraId="5DB47B0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14 </w:t>
            </w:r>
          </w:p>
        </w:tc>
        <w:tc>
          <w:tcPr>
            <w:tcW w:w="1418" w:type="dxa"/>
            <w:shd w:val="clear" w:color="auto" w:fill="C6EFCE"/>
            <w:vAlign w:val="center"/>
            <w:hideMark/>
          </w:tcPr>
          <w:p w14:paraId="5C740E56" w14:textId="5AA7E6D2" w:rsidR="00326E55"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 xml:space="preserve">Investícia 1.1 – Realizácia nových zariadení </w:t>
            </w:r>
            <w:r w:rsidRPr="00326E55">
              <w:rPr>
                <w:rFonts w:ascii="Times New Roman" w:hAnsi="Times New Roman"/>
                <w:noProof/>
                <w:spacing w:val="-6"/>
                <w:lang w:val="sk-SK"/>
              </w:rPr>
              <w:t>na 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modernizácia existujúcich zariadení</w:t>
            </w:r>
            <w:r w:rsidR="00326E55" w:rsidRPr="00326E55">
              <w:rPr>
                <w:rFonts w:ascii="Times New Roman" w:hAnsi="Times New Roman"/>
                <w:noProof/>
                <w:spacing w:val="-6"/>
                <w:lang w:val="sk-SK"/>
              </w:rPr>
              <w:t>;</w:t>
            </w:r>
          </w:p>
          <w:p w14:paraId="271D3AFC" w14:textId="34AFEF1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1.2 – Hlavné projekty obehového hospodárstva </w:t>
            </w:r>
          </w:p>
        </w:tc>
        <w:tc>
          <w:tcPr>
            <w:tcW w:w="992" w:type="dxa"/>
            <w:shd w:val="clear" w:color="auto" w:fill="C6EFCE"/>
            <w:vAlign w:val="center"/>
            <w:hideMark/>
          </w:tcPr>
          <w:p w14:paraId="276C9A6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418" w:type="dxa"/>
            <w:shd w:val="clear" w:color="auto" w:fill="C6EFCE"/>
            <w:vAlign w:val="center"/>
            <w:hideMark/>
          </w:tcPr>
          <w:p w14:paraId="0C6C5ED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Nadobudnutie účinnosti ministerskej vyhlášky. </w:t>
            </w:r>
          </w:p>
        </w:tc>
        <w:tc>
          <w:tcPr>
            <w:tcW w:w="1417" w:type="dxa"/>
            <w:shd w:val="clear" w:color="auto" w:fill="C6EFCE"/>
            <w:vAlign w:val="center"/>
            <w:hideMark/>
          </w:tcPr>
          <w:p w14:paraId="347F8738" w14:textId="709EFC90"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Prijatie ministerskej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schválení kritérií výberu projektov navrhnutých </w:t>
            </w:r>
            <w:r w:rsidRPr="00326E55">
              <w:rPr>
                <w:rFonts w:ascii="Times New Roman" w:hAnsi="Times New Roman"/>
                <w:noProof/>
                <w:spacing w:val="-6"/>
                <w:lang w:val="sk-SK"/>
              </w:rPr>
              <w:t>obcami. </w:t>
            </w:r>
          </w:p>
        </w:tc>
        <w:tc>
          <w:tcPr>
            <w:tcW w:w="1276" w:type="dxa"/>
            <w:shd w:val="clear" w:color="auto" w:fill="C6EFCE"/>
            <w:vAlign w:val="center"/>
            <w:hideMark/>
          </w:tcPr>
          <w:p w14:paraId="1B7347C3" w14:textId="346D1AAF"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Uverejnenie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Gazzetta Ufficiale </w:t>
            </w:r>
          </w:p>
        </w:tc>
        <w:tc>
          <w:tcPr>
            <w:tcW w:w="1276" w:type="dxa"/>
            <w:shd w:val="clear" w:color="auto" w:fill="C6EFCE"/>
            <w:vAlign w:val="center"/>
            <w:hideMark/>
          </w:tcPr>
          <w:p w14:paraId="3094C43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5637D9D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37AD6DA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TRETÍ ŠTVRŤROK </w:t>
            </w:r>
          </w:p>
        </w:tc>
        <w:tc>
          <w:tcPr>
            <w:tcW w:w="691" w:type="dxa"/>
            <w:shd w:val="clear" w:color="auto" w:fill="C6EFCE"/>
            <w:vAlign w:val="center"/>
            <w:hideMark/>
          </w:tcPr>
          <w:p w14:paraId="1354FB10"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2021 </w:t>
            </w:r>
          </w:p>
        </w:tc>
        <w:tc>
          <w:tcPr>
            <w:tcW w:w="3423" w:type="dxa"/>
            <w:shd w:val="clear" w:color="auto" w:fill="C6EFCE"/>
            <w:vAlign w:val="center"/>
            <w:hideMark/>
          </w:tcPr>
          <w:p w14:paraId="67944919" w14:textId="674393D2"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Ministerská vyhláška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schválení kritérií výberu projektov navrhnutých obcami nadobúda účinnosť</w:t>
            </w:r>
            <w:r w:rsidR="00326E55" w:rsidRPr="00326E55">
              <w:rPr>
                <w:rFonts w:ascii="Times New Roman" w:hAnsi="Times New Roman"/>
                <w:noProof/>
                <w:spacing w:val="-6"/>
                <w:lang w:val="sk-SK"/>
              </w:rPr>
              <w:t>.</w:t>
            </w:r>
          </w:p>
          <w:p w14:paraId="5239D8F2" w14:textId="6F963776"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Ministerská vyhláška stanovuje, že projekty sa vyberajú</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týchto kritéri</w:t>
            </w:r>
            <w:r w:rsidRPr="00326E55">
              <w:rPr>
                <w:rFonts w:ascii="Times New Roman" w:hAnsi="Times New Roman"/>
                <w:noProof/>
                <w:spacing w:val="-6"/>
                <w:lang w:val="sk-SK"/>
              </w:rPr>
              <w:t>í</w:t>
            </w:r>
            <w:r w:rsidR="00326E55" w:rsidRPr="00326E55">
              <w:rPr>
                <w:rFonts w:ascii="Times New Roman" w:hAnsi="Times New Roman"/>
                <w:noProof/>
                <w:spacing w:val="-6"/>
                <w:lang w:val="sk-SK"/>
              </w:rPr>
              <w:t>:</w:t>
            </w:r>
          </w:p>
          <w:p w14:paraId="35E44524" w14:textId="77777777" w:rsidR="00326E55" w:rsidRPr="00326E55" w:rsidRDefault="00FB452D">
            <w:pPr>
              <w:pStyle w:val="P68B1DB1-Normal50"/>
              <w:numPr>
                <w:ilvl w:val="0"/>
                <w:numId w:val="137"/>
              </w:numPr>
              <w:spacing w:after="0" w:line="240" w:lineRule="auto"/>
              <w:ind w:left="780" w:firstLine="0"/>
              <w:textAlignment w:val="baseline"/>
              <w:rPr>
                <w:rFonts w:ascii="Times New Roman" w:hAnsi="Times New Roman"/>
                <w:noProof/>
                <w:spacing w:val="-6"/>
                <w:lang w:val="sk-SK"/>
              </w:rPr>
            </w:pPr>
            <w:r w:rsidRPr="00326E55">
              <w:rPr>
                <w:rFonts w:ascii="Times New Roman" w:hAnsi="Times New Roman"/>
                <w:noProof/>
                <w:spacing w:val="-6"/>
                <w:lang w:val="sk-SK"/>
              </w:rPr>
              <w:t>Súlad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európskym akčným plánom pre obehové hospodárstvo,</w:t>
            </w:r>
          </w:p>
          <w:p w14:paraId="75FC5563" w14:textId="77777777" w:rsidR="00326E55" w:rsidRPr="00326E55" w:rsidRDefault="00FB452D">
            <w:pPr>
              <w:pStyle w:val="P68B1DB1-Normal50"/>
              <w:numPr>
                <w:ilvl w:val="0"/>
                <w:numId w:val="138"/>
              </w:numPr>
              <w:spacing w:after="0" w:line="240" w:lineRule="auto"/>
              <w:ind w:left="780" w:firstLine="0"/>
              <w:textAlignment w:val="baseline"/>
              <w:rPr>
                <w:rFonts w:ascii="Times New Roman" w:hAnsi="Times New Roman"/>
                <w:noProof/>
                <w:spacing w:val="-6"/>
                <w:lang w:val="sk-SK"/>
              </w:rPr>
            </w:pPr>
            <w:r w:rsidRPr="00326E55">
              <w:rPr>
                <w:rFonts w:ascii="Times New Roman" w:hAnsi="Times New Roman"/>
                <w:noProof/>
                <w:spacing w:val="-6"/>
                <w:lang w:val="sk-SK"/>
              </w:rPr>
              <w:t>Očakávané zlepšenie cieľov recyklácie</w:t>
            </w:r>
          </w:p>
          <w:p w14:paraId="6F12FB85" w14:textId="77777777" w:rsidR="00326E55" w:rsidRPr="00326E55" w:rsidRDefault="00FB452D">
            <w:pPr>
              <w:pStyle w:val="P68B1DB1-Normal50"/>
              <w:numPr>
                <w:ilvl w:val="0"/>
                <w:numId w:val="139"/>
              </w:numPr>
              <w:spacing w:after="0" w:line="240" w:lineRule="auto"/>
              <w:ind w:left="780" w:firstLine="0"/>
              <w:textAlignment w:val="baseline"/>
              <w:rPr>
                <w:rFonts w:ascii="Times New Roman" w:hAnsi="Times New Roman"/>
                <w:noProof/>
                <w:spacing w:val="-6"/>
                <w:lang w:val="sk-SK"/>
              </w:rPr>
            </w:pPr>
            <w:r w:rsidRPr="00326E55">
              <w:rPr>
                <w:rFonts w:ascii="Times New Roman" w:hAnsi="Times New Roman"/>
                <w:noProof/>
                <w:spacing w:val="-6"/>
                <w:lang w:val="sk-SK"/>
              </w:rPr>
              <w:t>Súlad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regionálnymi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plánovacími nástrojmi,</w:t>
            </w:r>
          </w:p>
          <w:p w14:paraId="568795BC" w14:textId="77777777" w:rsidR="00326E55" w:rsidRPr="00326E55" w:rsidRDefault="00FB452D">
            <w:pPr>
              <w:pStyle w:val="P68B1DB1-Normal50"/>
              <w:numPr>
                <w:ilvl w:val="0"/>
                <w:numId w:val="140"/>
              </w:numPr>
              <w:spacing w:after="0" w:line="240" w:lineRule="auto"/>
              <w:ind w:left="780" w:firstLine="0"/>
              <w:textAlignment w:val="baseline"/>
              <w:rPr>
                <w:rFonts w:ascii="Times New Roman" w:hAnsi="Times New Roman"/>
                <w:noProof/>
                <w:spacing w:val="-6"/>
                <w:lang w:val="sk-SK"/>
              </w:rPr>
            </w:pPr>
            <w:r w:rsidRPr="00326E55">
              <w:rPr>
                <w:rFonts w:ascii="Times New Roman" w:hAnsi="Times New Roman"/>
                <w:noProof/>
                <w:spacing w:val="-6"/>
                <w:lang w:val="sk-SK"/>
              </w:rPr>
              <w:t>Prínos</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riešeniu porušení právnych </w:t>
            </w:r>
            <w:r w:rsidRPr="00326E55">
              <w:rPr>
                <w:rFonts w:ascii="Times New Roman" w:hAnsi="Times New Roman"/>
                <w:noProof/>
                <w:spacing w:val="-6"/>
                <w:lang w:val="sk-SK"/>
              </w:rPr>
              <w:t>predpisov EÚ, synergie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iným odvetvovým plánovaním (napr. PNIEC) a/alebo inými zložkami plánu, inovačné technológie založené na skúsenostiach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plnom rozsahu,</w:t>
            </w:r>
          </w:p>
          <w:p w14:paraId="30F07528" w14:textId="4648162D" w:rsidR="00326E55" w:rsidRPr="00326E55" w:rsidRDefault="00FB452D">
            <w:pPr>
              <w:pStyle w:val="P68B1DB1-Normal50"/>
              <w:numPr>
                <w:ilvl w:val="0"/>
                <w:numId w:val="141"/>
              </w:numPr>
              <w:spacing w:after="0" w:line="240" w:lineRule="auto"/>
              <w:ind w:left="780" w:firstLine="0"/>
              <w:textAlignment w:val="baseline"/>
              <w:rPr>
                <w:rFonts w:ascii="Times New Roman" w:hAnsi="Times New Roman"/>
                <w:noProof/>
                <w:spacing w:val="-6"/>
                <w:lang w:val="sk-SK"/>
              </w:rPr>
            </w:pPr>
            <w:r w:rsidRPr="00326E55">
              <w:rPr>
                <w:rFonts w:ascii="Times New Roman" w:hAnsi="Times New Roman"/>
                <w:noProof/>
                <w:spacing w:val="-6"/>
                <w:lang w:val="sk-SK"/>
              </w:rPr>
              <w:t>Technická kvalita návrhu</w:t>
            </w:r>
            <w:r w:rsidR="00326E55" w:rsidRPr="00326E55">
              <w:rPr>
                <w:rFonts w:ascii="Times New Roman" w:hAnsi="Times New Roman"/>
                <w:noProof/>
                <w:spacing w:val="-6"/>
                <w:lang w:val="sk-SK"/>
              </w:rPr>
              <w:t>.</w:t>
            </w:r>
          </w:p>
          <w:p w14:paraId="48546D38" w14:textId="77777777" w:rsidR="00326E55" w:rsidRPr="00326E55" w:rsidRDefault="00FB452D">
            <w:pPr>
              <w:pStyle w:val="P68B1DB1-Normal50"/>
              <w:numPr>
                <w:ilvl w:val="0"/>
                <w:numId w:val="142"/>
              </w:numPr>
              <w:spacing w:after="0" w:line="240" w:lineRule="auto"/>
              <w:ind w:left="780" w:firstLine="0"/>
              <w:textAlignment w:val="baseline"/>
              <w:rPr>
                <w:rFonts w:ascii="Times New Roman" w:hAnsi="Times New Roman"/>
                <w:noProof/>
                <w:spacing w:val="-6"/>
                <w:lang w:val="sk-SK"/>
              </w:rPr>
            </w:pPr>
            <w:r w:rsidRPr="00326E55">
              <w:rPr>
                <w:rFonts w:ascii="Times New Roman" w:hAnsi="Times New Roman"/>
                <w:noProof/>
                <w:spacing w:val="-6"/>
                <w:lang w:val="sk-SK"/>
              </w:rPr>
              <w:t>Súlad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komplementárnosť</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programami politiky súdržnosti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podobnými </w:t>
            </w:r>
            <w:r w:rsidRPr="00326E55">
              <w:rPr>
                <w:rFonts w:ascii="Times New Roman" w:hAnsi="Times New Roman"/>
                <w:noProof/>
                <w:spacing w:val="-6"/>
                <w:lang w:val="sk-SK"/>
              </w:rPr>
              <w:t>projektmi financovanými prostredníctvom iných nástrojov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vnútroštátnych nástrojov</w:t>
            </w:r>
          </w:p>
          <w:p w14:paraId="4218DB23" w14:textId="2A8841E3"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Intervencie nezahŕňajú investície do skládok, úložísk, mechanického biologického spracovania/mechanických čistiarní alebo spaľovní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zásadou „výrazne nenarušiť“</w:t>
            </w:r>
            <w:r w:rsidRPr="00326E55">
              <w:rPr>
                <w:rFonts w:ascii="Times New Roman" w:hAnsi="Times New Roman"/>
                <w:noProof/>
                <w:spacing w:val="-6"/>
                <w:lang w:val="sk-SK"/>
              </w:rPr>
              <w:t>. </w:t>
            </w:r>
          </w:p>
        </w:tc>
      </w:tr>
      <w:tr w:rsidR="00BF03AA" w:rsidRPr="00326E55" w14:paraId="02456C9D" w14:textId="77777777">
        <w:trPr>
          <w:trHeight w:val="300"/>
        </w:trPr>
        <w:tc>
          <w:tcPr>
            <w:tcW w:w="1131" w:type="dxa"/>
            <w:shd w:val="clear" w:color="auto" w:fill="C6EFCE"/>
            <w:vAlign w:val="center"/>
            <w:hideMark/>
          </w:tcPr>
          <w:p w14:paraId="44F35EB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15 </w:t>
            </w:r>
          </w:p>
        </w:tc>
        <w:tc>
          <w:tcPr>
            <w:tcW w:w="1418" w:type="dxa"/>
            <w:shd w:val="clear" w:color="auto" w:fill="C6EFCE"/>
            <w:vAlign w:val="center"/>
            <w:hideMark/>
          </w:tcPr>
          <w:p w14:paraId="32A7B97C" w14:textId="77777777" w:rsidR="00326E55"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Reforma 1.2</w:t>
            </w:r>
            <w:r w:rsidR="00326E55" w:rsidRPr="00326E55">
              <w:rPr>
                <w:rFonts w:ascii="Times New Roman" w:hAnsi="Times New Roman"/>
                <w:noProof/>
                <w:spacing w:val="-6"/>
                <w:lang w:val="sk-SK"/>
              </w:rPr>
              <w:t>:</w:t>
            </w:r>
          </w:p>
          <w:p w14:paraId="08AE2FAD" w14:textId="77777777" w:rsidR="00326E55"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Národný program odpadového hospodárstva</w:t>
            </w:r>
          </w:p>
          <w:p w14:paraId="1396687F" w14:textId="69EEC952" w:rsidR="00BF03AA" w:rsidRPr="00326E55" w:rsidRDefault="00FB452D">
            <w:pPr>
              <w:pStyle w:val="P68B1DB1-Normal49"/>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w:t>
            </w:r>
          </w:p>
        </w:tc>
        <w:tc>
          <w:tcPr>
            <w:tcW w:w="992" w:type="dxa"/>
            <w:shd w:val="clear" w:color="auto" w:fill="C6EFCE"/>
            <w:vAlign w:val="center"/>
            <w:hideMark/>
          </w:tcPr>
          <w:p w14:paraId="0C33987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326C0BC1" w14:textId="2347A32A"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Zníženie počtu nelegálnych skládok (T1) </w:t>
            </w:r>
          </w:p>
        </w:tc>
        <w:tc>
          <w:tcPr>
            <w:tcW w:w="1417" w:type="dxa"/>
            <w:shd w:val="clear" w:color="auto" w:fill="C6EFCE"/>
            <w:vAlign w:val="center"/>
            <w:hideMark/>
          </w:tcPr>
          <w:p w14:paraId="760BC9BF"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3D478E0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w:t>
            </w:r>
          </w:p>
        </w:tc>
        <w:tc>
          <w:tcPr>
            <w:tcW w:w="1276" w:type="dxa"/>
            <w:shd w:val="clear" w:color="auto" w:fill="C6EFCE"/>
            <w:vAlign w:val="center"/>
            <w:hideMark/>
          </w:tcPr>
          <w:p w14:paraId="7D20CD9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33 </w:t>
            </w:r>
          </w:p>
        </w:tc>
        <w:tc>
          <w:tcPr>
            <w:tcW w:w="992" w:type="dxa"/>
            <w:shd w:val="clear" w:color="auto" w:fill="C6EFCE"/>
            <w:vAlign w:val="center"/>
            <w:hideMark/>
          </w:tcPr>
          <w:p w14:paraId="6E7C811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11 </w:t>
            </w:r>
          </w:p>
        </w:tc>
        <w:tc>
          <w:tcPr>
            <w:tcW w:w="992" w:type="dxa"/>
            <w:shd w:val="clear" w:color="auto" w:fill="C6EFCE"/>
            <w:vAlign w:val="center"/>
            <w:hideMark/>
          </w:tcPr>
          <w:p w14:paraId="3970F17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91" w:type="dxa"/>
            <w:shd w:val="clear" w:color="auto" w:fill="C6EFCE"/>
            <w:vAlign w:val="center"/>
            <w:hideMark/>
          </w:tcPr>
          <w:p w14:paraId="3CEB9521"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2024 </w:t>
            </w:r>
          </w:p>
        </w:tc>
        <w:tc>
          <w:tcPr>
            <w:tcW w:w="3423" w:type="dxa"/>
            <w:shd w:val="clear" w:color="auto" w:fill="C6EFCE"/>
            <w:vAlign w:val="center"/>
            <w:hideMark/>
          </w:tcPr>
          <w:p w14:paraId="34C4F05A" w14:textId="054AAA01" w:rsidR="00BF03AA" w:rsidRPr="00326E55" w:rsidRDefault="00FB452D">
            <w:pPr>
              <w:pStyle w:val="P68B1DB1-Normal50"/>
              <w:spacing w:after="0" w:line="240" w:lineRule="auto"/>
              <w:jc w:val="both"/>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Zníženie počtu nelegálnych skládok zahrnutých do postupu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prípade nesplnenia povinnosti </w:t>
            </w:r>
            <w:r w:rsidRPr="00326E55">
              <w:rPr>
                <w:rFonts w:ascii="Times New Roman" w:hAnsi="Times New Roman"/>
                <w:noProof/>
                <w:spacing w:val="-6"/>
                <w:lang w:val="sk-SK"/>
              </w:rPr>
              <w:t>NIF 2003/2077</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33 na 11 (t. j. najmenej</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66</w:t>
            </w:r>
            <w:r w:rsidR="00326E55" w:rsidRPr="00326E55">
              <w:rPr>
                <w:rFonts w:ascii="Times New Roman" w:hAnsi="Times New Roman"/>
                <w:noProof/>
                <w:spacing w:val="-6"/>
                <w:lang w:val="sk-SK"/>
              </w:rPr>
              <w:t> %</w:t>
            </w:r>
            <w:r w:rsidRPr="00326E55">
              <w:rPr>
                <w:rFonts w:ascii="Times New Roman" w:hAnsi="Times New Roman"/>
                <w:noProof/>
                <w:spacing w:val="-6"/>
                <w:lang w:val="sk-SK"/>
              </w:rPr>
              <w:t>). </w:t>
            </w:r>
          </w:p>
        </w:tc>
      </w:tr>
      <w:tr w:rsidR="00BF03AA" w:rsidRPr="00326E55" w14:paraId="2518F62B" w14:textId="77777777">
        <w:trPr>
          <w:trHeight w:val="300"/>
        </w:trPr>
        <w:tc>
          <w:tcPr>
            <w:tcW w:w="1131" w:type="dxa"/>
            <w:shd w:val="clear" w:color="auto" w:fill="C6EFCE"/>
            <w:vAlign w:val="center"/>
            <w:hideMark/>
          </w:tcPr>
          <w:p w14:paraId="3C647430"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15bis </w:t>
            </w:r>
          </w:p>
        </w:tc>
        <w:tc>
          <w:tcPr>
            <w:tcW w:w="1418" w:type="dxa"/>
            <w:shd w:val="clear" w:color="auto" w:fill="C6EFCE"/>
            <w:vAlign w:val="center"/>
            <w:hideMark/>
          </w:tcPr>
          <w:p w14:paraId="3DCEC8AF" w14:textId="77777777" w:rsidR="00326E55"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Reforma 1.2</w:t>
            </w:r>
            <w:r w:rsidR="00326E55" w:rsidRPr="00326E55">
              <w:rPr>
                <w:rFonts w:ascii="Times New Roman" w:hAnsi="Times New Roman"/>
                <w:noProof/>
                <w:spacing w:val="-6"/>
                <w:lang w:val="sk-SK"/>
              </w:rPr>
              <w:t>:</w:t>
            </w:r>
          </w:p>
          <w:p w14:paraId="0C6A9520" w14:textId="678393ED"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Národný program odpadového hospodárstva: </w:t>
            </w:r>
          </w:p>
        </w:tc>
        <w:tc>
          <w:tcPr>
            <w:tcW w:w="992" w:type="dxa"/>
            <w:shd w:val="clear" w:color="auto" w:fill="C6EFCE"/>
            <w:vAlign w:val="center"/>
            <w:hideMark/>
          </w:tcPr>
          <w:p w14:paraId="6FE7A63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24E18C8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Zníženie počtu nelegálnych skládok (T2) </w:t>
            </w:r>
          </w:p>
        </w:tc>
        <w:tc>
          <w:tcPr>
            <w:tcW w:w="1417" w:type="dxa"/>
            <w:shd w:val="clear" w:color="auto" w:fill="C6EFCE"/>
            <w:vAlign w:val="center"/>
            <w:hideMark/>
          </w:tcPr>
          <w:p w14:paraId="7BD85E5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36A75CBC" w14:textId="77CC0E48"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Počet </w:t>
            </w:r>
          </w:p>
        </w:tc>
        <w:tc>
          <w:tcPr>
            <w:tcW w:w="1276" w:type="dxa"/>
            <w:shd w:val="clear" w:color="auto" w:fill="C6EFCE"/>
            <w:vAlign w:val="center"/>
            <w:hideMark/>
          </w:tcPr>
          <w:p w14:paraId="4D9D765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34 </w:t>
            </w:r>
          </w:p>
        </w:tc>
        <w:tc>
          <w:tcPr>
            <w:tcW w:w="992" w:type="dxa"/>
            <w:shd w:val="clear" w:color="auto" w:fill="C6EFCE"/>
            <w:vAlign w:val="center"/>
            <w:hideMark/>
          </w:tcPr>
          <w:p w14:paraId="2CD1732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14 </w:t>
            </w:r>
          </w:p>
        </w:tc>
        <w:tc>
          <w:tcPr>
            <w:tcW w:w="992" w:type="dxa"/>
            <w:shd w:val="clear" w:color="auto" w:fill="C6EFCE"/>
            <w:vAlign w:val="center"/>
            <w:hideMark/>
          </w:tcPr>
          <w:p w14:paraId="7A3B2B3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91" w:type="dxa"/>
            <w:shd w:val="clear" w:color="auto" w:fill="C6EFCE"/>
            <w:vAlign w:val="center"/>
            <w:hideMark/>
          </w:tcPr>
          <w:p w14:paraId="4AF659A3"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2023 </w:t>
            </w:r>
          </w:p>
        </w:tc>
        <w:tc>
          <w:tcPr>
            <w:tcW w:w="3423" w:type="dxa"/>
            <w:shd w:val="clear" w:color="auto" w:fill="C6EFCE"/>
            <w:vAlign w:val="center"/>
            <w:hideMark/>
          </w:tcPr>
          <w:p w14:paraId="67D9AEEF" w14:textId="729CEAE1"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Zníženie počtu nelegálnych skládok </w:t>
            </w:r>
            <w:r w:rsidRPr="00326E55">
              <w:rPr>
                <w:rFonts w:ascii="Times New Roman" w:hAnsi="Times New Roman"/>
                <w:noProof/>
                <w:spacing w:val="-6"/>
                <w:lang w:val="sk-SK"/>
              </w:rPr>
              <w:t>zahrnutých do postupu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nesplnenia povinnosti 2011/2215</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34 na 14 (t. j.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60</w:t>
            </w:r>
            <w:r w:rsidR="00326E55" w:rsidRPr="00326E55">
              <w:rPr>
                <w:rFonts w:ascii="Times New Roman" w:hAnsi="Times New Roman"/>
                <w:noProof/>
                <w:spacing w:val="-6"/>
                <w:lang w:val="sk-SK"/>
              </w:rPr>
              <w:t> %</w:t>
            </w:r>
            <w:r w:rsidRPr="00326E55">
              <w:rPr>
                <w:rFonts w:ascii="Times New Roman" w:hAnsi="Times New Roman"/>
                <w:noProof/>
                <w:spacing w:val="-6"/>
                <w:lang w:val="sk-SK"/>
              </w:rPr>
              <w:t>). </w:t>
            </w:r>
          </w:p>
        </w:tc>
      </w:tr>
      <w:tr w:rsidR="00BF03AA" w:rsidRPr="00326E55" w14:paraId="2D6C225D" w14:textId="77777777">
        <w:trPr>
          <w:trHeight w:val="300"/>
        </w:trPr>
        <w:tc>
          <w:tcPr>
            <w:tcW w:w="1131" w:type="dxa"/>
            <w:shd w:val="clear" w:color="auto" w:fill="C6EFCE"/>
            <w:vAlign w:val="center"/>
            <w:hideMark/>
          </w:tcPr>
          <w:p w14:paraId="49A8A650"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15ter </w:t>
            </w:r>
          </w:p>
        </w:tc>
        <w:tc>
          <w:tcPr>
            <w:tcW w:w="1418" w:type="dxa"/>
            <w:shd w:val="clear" w:color="auto" w:fill="C6EFCE"/>
            <w:vAlign w:val="center"/>
            <w:hideMark/>
          </w:tcPr>
          <w:p w14:paraId="66012AF8" w14:textId="70FCBD1D"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1.1 – Realizácia nových zariadení na 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modernizácia existujúcich zariadení </w:t>
            </w:r>
          </w:p>
        </w:tc>
        <w:tc>
          <w:tcPr>
            <w:tcW w:w="992" w:type="dxa"/>
            <w:shd w:val="clear" w:color="auto" w:fill="C6EFCE"/>
            <w:vAlign w:val="center"/>
            <w:hideMark/>
          </w:tcPr>
          <w:p w14:paraId="55DA591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34999264" w14:textId="07BD5D7E"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Zníženie regionálnych</w:t>
            </w:r>
            <w:r w:rsidRPr="00326E55">
              <w:rPr>
                <w:rFonts w:ascii="Times New Roman" w:hAnsi="Times New Roman"/>
                <w:noProof/>
                <w:spacing w:val="-6"/>
                <w:lang w:val="sk-SK"/>
              </w:rPr>
              <w:t xml:space="preserve"> rozdielov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triedenom zbere </w:t>
            </w:r>
          </w:p>
        </w:tc>
        <w:tc>
          <w:tcPr>
            <w:tcW w:w="1417" w:type="dxa"/>
            <w:shd w:val="clear" w:color="auto" w:fill="C6EFCE"/>
            <w:vAlign w:val="center"/>
            <w:hideMark/>
          </w:tcPr>
          <w:p w14:paraId="0291CC8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2E60852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Percentuálne body </w:t>
            </w:r>
          </w:p>
        </w:tc>
        <w:tc>
          <w:tcPr>
            <w:tcW w:w="1276" w:type="dxa"/>
            <w:shd w:val="clear" w:color="auto" w:fill="C6EFCE"/>
            <w:vAlign w:val="center"/>
            <w:hideMark/>
          </w:tcPr>
          <w:p w14:paraId="47E1EE4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22.8 </w:t>
            </w:r>
          </w:p>
        </w:tc>
        <w:tc>
          <w:tcPr>
            <w:tcW w:w="992" w:type="dxa"/>
            <w:shd w:val="clear" w:color="auto" w:fill="C6EFCE"/>
            <w:vAlign w:val="center"/>
            <w:hideMark/>
          </w:tcPr>
          <w:p w14:paraId="417F365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20 </w:t>
            </w:r>
          </w:p>
        </w:tc>
        <w:tc>
          <w:tcPr>
            <w:tcW w:w="992" w:type="dxa"/>
            <w:shd w:val="clear" w:color="auto" w:fill="C6EFCE"/>
            <w:vAlign w:val="center"/>
            <w:hideMark/>
          </w:tcPr>
          <w:p w14:paraId="4853AC6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91" w:type="dxa"/>
            <w:shd w:val="clear" w:color="auto" w:fill="C6EFCE"/>
            <w:vAlign w:val="center"/>
            <w:hideMark/>
          </w:tcPr>
          <w:p w14:paraId="4D0A93C2"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2023 </w:t>
            </w:r>
          </w:p>
        </w:tc>
        <w:tc>
          <w:tcPr>
            <w:tcW w:w="3423" w:type="dxa"/>
            <w:shd w:val="clear" w:color="auto" w:fill="C6EFCE"/>
            <w:vAlign w:val="center"/>
            <w:hideMark/>
          </w:tcPr>
          <w:p w14:paraId="29D3623A" w14:textId="53B08AB8"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Rozdiel medzi celoštátnym priemerom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regiónom</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najhoršími výsledkami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mierach triedeného zberu sa znižuje na 20 percentuálnych bodov. </w:t>
            </w:r>
          </w:p>
        </w:tc>
      </w:tr>
      <w:tr w:rsidR="00BF03AA" w:rsidRPr="00326E55" w14:paraId="4900FD9D" w14:textId="77777777">
        <w:trPr>
          <w:trHeight w:val="300"/>
        </w:trPr>
        <w:tc>
          <w:tcPr>
            <w:tcW w:w="1131" w:type="dxa"/>
            <w:shd w:val="clear" w:color="auto" w:fill="C6EFCE"/>
            <w:vAlign w:val="center"/>
            <w:hideMark/>
          </w:tcPr>
          <w:p w14:paraId="286F14B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15 kv. </w:t>
            </w:r>
          </w:p>
        </w:tc>
        <w:tc>
          <w:tcPr>
            <w:tcW w:w="1418" w:type="dxa"/>
            <w:shd w:val="clear" w:color="auto" w:fill="C6EFCE"/>
            <w:vAlign w:val="center"/>
            <w:hideMark/>
          </w:tcPr>
          <w:p w14:paraId="487A7C88" w14:textId="79CFC794"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1.1 – Realizácia nových zariadení na 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modernizácia existujúcich zariadení </w:t>
            </w:r>
          </w:p>
        </w:tc>
        <w:tc>
          <w:tcPr>
            <w:tcW w:w="992" w:type="dxa"/>
            <w:shd w:val="clear" w:color="auto" w:fill="C6EFCE"/>
            <w:vAlign w:val="center"/>
            <w:hideMark/>
          </w:tcPr>
          <w:p w14:paraId="1E08554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418" w:type="dxa"/>
            <w:shd w:val="clear" w:color="auto" w:fill="C6EFCE"/>
            <w:vAlign w:val="center"/>
            <w:hideMark/>
          </w:tcPr>
          <w:p w14:paraId="40BB9560"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Nadobudnutie účinnosti povinnosti triedeného zberu biologického odpadu </w:t>
            </w:r>
          </w:p>
        </w:tc>
        <w:tc>
          <w:tcPr>
            <w:tcW w:w="1417" w:type="dxa"/>
            <w:shd w:val="clear" w:color="auto" w:fill="C6EFCE"/>
            <w:vAlign w:val="center"/>
            <w:hideMark/>
          </w:tcPr>
          <w:p w14:paraId="775E59E4" w14:textId="7AF0C1CA"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w:t>
            </w:r>
          </w:p>
        </w:tc>
        <w:tc>
          <w:tcPr>
            <w:tcW w:w="1276" w:type="dxa"/>
            <w:shd w:val="clear" w:color="auto" w:fill="C6EFCE"/>
            <w:vAlign w:val="center"/>
            <w:hideMark/>
          </w:tcPr>
          <w:p w14:paraId="79AB6DBF"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409E243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0DDFEDC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62B1D40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91" w:type="dxa"/>
            <w:shd w:val="clear" w:color="auto" w:fill="C6EFCE"/>
            <w:vAlign w:val="center"/>
            <w:hideMark/>
          </w:tcPr>
          <w:p w14:paraId="5B208149"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2023 </w:t>
            </w:r>
          </w:p>
        </w:tc>
        <w:tc>
          <w:tcPr>
            <w:tcW w:w="3423" w:type="dxa"/>
            <w:shd w:val="clear" w:color="auto" w:fill="C6EFCE"/>
            <w:vAlign w:val="center"/>
            <w:hideMark/>
          </w:tcPr>
          <w:p w14:paraId="090CBED1" w14:textId="2204D58B"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Povinnosť triedeného zberu biologického odpadu začne fungovať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2023</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akčným plánom EÚ pre obehové hospodárstvo. </w:t>
            </w:r>
          </w:p>
        </w:tc>
      </w:tr>
      <w:tr w:rsidR="00BF03AA" w:rsidRPr="00326E55" w14:paraId="10C9A573" w14:textId="77777777">
        <w:trPr>
          <w:trHeight w:val="300"/>
        </w:trPr>
        <w:tc>
          <w:tcPr>
            <w:tcW w:w="1131" w:type="dxa"/>
            <w:shd w:val="clear" w:color="auto" w:fill="C6EFCE"/>
            <w:vAlign w:val="center"/>
            <w:hideMark/>
          </w:tcPr>
          <w:p w14:paraId="460E57E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16 </w:t>
            </w:r>
          </w:p>
        </w:tc>
        <w:tc>
          <w:tcPr>
            <w:tcW w:w="1418" w:type="dxa"/>
            <w:shd w:val="clear" w:color="auto" w:fill="C6EFCE"/>
            <w:vAlign w:val="center"/>
            <w:hideMark/>
          </w:tcPr>
          <w:p w14:paraId="2D630BD9" w14:textId="77777777" w:rsidR="00326E55"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Reforma 1.2</w:t>
            </w:r>
            <w:r w:rsidR="00326E55" w:rsidRPr="00326E55">
              <w:rPr>
                <w:rFonts w:ascii="Times New Roman" w:hAnsi="Times New Roman"/>
                <w:noProof/>
                <w:spacing w:val="-6"/>
                <w:lang w:val="sk-SK"/>
              </w:rPr>
              <w:t>:</w:t>
            </w:r>
          </w:p>
          <w:p w14:paraId="6F26474D" w14:textId="40F5B665"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Národný program odpadového hospodárstva </w:t>
            </w:r>
          </w:p>
        </w:tc>
        <w:tc>
          <w:tcPr>
            <w:tcW w:w="992" w:type="dxa"/>
            <w:shd w:val="clear" w:color="auto" w:fill="C6EFCE"/>
            <w:vAlign w:val="center"/>
            <w:hideMark/>
          </w:tcPr>
          <w:p w14:paraId="2A8A42E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153510A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Nelegálne </w:t>
            </w:r>
            <w:r w:rsidRPr="00326E55">
              <w:rPr>
                <w:rFonts w:ascii="Times New Roman" w:hAnsi="Times New Roman"/>
                <w:noProof/>
                <w:spacing w:val="-6"/>
                <w:lang w:val="sk-SK"/>
              </w:rPr>
              <w:t>skládky </w:t>
            </w:r>
          </w:p>
        </w:tc>
        <w:tc>
          <w:tcPr>
            <w:tcW w:w="1417" w:type="dxa"/>
            <w:shd w:val="clear" w:color="auto" w:fill="C6EFCE"/>
            <w:vAlign w:val="center"/>
            <w:hideMark/>
          </w:tcPr>
          <w:p w14:paraId="2FCC98C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570D05E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w:t>
            </w:r>
          </w:p>
        </w:tc>
        <w:tc>
          <w:tcPr>
            <w:tcW w:w="1276" w:type="dxa"/>
            <w:shd w:val="clear" w:color="auto" w:fill="C6EFCE"/>
            <w:vAlign w:val="center"/>
            <w:hideMark/>
          </w:tcPr>
          <w:p w14:paraId="29A7FD9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11 </w:t>
            </w:r>
          </w:p>
        </w:tc>
        <w:tc>
          <w:tcPr>
            <w:tcW w:w="992" w:type="dxa"/>
            <w:shd w:val="clear" w:color="auto" w:fill="C6EFCE"/>
            <w:vAlign w:val="center"/>
            <w:hideMark/>
          </w:tcPr>
          <w:p w14:paraId="2CB8EDD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992" w:type="dxa"/>
            <w:shd w:val="clear" w:color="auto" w:fill="C6EFCE"/>
            <w:vAlign w:val="center"/>
            <w:hideMark/>
          </w:tcPr>
          <w:p w14:paraId="4D8A06D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91" w:type="dxa"/>
            <w:shd w:val="clear" w:color="auto" w:fill="C6EFCE"/>
            <w:vAlign w:val="center"/>
            <w:hideMark/>
          </w:tcPr>
          <w:p w14:paraId="4335FC04"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2026 </w:t>
            </w:r>
          </w:p>
        </w:tc>
        <w:tc>
          <w:tcPr>
            <w:tcW w:w="3423" w:type="dxa"/>
            <w:shd w:val="clear" w:color="auto" w:fill="C6EFCE"/>
            <w:vAlign w:val="center"/>
            <w:hideMark/>
          </w:tcPr>
          <w:p w14:paraId="0911F3FB" w14:textId="0CF15926"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Zníženie počtu nelegálnych skládok zahrnutých do konania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porušení 2003/2077</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11 na 0. </w:t>
            </w:r>
          </w:p>
        </w:tc>
      </w:tr>
      <w:tr w:rsidR="00BF03AA" w:rsidRPr="00326E55" w14:paraId="083E0108" w14:textId="77777777">
        <w:trPr>
          <w:trHeight w:val="300"/>
        </w:trPr>
        <w:tc>
          <w:tcPr>
            <w:tcW w:w="1131" w:type="dxa"/>
            <w:shd w:val="clear" w:color="auto" w:fill="C6EFCE"/>
            <w:vAlign w:val="center"/>
            <w:hideMark/>
          </w:tcPr>
          <w:p w14:paraId="22DCE84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16bis </w:t>
            </w:r>
          </w:p>
        </w:tc>
        <w:tc>
          <w:tcPr>
            <w:tcW w:w="1418" w:type="dxa"/>
            <w:shd w:val="clear" w:color="auto" w:fill="C6EFCE"/>
            <w:vAlign w:val="center"/>
            <w:hideMark/>
          </w:tcPr>
          <w:p w14:paraId="28C9B716" w14:textId="77777777" w:rsidR="00326E55"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Reforma 1.2</w:t>
            </w:r>
            <w:r w:rsidR="00326E55" w:rsidRPr="00326E55">
              <w:rPr>
                <w:rFonts w:ascii="Times New Roman" w:hAnsi="Times New Roman"/>
                <w:noProof/>
                <w:spacing w:val="-6"/>
                <w:lang w:val="sk-SK"/>
              </w:rPr>
              <w:t>:</w:t>
            </w:r>
          </w:p>
          <w:p w14:paraId="73BDDF35" w14:textId="4BCA3E6D"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Národný program odpadového hospodárstva </w:t>
            </w:r>
          </w:p>
        </w:tc>
        <w:tc>
          <w:tcPr>
            <w:tcW w:w="992" w:type="dxa"/>
            <w:shd w:val="clear" w:color="auto" w:fill="C6EFCE"/>
            <w:vAlign w:val="center"/>
            <w:hideMark/>
          </w:tcPr>
          <w:p w14:paraId="5628EA9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7ABB8F5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Nelegálne skládky </w:t>
            </w:r>
          </w:p>
        </w:tc>
        <w:tc>
          <w:tcPr>
            <w:tcW w:w="1417" w:type="dxa"/>
            <w:shd w:val="clear" w:color="auto" w:fill="C6EFCE"/>
            <w:vAlign w:val="center"/>
            <w:hideMark/>
          </w:tcPr>
          <w:p w14:paraId="0876240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3751792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w:t>
            </w:r>
          </w:p>
        </w:tc>
        <w:tc>
          <w:tcPr>
            <w:tcW w:w="1276" w:type="dxa"/>
            <w:shd w:val="clear" w:color="auto" w:fill="C6EFCE"/>
            <w:vAlign w:val="center"/>
            <w:hideMark/>
          </w:tcPr>
          <w:p w14:paraId="4BA1F87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14 </w:t>
            </w:r>
          </w:p>
        </w:tc>
        <w:tc>
          <w:tcPr>
            <w:tcW w:w="992" w:type="dxa"/>
            <w:shd w:val="clear" w:color="auto" w:fill="C6EFCE"/>
            <w:vAlign w:val="center"/>
            <w:hideMark/>
          </w:tcPr>
          <w:p w14:paraId="1FC55CD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9 </w:t>
            </w:r>
          </w:p>
        </w:tc>
        <w:tc>
          <w:tcPr>
            <w:tcW w:w="992" w:type="dxa"/>
            <w:shd w:val="clear" w:color="auto" w:fill="C6EFCE"/>
            <w:vAlign w:val="center"/>
            <w:hideMark/>
          </w:tcPr>
          <w:p w14:paraId="7186C698"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91" w:type="dxa"/>
            <w:shd w:val="clear" w:color="auto" w:fill="C6EFCE"/>
            <w:vAlign w:val="center"/>
            <w:hideMark/>
          </w:tcPr>
          <w:p w14:paraId="5A7D9B0C"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2024 </w:t>
            </w:r>
          </w:p>
        </w:tc>
        <w:tc>
          <w:tcPr>
            <w:tcW w:w="3423" w:type="dxa"/>
            <w:shd w:val="clear" w:color="auto" w:fill="C6EFCE"/>
            <w:vAlign w:val="center"/>
            <w:hideMark/>
          </w:tcPr>
          <w:p w14:paraId="1FB1EF82" w14:textId="5671627C"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Zníženie počtu nelegálnych skládok zahrnutých do postupu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nesplnenia povinnosti 2011/2215 zo 14 na 9 (t. j. aspoň 75</w:t>
            </w:r>
            <w:r w:rsidR="00326E55" w:rsidRPr="00326E55">
              <w:rPr>
                <w:rFonts w:ascii="Times New Roman" w:hAnsi="Times New Roman"/>
                <w:noProof/>
                <w:spacing w:val="-6"/>
                <w:lang w:val="sk-SK"/>
              </w:rPr>
              <w:t> %</w:t>
            </w:r>
            <w:r w:rsidRPr="00326E55">
              <w:rPr>
                <w:rFonts w:ascii="Times New Roman" w:hAnsi="Times New Roman"/>
                <w:noProof/>
                <w:spacing w:val="-6"/>
                <w:lang w:val="sk-SK"/>
              </w:rPr>
              <w:t>) </w:t>
            </w:r>
          </w:p>
        </w:tc>
      </w:tr>
      <w:tr w:rsidR="00BF03AA" w:rsidRPr="00326E55" w14:paraId="535C9794" w14:textId="77777777">
        <w:trPr>
          <w:trHeight w:val="300"/>
        </w:trPr>
        <w:tc>
          <w:tcPr>
            <w:tcW w:w="1131" w:type="dxa"/>
            <w:shd w:val="clear" w:color="auto" w:fill="C6EFCE"/>
            <w:vAlign w:val="center"/>
            <w:hideMark/>
          </w:tcPr>
          <w:p w14:paraId="4DBA493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16ter </w:t>
            </w:r>
          </w:p>
        </w:tc>
        <w:tc>
          <w:tcPr>
            <w:tcW w:w="1418" w:type="dxa"/>
            <w:shd w:val="clear" w:color="auto" w:fill="C6EFCE"/>
            <w:vAlign w:val="center"/>
            <w:hideMark/>
          </w:tcPr>
          <w:p w14:paraId="1D67AE02" w14:textId="77777777" w:rsidR="00326E55" w:rsidRPr="00326E55" w:rsidRDefault="00326E55">
            <w:pPr>
              <w:pStyle w:val="P68B1DB1-Normal50"/>
              <w:spacing w:after="0" w:line="240" w:lineRule="auto"/>
              <w:jc w:val="center"/>
              <w:textAlignment w:val="baseline"/>
              <w:rPr>
                <w:rFonts w:ascii="Times New Roman" w:hAnsi="Times New Roman"/>
                <w:noProof/>
                <w:spacing w:val="-6"/>
                <w:lang w:val="sk-SK"/>
              </w:rPr>
            </w:pPr>
          </w:p>
          <w:p w14:paraId="2A65124B" w14:textId="34286315"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1.1 – Realizácia nových zariadení na 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modernizácia existujúcich zariadení </w:t>
            </w:r>
          </w:p>
        </w:tc>
        <w:tc>
          <w:tcPr>
            <w:tcW w:w="992" w:type="dxa"/>
            <w:shd w:val="clear" w:color="auto" w:fill="C6EFCE"/>
            <w:vAlign w:val="center"/>
            <w:hideMark/>
          </w:tcPr>
          <w:p w14:paraId="027B8C6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58C63E5B" w14:textId="25F0F27F"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Regionálne rozdiely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podieloch triedeného zberu </w:t>
            </w:r>
          </w:p>
        </w:tc>
        <w:tc>
          <w:tcPr>
            <w:tcW w:w="1417" w:type="dxa"/>
            <w:shd w:val="clear" w:color="auto" w:fill="C6EFCE"/>
            <w:vAlign w:val="center"/>
            <w:hideMark/>
          </w:tcPr>
          <w:p w14:paraId="48531B5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374C301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Percentuálne body </w:t>
            </w:r>
          </w:p>
        </w:tc>
        <w:tc>
          <w:tcPr>
            <w:tcW w:w="1276" w:type="dxa"/>
            <w:shd w:val="clear" w:color="auto" w:fill="C6EFCE"/>
            <w:vAlign w:val="center"/>
            <w:hideMark/>
          </w:tcPr>
          <w:p w14:paraId="00DCF21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28,4 </w:t>
            </w:r>
          </w:p>
        </w:tc>
        <w:tc>
          <w:tcPr>
            <w:tcW w:w="992" w:type="dxa"/>
            <w:shd w:val="clear" w:color="auto" w:fill="C6EFCE"/>
            <w:vAlign w:val="center"/>
            <w:hideMark/>
          </w:tcPr>
          <w:p w14:paraId="374118A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20 </w:t>
            </w:r>
          </w:p>
        </w:tc>
        <w:tc>
          <w:tcPr>
            <w:tcW w:w="992" w:type="dxa"/>
            <w:shd w:val="clear" w:color="auto" w:fill="C6EFCE"/>
            <w:vAlign w:val="center"/>
            <w:hideMark/>
          </w:tcPr>
          <w:p w14:paraId="575AA70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91" w:type="dxa"/>
            <w:shd w:val="clear" w:color="auto" w:fill="C6EFCE"/>
            <w:vAlign w:val="center"/>
            <w:hideMark/>
          </w:tcPr>
          <w:p w14:paraId="4BC6112E"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2024 </w:t>
            </w:r>
          </w:p>
        </w:tc>
        <w:tc>
          <w:tcPr>
            <w:tcW w:w="3423" w:type="dxa"/>
            <w:shd w:val="clear" w:color="auto" w:fill="C6EFCE"/>
            <w:vAlign w:val="center"/>
            <w:hideMark/>
          </w:tcPr>
          <w:p w14:paraId="7BEE1AA5" w14:textId="1EC1C988"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Rozdiel</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triedenom zbere odpadu medzi priemerom troch regiónov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najlepšími výsledkami (Veneto, </w:t>
            </w:r>
            <w:r w:rsidRPr="00326E55">
              <w:rPr>
                <w:rFonts w:ascii="Times New Roman" w:hAnsi="Times New Roman"/>
                <w:noProof/>
                <w:spacing w:val="-6"/>
                <w:lang w:val="sk-SK"/>
              </w:rPr>
              <w:t>Trentino, Sardegna)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priemerom regiónov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najhoršou výkonnosťou (Basilicata, Kalábria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Sicília) uvedeným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správe ISPRA za rok 2020 sa znižuje na 20 percentuálnych bodov</w:t>
            </w:r>
            <w:r w:rsidR="00326E55" w:rsidRPr="00326E55">
              <w:rPr>
                <w:rFonts w:ascii="Times New Roman" w:hAnsi="Times New Roman"/>
                <w:noProof/>
                <w:spacing w:val="-6"/>
                <w:lang w:val="sk-SK"/>
              </w:rPr>
              <w:t>.</w:t>
            </w:r>
          </w:p>
          <w:p w14:paraId="479251E5" w14:textId="107CC4D5"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Uspokojivé splnenie cieľa si vyžaduje aj zvýšenie národného priemeru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priemeru tro</w:t>
            </w:r>
            <w:r w:rsidRPr="00326E55">
              <w:rPr>
                <w:rFonts w:ascii="Times New Roman" w:hAnsi="Times New Roman"/>
                <w:noProof/>
                <w:spacing w:val="-6"/>
                <w:lang w:val="sk-SK"/>
              </w:rPr>
              <w:t>ch regiónov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najlepšími výsledkami uvedenými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správe ISPRA za rok 2020 (Veneto, Trentino, Sardegna),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triedený zber odpadu,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údajmi uvedenými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správe ISPRA za rok 2020. </w:t>
            </w:r>
          </w:p>
        </w:tc>
      </w:tr>
      <w:tr w:rsidR="00BF03AA" w:rsidRPr="00326E55" w14:paraId="5912E85C" w14:textId="77777777">
        <w:trPr>
          <w:trHeight w:val="300"/>
        </w:trPr>
        <w:tc>
          <w:tcPr>
            <w:tcW w:w="1131" w:type="dxa"/>
            <w:shd w:val="clear" w:color="auto" w:fill="C6EFCE"/>
            <w:vAlign w:val="center"/>
            <w:hideMark/>
          </w:tcPr>
          <w:p w14:paraId="124387F3" w14:textId="7777777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M2C1 – 16c </w:t>
            </w:r>
          </w:p>
        </w:tc>
        <w:tc>
          <w:tcPr>
            <w:tcW w:w="1418" w:type="dxa"/>
            <w:shd w:val="clear" w:color="auto" w:fill="C6EFCE"/>
            <w:vAlign w:val="center"/>
            <w:hideMark/>
          </w:tcPr>
          <w:p w14:paraId="500A41CE" w14:textId="77777777" w:rsidR="00326E55"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 xml:space="preserve">Investícia 1.1 – Realizácia nových zariadení </w:t>
            </w:r>
            <w:r w:rsidRPr="00326E55">
              <w:rPr>
                <w:rFonts w:ascii="Times New Roman" w:hAnsi="Times New Roman"/>
                <w:noProof/>
                <w:spacing w:val="-6"/>
                <w:lang w:val="sk-SK"/>
              </w:rPr>
              <w:t>na 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modernizácia existujúcich zariadení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„hlavné“ projekty obehového hospodárstva</w:t>
            </w:r>
          </w:p>
          <w:p w14:paraId="53C099AA" w14:textId="2D8B3202"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 </w:t>
            </w:r>
          </w:p>
        </w:tc>
        <w:tc>
          <w:tcPr>
            <w:tcW w:w="992" w:type="dxa"/>
            <w:shd w:val="clear" w:color="auto" w:fill="C6EFCE"/>
            <w:vAlign w:val="center"/>
            <w:hideMark/>
          </w:tcPr>
          <w:p w14:paraId="1ED3EC92" w14:textId="7777777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43276066" w14:textId="7777777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 Dokončené projekty </w:t>
            </w:r>
          </w:p>
        </w:tc>
        <w:tc>
          <w:tcPr>
            <w:tcW w:w="1417" w:type="dxa"/>
            <w:shd w:val="clear" w:color="auto" w:fill="C6EFCE"/>
            <w:vAlign w:val="center"/>
            <w:hideMark/>
          </w:tcPr>
          <w:p w14:paraId="58AA0E35" w14:textId="7777777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0EEFE957" w14:textId="7777777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 Počet </w:t>
            </w:r>
          </w:p>
        </w:tc>
        <w:tc>
          <w:tcPr>
            <w:tcW w:w="1276" w:type="dxa"/>
            <w:shd w:val="clear" w:color="auto" w:fill="C6EFCE"/>
            <w:vAlign w:val="center"/>
            <w:hideMark/>
          </w:tcPr>
          <w:p w14:paraId="24D7592B" w14:textId="7777777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0 </w:t>
            </w:r>
          </w:p>
        </w:tc>
        <w:tc>
          <w:tcPr>
            <w:tcW w:w="992" w:type="dxa"/>
            <w:shd w:val="clear" w:color="auto" w:fill="C6EFCE"/>
            <w:vAlign w:val="center"/>
            <w:hideMark/>
          </w:tcPr>
          <w:p w14:paraId="748480B0" w14:textId="7777777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584 </w:t>
            </w:r>
          </w:p>
        </w:tc>
        <w:tc>
          <w:tcPr>
            <w:tcW w:w="992" w:type="dxa"/>
            <w:shd w:val="clear" w:color="auto" w:fill="C6EFCE"/>
            <w:vAlign w:val="center"/>
            <w:hideMark/>
          </w:tcPr>
          <w:p w14:paraId="1A49D760" w14:textId="7777777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DRUHÝ ŠTVRŤROK </w:t>
            </w:r>
          </w:p>
        </w:tc>
        <w:tc>
          <w:tcPr>
            <w:tcW w:w="691" w:type="dxa"/>
            <w:shd w:val="clear" w:color="auto" w:fill="C6EFCE"/>
            <w:vAlign w:val="center"/>
            <w:hideMark/>
          </w:tcPr>
          <w:p w14:paraId="1DD84609" w14:textId="77777777" w:rsidR="00BF03AA"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2026 </w:t>
            </w:r>
          </w:p>
        </w:tc>
        <w:tc>
          <w:tcPr>
            <w:tcW w:w="3423" w:type="dxa"/>
            <w:shd w:val="clear" w:color="auto" w:fill="C6EFCE"/>
            <w:vAlign w:val="center"/>
            <w:hideMark/>
          </w:tcPr>
          <w:p w14:paraId="0D0377AD" w14:textId="6C6DDD03" w:rsidR="00BF03AA" w:rsidRPr="00326E55" w:rsidRDefault="00FB452D">
            <w:pPr>
              <w:pStyle w:val="P68B1DB1-Normal50"/>
              <w:spacing w:after="0" w:line="240" w:lineRule="auto"/>
              <w:jc w:val="both"/>
              <w:textAlignment w:val="baseline"/>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alebo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dodaní pre najmenej 584 </w:t>
            </w:r>
            <w:r w:rsidRPr="00326E55">
              <w:rPr>
                <w:rFonts w:ascii="Times New Roman" w:hAnsi="Times New Roman"/>
                <w:noProof/>
                <w:spacing w:val="-6"/>
                <w:lang w:val="sk-SK"/>
              </w:rPr>
              <w:t>projektov,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ktorých najmenej 90 sa týka projektov pre zariadenia na nakladanie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odpadmi.</w:t>
            </w:r>
          </w:p>
        </w:tc>
      </w:tr>
      <w:tr w:rsidR="00BF03AA" w:rsidRPr="00326E55" w14:paraId="0381B4C0" w14:textId="77777777">
        <w:trPr>
          <w:trHeight w:val="300"/>
        </w:trPr>
        <w:tc>
          <w:tcPr>
            <w:tcW w:w="1131" w:type="dxa"/>
            <w:shd w:val="clear" w:color="auto" w:fill="C6EFCE"/>
            <w:vAlign w:val="center"/>
            <w:hideMark/>
          </w:tcPr>
          <w:p w14:paraId="4568FA5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10 </w:t>
            </w:r>
          </w:p>
        </w:tc>
        <w:tc>
          <w:tcPr>
            <w:tcW w:w="1418" w:type="dxa"/>
            <w:shd w:val="clear" w:color="auto" w:fill="C6EFCE"/>
            <w:vAlign w:val="center"/>
            <w:hideMark/>
          </w:tcPr>
          <w:p w14:paraId="67580104" w14:textId="733A7173"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2.1: Logistický plán pre odvetvia agropotravinárstva, rybolovu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akvakultúry, lesného hospodárstva, kvetinárstva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škôlok </w:t>
            </w:r>
          </w:p>
        </w:tc>
        <w:tc>
          <w:tcPr>
            <w:tcW w:w="992" w:type="dxa"/>
            <w:shd w:val="clear" w:color="auto" w:fill="C6EFCE"/>
            <w:vAlign w:val="center"/>
            <w:hideMark/>
          </w:tcPr>
          <w:p w14:paraId="362BDF8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4C2A24AA" w14:textId="02A193A0"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Hmotné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nehmotné investície do agropotravinárstva, rybolovu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akvakultúry, lesného hospodárstva, kvetinárstva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škôlok. </w:t>
            </w:r>
          </w:p>
        </w:tc>
        <w:tc>
          <w:tcPr>
            <w:tcW w:w="1417" w:type="dxa"/>
            <w:shd w:val="clear" w:color="auto" w:fill="C6EFCE"/>
            <w:vAlign w:val="center"/>
            <w:hideMark/>
          </w:tcPr>
          <w:p w14:paraId="07CD6E9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6F177E3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w:t>
            </w:r>
          </w:p>
        </w:tc>
        <w:tc>
          <w:tcPr>
            <w:tcW w:w="1276" w:type="dxa"/>
            <w:shd w:val="clear" w:color="auto" w:fill="C6EFCE"/>
            <w:vAlign w:val="center"/>
            <w:hideMark/>
          </w:tcPr>
          <w:p w14:paraId="735250D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992" w:type="dxa"/>
            <w:shd w:val="clear" w:color="auto" w:fill="C6EFCE"/>
            <w:vAlign w:val="center"/>
            <w:hideMark/>
          </w:tcPr>
          <w:p w14:paraId="37F3EC9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72 </w:t>
            </w:r>
          </w:p>
        </w:tc>
        <w:tc>
          <w:tcPr>
            <w:tcW w:w="992" w:type="dxa"/>
            <w:shd w:val="clear" w:color="auto" w:fill="C6EFCE"/>
            <w:vAlign w:val="center"/>
            <w:hideMark/>
          </w:tcPr>
          <w:p w14:paraId="23C86EB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91" w:type="dxa"/>
            <w:shd w:val="clear" w:color="auto" w:fill="C6EFCE"/>
            <w:vAlign w:val="center"/>
            <w:hideMark/>
          </w:tcPr>
          <w:p w14:paraId="5B4D3B99"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2026 </w:t>
            </w:r>
          </w:p>
        </w:tc>
        <w:tc>
          <w:tcPr>
            <w:tcW w:w="3423" w:type="dxa"/>
            <w:shd w:val="clear" w:color="auto" w:fill="C6EFCE"/>
            <w:vAlign w:val="center"/>
            <w:hideMark/>
          </w:tcPr>
          <w:p w14:paraId="3CF44ED9" w14:textId="6D132979"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vyplnení alebo „osvedčenie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pravidelnom</w:t>
            </w:r>
            <w:r w:rsidRPr="00326E55">
              <w:rPr>
                <w:rFonts w:ascii="Times New Roman" w:hAnsi="Times New Roman"/>
                <w:i/>
                <w:noProof/>
                <w:spacing w:val="-6"/>
                <w:lang w:val="sk-SK"/>
              </w:rPr>
              <w:t>vykonávaní</w:t>
            </w:r>
            <w:r w:rsidRPr="00326E55">
              <w:rPr>
                <w:rFonts w:ascii="Times New Roman" w:hAnsi="Times New Roman"/>
                <w:noProof/>
                <w:spacing w:val="-6"/>
                <w:lang w:val="sk-SK"/>
              </w:rPr>
              <w:t xml:space="preserve">“ („Attestazione di regolare </w:t>
            </w:r>
            <w:r w:rsidRPr="00326E55">
              <w:rPr>
                <w:rFonts w:ascii="Times New Roman" w:hAnsi="Times New Roman"/>
                <w:noProof/>
                <w:spacing w:val="-6"/>
                <w:lang w:val="sk-SK"/>
              </w:rPr>
              <w:t>esecuzione“) pre najmenej 72 hmotných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nehmotných investícií do agropotravinárskeho sektora, rybolovu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akvakultúry, lesného hospodárstva, kvetinárstva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škôlok rastlín. </w:t>
            </w:r>
          </w:p>
        </w:tc>
      </w:tr>
      <w:tr w:rsidR="00BF03AA" w:rsidRPr="00326E55" w14:paraId="7CBA3C6C" w14:textId="77777777">
        <w:trPr>
          <w:trHeight w:val="300"/>
        </w:trPr>
        <w:tc>
          <w:tcPr>
            <w:tcW w:w="1131" w:type="dxa"/>
            <w:shd w:val="clear" w:color="auto" w:fill="C6EFCE"/>
            <w:vAlign w:val="center"/>
            <w:hideMark/>
          </w:tcPr>
          <w:p w14:paraId="3501504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18 </w:t>
            </w:r>
          </w:p>
        </w:tc>
        <w:tc>
          <w:tcPr>
            <w:tcW w:w="1418" w:type="dxa"/>
            <w:shd w:val="clear" w:color="auto" w:fill="C6EFCE"/>
            <w:vAlign w:val="center"/>
            <w:hideMark/>
          </w:tcPr>
          <w:p w14:paraId="0E7157D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3.1: Zelené ostrovy </w:t>
            </w:r>
          </w:p>
        </w:tc>
        <w:tc>
          <w:tcPr>
            <w:tcW w:w="992" w:type="dxa"/>
            <w:shd w:val="clear" w:color="auto" w:fill="C6EFCE"/>
            <w:vAlign w:val="center"/>
            <w:hideMark/>
          </w:tcPr>
          <w:p w14:paraId="2D436E6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418" w:type="dxa"/>
            <w:shd w:val="clear" w:color="auto" w:fill="C6EFCE"/>
            <w:vAlign w:val="center"/>
            <w:hideMark/>
          </w:tcPr>
          <w:p w14:paraId="0EEE5D9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nariadenia riaditeľa </w:t>
            </w:r>
          </w:p>
        </w:tc>
        <w:tc>
          <w:tcPr>
            <w:tcW w:w="1417" w:type="dxa"/>
            <w:shd w:val="clear" w:color="auto" w:fill="C6EFCE"/>
            <w:vAlign w:val="center"/>
            <w:hideMark/>
          </w:tcPr>
          <w:p w14:paraId="69889E2D" w14:textId="64B26689"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Ustanovenie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 </w:t>
            </w:r>
          </w:p>
        </w:tc>
        <w:tc>
          <w:tcPr>
            <w:tcW w:w="1276" w:type="dxa"/>
            <w:shd w:val="clear" w:color="auto" w:fill="C6EFCE"/>
            <w:vAlign w:val="center"/>
            <w:hideMark/>
          </w:tcPr>
          <w:p w14:paraId="3929130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77CB652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50F48E2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50FECAF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TRETÍ ŠTVRŤROK </w:t>
            </w:r>
          </w:p>
        </w:tc>
        <w:tc>
          <w:tcPr>
            <w:tcW w:w="691" w:type="dxa"/>
            <w:shd w:val="clear" w:color="auto" w:fill="C6EFCE"/>
            <w:vAlign w:val="center"/>
            <w:hideMark/>
          </w:tcPr>
          <w:p w14:paraId="59BDE456"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2022 </w:t>
            </w:r>
          </w:p>
        </w:tc>
        <w:tc>
          <w:tcPr>
            <w:tcW w:w="3423" w:type="dxa"/>
            <w:shd w:val="clear" w:color="auto" w:fill="C6EFCE"/>
            <w:vAlign w:val="center"/>
            <w:hideMark/>
          </w:tcPr>
          <w:p w14:paraId="4FC4CB68"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Riaditeľský dekrét schvaľuje poradie projektov, ktoré sa týkajú výsledkov verejného oznámenia. Výberové konanie zahŕňa</w:t>
            </w:r>
            <w:r w:rsidR="00326E55" w:rsidRPr="00326E55">
              <w:rPr>
                <w:rFonts w:ascii="Times New Roman" w:hAnsi="Times New Roman"/>
                <w:noProof/>
                <w:spacing w:val="-6"/>
                <w:lang w:val="sk-SK"/>
              </w:rPr>
              <w:t>:</w:t>
            </w:r>
          </w:p>
          <w:p w14:paraId="0DF1DFEB" w14:textId="7F9F15AF"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 xml:space="preserve">a) </w:t>
            </w:r>
            <w:r w:rsidRPr="00326E55">
              <w:rPr>
                <w:rFonts w:ascii="Times New Roman" w:hAnsi="Times New Roman"/>
                <w:noProof/>
                <w:spacing w:val="-6"/>
                <w:lang w:val="sk-SK"/>
              </w:rPr>
              <w:t>kritériá oprávnenosti, ktorými sa zabezpečuje, aby vybrané projekty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w:t>
            </w:r>
            <w:r w:rsidRPr="00326E55">
              <w:rPr>
                <w:rFonts w:ascii="Times New Roman" w:hAnsi="Times New Roman"/>
                <w:noProof/>
                <w:spacing w:val="-6"/>
                <w:lang w:val="sk-SK"/>
              </w:rPr>
              <w:t>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r w:rsidR="00326E55" w:rsidRPr="00326E55">
              <w:rPr>
                <w:rFonts w:ascii="Times New Roman" w:hAnsi="Times New Roman"/>
                <w:noProof/>
                <w:spacing w:val="-6"/>
                <w:lang w:val="sk-SK"/>
              </w:rPr>
              <w:t>.</w:t>
            </w:r>
          </w:p>
          <w:p w14:paraId="7C77FF89" w14:textId="5621F209" w:rsidR="00326E55" w:rsidRPr="00326E55" w:rsidRDefault="00FB452D">
            <w:pPr>
              <w:pStyle w:val="P68B1DB1-Normal53"/>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b) záväzok, že príspevok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podľa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musí predstavovať aspoň 37</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investície podp</w:t>
            </w:r>
            <w:r w:rsidRPr="00326E55">
              <w:rPr>
                <w:rFonts w:ascii="Times New Roman" w:hAnsi="Times New Roman"/>
                <w:noProof/>
                <w:spacing w:val="-6"/>
                <w:lang w:val="sk-SK"/>
              </w:rPr>
              <w:t>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w:t>
            </w:r>
          </w:p>
          <w:p w14:paraId="04AA8FC6" w14:textId="4BC21F21"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C) záväzok podávať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vykonávaní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polovici trvania schémy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ukončení schémy</w:t>
            </w:r>
            <w:r w:rsidR="00326E55" w:rsidRPr="00326E55">
              <w:rPr>
                <w:rFonts w:ascii="Times New Roman" w:hAnsi="Times New Roman"/>
                <w:noProof/>
                <w:spacing w:val="-6"/>
                <w:lang w:val="sk-SK"/>
              </w:rPr>
              <w:t>.</w:t>
            </w:r>
          </w:p>
          <w:p w14:paraId="0CD40142"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Možnými oblasťami intervencie sú</w:t>
            </w:r>
            <w:r w:rsidR="00326E55" w:rsidRPr="00326E55">
              <w:rPr>
                <w:rFonts w:ascii="Times New Roman" w:hAnsi="Times New Roman"/>
                <w:noProof/>
                <w:spacing w:val="-6"/>
                <w:lang w:val="sk-SK"/>
              </w:rPr>
              <w:t>:</w:t>
            </w:r>
          </w:p>
          <w:p w14:paraId="7C73E3BB" w14:textId="28A6B712"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integrované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certifikované obhospodarovanie agrolesníckeho dedičstva („aj p</w:t>
            </w:r>
            <w:r w:rsidRPr="00326E55">
              <w:rPr>
                <w:rFonts w:ascii="Times New Roman" w:hAnsi="Times New Roman"/>
                <w:noProof/>
                <w:spacing w:val="-6"/>
                <w:lang w:val="sk-SK"/>
              </w:rPr>
              <w:t>rostredníctvom výmeny kreditov pochádzajúcich zo zachytávania oxidu uhličitého, riadenia biodiverzity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certifikácie dodávateľského reťazca dreva“)</w:t>
            </w:r>
            <w:r w:rsidR="00326E55" w:rsidRPr="00326E55">
              <w:rPr>
                <w:rFonts w:ascii="Times New Roman" w:hAnsi="Times New Roman"/>
                <w:noProof/>
                <w:spacing w:val="-6"/>
                <w:lang w:val="sk-SK"/>
              </w:rPr>
              <w:t>;</w:t>
            </w:r>
          </w:p>
          <w:p w14:paraId="2F919A92" w14:textId="43F7CF09"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integrované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certifikované hospodárenie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w:t>
            </w:r>
            <w:r w:rsidR="00326E55" w:rsidRPr="00326E55">
              <w:rPr>
                <w:rFonts w:ascii="Times New Roman" w:hAnsi="Times New Roman"/>
                <w:noProof/>
                <w:spacing w:val="-6"/>
                <w:lang w:val="sk-SK"/>
              </w:rPr>
              <w:t>;</w:t>
            </w:r>
          </w:p>
          <w:p w14:paraId="5A863B44" w14:textId="4E0A8804"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výroba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miestnych obnoviteľných zdrojo</w:t>
            </w:r>
            <w:r w:rsidRPr="00326E55">
              <w:rPr>
                <w:rFonts w:ascii="Times New Roman" w:hAnsi="Times New Roman"/>
                <w:noProof/>
                <w:spacing w:val="-6"/>
                <w:lang w:val="sk-SK"/>
              </w:rPr>
              <w:t>v, ako sú mikrovodné elektrárne, biomasa, bioplyn, veterná energia, kogenerácia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biometán</w:t>
            </w:r>
            <w:r w:rsidR="00326E55" w:rsidRPr="00326E55">
              <w:rPr>
                <w:rFonts w:ascii="Times New Roman" w:hAnsi="Times New Roman"/>
                <w:noProof/>
                <w:spacing w:val="-6"/>
                <w:lang w:val="sk-SK"/>
              </w:rPr>
              <w:t>;</w:t>
            </w:r>
          </w:p>
          <w:p w14:paraId="10C4519A" w14:textId="77777777"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rozvoj udržateľného cestovného ruchu („schopnosť zlepšiť miestne produkty“)</w:t>
            </w:r>
            <w:r w:rsidR="00326E55" w:rsidRPr="00326E55">
              <w:rPr>
                <w:rFonts w:ascii="Times New Roman" w:hAnsi="Times New Roman"/>
                <w:noProof/>
                <w:spacing w:val="-6"/>
                <w:lang w:val="sk-SK"/>
              </w:rPr>
              <w:t>;</w:t>
            </w:r>
          </w:p>
          <w:p w14:paraId="4FD06252" w14:textId="34D0E9E4"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výstavba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udržateľné riadenie fondu budov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infraštruktúry modernej hory</w:t>
            </w:r>
            <w:r w:rsidR="00326E55" w:rsidRPr="00326E55">
              <w:rPr>
                <w:rFonts w:ascii="Times New Roman" w:hAnsi="Times New Roman"/>
                <w:noProof/>
                <w:spacing w:val="-6"/>
                <w:lang w:val="sk-SK"/>
              </w:rPr>
              <w:t>;</w:t>
            </w:r>
          </w:p>
          <w:p w14:paraId="4E83E5C4" w14:textId="439C5BD9"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 xml:space="preserve">energetická </w:t>
            </w:r>
            <w:r w:rsidRPr="00326E55">
              <w:rPr>
                <w:rFonts w:ascii="Times New Roman" w:hAnsi="Times New Roman"/>
                <w:noProof/>
                <w:spacing w:val="-6"/>
                <w:lang w:val="sk-SK"/>
              </w:rPr>
              <w:t>účinnosť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inteligentná integrácia zariadení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sietí</w:t>
            </w:r>
            <w:r w:rsidR="00326E55" w:rsidRPr="00326E55">
              <w:rPr>
                <w:rFonts w:ascii="Times New Roman" w:hAnsi="Times New Roman"/>
                <w:noProof/>
                <w:spacing w:val="-6"/>
                <w:lang w:val="sk-SK"/>
              </w:rPr>
              <w:t>;</w:t>
            </w:r>
          </w:p>
          <w:p w14:paraId="1D50071F" w14:textId="77777777"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udržateľný rozvoj výrobných činností (výroba bez odpadu)</w:t>
            </w:r>
            <w:r w:rsidR="00326E55" w:rsidRPr="00326E55">
              <w:rPr>
                <w:rFonts w:ascii="Times New Roman" w:hAnsi="Times New Roman"/>
                <w:noProof/>
                <w:spacing w:val="-6"/>
                <w:lang w:val="sk-SK"/>
              </w:rPr>
              <w:t>;</w:t>
            </w:r>
          </w:p>
          <w:p w14:paraId="567250BA" w14:textId="77777777"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integrácia služieb mobility</w:t>
            </w:r>
            <w:r w:rsidR="00326E55" w:rsidRPr="00326E55">
              <w:rPr>
                <w:rFonts w:ascii="Times New Roman" w:hAnsi="Times New Roman"/>
                <w:noProof/>
                <w:spacing w:val="-6"/>
                <w:lang w:val="sk-SK"/>
              </w:rPr>
              <w:t>;</w:t>
            </w:r>
          </w:p>
          <w:p w14:paraId="0B3A8465" w14:textId="34B62475" w:rsidR="00326E55" w:rsidRPr="00326E55" w:rsidRDefault="00FB452D">
            <w:pPr>
              <w:pStyle w:val="P68B1DB1-Normal50"/>
              <w:numPr>
                <w:ilvl w:val="0"/>
                <w:numId w:val="143"/>
              </w:numPr>
              <w:tabs>
                <w:tab w:val="clear" w:pos="720"/>
              </w:tabs>
              <w:spacing w:after="0" w:line="240" w:lineRule="auto"/>
              <w:ind w:left="163" w:firstLine="0"/>
              <w:textAlignment w:val="baseline"/>
              <w:rPr>
                <w:rFonts w:ascii="Times New Roman" w:hAnsi="Times New Roman"/>
                <w:noProof/>
                <w:spacing w:val="-6"/>
                <w:lang w:val="sk-SK"/>
              </w:rPr>
            </w:pPr>
            <w:r w:rsidRPr="00326E55">
              <w:rPr>
                <w:rFonts w:ascii="Times New Roman" w:hAnsi="Times New Roman"/>
                <w:noProof/>
                <w:spacing w:val="-6"/>
                <w:lang w:val="sk-SK"/>
              </w:rPr>
              <w:t>rozvoj udržateľného modelu poľnohospodárskeho podniku („ktorý je tiež energeticky nezávislý prostredníctvom výroby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využívania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odvetviach elektrickej energie, tepla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w:t>
            </w:r>
            <w:r w:rsidR="00326E55" w:rsidRPr="00326E55">
              <w:rPr>
                <w:rFonts w:ascii="Times New Roman" w:hAnsi="Times New Roman"/>
                <w:noProof/>
                <w:spacing w:val="-6"/>
                <w:lang w:val="sk-SK"/>
              </w:rPr>
              <w:t>.</w:t>
            </w:r>
          </w:p>
          <w:p w14:paraId="0CFDB94B" w14:textId="7837382B"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Biometán musí spĺňať kritériá udržateľnosti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úspor emisií skleníkových plynov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článkoch 29 až 31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pravidlá týkajúce sa biopalív založených na po</w:t>
            </w:r>
            <w:r w:rsidRPr="00326E55">
              <w:rPr>
                <w:rFonts w:ascii="Times New Roman" w:hAnsi="Times New Roman"/>
                <w:noProof/>
                <w:spacing w:val="-6"/>
                <w:lang w:val="sk-SK"/>
              </w:rPr>
              <w:t>travinách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krmivách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26 smernice (EÚ) 2018/2001</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energii</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(REDII)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súvisiacich vykonávacích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delegovaných aktoch, aby opatrenie mohlo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zásadou „nespôsobovať významnú škodu“</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príslušnými požiada</w:t>
            </w:r>
            <w:r w:rsidRPr="00326E55">
              <w:rPr>
                <w:rFonts w:ascii="Times New Roman" w:hAnsi="Times New Roman"/>
                <w:noProof/>
                <w:spacing w:val="-6"/>
                <w:lang w:val="sk-SK"/>
              </w:rPr>
              <w:t xml:space="preserve">vkami poznámky pod čiarou </w:t>
            </w:r>
            <w:r w:rsidR="00326E55" w:rsidRPr="00326E55">
              <w:rPr>
                <w:rFonts w:ascii="Times New Roman" w:hAnsi="Times New Roman"/>
                <w:noProof/>
                <w:spacing w:val="-6"/>
                <w:lang w:val="sk-SK"/>
              </w:rPr>
              <w:t>č. </w:t>
            </w:r>
            <w:r w:rsidRPr="00326E55">
              <w:rPr>
                <w:rFonts w:ascii="Times New Roman" w:hAnsi="Times New Roman"/>
                <w:noProof/>
                <w:spacing w:val="-6"/>
                <w:lang w:val="sk-SK"/>
              </w:rPr>
              <w:t>8 prílohy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w:t>
            </w:r>
          </w:p>
        </w:tc>
      </w:tr>
      <w:tr w:rsidR="00BF03AA" w:rsidRPr="00326E55" w14:paraId="58B7B3F9" w14:textId="77777777">
        <w:trPr>
          <w:trHeight w:val="300"/>
        </w:trPr>
        <w:tc>
          <w:tcPr>
            <w:tcW w:w="1131" w:type="dxa"/>
            <w:shd w:val="clear" w:color="auto" w:fill="C6EFCE"/>
            <w:vAlign w:val="center"/>
            <w:hideMark/>
          </w:tcPr>
          <w:p w14:paraId="0FACF4B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19 </w:t>
            </w:r>
          </w:p>
        </w:tc>
        <w:tc>
          <w:tcPr>
            <w:tcW w:w="1418" w:type="dxa"/>
            <w:shd w:val="clear" w:color="auto" w:fill="C6EFCE"/>
            <w:vAlign w:val="center"/>
            <w:hideMark/>
          </w:tcPr>
          <w:p w14:paraId="7934151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3.1: Zelené ostrovy </w:t>
            </w:r>
          </w:p>
        </w:tc>
        <w:tc>
          <w:tcPr>
            <w:tcW w:w="992" w:type="dxa"/>
            <w:shd w:val="clear" w:color="auto" w:fill="C6EFCE"/>
            <w:vAlign w:val="center"/>
            <w:hideMark/>
          </w:tcPr>
          <w:p w14:paraId="5E194D8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0BBFDC6F"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Realizácia integrovaných projektov na malých ostrovoch </w:t>
            </w:r>
          </w:p>
        </w:tc>
        <w:tc>
          <w:tcPr>
            <w:tcW w:w="1417" w:type="dxa"/>
            <w:shd w:val="clear" w:color="auto" w:fill="C6EFCE"/>
            <w:vAlign w:val="center"/>
            <w:hideMark/>
          </w:tcPr>
          <w:p w14:paraId="5A783E2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51F44D7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malých ostrovov </w:t>
            </w:r>
          </w:p>
        </w:tc>
        <w:tc>
          <w:tcPr>
            <w:tcW w:w="1276" w:type="dxa"/>
            <w:shd w:val="clear" w:color="auto" w:fill="C6EFCE"/>
            <w:vAlign w:val="center"/>
            <w:hideMark/>
          </w:tcPr>
          <w:p w14:paraId="244D4B3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992" w:type="dxa"/>
            <w:shd w:val="clear" w:color="auto" w:fill="C6EFCE"/>
            <w:vAlign w:val="center"/>
            <w:hideMark/>
          </w:tcPr>
          <w:p w14:paraId="444A52A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19 </w:t>
            </w:r>
          </w:p>
        </w:tc>
        <w:tc>
          <w:tcPr>
            <w:tcW w:w="992" w:type="dxa"/>
            <w:shd w:val="clear" w:color="auto" w:fill="C6EFCE"/>
            <w:vAlign w:val="center"/>
            <w:hideMark/>
          </w:tcPr>
          <w:p w14:paraId="725248F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91" w:type="dxa"/>
            <w:shd w:val="clear" w:color="auto" w:fill="C6EFCE"/>
            <w:vAlign w:val="center"/>
            <w:hideMark/>
          </w:tcPr>
          <w:p w14:paraId="59C69D5F"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2026 </w:t>
            </w:r>
          </w:p>
        </w:tc>
        <w:tc>
          <w:tcPr>
            <w:tcW w:w="3423" w:type="dxa"/>
            <w:shd w:val="clear" w:color="auto" w:fill="C6EFCE"/>
            <w:vAlign w:val="center"/>
            <w:hideMark/>
          </w:tcPr>
          <w:p w14:paraId="1725BC1D" w14:textId="66BF009B"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integrovaných projektov na 19 malých ostrovoch, ktoré zahŕňajú aspoň tri rôzne typy intervencií spomedzi oprávnených intervencií uvedených ďalej</w:t>
            </w:r>
            <w:r w:rsidR="00326E55" w:rsidRPr="00326E55">
              <w:rPr>
                <w:rFonts w:ascii="Times New Roman" w:hAnsi="Times New Roman"/>
                <w:noProof/>
                <w:spacing w:val="-6"/>
                <w:lang w:val="sk-SK"/>
              </w:rPr>
              <w:t>.</w:t>
            </w:r>
          </w:p>
          <w:p w14:paraId="21E94395" w14:textId="7777777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Oprávnené intervencie na financovanie sú</w:t>
            </w:r>
            <w:r w:rsidR="00326E55" w:rsidRPr="00326E55">
              <w:rPr>
                <w:rFonts w:ascii="Times New Roman" w:hAnsi="Times New Roman"/>
                <w:noProof/>
                <w:spacing w:val="-6"/>
                <w:lang w:val="sk-SK"/>
              </w:rPr>
              <w:t>:</w:t>
            </w:r>
          </w:p>
          <w:p w14:paraId="7A3706EA" w14:textId="4F5B1137"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energetickej efektívnosti</w:t>
            </w:r>
            <w:r w:rsidR="00326E55" w:rsidRPr="00326E55">
              <w:rPr>
                <w:rFonts w:ascii="Times New Roman" w:hAnsi="Times New Roman"/>
                <w:noProof/>
                <w:spacing w:val="-6"/>
                <w:lang w:val="sk-SK"/>
              </w:rPr>
              <w:t>;</w:t>
            </w:r>
          </w:p>
          <w:p w14:paraId="2D53C520" w14:textId="2FCF8AA8"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vytv</w:t>
            </w:r>
            <w:r w:rsidRPr="00326E55">
              <w:rPr>
                <w:rFonts w:ascii="Times New Roman" w:hAnsi="Times New Roman"/>
                <w:noProof/>
                <w:spacing w:val="-6"/>
                <w:lang w:val="sk-SK"/>
              </w:rPr>
              <w:t>áranie a/alebo zlepšovanie služieb kolektívnej mobility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nabíjacej infraštruktúry; autobusy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člny poháňané elektrickou energiou; útulky pre služby verejnej dopravy; spoločné využívanie automobilov, spoločné využívanie bicyklov, spoločné využívanie kolobe</w:t>
            </w:r>
            <w:r w:rsidRPr="00326E55">
              <w:rPr>
                <w:rFonts w:ascii="Times New Roman" w:hAnsi="Times New Roman"/>
                <w:noProof/>
                <w:spacing w:val="-6"/>
                <w:lang w:val="sk-SK"/>
              </w:rPr>
              <w:t>žiek</w:t>
            </w:r>
            <w:r w:rsidR="00326E55" w:rsidRPr="00326E55">
              <w:rPr>
                <w:rFonts w:ascii="Times New Roman" w:hAnsi="Times New Roman"/>
                <w:noProof/>
                <w:spacing w:val="-6"/>
                <w:lang w:val="sk-SK"/>
              </w:rPr>
              <w:t>;</w:t>
            </w:r>
          </w:p>
          <w:p w14:paraId="745F9CE6" w14:textId="77777777"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výstavba a/alebo prispôsobenie cyklistických trás, výstavba chránených oblastí</w:t>
            </w:r>
            <w:r w:rsidR="00326E55" w:rsidRPr="00326E55">
              <w:rPr>
                <w:rFonts w:ascii="Times New Roman" w:hAnsi="Times New Roman"/>
                <w:noProof/>
                <w:spacing w:val="-6"/>
                <w:lang w:val="sk-SK"/>
              </w:rPr>
              <w:t>;</w:t>
            </w:r>
          </w:p>
          <w:p w14:paraId="5D72B334" w14:textId="1EAC395C"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triedený zber</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vylepšením systémov zberu</w:t>
            </w:r>
            <w:r w:rsidR="00326E55" w:rsidRPr="00326E55">
              <w:rPr>
                <w:rFonts w:ascii="Times New Roman" w:hAnsi="Times New Roman"/>
                <w:noProof/>
                <w:spacing w:val="-6"/>
                <w:lang w:val="sk-SK"/>
              </w:rPr>
              <w:t>;</w:t>
            </w:r>
          </w:p>
          <w:p w14:paraId="1E160103" w14:textId="2444D913"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výstavba/modernizácia ekologických ostrovov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pridruženým centrom opätovného použitia</w:t>
            </w:r>
            <w:r w:rsidR="00326E55" w:rsidRPr="00326E55">
              <w:rPr>
                <w:rFonts w:ascii="Times New Roman" w:hAnsi="Times New Roman"/>
                <w:noProof/>
                <w:spacing w:val="-6"/>
                <w:lang w:val="sk-SK"/>
              </w:rPr>
              <w:t>;</w:t>
            </w:r>
          </w:p>
          <w:p w14:paraId="7FD9001C" w14:textId="77777777"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odsoľovacie systémy</w:t>
            </w:r>
            <w:r w:rsidR="00326E55" w:rsidRPr="00326E55">
              <w:rPr>
                <w:rFonts w:ascii="Times New Roman" w:hAnsi="Times New Roman"/>
                <w:noProof/>
                <w:spacing w:val="-6"/>
                <w:lang w:val="sk-SK"/>
              </w:rPr>
              <w:t>;</w:t>
            </w:r>
          </w:p>
          <w:p w14:paraId="15E4EAA7" w14:textId="5C8BB0F3"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zariadenia na výrob</w:t>
            </w:r>
            <w:r w:rsidRPr="00326E55">
              <w:rPr>
                <w:rFonts w:ascii="Times New Roman" w:hAnsi="Times New Roman"/>
                <w:noProof/>
                <w:spacing w:val="-6"/>
                <w:lang w:val="sk-SK"/>
              </w:rPr>
              <w:t>u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ktoré môžu okrem iného zahŕňať fotovoltickú, veternú energiu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na mori alebo na mori (napríklad energia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vĺn alebo prílivu)</w:t>
            </w:r>
            <w:r w:rsidR="00326E55" w:rsidRPr="00326E55">
              <w:rPr>
                <w:rFonts w:ascii="Times New Roman" w:hAnsi="Times New Roman"/>
                <w:noProof/>
                <w:spacing w:val="-6"/>
                <w:lang w:val="sk-SK"/>
              </w:rPr>
              <w:t>;</w:t>
            </w:r>
          </w:p>
          <w:p w14:paraId="5CE89AAF" w14:textId="77777777"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opatrenia energetickej efektívnosti zamerané na zníženie dopytu po elektr</w:t>
            </w:r>
            <w:r w:rsidRPr="00326E55">
              <w:rPr>
                <w:rFonts w:ascii="Times New Roman" w:hAnsi="Times New Roman"/>
                <w:noProof/>
                <w:spacing w:val="-6"/>
                <w:lang w:val="sk-SK"/>
              </w:rPr>
              <w:t>ickej energii</w:t>
            </w:r>
            <w:r w:rsidR="00326E55" w:rsidRPr="00326E55">
              <w:rPr>
                <w:rFonts w:ascii="Times New Roman" w:hAnsi="Times New Roman"/>
                <w:noProof/>
                <w:spacing w:val="-6"/>
                <w:lang w:val="sk-SK"/>
              </w:rPr>
              <w:t>;</w:t>
            </w:r>
          </w:p>
          <w:p w14:paraId="762085BE" w14:textId="54CC0F4A" w:rsidR="00BF03AA"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intervencie týkajúce sa elektrizačnej sústavy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súvisiacej infraštruktúry, ktoré môžu okrem iného zahŕňať integráciu elektrizačnej sústavy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vodovodným systémom ostrova, inteligentné siete, inovačné energetické riadenie alebo monitorovacie </w:t>
            </w:r>
            <w:r w:rsidRPr="00326E55">
              <w:rPr>
                <w:rFonts w:ascii="Times New Roman" w:hAnsi="Times New Roman"/>
                <w:noProof/>
                <w:spacing w:val="-6"/>
                <w:lang w:val="sk-SK"/>
              </w:rPr>
              <w:t>systémy. </w:t>
            </w:r>
          </w:p>
        </w:tc>
      </w:tr>
      <w:tr w:rsidR="00BF03AA" w:rsidRPr="00326E55" w14:paraId="4C79B7B7" w14:textId="77777777">
        <w:trPr>
          <w:trHeight w:val="300"/>
        </w:trPr>
        <w:tc>
          <w:tcPr>
            <w:tcW w:w="1131" w:type="dxa"/>
            <w:shd w:val="clear" w:color="auto" w:fill="C6EFCE"/>
            <w:vAlign w:val="center"/>
            <w:hideMark/>
          </w:tcPr>
          <w:p w14:paraId="1A802B4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20 </w:t>
            </w:r>
          </w:p>
        </w:tc>
        <w:tc>
          <w:tcPr>
            <w:tcW w:w="1418" w:type="dxa"/>
            <w:shd w:val="clear" w:color="auto" w:fill="C6EFCE"/>
            <w:vAlign w:val="center"/>
            <w:hideMark/>
          </w:tcPr>
          <w:p w14:paraId="420A0CA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3.2: Zelené spoločenstvá </w:t>
            </w:r>
          </w:p>
        </w:tc>
        <w:tc>
          <w:tcPr>
            <w:tcW w:w="992" w:type="dxa"/>
            <w:shd w:val="clear" w:color="auto" w:fill="C6EFCE"/>
            <w:vAlign w:val="center"/>
            <w:hideMark/>
          </w:tcPr>
          <w:p w14:paraId="1693464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418" w:type="dxa"/>
            <w:shd w:val="clear" w:color="auto" w:fill="C6EFCE"/>
            <w:vAlign w:val="center"/>
            <w:hideMark/>
          </w:tcPr>
          <w:p w14:paraId="2AFC81DD" w14:textId="50C19AFB"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Zadávanie (všetkých) verejných zákaziek na výber zelených spoločenstiev </w:t>
            </w:r>
          </w:p>
        </w:tc>
        <w:tc>
          <w:tcPr>
            <w:tcW w:w="1417" w:type="dxa"/>
            <w:shd w:val="clear" w:color="auto" w:fill="C6EFCE"/>
            <w:vAlign w:val="center"/>
            <w:hideMark/>
          </w:tcPr>
          <w:p w14:paraId="340ED43A" w14:textId="05ABD2F9"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výber zelených spoločenstiev </w:t>
            </w:r>
          </w:p>
        </w:tc>
        <w:tc>
          <w:tcPr>
            <w:tcW w:w="1276" w:type="dxa"/>
            <w:shd w:val="clear" w:color="auto" w:fill="C6EFCE"/>
            <w:vAlign w:val="center"/>
            <w:hideMark/>
          </w:tcPr>
          <w:p w14:paraId="37F07FD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20658C50"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72C4A2C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7CA6156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TRETÍ ŠTVRŤROK </w:t>
            </w:r>
          </w:p>
        </w:tc>
        <w:tc>
          <w:tcPr>
            <w:tcW w:w="691" w:type="dxa"/>
            <w:shd w:val="clear" w:color="auto" w:fill="C6EFCE"/>
            <w:vAlign w:val="center"/>
            <w:hideMark/>
          </w:tcPr>
          <w:p w14:paraId="0A8FA0D5"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2022 </w:t>
            </w:r>
          </w:p>
        </w:tc>
        <w:tc>
          <w:tcPr>
            <w:tcW w:w="3423" w:type="dxa"/>
            <w:shd w:val="clear" w:color="auto" w:fill="C6EFCE"/>
            <w:vAlign w:val="center"/>
            <w:hideMark/>
          </w:tcPr>
          <w:p w14:paraId="4319B676" w14:textId="03D12134"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Notifikácia postupu udeľovania grantov, ktorý by mal zahŕňať kritériá oprávnenosti, ktorými sa zabezpečí, aby vybrané projekty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w:t>
            </w:r>
            <w:r w:rsidRPr="00326E55">
              <w:rPr>
                <w:rFonts w:ascii="Times New Roman" w:hAnsi="Times New Roman"/>
                <w:noProof/>
                <w:spacing w:val="-6"/>
                <w:lang w:val="sk-SK"/>
              </w:rPr>
              <w:t>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 </w:t>
            </w:r>
          </w:p>
        </w:tc>
      </w:tr>
      <w:tr w:rsidR="00BF03AA" w:rsidRPr="00326E55" w14:paraId="55CCFAC1" w14:textId="77777777">
        <w:trPr>
          <w:trHeight w:val="300"/>
        </w:trPr>
        <w:tc>
          <w:tcPr>
            <w:tcW w:w="1131" w:type="dxa"/>
            <w:shd w:val="clear" w:color="auto" w:fill="C6EFCE"/>
            <w:vAlign w:val="center"/>
            <w:hideMark/>
          </w:tcPr>
          <w:p w14:paraId="7489C21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21 </w:t>
            </w:r>
          </w:p>
        </w:tc>
        <w:tc>
          <w:tcPr>
            <w:tcW w:w="1418" w:type="dxa"/>
            <w:shd w:val="clear" w:color="auto" w:fill="C6EFCE"/>
            <w:vAlign w:val="center"/>
            <w:hideMark/>
          </w:tcPr>
          <w:p w14:paraId="63E6F72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3.2: Zelené spoločenstvá </w:t>
            </w:r>
          </w:p>
        </w:tc>
        <w:tc>
          <w:tcPr>
            <w:tcW w:w="992" w:type="dxa"/>
            <w:shd w:val="clear" w:color="auto" w:fill="C6EFCE"/>
            <w:vAlign w:val="center"/>
            <w:hideMark/>
          </w:tcPr>
          <w:p w14:paraId="2EA5032A" w14:textId="365F2140"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w:t>
            </w:r>
          </w:p>
        </w:tc>
        <w:tc>
          <w:tcPr>
            <w:tcW w:w="1418" w:type="dxa"/>
            <w:shd w:val="clear" w:color="auto" w:fill="C6EFCE"/>
            <w:vAlign w:val="center"/>
            <w:hideMark/>
          </w:tcPr>
          <w:p w14:paraId="0B77343C" w14:textId="44944976"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Projekty dokončené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zelených spoločenstvách</w:t>
            </w:r>
          </w:p>
        </w:tc>
        <w:tc>
          <w:tcPr>
            <w:tcW w:w="1417" w:type="dxa"/>
            <w:shd w:val="clear" w:color="auto" w:fill="C6EFCE"/>
            <w:vAlign w:val="center"/>
            <w:hideMark/>
          </w:tcPr>
          <w:p w14:paraId="771B8A54"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7696C2FB" w14:textId="5D044DEB"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Počet projektov</w:t>
            </w:r>
          </w:p>
        </w:tc>
        <w:tc>
          <w:tcPr>
            <w:tcW w:w="1276" w:type="dxa"/>
            <w:shd w:val="clear" w:color="auto" w:fill="C6EFCE"/>
            <w:vAlign w:val="center"/>
            <w:hideMark/>
          </w:tcPr>
          <w:p w14:paraId="10C30AC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992" w:type="dxa"/>
            <w:shd w:val="clear" w:color="auto" w:fill="C6EFCE"/>
            <w:vAlign w:val="center"/>
            <w:hideMark/>
          </w:tcPr>
          <w:p w14:paraId="25821871" w14:textId="092E0AD0"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410</w:t>
            </w:r>
          </w:p>
        </w:tc>
        <w:tc>
          <w:tcPr>
            <w:tcW w:w="992" w:type="dxa"/>
            <w:shd w:val="clear" w:color="auto" w:fill="C6EFCE"/>
            <w:vAlign w:val="center"/>
            <w:hideMark/>
          </w:tcPr>
          <w:p w14:paraId="0AF062D9" w14:textId="46618A41"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w:t>
            </w:r>
          </w:p>
        </w:tc>
        <w:tc>
          <w:tcPr>
            <w:tcW w:w="691" w:type="dxa"/>
            <w:shd w:val="clear" w:color="auto" w:fill="C6EFCE"/>
            <w:vAlign w:val="center"/>
            <w:hideMark/>
          </w:tcPr>
          <w:p w14:paraId="430CD05C" w14:textId="2701BE66"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2026</w:t>
            </w:r>
          </w:p>
        </w:tc>
        <w:tc>
          <w:tcPr>
            <w:tcW w:w="3423" w:type="dxa"/>
            <w:shd w:val="clear" w:color="auto" w:fill="C6EFCE"/>
            <w:vAlign w:val="center"/>
            <w:hideMark/>
          </w:tcPr>
          <w:p w14:paraId="01E81F6B" w14:textId="48991537"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Dokončenie najmenej 410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zelených spoločenstvách potvrdené týmito osvedčeniami</w:t>
            </w:r>
            <w:r w:rsidR="00326E55" w:rsidRPr="00326E55">
              <w:rPr>
                <w:rFonts w:ascii="Times New Roman" w:hAnsi="Times New Roman"/>
                <w:noProof/>
                <w:spacing w:val="-6"/>
                <w:lang w:val="sk-SK"/>
              </w:rPr>
              <w:t>:</w:t>
            </w:r>
          </w:p>
          <w:p w14:paraId="60685F42" w14:textId="77777777"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pravidelnom ukončení prác alebo</w:t>
            </w:r>
          </w:p>
          <w:p w14:paraId="5F17E9DF" w14:textId="348B55D3" w:rsidR="00BF03AA"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overení zhody/riadne vykonanie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obstarávania</w:t>
            </w:r>
            <w:r w:rsidRPr="00326E55">
              <w:rPr>
                <w:rFonts w:ascii="Times New Roman" w:hAnsi="Times New Roman"/>
                <w:noProof/>
                <w:spacing w:val="-6"/>
                <w:lang w:val="sk-SK"/>
              </w:rPr>
              <w:t xml:space="preserve"> tovaru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obstarávania alebo poskytovania služieb.</w:t>
            </w:r>
          </w:p>
          <w:p w14:paraId="3781ABEA" w14:textId="41596E3A" w:rsidR="00326E55"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Projekty sa vykonávajú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oblastiach</w:t>
            </w:r>
            <w:r w:rsidR="00326E55" w:rsidRPr="00326E55">
              <w:rPr>
                <w:rFonts w:ascii="Times New Roman" w:hAnsi="Times New Roman"/>
                <w:noProof/>
                <w:spacing w:val="-6"/>
                <w:lang w:val="sk-SK"/>
              </w:rPr>
              <w:t>:</w:t>
            </w:r>
          </w:p>
          <w:p w14:paraId="00FBE094" w14:textId="33F009F4" w:rsidR="00BF03AA"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integrované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certifikované obhospodarovanie agrolesníckeho dedičstva;</w:t>
            </w:r>
          </w:p>
          <w:p w14:paraId="59E3491D" w14:textId="029B0505"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integrované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certifikované hospodárenie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w:t>
            </w:r>
            <w:r w:rsidR="00326E55" w:rsidRPr="00326E55">
              <w:rPr>
                <w:rFonts w:ascii="Times New Roman" w:hAnsi="Times New Roman"/>
                <w:noProof/>
                <w:spacing w:val="-6"/>
                <w:lang w:val="sk-SK"/>
              </w:rPr>
              <w:t>;</w:t>
            </w:r>
          </w:p>
          <w:p w14:paraId="590522AB" w14:textId="28D37325"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výroba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miestnych obn</w:t>
            </w:r>
            <w:r w:rsidRPr="00326E55">
              <w:rPr>
                <w:rFonts w:ascii="Times New Roman" w:hAnsi="Times New Roman"/>
                <w:noProof/>
                <w:spacing w:val="-6"/>
                <w:lang w:val="sk-SK"/>
              </w:rPr>
              <w:t>oviteľných zdrojov, ako sú mikrovodné elektrárne, biomasa, bioplyn, veterná energia, kogenerácia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biometán</w:t>
            </w:r>
            <w:r w:rsidR="00326E55" w:rsidRPr="00326E55">
              <w:rPr>
                <w:rFonts w:ascii="Times New Roman" w:hAnsi="Times New Roman"/>
                <w:noProof/>
                <w:spacing w:val="-6"/>
                <w:lang w:val="sk-SK"/>
              </w:rPr>
              <w:t>;</w:t>
            </w:r>
          </w:p>
          <w:p w14:paraId="3F5F66B5" w14:textId="77777777"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rozvoj udržateľného cestovného ruchu</w:t>
            </w:r>
            <w:r w:rsidR="00326E55" w:rsidRPr="00326E55">
              <w:rPr>
                <w:rFonts w:ascii="Times New Roman" w:hAnsi="Times New Roman"/>
                <w:noProof/>
                <w:spacing w:val="-6"/>
                <w:lang w:val="sk-SK"/>
              </w:rPr>
              <w:t>;</w:t>
            </w:r>
          </w:p>
          <w:p w14:paraId="2FF1399E" w14:textId="74E85345"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výstavba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udržateľné riadenie fondu budov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infraštruktúry modernej hory</w:t>
            </w:r>
            <w:r w:rsidR="00326E55" w:rsidRPr="00326E55">
              <w:rPr>
                <w:rFonts w:ascii="Times New Roman" w:hAnsi="Times New Roman"/>
                <w:noProof/>
                <w:spacing w:val="-6"/>
                <w:lang w:val="sk-SK"/>
              </w:rPr>
              <w:t>;</w:t>
            </w:r>
          </w:p>
          <w:p w14:paraId="26137F82" w14:textId="2609DA79"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energetická účinnosť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inteligentn</w:t>
            </w:r>
            <w:r w:rsidRPr="00326E55">
              <w:rPr>
                <w:rFonts w:ascii="Times New Roman" w:hAnsi="Times New Roman"/>
                <w:noProof/>
                <w:spacing w:val="-6"/>
                <w:lang w:val="sk-SK"/>
              </w:rPr>
              <w:t>á integrácia zariadení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sietí</w:t>
            </w:r>
            <w:r w:rsidR="00326E55" w:rsidRPr="00326E55">
              <w:rPr>
                <w:rFonts w:ascii="Times New Roman" w:hAnsi="Times New Roman"/>
                <w:noProof/>
                <w:spacing w:val="-6"/>
                <w:lang w:val="sk-SK"/>
              </w:rPr>
              <w:t>;</w:t>
            </w:r>
          </w:p>
          <w:p w14:paraId="480EB471" w14:textId="77777777" w:rsidR="00326E55"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udržateľný rozvoj výrobných činností (výroba bez odpadu)</w:t>
            </w:r>
            <w:r w:rsidR="00326E55" w:rsidRPr="00326E55">
              <w:rPr>
                <w:rFonts w:ascii="Times New Roman" w:hAnsi="Times New Roman"/>
                <w:noProof/>
                <w:spacing w:val="-6"/>
                <w:lang w:val="sk-SK"/>
              </w:rPr>
              <w:t>;</w:t>
            </w:r>
          </w:p>
          <w:p w14:paraId="45075153" w14:textId="550F53CD" w:rsidR="00BF03AA"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lang w:val="sk-SK"/>
              </w:rPr>
            </w:pPr>
            <w:r w:rsidRPr="00326E55">
              <w:rPr>
                <w:rFonts w:ascii="Times New Roman" w:hAnsi="Times New Roman"/>
                <w:noProof/>
                <w:spacing w:val="-6"/>
                <w:lang w:val="sk-SK"/>
              </w:rPr>
              <w:t>integrácia služieb mobility;</w:t>
            </w:r>
          </w:p>
          <w:p w14:paraId="53649C4C" w14:textId="108F5983" w:rsidR="00BF03AA" w:rsidRPr="00326E55" w:rsidRDefault="00FB452D">
            <w:pPr>
              <w:pStyle w:val="P68B1DB1-Normal50"/>
              <w:numPr>
                <w:ilvl w:val="0"/>
                <w:numId w:val="152"/>
              </w:numPr>
              <w:tabs>
                <w:tab w:val="clear" w:pos="720"/>
              </w:tabs>
              <w:spacing w:after="0" w:line="240" w:lineRule="auto"/>
              <w:ind w:left="735" w:hanging="572"/>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rozvoj udržateľného modelu poľnohospodárskeho podniku. </w:t>
            </w:r>
          </w:p>
        </w:tc>
      </w:tr>
      <w:tr w:rsidR="00BF03AA" w:rsidRPr="00326E55" w14:paraId="28641D38" w14:textId="77777777">
        <w:trPr>
          <w:trHeight w:val="300"/>
        </w:trPr>
        <w:tc>
          <w:tcPr>
            <w:tcW w:w="1131" w:type="dxa"/>
            <w:shd w:val="clear" w:color="auto" w:fill="C6EFCE"/>
            <w:vAlign w:val="center"/>
            <w:hideMark/>
          </w:tcPr>
          <w:p w14:paraId="33BCB49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22 </w:t>
            </w:r>
          </w:p>
        </w:tc>
        <w:tc>
          <w:tcPr>
            <w:tcW w:w="1418" w:type="dxa"/>
            <w:shd w:val="clear" w:color="auto" w:fill="C6EFCE"/>
            <w:vAlign w:val="center"/>
            <w:hideMark/>
          </w:tcPr>
          <w:p w14:paraId="69684BE8" w14:textId="2E997532"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3.4: Fondo Contratti di Filiera (FCF) na podporu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dodávateľských reťazcoch pre agropotravinárske odvetvia, odvetvia rybolovu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akvakultúry, lesného hospodárstva, kvetinárstva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odchovní rastlín </w:t>
            </w:r>
          </w:p>
        </w:tc>
        <w:tc>
          <w:tcPr>
            <w:tcW w:w="992" w:type="dxa"/>
            <w:shd w:val="clear" w:color="auto" w:fill="C6EFCE"/>
            <w:vAlign w:val="center"/>
            <w:hideMark/>
          </w:tcPr>
          <w:p w14:paraId="613501AF"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418" w:type="dxa"/>
            <w:shd w:val="clear" w:color="auto" w:fill="C6EFCE"/>
            <w:vAlign w:val="center"/>
            <w:hideMark/>
          </w:tcPr>
          <w:p w14:paraId="498E80D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Vykonávacia dohoda </w:t>
            </w:r>
          </w:p>
        </w:tc>
        <w:tc>
          <w:tcPr>
            <w:tcW w:w="1417" w:type="dxa"/>
            <w:shd w:val="clear" w:color="auto" w:fill="C6EFCE"/>
            <w:vAlign w:val="center"/>
            <w:hideMark/>
          </w:tcPr>
          <w:p w14:paraId="7AF0E7D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Nadobudnutie platnosti vykonávacej dohody </w:t>
            </w:r>
          </w:p>
        </w:tc>
        <w:tc>
          <w:tcPr>
            <w:tcW w:w="1276" w:type="dxa"/>
            <w:shd w:val="clear" w:color="auto" w:fill="C6EFCE"/>
            <w:vAlign w:val="center"/>
            <w:hideMark/>
          </w:tcPr>
          <w:p w14:paraId="06FBA829"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7F6EDA13"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5AB0F90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524F1BC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DRUHÝ </w:t>
            </w:r>
            <w:r w:rsidRPr="00326E55">
              <w:rPr>
                <w:rFonts w:ascii="Times New Roman" w:hAnsi="Times New Roman"/>
                <w:noProof/>
                <w:spacing w:val="-6"/>
                <w:lang w:val="sk-SK"/>
              </w:rPr>
              <w:t>ŠTVRŤROK </w:t>
            </w:r>
          </w:p>
        </w:tc>
        <w:tc>
          <w:tcPr>
            <w:tcW w:w="691" w:type="dxa"/>
            <w:shd w:val="clear" w:color="auto" w:fill="C6EFCE"/>
            <w:vAlign w:val="center"/>
            <w:hideMark/>
          </w:tcPr>
          <w:p w14:paraId="3FEA442A"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2024 </w:t>
            </w:r>
          </w:p>
        </w:tc>
        <w:tc>
          <w:tcPr>
            <w:tcW w:w="3423" w:type="dxa"/>
            <w:shd w:val="clear" w:color="auto" w:fill="C6EFCE"/>
            <w:vAlign w:val="center"/>
            <w:hideMark/>
          </w:tcPr>
          <w:p w14:paraId="1945DE0B"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Nadobudnutie platnosti vykonávacej dohody. </w:t>
            </w:r>
          </w:p>
        </w:tc>
      </w:tr>
      <w:tr w:rsidR="00BF03AA" w:rsidRPr="00326E55" w14:paraId="75398209" w14:textId="77777777">
        <w:trPr>
          <w:trHeight w:val="300"/>
        </w:trPr>
        <w:tc>
          <w:tcPr>
            <w:tcW w:w="1131" w:type="dxa"/>
            <w:shd w:val="clear" w:color="auto" w:fill="C6EFCE"/>
            <w:vAlign w:val="center"/>
            <w:hideMark/>
          </w:tcPr>
          <w:p w14:paraId="23C1C34A"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23 </w:t>
            </w:r>
          </w:p>
        </w:tc>
        <w:tc>
          <w:tcPr>
            <w:tcW w:w="1418" w:type="dxa"/>
            <w:shd w:val="clear" w:color="auto" w:fill="C6EFCE"/>
            <w:vAlign w:val="center"/>
            <w:hideMark/>
          </w:tcPr>
          <w:p w14:paraId="5B6DAE78" w14:textId="7C365598"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3.4: Fondo Contratti di Filiera (FCF) na podporu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dodávateľských reťazcoch pre agropotravinárske odvetvia, odvetvia rybolovu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akvakultúry, lesného hospodárstva, </w:t>
            </w:r>
            <w:r w:rsidRPr="00326E55">
              <w:rPr>
                <w:rFonts w:ascii="Times New Roman" w:hAnsi="Times New Roman"/>
                <w:noProof/>
                <w:spacing w:val="-6"/>
                <w:lang w:val="sk-SK"/>
              </w:rPr>
              <w:t>kvetinárstva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odchovní rastlín </w:t>
            </w:r>
          </w:p>
        </w:tc>
        <w:tc>
          <w:tcPr>
            <w:tcW w:w="992" w:type="dxa"/>
            <w:shd w:val="clear" w:color="auto" w:fill="C6EFCE"/>
            <w:vAlign w:val="center"/>
            <w:hideMark/>
          </w:tcPr>
          <w:p w14:paraId="19CB217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418" w:type="dxa"/>
            <w:shd w:val="clear" w:color="auto" w:fill="C6EFCE"/>
            <w:vAlign w:val="center"/>
            <w:hideMark/>
          </w:tcPr>
          <w:p w14:paraId="20CF8CFA" w14:textId="52BFE39F"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Zdroje prevedené na ISMEA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zmena vykonávacej dohody </w:t>
            </w:r>
          </w:p>
        </w:tc>
        <w:tc>
          <w:tcPr>
            <w:tcW w:w="1417" w:type="dxa"/>
            <w:shd w:val="clear" w:color="auto" w:fill="C6EFCE"/>
            <w:vAlign w:val="center"/>
            <w:hideMark/>
          </w:tcPr>
          <w:p w14:paraId="556015E1" w14:textId="6B1CC5D4"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zmena vykonávacej dohody </w:t>
            </w:r>
          </w:p>
        </w:tc>
        <w:tc>
          <w:tcPr>
            <w:tcW w:w="1276" w:type="dxa"/>
            <w:shd w:val="clear" w:color="auto" w:fill="C6EFCE"/>
            <w:vAlign w:val="center"/>
            <w:hideMark/>
          </w:tcPr>
          <w:p w14:paraId="6234486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1276" w:type="dxa"/>
            <w:shd w:val="clear" w:color="auto" w:fill="C6EFCE"/>
            <w:vAlign w:val="center"/>
            <w:hideMark/>
          </w:tcPr>
          <w:p w14:paraId="0AC9A3CF"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749DE542"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6871037E"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91" w:type="dxa"/>
            <w:shd w:val="clear" w:color="auto" w:fill="C6EFCE"/>
            <w:vAlign w:val="center"/>
            <w:hideMark/>
          </w:tcPr>
          <w:p w14:paraId="529FF5FA"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2025 </w:t>
            </w:r>
          </w:p>
        </w:tc>
        <w:tc>
          <w:tcPr>
            <w:tcW w:w="3423" w:type="dxa"/>
            <w:shd w:val="clear" w:color="auto" w:fill="C6EFCE"/>
            <w:vAlign w:val="center"/>
            <w:hideMark/>
          </w:tcPr>
          <w:p w14:paraId="4FADFB35" w14:textId="77777777" w:rsidR="00326E55" w:rsidRPr="00326E55" w:rsidRDefault="00FB452D">
            <w:pPr>
              <w:pStyle w:val="P68B1DB1-Normal54"/>
              <w:spacing w:after="0" w:line="240" w:lineRule="auto"/>
              <w:textAlignment w:val="baseline"/>
              <w:rPr>
                <w:rFonts w:ascii="Times New Roman" w:eastAsia="Times New Roman" w:hAnsi="Times New Roman"/>
                <w:noProof/>
                <w:spacing w:val="-6"/>
                <w:lang w:val="sk-SK"/>
              </w:rPr>
            </w:pPr>
            <w:r w:rsidRPr="00326E55">
              <w:rPr>
                <w:rFonts w:ascii="Times New Roman" w:eastAsia="Times New Roman" w:hAnsi="Times New Roman"/>
                <w:noProof/>
                <w:spacing w:val="-6"/>
                <w:lang w:val="sk-SK"/>
              </w:rPr>
              <w:t>Taliansko prevedie na</w:t>
            </w:r>
            <w:r w:rsidRPr="00326E55">
              <w:rPr>
                <w:rFonts w:ascii="Times New Roman" w:eastAsia="Times New Roman" w:hAnsi="Times New Roman"/>
                <w:noProof/>
                <w:spacing w:val="-6"/>
                <w:lang w:val="sk-SK"/>
              </w:rPr>
              <w:t xml:space="preserve"> nástroj ďalších 2 000 000 000,00 EUR do agentúry ISMEA</w:t>
            </w:r>
            <w:r w:rsidR="00326E55" w:rsidRPr="00326E55">
              <w:rPr>
                <w:rFonts w:ascii="Times New Roman" w:eastAsia="Times New Roman" w:hAnsi="Times New Roman"/>
                <w:noProof/>
                <w:spacing w:val="-6"/>
                <w:lang w:val="sk-SK"/>
              </w:rPr>
              <w:t>.</w:t>
            </w:r>
          </w:p>
          <w:p w14:paraId="57F1E05F" w14:textId="6F0C31C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Zmena celkového poplatku za financovanie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správu vykonávacej dohody. </w:t>
            </w:r>
          </w:p>
        </w:tc>
      </w:tr>
      <w:tr w:rsidR="00BF03AA" w:rsidRPr="00326E55" w14:paraId="0F5003D8" w14:textId="77777777">
        <w:trPr>
          <w:trHeight w:val="300"/>
        </w:trPr>
        <w:tc>
          <w:tcPr>
            <w:tcW w:w="1131" w:type="dxa"/>
            <w:shd w:val="clear" w:color="auto" w:fill="C6EFCE"/>
            <w:vAlign w:val="center"/>
            <w:hideMark/>
          </w:tcPr>
          <w:p w14:paraId="3A3E983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24 </w:t>
            </w:r>
          </w:p>
        </w:tc>
        <w:tc>
          <w:tcPr>
            <w:tcW w:w="1418" w:type="dxa"/>
            <w:shd w:val="clear" w:color="auto" w:fill="C6EFCE"/>
            <w:vAlign w:val="center"/>
            <w:hideMark/>
          </w:tcPr>
          <w:p w14:paraId="0E6172A2" w14:textId="7FE78FCA"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3.4: Fondo Contratti di Filiera (FCF) na podporu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dodávateľských reťazcoch pre agropotravinárske </w:t>
            </w:r>
            <w:r w:rsidRPr="00326E55">
              <w:rPr>
                <w:rFonts w:ascii="Times New Roman" w:hAnsi="Times New Roman"/>
                <w:noProof/>
                <w:spacing w:val="-6"/>
                <w:lang w:val="sk-SK"/>
              </w:rPr>
              <w:t>odvetvia, odvetvia rybolovu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akvakultúry, lesného hospodárstva, kvetinárstva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odchovní rastlín </w:t>
            </w:r>
          </w:p>
        </w:tc>
        <w:tc>
          <w:tcPr>
            <w:tcW w:w="992" w:type="dxa"/>
            <w:shd w:val="clear" w:color="auto" w:fill="C6EFCE"/>
            <w:vAlign w:val="center"/>
            <w:hideMark/>
          </w:tcPr>
          <w:p w14:paraId="4B777AB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Cieľ </w:t>
            </w:r>
          </w:p>
        </w:tc>
        <w:tc>
          <w:tcPr>
            <w:tcW w:w="1418" w:type="dxa"/>
            <w:shd w:val="clear" w:color="auto" w:fill="C6EFCE"/>
            <w:vAlign w:val="center"/>
            <w:hideMark/>
          </w:tcPr>
          <w:p w14:paraId="41AC3585" w14:textId="1D65FC4C"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Právne dohody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w:t>
            </w:r>
          </w:p>
        </w:tc>
        <w:tc>
          <w:tcPr>
            <w:tcW w:w="1417" w:type="dxa"/>
            <w:shd w:val="clear" w:color="auto" w:fill="C6EFCE"/>
            <w:vAlign w:val="center"/>
            <w:hideMark/>
          </w:tcPr>
          <w:p w14:paraId="068E0424" w14:textId="12007045"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NEUVEDENÉ </w:t>
            </w:r>
          </w:p>
        </w:tc>
        <w:tc>
          <w:tcPr>
            <w:tcW w:w="1276" w:type="dxa"/>
            <w:shd w:val="clear" w:color="auto" w:fill="C6EFCE"/>
            <w:vAlign w:val="center"/>
            <w:hideMark/>
          </w:tcPr>
          <w:p w14:paraId="11417DDF" w14:textId="63016F4C"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xml:space="preserve">Percento </w:t>
            </w:r>
          </w:p>
        </w:tc>
        <w:tc>
          <w:tcPr>
            <w:tcW w:w="1276" w:type="dxa"/>
            <w:shd w:val="clear" w:color="auto" w:fill="C6EFCE"/>
            <w:vAlign w:val="center"/>
            <w:hideMark/>
          </w:tcPr>
          <w:p w14:paraId="18868E9C"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0 </w:t>
            </w:r>
          </w:p>
        </w:tc>
        <w:tc>
          <w:tcPr>
            <w:tcW w:w="992" w:type="dxa"/>
            <w:shd w:val="clear" w:color="auto" w:fill="C6EFCE"/>
            <w:vAlign w:val="center"/>
            <w:hideMark/>
          </w:tcPr>
          <w:p w14:paraId="7D19ABCB"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100 </w:t>
            </w:r>
          </w:p>
        </w:tc>
        <w:tc>
          <w:tcPr>
            <w:tcW w:w="992" w:type="dxa"/>
            <w:shd w:val="clear" w:color="auto" w:fill="C6EFCE"/>
            <w:vAlign w:val="center"/>
            <w:hideMark/>
          </w:tcPr>
          <w:p w14:paraId="5CE082A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DRUHÝ ŠTVRŤROK </w:t>
            </w:r>
          </w:p>
        </w:tc>
        <w:tc>
          <w:tcPr>
            <w:tcW w:w="691" w:type="dxa"/>
            <w:shd w:val="clear" w:color="auto" w:fill="C6EFCE"/>
            <w:vAlign w:val="center"/>
            <w:hideMark/>
          </w:tcPr>
          <w:p w14:paraId="2C004C4E"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2026 </w:t>
            </w:r>
          </w:p>
        </w:tc>
        <w:tc>
          <w:tcPr>
            <w:tcW w:w="3423" w:type="dxa"/>
            <w:shd w:val="clear" w:color="auto" w:fill="C6EFCE"/>
            <w:vAlign w:val="center"/>
            <w:hideMark/>
          </w:tcPr>
          <w:p w14:paraId="227C22CE" w14:textId="4B2A952D"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ISMEA musí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konečnými </w:t>
            </w:r>
            <w:r w:rsidRPr="00326E55">
              <w:rPr>
                <w:rFonts w:ascii="Times New Roman" w:hAnsi="Times New Roman"/>
                <w:noProof/>
                <w:spacing w:val="-6"/>
                <w:lang w:val="sk-SK"/>
              </w:rPr>
              <w:t>príjemcami na sumu 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do mechanizmu (s prihliadnutím na poplatky za správu). ISMEA vypracuje správu,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podrobne uvedie percentuálny podiel tohto financovania, ktoré prispiev</w:t>
            </w:r>
            <w:r w:rsidRPr="00326E55">
              <w:rPr>
                <w:rFonts w:ascii="Times New Roman" w:hAnsi="Times New Roman"/>
                <w:noProof/>
                <w:spacing w:val="-6"/>
                <w:lang w:val="sk-SK"/>
              </w:rPr>
              <w:t>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plneniu cieľov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použitím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 </w:t>
            </w:r>
          </w:p>
        </w:tc>
      </w:tr>
      <w:tr w:rsidR="00BF03AA" w:rsidRPr="00326E55" w14:paraId="21ADD27B" w14:textId="77777777">
        <w:trPr>
          <w:trHeight w:val="300"/>
        </w:trPr>
        <w:tc>
          <w:tcPr>
            <w:tcW w:w="1131" w:type="dxa"/>
            <w:shd w:val="clear" w:color="auto" w:fill="C6EFCE"/>
            <w:vAlign w:val="center"/>
            <w:hideMark/>
          </w:tcPr>
          <w:p w14:paraId="0BB02221"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M2C1 – 25 </w:t>
            </w:r>
          </w:p>
        </w:tc>
        <w:tc>
          <w:tcPr>
            <w:tcW w:w="1418" w:type="dxa"/>
            <w:shd w:val="clear" w:color="auto" w:fill="C6EFCE"/>
            <w:vAlign w:val="center"/>
            <w:hideMark/>
          </w:tcPr>
          <w:p w14:paraId="7F1A095A" w14:textId="69102B7D"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Investícia 3.4: Fondo Contratti di Filiera (FCF) na podporu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dodávateľských reťazcoch pre agropotravinárske odvetvia, odvetvia rybolovu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akvakultúry, </w:t>
            </w:r>
            <w:r w:rsidRPr="00326E55">
              <w:rPr>
                <w:rFonts w:ascii="Times New Roman" w:hAnsi="Times New Roman"/>
                <w:noProof/>
                <w:spacing w:val="-6"/>
                <w:lang w:val="sk-SK"/>
              </w:rPr>
              <w:t>lesného hospodárstva, kvetinárstva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odchovní rastlín </w:t>
            </w:r>
          </w:p>
        </w:tc>
        <w:tc>
          <w:tcPr>
            <w:tcW w:w="992" w:type="dxa"/>
            <w:shd w:val="clear" w:color="auto" w:fill="C6EFCE"/>
            <w:vAlign w:val="center"/>
            <w:hideMark/>
          </w:tcPr>
          <w:p w14:paraId="24E5B8D5"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Míľnik </w:t>
            </w:r>
          </w:p>
        </w:tc>
        <w:tc>
          <w:tcPr>
            <w:tcW w:w="1418" w:type="dxa"/>
            <w:shd w:val="clear" w:color="auto" w:fill="C6EFCE"/>
            <w:vAlign w:val="center"/>
            <w:hideMark/>
          </w:tcPr>
          <w:p w14:paraId="1BF0960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Ministerstvo previedlo celkovú sumu zdrojov </w:t>
            </w:r>
          </w:p>
        </w:tc>
        <w:tc>
          <w:tcPr>
            <w:tcW w:w="1417" w:type="dxa"/>
            <w:shd w:val="clear" w:color="auto" w:fill="C6EFCE"/>
            <w:vAlign w:val="center"/>
            <w:hideMark/>
          </w:tcPr>
          <w:p w14:paraId="77B84B6E" w14:textId="2A892E9A"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 </w:t>
            </w:r>
          </w:p>
        </w:tc>
        <w:tc>
          <w:tcPr>
            <w:tcW w:w="1276" w:type="dxa"/>
            <w:shd w:val="clear" w:color="auto" w:fill="C6EFCE"/>
            <w:vAlign w:val="center"/>
            <w:hideMark/>
          </w:tcPr>
          <w:p w14:paraId="7432A056"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 NEUVEDENÉ </w:t>
            </w:r>
          </w:p>
        </w:tc>
        <w:tc>
          <w:tcPr>
            <w:tcW w:w="1276" w:type="dxa"/>
            <w:shd w:val="clear" w:color="auto" w:fill="C6EFCE"/>
            <w:vAlign w:val="center"/>
            <w:hideMark/>
          </w:tcPr>
          <w:p w14:paraId="553DFA4D"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45B84DF0"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NEUVEDENÉ </w:t>
            </w:r>
          </w:p>
        </w:tc>
        <w:tc>
          <w:tcPr>
            <w:tcW w:w="992" w:type="dxa"/>
            <w:shd w:val="clear" w:color="auto" w:fill="C6EFCE"/>
            <w:vAlign w:val="center"/>
            <w:hideMark/>
          </w:tcPr>
          <w:p w14:paraId="4A92D497" w14:textId="77777777" w:rsidR="00BF03AA" w:rsidRPr="00326E55" w:rsidRDefault="00FB452D">
            <w:pPr>
              <w:pStyle w:val="P68B1DB1-Normal50"/>
              <w:spacing w:after="0" w:line="240" w:lineRule="auto"/>
              <w:jc w:val="center"/>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ŠTVRTÝ ŠTVRŤROK </w:t>
            </w:r>
          </w:p>
        </w:tc>
        <w:tc>
          <w:tcPr>
            <w:tcW w:w="691" w:type="dxa"/>
            <w:shd w:val="clear" w:color="auto" w:fill="C6EFCE"/>
            <w:vAlign w:val="center"/>
            <w:hideMark/>
          </w:tcPr>
          <w:p w14:paraId="7DF28DFA" w14:textId="77777777" w:rsidR="00BF03AA" w:rsidRPr="00326E55" w:rsidRDefault="00FB452D">
            <w:pPr>
              <w:pStyle w:val="P68B1DB1-Normal50"/>
              <w:spacing w:after="0" w:line="240" w:lineRule="auto"/>
              <w:textAlignment w:val="baseline"/>
              <w:rPr>
                <w:rFonts w:ascii="Times New Roman" w:hAnsi="Times New Roman"/>
                <w:noProof/>
                <w:spacing w:val="-6"/>
                <w:sz w:val="24"/>
                <w:szCs w:val="24"/>
                <w:lang w:val="sk-SK"/>
              </w:rPr>
            </w:pPr>
            <w:r w:rsidRPr="00326E55">
              <w:rPr>
                <w:rFonts w:ascii="Times New Roman" w:hAnsi="Times New Roman"/>
                <w:noProof/>
                <w:spacing w:val="-6"/>
                <w:lang w:val="sk-SK"/>
              </w:rPr>
              <w:t>2024 </w:t>
            </w:r>
          </w:p>
        </w:tc>
        <w:tc>
          <w:tcPr>
            <w:tcW w:w="3423" w:type="dxa"/>
            <w:shd w:val="clear" w:color="auto" w:fill="C6EFCE"/>
            <w:vAlign w:val="center"/>
            <w:hideMark/>
          </w:tcPr>
          <w:p w14:paraId="5D3DA9F4" w14:textId="1D7B9845" w:rsidR="00BF03AA" w:rsidRPr="00326E55" w:rsidRDefault="00FB452D">
            <w:pPr>
              <w:pStyle w:val="P68B1DB1-Normal57"/>
              <w:spacing w:after="0" w:line="240" w:lineRule="auto"/>
              <w:textAlignment w:val="baseline"/>
              <w:rPr>
                <w:rFonts w:ascii="Times New Roman" w:hAnsi="Times New Roman" w:cs="Times New Roman"/>
                <w:noProof/>
                <w:spacing w:val="-6"/>
                <w:sz w:val="24"/>
                <w:szCs w:val="24"/>
                <w:lang w:val="sk-SK"/>
              </w:rPr>
            </w:pPr>
            <w:r w:rsidRPr="00326E55">
              <w:rPr>
                <w:rFonts w:ascii="Times New Roman" w:hAnsi="Times New Roman"/>
                <w:noProof/>
                <w:spacing w:val="-6"/>
                <w:lang w:val="sk-SK"/>
              </w:rPr>
              <w:t xml:space="preserve">Taliansko prevedie 1 960 000 000,00 EUR do agentúry ISMEA na tento </w:t>
            </w:r>
            <w:r w:rsidRPr="00326E55">
              <w:rPr>
                <w:rFonts w:ascii="Times New Roman" w:hAnsi="Times New Roman"/>
                <w:noProof/>
                <w:spacing w:val="-6"/>
                <w:lang w:val="sk-SK"/>
              </w:rPr>
              <w:t>nástroj.</w:t>
            </w:r>
          </w:p>
        </w:tc>
      </w:tr>
      <w:tr w:rsidR="00BF03AA" w:rsidRPr="00326E55" w14:paraId="6FDFC0B2" w14:textId="77777777">
        <w:trPr>
          <w:trHeight w:val="300"/>
        </w:trPr>
        <w:tc>
          <w:tcPr>
            <w:tcW w:w="1131" w:type="dxa"/>
            <w:shd w:val="clear" w:color="auto" w:fill="C6EFCE"/>
            <w:vAlign w:val="center"/>
          </w:tcPr>
          <w:p w14:paraId="16E15655" w14:textId="2C16F587"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M2C1 – 26 </w:t>
            </w:r>
          </w:p>
        </w:tc>
        <w:tc>
          <w:tcPr>
            <w:tcW w:w="1418" w:type="dxa"/>
            <w:shd w:val="clear" w:color="auto" w:fill="C6EFCE"/>
            <w:vAlign w:val="center"/>
          </w:tcPr>
          <w:p w14:paraId="5DB9BBD7" w14:textId="07D6186F"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Investícia 4: Poľnohospodársko-politické parkovacie zariadenie </w:t>
            </w:r>
          </w:p>
        </w:tc>
        <w:tc>
          <w:tcPr>
            <w:tcW w:w="992" w:type="dxa"/>
            <w:shd w:val="clear" w:color="auto" w:fill="C6EFCE"/>
          </w:tcPr>
          <w:p w14:paraId="39681374" w14:textId="3B740C60"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Míľnik </w:t>
            </w:r>
          </w:p>
        </w:tc>
        <w:tc>
          <w:tcPr>
            <w:tcW w:w="1418" w:type="dxa"/>
            <w:shd w:val="clear" w:color="auto" w:fill="C6EFCE"/>
          </w:tcPr>
          <w:p w14:paraId="68BF15A4" w14:textId="6E0BA599"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Vykonávacia dohoda </w:t>
            </w:r>
          </w:p>
        </w:tc>
        <w:tc>
          <w:tcPr>
            <w:tcW w:w="1417" w:type="dxa"/>
            <w:shd w:val="clear" w:color="auto" w:fill="C6EFCE"/>
          </w:tcPr>
          <w:p w14:paraId="05AE1FE1" w14:textId="4FDCDFE8"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Nadobudnutie platnosti vykonávacej dohody </w:t>
            </w:r>
          </w:p>
        </w:tc>
        <w:tc>
          <w:tcPr>
            <w:tcW w:w="1276" w:type="dxa"/>
            <w:shd w:val="clear" w:color="auto" w:fill="C6EFCE"/>
          </w:tcPr>
          <w:p w14:paraId="0409B26A" w14:textId="6786B4E6"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 NEUVEDENÉ </w:t>
            </w:r>
          </w:p>
        </w:tc>
        <w:tc>
          <w:tcPr>
            <w:tcW w:w="1276" w:type="dxa"/>
            <w:shd w:val="clear" w:color="auto" w:fill="C6EFCE"/>
          </w:tcPr>
          <w:p w14:paraId="030E3E6A" w14:textId="272E224E"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 xml:space="preserve">NEUVEDENÉ </w:t>
            </w:r>
          </w:p>
        </w:tc>
        <w:tc>
          <w:tcPr>
            <w:tcW w:w="992" w:type="dxa"/>
            <w:shd w:val="clear" w:color="auto" w:fill="C6EFCE"/>
          </w:tcPr>
          <w:p w14:paraId="547D1AEF" w14:textId="45E3BA01"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 xml:space="preserve">NEUVEDENÉ </w:t>
            </w:r>
          </w:p>
        </w:tc>
        <w:tc>
          <w:tcPr>
            <w:tcW w:w="992" w:type="dxa"/>
            <w:shd w:val="clear" w:color="auto" w:fill="C6EFCE"/>
          </w:tcPr>
          <w:p w14:paraId="5E7F2608" w14:textId="30EE4EBD"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ŠTVRTÝ ŠTVRŤROK </w:t>
            </w:r>
          </w:p>
        </w:tc>
        <w:tc>
          <w:tcPr>
            <w:tcW w:w="691" w:type="dxa"/>
            <w:shd w:val="clear" w:color="auto" w:fill="C6EFCE"/>
          </w:tcPr>
          <w:p w14:paraId="4EE2DE44" w14:textId="414F6B6C" w:rsidR="00BF03AA"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2025 </w:t>
            </w:r>
          </w:p>
        </w:tc>
        <w:tc>
          <w:tcPr>
            <w:tcW w:w="3423" w:type="dxa"/>
            <w:shd w:val="clear" w:color="auto" w:fill="C6EFCE"/>
          </w:tcPr>
          <w:p w14:paraId="7075BCFA" w14:textId="4C639BCB" w:rsidR="00BF03AA"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r>
      <w:tr w:rsidR="00BF03AA" w:rsidRPr="00326E55" w14:paraId="3FD2F3DC" w14:textId="77777777">
        <w:trPr>
          <w:trHeight w:val="300"/>
        </w:trPr>
        <w:tc>
          <w:tcPr>
            <w:tcW w:w="1131" w:type="dxa"/>
            <w:shd w:val="clear" w:color="auto" w:fill="C6EFCE"/>
            <w:vAlign w:val="center"/>
          </w:tcPr>
          <w:p w14:paraId="578F7C2F" w14:textId="01631D0E"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M2C1 – 27 </w:t>
            </w:r>
          </w:p>
        </w:tc>
        <w:tc>
          <w:tcPr>
            <w:tcW w:w="1418" w:type="dxa"/>
            <w:shd w:val="clear" w:color="auto" w:fill="C6EFCE"/>
            <w:vAlign w:val="center"/>
          </w:tcPr>
          <w:p w14:paraId="369C0C1D" w14:textId="525E49A6"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Investícia 4: Poľnohospodársko-politické parkovacie zariadenie </w:t>
            </w:r>
          </w:p>
        </w:tc>
        <w:tc>
          <w:tcPr>
            <w:tcW w:w="992" w:type="dxa"/>
            <w:shd w:val="clear" w:color="auto" w:fill="C6EFCE"/>
          </w:tcPr>
          <w:p w14:paraId="1B8983BD" w14:textId="063C3B8D"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Míľnik </w:t>
            </w:r>
          </w:p>
        </w:tc>
        <w:tc>
          <w:tcPr>
            <w:tcW w:w="1418" w:type="dxa"/>
            <w:shd w:val="clear" w:color="auto" w:fill="C6EFCE"/>
          </w:tcPr>
          <w:p w14:paraId="058F9CEA" w14:textId="2C9EF910"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dokončenie investícií </w:t>
            </w:r>
          </w:p>
        </w:tc>
        <w:tc>
          <w:tcPr>
            <w:tcW w:w="1417" w:type="dxa"/>
            <w:shd w:val="clear" w:color="auto" w:fill="C6EFCE"/>
          </w:tcPr>
          <w:p w14:paraId="718379C6" w14:textId="602EE228"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Podpísané právne dohody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 </w:t>
            </w:r>
          </w:p>
        </w:tc>
        <w:tc>
          <w:tcPr>
            <w:tcW w:w="1276" w:type="dxa"/>
            <w:shd w:val="clear" w:color="auto" w:fill="C6EFCE"/>
          </w:tcPr>
          <w:p w14:paraId="5BE386AE" w14:textId="17F49EDD"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NEUVEDENÉ </w:t>
            </w:r>
          </w:p>
        </w:tc>
        <w:tc>
          <w:tcPr>
            <w:tcW w:w="1276" w:type="dxa"/>
            <w:shd w:val="clear" w:color="auto" w:fill="C6EFCE"/>
          </w:tcPr>
          <w:p w14:paraId="42B2B4D3" w14:textId="1E7F4C38"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NEUVEDENÉ </w:t>
            </w:r>
          </w:p>
        </w:tc>
        <w:tc>
          <w:tcPr>
            <w:tcW w:w="992" w:type="dxa"/>
            <w:shd w:val="clear" w:color="auto" w:fill="C6EFCE"/>
          </w:tcPr>
          <w:p w14:paraId="5CCFE6E8" w14:textId="149BC235"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NEUVEDENÉ </w:t>
            </w:r>
          </w:p>
        </w:tc>
        <w:tc>
          <w:tcPr>
            <w:tcW w:w="992" w:type="dxa"/>
            <w:shd w:val="clear" w:color="auto" w:fill="C6EFCE"/>
          </w:tcPr>
          <w:p w14:paraId="2EDA2D78" w14:textId="36763822" w:rsidR="00BF03AA" w:rsidRPr="00326E55" w:rsidRDefault="00FB452D">
            <w:pPr>
              <w:pStyle w:val="P68B1DB1-Normal50"/>
              <w:spacing w:after="0" w:line="240" w:lineRule="auto"/>
              <w:jc w:val="center"/>
              <w:textAlignment w:val="baseline"/>
              <w:rPr>
                <w:rFonts w:ascii="Times New Roman" w:hAnsi="Times New Roman"/>
                <w:noProof/>
                <w:spacing w:val="-6"/>
                <w:lang w:val="sk-SK"/>
              </w:rPr>
            </w:pPr>
            <w:r w:rsidRPr="00326E55">
              <w:rPr>
                <w:rFonts w:ascii="Times New Roman" w:hAnsi="Times New Roman"/>
                <w:noProof/>
                <w:spacing w:val="-6"/>
                <w:lang w:val="sk-SK"/>
              </w:rPr>
              <w:t>DRUHÝ ŠTVRŤROK </w:t>
            </w:r>
          </w:p>
        </w:tc>
        <w:tc>
          <w:tcPr>
            <w:tcW w:w="691" w:type="dxa"/>
            <w:shd w:val="clear" w:color="auto" w:fill="C6EFCE"/>
          </w:tcPr>
          <w:p w14:paraId="030F309C" w14:textId="705431C3" w:rsidR="00BF03AA" w:rsidRPr="00326E55" w:rsidRDefault="00FB452D">
            <w:pPr>
              <w:pStyle w:val="P68B1DB1-Normal50"/>
              <w:spacing w:after="0" w:line="240" w:lineRule="auto"/>
              <w:textAlignment w:val="baseline"/>
              <w:rPr>
                <w:rFonts w:ascii="Times New Roman" w:hAnsi="Times New Roman"/>
                <w:noProof/>
                <w:spacing w:val="-6"/>
                <w:lang w:val="sk-SK"/>
              </w:rPr>
            </w:pPr>
            <w:r w:rsidRPr="00326E55">
              <w:rPr>
                <w:rFonts w:ascii="Times New Roman" w:hAnsi="Times New Roman"/>
                <w:noProof/>
                <w:spacing w:val="-6"/>
                <w:lang w:val="sk-SK"/>
              </w:rPr>
              <w:t>2026 </w:t>
            </w:r>
          </w:p>
        </w:tc>
        <w:tc>
          <w:tcPr>
            <w:tcW w:w="3423" w:type="dxa"/>
            <w:shd w:val="clear" w:color="auto" w:fill="C6EFCE"/>
          </w:tcPr>
          <w:p w14:paraId="468704D6" w14:textId="7B1AE21F" w:rsidR="00326E55" w:rsidRPr="00326E55" w:rsidRDefault="00FB452D">
            <w:pPr>
              <w:pStyle w:val="P68B1DB1-Normal50"/>
              <w:spacing w:after="0" w:line="240" w:lineRule="auto"/>
              <w:jc w:val="both"/>
              <w:textAlignment w:val="baseline"/>
              <w:rPr>
                <w:rFonts w:ascii="Times New Roman" w:hAnsi="Times New Roman"/>
                <w:noProof/>
                <w:spacing w:val="-6"/>
                <w:lang w:val="sk-SK"/>
              </w:rPr>
            </w:pPr>
            <w:r w:rsidRPr="00326E55">
              <w:rPr>
                <w:rFonts w:ascii="Times New Roman" w:hAnsi="Times New Roman"/>
                <w:noProof/>
                <w:spacing w:val="-6"/>
                <w:lang w:val="sk-SK"/>
              </w:rPr>
              <w:t>GSE musí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grante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na sumu 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do programu (s prihliadnutím na poplatky za správu)</w:t>
            </w:r>
            <w:r w:rsidR="00326E55" w:rsidRPr="00326E55">
              <w:rPr>
                <w:rFonts w:ascii="Times New Roman" w:hAnsi="Times New Roman"/>
                <w:noProof/>
                <w:spacing w:val="-6"/>
                <w:lang w:val="sk-SK"/>
              </w:rPr>
              <w:t>.</w:t>
            </w:r>
          </w:p>
          <w:p w14:paraId="27F573C6" w14:textId="70972051" w:rsidR="00BF03AA" w:rsidRPr="00326E55" w:rsidRDefault="00FB452D">
            <w:pPr>
              <w:pStyle w:val="P68B1DB1-Normal50"/>
              <w:spacing w:after="0" w:line="240" w:lineRule="auto"/>
              <w:jc w:val="both"/>
              <w:textAlignment w:val="baseline"/>
              <w:rPr>
                <w:rFonts w:ascii="Times New Roman" w:hAnsi="Times New Roman"/>
                <w:noProof/>
                <w:spacing w:val="-6"/>
                <w:lang w:val="sk-SK"/>
              </w:rPr>
            </w:pPr>
            <w:r w:rsidRPr="00326E55">
              <w:rPr>
                <w:rFonts w:ascii="Times New Roman" w:hAnsi="Times New Roman"/>
                <w:noProof/>
                <w:spacing w:val="-6"/>
                <w:lang w:val="sk-SK"/>
              </w:rPr>
              <w:t>Najmenej 633000000</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tohto financovania prispe</w:t>
            </w:r>
            <w:r w:rsidRPr="00326E55">
              <w:rPr>
                <w:rFonts w:ascii="Times New Roman" w:hAnsi="Times New Roman"/>
                <w:noProof/>
                <w:spacing w:val="-6"/>
                <w:lang w:val="sk-SK"/>
              </w:rPr>
              <w:t>je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plneniu cieľov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pomocou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78C8863E" w14:textId="13498A45" w:rsidR="00BF03AA" w:rsidRPr="00326E55" w:rsidRDefault="00FB452D">
            <w:pPr>
              <w:pStyle w:val="P68B1DB1-Normal50"/>
              <w:spacing w:after="0" w:line="240" w:lineRule="auto"/>
              <w:jc w:val="both"/>
              <w:textAlignment w:val="baseline"/>
              <w:rPr>
                <w:rFonts w:ascii="Times New Roman" w:hAnsi="Times New Roman"/>
                <w:noProof/>
                <w:spacing w:val="-6"/>
                <w:lang w:val="sk-SK"/>
              </w:rPr>
            </w:pPr>
            <w:r w:rsidRPr="00326E55">
              <w:rPr>
                <w:rFonts w:ascii="Times New Roman" w:hAnsi="Times New Roman"/>
                <w:noProof/>
                <w:spacing w:val="-6"/>
                <w:lang w:val="sk-SK"/>
              </w:rPr>
              <w:t>Taliansko prevedie 789 000 000 EUR do GSE na tento nástroj. </w:t>
            </w:r>
          </w:p>
        </w:tc>
      </w:tr>
    </w:tbl>
    <w:p w14:paraId="1F1B5E7D" w14:textId="77777777" w:rsidR="00326E55" w:rsidRPr="00326E55" w:rsidRDefault="00326E55">
      <w:pPr>
        <w:pStyle w:val="P68B1DB1-Normal58"/>
        <w:spacing w:after="0" w:line="240" w:lineRule="auto"/>
        <w:textAlignment w:val="baseline"/>
        <w:rPr>
          <w:rFonts w:ascii="Times New Roman" w:hAnsi="Times New Roman"/>
          <w:noProof/>
          <w:spacing w:val="-6"/>
          <w:lang w:val="sk-SK"/>
        </w:rPr>
      </w:pPr>
    </w:p>
    <w:p w14:paraId="34A3002B" w14:textId="77777777" w:rsidR="00BF03AA" w:rsidRPr="00326E55" w:rsidRDefault="00BF03AA">
      <w:pPr>
        <w:tabs>
          <w:tab w:val="left" w:pos="2220"/>
        </w:tabs>
        <w:rPr>
          <w:rFonts w:ascii="Times New Roman" w:hAnsi="Times New Roman"/>
          <w:noProof/>
          <w:spacing w:val="-6"/>
          <w:lang w:val="sk-SK"/>
        </w:rPr>
        <w:sectPr w:rsidR="00BF03AA" w:rsidRPr="00326E55" w:rsidSect="004E142E">
          <w:headerReference w:type="default" r:id="rId82"/>
          <w:footerReference w:type="default" r:id="rId83"/>
          <w:pgSz w:w="16838" w:h="11906" w:orient="landscape"/>
          <w:pgMar w:top="1440" w:right="1440" w:bottom="1440" w:left="1440" w:header="708" w:footer="708" w:gutter="0"/>
          <w:cols w:space="708"/>
          <w:docGrid w:linePitch="360"/>
        </w:sectPr>
      </w:pPr>
    </w:p>
    <w:p w14:paraId="087EC4DA" w14:textId="066D9880" w:rsidR="00BF03AA" w:rsidRPr="00326E55" w:rsidRDefault="00FB452D">
      <w:pPr>
        <w:pStyle w:val="P68B1DB1-Heading23"/>
        <w:ind w:left="1080"/>
        <w:rPr>
          <w:noProof/>
          <w:spacing w:val="-6"/>
          <w:lang w:val="sk-SK"/>
        </w:rPr>
      </w:pPr>
      <w:r w:rsidRPr="00326E55">
        <w:rPr>
          <w:noProof/>
          <w:spacing w:val="-6"/>
          <w:lang w:val="sk-SK"/>
        </w:rPr>
        <w:t xml:space="preserve">E. </w:t>
      </w:r>
      <w:r w:rsidRPr="00326E55">
        <w:rPr>
          <w:noProof/>
          <w:spacing w:val="-6"/>
          <w:lang w:val="sk-SK"/>
        </w:rPr>
        <w:t>ZLOŽKA 2 ÚLOHY 2: Energetická transformácia</w:t>
      </w:r>
      <w:r w:rsidR="00326E55" w:rsidRPr="00326E55">
        <w:rPr>
          <w:noProof/>
          <w:spacing w:val="-6"/>
          <w:lang w:val="sk-SK"/>
        </w:rPr>
        <w:t xml:space="preserve"> a </w:t>
      </w:r>
      <w:r w:rsidRPr="00326E55">
        <w:rPr>
          <w:noProof/>
          <w:spacing w:val="-6"/>
          <w:lang w:val="sk-SK"/>
        </w:rPr>
        <w:t>udržateľná mobilita</w:t>
      </w:r>
    </w:p>
    <w:p w14:paraId="02529273" w14:textId="6DAFC4E9" w:rsidR="00BF03AA" w:rsidRPr="00326E55" w:rsidRDefault="00FB452D">
      <w:pPr>
        <w:pStyle w:val="P68B1DB1-Normal7"/>
        <w:spacing w:before="120" w:after="120"/>
        <w:jc w:val="both"/>
        <w:rPr>
          <w:noProof/>
          <w:spacing w:val="-6"/>
          <w:lang w:val="sk-SK"/>
        </w:rPr>
      </w:pPr>
      <w:r w:rsidRPr="00326E55">
        <w:rPr>
          <w:noProof/>
          <w:spacing w:val="-6"/>
          <w:lang w:val="sk-SK"/>
        </w:rPr>
        <w:t>Tento komponent talianskeho plánu obnovy</w:t>
      </w:r>
      <w:r w:rsidR="00326E55" w:rsidRPr="00326E55">
        <w:rPr>
          <w:noProof/>
          <w:spacing w:val="-6"/>
          <w:lang w:val="sk-SK"/>
        </w:rPr>
        <w:t xml:space="preserve"> a </w:t>
      </w:r>
      <w:r w:rsidRPr="00326E55">
        <w:rPr>
          <w:noProof/>
          <w:spacing w:val="-6"/>
          <w:lang w:val="sk-SK"/>
        </w:rPr>
        <w:t>odolnosti sa vzťahuje na 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oblasti energetickej transformácie. Zahŕňa reformy na uľahčenie povoľovania projektov</w:t>
      </w:r>
      <w:r w:rsidR="00326E55" w:rsidRPr="00326E55">
        <w:rPr>
          <w:noProof/>
          <w:spacing w:val="-6"/>
          <w:lang w:val="sk-SK"/>
        </w:rPr>
        <w:t xml:space="preserve"> v </w:t>
      </w:r>
      <w:r w:rsidRPr="00326E55">
        <w:rPr>
          <w:noProof/>
          <w:spacing w:val="-6"/>
          <w:lang w:val="sk-SK"/>
        </w:rPr>
        <w:t>oblasti obn</w:t>
      </w:r>
      <w:r w:rsidRPr="00326E55">
        <w:rPr>
          <w:noProof/>
          <w:spacing w:val="-6"/>
          <w:lang w:val="sk-SK"/>
        </w:rPr>
        <w:t>oviteľných zdrojov energie. Komponent zahŕňa investície do dodávateľského reťazca obnoviteľných zdrojov energie, vodíkovej energie, zariadení na biometán</w:t>
      </w:r>
      <w:r w:rsidR="00326E55" w:rsidRPr="00326E55">
        <w:rPr>
          <w:noProof/>
          <w:spacing w:val="-6"/>
          <w:lang w:val="sk-SK"/>
        </w:rPr>
        <w:t xml:space="preserve"> a </w:t>
      </w:r>
      <w:r w:rsidRPr="00326E55">
        <w:rPr>
          <w:noProof/>
          <w:spacing w:val="-6"/>
          <w:lang w:val="sk-SK"/>
        </w:rPr>
        <w:t>inteligentných sietí. Tieto reformy</w:t>
      </w:r>
      <w:r w:rsidR="00326E55" w:rsidRPr="00326E55">
        <w:rPr>
          <w:noProof/>
          <w:spacing w:val="-6"/>
          <w:lang w:val="sk-SK"/>
        </w:rPr>
        <w:t xml:space="preserve"> a </w:t>
      </w:r>
      <w:r w:rsidRPr="00326E55">
        <w:rPr>
          <w:noProof/>
          <w:spacing w:val="-6"/>
          <w:lang w:val="sk-SK"/>
        </w:rPr>
        <w:t xml:space="preserve">investície dopĺňajú reformy zamerané na zvýšenie hospodárskej </w:t>
      </w:r>
      <w:r w:rsidRPr="00326E55">
        <w:rPr>
          <w:noProof/>
          <w:spacing w:val="-6"/>
          <w:lang w:val="sk-SK"/>
        </w:rPr>
        <w:t>súťaže na trhu</w:t>
      </w:r>
      <w:r w:rsidR="00326E55" w:rsidRPr="00326E55">
        <w:rPr>
          <w:noProof/>
          <w:spacing w:val="-6"/>
          <w:lang w:val="sk-SK"/>
        </w:rPr>
        <w:t xml:space="preserve"> s </w:t>
      </w:r>
      <w:r w:rsidRPr="00326E55">
        <w:rPr>
          <w:noProof/>
          <w:spacing w:val="-6"/>
          <w:lang w:val="sk-SK"/>
        </w:rPr>
        <w:t>elektrinou</w:t>
      </w:r>
      <w:r w:rsidR="00326E55" w:rsidRPr="00326E55">
        <w:rPr>
          <w:noProof/>
          <w:spacing w:val="-6"/>
          <w:lang w:val="sk-SK"/>
        </w:rPr>
        <w:t xml:space="preserve"> v </w:t>
      </w:r>
      <w:r w:rsidRPr="00326E55">
        <w:rPr>
          <w:noProof/>
          <w:spacing w:val="-6"/>
          <w:lang w:val="sk-SK"/>
        </w:rPr>
        <w:t>rámci reformnej zložky „podnikateľské prostredie“.</w:t>
      </w:r>
    </w:p>
    <w:p w14:paraId="2FF6412C" w14:textId="02107AF1" w:rsidR="00326E55" w:rsidRPr="00326E55" w:rsidRDefault="00FB452D">
      <w:pPr>
        <w:pStyle w:val="P68B1DB1-Normal7"/>
        <w:spacing w:before="120" w:after="120"/>
        <w:jc w:val="both"/>
        <w:rPr>
          <w:noProof/>
          <w:spacing w:val="-6"/>
          <w:lang w:val="sk-SK"/>
        </w:rPr>
      </w:pPr>
      <w:r w:rsidRPr="00326E55">
        <w:rPr>
          <w:noProof/>
          <w:spacing w:val="-6"/>
          <w:lang w:val="sk-SK"/>
        </w:rPr>
        <w:t>Tento komponent zahŕňa aj 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oblasti udržateľnej mobility. Zahŕňa reformy na uľahčenie povoľovania projektov udržateľnej mobility. Komponent zahŕňa investí</w:t>
      </w:r>
      <w:r w:rsidRPr="00326E55">
        <w:rPr>
          <w:noProof/>
          <w:spacing w:val="-6"/>
          <w:lang w:val="sk-SK"/>
        </w:rPr>
        <w:t>cie do výstavby cyklistických trás</w:t>
      </w:r>
      <w:r w:rsidR="00326E55" w:rsidRPr="00326E55">
        <w:rPr>
          <w:noProof/>
          <w:spacing w:val="-6"/>
          <w:lang w:val="sk-SK"/>
        </w:rPr>
        <w:t xml:space="preserve"> a </w:t>
      </w:r>
      <w:r w:rsidRPr="00326E55">
        <w:rPr>
          <w:noProof/>
          <w:spacing w:val="-6"/>
          <w:lang w:val="sk-SK"/>
        </w:rPr>
        <w:t>rýchlej tranzitnej infraštruktúry metra/električky/autobusu</w:t>
      </w:r>
      <w:r w:rsidR="00326E55" w:rsidRPr="00326E55">
        <w:rPr>
          <w:noProof/>
          <w:spacing w:val="-6"/>
          <w:lang w:val="sk-SK"/>
        </w:rPr>
        <w:t xml:space="preserve"> a </w:t>
      </w:r>
      <w:r w:rsidRPr="00326E55">
        <w:rPr>
          <w:noProof/>
          <w:spacing w:val="-6"/>
          <w:lang w:val="sk-SK"/>
        </w:rPr>
        <w:t>do obstarávania autobusov, železničných koľajových vozidiel, hasičských hasičov</w:t>
      </w:r>
      <w:r w:rsidR="00326E55" w:rsidRPr="00326E55">
        <w:rPr>
          <w:noProof/>
          <w:spacing w:val="-6"/>
          <w:lang w:val="sk-SK"/>
        </w:rPr>
        <w:t xml:space="preserve"> a </w:t>
      </w:r>
      <w:r w:rsidRPr="00326E55">
        <w:rPr>
          <w:noProof/>
          <w:spacing w:val="-6"/>
          <w:lang w:val="sk-SK"/>
        </w:rPr>
        <w:t>letiskových vozidiel</w:t>
      </w:r>
      <w:r w:rsidR="00326E55" w:rsidRPr="00326E55">
        <w:rPr>
          <w:noProof/>
          <w:spacing w:val="-6"/>
          <w:lang w:val="sk-SK"/>
        </w:rPr>
        <w:t xml:space="preserve"> s </w:t>
      </w:r>
      <w:r w:rsidRPr="00326E55">
        <w:rPr>
          <w:noProof/>
          <w:spacing w:val="-6"/>
          <w:lang w:val="sk-SK"/>
        </w:rPr>
        <w:t>nulovými emisiami. Tieto reformy</w:t>
      </w:r>
      <w:r w:rsidR="00326E55" w:rsidRPr="00326E55">
        <w:rPr>
          <w:noProof/>
          <w:spacing w:val="-6"/>
          <w:lang w:val="sk-SK"/>
        </w:rPr>
        <w:t xml:space="preserve"> a </w:t>
      </w:r>
      <w:r w:rsidRPr="00326E55">
        <w:rPr>
          <w:noProof/>
          <w:spacing w:val="-6"/>
          <w:lang w:val="sk-SK"/>
        </w:rPr>
        <w:t>investície dopĺňa</w:t>
      </w:r>
      <w:r w:rsidRPr="00326E55">
        <w:rPr>
          <w:noProof/>
          <w:spacing w:val="-6"/>
          <w:lang w:val="sk-SK"/>
        </w:rPr>
        <w:t>jú reformy na odstránenie regulovaných cien elektrického nabíjania</w:t>
      </w:r>
      <w:r w:rsidR="00326E55" w:rsidRPr="00326E55">
        <w:rPr>
          <w:noProof/>
          <w:spacing w:val="-6"/>
          <w:lang w:val="sk-SK"/>
        </w:rPr>
        <w:t xml:space="preserve"> a </w:t>
      </w:r>
      <w:r w:rsidRPr="00326E55">
        <w:rPr>
          <w:noProof/>
          <w:spacing w:val="-6"/>
          <w:lang w:val="sk-SK"/>
        </w:rPr>
        <w:t>zvýšenie hospodárskej súťaže</w:t>
      </w:r>
      <w:r w:rsidR="00326E55" w:rsidRPr="00326E55">
        <w:rPr>
          <w:noProof/>
          <w:spacing w:val="-6"/>
          <w:lang w:val="sk-SK"/>
        </w:rPr>
        <w:t xml:space="preserve"> v </w:t>
      </w:r>
      <w:r w:rsidRPr="00326E55">
        <w:rPr>
          <w:noProof/>
          <w:spacing w:val="-6"/>
          <w:lang w:val="sk-SK"/>
        </w:rPr>
        <w:t>oblasti koncesií na nabíjacie stanice, regionálnych železníc</w:t>
      </w:r>
      <w:r w:rsidR="00326E55" w:rsidRPr="00326E55">
        <w:rPr>
          <w:noProof/>
          <w:spacing w:val="-6"/>
          <w:lang w:val="sk-SK"/>
        </w:rPr>
        <w:t xml:space="preserve"> a </w:t>
      </w:r>
      <w:r w:rsidRPr="00326E55">
        <w:rPr>
          <w:noProof/>
          <w:spacing w:val="-6"/>
          <w:lang w:val="sk-SK"/>
        </w:rPr>
        <w:t>miestnej verejnej dopravy</w:t>
      </w:r>
      <w:r w:rsidR="00326E55" w:rsidRPr="00326E55">
        <w:rPr>
          <w:noProof/>
          <w:spacing w:val="-6"/>
          <w:lang w:val="sk-SK"/>
        </w:rPr>
        <w:t xml:space="preserve"> v </w:t>
      </w:r>
      <w:r w:rsidRPr="00326E55">
        <w:rPr>
          <w:noProof/>
          <w:spacing w:val="-6"/>
          <w:lang w:val="sk-SK"/>
        </w:rPr>
        <w:t>rámci reformnej zložky „podnikateľské prostredie“</w:t>
      </w:r>
      <w:r w:rsidR="00326E55" w:rsidRPr="00326E55">
        <w:rPr>
          <w:noProof/>
          <w:spacing w:val="-6"/>
          <w:lang w:val="sk-SK"/>
        </w:rPr>
        <w:t>.</w:t>
      </w:r>
    </w:p>
    <w:p w14:paraId="1E737441" w14:textId="388A2936" w:rsidR="00BF03AA" w:rsidRPr="00326E55" w:rsidRDefault="00FB452D">
      <w:pPr>
        <w:pStyle w:val="P68B1DB1-Normal7"/>
        <w:spacing w:before="120" w:after="120"/>
        <w:jc w:val="both"/>
        <w:rPr>
          <w:noProof/>
          <w:spacing w:val="-6"/>
          <w:lang w:val="sk-SK"/>
        </w:rPr>
      </w:pPr>
      <w:r w:rsidRPr="00326E55">
        <w:rPr>
          <w:noProof/>
          <w:spacing w:val="-6"/>
          <w:lang w:val="sk-SK"/>
        </w:rPr>
        <w:t>Investície</w:t>
      </w:r>
      <w:r w:rsidR="00326E55" w:rsidRPr="00326E55">
        <w:rPr>
          <w:noProof/>
          <w:spacing w:val="-6"/>
          <w:lang w:val="sk-SK"/>
        </w:rPr>
        <w:t xml:space="preserve"> a </w:t>
      </w:r>
      <w:r w:rsidRPr="00326E55">
        <w:rPr>
          <w:noProof/>
          <w:spacing w:val="-6"/>
          <w:lang w:val="sk-SK"/>
        </w:rPr>
        <w:t>r</w:t>
      </w:r>
      <w:r w:rsidRPr="00326E55">
        <w:rPr>
          <w:noProof/>
          <w:spacing w:val="-6"/>
          <w:lang w:val="sk-SK"/>
        </w:rPr>
        <w:t>eformy</w:t>
      </w:r>
      <w:r w:rsidR="00326E55" w:rsidRPr="00326E55">
        <w:rPr>
          <w:noProof/>
          <w:spacing w:val="-6"/>
          <w:lang w:val="sk-SK"/>
        </w:rPr>
        <w:t xml:space="preserve"> v </w:t>
      </w:r>
      <w:r w:rsidRPr="00326E55">
        <w:rPr>
          <w:noProof/>
          <w:spacing w:val="-6"/>
          <w:lang w:val="sk-SK"/>
        </w:rPr>
        <w:t>rámci tohto komponentu prispievajú</w:t>
      </w:r>
      <w:r w:rsidR="00326E55" w:rsidRPr="00326E55">
        <w:rPr>
          <w:noProof/>
          <w:spacing w:val="-6"/>
          <w:lang w:val="sk-SK"/>
        </w:rPr>
        <w:t xml:space="preserve"> k </w:t>
      </w:r>
      <w:r w:rsidRPr="00326E55">
        <w:rPr>
          <w:noProof/>
          <w:spacing w:val="-6"/>
          <w:lang w:val="sk-SK"/>
        </w:rPr>
        <w:t>plneniu odporúčaní pre jednotlivé krajiny adresovaných Taliansku</w:t>
      </w:r>
      <w:r w:rsidR="00326E55" w:rsidRPr="00326E55">
        <w:rPr>
          <w:noProof/>
          <w:spacing w:val="-6"/>
          <w:lang w:val="sk-SK"/>
        </w:rPr>
        <w:t xml:space="preserve"> v </w:t>
      </w:r>
      <w:r w:rsidRPr="00326E55">
        <w:rPr>
          <w:noProof/>
          <w:spacing w:val="-6"/>
          <w:lang w:val="sk-SK"/>
        </w:rPr>
        <w:t>rokoch 2020</w:t>
      </w:r>
      <w:r w:rsidR="00326E55" w:rsidRPr="00326E55">
        <w:rPr>
          <w:noProof/>
          <w:spacing w:val="-6"/>
          <w:lang w:val="sk-SK"/>
        </w:rPr>
        <w:t xml:space="preserve"> a </w:t>
      </w:r>
      <w:r w:rsidRPr="00326E55">
        <w:rPr>
          <w:noProof/>
          <w:spacing w:val="-6"/>
          <w:lang w:val="sk-SK"/>
        </w:rPr>
        <w:t>2019 týkajúcich sa potreby „zamerať investície na zelenú</w:t>
      </w:r>
      <w:r w:rsidR="00326E55" w:rsidRPr="00326E55">
        <w:rPr>
          <w:noProof/>
          <w:spacing w:val="-6"/>
          <w:lang w:val="sk-SK"/>
        </w:rPr>
        <w:t xml:space="preserve"> a </w:t>
      </w:r>
      <w:r w:rsidRPr="00326E55">
        <w:rPr>
          <w:noProof/>
          <w:spacing w:val="-6"/>
          <w:lang w:val="sk-SK"/>
        </w:rPr>
        <w:t>digitálnu transformáciu, najmä na [...] čistú</w:t>
      </w:r>
      <w:r w:rsidR="00326E55" w:rsidRPr="00326E55">
        <w:rPr>
          <w:noProof/>
          <w:spacing w:val="-6"/>
          <w:lang w:val="sk-SK"/>
        </w:rPr>
        <w:t xml:space="preserve"> a </w:t>
      </w:r>
      <w:r w:rsidRPr="00326E55">
        <w:rPr>
          <w:noProof/>
          <w:spacing w:val="-6"/>
          <w:lang w:val="sk-SK"/>
        </w:rPr>
        <w:t>efektívnu výrobu</w:t>
      </w:r>
      <w:r w:rsidR="00326E55" w:rsidRPr="00326E55">
        <w:rPr>
          <w:noProof/>
          <w:spacing w:val="-6"/>
          <w:lang w:val="sk-SK"/>
        </w:rPr>
        <w:t xml:space="preserve"> a </w:t>
      </w:r>
      <w:r w:rsidRPr="00326E55">
        <w:rPr>
          <w:noProof/>
          <w:spacing w:val="-6"/>
          <w:lang w:val="sk-SK"/>
        </w:rPr>
        <w:t>vyu</w:t>
      </w:r>
      <w:r w:rsidRPr="00326E55">
        <w:rPr>
          <w:noProof/>
          <w:spacing w:val="-6"/>
          <w:lang w:val="sk-SK"/>
        </w:rPr>
        <w:t xml:space="preserve">žívanie energie [...] udržateľnú verejnú dopravu“ (odporúčanie pre danú krajinu </w:t>
      </w:r>
      <w:r w:rsidR="00326E55" w:rsidRPr="00326E55">
        <w:rPr>
          <w:noProof/>
          <w:spacing w:val="-6"/>
          <w:lang w:val="sk-SK"/>
        </w:rPr>
        <w:t>č. </w:t>
      </w:r>
      <w:r w:rsidRPr="00326E55">
        <w:rPr>
          <w:noProof/>
          <w:spacing w:val="-6"/>
          <w:lang w:val="sk-SK"/>
        </w:rPr>
        <w:t>3, 2020)</w:t>
      </w:r>
      <w:r w:rsidR="00326E55" w:rsidRPr="00326E55">
        <w:rPr>
          <w:noProof/>
          <w:spacing w:val="-6"/>
          <w:lang w:val="sk-SK"/>
        </w:rPr>
        <w:t xml:space="preserve"> a </w:t>
      </w:r>
      <w:r w:rsidRPr="00326E55">
        <w:rPr>
          <w:noProof/>
          <w:spacing w:val="-6"/>
          <w:lang w:val="sk-SK"/>
        </w:rPr>
        <w:t>„zamerať hospodársku politiku súvisiacu</w:t>
      </w:r>
      <w:r w:rsidR="00326E55" w:rsidRPr="00326E55">
        <w:rPr>
          <w:noProof/>
          <w:spacing w:val="-6"/>
          <w:lang w:val="sk-SK"/>
        </w:rPr>
        <w:t xml:space="preserve"> s </w:t>
      </w:r>
      <w:r w:rsidRPr="00326E55">
        <w:rPr>
          <w:noProof/>
          <w:spacing w:val="-6"/>
          <w:lang w:val="sk-SK"/>
        </w:rPr>
        <w:t>investíciami na [...]</w:t>
      </w:r>
      <w:r w:rsidR="00326E55" w:rsidRPr="00326E55">
        <w:rPr>
          <w:noProof/>
          <w:spacing w:val="-6"/>
          <w:lang w:val="sk-SK"/>
        </w:rPr>
        <w:t xml:space="preserve"> a </w:t>
      </w:r>
      <w:r w:rsidRPr="00326E55">
        <w:rPr>
          <w:noProof/>
          <w:spacing w:val="-6"/>
          <w:lang w:val="sk-SK"/>
        </w:rPr>
        <w:t xml:space="preserve">kvalitu infraštruktúry, pričom sa zohľadnia aj regionálne rozdiely“ (odporúčanie pre jednotlivé </w:t>
      </w:r>
      <w:r w:rsidRPr="00326E55">
        <w:rPr>
          <w:noProof/>
          <w:spacing w:val="-6"/>
          <w:lang w:val="sk-SK"/>
        </w:rPr>
        <w:t xml:space="preserve">krajiny </w:t>
      </w:r>
      <w:r w:rsidR="00326E55" w:rsidRPr="00326E55">
        <w:rPr>
          <w:noProof/>
          <w:spacing w:val="-6"/>
          <w:lang w:val="sk-SK"/>
        </w:rPr>
        <w:t>č. </w:t>
      </w:r>
      <w:r w:rsidRPr="00326E55">
        <w:rPr>
          <w:noProof/>
          <w:spacing w:val="-6"/>
          <w:lang w:val="sk-SK"/>
        </w:rPr>
        <w:t>3, 2019).</w:t>
      </w:r>
    </w:p>
    <w:p w14:paraId="4E3F9F5B" w14:textId="50AF11B8" w:rsidR="00BF03AA" w:rsidRPr="00326E55" w:rsidRDefault="00FB452D">
      <w:pPr>
        <w:pStyle w:val="P68B1DB1-Normal7"/>
        <w:spacing w:before="120" w:after="120" w:line="257" w:lineRule="auto"/>
        <w:jc w:val="both"/>
        <w:rPr>
          <w:noProof/>
          <w:spacing w:val="-6"/>
          <w:lang w:val="sk-SK"/>
        </w:rPr>
      </w:pPr>
      <w:r w:rsidRPr="00326E55">
        <w:rPr>
          <w:noProof/>
          <w:spacing w:val="-6"/>
          <w:lang w:val="sk-SK"/>
        </w:rPr>
        <w:t>Komponent podporuje usmernenia vydané Taliansku</w:t>
      </w:r>
      <w:r w:rsidR="00326E55" w:rsidRPr="00326E55">
        <w:rPr>
          <w:noProof/>
          <w:spacing w:val="-6"/>
          <w:lang w:val="sk-SK"/>
        </w:rPr>
        <w:t xml:space="preserve"> k </w:t>
      </w:r>
      <w:r w:rsidRPr="00326E55">
        <w:rPr>
          <w:noProof/>
          <w:spacing w:val="-6"/>
          <w:lang w:val="sk-SK"/>
        </w:rPr>
        <w:t>vykonávaniu jeho národného energetického</w:t>
      </w:r>
      <w:r w:rsidR="00326E55" w:rsidRPr="00326E55">
        <w:rPr>
          <w:noProof/>
          <w:spacing w:val="-6"/>
          <w:lang w:val="sk-SK"/>
        </w:rPr>
        <w:t xml:space="preserve"> a </w:t>
      </w:r>
      <w:r w:rsidRPr="00326E55">
        <w:rPr>
          <w:noProof/>
          <w:spacing w:val="-6"/>
          <w:lang w:val="sk-SK"/>
        </w:rPr>
        <w:t>klimatického plánu [SWD(2020) 911 final],</w:t>
      </w:r>
      <w:r w:rsidR="00326E55" w:rsidRPr="00326E55">
        <w:rPr>
          <w:noProof/>
          <w:spacing w:val="-6"/>
          <w:lang w:val="sk-SK"/>
        </w:rPr>
        <w:t xml:space="preserve"> v </w:t>
      </w:r>
      <w:r w:rsidRPr="00326E55">
        <w:rPr>
          <w:noProof/>
          <w:spacing w:val="-6"/>
          <w:lang w:val="sk-SK"/>
        </w:rPr>
        <w:t>ktorých sa Taliansko vyzýva, aby podporovalo, prepracovalo</w:t>
      </w:r>
      <w:r w:rsidR="00326E55" w:rsidRPr="00326E55">
        <w:rPr>
          <w:noProof/>
          <w:spacing w:val="-6"/>
          <w:lang w:val="sk-SK"/>
        </w:rPr>
        <w:t xml:space="preserve"> a </w:t>
      </w:r>
      <w:r w:rsidRPr="00326E55">
        <w:rPr>
          <w:noProof/>
          <w:spacing w:val="-6"/>
          <w:lang w:val="sk-SK"/>
        </w:rPr>
        <w:t xml:space="preserve">modernizovalo existujúce zariadenia </w:t>
      </w:r>
      <w:r w:rsidRPr="00326E55">
        <w:rPr>
          <w:noProof/>
          <w:spacing w:val="-6"/>
          <w:lang w:val="sk-SK"/>
        </w:rPr>
        <w:t>na výrobu energie</w:t>
      </w:r>
      <w:r w:rsidR="00326E55" w:rsidRPr="00326E55">
        <w:rPr>
          <w:noProof/>
          <w:spacing w:val="-6"/>
          <w:lang w:val="sk-SK"/>
        </w:rPr>
        <w:t xml:space="preserve"> z </w:t>
      </w:r>
      <w:r w:rsidRPr="00326E55">
        <w:rPr>
          <w:noProof/>
          <w:spacing w:val="-6"/>
          <w:lang w:val="sk-SK"/>
        </w:rPr>
        <w:t>obnoviteľných zdrojov, najmä existujúce veterné elektrárne,</w:t>
      </w:r>
      <w:r w:rsidR="00326E55" w:rsidRPr="00326E55">
        <w:rPr>
          <w:noProof/>
          <w:spacing w:val="-6"/>
          <w:lang w:val="sk-SK"/>
        </w:rPr>
        <w:t xml:space="preserve"> a </w:t>
      </w:r>
      <w:r w:rsidRPr="00326E55">
        <w:rPr>
          <w:noProof/>
          <w:spacing w:val="-6"/>
          <w:lang w:val="sk-SK"/>
        </w:rPr>
        <w:t>aby preskúmalo inovačnú energiu na mori</w:t>
      </w:r>
      <w:r w:rsidR="00326E55" w:rsidRPr="00326E55">
        <w:rPr>
          <w:noProof/>
          <w:spacing w:val="-6"/>
          <w:lang w:val="sk-SK"/>
        </w:rPr>
        <w:t xml:space="preserve"> v </w:t>
      </w:r>
      <w:r w:rsidRPr="00326E55">
        <w:rPr>
          <w:noProof/>
          <w:spacing w:val="-6"/>
          <w:lang w:val="sk-SK"/>
        </w:rPr>
        <w:t>celom Stredozemí.</w:t>
      </w:r>
    </w:p>
    <w:p w14:paraId="4755FD79" w14:textId="1CA0FCFF" w:rsidR="00326E55" w:rsidRPr="00326E55" w:rsidRDefault="00FB452D">
      <w:pPr>
        <w:pStyle w:val="P68B1DB1-Normal7"/>
        <w:spacing w:before="120" w:after="120"/>
        <w:jc w:val="both"/>
        <w:rPr>
          <w:noProof/>
          <w:spacing w:val="-6"/>
          <w:lang w:val="sk-SK"/>
        </w:rPr>
      </w:pPr>
      <w:r w:rsidRPr="00326E55">
        <w:rPr>
          <w:noProof/>
          <w:spacing w:val="-6"/>
          <w:lang w:val="sk-SK"/>
        </w:rPr>
        <w:t>Očakáva sa, že žiadne opatrenie</w:t>
      </w:r>
      <w:r w:rsidR="00326E55" w:rsidRPr="00326E55">
        <w:rPr>
          <w:noProof/>
          <w:spacing w:val="-6"/>
          <w:lang w:val="sk-SK"/>
        </w:rPr>
        <w:t xml:space="preserve"> v </w:t>
      </w:r>
      <w:r w:rsidRPr="00326E55">
        <w:rPr>
          <w:noProof/>
          <w:spacing w:val="-6"/>
          <w:lang w:val="sk-SK"/>
        </w:rPr>
        <w:t>tomto komponente výrazne nenaruší environmentálne ciele</w:t>
      </w:r>
      <w:r w:rsidR="00326E55" w:rsidRPr="00326E55">
        <w:rPr>
          <w:noProof/>
          <w:spacing w:val="-6"/>
          <w:lang w:val="sk-SK"/>
        </w:rPr>
        <w:t xml:space="preserve"> v </w:t>
      </w:r>
      <w:r w:rsidRPr="00326E55">
        <w:rPr>
          <w:noProof/>
          <w:spacing w:val="-6"/>
          <w:lang w:val="sk-SK"/>
        </w:rPr>
        <w:t>zmysle článku 17 naria</w:t>
      </w:r>
      <w:r w:rsidRPr="00326E55">
        <w:rPr>
          <w:noProof/>
          <w:spacing w:val="-6"/>
          <w:lang w:val="sk-SK"/>
        </w:rPr>
        <w:t>denia Európskeho parlamentu</w:t>
      </w:r>
      <w:r w:rsidR="00326E55" w:rsidRPr="00326E55">
        <w:rPr>
          <w:noProof/>
          <w:spacing w:val="-6"/>
          <w:lang w:val="sk-SK"/>
        </w:rPr>
        <w:t xml:space="preserve"> a </w:t>
      </w:r>
      <w:r w:rsidRPr="00326E55">
        <w:rPr>
          <w:noProof/>
          <w:spacing w:val="-6"/>
          <w:lang w:val="sk-SK"/>
        </w:rPr>
        <w:t>Rady (EÚ) 2020/852, berúc do úvahy opis opatrení</w:t>
      </w:r>
      <w:r w:rsidR="00326E55" w:rsidRPr="00326E55">
        <w:rPr>
          <w:noProof/>
          <w:spacing w:val="-6"/>
          <w:lang w:val="sk-SK"/>
        </w:rPr>
        <w:t xml:space="preserve"> a </w:t>
      </w:r>
      <w:r w:rsidRPr="00326E55">
        <w:rPr>
          <w:noProof/>
          <w:spacing w:val="-6"/>
          <w:lang w:val="sk-SK"/>
        </w:rPr>
        <w:t>zmierňujúce kroky stanovené</w:t>
      </w:r>
      <w:r w:rsidR="00326E55" w:rsidRPr="00326E55">
        <w:rPr>
          <w:noProof/>
          <w:spacing w:val="-6"/>
          <w:lang w:val="sk-SK"/>
        </w:rPr>
        <w:t xml:space="preserve"> v </w:t>
      </w:r>
      <w:r w:rsidRPr="00326E55">
        <w:rPr>
          <w:noProof/>
          <w:spacing w:val="-6"/>
          <w:lang w:val="sk-SK"/>
        </w:rPr>
        <w:t>pláne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v </w:t>
      </w:r>
      <w:r w:rsidRPr="00326E55">
        <w:rPr>
          <w:noProof/>
          <w:spacing w:val="-6"/>
          <w:lang w:val="sk-SK"/>
        </w:rPr>
        <w:t>súlade so zásadou technického usmernia týkajúceho sa uplatňovania zásady „výrazne nenarušiť“ (DNHS) (2021/C58/01)</w:t>
      </w:r>
      <w:r w:rsidR="00326E55" w:rsidRPr="00326E55">
        <w:rPr>
          <w:noProof/>
          <w:spacing w:val="-6"/>
          <w:lang w:val="sk-SK"/>
        </w:rPr>
        <w:t>.</w:t>
      </w:r>
    </w:p>
    <w:p w14:paraId="69AA41F3" w14:textId="655ED574" w:rsidR="00BF03AA" w:rsidRPr="00326E55" w:rsidRDefault="00FB452D">
      <w:pPr>
        <w:pStyle w:val="P68B1DB1-Heading359"/>
        <w:ind w:left="850" w:hanging="850"/>
        <w:rPr>
          <w:b/>
          <w:bCs/>
          <w:i/>
          <w:iCs/>
          <w:noProof/>
          <w:color w:val="156082" w:themeColor="accent1"/>
          <w:spacing w:val="-6"/>
          <w:u w:val="single"/>
          <w:lang w:val="sk-SK"/>
        </w:rPr>
      </w:pPr>
      <w:r w:rsidRPr="00326E55">
        <w:rPr>
          <w:b/>
          <w:noProof/>
          <w:spacing w:val="-6"/>
          <w:u w:val="single"/>
          <w:lang w:val="sk-SK"/>
        </w:rPr>
        <w:t>E.1</w:t>
      </w:r>
      <w:r w:rsidRPr="00326E55">
        <w:rPr>
          <w:b/>
          <w:noProof/>
          <w:spacing w:val="-6"/>
          <w:u w:val="single"/>
          <w:lang w:val="sk-SK"/>
        </w:rPr>
        <w:t xml:space="preserve">.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nenávratnej finančnej podpory</w:t>
      </w:r>
    </w:p>
    <w:p w14:paraId="43B108FA" w14:textId="1DC4FB34" w:rsidR="00BF03AA" w:rsidRPr="00326E55" w:rsidRDefault="00FB452D">
      <w:pPr>
        <w:pStyle w:val="P68B1DB1-Normal5"/>
        <w:spacing w:before="120" w:after="120"/>
        <w:jc w:val="both"/>
        <w:rPr>
          <w:noProof/>
          <w:spacing w:val="-6"/>
          <w:lang w:val="sk-SK"/>
        </w:rPr>
      </w:pPr>
      <w:r w:rsidRPr="00326E55">
        <w:rPr>
          <w:noProof/>
          <w:spacing w:val="-6"/>
          <w:lang w:val="sk-SK"/>
        </w:rPr>
        <w:t>Reforma 1 – Zjednodušenie postupov udeľovania povolení pre zariadenia na výrobu energie</w:t>
      </w:r>
      <w:r w:rsidR="00326E55" w:rsidRPr="00326E55">
        <w:rPr>
          <w:noProof/>
          <w:spacing w:val="-6"/>
          <w:lang w:val="sk-SK"/>
        </w:rPr>
        <w:t xml:space="preserve"> z </w:t>
      </w:r>
      <w:r w:rsidRPr="00326E55">
        <w:rPr>
          <w:noProof/>
          <w:spacing w:val="-6"/>
          <w:lang w:val="sk-SK"/>
        </w:rPr>
        <w:t>obnoviteľných zdrojov na pevnine</w:t>
      </w:r>
      <w:r w:rsidR="00326E55" w:rsidRPr="00326E55">
        <w:rPr>
          <w:noProof/>
          <w:spacing w:val="-6"/>
          <w:lang w:val="sk-SK"/>
        </w:rPr>
        <w:t xml:space="preserve"> a </w:t>
      </w:r>
      <w:r w:rsidRPr="00326E55">
        <w:rPr>
          <w:noProof/>
          <w:spacing w:val="-6"/>
          <w:lang w:val="sk-SK"/>
        </w:rPr>
        <w:t>na mori</w:t>
      </w:r>
      <w:r w:rsidR="00326E55" w:rsidRPr="00326E55">
        <w:rPr>
          <w:noProof/>
          <w:spacing w:val="-6"/>
          <w:lang w:val="sk-SK"/>
        </w:rPr>
        <w:t xml:space="preserve"> a </w:t>
      </w:r>
      <w:r w:rsidRPr="00326E55">
        <w:rPr>
          <w:noProof/>
          <w:spacing w:val="-6"/>
          <w:lang w:val="sk-SK"/>
        </w:rPr>
        <w:t>nový právny rámec na udržanie výroby</w:t>
      </w:r>
      <w:r w:rsidR="00326E55" w:rsidRPr="00326E55">
        <w:rPr>
          <w:noProof/>
          <w:spacing w:val="-6"/>
          <w:lang w:val="sk-SK"/>
        </w:rPr>
        <w:t xml:space="preserve"> z </w:t>
      </w:r>
      <w:r w:rsidRPr="00326E55">
        <w:rPr>
          <w:noProof/>
          <w:spacing w:val="-6"/>
          <w:lang w:val="sk-SK"/>
        </w:rPr>
        <w:t xml:space="preserve">obnoviteľných </w:t>
      </w:r>
      <w:r w:rsidRPr="00326E55">
        <w:rPr>
          <w:noProof/>
          <w:spacing w:val="-6"/>
          <w:lang w:val="sk-SK"/>
        </w:rPr>
        <w:t>zdrojov</w:t>
      </w:r>
      <w:r w:rsidR="00326E55" w:rsidRPr="00326E55">
        <w:rPr>
          <w:noProof/>
          <w:spacing w:val="-6"/>
          <w:lang w:val="sk-SK"/>
        </w:rPr>
        <w:t xml:space="preserve"> a </w:t>
      </w:r>
      <w:r w:rsidRPr="00326E55">
        <w:rPr>
          <w:noProof/>
          <w:spacing w:val="-6"/>
          <w:lang w:val="sk-SK"/>
        </w:rPr>
        <w:t>predĺženie času</w:t>
      </w:r>
      <w:r w:rsidR="00326E55" w:rsidRPr="00326E55">
        <w:rPr>
          <w:noProof/>
          <w:spacing w:val="-6"/>
          <w:lang w:val="sk-SK"/>
        </w:rPr>
        <w:t xml:space="preserve"> a </w:t>
      </w:r>
      <w:r w:rsidRPr="00326E55">
        <w:rPr>
          <w:noProof/>
          <w:spacing w:val="-6"/>
          <w:lang w:val="sk-SK"/>
        </w:rPr>
        <w:t>oprávnenosti súčasných režimov podpory</w:t>
      </w:r>
    </w:p>
    <w:p w14:paraId="79B248C4" w14:textId="77777777" w:rsidR="00BF03AA" w:rsidRPr="00326E55" w:rsidRDefault="00FB452D">
      <w:pPr>
        <w:pStyle w:val="P68B1DB1-Normal7"/>
        <w:spacing w:before="120" w:after="120"/>
        <w:jc w:val="both"/>
        <w:rPr>
          <w:noProof/>
          <w:spacing w:val="-6"/>
          <w:lang w:val="sk-SK"/>
        </w:rPr>
      </w:pPr>
      <w:r w:rsidRPr="00326E55">
        <w:rPr>
          <w:noProof/>
          <w:spacing w:val="-6"/>
          <w:lang w:val="sk-SK"/>
        </w:rPr>
        <w:t>Táto reforma pozostáva z:</w:t>
      </w:r>
    </w:p>
    <w:p w14:paraId="1B0339CC" w14:textId="08CC1D5A" w:rsidR="00326E55"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nadobudnutie účinnosti zjednodušujúcich opatrení pre zariadenia na výrobu energie</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a </w:t>
      </w:r>
      <w:r w:rsidRPr="00326E55">
        <w:rPr>
          <w:noProof/>
          <w:spacing w:val="-6"/>
          <w:lang w:val="sk-SK"/>
        </w:rPr>
        <w:t>modernizáciu</w:t>
      </w:r>
      <w:r w:rsidR="00326E55" w:rsidRPr="00326E55">
        <w:rPr>
          <w:noProof/>
          <w:spacing w:val="-6"/>
          <w:lang w:val="sk-SK"/>
        </w:rPr>
        <w:t xml:space="preserve"> a </w:t>
      </w:r>
      <w:r w:rsidRPr="00326E55">
        <w:rPr>
          <w:noProof/>
          <w:spacing w:val="-6"/>
          <w:lang w:val="sk-SK"/>
        </w:rPr>
        <w:t>prepracovanie existujúcich zariadení</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 xml:space="preserve">ustanoveniami zákonného dekrétu </w:t>
      </w:r>
      <w:r w:rsidR="00326E55" w:rsidRPr="00326E55">
        <w:rPr>
          <w:noProof/>
          <w:spacing w:val="-6"/>
          <w:lang w:val="sk-SK"/>
        </w:rPr>
        <w:t>č. </w:t>
      </w:r>
      <w:r w:rsidRPr="00326E55">
        <w:rPr>
          <w:noProof/>
          <w:spacing w:val="-6"/>
          <w:lang w:val="sk-SK"/>
        </w:rPr>
        <w:t>76 zo 17</w:t>
      </w:r>
      <w:r w:rsidR="00326E55" w:rsidRPr="00326E55">
        <w:rPr>
          <w:noProof/>
          <w:spacing w:val="-6"/>
          <w:lang w:val="sk-SK"/>
        </w:rPr>
        <w:t>. júla</w:t>
      </w:r>
      <w:r w:rsidRPr="00326E55">
        <w:rPr>
          <w:noProof/>
          <w:spacing w:val="-6"/>
          <w:lang w:val="sk-SK"/>
        </w:rPr>
        <w:t xml:space="preserve"> 2020 „vyhláška</w:t>
      </w:r>
      <w:r w:rsidR="00326E55" w:rsidRPr="00326E55">
        <w:rPr>
          <w:noProof/>
          <w:spacing w:val="-6"/>
          <w:lang w:val="sk-SK"/>
        </w:rPr>
        <w:t xml:space="preserve"> o </w:t>
      </w:r>
      <w:r w:rsidRPr="00326E55">
        <w:rPr>
          <w:noProof/>
          <w:spacing w:val="-6"/>
          <w:lang w:val="sk-SK"/>
        </w:rPr>
        <w:t>zjednodušení“</w:t>
      </w:r>
      <w:r w:rsidR="00326E55" w:rsidRPr="00326E55">
        <w:rPr>
          <w:noProof/>
          <w:spacing w:val="-6"/>
          <w:lang w:val="sk-SK"/>
        </w:rPr>
        <w:t>;</w:t>
      </w:r>
    </w:p>
    <w:p w14:paraId="04121A08" w14:textId="6F4D7C6F" w:rsidR="00326E55"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prijatie dekrétu dohodnutého</w:t>
      </w:r>
      <w:r w:rsidR="00326E55" w:rsidRPr="00326E55">
        <w:rPr>
          <w:noProof/>
          <w:spacing w:val="-6"/>
          <w:lang w:val="sk-SK"/>
        </w:rPr>
        <w:t xml:space="preserve"> s </w:t>
      </w:r>
      <w:r w:rsidRPr="00326E55">
        <w:rPr>
          <w:noProof/>
          <w:spacing w:val="-6"/>
          <w:lang w:val="sk-SK"/>
        </w:rPr>
        <w:t>regiónmi</w:t>
      </w:r>
      <w:r w:rsidR="00326E55" w:rsidRPr="00326E55">
        <w:rPr>
          <w:noProof/>
          <w:spacing w:val="-6"/>
          <w:lang w:val="sk-SK"/>
        </w:rPr>
        <w:t xml:space="preserve"> a </w:t>
      </w:r>
      <w:r w:rsidRPr="00326E55">
        <w:rPr>
          <w:noProof/>
          <w:spacing w:val="-6"/>
          <w:lang w:val="sk-SK"/>
        </w:rPr>
        <w:t>ostatnými príslušnými štátnymi správami, ktorého cieľom je vymedziť kritériá na identifikáciu oblastí vhodných</w:t>
      </w:r>
      <w:r w:rsidR="00326E55" w:rsidRPr="00326E55">
        <w:rPr>
          <w:noProof/>
          <w:spacing w:val="-6"/>
          <w:lang w:val="sk-SK"/>
        </w:rPr>
        <w:t xml:space="preserve"> a </w:t>
      </w:r>
      <w:r w:rsidRPr="00326E55">
        <w:rPr>
          <w:noProof/>
          <w:spacing w:val="-6"/>
          <w:lang w:val="sk-SK"/>
        </w:rPr>
        <w:t>nevhodných</w:t>
      </w:r>
      <w:r w:rsidRPr="00326E55">
        <w:rPr>
          <w:noProof/>
          <w:spacing w:val="-6"/>
          <w:lang w:val="sk-SK"/>
        </w:rPr>
        <w:t xml:space="preserve"> na inštaláciu zariadení na výrobu energie</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s </w:t>
      </w:r>
      <w:r w:rsidRPr="00326E55">
        <w:rPr>
          <w:noProof/>
          <w:spacing w:val="-6"/>
          <w:lang w:val="sk-SK"/>
        </w:rPr>
        <w:t>dodatočnou kapacitou výroby energie</w:t>
      </w:r>
      <w:r w:rsidR="00326E55" w:rsidRPr="00326E55">
        <w:rPr>
          <w:noProof/>
          <w:spacing w:val="-6"/>
          <w:lang w:val="sk-SK"/>
        </w:rPr>
        <w:t xml:space="preserve"> z </w:t>
      </w:r>
      <w:r w:rsidRPr="00326E55">
        <w:rPr>
          <w:noProof/>
          <w:spacing w:val="-6"/>
          <w:lang w:val="sk-SK"/>
        </w:rPr>
        <w:t>obnoviteľných zdrojov najmenej 73 GW</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aktualizovanou verziou PNIEC na dosiahnutie cieľov rozvoja obnoviteľných zdrojov energie</w:t>
      </w:r>
      <w:r w:rsidR="00326E55" w:rsidRPr="00326E55">
        <w:rPr>
          <w:noProof/>
          <w:spacing w:val="-6"/>
          <w:lang w:val="sk-SK"/>
        </w:rPr>
        <w:t>;</w:t>
      </w:r>
    </w:p>
    <w:p w14:paraId="721F5704" w14:textId="74A4419F" w:rsidR="00326E55"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 xml:space="preserve">dokončenie </w:t>
      </w:r>
      <w:r w:rsidRPr="00326E55">
        <w:rPr>
          <w:noProof/>
          <w:spacing w:val="-6"/>
          <w:lang w:val="sk-SK"/>
        </w:rPr>
        <w:t>mechanizmu na podporu OZE aj pre ďalšie technológie, ktoré nie sú vyspelé alebo majú vysoké prevádzkové náklady,</w:t>
      </w:r>
      <w:r w:rsidR="00326E55" w:rsidRPr="00326E55">
        <w:rPr>
          <w:noProof/>
          <w:spacing w:val="-6"/>
          <w:lang w:val="sk-SK"/>
        </w:rPr>
        <w:t xml:space="preserve"> a </w:t>
      </w:r>
      <w:r w:rsidRPr="00326E55">
        <w:rPr>
          <w:noProof/>
          <w:spacing w:val="-6"/>
          <w:lang w:val="sk-SK"/>
        </w:rPr>
        <w:t>predĺženie aukčného obdobia pre tzv. mechanizmus OZE1 pri zachovaní zásady konkurenčného prístupu</w:t>
      </w:r>
      <w:r w:rsidR="00326E55" w:rsidRPr="00326E55">
        <w:rPr>
          <w:noProof/>
          <w:spacing w:val="-6"/>
          <w:lang w:val="sk-SK"/>
        </w:rPr>
        <w:t>;</w:t>
      </w:r>
    </w:p>
    <w:p w14:paraId="709BD9E4" w14:textId="5C938B8E" w:rsidR="00BF03AA"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ustanovenia na podporu investícií do systé</w:t>
      </w:r>
      <w:r w:rsidRPr="00326E55">
        <w:rPr>
          <w:noProof/>
          <w:spacing w:val="-6"/>
          <w:lang w:val="sk-SK"/>
        </w:rPr>
        <w:t>mov uskladňovania</w:t>
      </w:r>
      <w:r w:rsidR="00326E55" w:rsidRPr="00326E55">
        <w:rPr>
          <w:noProof/>
          <w:spacing w:val="-6"/>
          <w:lang w:val="sk-SK"/>
        </w:rPr>
        <w:t xml:space="preserve"> v </w:t>
      </w:r>
      <w:r w:rsidRPr="00326E55">
        <w:rPr>
          <w:noProof/>
          <w:spacing w:val="-6"/>
          <w:lang w:val="sk-SK"/>
        </w:rPr>
        <w:t>legislatívnom dekréte, ktorým sa transponuje smernica (EÚ) 2019/944</w:t>
      </w:r>
      <w:r w:rsidR="00326E55" w:rsidRPr="00326E55">
        <w:rPr>
          <w:noProof/>
          <w:spacing w:val="-6"/>
          <w:lang w:val="sk-SK"/>
        </w:rPr>
        <w:t xml:space="preserve"> o </w:t>
      </w:r>
      <w:r w:rsidRPr="00326E55">
        <w:rPr>
          <w:noProof/>
          <w:spacing w:val="-6"/>
          <w:lang w:val="sk-SK"/>
        </w:rPr>
        <w:t>spoločných pravidlách pre vnútorný trh</w:t>
      </w:r>
      <w:r w:rsidR="00326E55" w:rsidRPr="00326E55">
        <w:rPr>
          <w:noProof/>
          <w:spacing w:val="-6"/>
          <w:lang w:val="sk-SK"/>
        </w:rPr>
        <w:t xml:space="preserve"> s </w:t>
      </w:r>
      <w:r w:rsidRPr="00326E55">
        <w:rPr>
          <w:noProof/>
          <w:spacing w:val="-6"/>
          <w:lang w:val="sk-SK"/>
        </w:rPr>
        <w:t>elektrinou.</w:t>
      </w:r>
    </w:p>
    <w:p w14:paraId="5D1F197A" w14:textId="44E73BED" w:rsidR="00BF03AA" w:rsidRPr="00326E55" w:rsidRDefault="00FB452D">
      <w:pPr>
        <w:pStyle w:val="P68B1DB1-Normal5"/>
        <w:spacing w:before="120" w:after="120"/>
        <w:jc w:val="both"/>
        <w:rPr>
          <w:noProof/>
          <w:spacing w:val="-6"/>
          <w:lang w:val="sk-SK"/>
        </w:rPr>
      </w:pPr>
      <w:r w:rsidRPr="00326E55">
        <w:rPr>
          <w:noProof/>
          <w:spacing w:val="-6"/>
          <w:lang w:val="sk-SK"/>
        </w:rPr>
        <w:t>Reforma 2 – Nové právne predpisy na podporu výroby</w:t>
      </w:r>
      <w:r w:rsidR="00326E55" w:rsidRPr="00326E55">
        <w:rPr>
          <w:noProof/>
          <w:spacing w:val="-6"/>
          <w:lang w:val="sk-SK"/>
        </w:rPr>
        <w:t xml:space="preserve"> a </w:t>
      </w:r>
      <w:r w:rsidRPr="00326E55">
        <w:rPr>
          <w:noProof/>
          <w:spacing w:val="-6"/>
          <w:lang w:val="sk-SK"/>
        </w:rPr>
        <w:t>spotreby obnoviteľného plynu</w:t>
      </w:r>
    </w:p>
    <w:p w14:paraId="0D213763" w14:textId="15064BC7" w:rsidR="00BF03AA" w:rsidRPr="00326E55" w:rsidRDefault="00FB452D">
      <w:pPr>
        <w:pStyle w:val="P68B1DB1-Normal7"/>
        <w:spacing w:before="120" w:after="120"/>
        <w:jc w:val="both"/>
        <w:rPr>
          <w:noProof/>
          <w:spacing w:val="-6"/>
          <w:lang w:val="sk-SK"/>
        </w:rPr>
      </w:pPr>
      <w:r w:rsidRPr="00326E55">
        <w:rPr>
          <w:noProof/>
          <w:spacing w:val="-6"/>
          <w:lang w:val="sk-SK"/>
        </w:rPr>
        <w:t>Táto reforma spočíva</w:t>
      </w:r>
      <w:r w:rsidR="00326E55" w:rsidRPr="00326E55">
        <w:rPr>
          <w:noProof/>
          <w:spacing w:val="-6"/>
          <w:lang w:val="sk-SK"/>
        </w:rPr>
        <w:t xml:space="preserve"> v </w:t>
      </w:r>
      <w:r w:rsidRPr="00326E55">
        <w:rPr>
          <w:noProof/>
          <w:spacing w:val="-6"/>
          <w:lang w:val="sk-SK"/>
        </w:rPr>
        <w:t>posilnen</w:t>
      </w:r>
      <w:r w:rsidRPr="00326E55">
        <w:rPr>
          <w:noProof/>
          <w:spacing w:val="-6"/>
          <w:lang w:val="sk-SK"/>
        </w:rPr>
        <w:t>í podpory čistého biometánu prijatím právnych predpisov</w:t>
      </w:r>
      <w:r w:rsidR="00326E55" w:rsidRPr="00326E55">
        <w:rPr>
          <w:noProof/>
          <w:spacing w:val="-6"/>
          <w:lang w:val="sk-SK"/>
        </w:rPr>
        <w:t xml:space="preserve"> s </w:t>
      </w:r>
      <w:r w:rsidRPr="00326E55">
        <w:rPr>
          <w:noProof/>
          <w:spacing w:val="-6"/>
          <w:lang w:val="sk-SK"/>
        </w:rPr>
        <w:t>cieľom rozšíriť rozsah projektov</w:t>
      </w:r>
      <w:r w:rsidR="00326E55" w:rsidRPr="00326E55">
        <w:rPr>
          <w:noProof/>
          <w:spacing w:val="-6"/>
          <w:lang w:val="sk-SK"/>
        </w:rPr>
        <w:t xml:space="preserve"> v </w:t>
      </w:r>
      <w:r w:rsidRPr="00326E55">
        <w:rPr>
          <w:noProof/>
          <w:spacing w:val="-6"/>
          <w:lang w:val="sk-SK"/>
        </w:rPr>
        <w:t>oblasti biometánu oprávnených na podporu</w:t>
      </w:r>
      <w:r w:rsidR="00326E55" w:rsidRPr="00326E55">
        <w:rPr>
          <w:noProof/>
          <w:spacing w:val="-6"/>
          <w:lang w:val="sk-SK"/>
        </w:rPr>
        <w:t xml:space="preserve"> a </w:t>
      </w:r>
      <w:r w:rsidRPr="00326E55">
        <w:rPr>
          <w:noProof/>
          <w:spacing w:val="-6"/>
          <w:lang w:val="sk-SK"/>
        </w:rPr>
        <w:t>predĺžiť obdobie dostupnosti grantov. Biometán musí spĺňať kritériá stanovené</w:t>
      </w:r>
      <w:r w:rsidR="00326E55" w:rsidRPr="00326E55">
        <w:rPr>
          <w:noProof/>
          <w:spacing w:val="-6"/>
          <w:lang w:val="sk-SK"/>
        </w:rPr>
        <w:t xml:space="preserve"> v </w:t>
      </w:r>
      <w:r w:rsidRPr="00326E55">
        <w:rPr>
          <w:noProof/>
          <w:spacing w:val="-6"/>
          <w:lang w:val="sk-SK"/>
        </w:rPr>
        <w:t>smernici (EÚ) 2018/2001</w:t>
      </w:r>
      <w:r w:rsidR="00326E55" w:rsidRPr="00326E55">
        <w:rPr>
          <w:noProof/>
          <w:spacing w:val="-6"/>
          <w:lang w:val="sk-SK"/>
        </w:rPr>
        <w:t xml:space="preserve"> o </w:t>
      </w:r>
      <w:r w:rsidRPr="00326E55">
        <w:rPr>
          <w:noProof/>
          <w:spacing w:val="-6"/>
          <w:lang w:val="sk-SK"/>
        </w:rPr>
        <w:t>energii</w:t>
      </w:r>
      <w:r w:rsidR="00326E55" w:rsidRPr="00326E55">
        <w:rPr>
          <w:noProof/>
          <w:spacing w:val="-6"/>
          <w:lang w:val="sk-SK"/>
        </w:rPr>
        <w:t xml:space="preserve"> z </w:t>
      </w:r>
      <w:r w:rsidRPr="00326E55">
        <w:rPr>
          <w:noProof/>
          <w:spacing w:val="-6"/>
          <w:lang w:val="sk-SK"/>
        </w:rPr>
        <w:t>obno</w:t>
      </w:r>
      <w:r w:rsidRPr="00326E55">
        <w:rPr>
          <w:noProof/>
          <w:spacing w:val="-6"/>
          <w:lang w:val="sk-SK"/>
        </w:rPr>
        <w:t>viteľných zdrojov (REDII), aby opatrenie mohlo byť</w:t>
      </w:r>
      <w:r w:rsidR="00326E55" w:rsidRPr="00326E55">
        <w:rPr>
          <w:noProof/>
          <w:spacing w:val="-6"/>
          <w:lang w:val="sk-SK"/>
        </w:rPr>
        <w:t xml:space="preserve"> v </w:t>
      </w:r>
      <w:r w:rsidRPr="00326E55">
        <w:rPr>
          <w:noProof/>
          <w:spacing w:val="-6"/>
          <w:lang w:val="sk-SK"/>
        </w:rPr>
        <w:t>súlade so zásadou „nespôsobovať významnú škodu“</w:t>
      </w:r>
      <w:r w:rsidR="00326E55" w:rsidRPr="00326E55">
        <w:rPr>
          <w:noProof/>
          <w:spacing w:val="-6"/>
          <w:lang w:val="sk-SK"/>
        </w:rPr>
        <w:t xml:space="preserve"> a s </w:t>
      </w:r>
      <w:r w:rsidRPr="00326E55">
        <w:rPr>
          <w:noProof/>
          <w:spacing w:val="-6"/>
          <w:lang w:val="sk-SK"/>
        </w:rPr>
        <w:t>príslušnými požiadavkami uvedenými</w:t>
      </w:r>
      <w:r w:rsidR="00326E55" w:rsidRPr="00326E55">
        <w:rPr>
          <w:noProof/>
          <w:spacing w:val="-6"/>
          <w:lang w:val="sk-SK"/>
        </w:rPr>
        <w:t xml:space="preserve"> v </w:t>
      </w:r>
      <w:r w:rsidRPr="00326E55">
        <w:rPr>
          <w:noProof/>
          <w:spacing w:val="-6"/>
          <w:lang w:val="sk-SK"/>
        </w:rPr>
        <w:t xml:space="preserve">poznámke pod čiarou </w:t>
      </w:r>
      <w:r w:rsidR="00326E55" w:rsidRPr="00326E55">
        <w:rPr>
          <w:noProof/>
          <w:spacing w:val="-6"/>
          <w:lang w:val="sk-SK"/>
        </w:rPr>
        <w:t>č. </w:t>
      </w:r>
      <w:r w:rsidRPr="00326E55">
        <w:rPr>
          <w:noProof/>
          <w:spacing w:val="-6"/>
          <w:lang w:val="sk-SK"/>
        </w:rPr>
        <w:t>8 prílohy VI</w:t>
      </w:r>
      <w:r w:rsidR="00326E55" w:rsidRPr="00326E55">
        <w:rPr>
          <w:noProof/>
          <w:spacing w:val="-6"/>
          <w:lang w:val="sk-SK"/>
        </w:rPr>
        <w:t xml:space="preserve"> k </w:t>
      </w:r>
      <w:r w:rsidRPr="00326E55">
        <w:rPr>
          <w:noProof/>
          <w:spacing w:val="-6"/>
          <w:lang w:val="sk-SK"/>
        </w:rPr>
        <w:t>nariadeniu (EÚ) 2021/241.</w:t>
      </w:r>
    </w:p>
    <w:p w14:paraId="4E56912E" w14:textId="35280960" w:rsidR="00BF03AA" w:rsidRPr="00326E55" w:rsidRDefault="00FB452D">
      <w:pPr>
        <w:pStyle w:val="P68B1DB1-Normal5"/>
        <w:spacing w:before="120" w:after="120"/>
        <w:jc w:val="both"/>
        <w:rPr>
          <w:noProof/>
          <w:spacing w:val="-6"/>
          <w:lang w:val="sk-SK"/>
        </w:rPr>
      </w:pPr>
      <w:r w:rsidRPr="00326E55">
        <w:rPr>
          <w:noProof/>
          <w:spacing w:val="-6"/>
          <w:lang w:val="sk-SK"/>
        </w:rPr>
        <w:t>Reforma 3 – Administratívne zjednodušenie</w:t>
      </w:r>
      <w:r w:rsidR="00326E55" w:rsidRPr="00326E55">
        <w:rPr>
          <w:noProof/>
          <w:spacing w:val="-6"/>
          <w:lang w:val="sk-SK"/>
        </w:rPr>
        <w:t xml:space="preserve"> a </w:t>
      </w:r>
      <w:r w:rsidRPr="00326E55">
        <w:rPr>
          <w:noProof/>
          <w:spacing w:val="-6"/>
          <w:lang w:val="sk-SK"/>
        </w:rPr>
        <w:t>zníženie regulačných prekážok zavádzania vodíka</w:t>
      </w:r>
    </w:p>
    <w:p w14:paraId="6A0C5EBC" w14:textId="3CD5BA8A" w:rsidR="00BF03AA" w:rsidRPr="00326E55" w:rsidRDefault="00FB452D">
      <w:pPr>
        <w:pStyle w:val="P68B1DB1-Normal7"/>
        <w:spacing w:before="120" w:after="120"/>
        <w:jc w:val="both"/>
        <w:rPr>
          <w:noProof/>
          <w:spacing w:val="-6"/>
          <w:lang w:val="sk-SK"/>
        </w:rPr>
      </w:pPr>
      <w:r w:rsidRPr="00326E55">
        <w:rPr>
          <w:noProof/>
          <w:spacing w:val="-6"/>
          <w:lang w:val="sk-SK"/>
        </w:rPr>
        <w:t>Táto reforma spočíva</w:t>
      </w:r>
      <w:r w:rsidR="00326E55" w:rsidRPr="00326E55">
        <w:rPr>
          <w:noProof/>
          <w:spacing w:val="-6"/>
          <w:lang w:val="sk-SK"/>
        </w:rPr>
        <w:t xml:space="preserve"> v </w:t>
      </w:r>
      <w:r w:rsidRPr="00326E55">
        <w:rPr>
          <w:noProof/>
          <w:spacing w:val="-6"/>
          <w:lang w:val="sk-SK"/>
        </w:rPr>
        <w:t>nadobudnutí účinnosti legislatívneho rámca na podporu vodíka ako obnoviteľného zdroja energie. Tento legislatívny rámec obsahuje:</w:t>
      </w:r>
    </w:p>
    <w:p w14:paraId="779B4802" w14:textId="0879F742" w:rsidR="00BF03AA"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Technické bezpečnostné predpisy týkajúce sa výroby, pre</w:t>
      </w:r>
      <w:r w:rsidRPr="00326E55">
        <w:rPr>
          <w:noProof/>
          <w:spacing w:val="-6"/>
          <w:lang w:val="sk-SK"/>
        </w:rPr>
        <w:t>pravy (technické</w:t>
      </w:r>
      <w:r w:rsidR="00326E55" w:rsidRPr="00326E55">
        <w:rPr>
          <w:noProof/>
          <w:spacing w:val="-6"/>
          <w:lang w:val="sk-SK"/>
        </w:rPr>
        <w:t xml:space="preserve"> a </w:t>
      </w:r>
      <w:r w:rsidRPr="00326E55">
        <w:rPr>
          <w:noProof/>
          <w:spacing w:val="-6"/>
          <w:lang w:val="sk-SK"/>
        </w:rPr>
        <w:t>regulačné kritériá zavádzania vodíka do siete zemného plynu), skladovania</w:t>
      </w:r>
      <w:r w:rsidR="00326E55" w:rsidRPr="00326E55">
        <w:rPr>
          <w:noProof/>
          <w:spacing w:val="-6"/>
          <w:lang w:val="sk-SK"/>
        </w:rPr>
        <w:t xml:space="preserve"> a </w:t>
      </w:r>
      <w:r w:rsidRPr="00326E55">
        <w:rPr>
          <w:noProof/>
          <w:spacing w:val="-6"/>
          <w:lang w:val="sk-SK"/>
        </w:rPr>
        <w:t>používania vodíka;</w:t>
      </w:r>
    </w:p>
    <w:p w14:paraId="513A496D" w14:textId="468238D7" w:rsidR="00326E55"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Zrýchlený postup povoľovania</w:t>
      </w:r>
      <w:r w:rsidR="00326E55" w:rsidRPr="00326E55">
        <w:rPr>
          <w:noProof/>
          <w:spacing w:val="-6"/>
          <w:lang w:val="sk-SK"/>
        </w:rPr>
        <w:t xml:space="preserve"> s </w:t>
      </w:r>
      <w:r w:rsidRPr="00326E55">
        <w:rPr>
          <w:noProof/>
          <w:spacing w:val="-6"/>
          <w:lang w:val="sk-SK"/>
        </w:rPr>
        <w:t>postupom jednotného kontaktného miesta na získanie povolenia na výstavbu</w:t>
      </w:r>
      <w:r w:rsidR="00326E55" w:rsidRPr="00326E55">
        <w:rPr>
          <w:noProof/>
          <w:spacing w:val="-6"/>
          <w:lang w:val="sk-SK"/>
        </w:rPr>
        <w:t xml:space="preserve"> a </w:t>
      </w:r>
      <w:r w:rsidRPr="00326E55">
        <w:rPr>
          <w:noProof/>
          <w:spacing w:val="-6"/>
          <w:lang w:val="sk-SK"/>
        </w:rPr>
        <w:t>prevádzku malého závodu na výrobu vo</w:t>
      </w:r>
      <w:r w:rsidRPr="00326E55">
        <w:rPr>
          <w:noProof/>
          <w:spacing w:val="-6"/>
          <w:lang w:val="sk-SK"/>
        </w:rPr>
        <w:t>díka (v prípade elektrolyzérov</w:t>
      </w:r>
      <w:r w:rsidR="00326E55" w:rsidRPr="00326E55">
        <w:rPr>
          <w:noProof/>
          <w:spacing w:val="-6"/>
          <w:lang w:val="sk-SK"/>
        </w:rPr>
        <w:t xml:space="preserve"> s </w:t>
      </w:r>
      <w:r w:rsidRPr="00326E55">
        <w:rPr>
          <w:noProof/>
          <w:spacing w:val="-6"/>
          <w:lang w:val="sk-SK"/>
        </w:rPr>
        <w:t>výkonom menej ako 1 – 5 MW; prahová hodnota skladovania sa vymedzí</w:t>
      </w:r>
      <w:r w:rsidR="00326E55" w:rsidRPr="00326E55">
        <w:rPr>
          <w:noProof/>
          <w:spacing w:val="-6"/>
          <w:lang w:val="sk-SK"/>
        </w:rPr>
        <w:t xml:space="preserve"> v </w:t>
      </w:r>
      <w:r w:rsidRPr="00326E55">
        <w:rPr>
          <w:noProof/>
          <w:spacing w:val="-6"/>
          <w:lang w:val="sk-SK"/>
        </w:rPr>
        <w:t>uvedených technických bezpečnostných predpisoch pre vodík)</w:t>
      </w:r>
      <w:r w:rsidR="00326E55" w:rsidRPr="00326E55">
        <w:rPr>
          <w:noProof/>
          <w:spacing w:val="-6"/>
          <w:lang w:val="sk-SK"/>
        </w:rPr>
        <w:t>.</w:t>
      </w:r>
    </w:p>
    <w:p w14:paraId="29AEEAD5" w14:textId="48E9ED1D" w:rsidR="00BF03AA"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Regulácia účasti zariadení na výrobu vodíka na sieťových službách. Regulačný orgán pre energet</w:t>
      </w:r>
      <w:r w:rsidRPr="00326E55">
        <w:rPr>
          <w:noProof/>
          <w:spacing w:val="-6"/>
          <w:lang w:val="sk-SK"/>
        </w:rPr>
        <w:t>iku (ARERA) je poverený, aby po konzultácii so zainteresovanými stranami vydal osobitné regulačné opatrenie.</w:t>
      </w:r>
    </w:p>
    <w:p w14:paraId="3673BB75" w14:textId="782A3D2E" w:rsidR="00BF03AA"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Systém potvrdení</w:t>
      </w:r>
      <w:r w:rsidR="00326E55" w:rsidRPr="00326E55">
        <w:rPr>
          <w:noProof/>
          <w:spacing w:val="-6"/>
          <w:lang w:val="sk-SK"/>
        </w:rPr>
        <w:t xml:space="preserve"> o </w:t>
      </w:r>
      <w:r w:rsidRPr="00326E55">
        <w:rPr>
          <w:noProof/>
          <w:spacing w:val="-6"/>
          <w:lang w:val="sk-SK"/>
        </w:rPr>
        <w:t>pôvode pre vodík</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s </w:t>
      </w:r>
      <w:r w:rsidRPr="00326E55">
        <w:rPr>
          <w:noProof/>
          <w:spacing w:val="-6"/>
          <w:lang w:val="sk-SK"/>
        </w:rPr>
        <w:t>cieľom vysielať spotrebiteľom cenové signály.</w:t>
      </w:r>
    </w:p>
    <w:p w14:paraId="0FB8DA18" w14:textId="1173DB1A" w:rsidR="00326E55" w:rsidRPr="00326E55" w:rsidRDefault="00FB452D">
      <w:pPr>
        <w:pStyle w:val="P68B1DB1-Normal7"/>
        <w:numPr>
          <w:ilvl w:val="0"/>
          <w:numId w:val="26"/>
        </w:numPr>
        <w:spacing w:before="120" w:after="120"/>
        <w:ind w:left="360"/>
        <w:contextualSpacing/>
        <w:jc w:val="both"/>
        <w:rPr>
          <w:noProof/>
          <w:spacing w:val="-6"/>
          <w:lang w:val="sk-SK"/>
        </w:rPr>
      </w:pPr>
      <w:r w:rsidRPr="00326E55">
        <w:rPr>
          <w:noProof/>
          <w:spacing w:val="-6"/>
          <w:lang w:val="sk-SK"/>
        </w:rPr>
        <w:t xml:space="preserve">Postupy a/alebo kritériá na vymedzenie </w:t>
      </w:r>
      <w:r w:rsidRPr="00326E55">
        <w:rPr>
          <w:noProof/>
          <w:spacing w:val="-6"/>
          <w:lang w:val="sk-SK"/>
        </w:rPr>
        <w:t>vybraných čerpacích oblastí pozdĺž diaľnic na optimalizáciu umiestnenia čerpacích staníc na vytvorenie koridorov H2 pre nákladné vozidlá, počnúc severotalianskymi regiónmi až po údolie Pád</w:t>
      </w:r>
      <w:r w:rsidR="00326E55" w:rsidRPr="00326E55">
        <w:rPr>
          <w:noProof/>
          <w:spacing w:val="-6"/>
          <w:lang w:val="sk-SK"/>
        </w:rPr>
        <w:t xml:space="preserve"> a </w:t>
      </w:r>
      <w:r w:rsidRPr="00326E55">
        <w:rPr>
          <w:noProof/>
          <w:spacing w:val="-6"/>
          <w:lang w:val="sk-SK"/>
        </w:rPr>
        <w:t>logistické uzly</w:t>
      </w:r>
      <w:r w:rsidR="00326E55" w:rsidRPr="00326E55">
        <w:rPr>
          <w:noProof/>
          <w:spacing w:val="-6"/>
          <w:lang w:val="sk-SK"/>
        </w:rPr>
        <w:t xml:space="preserve"> a </w:t>
      </w:r>
      <w:r w:rsidRPr="00326E55">
        <w:rPr>
          <w:noProof/>
          <w:spacing w:val="-6"/>
          <w:lang w:val="sk-SK"/>
        </w:rPr>
        <w:t>hlavné diaľnice pozdĺž polostrova</w:t>
      </w:r>
      <w:r w:rsidR="00326E55" w:rsidRPr="00326E55">
        <w:rPr>
          <w:noProof/>
          <w:spacing w:val="-6"/>
          <w:lang w:val="sk-SK"/>
        </w:rPr>
        <w:t>.</w:t>
      </w:r>
    </w:p>
    <w:p w14:paraId="2A695F03" w14:textId="1CD2A680" w:rsidR="00BF03AA" w:rsidRPr="00326E55" w:rsidRDefault="00FB452D">
      <w:pPr>
        <w:pStyle w:val="P68B1DB1-Normal7"/>
        <w:numPr>
          <w:ilvl w:val="0"/>
          <w:numId w:val="26"/>
        </w:numPr>
        <w:spacing w:before="120" w:after="120"/>
        <w:ind w:left="357" w:hanging="357"/>
        <w:jc w:val="both"/>
        <w:rPr>
          <w:noProof/>
          <w:spacing w:val="-6"/>
          <w:lang w:val="sk-SK"/>
        </w:rPr>
      </w:pPr>
      <w:r w:rsidRPr="00326E55">
        <w:rPr>
          <w:noProof/>
          <w:spacing w:val="-6"/>
          <w:lang w:val="sk-SK"/>
        </w:rPr>
        <w:t xml:space="preserve">Koordinácia </w:t>
      </w:r>
      <w:r w:rsidRPr="00326E55">
        <w:rPr>
          <w:noProof/>
          <w:spacing w:val="-6"/>
          <w:lang w:val="sk-SK"/>
        </w:rPr>
        <w:t>10-ročného plánu rozvoja národného prevádzkovateľa prenosovej sústavy (PPS)</w:t>
      </w:r>
      <w:r w:rsidR="00326E55" w:rsidRPr="00326E55">
        <w:rPr>
          <w:noProof/>
          <w:spacing w:val="-6"/>
          <w:lang w:val="sk-SK"/>
        </w:rPr>
        <w:t xml:space="preserve"> s </w:t>
      </w:r>
      <w:r w:rsidRPr="00326E55">
        <w:rPr>
          <w:noProof/>
          <w:spacing w:val="-6"/>
          <w:lang w:val="sk-SK"/>
        </w:rPr>
        <w:t>plánmi iných európskych PPS zameranými na vypracovanie spoločných noriem pre prepravu vodíka prostredníctvom existujúcich plynovodov alebo špecializovaných plynovodov.</w:t>
      </w:r>
    </w:p>
    <w:p w14:paraId="276EAFDD" w14:textId="77777777" w:rsidR="00BF03AA" w:rsidRPr="00326E55" w:rsidRDefault="00FB452D">
      <w:pPr>
        <w:pStyle w:val="P68B1DB1-Normal5"/>
        <w:spacing w:before="120" w:after="120"/>
        <w:jc w:val="both"/>
        <w:rPr>
          <w:noProof/>
          <w:spacing w:val="-6"/>
          <w:lang w:val="sk-SK"/>
        </w:rPr>
      </w:pPr>
      <w:r w:rsidRPr="00326E55">
        <w:rPr>
          <w:noProof/>
          <w:spacing w:val="-6"/>
          <w:lang w:val="sk-SK"/>
        </w:rPr>
        <w:t xml:space="preserve">Reforma 4 </w:t>
      </w:r>
      <w:r w:rsidRPr="00326E55">
        <w:rPr>
          <w:noProof/>
          <w:spacing w:val="-6"/>
          <w:lang w:val="sk-SK"/>
        </w:rPr>
        <w:t>– Opatrenia na podporu konkurencieschopnosti vodíka</w:t>
      </w:r>
    </w:p>
    <w:p w14:paraId="5C5D667C" w14:textId="0A6463C7" w:rsidR="00BF03AA" w:rsidRPr="00326E55" w:rsidRDefault="00FB452D">
      <w:pPr>
        <w:pStyle w:val="P68B1DB1-Normal7"/>
        <w:spacing w:before="120" w:after="120"/>
        <w:jc w:val="both"/>
        <w:rPr>
          <w:noProof/>
          <w:spacing w:val="-6"/>
          <w:lang w:val="sk-SK"/>
        </w:rPr>
      </w:pPr>
      <w:r w:rsidRPr="00326E55">
        <w:rPr>
          <w:noProof/>
          <w:spacing w:val="-6"/>
          <w:lang w:val="sk-SK"/>
        </w:rPr>
        <w:t>Táto reforma pozostáva</w:t>
      </w:r>
      <w:r w:rsidR="00326E55" w:rsidRPr="00326E55">
        <w:rPr>
          <w:noProof/>
          <w:spacing w:val="-6"/>
          <w:lang w:val="sk-SK"/>
        </w:rPr>
        <w:t xml:space="preserve"> z </w:t>
      </w:r>
      <w:r w:rsidRPr="00326E55">
        <w:rPr>
          <w:noProof/>
          <w:spacing w:val="-6"/>
          <w:lang w:val="sk-SK"/>
        </w:rPr>
        <w:t>prijatia daňových opatrení na stimulovanie výroby a/alebo využívania vodíka</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pravidlami EÚ</w:t>
      </w:r>
      <w:r w:rsidR="00326E55" w:rsidRPr="00326E55">
        <w:rPr>
          <w:noProof/>
          <w:spacing w:val="-6"/>
          <w:lang w:val="sk-SK"/>
        </w:rPr>
        <w:t xml:space="preserve"> o </w:t>
      </w:r>
      <w:r w:rsidRPr="00326E55">
        <w:rPr>
          <w:noProof/>
          <w:spacing w:val="-6"/>
          <w:lang w:val="sk-SK"/>
        </w:rPr>
        <w:t>zdaňovaní</w:t>
      </w:r>
      <w:r w:rsidR="00326E55" w:rsidRPr="00326E55">
        <w:rPr>
          <w:noProof/>
          <w:spacing w:val="-6"/>
          <w:lang w:val="sk-SK"/>
        </w:rPr>
        <w:t xml:space="preserve"> a z </w:t>
      </w:r>
      <w:r w:rsidRPr="00326E55">
        <w:rPr>
          <w:noProof/>
          <w:spacing w:val="-6"/>
          <w:lang w:val="sk-SK"/>
        </w:rPr>
        <w:t>transpozície smernice RED II. Týmto opatrením sa podporuje výr</w:t>
      </w:r>
      <w:r w:rsidRPr="00326E55">
        <w:rPr>
          <w:noProof/>
          <w:spacing w:val="-6"/>
          <w:lang w:val="sk-SK"/>
        </w:rPr>
        <w:t>oba vodíka založená na elektrolýze</w:t>
      </w:r>
      <w:r w:rsidR="00326E55" w:rsidRPr="00326E55">
        <w:rPr>
          <w:noProof/>
          <w:spacing w:val="-6"/>
          <w:lang w:val="sk-SK"/>
        </w:rPr>
        <w:t xml:space="preserve"> s </w:t>
      </w:r>
      <w:r w:rsidRPr="00326E55">
        <w:rPr>
          <w:noProof/>
          <w:spacing w:val="-6"/>
          <w:lang w:val="sk-SK"/>
        </w:rPr>
        <w:t>využitím obnoviteľných zdrojov energie, ako sa vymedzuje</w:t>
      </w:r>
      <w:r w:rsidR="00326E55" w:rsidRPr="00326E55">
        <w:rPr>
          <w:noProof/>
          <w:spacing w:val="-6"/>
          <w:lang w:val="sk-SK"/>
        </w:rPr>
        <w:t xml:space="preserve"> v </w:t>
      </w:r>
      <w:r w:rsidRPr="00326E55">
        <w:rPr>
          <w:noProof/>
          <w:spacing w:val="-6"/>
          <w:lang w:val="sk-SK"/>
        </w:rPr>
        <w:t>smernici (EÚ) 2018/2001 (smernica</w:t>
      </w:r>
      <w:r w:rsidR="00326E55" w:rsidRPr="00326E55">
        <w:rPr>
          <w:noProof/>
          <w:spacing w:val="-6"/>
          <w:lang w:val="sk-SK"/>
        </w:rPr>
        <w:t xml:space="preserve"> o </w:t>
      </w:r>
      <w:r w:rsidRPr="00326E55">
        <w:rPr>
          <w:noProof/>
          <w:spacing w:val="-6"/>
          <w:lang w:val="sk-SK"/>
        </w:rPr>
        <w:t>obnoviteľných zdrojoch energie), alebo elektriny zo siete.</w:t>
      </w:r>
    </w:p>
    <w:p w14:paraId="06317B8B" w14:textId="6D5A36B1" w:rsidR="00BF03AA" w:rsidRPr="00326E55" w:rsidRDefault="00FB452D">
      <w:pPr>
        <w:pStyle w:val="P68B1DB1-Normal5"/>
        <w:spacing w:after="200" w:line="276" w:lineRule="auto"/>
        <w:rPr>
          <w:noProof/>
          <w:spacing w:val="-6"/>
          <w:lang w:val="sk-SK"/>
        </w:rPr>
      </w:pPr>
      <w:r w:rsidRPr="00326E55">
        <w:rPr>
          <w:noProof/>
          <w:spacing w:val="-6"/>
          <w:lang w:val="sk-SK"/>
        </w:rPr>
        <w:t>Reforma 5 – Inteligentnejšie postupy hodnotenia projektov</w:t>
      </w:r>
      <w:r w:rsidR="00326E55" w:rsidRPr="00326E55">
        <w:rPr>
          <w:noProof/>
          <w:spacing w:val="-6"/>
          <w:lang w:val="sk-SK"/>
        </w:rPr>
        <w:t xml:space="preserve"> v </w:t>
      </w:r>
      <w:r w:rsidRPr="00326E55">
        <w:rPr>
          <w:noProof/>
          <w:spacing w:val="-6"/>
          <w:lang w:val="sk-SK"/>
        </w:rPr>
        <w:t>sekto</w:t>
      </w:r>
      <w:r w:rsidRPr="00326E55">
        <w:rPr>
          <w:noProof/>
          <w:spacing w:val="-6"/>
          <w:lang w:val="sk-SK"/>
        </w:rPr>
        <w:t>re systémov miestnej verejnej dopravy</w:t>
      </w:r>
      <w:r w:rsidR="00326E55" w:rsidRPr="00326E55">
        <w:rPr>
          <w:noProof/>
          <w:spacing w:val="-6"/>
          <w:lang w:val="sk-SK"/>
        </w:rPr>
        <w:t xml:space="preserve"> s </w:t>
      </w:r>
      <w:r w:rsidRPr="00326E55">
        <w:rPr>
          <w:noProof/>
          <w:spacing w:val="-6"/>
          <w:lang w:val="sk-SK"/>
        </w:rPr>
        <w:t>pevnými zariadeniami</w:t>
      </w:r>
      <w:r w:rsidR="00326E55" w:rsidRPr="00326E55">
        <w:rPr>
          <w:noProof/>
          <w:spacing w:val="-6"/>
          <w:lang w:val="sk-SK"/>
        </w:rPr>
        <w:t xml:space="preserve"> a v </w:t>
      </w:r>
      <w:r w:rsidRPr="00326E55">
        <w:rPr>
          <w:noProof/>
          <w:spacing w:val="-6"/>
          <w:lang w:val="sk-SK"/>
        </w:rPr>
        <w:t>odvetví rýchlej hromadnej dopravy</w:t>
      </w:r>
    </w:p>
    <w:p w14:paraId="54E9987A" w14:textId="1396F745" w:rsidR="00326E55" w:rsidRPr="00326E55" w:rsidRDefault="00FB452D">
      <w:pPr>
        <w:pStyle w:val="P68B1DB1-Normal7"/>
        <w:spacing w:before="120" w:after="120"/>
        <w:jc w:val="both"/>
        <w:rPr>
          <w:noProof/>
          <w:spacing w:val="-6"/>
          <w:lang w:val="sk-SK"/>
        </w:rPr>
      </w:pPr>
      <w:r w:rsidRPr="00326E55">
        <w:rPr>
          <w:noProof/>
          <w:spacing w:val="-6"/>
          <w:lang w:val="sk-SK"/>
        </w:rPr>
        <w:t>Táto reforma spočíva</w:t>
      </w:r>
      <w:r w:rsidR="00326E55" w:rsidRPr="00326E55">
        <w:rPr>
          <w:noProof/>
          <w:spacing w:val="-6"/>
          <w:lang w:val="sk-SK"/>
        </w:rPr>
        <w:t xml:space="preserve"> v </w:t>
      </w:r>
      <w:r w:rsidRPr="00326E55">
        <w:rPr>
          <w:noProof/>
          <w:spacing w:val="-6"/>
          <w:lang w:val="sk-SK"/>
        </w:rPr>
        <w:t>prijatí právnych predpisov,</w:t>
      </w:r>
      <w:r w:rsidR="00326E55" w:rsidRPr="00326E55">
        <w:rPr>
          <w:noProof/>
          <w:spacing w:val="-6"/>
          <w:lang w:val="sk-SK"/>
        </w:rPr>
        <w:t xml:space="preserve"> v </w:t>
      </w:r>
      <w:r w:rsidRPr="00326E55">
        <w:rPr>
          <w:noProof/>
          <w:spacing w:val="-6"/>
          <w:lang w:val="sk-SK"/>
        </w:rPr>
        <w:t>ktorých sa jasne stanovujú zodpovednosti za schvaľovanie projektov miestnej verejnej dopravy,</w:t>
      </w:r>
      <w:r w:rsidR="00326E55" w:rsidRPr="00326E55">
        <w:rPr>
          <w:noProof/>
          <w:spacing w:val="-6"/>
          <w:lang w:val="sk-SK"/>
        </w:rPr>
        <w:t xml:space="preserve"> a v </w:t>
      </w:r>
      <w:r w:rsidRPr="00326E55">
        <w:rPr>
          <w:noProof/>
          <w:spacing w:val="-6"/>
          <w:lang w:val="sk-SK"/>
        </w:rPr>
        <w:t>zjednodušení platobného postupu</w:t>
      </w:r>
      <w:r w:rsidR="00326E55" w:rsidRPr="00326E55">
        <w:rPr>
          <w:noProof/>
          <w:spacing w:val="-6"/>
          <w:lang w:val="sk-SK"/>
        </w:rPr>
        <w:t>.</w:t>
      </w:r>
    </w:p>
    <w:p w14:paraId="5B609108" w14:textId="41938F34" w:rsidR="00BF03AA" w:rsidRPr="00326E55" w:rsidRDefault="00FB452D">
      <w:pPr>
        <w:pStyle w:val="P68B1DB1-Normal5"/>
        <w:spacing w:before="120" w:after="120"/>
        <w:jc w:val="both"/>
        <w:rPr>
          <w:bCs/>
          <w:noProof/>
          <w:spacing w:val="-6"/>
          <w:lang w:val="sk-SK"/>
        </w:rPr>
      </w:pPr>
      <w:r w:rsidRPr="00326E55">
        <w:rPr>
          <w:noProof/>
          <w:spacing w:val="-6"/>
          <w:lang w:val="sk-SK"/>
        </w:rPr>
        <w:t>Investícia 2.1 – Posilnenie inteligentných sietí</w:t>
      </w:r>
    </w:p>
    <w:p w14:paraId="22A8B5B4" w14:textId="7D665116"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modernizácia infraštruktúry</w:t>
      </w:r>
      <w:r w:rsidR="00326E55" w:rsidRPr="00326E55">
        <w:rPr>
          <w:noProof/>
          <w:spacing w:val="-6"/>
          <w:lang w:val="sk-SK"/>
        </w:rPr>
        <w:t xml:space="preserve"> a </w:t>
      </w:r>
      <w:r w:rsidRPr="00326E55">
        <w:rPr>
          <w:noProof/>
          <w:spacing w:val="-6"/>
          <w:lang w:val="sk-SK"/>
        </w:rPr>
        <w:t>digitalizácia elektrizačnej distribučnej sústavy. Investícia pozostáva</w:t>
      </w:r>
      <w:r w:rsidR="00326E55" w:rsidRPr="00326E55">
        <w:rPr>
          <w:noProof/>
          <w:spacing w:val="-6"/>
          <w:lang w:val="sk-SK"/>
        </w:rPr>
        <w:t xml:space="preserve"> z </w:t>
      </w:r>
      <w:r w:rsidRPr="00326E55">
        <w:rPr>
          <w:noProof/>
          <w:spacing w:val="-6"/>
          <w:lang w:val="sk-SK"/>
        </w:rPr>
        <w:t>poskytovania grantov prevádzkovateľom distri</w:t>
      </w:r>
      <w:r w:rsidRPr="00326E55">
        <w:rPr>
          <w:noProof/>
          <w:spacing w:val="-6"/>
          <w:lang w:val="sk-SK"/>
        </w:rPr>
        <w:t>bučných sietí na financovanie intervencií, ktorými sa zvyšuje hostiteľská kapacita distribučnej siete, ako aj kapacita, ktorú majú domácnosti</w:t>
      </w:r>
      <w:r w:rsidR="00326E55" w:rsidRPr="00326E55">
        <w:rPr>
          <w:noProof/>
          <w:spacing w:val="-6"/>
          <w:lang w:val="sk-SK"/>
        </w:rPr>
        <w:t xml:space="preserve"> k </w:t>
      </w:r>
      <w:r w:rsidRPr="00326E55">
        <w:rPr>
          <w:noProof/>
          <w:spacing w:val="-6"/>
          <w:lang w:val="sk-SK"/>
        </w:rPr>
        <w:t>dispozícii na elektrifikáciu svojej spotreby energie.</w:t>
      </w:r>
    </w:p>
    <w:p w14:paraId="7F630D84" w14:textId="77777777" w:rsidR="00BF03AA" w:rsidRPr="00326E55" w:rsidRDefault="00FB452D">
      <w:pPr>
        <w:pStyle w:val="P68B1DB1-Normal7"/>
        <w:rPr>
          <w:b/>
          <w:bCs/>
          <w:noProof/>
          <w:spacing w:val="-6"/>
          <w:lang w:val="sk-SK"/>
        </w:rPr>
      </w:pPr>
      <w:r w:rsidRPr="00326E55">
        <w:rPr>
          <w:noProof/>
          <w:spacing w:val="-6"/>
          <w:lang w:val="sk-SK"/>
        </w:rPr>
        <w:br w:type="page"/>
      </w:r>
    </w:p>
    <w:p w14:paraId="3D4F6D0B" w14:textId="362332DD" w:rsidR="00BF03AA" w:rsidRPr="00326E55" w:rsidRDefault="00FB452D">
      <w:pPr>
        <w:pStyle w:val="P68B1DB1-Normal5"/>
        <w:spacing w:before="120" w:after="120"/>
        <w:jc w:val="both"/>
        <w:rPr>
          <w:bCs/>
          <w:noProof/>
          <w:spacing w:val="-6"/>
          <w:lang w:val="sk-SK"/>
        </w:rPr>
      </w:pPr>
      <w:r w:rsidRPr="00326E55">
        <w:rPr>
          <w:noProof/>
          <w:spacing w:val="-6"/>
          <w:lang w:val="sk-SK"/>
        </w:rPr>
        <w:t>Investícia 2.2 – Intervencie na zvýšenie odolnosti elekt</w:t>
      </w:r>
      <w:r w:rsidRPr="00326E55">
        <w:rPr>
          <w:noProof/>
          <w:spacing w:val="-6"/>
          <w:lang w:val="sk-SK"/>
        </w:rPr>
        <w:t>rizačnej sústavy</w:t>
      </w:r>
    </w:p>
    <w:p w14:paraId="2B1710BF" w14:textId="491168D8"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zabezpečiť odolnosť elektrizačnej sústavy voči extrémnym poveternostným javom, čím sa zníži pravdepodobnosť dlhotrvajúcich prerušení dodávok elektriny. Investícia pozostáva</w:t>
      </w:r>
      <w:r w:rsidR="00326E55" w:rsidRPr="00326E55">
        <w:rPr>
          <w:noProof/>
          <w:spacing w:val="-6"/>
          <w:lang w:val="sk-SK"/>
        </w:rPr>
        <w:t xml:space="preserve"> z </w:t>
      </w:r>
      <w:r w:rsidRPr="00326E55">
        <w:rPr>
          <w:noProof/>
          <w:spacing w:val="-6"/>
          <w:lang w:val="sk-SK"/>
        </w:rPr>
        <w:t>poskytovania grantov prevádzkovateľom</w:t>
      </w:r>
      <w:r w:rsidRPr="00326E55">
        <w:rPr>
          <w:noProof/>
          <w:spacing w:val="-6"/>
          <w:lang w:val="sk-SK"/>
        </w:rPr>
        <w:t xml:space="preserve"> prenosových</w:t>
      </w:r>
      <w:r w:rsidR="00326E55" w:rsidRPr="00326E55">
        <w:rPr>
          <w:noProof/>
          <w:spacing w:val="-6"/>
          <w:lang w:val="sk-SK"/>
        </w:rPr>
        <w:t xml:space="preserve"> a </w:t>
      </w:r>
      <w:r w:rsidRPr="00326E55">
        <w:rPr>
          <w:noProof/>
          <w:spacing w:val="-6"/>
          <w:lang w:val="sk-SK"/>
        </w:rPr>
        <w:t>distribučných sústav na práce na elektrickej infraštruktúre.</w:t>
      </w:r>
    </w:p>
    <w:p w14:paraId="174CC013"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4.1 – Investície do bezmotorovej mobility (národný plán cyklistickej cesty)</w:t>
      </w:r>
    </w:p>
    <w:p w14:paraId="020318A8" w14:textId="031D334C"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vybudovať cyklistické cesty na uľahčenie dochádzania do práce medz</w:t>
      </w:r>
      <w:r w:rsidRPr="00326E55">
        <w:rPr>
          <w:noProof/>
          <w:spacing w:val="-6"/>
          <w:lang w:val="sk-SK"/>
        </w:rPr>
        <w:t>i miestami</w:t>
      </w:r>
      <w:r w:rsidR="00326E55" w:rsidRPr="00326E55">
        <w:rPr>
          <w:noProof/>
          <w:spacing w:val="-6"/>
          <w:lang w:val="sk-SK"/>
        </w:rPr>
        <w:t xml:space="preserve"> v </w:t>
      </w:r>
      <w:r w:rsidRPr="00326E55">
        <w:rPr>
          <w:noProof/>
          <w:spacing w:val="-6"/>
          <w:lang w:val="sk-SK"/>
        </w:rPr>
        <w:t>metropolitných oblastiach alebo mestách,</w:t>
      </w:r>
      <w:r w:rsidR="00326E55" w:rsidRPr="00326E55">
        <w:rPr>
          <w:noProof/>
          <w:spacing w:val="-6"/>
          <w:lang w:val="sk-SK"/>
        </w:rPr>
        <w:t xml:space="preserve"> v </w:t>
      </w:r>
      <w:r w:rsidRPr="00326E55">
        <w:rPr>
          <w:noProof/>
          <w:spacing w:val="-6"/>
          <w:lang w:val="sk-SK"/>
        </w:rPr>
        <w:t>ktorých sa nachádzajú univerzity. Táto investícia pozostáva</w:t>
      </w:r>
      <w:r w:rsidR="00326E55" w:rsidRPr="00326E55">
        <w:rPr>
          <w:noProof/>
          <w:spacing w:val="-6"/>
          <w:lang w:val="sk-SK"/>
        </w:rPr>
        <w:t xml:space="preserve"> z </w:t>
      </w:r>
      <w:r w:rsidRPr="00326E55">
        <w:rPr>
          <w:noProof/>
          <w:spacing w:val="-6"/>
          <w:lang w:val="sk-SK"/>
        </w:rPr>
        <w:t>vybudovania aspoň 1 261 km cyklistických pruhov</w:t>
      </w:r>
      <w:r w:rsidR="00326E55" w:rsidRPr="00326E55">
        <w:rPr>
          <w:noProof/>
          <w:spacing w:val="-6"/>
          <w:lang w:val="sk-SK"/>
        </w:rPr>
        <w:t xml:space="preserve"> v </w:t>
      </w:r>
      <w:r w:rsidRPr="00326E55">
        <w:rPr>
          <w:noProof/>
          <w:spacing w:val="-6"/>
          <w:lang w:val="sk-SK"/>
        </w:rPr>
        <w:t>metropolitných oblastiach</w:t>
      </w:r>
      <w:r w:rsidR="00326E55" w:rsidRPr="00326E55">
        <w:rPr>
          <w:noProof/>
          <w:spacing w:val="-6"/>
          <w:lang w:val="sk-SK"/>
        </w:rPr>
        <w:t xml:space="preserve"> a </w:t>
      </w:r>
      <w:r w:rsidRPr="00326E55">
        <w:rPr>
          <w:noProof/>
          <w:spacing w:val="-6"/>
          <w:lang w:val="sk-SK"/>
        </w:rPr>
        <w:t>turistických cyklistických trás.</w:t>
      </w:r>
    </w:p>
    <w:p w14:paraId="768B7461" w14:textId="6B60F77B" w:rsidR="00BF03AA" w:rsidRPr="00326E55" w:rsidRDefault="00FB452D">
      <w:pPr>
        <w:pStyle w:val="P68B1DB1-Normal5"/>
        <w:spacing w:before="120" w:after="120"/>
        <w:jc w:val="both"/>
        <w:rPr>
          <w:bCs/>
          <w:noProof/>
          <w:spacing w:val="-6"/>
          <w:lang w:val="sk-SK"/>
        </w:rPr>
      </w:pPr>
      <w:r w:rsidRPr="00326E55">
        <w:rPr>
          <w:noProof/>
          <w:spacing w:val="-6"/>
          <w:lang w:val="sk-SK"/>
        </w:rPr>
        <w:t>Investícia 4.3 – Inštalácia</w:t>
      </w:r>
      <w:r w:rsidRPr="00326E55">
        <w:rPr>
          <w:noProof/>
          <w:spacing w:val="-6"/>
          <w:lang w:val="sk-SK"/>
        </w:rPr>
        <w:t xml:space="preserve"> nabíjacej infraštruktúry</w:t>
      </w:r>
    </w:p>
    <w:p w14:paraId="1A9D0795" w14:textId="10CF0633"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podporiť dekarbonizáciu odvetvia dopravy. Táto investícia pozostáva</w:t>
      </w:r>
      <w:r w:rsidR="00326E55" w:rsidRPr="00326E55">
        <w:rPr>
          <w:noProof/>
          <w:spacing w:val="-6"/>
          <w:lang w:val="sk-SK"/>
        </w:rPr>
        <w:t xml:space="preserve"> z </w:t>
      </w:r>
      <w:r w:rsidRPr="00326E55">
        <w:rPr>
          <w:noProof/>
          <w:spacing w:val="-6"/>
          <w:lang w:val="sk-SK"/>
        </w:rPr>
        <w:t>financovania inštalácie rýchlych verejných nabíjacích staníc na voľnej ceste</w:t>
      </w:r>
      <w:r w:rsidR="00326E55" w:rsidRPr="00326E55">
        <w:rPr>
          <w:noProof/>
          <w:spacing w:val="-6"/>
          <w:lang w:val="sk-SK"/>
        </w:rPr>
        <w:t xml:space="preserve"> a v </w:t>
      </w:r>
      <w:r w:rsidRPr="00326E55">
        <w:rPr>
          <w:noProof/>
          <w:spacing w:val="-6"/>
          <w:lang w:val="sk-SK"/>
        </w:rPr>
        <w:t>mestských oblastiach.</w:t>
      </w:r>
    </w:p>
    <w:p w14:paraId="512DB2D0" w14:textId="4D190B13" w:rsidR="00BF03AA" w:rsidRPr="00326E55" w:rsidRDefault="00FB452D">
      <w:pPr>
        <w:pStyle w:val="P68B1DB1-Normal5"/>
        <w:spacing w:after="120"/>
        <w:jc w:val="both"/>
        <w:rPr>
          <w:bCs/>
          <w:noProof/>
          <w:spacing w:val="-6"/>
          <w:lang w:val="sk-SK"/>
        </w:rPr>
      </w:pPr>
      <w:r w:rsidRPr="00326E55">
        <w:rPr>
          <w:noProof/>
          <w:spacing w:val="-6"/>
          <w:lang w:val="sk-SK"/>
        </w:rPr>
        <w:t xml:space="preserve">Investícia 4.4.1 – Posilnenie </w:t>
      </w:r>
      <w:r w:rsidRPr="00326E55">
        <w:rPr>
          <w:noProof/>
          <w:spacing w:val="-6"/>
          <w:lang w:val="sk-SK"/>
        </w:rPr>
        <w:t>regionálneho vozového parku verejnej dopravy pre autobusy</w:t>
      </w:r>
      <w:r w:rsidR="00326E55" w:rsidRPr="00326E55">
        <w:rPr>
          <w:noProof/>
          <w:spacing w:val="-6"/>
          <w:lang w:val="sk-SK"/>
        </w:rPr>
        <w:t xml:space="preserve"> s </w:t>
      </w:r>
      <w:r w:rsidRPr="00326E55">
        <w:rPr>
          <w:noProof/>
          <w:spacing w:val="-6"/>
          <w:lang w:val="sk-SK"/>
        </w:rPr>
        <w:t>nulovými emisiami</w:t>
      </w:r>
    </w:p>
    <w:p w14:paraId="6131C7C0" w14:textId="62B7DDAD" w:rsidR="00BF03AA" w:rsidRPr="00326E55" w:rsidRDefault="00FB452D">
      <w:pPr>
        <w:pStyle w:val="P68B1DB1-Normal7"/>
        <w:spacing w:after="120"/>
        <w:jc w:val="both"/>
        <w:rPr>
          <w:noProof/>
          <w:spacing w:val="-6"/>
          <w:lang w:val="sk-SK"/>
        </w:rPr>
      </w:pPr>
      <w:r w:rsidRPr="00326E55">
        <w:rPr>
          <w:noProof/>
          <w:spacing w:val="-6"/>
          <w:lang w:val="sk-SK"/>
        </w:rPr>
        <w:t>Cieľom investície je znížiť emisie skleníkových plynov</w:t>
      </w:r>
      <w:r w:rsidR="00326E55" w:rsidRPr="00326E55">
        <w:rPr>
          <w:noProof/>
          <w:spacing w:val="-6"/>
          <w:lang w:val="sk-SK"/>
        </w:rPr>
        <w:t xml:space="preserve"> a </w:t>
      </w:r>
      <w:r w:rsidRPr="00326E55">
        <w:rPr>
          <w:noProof/>
          <w:spacing w:val="-6"/>
          <w:lang w:val="sk-SK"/>
        </w:rPr>
        <w:t>modernizovať vozový park verejných autobusov. Táto investícia pozostáva</w:t>
      </w:r>
      <w:r w:rsidR="00326E55" w:rsidRPr="00326E55">
        <w:rPr>
          <w:noProof/>
          <w:spacing w:val="-6"/>
          <w:lang w:val="sk-SK"/>
        </w:rPr>
        <w:t xml:space="preserve"> z </w:t>
      </w:r>
      <w:r w:rsidRPr="00326E55">
        <w:rPr>
          <w:noProof/>
          <w:spacing w:val="-6"/>
          <w:lang w:val="sk-SK"/>
        </w:rPr>
        <w:t>obstarávania autobusov</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in</w:t>
      </w:r>
      <w:r w:rsidRPr="00326E55">
        <w:rPr>
          <w:noProof/>
          <w:spacing w:val="-6"/>
          <w:lang w:val="sk-SK"/>
        </w:rPr>
        <w:t>štalácie nabíjacích staníc.</w:t>
      </w:r>
    </w:p>
    <w:p w14:paraId="66EF8AAC" w14:textId="77777777" w:rsidR="00326E55" w:rsidRPr="00326E55" w:rsidRDefault="00FB452D">
      <w:pPr>
        <w:pStyle w:val="P68B1DB1-Normal5"/>
        <w:spacing w:before="120" w:after="120"/>
        <w:jc w:val="both"/>
        <w:rPr>
          <w:noProof/>
          <w:spacing w:val="-6"/>
          <w:lang w:val="sk-SK"/>
        </w:rPr>
      </w:pPr>
      <w:r w:rsidRPr="00326E55">
        <w:rPr>
          <w:noProof/>
          <w:spacing w:val="-6"/>
          <w:lang w:val="sk-SK"/>
        </w:rPr>
        <w:t>Investícia 4.4.3 – Obnova vozového parku pre velenie národného hasičského zboru</w:t>
      </w:r>
    </w:p>
    <w:p w14:paraId="57D66163" w14:textId="7804B062" w:rsidR="00BF03AA" w:rsidRPr="00326E55" w:rsidRDefault="00FB452D">
      <w:pPr>
        <w:spacing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Cieľom investície je znížiť emisie skleníkových plynov</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modernizovať vozový park hasičského zboru. Táto investícia pozostáva</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 xml:space="preserve">obstarávania </w:t>
      </w:r>
      <w:r w:rsidRPr="00326E55">
        <w:rPr>
          <w:rFonts w:ascii="Times New Roman" w:hAnsi="Times New Roman" w:cs="Times New Roman"/>
          <w:noProof/>
          <w:spacing w:val="-6"/>
          <w:lang w:val="sk-SK"/>
        </w:rPr>
        <w:t>najmenej</w:t>
      </w:r>
      <w:r w:rsidRPr="00326E55">
        <w:rPr>
          <w:rFonts w:ascii="Times New Roman" w:hAnsi="Times New Roman"/>
          <w:noProof/>
          <w:color w:val="006100"/>
          <w:spacing w:val="-6"/>
          <w:sz w:val="20"/>
          <w:szCs w:val="20"/>
          <w:lang w:val="sk-SK"/>
        </w:rPr>
        <w:t xml:space="preserve"> </w:t>
      </w:r>
      <w:r w:rsidRPr="00326E55">
        <w:rPr>
          <w:rFonts w:ascii="Times New Roman" w:hAnsi="Times New Roman" w:cs="Times New Roman"/>
          <w:noProof/>
          <w:spacing w:val="-6"/>
          <w:lang w:val="sk-SK"/>
        </w:rPr>
        <w:t>3800 vozidiel pre národnú požiarnu brigádu.</w:t>
      </w:r>
    </w:p>
    <w:p w14:paraId="377F68EB" w14:textId="559A893E" w:rsidR="00BF03AA" w:rsidRPr="00326E55" w:rsidRDefault="00FB452D">
      <w:pPr>
        <w:pStyle w:val="P68B1DB1-Normal5"/>
        <w:rPr>
          <w:bCs/>
          <w:noProof/>
          <w:spacing w:val="-6"/>
          <w:lang w:val="sk-SK"/>
        </w:rPr>
      </w:pPr>
      <w:r w:rsidRPr="00326E55">
        <w:rPr>
          <w:noProof/>
          <w:spacing w:val="-6"/>
          <w:lang w:val="sk-SK"/>
        </w:rPr>
        <w:t>Investícia 4.5 – Program obnovy vozového parku súkromných</w:t>
      </w:r>
      <w:r w:rsidR="00326E55" w:rsidRPr="00326E55">
        <w:rPr>
          <w:noProof/>
          <w:spacing w:val="-6"/>
          <w:lang w:val="sk-SK"/>
        </w:rPr>
        <w:t xml:space="preserve"> a </w:t>
      </w:r>
      <w:r w:rsidRPr="00326E55">
        <w:rPr>
          <w:noProof/>
          <w:spacing w:val="-6"/>
          <w:lang w:val="sk-SK"/>
        </w:rPr>
        <w:t>ľahkých úžitkových vozidiel</w:t>
      </w:r>
      <w:r w:rsidR="00326E55" w:rsidRPr="00326E55">
        <w:rPr>
          <w:noProof/>
          <w:spacing w:val="-6"/>
          <w:lang w:val="sk-SK"/>
        </w:rPr>
        <w:t xml:space="preserve"> s </w:t>
      </w:r>
      <w:r w:rsidRPr="00326E55">
        <w:rPr>
          <w:noProof/>
          <w:spacing w:val="-6"/>
          <w:lang w:val="sk-SK"/>
        </w:rPr>
        <w:t>elektrickými vozidlami</w:t>
      </w:r>
    </w:p>
    <w:p w14:paraId="2DE8DE88" w14:textId="216CC048" w:rsidR="00BF03AA" w:rsidRPr="00326E55" w:rsidRDefault="00FB452D">
      <w:pPr>
        <w:pStyle w:val="P68B1DB1-Normal7"/>
        <w:rPr>
          <w:noProof/>
          <w:spacing w:val="-6"/>
          <w:lang w:val="sk-SK"/>
        </w:rPr>
      </w:pPr>
      <w:r w:rsidRPr="00326E55">
        <w:rPr>
          <w:noProof/>
          <w:spacing w:val="-6"/>
          <w:lang w:val="sk-SK"/>
        </w:rPr>
        <w:t>Cieľom tejto investície je znížiť emisie skleníkových plynov</w:t>
      </w:r>
      <w:r w:rsidR="00326E55" w:rsidRPr="00326E55">
        <w:rPr>
          <w:noProof/>
          <w:spacing w:val="-6"/>
          <w:lang w:val="sk-SK"/>
        </w:rPr>
        <w:t xml:space="preserve"> a </w:t>
      </w:r>
      <w:r w:rsidRPr="00326E55">
        <w:rPr>
          <w:noProof/>
          <w:spacing w:val="-6"/>
          <w:lang w:val="sk-SK"/>
        </w:rPr>
        <w:t>znečistenie ovzdušia spôsob</w:t>
      </w:r>
      <w:r w:rsidRPr="00326E55">
        <w:rPr>
          <w:noProof/>
          <w:spacing w:val="-6"/>
          <w:lang w:val="sk-SK"/>
        </w:rPr>
        <w:t>ené cestnou dopravou</w:t>
      </w:r>
      <w:r w:rsidR="00326E55" w:rsidRPr="00326E55">
        <w:rPr>
          <w:noProof/>
          <w:spacing w:val="-6"/>
          <w:lang w:val="sk-SK"/>
        </w:rPr>
        <w:t xml:space="preserve"> v </w:t>
      </w:r>
      <w:r w:rsidRPr="00326E55">
        <w:rPr>
          <w:noProof/>
          <w:spacing w:val="-6"/>
          <w:lang w:val="sk-SK"/>
        </w:rPr>
        <w:t>mestských oblastiach. Táto investícia pozostáva zo systému odoberania automobilov,</w:t>
      </w:r>
      <w:r w:rsidR="00326E55" w:rsidRPr="00326E55">
        <w:rPr>
          <w:noProof/>
          <w:spacing w:val="-6"/>
          <w:lang w:val="sk-SK"/>
        </w:rPr>
        <w:t xml:space="preserve"> v </w:t>
      </w:r>
      <w:r w:rsidRPr="00326E55">
        <w:rPr>
          <w:noProof/>
          <w:spacing w:val="-6"/>
          <w:lang w:val="sk-SK"/>
        </w:rPr>
        <w:t>rámci ktorého sa tepelné vozidlo odovzdáva</w:t>
      </w:r>
      <w:r w:rsidR="00326E55" w:rsidRPr="00326E55">
        <w:rPr>
          <w:noProof/>
          <w:spacing w:val="-6"/>
          <w:lang w:val="sk-SK"/>
        </w:rPr>
        <w:t xml:space="preserve"> a </w:t>
      </w:r>
      <w:r w:rsidRPr="00326E55">
        <w:rPr>
          <w:noProof/>
          <w:spacing w:val="-6"/>
          <w:lang w:val="sk-SK"/>
        </w:rPr>
        <w:t>nahrádza novým zakúpeným vozidlom</w:t>
      </w:r>
      <w:r w:rsidR="00326E55" w:rsidRPr="00326E55">
        <w:rPr>
          <w:noProof/>
          <w:spacing w:val="-6"/>
          <w:lang w:val="sk-SK"/>
        </w:rPr>
        <w:t xml:space="preserve"> s </w:t>
      </w:r>
      <w:r w:rsidRPr="00326E55">
        <w:rPr>
          <w:noProof/>
          <w:spacing w:val="-6"/>
          <w:lang w:val="sk-SK"/>
        </w:rPr>
        <w:t>nulovými emisiami.</w:t>
      </w:r>
    </w:p>
    <w:p w14:paraId="6EE4F270" w14:textId="77777777" w:rsidR="00BF03AA" w:rsidRPr="00326E55" w:rsidRDefault="00FB452D">
      <w:pPr>
        <w:pStyle w:val="P68B1DB1-Normal29"/>
        <w:spacing w:before="120" w:after="120"/>
        <w:jc w:val="both"/>
        <w:rPr>
          <w:bCs/>
          <w:noProof/>
          <w:spacing w:val="-6"/>
          <w:lang w:val="sk-SK"/>
        </w:rPr>
      </w:pPr>
      <w:r w:rsidRPr="00326E55">
        <w:rPr>
          <w:noProof/>
          <w:spacing w:val="-6"/>
          <w:lang w:val="sk-SK"/>
        </w:rPr>
        <w:t>Investícia 5.4 – Kapitálová injekcia do Fondu pr</w:t>
      </w:r>
      <w:r w:rsidRPr="00326E55">
        <w:rPr>
          <w:noProof/>
          <w:spacing w:val="-6"/>
          <w:lang w:val="sk-SK"/>
        </w:rPr>
        <w:t>e zelenú transformáciu (ďalej len „GTF“), ktorý spravuje SGR rizikového kapitálu CDP</w:t>
      </w:r>
    </w:p>
    <w:p w14:paraId="2086E09B" w14:textId="3991A82D" w:rsidR="00326E55" w:rsidRPr="00326E55" w:rsidRDefault="00FB452D">
      <w:pPr>
        <w:pStyle w:val="P68B1DB1-Normal8"/>
        <w:spacing w:line="240" w:lineRule="auto"/>
        <w:jc w:val="both"/>
        <w:rPr>
          <w:noProof/>
          <w:spacing w:val="-6"/>
          <w:lang w:val="sk-SK"/>
        </w:rPr>
      </w:pPr>
      <w:r w:rsidRPr="00326E55">
        <w:rPr>
          <w:noProof/>
          <w:spacing w:val="-6"/>
          <w:lang w:val="sk-SK"/>
        </w:rPr>
        <w:t>Cieľom tohto opatrenia je podporiť rastový potenciál talianskeho hospodárstva stimulovaním súkromných investícií, zlepšením prístupu startupov zapojených do zelenej transf</w:t>
      </w:r>
      <w:r w:rsidRPr="00326E55">
        <w:rPr>
          <w:noProof/>
          <w:spacing w:val="-6"/>
          <w:lang w:val="sk-SK"/>
        </w:rPr>
        <w:t>ormácie</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a </w:t>
      </w:r>
      <w:r w:rsidRPr="00326E55">
        <w:rPr>
          <w:noProof/>
          <w:spacing w:val="-6"/>
          <w:lang w:val="sk-SK"/>
        </w:rPr>
        <w:t>rozvojom trhu</w:t>
      </w:r>
      <w:r w:rsidR="00326E55" w:rsidRPr="00326E55">
        <w:rPr>
          <w:noProof/>
          <w:spacing w:val="-6"/>
          <w:lang w:val="sk-SK"/>
        </w:rPr>
        <w:t xml:space="preserve"> s </w:t>
      </w:r>
      <w:r w:rsidRPr="00326E55">
        <w:rPr>
          <w:noProof/>
          <w:spacing w:val="-6"/>
          <w:lang w:val="sk-SK"/>
        </w:rPr>
        <w:t>rizikovým kapitálom</w:t>
      </w:r>
      <w:r w:rsidR="00326E55" w:rsidRPr="00326E55">
        <w:rPr>
          <w:noProof/>
          <w:spacing w:val="-6"/>
          <w:lang w:val="sk-SK"/>
        </w:rPr>
        <w:t xml:space="preserve"> v </w:t>
      </w:r>
      <w:r w:rsidRPr="00326E55">
        <w:rPr>
          <w:noProof/>
          <w:spacing w:val="-6"/>
          <w:lang w:val="sk-SK"/>
        </w:rPr>
        <w:t>tomto odvetví. Opatrenie pozostáva</w:t>
      </w:r>
      <w:r w:rsidR="00326E55" w:rsidRPr="00326E55">
        <w:rPr>
          <w:noProof/>
          <w:spacing w:val="-6"/>
          <w:lang w:val="sk-SK"/>
        </w:rPr>
        <w:t xml:space="preserve"> z </w:t>
      </w:r>
      <w:r w:rsidRPr="00326E55">
        <w:rPr>
          <w:noProof/>
          <w:spacing w:val="-6"/>
          <w:lang w:val="sk-SK"/>
        </w:rPr>
        <w:t>kapitálovej injekcie vo výške 250 000 000 EUR do Fondu pre zelenú transformáciu (ďalej len „GTF“), ktorý spravuje SGR rizikového kapitálu CDP</w:t>
      </w:r>
      <w:r w:rsidR="00326E55" w:rsidRPr="00326E55">
        <w:rPr>
          <w:noProof/>
          <w:spacing w:val="-6"/>
          <w:lang w:val="sk-SK"/>
        </w:rPr>
        <w:t>.</w:t>
      </w:r>
    </w:p>
    <w:p w14:paraId="3DD3515B" w14:textId="2C689C16" w:rsidR="00BF03AA" w:rsidRPr="00326E55" w:rsidRDefault="00FB452D">
      <w:pPr>
        <w:pStyle w:val="P68B1DB1-LegalNumPar260"/>
        <w:numPr>
          <w:ilvl w:val="0"/>
          <w:numId w:val="0"/>
        </w:numPr>
        <w:spacing w:line="259" w:lineRule="auto"/>
        <w:jc w:val="both"/>
        <w:rPr>
          <w:noProof/>
          <w:spacing w:val="-6"/>
          <w:lang w:val="sk-SK"/>
        </w:rPr>
      </w:pPr>
      <w:r w:rsidRPr="00326E55">
        <w:rPr>
          <w:noProof/>
          <w:spacing w:val="-6"/>
          <w:lang w:val="sk-SK"/>
        </w:rPr>
        <w:t xml:space="preserve">SGR </w:t>
      </w:r>
      <w:r w:rsidRPr="00326E55">
        <w:rPr>
          <w:noProof/>
          <w:spacing w:val="-6"/>
          <w:lang w:val="sk-SK"/>
        </w:rPr>
        <w:t>rizikového kapitálu CDP prijme investičnú politiku na používanie vlastného imania. Investičná politika zahŕňa opis finančného(-ých) produktu(-ov)</w:t>
      </w:r>
      <w:r w:rsidR="00326E55" w:rsidRPr="00326E55">
        <w:rPr>
          <w:noProof/>
          <w:spacing w:val="-6"/>
          <w:lang w:val="sk-SK"/>
        </w:rPr>
        <w:t xml:space="preserve"> s </w:t>
      </w:r>
      <w:r w:rsidRPr="00326E55">
        <w:rPr>
          <w:noProof/>
          <w:spacing w:val="-6"/>
          <w:lang w:val="sk-SK"/>
        </w:rPr>
        <w:t>očakávaným typom oprávnených konečných príjemcov, ktorých kapitál má podľa očakávaní podporovať, vrátane oča</w:t>
      </w:r>
      <w:r w:rsidRPr="00326E55">
        <w:rPr>
          <w:noProof/>
          <w:spacing w:val="-6"/>
          <w:lang w:val="sk-SK"/>
        </w:rPr>
        <w:t>kávaného harmonogramu implementácie 15 rokov</w:t>
      </w:r>
      <w:r w:rsidR="00326E55" w:rsidRPr="00326E55">
        <w:rPr>
          <w:noProof/>
          <w:spacing w:val="-6"/>
          <w:lang w:val="sk-SK"/>
        </w:rPr>
        <w:t xml:space="preserve"> a </w:t>
      </w:r>
      <w:r w:rsidRPr="00326E55">
        <w:rPr>
          <w:noProof/>
          <w:spacing w:val="-6"/>
          <w:lang w:val="sk-SK"/>
        </w:rPr>
        <w:t>poplatku za riadenie vo výške maximálne 13</w:t>
      </w:r>
      <w:r w:rsidR="00326E55" w:rsidRPr="00326E55">
        <w:rPr>
          <w:noProof/>
          <w:spacing w:val="-6"/>
          <w:lang w:val="sk-SK"/>
        </w:rPr>
        <w:t> %</w:t>
      </w:r>
      <w:r w:rsidRPr="00326E55">
        <w:rPr>
          <w:noProof/>
          <w:spacing w:val="-6"/>
          <w:lang w:val="sk-SK"/>
        </w:rPr>
        <w:t>.</w:t>
      </w:r>
      <w:r w:rsidRPr="00326E55">
        <w:rPr>
          <w:noProof/>
          <w:spacing w:val="-6"/>
          <w:lang w:val="sk-SK"/>
        </w:rPr>
        <w:footnoteReference w:id="32"/>
      </w:r>
      <w:r w:rsidRPr="00326E55">
        <w:rPr>
          <w:noProof/>
          <w:spacing w:val="-6"/>
          <w:lang w:val="sk-SK"/>
        </w:rPr>
        <w:t xml:space="preserve"> GTF funguje tak, že priamo alebo nepriamo poskytuje kapitálovú, kvázi kapitálovú, dlhovú alebo kvázi dlhovú podporu.</w:t>
      </w:r>
      <w:r w:rsidRPr="00326E55">
        <w:rPr>
          <w:noProof/>
          <w:spacing w:val="-6"/>
          <w:lang w:val="sk-SK"/>
        </w:rPr>
        <w:footnoteReference w:id="33"/>
      </w:r>
      <w:r w:rsidRPr="00326E55">
        <w:rPr>
          <w:noProof/>
          <w:spacing w:val="-6"/>
          <w:lang w:val="sk-SK"/>
        </w:rPr>
        <w:t xml:space="preserve"> SGR rizikového kapitálu CDP prijme systém au</w:t>
      </w:r>
      <w:r w:rsidRPr="00326E55">
        <w:rPr>
          <w:noProof/>
          <w:spacing w:val="-6"/>
          <w:lang w:val="sk-SK"/>
        </w:rPr>
        <w:t>ditu</w:t>
      </w:r>
      <w:r w:rsidR="00326E55" w:rsidRPr="00326E55">
        <w:rPr>
          <w:noProof/>
          <w:spacing w:val="-6"/>
          <w:lang w:val="sk-SK"/>
        </w:rPr>
        <w:t xml:space="preserve"> a </w:t>
      </w:r>
      <w:r w:rsidRPr="00326E55">
        <w:rPr>
          <w:noProof/>
          <w:spacing w:val="-6"/>
          <w:lang w:val="sk-SK"/>
        </w:rPr>
        <w:t>kontroly opísaný</w:t>
      </w:r>
      <w:r w:rsidR="00326E55" w:rsidRPr="00326E55">
        <w:rPr>
          <w:noProof/>
          <w:spacing w:val="-6"/>
          <w:lang w:val="sk-SK"/>
        </w:rPr>
        <w:t xml:space="preserve"> v </w:t>
      </w:r>
      <w:r w:rsidRPr="00326E55">
        <w:rPr>
          <w:noProof/>
          <w:spacing w:val="-6"/>
          <w:lang w:val="sk-SK"/>
        </w:rPr>
        <w:t>usmerneniach „Linee Guida per le attività di rendicontazione e controllo dei Fondi DTF e GTF“ na použitie vlastného imania.</w:t>
      </w:r>
      <w:r w:rsidR="00326E55" w:rsidRPr="00326E55">
        <w:rPr>
          <w:noProof/>
          <w:spacing w:val="-6"/>
          <w:lang w:val="sk-SK"/>
        </w:rPr>
        <w:t xml:space="preserve"> V </w:t>
      </w:r>
      <w:r w:rsidRPr="00326E55">
        <w:rPr>
          <w:noProof/>
          <w:spacing w:val="-6"/>
          <w:lang w:val="sk-SK"/>
        </w:rPr>
        <w:t xml:space="preserve">investičnej politike sa vyžaduje, aby finančný(-é) produkt(-y), ktorý(-é) kapitálová podpora podporuje, </w:t>
      </w:r>
      <w:r w:rsidRPr="00326E55">
        <w:rPr>
          <w:noProof/>
          <w:spacing w:val="-6"/>
          <w:lang w:val="sk-SK"/>
        </w:rPr>
        <w:t>bol(-i)</w:t>
      </w:r>
      <w:r w:rsidR="00326E55" w:rsidRPr="00326E55">
        <w:rPr>
          <w:noProof/>
          <w:spacing w:val="-6"/>
          <w:lang w:val="sk-SK"/>
        </w:rPr>
        <w:t xml:space="preserve"> v </w:t>
      </w:r>
      <w:r w:rsidRPr="00326E55">
        <w:rPr>
          <w:noProof/>
          <w:spacing w:val="-6"/>
          <w:lang w:val="sk-SK"/>
        </w:rPr>
        <w:t>súlade so zásadou „výrazne nenarušiť“ (DNSH), ako sa stanovuje</w:t>
      </w:r>
      <w:r w:rsidR="00326E55" w:rsidRPr="00326E55">
        <w:rPr>
          <w:noProof/>
          <w:spacing w:val="-6"/>
          <w:lang w:val="sk-SK"/>
        </w:rPr>
        <w:t xml:space="preserve"> v </w:t>
      </w:r>
      <w:r w:rsidRPr="00326E55">
        <w:rPr>
          <w:noProof/>
          <w:spacing w:val="-6"/>
          <w:lang w:val="sk-SK"/>
        </w:rPr>
        <w:t>technickom usmernení týkajúcom sa zásady „výrazne nenarušiť“ (2021/C58/01). Najmä</w:t>
      </w:r>
      <w:r w:rsidR="00326E55" w:rsidRPr="00326E55">
        <w:rPr>
          <w:noProof/>
          <w:spacing w:val="-6"/>
          <w:lang w:val="sk-SK"/>
        </w:rPr>
        <w:t xml:space="preserve"> v </w:t>
      </w:r>
      <w:r w:rsidRPr="00326E55">
        <w:rPr>
          <w:noProof/>
          <w:spacing w:val="-6"/>
          <w:lang w:val="sk-SK"/>
        </w:rPr>
        <w:t>prípade všeobecnej podpory začínajúcim podnikom investičná politika vylučuje spoločnosti</w:t>
      </w:r>
      <w:r w:rsidR="00326E55" w:rsidRPr="00326E55">
        <w:rPr>
          <w:noProof/>
          <w:spacing w:val="-6"/>
          <w:lang w:val="sk-SK"/>
        </w:rPr>
        <w:t xml:space="preserve"> s </w:t>
      </w:r>
      <w:r w:rsidRPr="00326E55">
        <w:rPr>
          <w:noProof/>
          <w:spacing w:val="-6"/>
          <w:lang w:val="sk-SK"/>
        </w:rPr>
        <w:t>podsta</w:t>
      </w:r>
      <w:r w:rsidRPr="00326E55">
        <w:rPr>
          <w:noProof/>
          <w:spacing w:val="-6"/>
          <w:lang w:val="sk-SK"/>
        </w:rPr>
        <w:t>tným zameraním</w:t>
      </w:r>
      <w:r w:rsidRPr="00326E55">
        <w:rPr>
          <w:noProof/>
          <w:spacing w:val="-6"/>
          <w:lang w:val="sk-SK"/>
        </w:rPr>
        <w:footnoteReference w:id="34"/>
      </w:r>
      <w:r w:rsidR="00326E55" w:rsidRPr="00326E55">
        <w:rPr>
          <w:noProof/>
          <w:spacing w:val="-6"/>
          <w:lang w:val="sk-SK"/>
        </w:rPr>
        <w:t xml:space="preserve"> v </w:t>
      </w:r>
      <w:r w:rsidRPr="00326E55">
        <w:rPr>
          <w:noProof/>
          <w:spacing w:val="-6"/>
          <w:lang w:val="sk-SK"/>
        </w:rPr>
        <w:t>týchto odvetviach: I) výroba energie</w:t>
      </w:r>
      <w:r w:rsidR="00326E55" w:rsidRPr="00326E55">
        <w:rPr>
          <w:noProof/>
          <w:spacing w:val="-6"/>
          <w:lang w:val="sk-SK"/>
        </w:rPr>
        <w:t xml:space="preserve"> z </w:t>
      </w:r>
      <w:r w:rsidRPr="00326E55">
        <w:rPr>
          <w:noProof/>
          <w:spacing w:val="-6"/>
          <w:lang w:val="sk-SK"/>
        </w:rPr>
        <w:t>fosílnych palív</w:t>
      </w:r>
      <w:r w:rsidR="00326E55" w:rsidRPr="00326E55">
        <w:rPr>
          <w:noProof/>
          <w:spacing w:val="-6"/>
          <w:lang w:val="sk-SK"/>
        </w:rPr>
        <w:t xml:space="preserve"> a </w:t>
      </w:r>
      <w:r w:rsidRPr="00326E55">
        <w:rPr>
          <w:noProof/>
          <w:spacing w:val="-6"/>
          <w:lang w:val="sk-SK"/>
        </w:rPr>
        <w:t>súvisiace činnosti</w:t>
      </w:r>
      <w:r w:rsidRPr="00326E55">
        <w:rPr>
          <w:noProof/>
          <w:spacing w:val="-6"/>
          <w:lang w:val="sk-SK"/>
        </w:rPr>
        <w:footnoteReference w:id="35"/>
      </w:r>
      <w:r w:rsidRPr="00326E55">
        <w:rPr>
          <w:noProof/>
          <w:spacing w:val="-6"/>
          <w:lang w:val="sk-SK"/>
        </w:rPr>
        <w:t>; II) energeticky náročné odvetvia a/alebo odvetvia</w:t>
      </w:r>
      <w:r w:rsidR="00326E55" w:rsidRPr="00326E55">
        <w:rPr>
          <w:noProof/>
          <w:spacing w:val="-6"/>
          <w:lang w:val="sk-SK"/>
        </w:rPr>
        <w:t xml:space="preserve"> s </w:t>
      </w:r>
      <w:r w:rsidRPr="00326E55">
        <w:rPr>
          <w:noProof/>
          <w:spacing w:val="-6"/>
          <w:lang w:val="sk-SK"/>
        </w:rPr>
        <w:t>vysokými emisiami CO2</w:t>
      </w:r>
      <w:r w:rsidRPr="00326E55">
        <w:rPr>
          <w:noProof/>
          <w:spacing w:val="-6"/>
          <w:lang w:val="sk-SK"/>
        </w:rPr>
        <w:footnoteReference w:id="36"/>
      </w:r>
      <w:r w:rsidRPr="00326E55">
        <w:rPr>
          <w:noProof/>
          <w:spacing w:val="-6"/>
          <w:lang w:val="sk-SK"/>
        </w:rPr>
        <w:t>; III) výroba, prenájom alebo predaj znečisťujúcich vozidiel</w:t>
      </w:r>
      <w:r w:rsidRPr="00326E55">
        <w:rPr>
          <w:noProof/>
          <w:spacing w:val="-6"/>
          <w:lang w:val="sk-SK"/>
        </w:rPr>
        <w:footnoteReference w:id="37"/>
      </w:r>
      <w:r w:rsidRPr="00326E55">
        <w:rPr>
          <w:noProof/>
          <w:spacing w:val="-6"/>
          <w:lang w:val="sk-SK"/>
        </w:rPr>
        <w:t>; IV) zber odpadu, spraco</w:t>
      </w:r>
      <w:r w:rsidRPr="00326E55">
        <w:rPr>
          <w:noProof/>
          <w:spacing w:val="-6"/>
          <w:lang w:val="sk-SK"/>
        </w:rPr>
        <w:t>vanie</w:t>
      </w:r>
      <w:r w:rsidR="00326E55" w:rsidRPr="00326E55">
        <w:rPr>
          <w:noProof/>
          <w:spacing w:val="-6"/>
          <w:lang w:val="sk-SK"/>
        </w:rPr>
        <w:t xml:space="preserve"> a </w:t>
      </w:r>
      <w:r w:rsidRPr="00326E55">
        <w:rPr>
          <w:noProof/>
          <w:spacing w:val="-6"/>
          <w:lang w:val="sk-SK"/>
        </w:rPr>
        <w:t>zneškodňovanie</w:t>
      </w:r>
      <w:r w:rsidRPr="00326E55">
        <w:rPr>
          <w:noProof/>
          <w:spacing w:val="-6"/>
          <w:lang w:val="sk-SK"/>
        </w:rPr>
        <w:footnoteReference w:id="38"/>
      </w:r>
      <w:r w:rsidRPr="00326E55">
        <w:rPr>
          <w:noProof/>
          <w:spacing w:val="-6"/>
          <w:lang w:val="sk-SK"/>
        </w:rPr>
        <w:t>odpadu, v) spracovanie jadrového paliva, výroba jadrovej energie. Investičná politika si okrem toho vyžaduje súlad</w:t>
      </w:r>
      <w:r w:rsidR="00326E55" w:rsidRPr="00326E55">
        <w:rPr>
          <w:noProof/>
          <w:spacing w:val="-6"/>
          <w:lang w:val="sk-SK"/>
        </w:rPr>
        <w:t xml:space="preserve"> s </w:t>
      </w:r>
      <w:r w:rsidRPr="00326E55">
        <w:rPr>
          <w:noProof/>
          <w:spacing w:val="-6"/>
          <w:lang w:val="sk-SK"/>
        </w:rPr>
        <w:t>príslušnými právnymi predpismi EÚ</w:t>
      </w:r>
      <w:r w:rsidR="00326E55" w:rsidRPr="00326E55">
        <w:rPr>
          <w:noProof/>
          <w:spacing w:val="-6"/>
          <w:lang w:val="sk-SK"/>
        </w:rPr>
        <w:t xml:space="preserve"> a </w:t>
      </w:r>
      <w:r w:rsidRPr="00326E55">
        <w:rPr>
          <w:noProof/>
          <w:spacing w:val="-6"/>
          <w:lang w:val="sk-SK"/>
        </w:rPr>
        <w:t>vnútroštátnymi právnymi predpismi</w:t>
      </w:r>
      <w:r w:rsidR="00326E55" w:rsidRPr="00326E55">
        <w:rPr>
          <w:noProof/>
          <w:spacing w:val="-6"/>
          <w:lang w:val="sk-SK"/>
        </w:rPr>
        <w:t xml:space="preserve"> v </w:t>
      </w:r>
      <w:r w:rsidRPr="00326E55">
        <w:rPr>
          <w:noProof/>
          <w:spacing w:val="-6"/>
          <w:lang w:val="sk-SK"/>
        </w:rPr>
        <w:t>oblasti životného prostredia.</w:t>
      </w:r>
    </w:p>
    <w:p w14:paraId="23DD6B8B" w14:textId="77777777" w:rsidR="00BF03AA" w:rsidRPr="00326E55" w:rsidRDefault="00BF03AA">
      <w:pPr>
        <w:rPr>
          <w:rFonts w:ascii="Times New Roman" w:hAnsi="Times New Roman" w:cs="Times New Roman"/>
          <w:noProof/>
          <w:spacing w:val="-6"/>
          <w:lang w:val="sk-SK"/>
        </w:rPr>
      </w:pPr>
    </w:p>
    <w:p w14:paraId="59ADD51B" w14:textId="77777777" w:rsidR="00BF03AA" w:rsidRPr="00326E55" w:rsidRDefault="00BF03AA">
      <w:pPr>
        <w:rPr>
          <w:rFonts w:ascii="Times New Roman" w:hAnsi="Times New Roman" w:cs="Times New Roman"/>
          <w:noProof/>
          <w:spacing w:val="-6"/>
          <w:lang w:val="sk-SK"/>
        </w:rPr>
        <w:sectPr w:rsidR="00BF03AA" w:rsidRPr="00326E55" w:rsidSect="00726CF9">
          <w:headerReference w:type="default" r:id="rId84"/>
          <w:footerReference w:type="default" r:id="rId85"/>
          <w:pgSz w:w="11906" w:h="16838"/>
          <w:pgMar w:top="1440" w:right="1440" w:bottom="1440" w:left="1440" w:header="708" w:footer="708" w:gutter="0"/>
          <w:cols w:space="708"/>
          <w:docGrid w:linePitch="360"/>
        </w:sectPr>
      </w:pPr>
    </w:p>
    <w:p w14:paraId="7CD55482" w14:textId="067EC316"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E.2.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15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682"/>
        <w:gridCol w:w="1110"/>
        <w:gridCol w:w="1391"/>
        <w:gridCol w:w="1374"/>
        <w:gridCol w:w="1267"/>
        <w:gridCol w:w="1003"/>
        <w:gridCol w:w="1391"/>
        <w:gridCol w:w="975"/>
        <w:gridCol w:w="698"/>
        <w:gridCol w:w="3675"/>
      </w:tblGrid>
      <w:tr w:rsidR="00BF03AA" w:rsidRPr="00326E55" w14:paraId="05895A6C" w14:textId="77777777">
        <w:trPr>
          <w:trHeight w:val="300"/>
          <w:tblHeader/>
          <w:jc w:val="center"/>
        </w:trPr>
        <w:tc>
          <w:tcPr>
            <w:tcW w:w="1101" w:type="dxa"/>
            <w:vMerge w:val="restart"/>
            <w:shd w:val="clear" w:color="auto" w:fill="BDD7EE"/>
            <w:noWrap/>
            <w:vAlign w:val="center"/>
          </w:tcPr>
          <w:p w14:paraId="1F17E80E"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Poradové číslo</w:t>
            </w:r>
          </w:p>
        </w:tc>
        <w:tc>
          <w:tcPr>
            <w:tcW w:w="1682" w:type="dxa"/>
            <w:vMerge w:val="restart"/>
            <w:shd w:val="clear" w:color="auto" w:fill="BDD7EE"/>
            <w:noWrap/>
            <w:vAlign w:val="center"/>
          </w:tcPr>
          <w:p w14:paraId="732E190E"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Súvisiace opatrenie (reforma alebo investícia)</w:t>
            </w:r>
          </w:p>
        </w:tc>
        <w:tc>
          <w:tcPr>
            <w:tcW w:w="1110" w:type="dxa"/>
            <w:vMerge w:val="restart"/>
            <w:shd w:val="clear" w:color="auto" w:fill="BDD7EE"/>
            <w:noWrap/>
            <w:vAlign w:val="center"/>
          </w:tcPr>
          <w:p w14:paraId="4A842239"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Míľnik/cieľ</w:t>
            </w:r>
          </w:p>
        </w:tc>
        <w:tc>
          <w:tcPr>
            <w:tcW w:w="1391" w:type="dxa"/>
            <w:vMerge w:val="restart"/>
            <w:shd w:val="clear" w:color="auto" w:fill="BDD7EE"/>
            <w:noWrap/>
            <w:vAlign w:val="center"/>
          </w:tcPr>
          <w:p w14:paraId="4A21D387"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Názov</w:t>
            </w:r>
          </w:p>
        </w:tc>
        <w:tc>
          <w:tcPr>
            <w:tcW w:w="1374" w:type="dxa"/>
            <w:vMerge w:val="restart"/>
            <w:shd w:val="clear" w:color="auto" w:fill="BDD7EE"/>
            <w:noWrap/>
            <w:vAlign w:val="center"/>
          </w:tcPr>
          <w:p w14:paraId="0EBCAE53" w14:textId="77777777" w:rsidR="00BF03AA" w:rsidRPr="00326E55" w:rsidRDefault="00FB452D">
            <w:pPr>
              <w:spacing w:line="276" w:lineRule="auto"/>
              <w:jc w:val="center"/>
              <w:rPr>
                <w:rFonts w:ascii="Times New Roman" w:hAnsi="Times New Roman"/>
                <w:noProof/>
                <w:color w:val="006100"/>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 xml:space="preserve">(pre </w:t>
            </w:r>
            <w:r w:rsidRPr="00326E55">
              <w:rPr>
                <w:rFonts w:ascii="Times New Roman" w:hAnsi="Times New Roman"/>
                <w:b/>
                <w:noProof/>
                <w:spacing w:val="-6"/>
                <w:sz w:val="20"/>
                <w:lang w:val="sk-SK"/>
              </w:rPr>
              <w:t>míľniky)</w:t>
            </w:r>
          </w:p>
        </w:tc>
        <w:tc>
          <w:tcPr>
            <w:tcW w:w="3661" w:type="dxa"/>
            <w:gridSpan w:val="3"/>
            <w:shd w:val="clear" w:color="auto" w:fill="BDD7EE"/>
            <w:noWrap/>
            <w:vAlign w:val="center"/>
          </w:tcPr>
          <w:p w14:paraId="7778562E" w14:textId="77777777" w:rsidR="00BF03AA" w:rsidRPr="00326E55" w:rsidRDefault="00FB452D">
            <w:pPr>
              <w:spacing w:line="276" w:lineRule="auto"/>
              <w:jc w:val="center"/>
              <w:rPr>
                <w:rFonts w:ascii="Times New Roman" w:hAnsi="Times New Roman"/>
                <w:noProof/>
                <w:color w:val="006100"/>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673" w:type="dxa"/>
            <w:gridSpan w:val="2"/>
            <w:shd w:val="clear" w:color="auto" w:fill="BDD7EE"/>
            <w:noWrap/>
            <w:vAlign w:val="center"/>
          </w:tcPr>
          <w:p w14:paraId="5E8F0D1C"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Orientačný harmonogram dokončenia</w:t>
            </w:r>
          </w:p>
        </w:tc>
        <w:tc>
          <w:tcPr>
            <w:tcW w:w="3675" w:type="dxa"/>
            <w:vMerge w:val="restart"/>
            <w:shd w:val="clear" w:color="auto" w:fill="BDD7EE"/>
            <w:noWrap/>
            <w:vAlign w:val="center"/>
          </w:tcPr>
          <w:p w14:paraId="30F6C251" w14:textId="7D5D5EB8" w:rsidR="00BF03AA" w:rsidRPr="00326E55" w:rsidRDefault="00FB452D">
            <w:pPr>
              <w:pStyle w:val="P68B1DB1-Normal10"/>
              <w:spacing w:after="120"/>
              <w:rPr>
                <w:rFonts w:ascii="Times New Roman" w:hAnsi="Times New Roman"/>
                <w:noProof/>
                <w:color w:val="006100"/>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169065AF" w14:textId="77777777">
        <w:trPr>
          <w:trHeight w:val="300"/>
          <w:tblHeader/>
          <w:jc w:val="center"/>
        </w:trPr>
        <w:tc>
          <w:tcPr>
            <w:tcW w:w="1101" w:type="dxa"/>
            <w:vMerge/>
            <w:noWrap/>
            <w:vAlign w:val="center"/>
          </w:tcPr>
          <w:p w14:paraId="015E8F2B"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1682" w:type="dxa"/>
            <w:vMerge/>
            <w:noWrap/>
            <w:vAlign w:val="center"/>
          </w:tcPr>
          <w:p w14:paraId="23A7255C"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1110" w:type="dxa"/>
            <w:vMerge/>
            <w:noWrap/>
            <w:vAlign w:val="center"/>
          </w:tcPr>
          <w:p w14:paraId="5E5111DD"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1391" w:type="dxa"/>
            <w:vMerge/>
            <w:noWrap/>
            <w:vAlign w:val="center"/>
          </w:tcPr>
          <w:p w14:paraId="67272FA6"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1374" w:type="dxa"/>
            <w:vMerge/>
            <w:noWrap/>
            <w:vAlign w:val="center"/>
          </w:tcPr>
          <w:p w14:paraId="655BEC16"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1267" w:type="dxa"/>
            <w:shd w:val="clear" w:color="auto" w:fill="BDD7EE"/>
            <w:noWrap/>
            <w:vAlign w:val="center"/>
          </w:tcPr>
          <w:p w14:paraId="127D00B4"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Merná jednotka</w:t>
            </w:r>
          </w:p>
        </w:tc>
        <w:tc>
          <w:tcPr>
            <w:tcW w:w="1003" w:type="dxa"/>
            <w:shd w:val="clear" w:color="auto" w:fill="BDD7EE"/>
            <w:noWrap/>
            <w:vAlign w:val="center"/>
          </w:tcPr>
          <w:p w14:paraId="6090C4C4"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Základná</w:t>
            </w:r>
          </w:p>
        </w:tc>
        <w:tc>
          <w:tcPr>
            <w:tcW w:w="1391" w:type="dxa"/>
            <w:shd w:val="clear" w:color="auto" w:fill="BDD7EE"/>
            <w:noWrap/>
            <w:vAlign w:val="center"/>
          </w:tcPr>
          <w:p w14:paraId="2CD98911"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Cieľ</w:t>
            </w:r>
          </w:p>
        </w:tc>
        <w:tc>
          <w:tcPr>
            <w:tcW w:w="975" w:type="dxa"/>
            <w:shd w:val="clear" w:color="auto" w:fill="BDD7EE"/>
            <w:noWrap/>
            <w:vAlign w:val="center"/>
          </w:tcPr>
          <w:p w14:paraId="306C204D"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Štvrtina</w:t>
            </w:r>
          </w:p>
        </w:tc>
        <w:tc>
          <w:tcPr>
            <w:tcW w:w="698" w:type="dxa"/>
            <w:shd w:val="clear" w:color="auto" w:fill="BDD7EE"/>
            <w:noWrap/>
            <w:vAlign w:val="center"/>
          </w:tcPr>
          <w:p w14:paraId="3F1FFC9E" w14:textId="77777777" w:rsidR="00BF03AA" w:rsidRPr="00326E55" w:rsidRDefault="00FB452D">
            <w:pPr>
              <w:pStyle w:val="P68B1DB1-Normal10"/>
              <w:spacing w:line="276" w:lineRule="auto"/>
              <w:jc w:val="center"/>
              <w:rPr>
                <w:rFonts w:ascii="Times New Roman" w:hAnsi="Times New Roman"/>
                <w:noProof/>
                <w:color w:val="006100"/>
                <w:spacing w:val="-6"/>
                <w:szCs w:val="20"/>
                <w:lang w:val="sk-SK"/>
              </w:rPr>
            </w:pPr>
            <w:r w:rsidRPr="00326E55">
              <w:rPr>
                <w:rFonts w:ascii="Times New Roman" w:hAnsi="Times New Roman"/>
                <w:noProof/>
                <w:spacing w:val="-6"/>
                <w:lang w:val="sk-SK"/>
              </w:rPr>
              <w:t>Rok</w:t>
            </w:r>
          </w:p>
        </w:tc>
        <w:tc>
          <w:tcPr>
            <w:tcW w:w="3675" w:type="dxa"/>
            <w:vMerge/>
            <w:noWrap/>
            <w:vAlign w:val="center"/>
          </w:tcPr>
          <w:p w14:paraId="492B20A6" w14:textId="77777777" w:rsidR="00BF03AA" w:rsidRPr="00326E55" w:rsidRDefault="00BF03AA">
            <w:pPr>
              <w:spacing w:after="120"/>
              <w:rPr>
                <w:rFonts w:ascii="Times New Roman" w:hAnsi="Times New Roman"/>
                <w:noProof/>
                <w:color w:val="006100"/>
                <w:spacing w:val="-6"/>
                <w:sz w:val="20"/>
                <w:szCs w:val="20"/>
                <w:lang w:val="sk-SK"/>
              </w:rPr>
            </w:pPr>
          </w:p>
        </w:tc>
      </w:tr>
      <w:tr w:rsidR="00BF03AA" w:rsidRPr="00326E55" w14:paraId="6659BBB6"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99BB3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AF5816" w14:textId="7D8EF15F"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1 Zjednodušenie postupov udeľovania povolení pre zariadenia na výrobu</w:t>
            </w:r>
            <w:r w:rsidRPr="00326E55">
              <w:rPr>
                <w:rFonts w:ascii="Times New Roman" w:hAnsi="Times New Roman"/>
                <w:noProof/>
                <w:spacing w:val="-6"/>
                <w:lang w:val="sk-SK"/>
              </w:rPr>
              <w:t xml:space="preserve">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na pevnine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mori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nový právny rámec na udržanie výroby</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predĺženie času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oprávnenosti súčasných režimov podpory</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D3258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458E1" w14:textId="68B33EF5"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právneho rámca na zjednodušenie postupov </w:t>
            </w:r>
            <w:r w:rsidRPr="00326E55">
              <w:rPr>
                <w:rFonts w:ascii="Times New Roman" w:hAnsi="Times New Roman"/>
                <w:noProof/>
                <w:spacing w:val="-6"/>
                <w:lang w:val="sk-SK"/>
              </w:rPr>
              <w:t>udeľovania povolení na výstavbu štruktúr pre energiu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na pevnine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mori</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E29497" w14:textId="68866C62"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B519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563D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34CF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BE23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022CF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33F5E"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Právny rámec zahŕňa tieto ciele:</w:t>
            </w:r>
          </w:p>
          <w:p w14:paraId="3422D1DD" w14:textId="676AF710" w:rsidR="00BF03AA" w:rsidRPr="00326E55" w:rsidRDefault="00FB452D">
            <w:pPr>
              <w:pStyle w:val="P68B1DB1-Normal11"/>
              <w:numPr>
                <w:ilvl w:val="0"/>
                <w:numId w:val="28"/>
              </w:numPr>
              <w:pBdr>
                <w:top w:val="nil"/>
                <w:left w:val="nil"/>
                <w:bottom w:val="nil"/>
                <w:right w:val="nil"/>
                <w:between w:val="nil"/>
              </w:pBdr>
              <w:spacing w:after="120" w:line="240" w:lineRule="auto"/>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zjednodušujúcich opatrení pre zariadenia na výrobu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modernizáciu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prepracovanie existujúcich zariadení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ustanoveniami zákonného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76 zo 17</w:t>
            </w:r>
            <w:r w:rsidR="00326E55" w:rsidRPr="00326E55">
              <w:rPr>
                <w:rFonts w:ascii="Times New Roman" w:hAnsi="Times New Roman"/>
                <w:noProof/>
                <w:spacing w:val="-6"/>
                <w:lang w:val="sk-SK"/>
              </w:rPr>
              <w:t>. júla</w:t>
            </w:r>
            <w:r w:rsidRPr="00326E55">
              <w:rPr>
                <w:rFonts w:ascii="Times New Roman" w:hAnsi="Times New Roman"/>
                <w:noProof/>
                <w:spacing w:val="-6"/>
                <w:lang w:val="sk-SK"/>
              </w:rPr>
              <w:t xml:space="preserve"> 2020 „vyhláška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zjednodušení“;</w:t>
            </w:r>
          </w:p>
          <w:p w14:paraId="36D9E786" w14:textId="71E1E609" w:rsidR="00BF03AA" w:rsidRPr="00326E55" w:rsidRDefault="00FB452D">
            <w:pPr>
              <w:pStyle w:val="P68B1DB1-Normal11"/>
              <w:numPr>
                <w:ilvl w:val="0"/>
                <w:numId w:val="28"/>
              </w:numPr>
              <w:pBdr>
                <w:top w:val="nil"/>
                <w:left w:val="nil"/>
                <w:bottom w:val="nil"/>
                <w:right w:val="nil"/>
                <w:between w:val="nil"/>
              </w:pBdr>
              <w:spacing w:after="120" w:line="240" w:lineRule="auto"/>
              <w:rPr>
                <w:rFonts w:ascii="Times New Roman" w:hAnsi="Times New Roman"/>
                <w:noProof/>
                <w:spacing w:val="-6"/>
                <w:szCs w:val="20"/>
                <w:lang w:val="sk-SK"/>
              </w:rPr>
            </w:pPr>
            <w:r w:rsidRPr="00326E55">
              <w:rPr>
                <w:rFonts w:ascii="Times New Roman" w:hAnsi="Times New Roman"/>
                <w:noProof/>
                <w:spacing w:val="-6"/>
                <w:lang w:val="sk-SK"/>
              </w:rPr>
              <w:t>prijatie dekrétu dohodnuté</w:t>
            </w:r>
            <w:r w:rsidRPr="00326E55">
              <w:rPr>
                <w:rFonts w:ascii="Times New Roman" w:hAnsi="Times New Roman"/>
                <w:noProof/>
                <w:spacing w:val="-6"/>
                <w:lang w:val="sk-SK"/>
              </w:rPr>
              <w:t>ho</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regiónmi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ostatnými príslušnými štátnymi správami, ktorého cieľom je vymedziť kritériá na identifikáciu oblastí vhodných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nevhodných na inštaláciu zariadení na výrobu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dodatočnou kapacitou výroby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w:t>
            </w:r>
            <w:r w:rsidRPr="00326E55">
              <w:rPr>
                <w:rFonts w:ascii="Times New Roman" w:hAnsi="Times New Roman"/>
                <w:noProof/>
                <w:spacing w:val="-6"/>
                <w:lang w:val="sk-SK"/>
              </w:rPr>
              <w:t>ých zdrojov najmenej 73 GW</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aktualizovanou verziou PNIEC na dosiahnutie cieľov rozvoja obnoviteľných zdrojov energie;</w:t>
            </w:r>
          </w:p>
          <w:p w14:paraId="6093CA28" w14:textId="5A440F76" w:rsidR="00BF03AA" w:rsidRPr="00326E55" w:rsidRDefault="00FB452D">
            <w:pPr>
              <w:pStyle w:val="P68B1DB1-Normal11"/>
              <w:numPr>
                <w:ilvl w:val="0"/>
                <w:numId w:val="28"/>
              </w:numPr>
              <w:pBdr>
                <w:top w:val="nil"/>
                <w:left w:val="nil"/>
                <w:bottom w:val="nil"/>
                <w:right w:val="nil"/>
                <w:between w:val="nil"/>
              </w:pBdr>
              <w:spacing w:after="120" w:line="240" w:lineRule="auto"/>
              <w:rPr>
                <w:rFonts w:ascii="Times New Roman" w:hAnsi="Times New Roman"/>
                <w:noProof/>
                <w:spacing w:val="-6"/>
                <w:szCs w:val="20"/>
                <w:lang w:val="sk-SK"/>
              </w:rPr>
            </w:pPr>
            <w:r w:rsidRPr="00326E55">
              <w:rPr>
                <w:rFonts w:ascii="Times New Roman" w:hAnsi="Times New Roman"/>
                <w:noProof/>
                <w:spacing w:val="-6"/>
                <w:lang w:val="sk-SK"/>
              </w:rPr>
              <w:t>dokončenie mechanizmu na podporu OZE aj pre ďalšie technológie, ktoré nie sú vyspelé alebo majú vysoké prevádzkové náklady,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w:t>
            </w:r>
            <w:r w:rsidRPr="00326E55">
              <w:rPr>
                <w:rFonts w:ascii="Times New Roman" w:hAnsi="Times New Roman"/>
                <w:noProof/>
                <w:spacing w:val="-6"/>
                <w:lang w:val="sk-SK"/>
              </w:rPr>
              <w:t>edĺženie aukčného obdobia pre tzv. mechanizmus OZE1 pri zachovaní zásady konkurenčného prístupu;</w:t>
            </w:r>
          </w:p>
          <w:p w14:paraId="20BF4F81" w14:textId="066864D0" w:rsidR="00BF03AA" w:rsidRPr="00326E55" w:rsidRDefault="00FB452D">
            <w:pPr>
              <w:pStyle w:val="P68B1DB1-Normal11"/>
              <w:numPr>
                <w:ilvl w:val="0"/>
                <w:numId w:val="28"/>
              </w:numPr>
              <w:pBdr>
                <w:top w:val="nil"/>
                <w:left w:val="nil"/>
                <w:bottom w:val="nil"/>
                <w:right w:val="nil"/>
                <w:between w:val="nil"/>
              </w:pBdr>
              <w:spacing w:after="120" w:line="240" w:lineRule="auto"/>
              <w:rPr>
                <w:rFonts w:ascii="Times New Roman" w:hAnsi="Times New Roman"/>
                <w:noProof/>
                <w:spacing w:val="-6"/>
                <w:szCs w:val="20"/>
                <w:lang w:val="sk-SK"/>
              </w:rPr>
            </w:pPr>
            <w:r w:rsidRPr="00326E55">
              <w:rPr>
                <w:rFonts w:ascii="Times New Roman" w:hAnsi="Times New Roman"/>
                <w:noProof/>
                <w:spacing w:val="-6"/>
                <w:lang w:val="sk-SK"/>
              </w:rPr>
              <w:t>ustanovenia na podporu investícií do systémov uskladňovania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legislatívnom dekréte, ktorým sa transponuje smernica (EÚ) 2019/944</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spoločných pravidlách pre v</w:t>
            </w:r>
            <w:r w:rsidRPr="00326E55">
              <w:rPr>
                <w:rFonts w:ascii="Times New Roman" w:hAnsi="Times New Roman"/>
                <w:noProof/>
                <w:spacing w:val="-6"/>
                <w:lang w:val="sk-SK"/>
              </w:rPr>
              <w:t>nútorný trh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elektrinou.</w:t>
            </w:r>
          </w:p>
        </w:tc>
      </w:tr>
      <w:tr w:rsidR="00BF03AA" w:rsidRPr="00326E55" w14:paraId="61C4764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329A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E0F0A4" w14:textId="4E25C99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2 Nové právne predpisy na podporu výroby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spotreby obnoviteľného plynu</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7C6D4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7A7692" w14:textId="08D4828B"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legislatívneho dekrétu na podporu využívania obnoviteľného plynu na využívanie biometánu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odvetviach dopravy,</w:t>
            </w:r>
            <w:r w:rsidRPr="00326E55">
              <w:rPr>
                <w:rFonts w:ascii="Times New Roman" w:hAnsi="Times New Roman"/>
                <w:noProof/>
                <w:spacing w:val="-6"/>
                <w:lang w:val="sk-SK"/>
              </w:rPr>
              <w:t xml:space="preserve"> priemyslu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bývania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vykonávacieho dekrétu, ktorým sa stanovujú podmienky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kritériá jeho využívania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nový systém stimulov.</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239714" w14:textId="40A9860C"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účinnosti zákona </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7C48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AC52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9A7B2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72748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D8A8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93AD0"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 xml:space="preserve">Legislatívny dekrét </w:t>
            </w:r>
            <w:r w:rsidRPr="00326E55">
              <w:rPr>
                <w:rFonts w:ascii="Times New Roman" w:hAnsi="Times New Roman"/>
                <w:noProof/>
                <w:spacing w:val="-6"/>
                <w:lang w:val="sk-SK"/>
              </w:rPr>
              <w:t>obsahuje najmä:</w:t>
            </w:r>
          </w:p>
          <w:p w14:paraId="6981ED24" w14:textId="06D4FC9C"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1-legislatívna zmena týkajúca sa zjednodušeného postupu schvaľovania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úpravy súčasného mechanizmu grantov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i) rozšíriť rozsah oprávnenosti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 predĺžiť obdobie dostupnosti grantov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iii) stanoviť vstupy do tarifného mechanizmu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záruky pôvodu pre obnoviteľný plyn</w:t>
            </w:r>
          </w:p>
          <w:p w14:paraId="58185652" w14:textId="77777777" w:rsidR="00326E55"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Transpozícia smernice RED II prostredníctvom legislatívneho dekrétu</w:t>
            </w:r>
          </w:p>
          <w:p w14:paraId="3DF7AD69" w14:textId="0EA7D80E"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Všeobecnú koordináciu by dosiahlo Ministero della Transizione Ecologica (MiTE)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podporou ostatných správnych orgánov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poradnými funkciami: Ministerstvo</w:t>
            </w:r>
            <w:r w:rsidRPr="00326E55">
              <w:rPr>
                <w:rFonts w:ascii="Times New Roman" w:hAnsi="Times New Roman"/>
                <w:noProof/>
                <w:spacing w:val="-6"/>
                <w:lang w:val="sk-SK"/>
              </w:rPr>
              <w:t xml:space="preserve"> poľnohospodárstva (MIPAAF), ministerstvo 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financií (MEF)</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Gestore Servizi Energetici.</w:t>
            </w:r>
          </w:p>
        </w:tc>
      </w:tr>
      <w:tr w:rsidR="00BF03AA" w:rsidRPr="00326E55" w14:paraId="3A1D46E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95EA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B1DC2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2.1 Posilnenie inteligentných sietí</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6AA3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BE93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Zadanie (všetkých) verejných zákaziek na zvýšenie kapacity siete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F1E39" w14:textId="001EFC3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w:t>
            </w:r>
            <w:r w:rsidRPr="00326E55">
              <w:rPr>
                <w:rFonts w:ascii="Times New Roman" w:hAnsi="Times New Roman"/>
                <w:noProof/>
                <w:spacing w:val="-6"/>
                <w:lang w:val="sk-SK"/>
              </w:rPr>
              <w:t>(všetkých) verejných zákaziek na</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76DE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0719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518D2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A039C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64F6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B10BC5" w14:textId="19835C0B"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zvýšenie kapacity siete na distribúciu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elektrifikáciu spotreby energie</w:t>
            </w:r>
          </w:p>
        </w:tc>
      </w:tr>
      <w:tr w:rsidR="00BF03AA" w:rsidRPr="00326E55" w14:paraId="7931691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5E12D6" w14:textId="5672A7EB"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M2C2 – 10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0559DD" w14:textId="07A0D11E"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2.1 Posilnenie inteligentných sietí</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516A7" w14:textId="3F833135"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2D451" w14:textId="368F3F06"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Inteligentné siete – Zvýšenie kapacity siete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elektrifikácia spotreby energie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A80FF3" w14:textId="622A86FE"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inštalačných alebo akceptačných skúškach</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78C61B" w14:textId="77777777" w:rsidR="00BF03AA" w:rsidRPr="00326E55" w:rsidRDefault="00BF03AA">
            <w:pPr>
              <w:spacing w:line="276" w:lineRule="auto"/>
              <w:jc w:val="center"/>
              <w:rPr>
                <w:rFonts w:ascii="Times New Roman" w:hAnsi="Times New Roman"/>
                <w:noProof/>
                <w:color w:val="006100"/>
                <w:spacing w:val="-6"/>
                <w:sz w:val="20"/>
                <w:lang w:val="sk-SK"/>
              </w:rPr>
            </w:pP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B1B4" w14:textId="77777777" w:rsidR="00BF03AA" w:rsidRPr="00326E55" w:rsidRDefault="00BF03AA">
            <w:pPr>
              <w:spacing w:line="276" w:lineRule="auto"/>
              <w:jc w:val="center"/>
              <w:rPr>
                <w:rFonts w:ascii="Times New Roman" w:hAnsi="Times New Roman"/>
                <w:noProof/>
                <w:color w:val="006100"/>
                <w:spacing w:val="-6"/>
                <w:sz w:val="20"/>
                <w:lang w:val="sk-SK"/>
              </w:rPr>
            </w:pP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23391" w14:textId="77777777" w:rsidR="00BF03AA" w:rsidRPr="00326E55" w:rsidRDefault="00BF03AA">
            <w:pPr>
              <w:spacing w:line="276" w:lineRule="auto"/>
              <w:jc w:val="center"/>
              <w:rPr>
                <w:rFonts w:ascii="Times New Roman" w:hAnsi="Times New Roman"/>
                <w:noProof/>
                <w:color w:val="006100"/>
                <w:spacing w:val="-6"/>
                <w:sz w:val="20"/>
                <w:lang w:val="sk-SK"/>
              </w:rPr>
            </w:pP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0E7BD" w14:textId="715268BB"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F721FE" w14:textId="0188C5E6"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CB4AF" w14:textId="01BC52C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inštalačných alebo akceptačných </w:t>
            </w:r>
            <w:r w:rsidRPr="00326E55">
              <w:rPr>
                <w:rFonts w:ascii="Times New Roman" w:hAnsi="Times New Roman"/>
                <w:noProof/>
                <w:spacing w:val="-6"/>
                <w:lang w:val="sk-SK"/>
              </w:rPr>
              <w:t>skúškach vydané pre zásahy, ktorých výsledkom je:</w:t>
            </w:r>
          </w:p>
          <w:p w14:paraId="234C9D41" w14:textId="3201D696" w:rsidR="00BF03AA" w:rsidRPr="00326E55" w:rsidRDefault="00FB452D">
            <w:pPr>
              <w:pStyle w:val="P68B1DB1-Normal21"/>
              <w:rPr>
                <w:rFonts w:ascii="Times New Roman" w:hAnsi="Times New Roman"/>
                <w:noProof/>
                <w:spacing w:val="-6"/>
                <w:lang w:val="sk-SK"/>
              </w:rPr>
            </w:pPr>
            <w:r w:rsidRPr="00326E55">
              <w:rPr>
                <w:rFonts w:ascii="Times New Roman" w:hAnsi="Times New Roman"/>
                <w:noProof/>
                <w:spacing w:val="-6"/>
                <w:szCs w:val="20"/>
                <w:lang w:val="sk-SK"/>
              </w:rPr>
              <w:t>-</w:t>
            </w:r>
            <w:r w:rsidRPr="00326E55">
              <w:rPr>
                <w:rFonts w:ascii="Times New Roman" w:hAnsi="Times New Roman"/>
                <w:noProof/>
                <w:spacing w:val="-6"/>
                <w:lang w:val="sk-SK"/>
              </w:rPr>
              <w:t>zvýšenie hostiteľskej kapacity siete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4 000 MW, ako je certifikované na základe jednej alebo viacerých správ nezávislého inžiniera,</w:t>
            </w:r>
          </w:p>
          <w:p w14:paraId="59DFC911" w14:textId="7B3576CF" w:rsidR="00BF03AA"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 xml:space="preserve">—zvýšenie maximálneho výkonu dodávaného do daňového voľného obehu </w:t>
            </w:r>
            <w:r w:rsidRPr="00326E55">
              <w:rPr>
                <w:rFonts w:ascii="Times New Roman" w:hAnsi="Times New Roman"/>
                <w:noProof/>
                <w:spacing w:val="-6"/>
                <w:lang w:val="sk-SK"/>
              </w:rPr>
              <w:t>sieťou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počte bodov dodávky, ktorý zodpovedá aspoň 1500000 obyvateľom, podľa osvedčenia vydaného jedným alebo viacerými správami nezávislého inžiniera.</w:t>
            </w:r>
            <w:r w:rsidRPr="00326E55">
              <w:rPr>
                <w:rFonts w:ascii="Times New Roman" w:hAnsi="Times New Roman"/>
                <w:noProof/>
                <w:spacing w:val="-6"/>
                <w:szCs w:val="20"/>
                <w:lang w:val="sk-SK"/>
              </w:rPr>
              <w:t xml:space="preserve"> </w:t>
            </w:r>
          </w:p>
        </w:tc>
      </w:tr>
      <w:tr w:rsidR="00BF03AA" w:rsidRPr="00326E55" w14:paraId="497E6D53"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34F61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12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092D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2.2 Intervencie na zvýšenie odolnosti elektrizačnej sústavy</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9EF3F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020FB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Zadanie </w:t>
            </w:r>
            <w:r w:rsidRPr="00326E55">
              <w:rPr>
                <w:rFonts w:ascii="Times New Roman" w:hAnsi="Times New Roman"/>
                <w:noProof/>
                <w:spacing w:val="-6"/>
                <w:lang w:val="sk-SK"/>
              </w:rPr>
              <w:t>projektov na zvýšenie odolnosti siete elektrizačnej sústavy</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22AAAB" w14:textId="42A7AFE3"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pridelení projektov</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FA0FE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41011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D3461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52FF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7E968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61E441" w14:textId="12DE049D"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Pridelenie projektov na zvýšenie odolnosti aspoň 4 000 km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sieti elektrizačnej sústavy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znížiť </w:t>
            </w:r>
            <w:r w:rsidRPr="00326E55">
              <w:rPr>
                <w:rFonts w:ascii="Times New Roman" w:hAnsi="Times New Roman"/>
                <w:noProof/>
                <w:spacing w:val="-6"/>
                <w:lang w:val="sk-SK"/>
              </w:rPr>
              <w:t>frekvenciu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trvanie škrtov energie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dôsledku extrémnych poveternostných podmienok.</w:t>
            </w:r>
          </w:p>
        </w:tc>
      </w:tr>
      <w:tr w:rsidR="00BF03AA" w:rsidRPr="00326E55" w14:paraId="666D2E77"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39C18F" w14:textId="010CCF81"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M2C2 – 13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379FE" w14:textId="63812DED"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2.2 Intervencie na zvýšenie odolnosti elektrizačnej sústavy</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BE674" w14:textId="6DCBC16D"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4E089" w14:textId="3CC86038"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Zvýšiť odolnosť siete elektrizačnej sústavy</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96ACEE" w14:textId="646583C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4F30A" w14:textId="5FB753D1"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9C9289" w14:textId="1717595C"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AE6BAE" w14:textId="75CBEF7E"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4 000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65F136" w14:textId="2BAFA325"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E3A052" w14:textId="0C128B5A"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8A65B8" w14:textId="24A09B7B"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zodpovedajúce zvýšeniu odolnosti aspoň 4 000 km elektrickej siete, ktoré boli certifikované na základe jednej alebo viacerých správ nezávislého inžiniera.</w:t>
            </w:r>
          </w:p>
        </w:tc>
      </w:tr>
      <w:tr w:rsidR="00BF03AA" w:rsidRPr="00326E55" w14:paraId="39CBF95D"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4EF9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14</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D7E639" w14:textId="55197BAD"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3.3 Testovanie 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cestnej doprave</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7C9E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FABCA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Zadávanie (všetkých) verejných zákaziek na rozvoj nabíjacích staníc na báze vodíka</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23280E" w14:textId="1260B0BF"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(všetkých) verejných zákaziek na rozvoj najmenej 40 nabíjacích staníc na báze vodíka </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C48A6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FFAD0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9CA95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18A43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602A9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DE80D" w14:textId="2046690B"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w:t>
            </w:r>
            <w:r w:rsidRPr="00326E55">
              <w:rPr>
                <w:rFonts w:ascii="Times New Roman" w:hAnsi="Times New Roman"/>
                <w:noProof/>
                <w:spacing w:val="-6"/>
                <w:lang w:val="sk-SK"/>
              </w:rPr>
              <w:t xml:space="preserve"> (všetkých) verejných zákaziek na rozvoj najmenej 40 nabíjacích staníc založených na vodíku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smernicou 2014/94/EÚ</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infraštruktúre pre alternatívne palivá.</w:t>
            </w:r>
          </w:p>
        </w:tc>
      </w:tr>
      <w:tr w:rsidR="00BF03AA" w:rsidRPr="00326E55" w14:paraId="463D14A9"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2A38E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16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D6DBA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3.4: Testovanie vodíka pre železničnú mobilitu</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B468C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25A55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Pridelenie </w:t>
            </w:r>
            <w:r w:rsidRPr="00326E55">
              <w:rPr>
                <w:rFonts w:ascii="Times New Roman" w:hAnsi="Times New Roman"/>
                <w:noProof/>
                <w:spacing w:val="-6"/>
                <w:lang w:val="sk-SK"/>
              </w:rPr>
              <w:t>zdrojov na testovanie vodíka pre železničnú mobilitu</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43DF48" w14:textId="7E62938C"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pridelení zdrojov</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9923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C1A2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135A6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EEE6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D34A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2A8500" w14:textId="0BD1B8C9"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Prideľovanie zdrojov podľa postupov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kritérií stanovených na vybudovanie desiatich vodíkových čerpacích staníc pre železnic</w:t>
            </w:r>
            <w:r w:rsidRPr="00326E55">
              <w:rPr>
                <w:rFonts w:ascii="Times New Roman" w:hAnsi="Times New Roman"/>
                <w:noProof/>
                <w:spacing w:val="-6"/>
                <w:lang w:val="sk-SK"/>
              </w:rPr>
              <w:t>e pozdĺž šiestich železničných tratí.</w:t>
            </w:r>
          </w:p>
        </w:tc>
      </w:tr>
      <w:tr w:rsidR="00BF03AA" w:rsidRPr="00326E55" w14:paraId="65F01B6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4E720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18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7A7B0C" w14:textId="38A963D4"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3.5 Výskum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 vodíka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CF4DC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E7C400" w14:textId="7FE75B81"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Zadávanie všetkých verejných zákaziek na výskum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 výskumným projektom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vodíka</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5725BE" w14:textId="641EDC74"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 na výskum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 vodíka</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4FB98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8D18C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D697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4894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D4378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61EBE4" w14:textId="12C94EBC"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 na výskum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 ktorého cieľom je zlepšiť znalosti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implementácii vektora vodíka vo fázach výroby, skladovania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distribúcie.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zmluvách sa rozvíjajú aspoň štyri rozmery výskumu:</w:t>
            </w:r>
          </w:p>
          <w:p w14:paraId="69A33AC1" w14:textId="1B6B56F9"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 xml:space="preserve">a) </w:t>
            </w:r>
            <w:r w:rsidRPr="00326E55">
              <w:rPr>
                <w:rFonts w:ascii="Times New Roman" w:hAnsi="Times New Roman"/>
                <w:noProof/>
                <w:spacing w:val="-6"/>
                <w:lang w:val="sk-SK"/>
              </w:rPr>
              <w:t>Výroba ekologického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čistého vodíka</w:t>
            </w:r>
          </w:p>
          <w:p w14:paraId="3611EF68" w14:textId="7FB970A8"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b) Inovačné technológie na skladovanie, prepravu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transformáciu vodíka na deriváty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e-palivá</w:t>
            </w:r>
          </w:p>
          <w:p w14:paraId="691A34D5" w14:textId="62B19B21"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C) Palivové články na stacionárne použitie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použitie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mobility</w:t>
            </w:r>
          </w:p>
          <w:p w14:paraId="2D69B73B" w14:textId="587B939B"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d) Integrované systémy inteligentného riadenia na z</w:t>
            </w:r>
            <w:r w:rsidRPr="00326E55">
              <w:rPr>
                <w:rFonts w:ascii="Times New Roman" w:hAnsi="Times New Roman"/>
                <w:noProof/>
                <w:spacing w:val="-6"/>
                <w:lang w:val="sk-SK"/>
              </w:rPr>
              <w:t>výšenie odolnosti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spoľahlivosti inteligentných infraštruktúr založených na vodíku</w:t>
            </w:r>
          </w:p>
          <w:p w14:paraId="4BA722D5" w14:textId="460BDAA4"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Týmto opatrením sa podporuje výroba vodíka založená na elektrolýze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využitím obnoviteľných zdrojov energie vymedzených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smernici (EÚ) 2018/2001 (smernica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obnoviteľných </w:t>
            </w:r>
            <w:r w:rsidRPr="00326E55">
              <w:rPr>
                <w:rFonts w:ascii="Times New Roman" w:hAnsi="Times New Roman"/>
                <w:noProof/>
                <w:spacing w:val="-6"/>
                <w:lang w:val="sk-SK"/>
              </w:rPr>
              <w:t>zdrojoch energie) alebo elektriny zo siete, alebo vodíkové činnosti, ktoré spĺňajú požiadavku na úspory emisií skleníkových plynov počas životného cyklu vo výške 73,4</w:t>
            </w:r>
            <w:r w:rsidR="00326E55" w:rsidRPr="00326E55">
              <w:rPr>
                <w:rFonts w:ascii="Times New Roman" w:hAnsi="Times New Roman"/>
                <w:noProof/>
                <w:spacing w:val="-6"/>
                <w:lang w:val="sk-SK"/>
              </w:rPr>
              <w:t> % v </w:t>
            </w:r>
            <w:r w:rsidRPr="00326E55">
              <w:rPr>
                <w:rFonts w:ascii="Times New Roman" w:hAnsi="Times New Roman"/>
                <w:noProof/>
                <w:spacing w:val="-6"/>
                <w:lang w:val="sk-SK"/>
              </w:rPr>
              <w:t>prípade vodíka, ktorých výsledkom sú emisie skleníkových plynov počas životného cyklu</w:t>
            </w:r>
            <w:r w:rsidRPr="00326E55">
              <w:rPr>
                <w:rFonts w:ascii="Times New Roman" w:hAnsi="Times New Roman"/>
                <w:noProof/>
                <w:spacing w:val="-6"/>
                <w:lang w:val="sk-SK"/>
              </w:rPr>
              <w:t xml:space="preserve"> nižšie ako 3 t ekvivalentu CO2/tH2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70</w:t>
            </w:r>
            <w:r w:rsidR="00326E55" w:rsidRPr="00326E55">
              <w:rPr>
                <w:rFonts w:ascii="Times New Roman" w:hAnsi="Times New Roman"/>
                <w:noProof/>
                <w:spacing w:val="-6"/>
                <w:lang w:val="sk-SK"/>
              </w:rPr>
              <w:t> % v </w:t>
            </w:r>
            <w:r w:rsidRPr="00326E55">
              <w:rPr>
                <w:rFonts w:ascii="Times New Roman" w:hAnsi="Times New Roman"/>
                <w:noProof/>
                <w:spacing w:val="-6"/>
                <w:lang w:val="sk-SK"/>
              </w:rPr>
              <w:t>prípade syntetických palív na báze 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porovnateľným fosílnym palivom</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hodnotou 94 g ekvivalentu CO2/MJ analogicky</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prístupu stanovenému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25 ods. 2 smernice (EÚ) 2018/2001</w:t>
            </w:r>
            <w:r w:rsidR="00326E55" w:rsidRPr="00326E55">
              <w:rPr>
                <w:rFonts w:ascii="Times New Roman" w:hAnsi="Times New Roman"/>
                <w:noProof/>
                <w:spacing w:val="-6"/>
                <w:lang w:val="sk-SK"/>
              </w:rPr>
              <w:t xml:space="preserve"> a v </w:t>
            </w:r>
            <w:r w:rsidRPr="00326E55">
              <w:rPr>
                <w:rFonts w:ascii="Times New Roman" w:hAnsi="Times New Roman"/>
                <w:noProof/>
                <w:spacing w:val="-6"/>
                <w:lang w:val="sk-SK"/>
              </w:rPr>
              <w:t>prílohe</w:t>
            </w:r>
            <w:r w:rsidR="00326E55" w:rsidRPr="00326E55">
              <w:rPr>
                <w:rFonts w:ascii="Times New Roman" w:hAnsi="Times New Roman"/>
                <w:noProof/>
                <w:spacing w:val="-6"/>
                <w:lang w:val="sk-SK"/>
              </w:rPr>
              <w:t xml:space="preserve"> V k </w:t>
            </w:r>
            <w:r w:rsidRPr="00326E55">
              <w:rPr>
                <w:rFonts w:ascii="Times New Roman" w:hAnsi="Times New Roman"/>
                <w:noProof/>
                <w:spacing w:val="-6"/>
                <w:lang w:val="sk-SK"/>
              </w:rPr>
              <w:t>smernici (EÚ) 2018/2001.</w:t>
            </w:r>
          </w:p>
        </w:tc>
      </w:tr>
      <w:tr w:rsidR="00BF03AA" w:rsidRPr="00326E55" w14:paraId="268B3B5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57DF9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20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2A4F6C" w14:textId="08C1E744"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3 Administratívne zjednodušenie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zníženie regulačných prekážok zavádzania vodíka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59D5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E26B9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potrebných legislatívnych opatrení</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6A79F" w14:textId="7AC141A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994CD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591E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BDEF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516C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C7859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5BEB23" w14:textId="7B67B6B4"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V potrebných legislatívnych opatreniach sa stanovia i) bezpečnostné ustanovenia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výrobou, prepravou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skladovaním vodíka, ii) zjednodušenie postupov budovania malých štruktúr na výrobu ekologického </w:t>
            </w:r>
            <w:r w:rsidRPr="00326E55">
              <w:rPr>
                <w:rFonts w:ascii="Times New Roman" w:hAnsi="Times New Roman"/>
                <w:noProof/>
                <w:spacing w:val="-6"/>
                <w:lang w:val="sk-SK"/>
              </w:rPr>
              <w:t>vodíka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iii) opatrenia týkajúce sa podmienok výstavby nabíjacích staníc založených na vodíku.</w:t>
            </w:r>
          </w:p>
          <w:p w14:paraId="315860ED" w14:textId="6A0CCA16"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Týmto opatrením sa podporujú len vodíkové činnosti, ktoré spĺňajú požiadavku na úspory emisií skleníkových plynov počas životného cyklu vo výške 73,4</w:t>
            </w:r>
            <w:r w:rsidR="00326E55" w:rsidRPr="00326E55">
              <w:rPr>
                <w:rFonts w:ascii="Times New Roman" w:hAnsi="Times New Roman"/>
                <w:noProof/>
                <w:spacing w:val="-6"/>
                <w:lang w:val="sk-SK"/>
              </w:rPr>
              <w:t> % v </w:t>
            </w:r>
            <w:r w:rsidRPr="00326E55">
              <w:rPr>
                <w:rFonts w:ascii="Times New Roman" w:hAnsi="Times New Roman"/>
                <w:noProof/>
                <w:spacing w:val="-6"/>
                <w:lang w:val="sk-SK"/>
              </w:rPr>
              <w:t>prípade</w:t>
            </w:r>
            <w:r w:rsidRPr="00326E55">
              <w:rPr>
                <w:rFonts w:ascii="Times New Roman" w:hAnsi="Times New Roman"/>
                <w:noProof/>
                <w:spacing w:val="-6"/>
                <w:lang w:val="sk-SK"/>
              </w:rPr>
              <w:t xml:space="preserve"> vodíka, čo vedie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3 t ekvivalentu CO2/tH2.</w:t>
            </w:r>
          </w:p>
        </w:tc>
      </w:tr>
      <w:tr w:rsidR="00BF03AA" w:rsidRPr="00326E55" w14:paraId="00D5CF48"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6F566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21</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1E42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4 Opatrenia na podporu konkurencieschopnosti vodíka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A9FA3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FFDB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fiškálnych stimulov</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56677" w14:textId="24715AD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8CF5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NEUVÁDZA SA</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578DB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E5173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B7D85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DRUHÝ </w:t>
            </w:r>
            <w:r w:rsidRPr="00326E55">
              <w:rPr>
                <w:rFonts w:ascii="Times New Roman" w:hAnsi="Times New Roman"/>
                <w:noProof/>
                <w:spacing w:val="-6"/>
                <w:lang w:val="sk-SK"/>
              </w:rPr>
              <w:t>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27EA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F0D337" w14:textId="25F8301D"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V zákone sa stanovia fiškálne stimuly na podporu výroby ekologického vodíka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podporu spotreby ekologického 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odvetví dopravy.</w:t>
            </w:r>
          </w:p>
          <w:p w14:paraId="31E38799" w14:textId="430D8D06"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Týmto opatrením sa podporujú len vodíkové činnosti, ktoré spĺňajú požiadavku na úspory emisií skleníkovýc</w:t>
            </w:r>
            <w:r w:rsidRPr="00326E55">
              <w:rPr>
                <w:rFonts w:ascii="Times New Roman" w:hAnsi="Times New Roman"/>
                <w:noProof/>
                <w:spacing w:val="-6"/>
                <w:lang w:val="sk-SK"/>
              </w:rPr>
              <w:t>h plynov počas životného cyklu vo výške 73,4</w:t>
            </w:r>
            <w:r w:rsidR="00326E55" w:rsidRPr="00326E55">
              <w:rPr>
                <w:rFonts w:ascii="Times New Roman" w:hAnsi="Times New Roman"/>
                <w:noProof/>
                <w:spacing w:val="-6"/>
                <w:lang w:val="sk-SK"/>
              </w:rPr>
              <w:t> % v </w:t>
            </w:r>
            <w:r w:rsidRPr="00326E55">
              <w:rPr>
                <w:rFonts w:ascii="Times New Roman" w:hAnsi="Times New Roman"/>
                <w:noProof/>
                <w:spacing w:val="-6"/>
                <w:lang w:val="sk-SK"/>
              </w:rPr>
              <w:t>prípade vodíka, čo vedie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3 t ekvivalentu CO2/tH2.</w:t>
            </w:r>
          </w:p>
        </w:tc>
      </w:tr>
      <w:tr w:rsidR="00BF03AA" w:rsidRPr="00326E55" w14:paraId="167F15F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D9BD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22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05C6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4.1 Investície do bezmotorovej mobility (národný plán cyklistickej cesty)</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618E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68AA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Cyklistické jazdné pruhy T1</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21BA4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F4039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Km</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9C05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94D4A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FA91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w:t>
            </w:r>
            <w:r w:rsidRPr="00326E55">
              <w:rPr>
                <w:rFonts w:ascii="Times New Roman" w:hAnsi="Times New Roman"/>
                <w:noProof/>
                <w:spacing w:val="-6"/>
                <w:lang w:val="sk-SK"/>
              </w:rPr>
              <w:t xml:space="preserve">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F7CD8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55231" w14:textId="5D612D54"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Dokončenie najmenej 200 km cyklistických jazdných pruhov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metropolitných oblastiach vymedzených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opise opatrenia alebo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mestách,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nachádzajú univerzity.</w:t>
            </w:r>
          </w:p>
        </w:tc>
      </w:tr>
      <w:tr w:rsidR="00BF03AA" w:rsidRPr="00326E55" w14:paraId="0B1E9B7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7986D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23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37644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4.1 Investície do bezmotorovej mobility (národný </w:t>
            </w:r>
            <w:r w:rsidRPr="00326E55">
              <w:rPr>
                <w:rFonts w:ascii="Times New Roman" w:hAnsi="Times New Roman"/>
                <w:noProof/>
                <w:spacing w:val="-6"/>
                <w:lang w:val="sk-SK"/>
              </w:rPr>
              <w:t>plán cyklistickej cesty)</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0E3CF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6061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Cyklistické jazdné pruhy T2</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6517F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6517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Km</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8085D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9C799A" w14:textId="648E5A32"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szCs w:val="20"/>
                <w:lang w:val="sk-SK"/>
              </w:rPr>
              <w:t>1</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261</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1EE9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C365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9D3C49" w14:textId="5808BA93"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szCs w:val="20"/>
                <w:lang w:val="sk-SK"/>
              </w:rPr>
              <w:t>Osvedčenia</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dokončení prác sa vydávajú na výstavbu najmenej 1261</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km cyklistických pruhov</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metropolitných oblastiach</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turistických cyklistických trás.</w:t>
            </w:r>
          </w:p>
        </w:tc>
      </w:tr>
      <w:tr w:rsidR="00BF03AA" w:rsidRPr="00326E55" w14:paraId="3BC6C35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3E904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27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32A7A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4.3: Inštalácia nabíjacích infraštruktúr</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57593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548E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Zadanie všetkých verejných zákaziek na inštaláciu nabíjacích infraštruktúr M1</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CA7DD0" w14:textId="47D1A18E"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inštaláciu nabíjacích infraštruktúr</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4981B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02D5B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CDFE8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AAAFE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2BEEF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7C3C39" w14:textId="37E223AB"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výstavbu najmenej 4700 nabíjacích staníc</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mestských oblastiach (všetky obce).</w:t>
            </w:r>
          </w:p>
          <w:p w14:paraId="1A1F3F29"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Projekt môže zahŕňať aj pilotné nabíjacie stanice zamerané na uskladňovanie energie.</w:t>
            </w:r>
          </w:p>
        </w:tc>
      </w:tr>
      <w:tr w:rsidR="00BF03AA" w:rsidRPr="00326E55" w14:paraId="2DD940AA"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3FAF79"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M2C2 – 28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3BA5E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4.3: Inštalácia nabíjacích infraštruktúr</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751F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EFAD5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Zadávanie verejných zákaziek na inštaláciu nabíjacej infraštruktúry </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DAE40A" w14:textId="3710E5DB"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Zadávanie verejných zákaziek na inštaláciu nabíjacej infraštruktúry</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B14E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D770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CE9E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C5A43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9006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D090F0" w14:textId="7A34449D" w:rsidR="00BF03AA" w:rsidRPr="00326E55" w:rsidRDefault="00FB452D">
            <w:pPr>
              <w:pStyle w:val="P68B1DB1-Normal21"/>
              <w:spacing w:after="120"/>
              <w:rPr>
                <w:rFonts w:ascii="Times New Roman" w:hAnsi="Times New Roman"/>
                <w:noProof/>
                <w:spacing w:val="-6"/>
                <w:szCs w:val="20"/>
                <w:lang w:val="sk-SK"/>
              </w:rPr>
            </w:pPr>
            <w:r w:rsidRPr="00326E55">
              <w:rPr>
                <w:rFonts w:ascii="Times New Roman" w:hAnsi="Times New Roman"/>
                <w:noProof/>
                <w:spacing w:val="-6"/>
                <w:szCs w:val="20"/>
                <w:lang w:val="sk-SK"/>
              </w:rPr>
              <w:t>Zadanie z</w:t>
            </w:r>
            <w:r w:rsidRPr="00326E55">
              <w:rPr>
                <w:rFonts w:ascii="Times New Roman" w:hAnsi="Times New Roman"/>
                <w:noProof/>
                <w:spacing w:val="-6"/>
                <w:szCs w:val="20"/>
                <w:lang w:val="sk-SK"/>
              </w:rPr>
              <w:t>ákaziek na vybudovanie najmenej 2100 miest</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rýchlej verejnej nabíjacej infraštruktúry pozdĺž diaľnic</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najmenej 9900</w:t>
            </w:r>
            <w:r w:rsidR="00326E55" w:rsidRPr="00326E55">
              <w:rPr>
                <w:rFonts w:ascii="Times New Roman" w:hAnsi="Times New Roman"/>
                <w:noProof/>
                <w:spacing w:val="-6"/>
                <w:lang w:val="sk-SK"/>
              </w:rPr>
              <w:t xml:space="preserve"> v </w:t>
            </w:r>
            <w:r w:rsidRPr="00326E55">
              <w:rPr>
                <w:rFonts w:ascii="Times New Roman" w:hAnsi="Times New Roman"/>
                <w:noProof/>
                <w:spacing w:val="-6"/>
                <w:szCs w:val="20"/>
                <w:lang w:val="sk-SK"/>
              </w:rPr>
              <w:t>mestských oblastiach.</w:t>
            </w:r>
          </w:p>
          <w:p w14:paraId="4354F8CA" w14:textId="77777777" w:rsidR="00BF03AA" w:rsidRPr="00326E55" w:rsidRDefault="00BF03AA">
            <w:pPr>
              <w:spacing w:after="120"/>
              <w:rPr>
                <w:rFonts w:ascii="Times New Roman" w:hAnsi="Times New Roman"/>
                <w:noProof/>
                <w:color w:val="006100"/>
                <w:spacing w:val="-6"/>
                <w:sz w:val="20"/>
                <w:szCs w:val="20"/>
                <w:lang w:val="sk-SK"/>
              </w:rPr>
            </w:pPr>
          </w:p>
        </w:tc>
      </w:tr>
      <w:tr w:rsidR="00BF03AA" w:rsidRPr="00326E55" w14:paraId="793429A4"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928716"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M2C2 – 29</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551BDA"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4.3: Inštalácia nabíjacích infraštruktúr</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1A5144"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C6ABC"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Počet rýchlonabíjacích staníc </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875748"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C4CB6"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796CB"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0B7D3" w14:textId="4332BBDD"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szCs w:val="20"/>
                <w:lang w:val="sk-SK"/>
              </w:rPr>
              <w:t>10</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368</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8D778"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BEEAD0"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30DB3" w14:textId="299C79BB"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noProof/>
                <w:spacing w:val="-6"/>
                <w:szCs w:val="20"/>
                <w:lang w:val="sk-SK"/>
              </w:rPr>
              <w:t>Osvedčenia</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inštalácii</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akceptovaní nákladov na pripojenie, ktoré odhadol vývojár, sa poskytujú pre najmenej 10368</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miest rýchlej verejnej nabíjacej infraštruktúry pre elektrické vozidlá buď pozdĺž diaľnic, alebo mestských obl</w:t>
            </w:r>
            <w:r w:rsidRPr="00326E55">
              <w:rPr>
                <w:rFonts w:ascii="Times New Roman" w:hAnsi="Times New Roman"/>
                <w:noProof/>
                <w:spacing w:val="-6"/>
                <w:szCs w:val="20"/>
                <w:lang w:val="sk-SK"/>
              </w:rPr>
              <w:t>astí.</w:t>
            </w:r>
          </w:p>
          <w:p w14:paraId="73E0268F" w14:textId="02562138" w:rsidR="00BF03AA"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Nabíjacia infraštruktúra pre elektrické vozidlá musí mať najmenej 175 kW na diaľniciach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90 kW</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mestských oblastiach. </w:t>
            </w:r>
          </w:p>
        </w:tc>
      </w:tr>
      <w:tr w:rsidR="00BF03AA" w:rsidRPr="00326E55" w14:paraId="3838C67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2E75C8"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M2C2 – 30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696793" w14:textId="1C53E3F3"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4.5 – Program obnovy vozového parku súkromných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ľahkých úžitkových vozidiel</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elektrickými vozidlami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B75E26"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 </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A3B949"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 zakúpených vozidiel</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080B6C"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AB0947"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8F9082"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7890B" w14:textId="793877EC"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szCs w:val="20"/>
                <w:lang w:val="sk-SK"/>
              </w:rPr>
              <w:t>30</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830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13F36"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3011E"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E912D" w14:textId="7ADC6E98"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szCs w:val="20"/>
                <w:lang w:val="sk-SK"/>
              </w:rPr>
              <w:t>Zmluvy na nákup najmenej 30830</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vozidiel</w:t>
            </w:r>
            <w:r w:rsidR="00326E55" w:rsidRPr="00326E55">
              <w:rPr>
                <w:rFonts w:ascii="Times New Roman" w:hAnsi="Times New Roman"/>
                <w:noProof/>
                <w:spacing w:val="-6"/>
                <w:szCs w:val="20"/>
                <w:lang w:val="sk-SK"/>
              </w:rPr>
              <w:t xml:space="preserve"> s </w:t>
            </w:r>
            <w:r w:rsidRPr="00326E55">
              <w:rPr>
                <w:rFonts w:ascii="Times New Roman" w:hAnsi="Times New Roman"/>
                <w:noProof/>
                <w:spacing w:val="-6"/>
                <w:szCs w:val="20"/>
                <w:lang w:val="sk-SK"/>
              </w:rPr>
              <w:t>nulovými emisiami.</w:t>
            </w:r>
          </w:p>
          <w:p w14:paraId="66442471" w14:textId="42CA2E6A" w:rsidR="00BF03AA"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Pre každé vozidlo sa poskytne aj 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zošrotovaní, ktorým sa zošrotuje tepelné vozidlo.</w:t>
            </w:r>
          </w:p>
          <w:p w14:paraId="5F36ECA0"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Schéma sa zameriava na:</w:t>
            </w:r>
          </w:p>
          <w:p w14:paraId="59208D57" w14:textId="25710A6F"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 </w:t>
            </w:r>
            <w:r w:rsidRPr="00326E55">
              <w:rPr>
                <w:rFonts w:ascii="Times New Roman" w:hAnsi="Times New Roman"/>
                <w:noProof/>
                <w:spacing w:val="-6"/>
                <w:lang w:val="sk-SK"/>
              </w:rPr>
              <w:t>Osoby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bydliskom vo funkčných mestských oblastiach.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jednotlivcov sú oprávnené len vozidlá kategórie M1.</w:t>
            </w:r>
          </w:p>
          <w:p w14:paraId="50DB2CEE" w14:textId="54A5E98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Mikropodniky vymedzené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2 ods. 9 nariadenia (EÚ) 2023/955 so sídlom vo funkčných mestských oblastiach.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mikropodnikov sú o</w:t>
            </w:r>
            <w:r w:rsidRPr="00326E55">
              <w:rPr>
                <w:rFonts w:ascii="Times New Roman" w:hAnsi="Times New Roman"/>
                <w:noProof/>
                <w:spacing w:val="-6"/>
                <w:lang w:val="sk-SK"/>
              </w:rPr>
              <w:t>právnené len vozidlá kategórií N1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N2.</w:t>
            </w:r>
          </w:p>
          <w:p w14:paraId="0E3DD50F" w14:textId="509FC523" w:rsidR="00326E55"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szCs w:val="20"/>
                <w:lang w:val="sk-SK"/>
              </w:rPr>
              <w:t>V prípade súkromných vozidiel (M1) stimul predstavuje maximálne 11000 EUR na nové vozidlo pre osoby</w:t>
            </w:r>
            <w:r w:rsidR="00326E55" w:rsidRPr="00326E55">
              <w:rPr>
                <w:rFonts w:ascii="Times New Roman" w:hAnsi="Times New Roman"/>
                <w:noProof/>
                <w:spacing w:val="-6"/>
                <w:szCs w:val="20"/>
                <w:lang w:val="sk-SK"/>
              </w:rPr>
              <w:t xml:space="preserve"> s </w:t>
            </w:r>
            <w:r w:rsidRPr="00326E55">
              <w:rPr>
                <w:rFonts w:ascii="Times New Roman" w:hAnsi="Times New Roman"/>
                <w:noProof/>
                <w:spacing w:val="-6"/>
                <w:szCs w:val="20"/>
                <w:lang w:val="sk-SK"/>
              </w:rPr>
              <w:t>rovnocenným ukazovateľom hospodárskej situácie (ISEE – Indicatore della Situazione Economica Equivalente) nižší al</w:t>
            </w:r>
            <w:r w:rsidRPr="00326E55">
              <w:rPr>
                <w:rFonts w:ascii="Times New Roman" w:hAnsi="Times New Roman"/>
                <w:noProof/>
                <w:spacing w:val="-6"/>
                <w:szCs w:val="20"/>
                <w:lang w:val="sk-SK"/>
              </w:rPr>
              <w:t>ebo rovný 30000 EUR</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maximálne 9 000 EUR na</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nové vozidlo pre osoby</w:t>
            </w:r>
            <w:r w:rsidR="00326E55" w:rsidRPr="00326E55">
              <w:rPr>
                <w:rFonts w:ascii="Times New Roman" w:hAnsi="Times New Roman"/>
                <w:noProof/>
                <w:spacing w:val="-6"/>
                <w:szCs w:val="20"/>
                <w:lang w:val="sk-SK"/>
              </w:rPr>
              <w:t xml:space="preserve"> s </w:t>
            </w:r>
            <w:r w:rsidRPr="00326E55">
              <w:rPr>
                <w:rFonts w:ascii="Times New Roman" w:hAnsi="Times New Roman"/>
                <w:noProof/>
                <w:spacing w:val="-6"/>
                <w:szCs w:val="20"/>
                <w:lang w:val="sk-SK"/>
              </w:rPr>
              <w:t>ISEE vyšším ako 30000 EUR, ale nižším alebo rovným 40000 EUR.</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prípade úžitkových vozidiel (N1</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N2) pokrýva stimul až 30</w:t>
            </w:r>
            <w:r w:rsidR="00326E55" w:rsidRPr="00326E55">
              <w:rPr>
                <w:rFonts w:ascii="Times New Roman" w:hAnsi="Times New Roman"/>
                <w:noProof/>
                <w:spacing w:val="-6"/>
                <w:szCs w:val="20"/>
                <w:lang w:val="sk-SK"/>
              </w:rPr>
              <w:t> %</w:t>
            </w:r>
            <w:r w:rsidRPr="00326E55">
              <w:rPr>
                <w:rFonts w:ascii="Times New Roman" w:hAnsi="Times New Roman"/>
                <w:noProof/>
                <w:spacing w:val="-6"/>
                <w:szCs w:val="20"/>
                <w:lang w:val="sk-SK"/>
              </w:rPr>
              <w:t xml:space="preserve"> kúpnej ceny, ktorá je obmedzená na maximálne</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20000 EUR za nov</w:t>
            </w:r>
            <w:r w:rsidRPr="00326E55">
              <w:rPr>
                <w:rFonts w:ascii="Times New Roman" w:hAnsi="Times New Roman"/>
                <w:noProof/>
                <w:spacing w:val="-6"/>
                <w:szCs w:val="20"/>
                <w:lang w:val="sk-SK"/>
              </w:rPr>
              <w:t>é vozidlo</w:t>
            </w:r>
            <w:r w:rsidR="00326E55" w:rsidRPr="00326E55">
              <w:rPr>
                <w:rFonts w:ascii="Times New Roman" w:hAnsi="Times New Roman"/>
                <w:noProof/>
                <w:spacing w:val="-6"/>
                <w:szCs w:val="20"/>
                <w:lang w:val="sk-SK"/>
              </w:rPr>
              <w:t>.</w:t>
            </w:r>
          </w:p>
          <w:p w14:paraId="4D6F0C54" w14:textId="5BC262E2"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Systém sa zameriava len na nákup vozidiel</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r>
      <w:tr w:rsidR="00BF03AA" w:rsidRPr="00326E55" w14:paraId="7E77C348"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17AF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33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7681F7" w14:textId="18DF15FE"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4.4.2: Posilnenie vozového parku regionálnej verejnej železničnej dopravy (vlaky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univerzálna služba)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4918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F0B96" w14:textId="6D93449F"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Zadávanie všetkých verejných </w:t>
            </w:r>
            <w:r w:rsidRPr="00326E55">
              <w:rPr>
                <w:rFonts w:ascii="Times New Roman" w:hAnsi="Times New Roman"/>
                <w:noProof/>
                <w:spacing w:val="-6"/>
                <w:lang w:val="sk-SK"/>
              </w:rPr>
              <w:t>zákaziek na posilnenie vozového parku regionálnej verejnej železničnej dopravy vlakmi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univerzálnou službou</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C2793" w14:textId="6B5A3041"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zákaziek na vozový park regionálnej verejnej železničnej dopravy (vlaky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w:t>
            </w:r>
            <w:r w:rsidRPr="00326E55">
              <w:rPr>
                <w:rFonts w:ascii="Times New Roman" w:hAnsi="Times New Roman"/>
                <w:noProof/>
                <w:spacing w:val="-6"/>
                <w:lang w:val="sk-SK"/>
              </w:rPr>
              <w:t>rzálna služba)</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E7011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12B7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8D4DD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F03A9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4E55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DEE158" w14:textId="4B0DA17D" w:rsidR="00BF03AA" w:rsidRPr="00326E55" w:rsidRDefault="00FB452D">
            <w:pPr>
              <w:spacing w:after="120"/>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Oznámenie</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zadaní všetkých verejných zákaziek na nákup vlakov</w:t>
            </w:r>
            <w:r w:rsidR="00326E55" w:rsidRPr="00326E55">
              <w:rPr>
                <w:rFonts w:ascii="Times New Roman" w:hAnsi="Times New Roman"/>
                <w:noProof/>
                <w:color w:val="006100"/>
                <w:spacing w:val="-6"/>
                <w:sz w:val="20"/>
                <w:szCs w:val="20"/>
                <w:lang w:val="sk-SK"/>
              </w:rPr>
              <w:t xml:space="preserve"> s </w:t>
            </w:r>
            <w:r w:rsidRPr="00326E55">
              <w:rPr>
                <w:rFonts w:ascii="Times New Roman" w:hAnsi="Times New Roman"/>
                <w:noProof/>
                <w:color w:val="006100"/>
                <w:spacing w:val="-6"/>
                <w:sz w:val="20"/>
                <w:szCs w:val="20"/>
                <w:lang w:val="sk-SK"/>
              </w:rPr>
              <w:t>nulovými emisiami</w:t>
            </w:r>
            <w:r w:rsidRPr="00326E55">
              <w:rPr>
                <w:rStyle w:val="FootnoteReference"/>
                <w:rFonts w:ascii="Times New Roman" w:hAnsi="Times New Roman"/>
                <w:noProof/>
                <w:color w:val="006100"/>
                <w:spacing w:val="-6"/>
                <w:sz w:val="20"/>
                <w:szCs w:val="20"/>
                <w:lang w:val="sk-SK"/>
              </w:rPr>
              <w:footnoteReference w:id="39"/>
            </w:r>
            <w:r w:rsidRPr="00326E55">
              <w:rPr>
                <w:rFonts w:ascii="Times New Roman" w:hAnsi="Times New Roman"/>
                <w:noProof/>
                <w:spacing w:val="-6"/>
                <w:lang w:val="sk-SK"/>
              </w:rPr>
              <w:t>.</w:t>
            </w:r>
          </w:p>
        </w:tc>
      </w:tr>
      <w:tr w:rsidR="00BF03AA" w:rsidRPr="00326E55" w14:paraId="5A4CD78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CB675" w14:textId="6E0D63D3"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M2C2 – 35</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20878A" w14:textId="437FE470" w:rsidR="00BF03AA" w:rsidRPr="00326E55" w:rsidRDefault="00FB452D">
            <w:pPr>
              <w:pStyle w:val="P68B1DB1-Normal14"/>
              <w:spacing w:line="276" w:lineRule="auto"/>
              <w:jc w:val="center"/>
              <w:rPr>
                <w:rFonts w:ascii="Times New Roman" w:hAnsi="Times New Roman"/>
                <w:noProof/>
                <w:color w:val="006100"/>
                <w:spacing w:val="-6"/>
                <w:szCs w:val="20"/>
                <w:lang w:val="sk-SK"/>
              </w:rPr>
            </w:pPr>
            <w:r w:rsidRPr="00326E55">
              <w:rPr>
                <w:rFonts w:ascii="Times New Roman" w:hAnsi="Times New Roman"/>
                <w:noProof/>
                <w:color w:val="006100"/>
                <w:spacing w:val="-6"/>
                <w:lang w:val="sk-SK"/>
              </w:rPr>
              <w:t>Investícia 4.4.1: Posilnenie regionálneho vozového parku verejnej autobusovej dopravy autobusmi</w:t>
            </w:r>
            <w:r w:rsidR="00326E55" w:rsidRPr="00326E55">
              <w:rPr>
                <w:rFonts w:ascii="Times New Roman" w:hAnsi="Times New Roman"/>
                <w:noProof/>
                <w:color w:val="006100"/>
                <w:spacing w:val="-6"/>
                <w:lang w:val="sk-SK"/>
              </w:rPr>
              <w:t xml:space="preserve"> s </w:t>
            </w:r>
            <w:r w:rsidRPr="00326E55">
              <w:rPr>
                <w:rFonts w:ascii="Times New Roman" w:hAnsi="Times New Roman"/>
                <w:noProof/>
                <w:spacing w:val="-6"/>
                <w:lang w:val="sk-SK"/>
              </w:rPr>
              <w:t xml:space="preserve">nulovými emisiami </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FC753B" w14:textId="3DE18D61"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29FF79" w14:textId="616FAD8F"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 autobusov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 registrovaných T2</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3A90C9" w14:textId="4F78C462"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D141F8" w14:textId="6712B3EC"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C7D7F" w14:textId="538D5A25"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800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C71FAB" w14:textId="70C82F7B"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3 000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16B53F" w14:textId="4AD26D0E"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33E85C" w14:textId="05AE972B"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EA0160" w14:textId="15961FC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Registrácia najmenej 3000 autobusov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p w14:paraId="4D65ED49" w14:textId="07890D68"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Oprávnené autobusy patria do kategórií vozidiel M2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M3 podľa noriem EHK</w:t>
            </w:r>
            <w:r w:rsidRPr="00326E55">
              <w:rPr>
                <w:rFonts w:ascii="Times New Roman" w:hAnsi="Times New Roman"/>
                <w:noProof/>
                <w:spacing w:val="-6"/>
                <w:lang w:val="sk-SK"/>
              </w:rPr>
              <w:t xml:space="preserve"> OSN</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 buď elektrickým alebo vodíkovým palivovým článkom.</w:t>
            </w:r>
          </w:p>
        </w:tc>
      </w:tr>
      <w:tr w:rsidR="00BF03AA" w:rsidRPr="00326E55" w14:paraId="57BDD6E9"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7B2FE" w14:textId="035E8B9E"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M2C2 – 35 ter</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EABA53" w14:textId="35DC140B"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4.4.1: Posilnenie regionálneho vozového parku verejnej autobusovej dopravy autobusmi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FAEC54" w14:textId="049C24C2"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914C1" w14:textId="720B9F4B"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 nabíjacích staníc pre autobusy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nízkymi </w:t>
            </w:r>
            <w:r w:rsidRPr="00326E55">
              <w:rPr>
                <w:rFonts w:ascii="Times New Roman" w:hAnsi="Times New Roman"/>
                <w:noProof/>
                <w:spacing w:val="-6"/>
                <w:lang w:val="sk-SK"/>
              </w:rPr>
              <w:t>emisiami</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ADF979" w14:textId="77777777" w:rsidR="00BF03AA" w:rsidRPr="00326E55" w:rsidRDefault="00BF03AA">
            <w:pPr>
              <w:spacing w:line="276" w:lineRule="auto"/>
              <w:jc w:val="center"/>
              <w:rPr>
                <w:rFonts w:ascii="Times New Roman" w:hAnsi="Times New Roman"/>
                <w:noProof/>
                <w:color w:val="006100"/>
                <w:spacing w:val="-6"/>
                <w:sz w:val="20"/>
                <w:lang w:val="sk-SK"/>
              </w:rPr>
            </w:pP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4843C3" w14:textId="6D49BD00"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5C8181" w14:textId="40E49E6A"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E120D6" w14:textId="1D9E1443" w:rsidR="00BF03AA" w:rsidRPr="00326E55" w:rsidRDefault="00FB452D">
            <w:pPr>
              <w:pStyle w:val="P68B1DB1-Normal44"/>
              <w:spacing w:line="276" w:lineRule="auto"/>
              <w:jc w:val="center"/>
              <w:rPr>
                <w:rFonts w:ascii="Times New Roman" w:hAnsi="Times New Roman"/>
                <w:noProof/>
                <w:spacing w:val="-6"/>
                <w:lang w:val="sk-SK"/>
              </w:rPr>
            </w:pPr>
            <w:r w:rsidRPr="00326E55">
              <w:rPr>
                <w:rFonts w:ascii="Times New Roman" w:hAnsi="Times New Roman"/>
                <w:noProof/>
                <w:spacing w:val="-6"/>
                <w:lang w:val="sk-SK"/>
              </w:rPr>
              <w:t>1 000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565AA" w14:textId="547C1A51"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A263D" w14:textId="380A764F"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69D92F" w14:textId="4C68EE5B" w:rsidR="00BF03AA" w:rsidRPr="00326E55" w:rsidRDefault="00FB452D">
            <w:pPr>
              <w:pStyle w:val="P68B1DB1-Normal61"/>
              <w:spacing w:after="120"/>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zákazkách na inštaláciu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pripojenie alebo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doplnkovom napájania vydané pre najmenej 1000 nabíjacích staníc.</w:t>
            </w:r>
          </w:p>
        </w:tc>
      </w:tr>
      <w:tr w:rsidR="00BF03AA" w:rsidRPr="00326E55" w14:paraId="66E2326F"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F97D18" w14:textId="21594AAC"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M2C2 – 36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0EEF7" w14:textId="7992731C"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4.4.3: Obnova vozového parku pre veliteľstvo národného </w:t>
            </w:r>
            <w:r w:rsidRPr="00326E55">
              <w:rPr>
                <w:rFonts w:ascii="Times New Roman" w:hAnsi="Times New Roman"/>
                <w:noProof/>
                <w:spacing w:val="-6"/>
                <w:lang w:val="sk-SK"/>
              </w:rPr>
              <w:t>hasičského zboru</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1C4D21" w14:textId="0256F615"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C7A4D4" w14:textId="5D2B2F50"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 ekologických vozidiel pre obnovu vozového parku pre veliteľstvo národného hasičského zboru</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0B61E9" w14:textId="5CC2E5EE"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B7FC17" w14:textId="3BFBD273"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4ECD07" w14:textId="46C54A56"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1C7B1B" w14:textId="19C1A6CD" w:rsidR="00BF03AA" w:rsidRPr="00326E55" w:rsidRDefault="00FB452D">
            <w:pPr>
              <w:pStyle w:val="P68B1DB1-Normal44"/>
              <w:spacing w:line="276" w:lineRule="auto"/>
              <w:jc w:val="center"/>
              <w:rPr>
                <w:rFonts w:ascii="Times New Roman" w:hAnsi="Times New Roman"/>
                <w:noProof/>
                <w:spacing w:val="-6"/>
                <w:lang w:val="sk-SK"/>
              </w:rPr>
            </w:pPr>
            <w:r w:rsidRPr="00326E55">
              <w:rPr>
                <w:rFonts w:ascii="Times New Roman" w:hAnsi="Times New Roman"/>
                <w:noProof/>
                <w:spacing w:val="-6"/>
                <w:lang w:val="sk-SK"/>
              </w:rPr>
              <w:t>3 800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AB9480" w14:textId="3528CCFB"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6CB63C" w14:textId="794C9019"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103E6" w14:textId="6EA8972A"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noProof/>
                <w:spacing w:val="-6"/>
                <w:szCs w:val="20"/>
                <w:lang w:val="sk-SK"/>
              </w:rPr>
              <w:t>Registrácia najmenej 3800</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ekologických vozidiel pre obnovu vozového parku pre veliteľstvo ná</w:t>
            </w:r>
            <w:r w:rsidRPr="00326E55">
              <w:rPr>
                <w:rFonts w:ascii="Times New Roman" w:hAnsi="Times New Roman"/>
                <w:noProof/>
                <w:spacing w:val="-6"/>
                <w:szCs w:val="20"/>
                <w:lang w:val="sk-SK"/>
              </w:rPr>
              <w:t>rodného hasičského zboru.</w:t>
            </w:r>
          </w:p>
          <w:p w14:paraId="1E3F48ED" w14:textId="5FBCA083"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noProof/>
                <w:spacing w:val="-6"/>
                <w:szCs w:val="20"/>
                <w:lang w:val="sk-SK"/>
              </w:rPr>
              <w:t>Najmenej 3500</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vozidiel musí byť na 100</w:t>
            </w:r>
            <w:r w:rsidR="00326E55" w:rsidRPr="00326E55">
              <w:rPr>
                <w:rFonts w:ascii="Times New Roman" w:hAnsi="Times New Roman"/>
                <w:noProof/>
                <w:spacing w:val="-6"/>
                <w:szCs w:val="20"/>
                <w:lang w:val="sk-SK"/>
              </w:rPr>
              <w:t> %</w:t>
            </w:r>
            <w:r w:rsidRPr="00326E55">
              <w:rPr>
                <w:rFonts w:ascii="Times New Roman" w:hAnsi="Times New Roman"/>
                <w:noProof/>
                <w:spacing w:val="-6"/>
                <w:szCs w:val="20"/>
                <w:lang w:val="sk-SK"/>
              </w:rPr>
              <w:t xml:space="preserve"> elektrickej energie, zatiaľ čo zvyšok musí byť poháňaný biopalivom alebo biometánom.</w:t>
            </w:r>
          </w:p>
          <w:p w14:paraId="68E42AEC" w14:textId="0515308F"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Výrobcovia biopalív musia poskytnúť osvedčenie (osvedčenia) (dôkaz</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udržateľnosti) vydané nezávislým ho</w:t>
            </w:r>
            <w:r w:rsidRPr="00326E55">
              <w:rPr>
                <w:rFonts w:ascii="Times New Roman" w:hAnsi="Times New Roman"/>
                <w:noProof/>
                <w:spacing w:val="-6"/>
                <w:lang w:val="sk-SK"/>
              </w:rPr>
              <w:t>dnotiteľom (nezávislými hodnotiteľmi), ktoré sú súčasťou dobrovoľných schém uznaných Komisiou alebo vnútroštátnych schém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článkom 30 ods. 1, 4 alebo 6 smernice 2018/2001</w:t>
            </w:r>
            <w:r w:rsidR="00326E55" w:rsidRPr="00326E55">
              <w:rPr>
                <w:rFonts w:ascii="Times New Roman" w:hAnsi="Times New Roman"/>
                <w:noProof/>
                <w:spacing w:val="-6"/>
                <w:lang w:val="sk-SK"/>
              </w:rPr>
              <w:t>.</w:t>
            </w:r>
          </w:p>
          <w:p w14:paraId="48E94336" w14:textId="789E7E39"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Okrem toho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zmluve podpísanej</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dodávateľom biometánu uvedie, že prevád</w:t>
            </w:r>
            <w:r w:rsidRPr="00326E55">
              <w:rPr>
                <w:rFonts w:ascii="Times New Roman" w:hAnsi="Times New Roman"/>
                <w:noProof/>
                <w:spacing w:val="-6"/>
                <w:lang w:val="sk-SK"/>
              </w:rPr>
              <w:t>zkovateľ nakúpi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záruke pôvodu na očakávané použitie paliva</w:t>
            </w:r>
            <w:r w:rsidR="00326E55" w:rsidRPr="00326E55">
              <w:rPr>
                <w:rFonts w:ascii="Times New Roman" w:hAnsi="Times New Roman"/>
                <w:noProof/>
                <w:spacing w:val="-6"/>
                <w:lang w:val="sk-SK"/>
              </w:rPr>
              <w:t>.</w:t>
            </w:r>
          </w:p>
          <w:p w14:paraId="4997FD6E" w14:textId="144F7FDF"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Vozidlá poháňané biopalivom musia byť typovo schválené pre B100.</w:t>
            </w:r>
          </w:p>
        </w:tc>
      </w:tr>
      <w:tr w:rsidR="00BF03AA" w:rsidRPr="00326E55" w14:paraId="1A0B2942"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BAAF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37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A079E" w14:textId="68D0E46D"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5: Inteligentnejšie postupy hodnotenia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sektore systémov miestnej verejnej dopravy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pevnými zariadeniami</w:t>
            </w:r>
            <w:r w:rsidR="00326E55" w:rsidRPr="00326E55">
              <w:rPr>
                <w:rFonts w:ascii="Times New Roman" w:hAnsi="Times New Roman"/>
                <w:noProof/>
                <w:spacing w:val="-6"/>
                <w:lang w:val="sk-SK"/>
              </w:rPr>
              <w:t xml:space="preserve"> a v </w:t>
            </w:r>
            <w:r w:rsidRPr="00326E55">
              <w:rPr>
                <w:rFonts w:ascii="Times New Roman" w:hAnsi="Times New Roman"/>
                <w:noProof/>
                <w:spacing w:val="-6"/>
                <w:lang w:val="sk-SK"/>
              </w:rPr>
              <w:t>odvetví rýchlej hromadnej dopravy</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72FBF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39C63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zákonného dekrétu</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770E3E" w14:textId="388109F4"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zákonného dekrétu</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6A329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22E0E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1B044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7F895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4598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AC176B" w14:textId="76B949A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 xml:space="preserve">Zákonným dekrétom sa zjednodušia </w:t>
            </w:r>
            <w:r w:rsidRPr="00326E55">
              <w:rPr>
                <w:rFonts w:ascii="Times New Roman" w:hAnsi="Times New Roman"/>
                <w:noProof/>
                <w:spacing w:val="-6"/>
                <w:lang w:val="sk-SK"/>
              </w:rPr>
              <w:t>hodnotiace kritériá pre projekty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miestnou verejnou dopravou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urýchli sa proces navrhovania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povoľovania.</w:t>
            </w:r>
          </w:p>
        </w:tc>
      </w:tr>
      <w:tr w:rsidR="00BF03AA" w:rsidRPr="00326E55" w14:paraId="3E30BA9F"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3A841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38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EA72A0" w14:textId="14FCEA73"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5.1: Obnoviteľné zdroje energie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batérie</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C18C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903E8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ministerskej vyhlášky</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BC650B" w14:textId="25ECBF9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ministerskej vyhlášky</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7D107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D8B4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05322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61084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86B7E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8D56F" w14:textId="67E3E2A3"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V ministerskej vyhláške sa určí výška dostupných zdrojov, požiadavky príjemcov na prístup, podmienky oprávnenosti pre programy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projekty, oprávnené výdavky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forma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intenzita pomoci na vývoj vysoko účinných fotovoltických panelov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vývoj batérií.</w:t>
            </w:r>
          </w:p>
        </w:tc>
      </w:tr>
      <w:tr w:rsidR="00BF03AA" w:rsidRPr="00326E55" w14:paraId="37647D6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74418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41</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3854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5.3: Elektrické autobusy</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1BEFF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D0EEF4" w14:textId="299AD14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ministerskej vyhlášky,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ktorej sa určuje množstvo dostupných zdrojov na dosiahnutie </w:t>
            </w:r>
            <w:r w:rsidRPr="00326E55">
              <w:rPr>
                <w:rFonts w:ascii="Times New Roman" w:hAnsi="Times New Roman"/>
                <w:noProof/>
                <w:spacing w:val="-6"/>
                <w:lang w:val="sk-SK"/>
              </w:rPr>
              <w:t>účelu intervencie (zneužitie dodávateľského reťazca)</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BF0E3" w14:textId="44B99BA8"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ministerskej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05240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4329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55324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6B7D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76A79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81D9B"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Ministerská vyhláška určí sumu dostupných zdrojov na realizáciu približne 45 projektov priemys</w:t>
            </w:r>
            <w:r w:rsidRPr="00326E55">
              <w:rPr>
                <w:rFonts w:ascii="Times New Roman" w:hAnsi="Times New Roman"/>
                <w:noProof/>
                <w:spacing w:val="-6"/>
                <w:lang w:val="sk-SK"/>
              </w:rPr>
              <w:t>elnej transformácie prostredníctvom „rozvojových zmlúv“.</w:t>
            </w:r>
          </w:p>
        </w:tc>
      </w:tr>
      <w:tr w:rsidR="00BF03AA" w:rsidRPr="00326E55" w14:paraId="1993D4B4"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AC35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M2C2 – 42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939C1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5.4: Kapitálová injekcia do Fondu pre zelenú transformáciu (ďalej len „GTF“)</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7275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0E304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Podpísanie finančnej dohody</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E88DB" w14:textId="3F345BE0"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podpise finančnej dohody</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B4FF7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B9642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430F0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A4F6A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766D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04D52" w14:textId="1251BA0E"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V dohode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 sa stanovia nepriame investície do finančných správcov fondov rizikového kapitálu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investíciami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podnikmi/začiatkami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zelenej transformácie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rozšíriť kapitál dostupný pre výsku</w:t>
            </w:r>
            <w:r w:rsidRPr="00326E55">
              <w:rPr>
                <w:rFonts w:ascii="Times New Roman" w:hAnsi="Times New Roman"/>
                <w:noProof/>
                <w:spacing w:val="-6"/>
                <w:lang w:val="sk-SK"/>
              </w:rPr>
              <w:t>mných pracovníkov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startupy, posilniť činnosť aktívnych fondov rizikového kapitálu, rozvíjať nové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inovačné podniky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partnerstve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podnikmi.</w:t>
            </w:r>
          </w:p>
          <w:p w14:paraId="327D913B"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Finančná dohoda obsahuje:</w:t>
            </w:r>
          </w:p>
          <w:p w14:paraId="1639415A" w14:textId="77777777" w:rsidR="00BF03AA" w:rsidRPr="00326E55" w:rsidRDefault="00FB452D">
            <w:pPr>
              <w:pStyle w:val="P68B1DB1-ListParagraph15"/>
              <w:numPr>
                <w:ilvl w:val="0"/>
                <w:numId w:val="27"/>
              </w:numPr>
              <w:spacing w:after="120" w:line="240" w:lineRule="auto"/>
              <w:ind w:left="296"/>
              <w:contextualSpacing w:val="0"/>
              <w:rPr>
                <w:rFonts w:ascii="Times New Roman" w:hAnsi="Times New Roman"/>
                <w:noProof/>
                <w:spacing w:val="-6"/>
                <w:szCs w:val="20"/>
                <w:lang w:val="sk-SK"/>
              </w:rPr>
            </w:pPr>
            <w:r w:rsidRPr="00326E55">
              <w:rPr>
                <w:rFonts w:ascii="Times New Roman" w:hAnsi="Times New Roman"/>
                <w:noProof/>
                <w:spacing w:val="-6"/>
                <w:lang w:val="sk-SK"/>
              </w:rPr>
              <w:t>investičnú politiku,</w:t>
            </w:r>
          </w:p>
          <w:p w14:paraId="2D8CE706" w14:textId="77777777" w:rsidR="00BF03AA" w:rsidRPr="00326E55" w:rsidRDefault="00FB452D">
            <w:pPr>
              <w:pStyle w:val="P68B1DB1-ListParagraph15"/>
              <w:numPr>
                <w:ilvl w:val="0"/>
                <w:numId w:val="27"/>
              </w:numPr>
              <w:spacing w:after="120" w:line="240" w:lineRule="auto"/>
              <w:ind w:left="296"/>
              <w:contextualSpacing w:val="0"/>
              <w:rPr>
                <w:rFonts w:ascii="Times New Roman" w:hAnsi="Times New Roman"/>
                <w:noProof/>
                <w:spacing w:val="-6"/>
                <w:szCs w:val="20"/>
                <w:lang w:val="sk-SK"/>
              </w:rPr>
            </w:pPr>
            <w:r w:rsidRPr="00326E55">
              <w:rPr>
                <w:rFonts w:ascii="Times New Roman" w:hAnsi="Times New Roman"/>
                <w:noProof/>
                <w:spacing w:val="-6"/>
                <w:lang w:val="sk-SK"/>
              </w:rPr>
              <w:t>kritériá oprávnenosti,</w:t>
            </w:r>
          </w:p>
          <w:p w14:paraId="1187960B" w14:textId="3A13E985"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súlad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technickými usmerneniami „výrazne </w:t>
            </w:r>
            <w:r w:rsidRPr="00326E55">
              <w:rPr>
                <w:rFonts w:ascii="Times New Roman" w:hAnsi="Times New Roman"/>
                <w:noProof/>
                <w:spacing w:val="-6"/>
                <w:lang w:val="sk-SK"/>
              </w:rPr>
              <w:t>nenarušiť“ (2021/C58/01) podporovaných transakcií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tohto opatrenia prostredníctvom overovania udržateľnosti,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w:t>
            </w:r>
            <w:r w:rsidRPr="00326E55">
              <w:rPr>
                <w:rFonts w:ascii="Times New Roman" w:hAnsi="Times New Roman"/>
                <w:noProof/>
                <w:spacing w:val="-6"/>
                <w:lang w:val="sk-SK"/>
              </w:rPr>
              <w:t xml:space="preserve"> prostredia.</w:t>
            </w:r>
          </w:p>
        </w:tc>
      </w:tr>
    </w:tbl>
    <w:p w14:paraId="5753B36A" w14:textId="77777777" w:rsidR="00BF03AA" w:rsidRPr="00326E55" w:rsidRDefault="00BF03AA">
      <w:pPr>
        <w:spacing w:before="120" w:after="120"/>
        <w:jc w:val="both"/>
        <w:rPr>
          <w:rFonts w:ascii="Times New Roman" w:hAnsi="Times New Roman"/>
          <w:noProof/>
          <w:spacing w:val="-6"/>
          <w:lang w:val="sk-SK"/>
        </w:rPr>
        <w:sectPr w:rsidR="00BF03AA" w:rsidRPr="00326E55" w:rsidSect="005F11B9">
          <w:headerReference w:type="even" r:id="rId86"/>
          <w:headerReference w:type="default" r:id="rId87"/>
          <w:footerReference w:type="even" r:id="rId88"/>
          <w:footerReference w:type="default" r:id="rId89"/>
          <w:headerReference w:type="first" r:id="rId90"/>
          <w:footerReference w:type="first" r:id="rId91"/>
          <w:pgSz w:w="16839" w:h="11907" w:orient="landscape"/>
          <w:pgMar w:top="1134" w:right="1134" w:bottom="1134" w:left="1134" w:header="567" w:footer="567" w:gutter="0"/>
          <w:cols w:space="720"/>
          <w:docGrid w:linePitch="360"/>
        </w:sectPr>
      </w:pPr>
    </w:p>
    <w:p w14:paraId="4CA19AC9" w14:textId="77777777" w:rsidR="00326E55" w:rsidRPr="00326E55" w:rsidRDefault="00FB452D">
      <w:pPr>
        <w:pStyle w:val="P68B1DB1-Heading39"/>
        <w:ind w:left="850" w:hanging="850"/>
        <w:rPr>
          <w:b/>
          <w:noProof/>
          <w:spacing w:val="-6"/>
          <w:u w:val="single"/>
          <w:lang w:val="sk-SK"/>
        </w:rPr>
      </w:pPr>
      <w:r w:rsidRPr="00326E55">
        <w:rPr>
          <w:b/>
          <w:noProof/>
          <w:spacing w:val="-6"/>
          <w:u w:val="single"/>
          <w:lang w:val="sk-SK"/>
        </w:rPr>
        <w:t xml:space="preserve">E.3.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211A6177" w14:textId="548D5278" w:rsidR="00BF03AA" w:rsidRPr="00326E55" w:rsidRDefault="00FB452D">
      <w:pPr>
        <w:pStyle w:val="P68B1DB1-Normal5"/>
        <w:spacing w:before="120" w:after="120"/>
        <w:jc w:val="both"/>
        <w:rPr>
          <w:noProof/>
          <w:spacing w:val="-6"/>
          <w:lang w:val="sk-SK"/>
        </w:rPr>
      </w:pPr>
      <w:r w:rsidRPr="00326E55">
        <w:rPr>
          <w:noProof/>
          <w:spacing w:val="-6"/>
          <w:lang w:val="sk-SK"/>
        </w:rPr>
        <w:t>Investícia 1.1 – Rozvoj agrovoltaických systémov</w:t>
      </w:r>
    </w:p>
    <w:p w14:paraId="3EAF6A50" w14:textId="154E0F3A" w:rsidR="00326E55" w:rsidRPr="00326E55" w:rsidRDefault="00FB452D">
      <w:pPr>
        <w:pStyle w:val="P68B1DB1-Normal7"/>
        <w:spacing w:line="240" w:lineRule="auto"/>
        <w:jc w:val="both"/>
        <w:rPr>
          <w:noProof/>
          <w:spacing w:val="-6"/>
          <w:lang w:val="sk-SK"/>
        </w:rPr>
      </w:pPr>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 xml:space="preserve">verejných investícií do grantovej </w:t>
      </w:r>
      <w:r w:rsidRPr="00326E55">
        <w:rPr>
          <w:noProof/>
          <w:spacing w:val="-6"/>
          <w:lang w:val="sk-SK"/>
        </w:rPr>
        <w:t>schémy</w:t>
      </w:r>
      <w:r w:rsidR="00326E55" w:rsidRPr="00326E55">
        <w:rPr>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odvetví poľnohospodárstva</w:t>
      </w:r>
      <w:r w:rsidR="00326E55" w:rsidRPr="00326E55">
        <w:rPr>
          <w:noProof/>
          <w:spacing w:val="-6"/>
          <w:lang w:val="sk-SK"/>
        </w:rPr>
        <w:t xml:space="preserve"> a </w:t>
      </w:r>
      <w:r w:rsidRPr="00326E55">
        <w:rPr>
          <w:noProof/>
          <w:spacing w:val="-6"/>
          <w:lang w:val="sk-SK"/>
        </w:rPr>
        <w:t>energie</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v </w:t>
      </w:r>
      <w:r w:rsidRPr="00326E55">
        <w:rPr>
          <w:noProof/>
          <w:spacing w:val="-6"/>
          <w:lang w:val="sk-SK"/>
        </w:rPr>
        <w:t>Taliansku. Systém funguje tak, že poskytuje granty priamo súkromnému sektoru</w:t>
      </w:r>
      <w:r w:rsidR="00326E55" w:rsidRPr="00326E55">
        <w:rPr>
          <w:noProof/>
          <w:spacing w:val="-6"/>
          <w:lang w:val="sk-SK"/>
        </w:rPr>
        <w:t>.</w:t>
      </w:r>
    </w:p>
    <w:p w14:paraId="53EDA07C" w14:textId="368EFF23" w:rsidR="00BF03AA" w:rsidRPr="00326E55" w:rsidRDefault="00FB452D">
      <w:pPr>
        <w:spacing w:line="240" w:lineRule="auto"/>
        <w:jc w:val="both"/>
        <w:rPr>
          <w:rFonts w:ascii="Times New Roman" w:eastAsia="Calibri" w:hAnsi="Times New Roman" w:cs="Times New Roman"/>
          <w:noProof/>
          <w:spacing w:val="-6"/>
          <w:lang w:val="sk-SK"/>
        </w:rPr>
      </w:pPr>
      <w:r w:rsidRPr="00326E55">
        <w:rPr>
          <w:rFonts w:ascii="Times New Roman" w:eastAsia="Calibri" w:hAnsi="Times New Roman" w:cs="Times New Roman"/>
          <w:noProof/>
          <w:spacing w:val="-6"/>
          <w:lang w:val="sk-SK"/>
        </w:rPr>
        <w:t>Schému spravuje spoločnosť Gestore</w:t>
      </w:r>
      <w:r w:rsidRPr="00326E55">
        <w:rPr>
          <w:rFonts w:ascii="Times New Roman" w:eastAsia="Calibri" w:hAnsi="Times New Roman" w:cs="Times New Roman"/>
          <w:noProof/>
          <w:spacing w:val="-6"/>
          <w:lang w:val="sk-SK"/>
        </w:rPr>
        <w:t xml:space="preserve"> Servizi Energetici S.p.A. (GSE) ako implementujúci partner.</w:t>
      </w:r>
      <w:r w:rsidR="00326E55" w:rsidRPr="00326E55">
        <w:rPr>
          <w:rFonts w:ascii="Times New Roman" w:eastAsia="Calibri" w:hAnsi="Times New Roman" w:cs="Times New Roman"/>
          <w:noProof/>
          <w:spacing w:val="-6"/>
          <w:lang w:val="sk-SK"/>
        </w:rPr>
        <w:t xml:space="preserve"> V </w:t>
      </w:r>
      <w:r w:rsidRPr="00326E55">
        <w:rPr>
          <w:rFonts w:ascii="Times New Roman" w:eastAsia="Calibri" w:hAnsi="Times New Roman" w:cs="Times New Roman"/>
          <w:noProof/>
          <w:spacing w:val="-6"/>
          <w:lang w:val="sk-SK"/>
        </w:rPr>
        <w:t>rámci schémy sa poskytne grant pokrývajúci časť nákladov na projekty. Schéma podporuje výstavbu agrovoltaických systémov pozostávajúcich</w:t>
      </w:r>
      <w:r w:rsidR="00326E55" w:rsidRPr="00326E55">
        <w:rPr>
          <w:rFonts w:ascii="Times New Roman" w:eastAsia="Calibri" w:hAnsi="Times New Roman" w:cs="Times New Roman"/>
          <w:noProof/>
          <w:spacing w:val="-6"/>
          <w:lang w:val="sk-SK"/>
        </w:rPr>
        <w:t xml:space="preserve"> z </w:t>
      </w:r>
      <w:r w:rsidRPr="00326E55">
        <w:rPr>
          <w:rFonts w:ascii="Times New Roman" w:eastAsia="Calibri" w:hAnsi="Times New Roman" w:cs="Times New Roman"/>
          <w:noProof/>
          <w:spacing w:val="-6"/>
          <w:lang w:val="sk-SK"/>
        </w:rPr>
        <w:t>inštalácie fotovoltických zariadení na poľnohospodársk</w:t>
      </w:r>
      <w:r w:rsidRPr="00326E55">
        <w:rPr>
          <w:rFonts w:ascii="Times New Roman" w:eastAsia="Calibri" w:hAnsi="Times New Roman" w:cs="Times New Roman"/>
          <w:noProof/>
          <w:spacing w:val="-6"/>
          <w:lang w:val="sk-SK"/>
        </w:rPr>
        <w:t>ej pôde spolu</w:t>
      </w:r>
      <w:r w:rsidR="00326E55" w:rsidRPr="00326E55">
        <w:rPr>
          <w:rFonts w:ascii="Times New Roman" w:eastAsia="Calibri" w:hAnsi="Times New Roman" w:cs="Times New Roman"/>
          <w:noProof/>
          <w:spacing w:val="-6"/>
          <w:lang w:val="sk-SK"/>
        </w:rPr>
        <w:t xml:space="preserve"> s </w:t>
      </w:r>
      <w:r w:rsidRPr="00326E55">
        <w:rPr>
          <w:rFonts w:ascii="Times New Roman" w:eastAsia="Calibri" w:hAnsi="Times New Roman" w:cs="Times New Roman"/>
          <w:noProof/>
          <w:spacing w:val="-6"/>
          <w:lang w:val="sk-SK"/>
        </w:rPr>
        <w:t>meracími prístrojmi na monitorovanie príslušnej poľnohospodárskej činnosti</w:t>
      </w:r>
      <w:r w:rsidRPr="00326E55">
        <w:rPr>
          <w:rStyle w:val="FootnoteReference"/>
          <w:rFonts w:ascii="Times New Roman" w:eastAsia="Calibri" w:hAnsi="Times New Roman" w:cs="Times New Roman"/>
          <w:noProof/>
          <w:spacing w:val="-6"/>
          <w:lang w:val="sk-SK"/>
        </w:rPr>
        <w:footnoteReference w:id="40"/>
      </w:r>
      <w:r w:rsidRPr="00326E55">
        <w:rPr>
          <w:rFonts w:ascii="Times New Roman" w:eastAsia="Calibri" w:hAnsi="Times New Roman" w:cs="Times New Roman"/>
          <w:noProof/>
          <w:spacing w:val="-6"/>
          <w:lang w:val="sk-SK"/>
        </w:rPr>
        <w:t>.</w:t>
      </w:r>
    </w:p>
    <w:p w14:paraId="5E329D58" w14:textId="2C0A7CCC" w:rsidR="00BF03AA" w:rsidRPr="00326E55" w:rsidRDefault="00FB452D">
      <w:pPr>
        <w:pStyle w:val="P68B1DB1-Normal38"/>
        <w:spacing w:line="240" w:lineRule="auto"/>
        <w:jc w:val="both"/>
        <w:rPr>
          <w:noProof/>
          <w:spacing w:val="-6"/>
          <w:lang w:val="sk-SK"/>
        </w:rPr>
      </w:pPr>
      <w:r w:rsidRPr="00326E55">
        <w:rPr>
          <w:noProof/>
          <w:spacing w:val="-6"/>
          <w:lang w:val="sk-SK"/>
        </w:rPr>
        <w:t>S cieľom implementovať investíciu do systému Taliansko</w:t>
      </w:r>
      <w:r w:rsidR="00326E55" w:rsidRPr="00326E55">
        <w:rPr>
          <w:noProof/>
          <w:spacing w:val="-6"/>
          <w:lang w:val="sk-SK"/>
        </w:rPr>
        <w:t xml:space="preserve"> a </w:t>
      </w:r>
      <w:r w:rsidRPr="00326E55">
        <w:rPr>
          <w:noProof/>
          <w:spacing w:val="-6"/>
          <w:lang w:val="sk-SK"/>
        </w:rPr>
        <w:t>GSE podpíšu vykonávaciu dohodu, ktorá bude obsahovať tento obsah:</w:t>
      </w:r>
    </w:p>
    <w:p w14:paraId="56CB332D" w14:textId="420DB209" w:rsidR="00BF03AA" w:rsidRPr="00326E55" w:rsidRDefault="00FB452D">
      <w:pPr>
        <w:pStyle w:val="P68B1DB1-Normal38"/>
        <w:numPr>
          <w:ilvl w:val="0"/>
          <w:numId w:val="18"/>
        </w:numPr>
        <w:jc w:val="both"/>
        <w:rPr>
          <w:rFonts w:eastAsia="Times New Roman"/>
          <w:noProof/>
          <w:spacing w:val="-6"/>
          <w:lang w:val="sk-SK"/>
        </w:rPr>
      </w:pPr>
      <w:r w:rsidRPr="00326E55">
        <w:rPr>
          <w:noProof/>
          <w:spacing w:val="-6"/>
          <w:lang w:val="sk-SK"/>
        </w:rPr>
        <w:t>Opis rozhodovacieho procesu</w:t>
      </w:r>
      <w:r w:rsidR="00326E55" w:rsidRPr="00326E55">
        <w:rPr>
          <w:noProof/>
          <w:spacing w:val="-6"/>
          <w:lang w:val="sk-SK"/>
        </w:rPr>
        <w:t xml:space="preserve"> v </w:t>
      </w:r>
      <w:r w:rsidRPr="00326E55">
        <w:rPr>
          <w:noProof/>
          <w:spacing w:val="-6"/>
          <w:lang w:val="sk-SK"/>
        </w:rPr>
        <w:t>rámci sché</w:t>
      </w:r>
      <w:r w:rsidRPr="00326E55">
        <w:rPr>
          <w:noProof/>
          <w:spacing w:val="-6"/>
          <w:lang w:val="sk-SK"/>
        </w:rPr>
        <w:t>my: Konečné rozhodnutie</w:t>
      </w:r>
      <w:r w:rsidR="00326E55" w:rsidRPr="00326E55">
        <w:rPr>
          <w:noProof/>
          <w:spacing w:val="-6"/>
          <w:lang w:val="sk-SK"/>
        </w:rPr>
        <w:t xml:space="preserve"> o </w:t>
      </w:r>
      <w:r w:rsidRPr="00326E55">
        <w:rPr>
          <w:noProof/>
          <w:spacing w:val="-6"/>
          <w:lang w:val="sk-SK"/>
        </w:rPr>
        <w:t>poskytnutí pomoci</w:t>
      </w:r>
      <w:r w:rsidR="00326E55" w:rsidRPr="00326E55">
        <w:rPr>
          <w:noProof/>
          <w:spacing w:val="-6"/>
          <w:lang w:val="sk-SK"/>
        </w:rPr>
        <w:t xml:space="preserve"> v </w:t>
      </w:r>
      <w:r w:rsidRPr="00326E55">
        <w:rPr>
          <w:noProof/>
          <w:spacing w:val="-6"/>
          <w:lang w:val="sk-SK"/>
        </w:rPr>
        <w:t>rámci schémy prijíma 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 ktorí sú nezávislí od vlády.</w:t>
      </w:r>
    </w:p>
    <w:p w14:paraId="4C772900" w14:textId="77777777" w:rsidR="00BF03AA" w:rsidRPr="00326E55" w:rsidRDefault="00FB452D">
      <w:pPr>
        <w:pStyle w:val="P68B1DB1-LegalNumPar62"/>
        <w:spacing w:line="259" w:lineRule="auto"/>
        <w:jc w:val="both"/>
        <w:rPr>
          <w:noProof/>
          <w:spacing w:val="-6"/>
          <w:lang w:val="sk-SK"/>
        </w:rPr>
      </w:pPr>
      <w:r w:rsidRPr="00326E55">
        <w:rPr>
          <w:noProof/>
          <w:spacing w:val="-6"/>
          <w:lang w:val="sk-SK"/>
        </w:rPr>
        <w:t>Kľúčové požiadavky súvisiacej grantovej politiky,</w:t>
      </w:r>
      <w:r w:rsidRPr="00326E55">
        <w:rPr>
          <w:b/>
          <w:noProof/>
          <w:spacing w:val="-6"/>
          <w:lang w:val="sk-SK"/>
        </w:rPr>
        <w:t xml:space="preserve"> </w:t>
      </w:r>
      <w:r w:rsidRPr="00326E55">
        <w:rPr>
          <w:noProof/>
          <w:spacing w:val="-6"/>
          <w:lang w:val="sk-SK"/>
        </w:rPr>
        <w:t xml:space="preserve">ktoré </w:t>
      </w:r>
      <w:r w:rsidRPr="00326E55">
        <w:rPr>
          <w:noProof/>
          <w:spacing w:val="-6"/>
          <w:lang w:val="sk-SK"/>
        </w:rPr>
        <w:t>zahŕňajú:</w:t>
      </w:r>
    </w:p>
    <w:p w14:paraId="126CD52C" w14:textId="516C530D" w:rsidR="00BF03AA" w:rsidRPr="00326E55" w:rsidRDefault="00FB452D">
      <w:pPr>
        <w:pStyle w:val="P68B1DB1-LegalNumPar263"/>
        <w:spacing w:line="259" w:lineRule="auto"/>
        <w:jc w:val="both"/>
        <w:rPr>
          <w:noProof/>
          <w:spacing w:val="-6"/>
          <w:lang w:val="sk-SK"/>
        </w:rPr>
      </w:pPr>
      <w:r w:rsidRPr="00326E55">
        <w:rPr>
          <w:noProof/>
          <w:spacing w:val="-6"/>
          <w:lang w:val="sk-SK"/>
        </w:rPr>
        <w:t>Opis poskytnutých grantov</w:t>
      </w:r>
      <w:r w:rsidR="00326E55" w:rsidRPr="00326E55">
        <w:rPr>
          <w:noProof/>
          <w:spacing w:val="-6"/>
          <w:lang w:val="sk-SK"/>
        </w:rPr>
        <w:t xml:space="preserve"> a </w:t>
      </w:r>
      <w:r w:rsidRPr="00326E55">
        <w:rPr>
          <w:noProof/>
          <w:spacing w:val="-6"/>
          <w:lang w:val="sk-SK"/>
        </w:rPr>
        <w:t>oprávnených konečných príjemcov.</w:t>
      </w:r>
    </w:p>
    <w:p w14:paraId="743AA93C" w14:textId="77777777" w:rsidR="00BF03AA" w:rsidRPr="00326E55" w:rsidRDefault="00FB452D">
      <w:pPr>
        <w:pStyle w:val="P68B1DB1-LegalNumPar263"/>
        <w:spacing w:line="259" w:lineRule="auto"/>
        <w:jc w:val="both"/>
        <w:rPr>
          <w:noProof/>
          <w:spacing w:val="-6"/>
          <w:lang w:val="sk-SK"/>
        </w:rPr>
      </w:pPr>
      <w:r w:rsidRPr="00326E55">
        <w:rPr>
          <w:noProof/>
          <w:spacing w:val="-6"/>
          <w:lang w:val="sk-SK"/>
        </w:rPr>
        <w:t>Požiadavka, aby všetky podporované investície boli ekonomicky životaschopné</w:t>
      </w:r>
      <w:r w:rsidRPr="00326E55">
        <w:rPr>
          <w:b/>
          <w:noProof/>
          <w:spacing w:val="-6"/>
          <w:lang w:val="sk-SK"/>
        </w:rPr>
        <w:t>.</w:t>
      </w:r>
    </w:p>
    <w:p w14:paraId="6EE4AAE5" w14:textId="1538E03C" w:rsidR="00326E55" w:rsidRPr="00326E55" w:rsidRDefault="00FB452D">
      <w:pPr>
        <w:pStyle w:val="P68B1DB1-LegalNumPar264"/>
        <w:spacing w:line="259" w:lineRule="auto"/>
        <w:jc w:val="both"/>
        <w:rPr>
          <w:noProof/>
          <w:spacing w:val="-6"/>
          <w:lang w:val="sk-SK"/>
        </w:rPr>
      </w:pPr>
      <w:r w:rsidRPr="00326E55">
        <w:rPr>
          <w:noProof/>
          <w:spacing w:val="-6"/>
          <w:lang w:val="sk-SK"/>
        </w:rPr>
        <w:t>Požiadavka dodržiavať zásadu „výrazne nenarušiť“, ako sa stanovuje</w:t>
      </w:r>
      <w:r w:rsidR="00326E55" w:rsidRPr="00326E55">
        <w:rPr>
          <w:noProof/>
          <w:spacing w:val="-6"/>
          <w:lang w:val="sk-SK"/>
        </w:rPr>
        <w:t xml:space="preserve"> v </w:t>
      </w:r>
      <w:r w:rsidRPr="00326E55">
        <w:rPr>
          <w:noProof/>
          <w:spacing w:val="-6"/>
          <w:lang w:val="sk-SK"/>
        </w:rPr>
        <w:t>technickom usmernení</w:t>
      </w:r>
      <w:r w:rsidR="00326E55" w:rsidRPr="00326E55">
        <w:rPr>
          <w:noProof/>
          <w:spacing w:val="-6"/>
          <w:lang w:val="sk-SK"/>
        </w:rPr>
        <w:t xml:space="preserve"> k </w:t>
      </w:r>
      <w:r w:rsidRPr="00326E55">
        <w:rPr>
          <w:noProof/>
          <w:spacing w:val="-6"/>
          <w:lang w:val="sk-SK"/>
        </w:rPr>
        <w:t xml:space="preserve">zásade „výrazne </w:t>
      </w:r>
      <w:r w:rsidRPr="00326E55">
        <w:rPr>
          <w:noProof/>
          <w:spacing w:val="-6"/>
          <w:lang w:val="sk-SK"/>
        </w:rPr>
        <w:t>nenarušiť“ (2021/C58/01). Grantová politika vylučuje</w:t>
      </w:r>
      <w:r w:rsidR="00326E55" w:rsidRPr="00326E55">
        <w:rPr>
          <w:noProof/>
          <w:spacing w:val="-6"/>
          <w:lang w:val="sk-SK"/>
        </w:rPr>
        <w:t xml:space="preserve"> z </w:t>
      </w:r>
      <w:r w:rsidRPr="00326E55">
        <w:rPr>
          <w:noProof/>
          <w:spacing w:val="-6"/>
          <w:lang w:val="sk-SK"/>
        </w:rPr>
        <w:t>oprávnenosti najmä tento zoznam činností</w:t>
      </w:r>
      <w:r w:rsidR="00326E55" w:rsidRPr="00326E55">
        <w:rPr>
          <w:noProof/>
          <w:spacing w:val="-6"/>
          <w:lang w:val="sk-SK"/>
        </w:rPr>
        <w:t xml:space="preserve"> a </w:t>
      </w:r>
      <w:r w:rsidRPr="00326E55">
        <w:rPr>
          <w:noProof/>
          <w:spacing w:val="-6"/>
          <w:lang w:val="sk-SK"/>
        </w:rPr>
        <w:t>aktív: I) činnosti</w:t>
      </w:r>
      <w:r w:rsidR="00326E55" w:rsidRPr="00326E55">
        <w:rPr>
          <w:noProof/>
          <w:spacing w:val="-6"/>
          <w:lang w:val="sk-SK"/>
        </w:rPr>
        <w:t xml:space="preserve"> a </w:t>
      </w:r>
      <w:r w:rsidRPr="00326E55">
        <w:rPr>
          <w:noProof/>
          <w:spacing w:val="-6"/>
          <w:lang w:val="sk-SK"/>
        </w:rPr>
        <w:t>aktíva súvisiace</w:t>
      </w:r>
      <w:r w:rsidR="00326E55" w:rsidRPr="00326E55">
        <w:rPr>
          <w:noProof/>
          <w:spacing w:val="-6"/>
          <w:lang w:val="sk-SK"/>
        </w:rPr>
        <w:t xml:space="preserve"> s </w:t>
      </w:r>
      <w:r w:rsidRPr="00326E55">
        <w:rPr>
          <w:noProof/>
          <w:spacing w:val="-6"/>
          <w:lang w:val="sk-SK"/>
        </w:rPr>
        <w:t>fosílnymi palivami vrátane následného používania,</w:t>
      </w:r>
      <w:r w:rsidRPr="00326E55">
        <w:rPr>
          <w:noProof/>
          <w:spacing w:val="-6"/>
          <w:lang w:val="sk-SK"/>
        </w:rPr>
        <w:footnoteReference w:id="41"/>
      </w:r>
      <w:r w:rsidRPr="00326E55">
        <w:rPr>
          <w:noProof/>
          <w:spacing w:val="-6"/>
          <w:lang w:val="sk-SK"/>
        </w:rPr>
        <w:t>ii) činnosti</w:t>
      </w:r>
      <w:r w:rsidR="00326E55" w:rsidRPr="00326E55">
        <w:rPr>
          <w:noProof/>
          <w:spacing w:val="-6"/>
          <w:lang w:val="sk-SK"/>
        </w:rPr>
        <w:t xml:space="preserve"> a </w:t>
      </w:r>
      <w:r w:rsidRPr="00326E55">
        <w:rPr>
          <w:noProof/>
          <w:spacing w:val="-6"/>
          <w:lang w:val="sk-SK"/>
        </w:rPr>
        <w:t>aktíva</w:t>
      </w:r>
      <w:r w:rsidR="00326E55" w:rsidRPr="00326E55">
        <w:rPr>
          <w:noProof/>
          <w:spacing w:val="-6"/>
          <w:lang w:val="sk-SK"/>
        </w:rPr>
        <w:t xml:space="preserve"> v </w:t>
      </w:r>
      <w:r w:rsidRPr="00326E55">
        <w:rPr>
          <w:noProof/>
          <w:spacing w:val="-6"/>
          <w:lang w:val="sk-SK"/>
        </w:rPr>
        <w:t>rámci systému EÚ na obchodovanie</w:t>
      </w:r>
      <w:r w:rsidR="00326E55" w:rsidRPr="00326E55">
        <w:rPr>
          <w:noProof/>
          <w:spacing w:val="-6"/>
          <w:lang w:val="sk-SK"/>
        </w:rPr>
        <w:t xml:space="preserve"> s </w:t>
      </w:r>
      <w:r w:rsidRPr="00326E55">
        <w:rPr>
          <w:noProof/>
          <w:spacing w:val="-6"/>
          <w:lang w:val="sk-SK"/>
        </w:rPr>
        <w:t xml:space="preserve">emisiami </w:t>
      </w:r>
      <w:r w:rsidRPr="00326E55">
        <w:rPr>
          <w:noProof/>
          <w:spacing w:val="-6"/>
          <w:lang w:val="sk-SK"/>
        </w:rPr>
        <w:t>(ETS), ktorými sa dosahujú predpokladané emisie skleníkových plynov, ktoré nie sú nižšie ako príslušné referenčné hodnoty,</w:t>
      </w:r>
      <w:r w:rsidRPr="00326E55">
        <w:rPr>
          <w:noProof/>
          <w:spacing w:val="-6"/>
          <w:lang w:val="sk-SK"/>
        </w:rPr>
        <w:footnoteReference w:id="42"/>
      </w:r>
      <w:r w:rsidRPr="00326E55">
        <w:rPr>
          <w:noProof/>
          <w:spacing w:val="-6"/>
          <w:lang w:val="sk-SK"/>
        </w:rPr>
        <w:t>iii) činnosti</w:t>
      </w:r>
      <w:r w:rsidR="00326E55" w:rsidRPr="00326E55">
        <w:rPr>
          <w:noProof/>
          <w:spacing w:val="-6"/>
          <w:lang w:val="sk-SK"/>
        </w:rPr>
        <w:t xml:space="preserve"> a </w:t>
      </w:r>
      <w:r w:rsidRPr="00326E55">
        <w:rPr>
          <w:noProof/>
          <w:spacing w:val="-6"/>
          <w:lang w:val="sk-SK"/>
        </w:rPr>
        <w:t>aktíva súvisiace so skládkami odpadu, spaľovňami</w:t>
      </w:r>
      <w:r w:rsidRPr="00326E55">
        <w:rPr>
          <w:noProof/>
          <w:spacing w:val="-6"/>
          <w:lang w:val="sk-SK"/>
        </w:rPr>
        <w:footnoteReference w:id="43"/>
      </w:r>
      <w:r w:rsidR="00326E55" w:rsidRPr="00326E55">
        <w:rPr>
          <w:noProof/>
          <w:spacing w:val="-6"/>
          <w:lang w:val="sk-SK"/>
        </w:rPr>
        <w:t xml:space="preserve"> a </w:t>
      </w:r>
      <w:r w:rsidRPr="00326E55">
        <w:rPr>
          <w:noProof/>
          <w:spacing w:val="-6"/>
          <w:lang w:val="sk-SK"/>
        </w:rPr>
        <w:t>mechanickými biologickými čistiarňami</w:t>
      </w:r>
      <w:r w:rsidRPr="00326E55">
        <w:rPr>
          <w:noProof/>
          <w:spacing w:val="-6"/>
          <w:lang w:val="sk-SK"/>
        </w:rPr>
        <w:footnoteReference w:id="44"/>
      </w:r>
      <w:r w:rsidR="00326E55" w:rsidRPr="00326E55">
        <w:rPr>
          <w:noProof/>
          <w:spacing w:val="-6"/>
          <w:lang w:val="sk-SK"/>
        </w:rPr>
        <w:t>.</w:t>
      </w:r>
    </w:p>
    <w:p w14:paraId="5D6F4A4C" w14:textId="38095B78" w:rsidR="00BF03AA" w:rsidRPr="00326E55" w:rsidRDefault="00FB452D">
      <w:pPr>
        <w:pStyle w:val="P68B1DB1-LegalNumPar263"/>
        <w:spacing w:line="259" w:lineRule="auto"/>
        <w:jc w:val="both"/>
        <w:rPr>
          <w:noProof/>
          <w:spacing w:val="-6"/>
          <w:lang w:val="sk-SK"/>
        </w:rPr>
      </w:pPr>
      <w:r w:rsidRPr="00326E55">
        <w:rPr>
          <w:noProof/>
          <w:spacing w:val="-6"/>
          <w:lang w:val="sk-SK"/>
        </w:rPr>
        <w:t>Požiadavka, aby koneční p</w:t>
      </w:r>
      <w:r w:rsidRPr="00326E55">
        <w:rPr>
          <w:noProof/>
          <w:spacing w:val="-6"/>
          <w:lang w:val="sk-SK"/>
        </w:rPr>
        <w:t>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1182310F" w14:textId="652C4A1D" w:rsidR="00BF03AA" w:rsidRPr="00326E55" w:rsidRDefault="00FB452D">
      <w:pPr>
        <w:pStyle w:val="P68B1DB1-LegalNumPar62"/>
        <w:spacing w:line="259" w:lineRule="auto"/>
        <w:jc w:val="both"/>
        <w:rPr>
          <w:noProof/>
          <w:spacing w:val="-6"/>
          <w:lang w:val="sk-SK"/>
        </w:rPr>
      </w:pPr>
      <w:r w:rsidRPr="00326E55">
        <w:rPr>
          <w:noProof/>
          <w:spacing w:val="-6"/>
          <w:lang w:val="sk-SK"/>
        </w:rPr>
        <w:t>Suma,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použiť akékoľvek nevyužité výnosy zo systému,</w:t>
      </w:r>
      <w:r w:rsidR="00326E55" w:rsidRPr="00326E55">
        <w:rPr>
          <w:noProof/>
          <w:spacing w:val="-6"/>
          <w:lang w:val="sk-SK"/>
        </w:rPr>
        <w:t xml:space="preserve"> a </w:t>
      </w:r>
      <w:r w:rsidRPr="00326E55">
        <w:rPr>
          <w:noProof/>
          <w:spacing w:val="-6"/>
          <w:lang w:val="sk-SK"/>
        </w:rPr>
        <w:t>to aj p</w:t>
      </w:r>
      <w:r w:rsidRPr="00326E55">
        <w:rPr>
          <w:noProof/>
          <w:spacing w:val="-6"/>
          <w:lang w:val="sk-SK"/>
        </w:rPr>
        <w:t>o roku 2026, na rovnaké politické účely.</w:t>
      </w:r>
    </w:p>
    <w:p w14:paraId="4AA0D20F" w14:textId="59E5EDBD" w:rsidR="00BF03AA" w:rsidRPr="00326E55" w:rsidRDefault="00FB452D">
      <w:pPr>
        <w:pStyle w:val="P68B1DB1-LegalNumPar62"/>
        <w:spacing w:line="259" w:lineRule="auto"/>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p>
    <w:p w14:paraId="16A7597A" w14:textId="79DFD937" w:rsidR="00BF03AA" w:rsidRPr="00326E55" w:rsidRDefault="00FB452D">
      <w:pPr>
        <w:pStyle w:val="P68B1DB1-ListParagraph39"/>
        <w:numPr>
          <w:ilvl w:val="0"/>
          <w:numId w:val="74"/>
        </w:numPr>
        <w:spacing w:before="120" w:after="120" w:line="240" w:lineRule="auto"/>
        <w:jc w:val="both"/>
        <w:rPr>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 </w:t>
      </w:r>
      <w:r w:rsidRPr="00326E55">
        <w:rPr>
          <w:noProof/>
          <w:spacing w:val="-6"/>
          <w:lang w:val="sk-SK"/>
        </w:rPr>
        <w:t>mobilizovaných dotáciách.</w:t>
      </w:r>
    </w:p>
    <w:p w14:paraId="366CE8C2" w14:textId="197E241E" w:rsidR="00326E55" w:rsidRPr="00326E55" w:rsidRDefault="00FB452D">
      <w:pPr>
        <w:pStyle w:val="P68B1DB1-Normal38"/>
        <w:numPr>
          <w:ilvl w:val="0"/>
          <w:numId w:val="74"/>
        </w:numPr>
        <w:jc w:val="both"/>
        <w:rPr>
          <w:noProof/>
          <w:spacing w:val="-6"/>
          <w:lang w:val="sk-SK"/>
        </w:rPr>
      </w:pPr>
      <w:r w:rsidRPr="00326E55">
        <w:rPr>
          <w:noProof/>
          <w:spacing w:val="-6"/>
          <w:lang w:val="sk-SK"/>
        </w:rPr>
        <w:t xml:space="preserve">Opis postupov implementujúceho partnera, ktorými sa </w:t>
      </w:r>
      <w:r w:rsidRPr="00326E55">
        <w:rPr>
          <w:noProof/>
          <w:spacing w:val="-6"/>
          <w:lang w:val="sk-SK"/>
        </w:rPr>
        <w:t>zabezpečí predchádzanie podvodom, korupcii</w:t>
      </w:r>
      <w:r w:rsidR="00326E55" w:rsidRPr="00326E55">
        <w:rPr>
          <w:noProof/>
          <w:spacing w:val="-6"/>
          <w:lang w:val="sk-SK"/>
        </w:rPr>
        <w:t xml:space="preserve"> a </w:t>
      </w:r>
      <w:r w:rsidRPr="00326E55">
        <w:rPr>
          <w:noProof/>
          <w:spacing w:val="-6"/>
          <w:lang w:val="sk-SK"/>
        </w:rPr>
        <w:t>konfliktom záujmov, ich odhaľovanie</w:t>
      </w:r>
      <w:r w:rsidR="00326E55" w:rsidRPr="00326E55">
        <w:rPr>
          <w:noProof/>
          <w:spacing w:val="-6"/>
          <w:lang w:val="sk-SK"/>
        </w:rPr>
        <w:t xml:space="preserve"> a </w:t>
      </w:r>
      <w:r w:rsidRPr="00326E55">
        <w:rPr>
          <w:noProof/>
          <w:spacing w:val="-6"/>
          <w:lang w:val="sk-SK"/>
        </w:rPr>
        <w:t>náprava</w:t>
      </w:r>
      <w:r w:rsidR="00326E55" w:rsidRPr="00326E55">
        <w:rPr>
          <w:noProof/>
          <w:spacing w:val="-6"/>
          <w:lang w:val="sk-SK"/>
        </w:rPr>
        <w:t>.</w:t>
      </w:r>
    </w:p>
    <w:p w14:paraId="4BBCF44C" w14:textId="2A53EAF1" w:rsidR="00BF03AA" w:rsidRPr="00326E55" w:rsidRDefault="00FB452D">
      <w:pPr>
        <w:pStyle w:val="P68B1DB1-Normal38"/>
        <w:numPr>
          <w:ilvl w:val="0"/>
          <w:numId w:val="74"/>
        </w:numPr>
        <w:jc w:val="both"/>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udelením subvencie na operáciu.</w:t>
      </w:r>
    </w:p>
    <w:p w14:paraId="2AF4F17C" w14:textId="02BEEAD6" w:rsidR="00BF03AA" w:rsidRPr="00326E55" w:rsidRDefault="00FB452D">
      <w:pPr>
        <w:pStyle w:val="P68B1DB1-Normal38"/>
        <w:numPr>
          <w:ilvl w:val="0"/>
          <w:numId w:val="74"/>
        </w:numPr>
        <w:spacing w:line="240" w:lineRule="auto"/>
        <w:jc w:val="both"/>
        <w:rPr>
          <w:noProof/>
          <w:spacing w:val="-6"/>
          <w:lang w:val="sk-SK"/>
        </w:rPr>
      </w:pPr>
      <w:r w:rsidRPr="00326E55">
        <w:rPr>
          <w:noProof/>
          <w:spacing w:val="-6"/>
          <w:lang w:val="sk-SK"/>
        </w:rPr>
        <w:t>Povinnosť vykonávať násl</w:t>
      </w:r>
      <w:r w:rsidRPr="00326E55">
        <w:rPr>
          <w:noProof/>
          <w:spacing w:val="-6"/>
          <w:lang w:val="sk-SK"/>
        </w:rPr>
        <w:t>edné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GSE. Týmito auditmi sa overia:</w:t>
      </w:r>
    </w:p>
    <w:p w14:paraId="11E0EEC7" w14:textId="7FDA51BB" w:rsidR="00BF03AA" w:rsidRPr="00326E55" w:rsidRDefault="00FB452D">
      <w:pPr>
        <w:pStyle w:val="P68B1DB1-Normal38"/>
        <w:spacing w:line="240" w:lineRule="auto"/>
        <w:ind w:left="1440"/>
        <w:jc w:val="both"/>
        <w:rPr>
          <w:noProof/>
          <w:spacing w:val="-6"/>
          <w:lang w:val="sk-SK"/>
        </w:rPr>
      </w:pPr>
      <w:r w:rsidRPr="00326E55">
        <w:rPr>
          <w:noProof/>
          <w:spacing w:val="-6"/>
          <w:lang w:val="sk-SK"/>
        </w:rPr>
        <w:t>I) že systémy kontroly sú účinné vrátane odhaľovania podvodov, korupcie</w:t>
      </w:r>
      <w:r w:rsidR="00326E55" w:rsidRPr="00326E55">
        <w:rPr>
          <w:noProof/>
          <w:spacing w:val="-6"/>
          <w:lang w:val="sk-SK"/>
        </w:rPr>
        <w:t xml:space="preserve"> a </w:t>
      </w:r>
      <w:r w:rsidRPr="00326E55">
        <w:rPr>
          <w:noProof/>
          <w:spacing w:val="-6"/>
          <w:lang w:val="sk-SK"/>
        </w:rPr>
        <w:t>konfliktu záujmov;</w:t>
      </w:r>
    </w:p>
    <w:p w14:paraId="7D34FBC4" w14:textId="0F3655EA" w:rsidR="00BF03AA" w:rsidRPr="00326E55" w:rsidRDefault="00FB452D">
      <w:pPr>
        <w:pStyle w:val="P68B1DB1-Normal38"/>
        <w:spacing w:line="240" w:lineRule="auto"/>
        <w:ind w:left="1440"/>
        <w:jc w:val="both"/>
        <w:rPr>
          <w:noProof/>
          <w:spacing w:val="-6"/>
          <w:lang w:val="sk-SK"/>
        </w:rPr>
      </w:pPr>
      <w:r w:rsidRPr="00326E55">
        <w:rPr>
          <w:noProof/>
          <w:spacing w:val="-6"/>
          <w:lang w:val="sk-SK"/>
        </w:rPr>
        <w:t>II) súlad so zásadou „výrazne nenarušiť“, pravidlami štátnej pomoci, požiada</w:t>
      </w:r>
      <w:r w:rsidRPr="00326E55">
        <w:rPr>
          <w:noProof/>
          <w:spacing w:val="-6"/>
          <w:lang w:val="sk-SK"/>
        </w:rPr>
        <w:t>vkami na ciele</w:t>
      </w:r>
      <w:r w:rsidR="00326E55" w:rsidRPr="00326E55">
        <w:rPr>
          <w:noProof/>
          <w:spacing w:val="-6"/>
          <w:lang w:val="sk-SK"/>
        </w:rPr>
        <w:t xml:space="preserve"> v </w:t>
      </w:r>
      <w:r w:rsidRPr="00326E55">
        <w:rPr>
          <w:noProof/>
          <w:spacing w:val="-6"/>
          <w:lang w:val="sk-SK"/>
        </w:rPr>
        <w:t>oblasti klímy;</w:t>
      </w:r>
      <w:r w:rsidR="00326E55" w:rsidRPr="00326E55">
        <w:rPr>
          <w:noProof/>
          <w:spacing w:val="-6"/>
          <w:lang w:val="sk-SK"/>
        </w:rPr>
        <w:t xml:space="preserve"> a </w:t>
      </w:r>
      <w:r w:rsidRPr="00326E55">
        <w:rPr>
          <w:noProof/>
          <w:spacing w:val="-6"/>
          <w:lang w:val="sk-SK"/>
        </w:rPr>
        <w:t>zároveň</w:t>
      </w:r>
    </w:p>
    <w:p w14:paraId="6B628D66" w14:textId="0B4EDF7B" w:rsidR="00326E55" w:rsidRPr="00326E55" w:rsidRDefault="00FB452D">
      <w:pPr>
        <w:pStyle w:val="P68B1DB1-Normal38"/>
        <w:spacing w:line="240" w:lineRule="auto"/>
        <w:ind w:left="1440"/>
        <w:jc w:val="both"/>
        <w:rPr>
          <w:noProof/>
          <w:spacing w:val="-6"/>
          <w:lang w:val="sk-SK"/>
        </w:rPr>
      </w:pPr>
      <w:r w:rsidRPr="00326E55">
        <w:rPr>
          <w:noProof/>
          <w:spacing w:val="-6"/>
          <w:lang w:val="sk-SK"/>
        </w:rPr>
        <w:t>III) aby sa dodržala 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 Auditom sa takisto overí zákonnosť transakcií</w:t>
      </w:r>
      <w:r w:rsidR="00326E55" w:rsidRPr="00326E55">
        <w:rPr>
          <w:noProof/>
          <w:spacing w:val="-6"/>
          <w:lang w:val="sk-SK"/>
        </w:rPr>
        <w:t xml:space="preserve"> a </w:t>
      </w:r>
      <w:r w:rsidRPr="00326E55">
        <w:rPr>
          <w:noProof/>
          <w:spacing w:val="-6"/>
          <w:lang w:val="sk-SK"/>
        </w:rPr>
        <w:t>dodržiavanie podmienok platný</w:t>
      </w:r>
      <w:r w:rsidRPr="00326E55">
        <w:rPr>
          <w:noProof/>
          <w:spacing w:val="-6"/>
          <w:lang w:val="sk-SK"/>
        </w:rPr>
        <w:t>ch dohôd</w:t>
      </w:r>
      <w:r w:rsidR="00326E55" w:rsidRPr="00326E55">
        <w:rPr>
          <w:noProof/>
          <w:spacing w:val="-6"/>
          <w:lang w:val="sk-SK"/>
        </w:rPr>
        <w:t xml:space="preserve"> o </w:t>
      </w:r>
      <w:r w:rsidRPr="00326E55">
        <w:rPr>
          <w:noProof/>
          <w:spacing w:val="-6"/>
          <w:lang w:val="sk-SK"/>
        </w:rPr>
        <w:t>grante podľa vykonávacej dohody</w:t>
      </w:r>
      <w:r w:rsidR="00326E55" w:rsidRPr="00326E55">
        <w:rPr>
          <w:noProof/>
          <w:spacing w:val="-6"/>
          <w:lang w:val="sk-SK"/>
        </w:rPr>
        <w:t>.</w:t>
      </w:r>
    </w:p>
    <w:p w14:paraId="5991D141" w14:textId="137C8ADC" w:rsidR="00BF03AA" w:rsidRPr="00326E55" w:rsidRDefault="00FB452D">
      <w:pPr>
        <w:pStyle w:val="P68B1DB1-Normal5"/>
        <w:spacing w:before="120" w:after="120"/>
        <w:jc w:val="both"/>
        <w:rPr>
          <w:noProof/>
          <w:spacing w:val="-6"/>
          <w:lang w:val="sk-SK"/>
        </w:rPr>
      </w:pPr>
      <w:r w:rsidRPr="00326E55">
        <w:rPr>
          <w:noProof/>
          <w:spacing w:val="-6"/>
          <w:lang w:val="sk-SK"/>
        </w:rPr>
        <w:t>Investícia 1.2 – Podpora obnoviteľných zdrojov energie pre energetické spoločenstvá</w:t>
      </w:r>
      <w:r w:rsidR="00326E55" w:rsidRPr="00326E55">
        <w:rPr>
          <w:noProof/>
          <w:spacing w:val="-6"/>
          <w:lang w:val="sk-SK"/>
        </w:rPr>
        <w:t xml:space="preserve"> a </w:t>
      </w:r>
      <w:r w:rsidRPr="00326E55">
        <w:rPr>
          <w:noProof/>
          <w:spacing w:val="-6"/>
          <w:lang w:val="sk-SK"/>
        </w:rPr>
        <w:t>spoločne konajúcich samospotrebiteľov energie</w:t>
      </w:r>
      <w:r w:rsidR="00326E55" w:rsidRPr="00326E55">
        <w:rPr>
          <w:noProof/>
          <w:spacing w:val="-6"/>
          <w:lang w:val="sk-SK"/>
        </w:rPr>
        <w:t xml:space="preserve"> z </w:t>
      </w:r>
      <w:r w:rsidRPr="00326E55">
        <w:rPr>
          <w:noProof/>
          <w:spacing w:val="-6"/>
          <w:lang w:val="sk-SK"/>
        </w:rPr>
        <w:t>obnoviteľných zdrojov</w:t>
      </w:r>
    </w:p>
    <w:p w14:paraId="6BD55958" w14:textId="4AB47D44" w:rsidR="00326E55" w:rsidRPr="00326E55" w:rsidRDefault="00FB452D">
      <w:pPr>
        <w:spacing w:before="120" w:after="120"/>
        <w:jc w:val="both"/>
        <w:rPr>
          <w:rFonts w:ascii="Times New Roman" w:eastAsia="MS Mincho" w:hAnsi="Times New Roman" w:cs="Times New Roman"/>
          <w:noProof/>
          <w:spacing w:val="-6"/>
          <w:lang w:val="sk-SK"/>
        </w:rPr>
      </w:pPr>
      <w:r w:rsidRPr="00326E55">
        <w:rPr>
          <w:rFonts w:ascii="Times New Roman" w:eastAsia="MS Mincho" w:hAnsi="Times New Roman" w:cs="Times New Roman"/>
          <w:noProof/>
          <w:spacing w:val="-6"/>
          <w:lang w:val="sk-SK"/>
        </w:rPr>
        <w:t>Toto opatrenie pozostáva</w:t>
      </w:r>
      <w:r w:rsidR="00326E55" w:rsidRPr="00326E55">
        <w:rPr>
          <w:rFonts w:ascii="Times New Roman" w:eastAsia="MS Mincho" w:hAnsi="Times New Roman" w:cs="Times New Roman"/>
          <w:noProof/>
          <w:spacing w:val="-6"/>
          <w:lang w:val="sk-SK"/>
        </w:rPr>
        <w:t xml:space="preserve"> z </w:t>
      </w:r>
      <w:r w:rsidRPr="00326E55">
        <w:rPr>
          <w:rFonts w:ascii="Times New Roman" w:eastAsia="MS Mincho" w:hAnsi="Times New Roman" w:cs="Times New Roman"/>
          <w:noProof/>
          <w:spacing w:val="-6"/>
          <w:lang w:val="sk-SK"/>
        </w:rPr>
        <w:t>verejnej investície do granto</w:t>
      </w:r>
      <w:r w:rsidRPr="00326E55">
        <w:rPr>
          <w:rFonts w:ascii="Times New Roman" w:eastAsia="MS Mincho" w:hAnsi="Times New Roman" w:cs="Times New Roman"/>
          <w:noProof/>
          <w:spacing w:val="-6"/>
          <w:lang w:val="sk-SK"/>
        </w:rPr>
        <w:t>vej schémy</w:t>
      </w:r>
      <w:r w:rsidR="00326E55" w:rsidRPr="00326E55">
        <w:rPr>
          <w:rFonts w:ascii="Times New Roman" w:eastAsia="MS Mincho" w:hAnsi="Times New Roman" w:cs="Times New Roman"/>
          <w:noProof/>
          <w:spacing w:val="-6"/>
          <w:lang w:val="sk-SK"/>
        </w:rPr>
        <w:t xml:space="preserve"> s </w:t>
      </w:r>
      <w:r w:rsidRPr="00326E55">
        <w:rPr>
          <w:rFonts w:ascii="Times New Roman" w:eastAsia="MS Mincho" w:hAnsi="Times New Roman" w:cs="Times New Roman"/>
          <w:noProof/>
          <w:spacing w:val="-6"/>
          <w:lang w:val="sk-SK"/>
        </w:rPr>
        <w:t>cieľom stimulovať súkromné investície</w:t>
      </w:r>
      <w:r w:rsidR="00326E55" w:rsidRPr="00326E55">
        <w:rPr>
          <w:rFonts w:ascii="Times New Roman" w:eastAsia="MS Mincho" w:hAnsi="Times New Roman" w:cs="Times New Roman"/>
          <w:noProof/>
          <w:spacing w:val="-6"/>
          <w:lang w:val="sk-SK"/>
        </w:rPr>
        <w:t xml:space="preserve"> a </w:t>
      </w:r>
      <w:r w:rsidRPr="00326E55">
        <w:rPr>
          <w:rFonts w:ascii="Times New Roman" w:eastAsia="MS Mincho" w:hAnsi="Times New Roman" w:cs="Times New Roman"/>
          <w:noProof/>
          <w:spacing w:val="-6"/>
          <w:lang w:val="sk-SK"/>
        </w:rPr>
        <w:t>zlepšiť prístup</w:t>
      </w:r>
      <w:r w:rsidR="00326E55" w:rsidRPr="00326E55">
        <w:rPr>
          <w:rFonts w:ascii="Times New Roman" w:eastAsia="MS Mincho" w:hAnsi="Times New Roman" w:cs="Times New Roman"/>
          <w:noProof/>
          <w:spacing w:val="-6"/>
          <w:lang w:val="sk-SK"/>
        </w:rPr>
        <w:t xml:space="preserve"> k </w:t>
      </w:r>
      <w:r w:rsidRPr="00326E55">
        <w:rPr>
          <w:rFonts w:ascii="Times New Roman" w:eastAsia="MS Mincho" w:hAnsi="Times New Roman" w:cs="Times New Roman"/>
          <w:noProof/>
          <w:spacing w:val="-6"/>
          <w:lang w:val="sk-SK"/>
        </w:rPr>
        <w:t>financovaniu</w:t>
      </w:r>
      <w:r w:rsidR="00326E55" w:rsidRPr="00326E55">
        <w:rPr>
          <w:rFonts w:ascii="Times New Roman" w:eastAsia="MS Mincho" w:hAnsi="Times New Roman" w:cs="Times New Roman"/>
          <w:noProof/>
          <w:spacing w:val="-6"/>
          <w:lang w:val="sk-SK"/>
        </w:rPr>
        <w:t xml:space="preserve"> v </w:t>
      </w:r>
      <w:r w:rsidRPr="00326E55">
        <w:rPr>
          <w:rFonts w:ascii="Times New Roman" w:eastAsia="MS Mincho" w:hAnsi="Times New Roman" w:cs="Times New Roman"/>
          <w:noProof/>
          <w:spacing w:val="-6"/>
          <w:lang w:val="sk-SK"/>
        </w:rPr>
        <w:t>Taliansku na podporu inštalácie nových kapacít na výrobu elektrickej energie pre kolektívne konfigurácie</w:t>
      </w:r>
      <w:r w:rsidR="00326E55" w:rsidRPr="00326E55">
        <w:rPr>
          <w:rFonts w:ascii="Times New Roman" w:eastAsia="MS Mincho" w:hAnsi="Times New Roman" w:cs="Times New Roman"/>
          <w:noProof/>
          <w:spacing w:val="-6"/>
          <w:lang w:val="sk-SK"/>
        </w:rPr>
        <w:t xml:space="preserve"> a </w:t>
      </w:r>
      <w:r w:rsidRPr="00326E55">
        <w:rPr>
          <w:rFonts w:ascii="Times New Roman" w:eastAsia="MS Mincho" w:hAnsi="Times New Roman" w:cs="Times New Roman"/>
          <w:noProof/>
          <w:spacing w:val="-6"/>
          <w:lang w:val="sk-SK"/>
        </w:rPr>
        <w:t>komunity vyrábajúce energiu</w:t>
      </w:r>
      <w:r w:rsidR="00326E55" w:rsidRPr="00326E55">
        <w:rPr>
          <w:rFonts w:ascii="Times New Roman" w:eastAsia="MS Mincho" w:hAnsi="Times New Roman" w:cs="Times New Roman"/>
          <w:noProof/>
          <w:spacing w:val="-6"/>
          <w:lang w:val="sk-SK"/>
        </w:rPr>
        <w:t xml:space="preserve"> z </w:t>
      </w:r>
      <w:r w:rsidRPr="00326E55">
        <w:rPr>
          <w:rFonts w:ascii="Times New Roman" w:eastAsia="MS Mincho" w:hAnsi="Times New Roman" w:cs="Times New Roman"/>
          <w:noProof/>
          <w:spacing w:val="-6"/>
          <w:lang w:val="sk-SK"/>
        </w:rPr>
        <w:t xml:space="preserve">obnoviteľných zdrojov, ktoré sa </w:t>
      </w:r>
      <w:r w:rsidRPr="00326E55">
        <w:rPr>
          <w:rFonts w:ascii="Times New Roman" w:eastAsia="MS Mincho" w:hAnsi="Times New Roman" w:cs="Times New Roman"/>
          <w:noProof/>
          <w:spacing w:val="-6"/>
          <w:lang w:val="sk-SK"/>
        </w:rPr>
        <w:t>nachádzajú</w:t>
      </w:r>
      <w:r w:rsidR="00326E55" w:rsidRPr="00326E55">
        <w:rPr>
          <w:rFonts w:ascii="Times New Roman" w:eastAsia="MS Mincho" w:hAnsi="Times New Roman" w:cs="Times New Roman"/>
          <w:noProof/>
          <w:spacing w:val="-6"/>
          <w:lang w:val="sk-SK"/>
        </w:rPr>
        <w:t xml:space="preserve"> v </w:t>
      </w:r>
      <w:r w:rsidRPr="00326E55">
        <w:rPr>
          <w:rFonts w:ascii="Times New Roman" w:eastAsia="MS Mincho" w:hAnsi="Times New Roman" w:cs="Times New Roman"/>
          <w:noProof/>
          <w:spacing w:val="-6"/>
          <w:lang w:val="sk-SK"/>
        </w:rPr>
        <w:t>obciach</w:t>
      </w:r>
      <w:r w:rsidR="00326E55" w:rsidRPr="00326E55">
        <w:rPr>
          <w:rFonts w:ascii="Times New Roman" w:eastAsia="MS Mincho" w:hAnsi="Times New Roman" w:cs="Times New Roman"/>
          <w:noProof/>
          <w:spacing w:val="-6"/>
          <w:lang w:val="sk-SK"/>
        </w:rPr>
        <w:t xml:space="preserve"> s </w:t>
      </w:r>
      <w:r w:rsidRPr="00326E55">
        <w:rPr>
          <w:rFonts w:ascii="Times New Roman" w:eastAsia="MS Mincho" w:hAnsi="Times New Roman" w:cs="Times New Roman"/>
          <w:noProof/>
          <w:spacing w:val="-6"/>
          <w:lang w:val="sk-SK"/>
        </w:rPr>
        <w:t>počtom obyvateľov nižším ako</w:t>
      </w:r>
      <w:r w:rsidRPr="00326E55">
        <w:rPr>
          <w:rFonts w:ascii="Times New Roman" w:hAnsi="Times New Roman"/>
          <w:noProof/>
          <w:color w:val="006100"/>
          <w:spacing w:val="-6"/>
          <w:sz w:val="20"/>
          <w:lang w:val="sk-SK"/>
        </w:rPr>
        <w:t xml:space="preserve"> </w:t>
      </w:r>
      <w:r w:rsidRPr="00326E55">
        <w:rPr>
          <w:rFonts w:ascii="Times New Roman" w:eastAsia="MS Mincho" w:hAnsi="Times New Roman" w:cs="Times New Roman"/>
          <w:noProof/>
          <w:spacing w:val="-6"/>
          <w:lang w:val="sk-SK"/>
        </w:rPr>
        <w:t>50000 obyvateľov</w:t>
      </w:r>
      <w:r w:rsidRPr="00326E55">
        <w:rPr>
          <w:rStyle w:val="FootnoteReference"/>
          <w:rFonts w:ascii="Times New Roman" w:hAnsi="Times New Roman" w:cs="Times New Roman"/>
          <w:noProof/>
          <w:spacing w:val="-6"/>
          <w:lang w:val="sk-SK"/>
        </w:rPr>
        <w:footnoteReference w:id="45"/>
      </w:r>
      <w:r w:rsidRPr="00326E55">
        <w:rPr>
          <w:rFonts w:ascii="Times New Roman" w:eastAsia="MS Mincho" w:hAnsi="Times New Roman" w:cs="Times New Roman"/>
          <w:noProof/>
          <w:spacing w:val="-6"/>
          <w:lang w:val="sk-SK"/>
        </w:rPr>
        <w:t>. Systém funguje tak, že poskytuje granty priamo súkromnému sektoru, ako aj subjektom verejného sektora zapojeným do podobných činností</w:t>
      </w:r>
      <w:r w:rsidR="00326E55" w:rsidRPr="00326E55">
        <w:rPr>
          <w:rFonts w:ascii="Times New Roman" w:eastAsia="MS Mincho" w:hAnsi="Times New Roman" w:cs="Times New Roman"/>
          <w:noProof/>
          <w:spacing w:val="-6"/>
          <w:lang w:val="sk-SK"/>
        </w:rPr>
        <w:t>.</w:t>
      </w:r>
    </w:p>
    <w:p w14:paraId="3ABFF730" w14:textId="3ED77CA3" w:rsidR="00BF03AA" w:rsidRPr="00326E55" w:rsidRDefault="00FB452D">
      <w:pPr>
        <w:pStyle w:val="P68B1DB1-Normal65"/>
        <w:spacing w:before="120" w:after="120"/>
        <w:jc w:val="both"/>
        <w:rPr>
          <w:noProof/>
          <w:spacing w:val="-6"/>
          <w:lang w:val="sk-SK"/>
        </w:rPr>
      </w:pPr>
      <w:r w:rsidRPr="00326E55">
        <w:rPr>
          <w:noProof/>
          <w:spacing w:val="-6"/>
          <w:lang w:val="sk-SK"/>
        </w:rPr>
        <w:t>Schému spravuje Gestore dei Servizi Energetiche S.</w:t>
      </w:r>
      <w:r w:rsidRPr="00326E55">
        <w:rPr>
          <w:noProof/>
          <w:spacing w:val="-6"/>
          <w:lang w:val="sk-SK"/>
        </w:rPr>
        <w:t>p.A. [ďalej len „GSE] ako implementujúci partner. Systém zahŕňa tento rad výrobkov:</w:t>
      </w:r>
    </w:p>
    <w:p w14:paraId="717AB6D7" w14:textId="0A3351F3" w:rsidR="00BF03AA" w:rsidRPr="00326E55" w:rsidRDefault="00FB452D">
      <w:pPr>
        <w:pStyle w:val="P68B1DB1-Normal65"/>
        <w:numPr>
          <w:ilvl w:val="0"/>
          <w:numId w:val="83"/>
        </w:numPr>
        <w:spacing w:before="120" w:after="120" w:line="279" w:lineRule="auto"/>
        <w:jc w:val="both"/>
        <w:rPr>
          <w:noProof/>
          <w:spacing w:val="-6"/>
          <w:lang w:val="sk-SK"/>
        </w:rPr>
      </w:pPr>
      <w:r w:rsidRPr="00326E55">
        <w:rPr>
          <w:noProof/>
          <w:spacing w:val="-6"/>
          <w:lang w:val="sk-SK"/>
        </w:rPr>
        <w:t>Grant pokrývajúci maximálne 40</w:t>
      </w:r>
      <w:r w:rsidR="00326E55" w:rsidRPr="00326E55">
        <w:rPr>
          <w:noProof/>
          <w:spacing w:val="-6"/>
          <w:lang w:val="sk-SK"/>
        </w:rPr>
        <w:t> %</w:t>
      </w:r>
      <w:r w:rsidRPr="00326E55">
        <w:rPr>
          <w:noProof/>
          <w:spacing w:val="-6"/>
          <w:lang w:val="sk-SK"/>
        </w:rPr>
        <w:t xml:space="preserve"> projektových nákladov na výstavbu obnoviteľných zdrojov energie</w:t>
      </w:r>
      <w:r w:rsidR="00326E55" w:rsidRPr="00326E55">
        <w:rPr>
          <w:noProof/>
          <w:spacing w:val="-6"/>
          <w:lang w:val="sk-SK"/>
        </w:rPr>
        <w:t xml:space="preserve"> a </w:t>
      </w:r>
      <w:r w:rsidRPr="00326E55">
        <w:rPr>
          <w:noProof/>
          <w:spacing w:val="-6"/>
          <w:lang w:val="sk-SK"/>
        </w:rPr>
        <w:t>výrobných zariadení, prípadne spojených so skladovaním energie.</w:t>
      </w:r>
    </w:p>
    <w:p w14:paraId="0BC53E1C" w14:textId="285FFA9B" w:rsidR="00BF03AA" w:rsidRPr="00326E55" w:rsidRDefault="00FB452D">
      <w:pPr>
        <w:pStyle w:val="P68B1DB1-Normal65"/>
        <w:spacing w:before="120" w:after="120"/>
        <w:jc w:val="both"/>
        <w:rPr>
          <w:noProof/>
          <w:spacing w:val="-6"/>
          <w:lang w:val="sk-SK"/>
        </w:rPr>
      </w:pPr>
      <w:r w:rsidRPr="00326E55">
        <w:rPr>
          <w:noProof/>
          <w:spacing w:val="-6"/>
          <w:lang w:val="sk-SK"/>
        </w:rPr>
        <w:t xml:space="preserve">S cieľom </w:t>
      </w:r>
      <w:r w:rsidRPr="00326E55">
        <w:rPr>
          <w:noProof/>
          <w:spacing w:val="-6"/>
          <w:lang w:val="sk-SK"/>
        </w:rPr>
        <w:t>implementovať investíciu do systému Taliansko</w:t>
      </w:r>
      <w:r w:rsidR="00326E55" w:rsidRPr="00326E55">
        <w:rPr>
          <w:noProof/>
          <w:spacing w:val="-6"/>
          <w:lang w:val="sk-SK"/>
        </w:rPr>
        <w:t xml:space="preserve"> a </w:t>
      </w:r>
      <w:r w:rsidRPr="00326E55">
        <w:rPr>
          <w:noProof/>
          <w:spacing w:val="-6"/>
          <w:lang w:val="sk-SK"/>
        </w:rPr>
        <w:t>GSE podpíšu vykonávaciu dohodu, ktorá bude obsahovať tento obsah:</w:t>
      </w:r>
    </w:p>
    <w:p w14:paraId="28EC7025" w14:textId="670D51BC" w:rsidR="00BF03AA" w:rsidRPr="00326E55" w:rsidRDefault="00FB452D">
      <w:pPr>
        <w:pStyle w:val="P68B1DB1-Normal65"/>
        <w:numPr>
          <w:ilvl w:val="0"/>
          <w:numId w:val="82"/>
        </w:numPr>
        <w:spacing w:before="120" w:after="120" w:line="279" w:lineRule="auto"/>
        <w:jc w:val="both"/>
        <w:rPr>
          <w:noProof/>
          <w:spacing w:val="-6"/>
          <w:lang w:val="sk-SK"/>
        </w:rPr>
      </w:pPr>
      <w:r w:rsidRPr="00326E55">
        <w:rPr>
          <w:noProof/>
          <w:spacing w:val="-6"/>
          <w:lang w:val="sk-SK"/>
        </w:rPr>
        <w:t>Opis rozhodovacieho procesu</w:t>
      </w:r>
      <w:r w:rsidR="00326E55" w:rsidRPr="00326E55">
        <w:rPr>
          <w:noProof/>
          <w:spacing w:val="-6"/>
          <w:lang w:val="sk-SK"/>
        </w:rPr>
        <w:t xml:space="preserve"> v </w:t>
      </w:r>
      <w:r w:rsidRPr="00326E55">
        <w:rPr>
          <w:noProof/>
          <w:spacing w:val="-6"/>
          <w:lang w:val="sk-SK"/>
        </w:rPr>
        <w:t>rámci schémy: Konečné rozhodnutie</w:t>
      </w:r>
      <w:r w:rsidR="00326E55" w:rsidRPr="00326E55">
        <w:rPr>
          <w:noProof/>
          <w:spacing w:val="-6"/>
          <w:lang w:val="sk-SK"/>
        </w:rPr>
        <w:t xml:space="preserve"> o </w:t>
      </w:r>
      <w:r w:rsidRPr="00326E55">
        <w:rPr>
          <w:noProof/>
          <w:spacing w:val="-6"/>
          <w:lang w:val="sk-SK"/>
        </w:rPr>
        <w:t>poskytnutí pomoci</w:t>
      </w:r>
      <w:r w:rsidR="00326E55" w:rsidRPr="00326E55">
        <w:rPr>
          <w:noProof/>
          <w:spacing w:val="-6"/>
          <w:lang w:val="sk-SK"/>
        </w:rPr>
        <w:t xml:space="preserve"> v </w:t>
      </w:r>
      <w:r w:rsidRPr="00326E55">
        <w:rPr>
          <w:noProof/>
          <w:spacing w:val="-6"/>
          <w:lang w:val="sk-SK"/>
        </w:rPr>
        <w:t>rámci schémy prijíma investičný výbor alebo iný príslušn</w:t>
      </w:r>
      <w:r w:rsidRPr="00326E55">
        <w:rPr>
          <w:noProof/>
          <w:spacing w:val="-6"/>
          <w:lang w:val="sk-SK"/>
        </w:rPr>
        <w:t>ý rovnocenný riadiaci orgán</w:t>
      </w:r>
      <w:r w:rsidR="00326E55" w:rsidRPr="00326E55">
        <w:rPr>
          <w:noProof/>
          <w:spacing w:val="-6"/>
          <w:lang w:val="sk-SK"/>
        </w:rPr>
        <w:t xml:space="preserve"> a </w:t>
      </w:r>
      <w:r w:rsidRPr="00326E55">
        <w:rPr>
          <w:noProof/>
          <w:spacing w:val="-6"/>
          <w:lang w:val="sk-SK"/>
        </w:rPr>
        <w:t>schvaľuje sa väčšinou hlasov členov, ktorí sú nezávislí od vlády.</w:t>
      </w:r>
    </w:p>
    <w:p w14:paraId="11970938" w14:textId="77777777" w:rsidR="00BF03AA" w:rsidRPr="00326E55" w:rsidRDefault="00FB452D">
      <w:pPr>
        <w:pStyle w:val="P68B1DB1-Normal65"/>
        <w:numPr>
          <w:ilvl w:val="0"/>
          <w:numId w:val="82"/>
        </w:numPr>
        <w:spacing w:before="120" w:after="120" w:line="279" w:lineRule="auto"/>
        <w:jc w:val="both"/>
        <w:rPr>
          <w:noProof/>
          <w:spacing w:val="-6"/>
          <w:lang w:val="sk-SK"/>
        </w:rPr>
      </w:pPr>
      <w:r w:rsidRPr="00326E55">
        <w:rPr>
          <w:noProof/>
          <w:spacing w:val="-6"/>
          <w:lang w:val="sk-SK"/>
        </w:rPr>
        <w:t>Kľúčové požiadavky súvisiacej grantovej politiky,</w:t>
      </w:r>
      <w:r w:rsidRPr="00326E55">
        <w:rPr>
          <w:b/>
          <w:noProof/>
          <w:spacing w:val="-6"/>
          <w:lang w:val="sk-SK"/>
        </w:rPr>
        <w:t xml:space="preserve"> </w:t>
      </w:r>
      <w:r w:rsidRPr="00326E55">
        <w:rPr>
          <w:noProof/>
          <w:spacing w:val="-6"/>
          <w:lang w:val="sk-SK"/>
        </w:rPr>
        <w:t>ktoré zahŕňajú:</w:t>
      </w:r>
    </w:p>
    <w:p w14:paraId="6B30D7D4" w14:textId="3E49C9F0" w:rsidR="00326E55" w:rsidRPr="00326E55" w:rsidRDefault="00FB452D">
      <w:pPr>
        <w:pStyle w:val="P68B1DB1-ListParagraph37"/>
        <w:numPr>
          <w:ilvl w:val="1"/>
          <w:numId w:val="81"/>
        </w:numPr>
        <w:spacing w:after="0" w:line="257" w:lineRule="auto"/>
        <w:ind w:left="953" w:hanging="477"/>
        <w:jc w:val="both"/>
        <w:rPr>
          <w:noProof/>
          <w:spacing w:val="-6"/>
          <w:lang w:val="sk-SK"/>
        </w:rPr>
      </w:pPr>
      <w:r w:rsidRPr="00326E55">
        <w:rPr>
          <w:noProof/>
          <w:spacing w:val="-6"/>
          <w:lang w:val="sk-SK"/>
        </w:rPr>
        <w:t>Opis poskytnutých grantov</w:t>
      </w:r>
      <w:r w:rsidR="00326E55" w:rsidRPr="00326E55">
        <w:rPr>
          <w:noProof/>
          <w:spacing w:val="-6"/>
          <w:lang w:val="sk-SK"/>
        </w:rPr>
        <w:t xml:space="preserve"> a </w:t>
      </w:r>
      <w:r w:rsidRPr="00326E55">
        <w:rPr>
          <w:noProof/>
          <w:spacing w:val="-6"/>
          <w:lang w:val="sk-SK"/>
        </w:rPr>
        <w:t>oprávnených konečných príjemcov</w:t>
      </w:r>
      <w:r w:rsidR="00326E55" w:rsidRPr="00326E55">
        <w:rPr>
          <w:noProof/>
          <w:spacing w:val="-6"/>
          <w:lang w:val="sk-SK"/>
        </w:rPr>
        <w:t>.</w:t>
      </w:r>
    </w:p>
    <w:p w14:paraId="1E99D203" w14:textId="72D186E4" w:rsidR="00BF03AA" w:rsidRPr="00326E55" w:rsidRDefault="00FB452D">
      <w:pPr>
        <w:pStyle w:val="P68B1DB1-ListParagraph37"/>
        <w:numPr>
          <w:ilvl w:val="1"/>
          <w:numId w:val="81"/>
        </w:numPr>
        <w:spacing w:after="0" w:line="257" w:lineRule="auto"/>
        <w:ind w:left="953" w:hanging="477"/>
        <w:jc w:val="both"/>
        <w:rPr>
          <w:noProof/>
          <w:spacing w:val="-6"/>
          <w:lang w:val="sk-SK"/>
        </w:rPr>
      </w:pPr>
      <w:r w:rsidRPr="00326E55">
        <w:rPr>
          <w:noProof/>
          <w:spacing w:val="-6"/>
          <w:lang w:val="sk-SK"/>
        </w:rPr>
        <w:t xml:space="preserve">Požiadavka, aby všetky </w:t>
      </w:r>
      <w:r w:rsidRPr="00326E55">
        <w:rPr>
          <w:noProof/>
          <w:spacing w:val="-6"/>
          <w:lang w:val="sk-SK"/>
        </w:rPr>
        <w:t>podporované investície boli ekonomicky životaschopné.</w:t>
      </w:r>
    </w:p>
    <w:p w14:paraId="3FFE1DDA" w14:textId="03F6E969" w:rsidR="00326E55" w:rsidRPr="00326E55" w:rsidRDefault="00FB452D">
      <w:pPr>
        <w:pStyle w:val="ListParagraph"/>
        <w:numPr>
          <w:ilvl w:val="1"/>
          <w:numId w:val="81"/>
        </w:numPr>
        <w:spacing w:after="0" w:line="257" w:lineRule="auto"/>
        <w:ind w:left="953" w:hanging="477"/>
        <w:jc w:val="both"/>
        <w:rPr>
          <w:rFonts w:ascii="Times New Roman" w:hAnsi="Times New Roman" w:cs="Times New Roman"/>
          <w:noProof/>
          <w:spacing w:val="-6"/>
          <w:lang w:val="sk-SK"/>
        </w:rPr>
      </w:pPr>
      <w:r w:rsidRPr="00326E55">
        <w:rPr>
          <w:rFonts w:ascii="Times New Roman" w:hAnsi="Times New Roman" w:cs="Times New Roman" w:hint="eastAsia"/>
          <w:noProof/>
          <w:spacing w:val="-6"/>
          <w:lang w:val="sk-SK"/>
        </w:rPr>
        <w:t xml:space="preserve">Požiadavka dodržiavať zásadu </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výrazne nenarušiť</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 ako sa stanovuje</w:t>
      </w:r>
      <w:r w:rsidR="00326E55" w:rsidRPr="00326E55">
        <w:rPr>
          <w:rFonts w:ascii="Times New Roman" w:hAnsi="Times New Roman" w:cs="Times New Roman" w:hint="eastAsia"/>
          <w:noProof/>
          <w:spacing w:val="-6"/>
          <w:lang w:val="sk-SK"/>
        </w:rPr>
        <w:t xml:space="preserve"> v</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technickom usmernení</w:t>
      </w:r>
      <w:r w:rsidR="00326E55" w:rsidRPr="00326E55">
        <w:rPr>
          <w:rFonts w:ascii="Times New Roman" w:hAnsi="Times New Roman" w:cs="Times New Roman" w:hint="eastAsia"/>
          <w:noProof/>
          <w:spacing w:val="-6"/>
          <w:lang w:val="sk-SK"/>
        </w:rPr>
        <w:t xml:space="preserve"> k</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 xml:space="preserve">zásade </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výrazne nenarušiť</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 xml:space="preserve"> (2021/C58/01). Grantová politika vylučuje</w:t>
      </w:r>
      <w:r w:rsidR="00326E55" w:rsidRPr="00326E55">
        <w:rPr>
          <w:rFonts w:ascii="Times New Roman" w:hAnsi="Times New Roman" w:cs="Times New Roman" w:hint="eastAsia"/>
          <w:noProof/>
          <w:spacing w:val="-6"/>
          <w:lang w:val="sk-SK"/>
        </w:rPr>
        <w:t xml:space="preserve"> z</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oprávnenosti najmä tento zoznam činnost</w:t>
      </w:r>
      <w:r w:rsidRPr="00326E55">
        <w:rPr>
          <w:rFonts w:ascii="Times New Roman" w:hAnsi="Times New Roman" w:cs="Times New Roman" w:hint="eastAsia"/>
          <w:noProof/>
          <w:spacing w:val="-6"/>
          <w:lang w:val="sk-SK"/>
        </w:rPr>
        <w:t>í</w:t>
      </w:r>
      <w:r w:rsidR="00326E55" w:rsidRPr="00326E55">
        <w:rPr>
          <w:rFonts w:ascii="Times New Roman" w:hAnsi="Times New Roman" w:cs="Times New Roman" w:hint="eastAsia"/>
          <w:noProof/>
          <w:spacing w:val="-6"/>
          <w:lang w:val="sk-SK"/>
        </w:rPr>
        <w:t xml:space="preserve"> a</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aktív: I) činnosti</w:t>
      </w:r>
      <w:r w:rsidR="00326E55" w:rsidRPr="00326E55">
        <w:rPr>
          <w:rFonts w:ascii="Times New Roman" w:hAnsi="Times New Roman" w:cs="Times New Roman" w:hint="eastAsia"/>
          <w:noProof/>
          <w:spacing w:val="-6"/>
          <w:lang w:val="sk-SK"/>
        </w:rPr>
        <w:t xml:space="preserve"> a</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aktíva súvisiace</w:t>
      </w:r>
      <w:r w:rsidR="00326E55" w:rsidRPr="00326E55">
        <w:rPr>
          <w:rFonts w:ascii="Times New Roman" w:hAnsi="Times New Roman" w:cs="Times New Roman" w:hint="eastAsia"/>
          <w:noProof/>
          <w:spacing w:val="-6"/>
          <w:lang w:val="sk-SK"/>
        </w:rPr>
        <w:t xml:space="preserve"> s</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fosílnymi palivami vrátane následného používania,</w:t>
      </w:r>
      <w:r w:rsidRPr="00326E55">
        <w:rPr>
          <w:rFonts w:ascii="Times New Roman" w:hAnsi="Times New Roman" w:cs="Times New Roman" w:hint="eastAsia"/>
          <w:noProof/>
          <w:spacing w:val="-6"/>
          <w:lang w:val="sk-SK"/>
        </w:rPr>
        <w:footnoteReference w:id="46"/>
      </w:r>
      <w:r w:rsidRPr="00326E55">
        <w:rPr>
          <w:rFonts w:ascii="Times New Roman" w:hAnsi="Times New Roman" w:cs="Times New Roman"/>
          <w:noProof/>
          <w:spacing w:val="-6"/>
          <w:vertAlign w:val="superscript"/>
          <w:lang w:val="sk-SK"/>
        </w:rPr>
        <w:t>ii</w:t>
      </w:r>
      <w:r w:rsidRPr="00326E55">
        <w:rPr>
          <w:rFonts w:ascii="Times New Roman" w:hAnsi="Times New Roman" w:cs="Times New Roman"/>
          <w:noProof/>
          <w:spacing w:val="-6"/>
          <w:lang w:val="sk-SK"/>
        </w:rPr>
        <w:t>)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systému EÚ na obchodovanie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 xml:space="preserve">emisiami (ETS), ktorými sa dosahujú predpokladané emisie skleníkových plynov, ktoré nie sú nižšie ako </w:t>
      </w:r>
      <w:r w:rsidRPr="00326E55">
        <w:rPr>
          <w:rFonts w:ascii="Times New Roman" w:hAnsi="Times New Roman" w:cs="Times New Roman"/>
          <w:noProof/>
          <w:spacing w:val="-6"/>
          <w:lang w:val="sk-SK"/>
        </w:rPr>
        <w:t>príslušné referenčné hodnoty,</w:t>
      </w:r>
      <w:r w:rsidRPr="00326E55">
        <w:rPr>
          <w:rFonts w:ascii="Times New Roman" w:hAnsi="Times New Roman" w:cs="Times New Roman"/>
          <w:noProof/>
          <w:spacing w:val="-6"/>
          <w:lang w:val="sk-SK"/>
        </w:rPr>
        <w:footnoteReference w:id="47"/>
      </w:r>
      <w:r w:rsidRPr="00326E55">
        <w:rPr>
          <w:rFonts w:ascii="Times New Roman" w:hAnsi="Times New Roman" w:cs="Times New Roman"/>
          <w:noProof/>
          <w:spacing w:val="-6"/>
          <w:vertAlign w:val="superscript"/>
          <w:lang w:val="sk-SK"/>
        </w:rPr>
        <w:t>iii</w:t>
      </w:r>
      <w:r w:rsidRPr="00326E55">
        <w:rPr>
          <w:rFonts w:ascii="Times New Roman" w:hAnsi="Times New Roman" w:cs="Times New Roman"/>
          <w:noProof/>
          <w:spacing w:val="-6"/>
          <w:lang w:val="sk-SK"/>
        </w:rPr>
        <w:t>)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 so skládkami odpadu, spaľovňami</w:t>
      </w:r>
      <w:r w:rsidRPr="00326E55">
        <w:rPr>
          <w:rFonts w:ascii="Times New Roman" w:hAnsi="Times New Roman" w:cs="Times New Roman"/>
          <w:noProof/>
          <w:spacing w:val="-6"/>
          <w:lang w:val="sk-SK"/>
        </w:rPr>
        <w:footnoteReference w:id="48"/>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mechanickými biologickými čistiarňami</w:t>
      </w:r>
      <w:r w:rsidRPr="00326E55">
        <w:rPr>
          <w:rFonts w:ascii="Times New Roman" w:hAnsi="Times New Roman" w:cs="Times New Roman"/>
          <w:noProof/>
          <w:spacing w:val="-6"/>
          <w:lang w:val="sk-SK"/>
        </w:rPr>
        <w:footnoteReference w:id="49"/>
      </w:r>
      <w:r w:rsidR="00326E55" w:rsidRPr="00326E55">
        <w:rPr>
          <w:rFonts w:ascii="Times New Roman" w:hAnsi="Times New Roman" w:cs="Times New Roman"/>
          <w:noProof/>
          <w:spacing w:val="-6"/>
          <w:lang w:val="sk-SK"/>
        </w:rPr>
        <w:t>.</w:t>
      </w:r>
    </w:p>
    <w:p w14:paraId="28153413" w14:textId="2D11A906" w:rsidR="00BF03AA" w:rsidRPr="00326E55" w:rsidRDefault="00FB452D">
      <w:pPr>
        <w:pStyle w:val="P68B1DB1-ListParagraph37"/>
        <w:numPr>
          <w:ilvl w:val="1"/>
          <w:numId w:val="81"/>
        </w:numPr>
        <w:spacing w:after="0" w:line="257" w:lineRule="auto"/>
        <w:ind w:left="953" w:hanging="477"/>
        <w:jc w:val="both"/>
        <w:rPr>
          <w:noProof/>
          <w:spacing w:val="-6"/>
          <w:lang w:val="sk-SK"/>
        </w:rPr>
      </w:pPr>
      <w:r w:rsidRPr="00326E55">
        <w:rPr>
          <w:noProof/>
          <w:spacing w:val="-6"/>
          <w:lang w:val="sk-SK"/>
        </w:rPr>
        <w:t>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507B74B9" w14:textId="6F93FE51" w:rsidR="00BF03AA" w:rsidRPr="00326E55" w:rsidRDefault="00FB452D">
      <w:pPr>
        <w:pStyle w:val="P68B1DB1-ListParagraph37"/>
        <w:numPr>
          <w:ilvl w:val="0"/>
          <w:numId w:val="82"/>
        </w:numPr>
        <w:spacing w:after="0" w:line="257" w:lineRule="auto"/>
        <w:jc w:val="both"/>
        <w:rPr>
          <w:noProof/>
          <w:spacing w:val="-6"/>
          <w:lang w:val="sk-SK"/>
        </w:rPr>
      </w:pPr>
      <w:r w:rsidRPr="00326E55">
        <w:rPr>
          <w:noProof/>
          <w:spacing w:val="-6"/>
          <w:lang w:val="sk-SK"/>
        </w:rPr>
        <w:t>Su</w:t>
      </w:r>
      <w:r w:rsidRPr="00326E55">
        <w:rPr>
          <w:noProof/>
          <w:spacing w:val="-6"/>
          <w:lang w:val="sk-SK"/>
        </w:rPr>
        <w:t>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použiť akékoľvek nevyužité výnosy zo systému,</w:t>
      </w:r>
      <w:r w:rsidR="00326E55" w:rsidRPr="00326E55">
        <w:rPr>
          <w:noProof/>
          <w:spacing w:val="-6"/>
          <w:lang w:val="sk-SK"/>
        </w:rPr>
        <w:t xml:space="preserve"> a </w:t>
      </w:r>
      <w:r w:rsidRPr="00326E55">
        <w:rPr>
          <w:noProof/>
          <w:spacing w:val="-6"/>
          <w:lang w:val="sk-SK"/>
        </w:rPr>
        <w:t>to aj po roku 2026, na rovnaké politické účely.</w:t>
      </w:r>
    </w:p>
    <w:p w14:paraId="2B39C369" w14:textId="0B3A3961" w:rsidR="00BF03AA" w:rsidRPr="00326E55" w:rsidRDefault="00FB452D">
      <w:pPr>
        <w:pStyle w:val="P68B1DB1-ListParagraph37"/>
        <w:numPr>
          <w:ilvl w:val="0"/>
          <w:numId w:val="82"/>
        </w:numPr>
        <w:spacing w:after="0" w:line="257" w:lineRule="auto"/>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w:t>
      </w:r>
      <w:r w:rsidRPr="00326E55">
        <w:rPr>
          <w:noProof/>
          <w:spacing w:val="-6"/>
          <w:lang w:val="sk-SK"/>
        </w:rPr>
        <w:t>e:</w:t>
      </w:r>
    </w:p>
    <w:p w14:paraId="620A63B1" w14:textId="0A6C2CA8" w:rsidR="00BF03AA" w:rsidRPr="00326E55" w:rsidRDefault="00FB452D">
      <w:pPr>
        <w:pStyle w:val="P68B1DB1-ListParagraph36"/>
        <w:numPr>
          <w:ilvl w:val="0"/>
          <w:numId w:val="80"/>
        </w:numPr>
        <w:spacing w:after="0" w:line="240" w:lineRule="auto"/>
        <w:ind w:left="1440"/>
        <w:jc w:val="both"/>
        <w:rPr>
          <w:rFonts w:hint="default"/>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w:t>
      </w:r>
      <w:r w:rsidR="00326E55" w:rsidRPr="00326E55">
        <w:rPr>
          <w:rFonts w:hint="default"/>
          <w:noProof/>
          <w:spacing w:val="-6"/>
          <w:lang w:val="sk-SK"/>
        </w:rPr>
        <w:t> </w:t>
      </w:r>
      <w:r w:rsidRPr="00326E55">
        <w:rPr>
          <w:noProof/>
          <w:spacing w:val="-6"/>
          <w:lang w:val="sk-SK"/>
        </w:rPr>
        <w:t>mobilizovaných grantoch.</w:t>
      </w:r>
    </w:p>
    <w:p w14:paraId="439F6141" w14:textId="7939D31F" w:rsidR="00BF03AA" w:rsidRPr="00326E55" w:rsidRDefault="00FB452D">
      <w:pPr>
        <w:pStyle w:val="P68B1DB1-ListParagraph36"/>
        <w:numPr>
          <w:ilvl w:val="0"/>
          <w:numId w:val="80"/>
        </w:numPr>
        <w:spacing w:after="0" w:line="257" w:lineRule="auto"/>
        <w:ind w:left="1440"/>
        <w:jc w:val="both"/>
        <w:rPr>
          <w:rFonts w:hint="default"/>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konfliktom záujmov, ich odhaľovanie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náprava.</w:t>
      </w:r>
    </w:p>
    <w:p w14:paraId="5462E04A" w14:textId="50518F2F" w:rsidR="00BF03AA" w:rsidRPr="00326E55" w:rsidRDefault="00FB452D">
      <w:pPr>
        <w:pStyle w:val="P68B1DB1-ListParagraph37"/>
        <w:numPr>
          <w:ilvl w:val="0"/>
          <w:numId w:val="80"/>
        </w:numPr>
        <w:spacing w:after="0" w:line="257" w:lineRule="auto"/>
        <w:ind w:left="1440"/>
        <w:jc w:val="both"/>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udelením grantu na operáciu.</w:t>
      </w:r>
    </w:p>
    <w:p w14:paraId="370CFA6B" w14:textId="35A9A819" w:rsidR="00326E55" w:rsidRPr="00326E55" w:rsidRDefault="00FB452D">
      <w:pPr>
        <w:pStyle w:val="P68B1DB1-ListParagraph37"/>
        <w:numPr>
          <w:ilvl w:val="0"/>
          <w:numId w:val="80"/>
        </w:numPr>
        <w:spacing w:after="0" w:line="257" w:lineRule="auto"/>
        <w:ind w:left="1440"/>
        <w:jc w:val="both"/>
        <w:rPr>
          <w:noProof/>
          <w:spacing w:val="-6"/>
          <w:lang w:val="sk-SK"/>
        </w:rPr>
      </w:pPr>
      <w:r w:rsidRPr="00326E55">
        <w:rPr>
          <w:noProof/>
          <w:spacing w:val="-6"/>
          <w:lang w:val="sk-SK"/>
        </w:rPr>
        <w:t>Povinnosť vykonávať následné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GSE. Týmito auditmi sa overí i) účinnos</w:t>
      </w:r>
      <w:r w:rsidRPr="00326E55">
        <w:rPr>
          <w:noProof/>
          <w:spacing w:val="-6"/>
          <w:lang w:val="sk-SK"/>
        </w:rPr>
        <w:t>ť systémov kontroly vrátane odhaľovania podvodov, korupcie</w:t>
      </w:r>
      <w:r w:rsidR="00326E55" w:rsidRPr="00326E55">
        <w:rPr>
          <w:noProof/>
          <w:spacing w:val="-6"/>
          <w:lang w:val="sk-SK"/>
        </w:rPr>
        <w:t xml:space="preserve"> a </w:t>
      </w:r>
      <w:r w:rsidRPr="00326E55">
        <w:rPr>
          <w:noProof/>
          <w:spacing w:val="-6"/>
          <w:lang w:val="sk-SK"/>
        </w:rPr>
        <w:t>konfliktu záujmov; II) súlad so zásadou „výrazne nenarušiť“, pravidlami štátnej pomoci;</w:t>
      </w:r>
      <w:r w:rsidR="00326E55" w:rsidRPr="00326E55">
        <w:rPr>
          <w:noProof/>
          <w:spacing w:val="-6"/>
          <w:lang w:val="sk-SK"/>
        </w:rPr>
        <w:t xml:space="preserve"> a </w:t>
      </w:r>
      <w:r w:rsidRPr="00326E55">
        <w:rPr>
          <w:noProof/>
          <w:spacing w:val="-6"/>
          <w:lang w:val="sk-SK"/>
        </w:rPr>
        <w:t>iii) aby sa dodržala požiadavka, aby koneční príjemcovia schémy nedostali podporu</w:t>
      </w:r>
      <w:r w:rsidR="00326E55" w:rsidRPr="00326E55">
        <w:rPr>
          <w:noProof/>
          <w:spacing w:val="-6"/>
          <w:lang w:val="sk-SK"/>
        </w:rPr>
        <w:t xml:space="preserve"> z </w:t>
      </w:r>
      <w:r w:rsidRPr="00326E55">
        <w:rPr>
          <w:noProof/>
          <w:spacing w:val="-6"/>
          <w:lang w:val="sk-SK"/>
        </w:rPr>
        <w:t xml:space="preserve">iných nástrojov Únie </w:t>
      </w:r>
      <w:r w:rsidRPr="00326E55">
        <w:rPr>
          <w:noProof/>
          <w:spacing w:val="-6"/>
          <w:lang w:val="sk-SK"/>
        </w:rPr>
        <w:t>na pokrytie rovnakých nákladov. Auditom sa takisto overí zákonnosť transakcií</w:t>
      </w:r>
      <w:r w:rsidR="00326E55" w:rsidRPr="00326E55">
        <w:rPr>
          <w:noProof/>
          <w:spacing w:val="-6"/>
          <w:lang w:val="sk-SK"/>
        </w:rPr>
        <w:t xml:space="preserve"> a </w:t>
      </w:r>
      <w:r w:rsidRPr="00326E55">
        <w:rPr>
          <w:noProof/>
          <w:spacing w:val="-6"/>
          <w:lang w:val="sk-SK"/>
        </w:rPr>
        <w:t>dodržiavanie podmienok príslušnej vykonávacej dohody</w:t>
      </w:r>
      <w:r w:rsidR="00326E55" w:rsidRPr="00326E55">
        <w:rPr>
          <w:noProof/>
          <w:spacing w:val="-6"/>
          <w:lang w:val="sk-SK"/>
        </w:rPr>
        <w:t xml:space="preserve"> a </w:t>
      </w:r>
      <w:r w:rsidRPr="00326E55">
        <w:rPr>
          <w:noProof/>
          <w:spacing w:val="-6"/>
          <w:lang w:val="sk-SK"/>
        </w:rPr>
        <w:t>dohôd</w:t>
      </w:r>
      <w:r w:rsidR="00326E55" w:rsidRPr="00326E55">
        <w:rPr>
          <w:noProof/>
          <w:spacing w:val="-6"/>
          <w:lang w:val="sk-SK"/>
        </w:rPr>
        <w:t xml:space="preserve"> o </w:t>
      </w:r>
      <w:r w:rsidRPr="00326E55">
        <w:rPr>
          <w:noProof/>
          <w:spacing w:val="-6"/>
          <w:lang w:val="sk-SK"/>
        </w:rPr>
        <w:t>grante</w:t>
      </w:r>
      <w:r w:rsidR="00326E55" w:rsidRPr="00326E55">
        <w:rPr>
          <w:noProof/>
          <w:spacing w:val="-6"/>
          <w:lang w:val="sk-SK"/>
        </w:rPr>
        <w:t>.</w:t>
      </w:r>
    </w:p>
    <w:p w14:paraId="46CB81FA" w14:textId="12CBFF47" w:rsidR="00BF03AA" w:rsidRPr="00326E55" w:rsidRDefault="00FB452D">
      <w:pPr>
        <w:pStyle w:val="P68B1DB1-Normal5"/>
        <w:spacing w:before="120" w:after="120"/>
        <w:jc w:val="both"/>
        <w:rPr>
          <w:bCs/>
          <w:noProof/>
          <w:spacing w:val="-6"/>
          <w:lang w:val="sk-SK"/>
        </w:rPr>
      </w:pPr>
      <w:r w:rsidRPr="00326E55">
        <w:rPr>
          <w:noProof/>
          <w:spacing w:val="-6"/>
          <w:lang w:val="sk-SK"/>
        </w:rPr>
        <w:t>Investícia 1.4 – Vývoj biometánu podľa kritérií na podporu obehového hospodárstva</w:t>
      </w:r>
    </w:p>
    <w:p w14:paraId="12D1D1D6" w14:textId="1F60CDCD" w:rsidR="00326E55" w:rsidRPr="00326E55" w:rsidRDefault="00FB452D">
      <w:pPr>
        <w:jc w:val="both"/>
        <w:rPr>
          <w:rFonts w:ascii="Times New Roman" w:hAnsi="Times New Roman" w:cs="Times New Roman"/>
          <w:noProof/>
          <w:spacing w:val="-6"/>
          <w:lang w:val="sk-SK"/>
        </w:rPr>
      </w:pPr>
      <w:r w:rsidRPr="00326E55">
        <w:rPr>
          <w:rFonts w:ascii="Times New Roman" w:eastAsia="Times New Roman" w:hAnsi="Times New Roman" w:cs="Times New Roman"/>
          <w:noProof/>
          <w:spacing w:val="-6"/>
          <w:lang w:val="sk-SK"/>
        </w:rPr>
        <w:t>Toto opatrenie pozostáv</w:t>
      </w:r>
      <w:r w:rsidRPr="00326E55">
        <w:rPr>
          <w:rFonts w:ascii="Times New Roman" w:eastAsia="Times New Roman" w:hAnsi="Times New Roman" w:cs="Times New Roman"/>
          <w:noProof/>
          <w:spacing w:val="-6"/>
          <w:lang w:val="sk-SK"/>
        </w:rPr>
        <w:t>a</w:t>
      </w:r>
      <w:r w:rsidR="00326E55" w:rsidRPr="00326E55">
        <w:rPr>
          <w:rFonts w:ascii="Times New Roman" w:eastAsia="Times New Roman" w:hAnsi="Times New Roman" w:cs="Times New Roman"/>
          <w:noProof/>
          <w:spacing w:val="-6"/>
          <w:lang w:val="sk-SK"/>
        </w:rPr>
        <w:t xml:space="preserve"> z </w:t>
      </w:r>
      <w:r w:rsidRPr="00326E55">
        <w:rPr>
          <w:rFonts w:ascii="Times New Roman" w:eastAsia="Times New Roman" w:hAnsi="Times New Roman" w:cs="Times New Roman"/>
          <w:noProof/>
          <w:spacing w:val="-6"/>
          <w:lang w:val="sk-SK"/>
        </w:rPr>
        <w:t>verejných investícií do grantového programu</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cieľom stimulovať súkromné investície</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zlepšiť prístup</w:t>
      </w:r>
      <w:r w:rsidR="00326E55" w:rsidRPr="00326E55">
        <w:rPr>
          <w:rFonts w:ascii="Times New Roman" w:eastAsia="Times New Roman" w:hAnsi="Times New Roman" w:cs="Times New Roman"/>
          <w:noProof/>
          <w:spacing w:val="-6"/>
          <w:lang w:val="sk-SK"/>
        </w:rPr>
        <w:t xml:space="preserve"> k </w:t>
      </w:r>
      <w:r w:rsidRPr="00326E55">
        <w:rPr>
          <w:rFonts w:ascii="Times New Roman" w:eastAsia="Times New Roman" w:hAnsi="Times New Roman" w:cs="Times New Roman"/>
          <w:noProof/>
          <w:spacing w:val="-6"/>
          <w:lang w:val="sk-SK"/>
        </w:rPr>
        <w:t>financovaniu výroby biometánu</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Taliansku. Systém funguje tak, že poskytuje granty priamo súkromnému sektoru</w:t>
      </w:r>
      <w:r w:rsidRPr="00326E55">
        <w:rPr>
          <w:rStyle w:val="FootnoteReference"/>
          <w:rFonts w:ascii="Times New Roman" w:hAnsi="Times New Roman" w:cs="Times New Roman"/>
          <w:noProof/>
          <w:spacing w:val="-6"/>
          <w:lang w:val="sk-SK"/>
        </w:rPr>
        <w:footnoteReference w:id="50"/>
      </w:r>
      <w:r w:rsidR="00326E55" w:rsidRPr="00326E55">
        <w:rPr>
          <w:rFonts w:ascii="Times New Roman" w:hAnsi="Times New Roman" w:cs="Times New Roman"/>
          <w:noProof/>
          <w:spacing w:val="-6"/>
          <w:lang w:val="sk-SK"/>
        </w:rPr>
        <w:t>.</w:t>
      </w:r>
    </w:p>
    <w:p w14:paraId="0C591062" w14:textId="77777777" w:rsidR="00326E55" w:rsidRPr="00326E55" w:rsidRDefault="00FB452D">
      <w:pPr>
        <w:pStyle w:val="P68B1DB1-Normal8"/>
        <w:jc w:val="both"/>
        <w:rPr>
          <w:noProof/>
          <w:spacing w:val="-6"/>
          <w:lang w:val="sk-SK"/>
        </w:rPr>
      </w:pPr>
      <w:r w:rsidRPr="00326E55">
        <w:rPr>
          <w:noProof/>
          <w:spacing w:val="-6"/>
          <w:lang w:val="sk-SK"/>
        </w:rPr>
        <w:t xml:space="preserve">Schému spravuje Gestore dei Servizi </w:t>
      </w:r>
      <w:r w:rsidRPr="00326E55">
        <w:rPr>
          <w:noProof/>
          <w:spacing w:val="-6"/>
          <w:lang w:val="sk-SK"/>
        </w:rPr>
        <w:t>Energetici (GSE) ako implementujúci partner. Systém zahŕňa tieto rady výrobkov</w:t>
      </w:r>
      <w:r w:rsidR="00326E55" w:rsidRPr="00326E55">
        <w:rPr>
          <w:noProof/>
          <w:spacing w:val="-6"/>
          <w:lang w:val="sk-SK"/>
        </w:rPr>
        <w:t>:</w:t>
      </w:r>
    </w:p>
    <w:p w14:paraId="3430D15D" w14:textId="6EBA90C9" w:rsidR="00BF03AA" w:rsidRPr="00326E55" w:rsidRDefault="00FB452D">
      <w:pPr>
        <w:pStyle w:val="P68B1DB1-ListParagraph37"/>
        <w:numPr>
          <w:ilvl w:val="0"/>
          <w:numId w:val="79"/>
        </w:numPr>
        <w:spacing w:after="0" w:line="240" w:lineRule="auto"/>
        <w:jc w:val="both"/>
        <w:rPr>
          <w:noProof/>
          <w:spacing w:val="-6"/>
          <w:lang w:val="sk-SK"/>
        </w:rPr>
      </w:pPr>
      <w:r w:rsidRPr="00326E55">
        <w:rPr>
          <w:noProof/>
          <w:spacing w:val="-6"/>
          <w:lang w:val="sk-SK"/>
        </w:rPr>
        <w:t>Podpora výstavby nových zariadení na výrobu biometánu. Biometán musí spĺňať kritériá stanovené</w:t>
      </w:r>
      <w:r w:rsidR="00326E55" w:rsidRPr="00326E55">
        <w:rPr>
          <w:noProof/>
          <w:spacing w:val="-6"/>
          <w:lang w:val="sk-SK"/>
        </w:rPr>
        <w:t xml:space="preserve"> v </w:t>
      </w:r>
      <w:r w:rsidRPr="00326E55">
        <w:rPr>
          <w:noProof/>
          <w:spacing w:val="-6"/>
          <w:lang w:val="sk-SK"/>
        </w:rPr>
        <w:t>smernici 2018/2001 (smernica RED II)</w:t>
      </w:r>
      <w:r w:rsidR="00326E55" w:rsidRPr="00326E55">
        <w:rPr>
          <w:noProof/>
          <w:spacing w:val="-6"/>
          <w:lang w:val="sk-SK"/>
        </w:rPr>
        <w:t xml:space="preserve"> s </w:t>
      </w:r>
      <w:r w:rsidRPr="00326E55">
        <w:rPr>
          <w:noProof/>
          <w:spacing w:val="-6"/>
          <w:lang w:val="sk-SK"/>
        </w:rPr>
        <w:t>cieľom umožniť, aby opatrenie bolo</w:t>
      </w:r>
      <w:r w:rsidR="00326E55" w:rsidRPr="00326E55">
        <w:rPr>
          <w:noProof/>
          <w:spacing w:val="-6"/>
          <w:lang w:val="sk-SK"/>
        </w:rPr>
        <w:t xml:space="preserve"> v </w:t>
      </w:r>
      <w:r w:rsidRPr="00326E55">
        <w:rPr>
          <w:noProof/>
          <w:spacing w:val="-6"/>
          <w:lang w:val="sk-SK"/>
        </w:rPr>
        <w:t>súl</w:t>
      </w:r>
      <w:r w:rsidRPr="00326E55">
        <w:rPr>
          <w:noProof/>
          <w:spacing w:val="-6"/>
          <w:lang w:val="sk-SK"/>
        </w:rPr>
        <w:t>ade so zásadou „nespôsobovať významnú škodu“</w:t>
      </w:r>
      <w:r w:rsidR="00326E55" w:rsidRPr="00326E55">
        <w:rPr>
          <w:noProof/>
          <w:spacing w:val="-6"/>
          <w:lang w:val="sk-SK"/>
        </w:rPr>
        <w:t xml:space="preserve"> a s </w:t>
      </w:r>
      <w:r w:rsidRPr="00326E55">
        <w:rPr>
          <w:noProof/>
          <w:spacing w:val="-6"/>
          <w:lang w:val="sk-SK"/>
        </w:rPr>
        <w:t xml:space="preserve">príslušnými požiadavkami poznámky pod čiarou </w:t>
      </w:r>
      <w:r w:rsidR="00326E55" w:rsidRPr="00326E55">
        <w:rPr>
          <w:noProof/>
          <w:spacing w:val="-6"/>
          <w:lang w:val="sk-SK"/>
        </w:rPr>
        <w:t>č. </w:t>
      </w:r>
      <w:r w:rsidRPr="00326E55">
        <w:rPr>
          <w:noProof/>
          <w:spacing w:val="-6"/>
          <w:lang w:val="sk-SK"/>
        </w:rPr>
        <w:t>8 prílohy VI</w:t>
      </w:r>
      <w:r w:rsidR="00326E55" w:rsidRPr="00326E55">
        <w:rPr>
          <w:noProof/>
          <w:spacing w:val="-6"/>
          <w:lang w:val="sk-SK"/>
        </w:rPr>
        <w:t xml:space="preserve"> k </w:t>
      </w:r>
      <w:r w:rsidRPr="00326E55">
        <w:rPr>
          <w:noProof/>
          <w:spacing w:val="-6"/>
          <w:lang w:val="sk-SK"/>
        </w:rPr>
        <w:t>nariadeniu (EÚ) 2021/241.</w:t>
      </w:r>
    </w:p>
    <w:p w14:paraId="6DE8F823" w14:textId="77777777" w:rsidR="00BF03AA" w:rsidRPr="00326E55" w:rsidRDefault="00BF03AA">
      <w:pPr>
        <w:spacing w:after="0"/>
        <w:jc w:val="both"/>
        <w:rPr>
          <w:rFonts w:ascii="Times New Roman" w:hAnsi="Times New Roman" w:cs="Times New Roman"/>
          <w:noProof/>
          <w:spacing w:val="-6"/>
          <w:lang w:val="sk-SK"/>
        </w:rPr>
      </w:pPr>
    </w:p>
    <w:p w14:paraId="1D845858" w14:textId="7BFF7CA4" w:rsidR="00BF03AA" w:rsidRPr="00326E55" w:rsidRDefault="00FB452D">
      <w:pPr>
        <w:pStyle w:val="P68B1DB1-ListParagraph36"/>
        <w:numPr>
          <w:ilvl w:val="0"/>
          <w:numId w:val="79"/>
        </w:numPr>
        <w:spacing w:after="0" w:line="240" w:lineRule="auto"/>
        <w:jc w:val="both"/>
        <w:rPr>
          <w:rFonts w:hint="default"/>
          <w:noProof/>
          <w:spacing w:val="-6"/>
          <w:lang w:val="sk-SK"/>
        </w:rPr>
      </w:pPr>
      <w:r w:rsidRPr="00326E55">
        <w:rPr>
          <w:noProof/>
          <w:spacing w:val="-6"/>
          <w:lang w:val="sk-SK"/>
        </w:rPr>
        <w:t>Premena</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 xml:space="preserve">zlepšenie efektívnosti existujúcich poľnohospodárskych zariadení na výrobu bioplynu (vrátane organickej frakcie tuhého komunálneho odpadu </w:t>
      </w:r>
      <w:r w:rsidRPr="00326E55">
        <w:rPr>
          <w:noProof/>
          <w:spacing w:val="-6"/>
          <w:lang w:val="sk-SK"/>
        </w:rPr>
        <w:t>–</w:t>
      </w:r>
      <w:r w:rsidRPr="00326E55">
        <w:rPr>
          <w:noProof/>
          <w:spacing w:val="-6"/>
          <w:lang w:val="sk-SK"/>
        </w:rPr>
        <w:t xml:space="preserve"> OFUSW) na výrobu biometánu pre dopravu, priemysel</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vykurovanie. Biometán musí spĺňať kritériá stanovené</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 xml:space="preserve">smernici </w:t>
      </w:r>
      <w:r w:rsidRPr="00326E55">
        <w:rPr>
          <w:noProof/>
          <w:spacing w:val="-6"/>
          <w:lang w:val="sk-SK"/>
        </w:rPr>
        <w:t>2018/2001 (smernica RED II)</w:t>
      </w:r>
      <w:r w:rsidR="00326E55" w:rsidRPr="00326E55">
        <w:rPr>
          <w:noProof/>
          <w:spacing w:val="-6"/>
          <w:lang w:val="sk-SK"/>
        </w:rPr>
        <w:t xml:space="preserve"> s</w:t>
      </w:r>
      <w:r w:rsidR="00326E55" w:rsidRPr="00326E55">
        <w:rPr>
          <w:rFonts w:hint="default"/>
          <w:noProof/>
          <w:spacing w:val="-6"/>
          <w:lang w:val="sk-SK"/>
        </w:rPr>
        <w:t> </w:t>
      </w:r>
      <w:r w:rsidRPr="00326E55">
        <w:rPr>
          <w:noProof/>
          <w:spacing w:val="-6"/>
          <w:lang w:val="sk-SK"/>
        </w:rPr>
        <w:t>cieľom umožniť, aby opatrenie bolo</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 xml:space="preserve">súlade so zásadou </w:t>
      </w:r>
      <w:r w:rsidRPr="00326E55">
        <w:rPr>
          <w:noProof/>
          <w:spacing w:val="-6"/>
          <w:lang w:val="sk-SK"/>
        </w:rPr>
        <w:t>„</w:t>
      </w:r>
      <w:r w:rsidRPr="00326E55">
        <w:rPr>
          <w:noProof/>
          <w:spacing w:val="-6"/>
          <w:lang w:val="sk-SK"/>
        </w:rPr>
        <w:t>nespôsobovať významnú škodu</w:t>
      </w:r>
      <w:r w:rsidRPr="00326E55">
        <w:rPr>
          <w:noProof/>
          <w:spacing w:val="-6"/>
          <w:lang w:val="sk-SK"/>
        </w:rPr>
        <w:t>“</w:t>
      </w:r>
      <w:r w:rsidR="00326E55" w:rsidRPr="00326E55">
        <w:rPr>
          <w:noProof/>
          <w:spacing w:val="-6"/>
          <w:lang w:val="sk-SK"/>
        </w:rPr>
        <w:t xml:space="preserve"> a</w:t>
      </w:r>
      <w:r w:rsidR="00326E55" w:rsidRPr="00326E55">
        <w:rPr>
          <w:rFonts w:hint="default"/>
          <w:noProof/>
          <w:spacing w:val="-6"/>
          <w:lang w:val="sk-SK"/>
        </w:rPr>
        <w:t> </w:t>
      </w:r>
      <w:r w:rsidR="00326E55" w:rsidRPr="00326E55">
        <w:rPr>
          <w:noProof/>
          <w:spacing w:val="-6"/>
          <w:lang w:val="sk-SK"/>
        </w:rPr>
        <w:t>s</w:t>
      </w:r>
      <w:r w:rsidR="00326E55" w:rsidRPr="00326E55">
        <w:rPr>
          <w:rFonts w:hint="default"/>
          <w:noProof/>
          <w:spacing w:val="-6"/>
          <w:lang w:val="sk-SK"/>
        </w:rPr>
        <w:t> </w:t>
      </w:r>
      <w:r w:rsidRPr="00326E55">
        <w:rPr>
          <w:noProof/>
          <w:spacing w:val="-6"/>
          <w:lang w:val="sk-SK"/>
        </w:rPr>
        <w:t xml:space="preserve">príslušnými požiadavkami poznámky pod čiarou </w:t>
      </w:r>
      <w:r w:rsidR="00326E55" w:rsidRPr="00326E55">
        <w:rPr>
          <w:noProof/>
          <w:spacing w:val="-6"/>
          <w:lang w:val="sk-SK"/>
        </w:rPr>
        <w:t>č. </w:t>
      </w:r>
      <w:r w:rsidRPr="00326E55">
        <w:rPr>
          <w:noProof/>
          <w:spacing w:val="-6"/>
          <w:lang w:val="sk-SK"/>
        </w:rPr>
        <w:t>8 prílohy VI</w:t>
      </w:r>
      <w:r w:rsidR="00326E55" w:rsidRPr="00326E55">
        <w:rPr>
          <w:noProof/>
          <w:spacing w:val="-6"/>
          <w:lang w:val="sk-SK"/>
        </w:rPr>
        <w:t xml:space="preserve"> k</w:t>
      </w:r>
      <w:r w:rsidR="00326E55" w:rsidRPr="00326E55">
        <w:rPr>
          <w:rFonts w:hint="default"/>
          <w:noProof/>
          <w:spacing w:val="-6"/>
          <w:lang w:val="sk-SK"/>
        </w:rPr>
        <w:t> </w:t>
      </w:r>
      <w:r w:rsidRPr="00326E55">
        <w:rPr>
          <w:noProof/>
          <w:spacing w:val="-6"/>
          <w:lang w:val="sk-SK"/>
        </w:rPr>
        <w:t>nariadeniu (EÚ) 2021/241.</w:t>
      </w:r>
    </w:p>
    <w:p w14:paraId="793DF01F" w14:textId="77777777" w:rsidR="00BF03AA" w:rsidRPr="00326E55" w:rsidRDefault="00BF03AA">
      <w:pPr>
        <w:pStyle w:val="ListParagraph"/>
        <w:spacing w:after="0"/>
        <w:ind w:hanging="360"/>
        <w:rPr>
          <w:rFonts w:ascii="Times New Roman" w:hAnsi="Times New Roman" w:cs="Times New Roman"/>
          <w:noProof/>
          <w:spacing w:val="-6"/>
          <w:lang w:val="sk-SK"/>
        </w:rPr>
      </w:pPr>
    </w:p>
    <w:p w14:paraId="5831D264" w14:textId="5BF8B6E2" w:rsidR="00BF03AA" w:rsidRPr="00326E55" w:rsidRDefault="00FB452D">
      <w:pPr>
        <w:pStyle w:val="P68B1DB1-Normal7"/>
        <w:spacing w:after="0"/>
        <w:rPr>
          <w:noProof/>
          <w:spacing w:val="-6"/>
          <w:lang w:val="sk-SK"/>
        </w:rPr>
      </w:pPr>
      <w:r w:rsidRPr="00326E55">
        <w:rPr>
          <w:noProof/>
          <w:spacing w:val="-6"/>
          <w:lang w:val="sk-SK"/>
        </w:rPr>
        <w:t>S cieľom implementovať investíciu do systému Ta</w:t>
      </w:r>
      <w:r w:rsidRPr="00326E55">
        <w:rPr>
          <w:noProof/>
          <w:spacing w:val="-6"/>
          <w:lang w:val="sk-SK"/>
        </w:rPr>
        <w:t>liansko</w:t>
      </w:r>
      <w:r w:rsidR="00326E55" w:rsidRPr="00326E55">
        <w:rPr>
          <w:noProof/>
          <w:spacing w:val="-6"/>
          <w:lang w:val="sk-SK"/>
        </w:rPr>
        <w:t xml:space="preserve"> a </w:t>
      </w:r>
      <w:r w:rsidRPr="00326E55">
        <w:rPr>
          <w:noProof/>
          <w:spacing w:val="-6"/>
          <w:lang w:val="sk-SK"/>
        </w:rPr>
        <w:t>GSE podpíšu vykonávaciu dohodu, ktorá bude obsahovať tento obsah:</w:t>
      </w:r>
    </w:p>
    <w:p w14:paraId="0A612D5C" w14:textId="09C4670B" w:rsidR="00BF03AA" w:rsidRPr="00326E55" w:rsidRDefault="00FB452D">
      <w:pPr>
        <w:pStyle w:val="P68B1DB1-ListParagraph37"/>
        <w:numPr>
          <w:ilvl w:val="0"/>
          <w:numId w:val="78"/>
        </w:numPr>
        <w:spacing w:before="120" w:after="0" w:line="257" w:lineRule="auto"/>
        <w:jc w:val="both"/>
        <w:rPr>
          <w:noProof/>
          <w:spacing w:val="-6"/>
          <w:lang w:val="sk-SK"/>
        </w:rPr>
      </w:pPr>
      <w:r w:rsidRPr="00326E55">
        <w:rPr>
          <w:noProof/>
          <w:spacing w:val="-6"/>
          <w:lang w:val="sk-SK"/>
        </w:rPr>
        <w:t>Opis rozhodovacieho procesu</w:t>
      </w:r>
      <w:r w:rsidR="00326E55" w:rsidRPr="00326E55">
        <w:rPr>
          <w:noProof/>
          <w:spacing w:val="-6"/>
          <w:lang w:val="sk-SK"/>
        </w:rPr>
        <w:t xml:space="preserve"> v </w:t>
      </w:r>
      <w:r w:rsidRPr="00326E55">
        <w:rPr>
          <w:noProof/>
          <w:spacing w:val="-6"/>
          <w:lang w:val="sk-SK"/>
        </w:rPr>
        <w:t>rámci schémy: Konečné rozhodnutie</w:t>
      </w:r>
      <w:r w:rsidR="00326E55" w:rsidRPr="00326E55">
        <w:rPr>
          <w:noProof/>
          <w:spacing w:val="-6"/>
          <w:lang w:val="sk-SK"/>
        </w:rPr>
        <w:t xml:space="preserve"> o </w:t>
      </w:r>
      <w:r w:rsidRPr="00326E55">
        <w:rPr>
          <w:noProof/>
          <w:spacing w:val="-6"/>
          <w:lang w:val="sk-SK"/>
        </w:rPr>
        <w:t>poskytnutí pomoci</w:t>
      </w:r>
      <w:r w:rsidR="00326E55" w:rsidRPr="00326E55">
        <w:rPr>
          <w:noProof/>
          <w:spacing w:val="-6"/>
          <w:lang w:val="sk-SK"/>
        </w:rPr>
        <w:t xml:space="preserve"> v </w:t>
      </w:r>
      <w:r w:rsidRPr="00326E55">
        <w:rPr>
          <w:noProof/>
          <w:spacing w:val="-6"/>
          <w:lang w:val="sk-SK"/>
        </w:rPr>
        <w:t>rámci schémy prijíma investičný výbor alebo iný príslušný rovnocenný riadiaci orgán</w:t>
      </w:r>
      <w:r w:rsidR="00326E55" w:rsidRPr="00326E55">
        <w:rPr>
          <w:noProof/>
          <w:spacing w:val="-6"/>
          <w:lang w:val="sk-SK"/>
        </w:rPr>
        <w:t xml:space="preserve"> a </w:t>
      </w:r>
      <w:r w:rsidRPr="00326E55">
        <w:rPr>
          <w:noProof/>
          <w:spacing w:val="-6"/>
          <w:lang w:val="sk-SK"/>
        </w:rPr>
        <w:t>schvaľuj</w:t>
      </w:r>
      <w:r w:rsidRPr="00326E55">
        <w:rPr>
          <w:noProof/>
          <w:spacing w:val="-6"/>
          <w:lang w:val="sk-SK"/>
        </w:rPr>
        <w:t>e sa väčšinou hlasov členov, ktorí sú nezávislí od vlády.</w:t>
      </w:r>
    </w:p>
    <w:p w14:paraId="4D15CC88" w14:textId="77777777" w:rsidR="00BF03AA" w:rsidRPr="00326E55" w:rsidRDefault="00FB452D">
      <w:pPr>
        <w:pStyle w:val="P68B1DB1-ListParagraph37"/>
        <w:numPr>
          <w:ilvl w:val="0"/>
          <w:numId w:val="78"/>
        </w:numPr>
        <w:spacing w:before="120" w:after="0" w:line="257" w:lineRule="auto"/>
        <w:jc w:val="both"/>
        <w:rPr>
          <w:noProof/>
          <w:spacing w:val="-6"/>
          <w:lang w:val="sk-SK"/>
        </w:rPr>
      </w:pPr>
      <w:r w:rsidRPr="00326E55">
        <w:rPr>
          <w:noProof/>
          <w:spacing w:val="-6"/>
          <w:lang w:val="sk-SK"/>
        </w:rPr>
        <w:t>Kľúčové požiadavky súvisiacej grantovej politiky,</w:t>
      </w:r>
      <w:r w:rsidRPr="00326E55">
        <w:rPr>
          <w:b/>
          <w:noProof/>
          <w:spacing w:val="-6"/>
          <w:lang w:val="sk-SK"/>
        </w:rPr>
        <w:t xml:space="preserve"> </w:t>
      </w:r>
      <w:r w:rsidRPr="00326E55">
        <w:rPr>
          <w:noProof/>
          <w:spacing w:val="-6"/>
          <w:lang w:val="sk-SK"/>
        </w:rPr>
        <w:t>ktoré zahŕňajú:</w:t>
      </w:r>
    </w:p>
    <w:p w14:paraId="58545A64" w14:textId="16E1CF94" w:rsidR="00BF03AA" w:rsidRPr="00326E55" w:rsidRDefault="00FB452D">
      <w:pPr>
        <w:pStyle w:val="P68B1DB1-ListParagraph37"/>
        <w:numPr>
          <w:ilvl w:val="1"/>
          <w:numId w:val="78"/>
        </w:numPr>
        <w:spacing w:after="0" w:line="257" w:lineRule="auto"/>
        <w:ind w:left="953" w:hanging="477"/>
        <w:jc w:val="both"/>
        <w:rPr>
          <w:noProof/>
          <w:spacing w:val="-6"/>
          <w:lang w:val="sk-SK"/>
        </w:rPr>
      </w:pPr>
      <w:r w:rsidRPr="00326E55">
        <w:rPr>
          <w:noProof/>
          <w:spacing w:val="-6"/>
          <w:lang w:val="sk-SK"/>
        </w:rPr>
        <w:t>Opis poskytnutých grantov</w:t>
      </w:r>
      <w:r w:rsidR="00326E55" w:rsidRPr="00326E55">
        <w:rPr>
          <w:noProof/>
          <w:spacing w:val="-6"/>
          <w:lang w:val="sk-SK"/>
        </w:rPr>
        <w:t xml:space="preserve"> a </w:t>
      </w:r>
      <w:r w:rsidRPr="00326E55">
        <w:rPr>
          <w:noProof/>
          <w:spacing w:val="-6"/>
          <w:lang w:val="sk-SK"/>
        </w:rPr>
        <w:t>oprávnených konečných príjemcov.</w:t>
      </w:r>
    </w:p>
    <w:p w14:paraId="371C9821" w14:textId="77777777" w:rsidR="00BF03AA" w:rsidRPr="00326E55" w:rsidRDefault="00FB452D">
      <w:pPr>
        <w:pStyle w:val="P68B1DB1-ListParagraph37"/>
        <w:numPr>
          <w:ilvl w:val="1"/>
          <w:numId w:val="78"/>
        </w:numPr>
        <w:spacing w:after="0" w:line="257" w:lineRule="auto"/>
        <w:ind w:left="953" w:hanging="477"/>
        <w:jc w:val="both"/>
        <w:rPr>
          <w:noProof/>
          <w:spacing w:val="-6"/>
          <w:lang w:val="sk-SK"/>
        </w:rPr>
      </w:pPr>
      <w:r w:rsidRPr="00326E55">
        <w:rPr>
          <w:noProof/>
          <w:spacing w:val="-6"/>
          <w:lang w:val="sk-SK"/>
        </w:rPr>
        <w:t>Požiadavka, aby všetky podporované investície boli ekonomicky životasch</w:t>
      </w:r>
      <w:r w:rsidRPr="00326E55">
        <w:rPr>
          <w:noProof/>
          <w:spacing w:val="-6"/>
          <w:lang w:val="sk-SK"/>
        </w:rPr>
        <w:t>opné.</w:t>
      </w:r>
    </w:p>
    <w:p w14:paraId="3B0012C5" w14:textId="55B692B3" w:rsidR="00326E55" w:rsidRPr="00326E55" w:rsidRDefault="00FB452D">
      <w:pPr>
        <w:pStyle w:val="ListParagraph"/>
        <w:numPr>
          <w:ilvl w:val="1"/>
          <w:numId w:val="78"/>
        </w:numPr>
        <w:spacing w:after="0" w:line="257" w:lineRule="auto"/>
        <w:ind w:left="953" w:hanging="477"/>
        <w:jc w:val="both"/>
        <w:rPr>
          <w:rFonts w:ascii="Times New Roman" w:hAnsi="Times New Roman" w:cs="Times New Roman"/>
          <w:noProof/>
          <w:spacing w:val="-6"/>
          <w:lang w:val="sk-SK"/>
        </w:rPr>
      </w:pPr>
      <w:r w:rsidRPr="00326E55">
        <w:rPr>
          <w:rFonts w:ascii="Times New Roman" w:hAnsi="Times New Roman" w:cs="Times New Roman" w:hint="eastAsia"/>
          <w:noProof/>
          <w:spacing w:val="-6"/>
          <w:lang w:val="sk-SK"/>
        </w:rPr>
        <w:t xml:space="preserve">Požiadavka dodržiavať zásadu </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výrazne nenarušiť</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 ako sa stanovuje</w:t>
      </w:r>
      <w:r w:rsidR="00326E55" w:rsidRPr="00326E55">
        <w:rPr>
          <w:rFonts w:ascii="Times New Roman" w:hAnsi="Times New Roman" w:cs="Times New Roman" w:hint="eastAsia"/>
          <w:noProof/>
          <w:spacing w:val="-6"/>
          <w:lang w:val="sk-SK"/>
        </w:rPr>
        <w:t xml:space="preserve"> v</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technickom usmernení</w:t>
      </w:r>
      <w:r w:rsidR="00326E55" w:rsidRPr="00326E55">
        <w:rPr>
          <w:rFonts w:ascii="Times New Roman" w:hAnsi="Times New Roman" w:cs="Times New Roman" w:hint="eastAsia"/>
          <w:noProof/>
          <w:spacing w:val="-6"/>
          <w:lang w:val="sk-SK"/>
        </w:rPr>
        <w:t xml:space="preserve"> k</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 xml:space="preserve">zásade </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výrazne nenarušiť</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 xml:space="preserve"> (2021/C58/01). Grantová politika vylučuje</w:t>
      </w:r>
      <w:r w:rsidR="00326E55" w:rsidRPr="00326E55">
        <w:rPr>
          <w:rFonts w:ascii="Times New Roman" w:hAnsi="Times New Roman" w:cs="Times New Roman" w:hint="eastAsia"/>
          <w:noProof/>
          <w:spacing w:val="-6"/>
          <w:lang w:val="sk-SK"/>
        </w:rPr>
        <w:t xml:space="preserve"> z</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oprávnenosti najmä tento zoznam činností</w:t>
      </w:r>
      <w:r w:rsidR="00326E55" w:rsidRPr="00326E55">
        <w:rPr>
          <w:rFonts w:ascii="Times New Roman" w:hAnsi="Times New Roman" w:cs="Times New Roman" w:hint="eastAsia"/>
          <w:noProof/>
          <w:spacing w:val="-6"/>
          <w:lang w:val="sk-SK"/>
        </w:rPr>
        <w:t xml:space="preserve"> a</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aktív: I) činnosti</w:t>
      </w:r>
      <w:r w:rsidR="00326E55" w:rsidRPr="00326E55">
        <w:rPr>
          <w:rFonts w:ascii="Times New Roman" w:hAnsi="Times New Roman" w:cs="Times New Roman" w:hint="eastAsia"/>
          <w:noProof/>
          <w:spacing w:val="-6"/>
          <w:lang w:val="sk-SK"/>
        </w:rPr>
        <w:t xml:space="preserve"> a</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aktíva súvisiace</w:t>
      </w:r>
      <w:r w:rsidR="00326E55" w:rsidRPr="00326E55">
        <w:rPr>
          <w:rFonts w:ascii="Times New Roman" w:hAnsi="Times New Roman" w:cs="Times New Roman" w:hint="eastAsia"/>
          <w:noProof/>
          <w:spacing w:val="-6"/>
          <w:lang w:val="sk-SK"/>
        </w:rPr>
        <w:t xml:space="preserve"> s</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fosílnymi palivami vrátane následného používania,</w:t>
      </w:r>
      <w:r w:rsidRPr="00326E55">
        <w:rPr>
          <w:rStyle w:val="FootnoteReference"/>
          <w:rFonts w:ascii="Times New Roman" w:hAnsi="Times New Roman" w:cs="Times New Roman"/>
          <w:noProof/>
          <w:spacing w:val="-6"/>
          <w:lang w:val="sk-SK"/>
        </w:rPr>
        <w:footnoteReference w:id="51"/>
      </w:r>
      <w:r w:rsidRPr="00326E55">
        <w:rPr>
          <w:rFonts w:ascii="Times New Roman" w:hAnsi="Times New Roman" w:cs="Times New Roman"/>
          <w:noProof/>
          <w:spacing w:val="-6"/>
          <w:lang w:val="sk-SK"/>
        </w:rPr>
        <w:t>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systému EÚ na obchodovanie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emisiami (ETS), ktorými sa dosahujú predpokladané emisie skleníkových plynov, ktoré nie sú nižšie ako príslušné referenčné hodnoty,</w:t>
      </w:r>
      <w:r w:rsidRPr="00326E55">
        <w:rPr>
          <w:rStyle w:val="FootnoteReference"/>
          <w:rFonts w:ascii="Times New Roman" w:hAnsi="Times New Roman" w:cs="Times New Roman"/>
          <w:noProof/>
          <w:spacing w:val="-6"/>
          <w:lang w:val="sk-SK"/>
        </w:rPr>
        <w:footnoteReference w:id="52"/>
      </w:r>
      <w:r w:rsidRPr="00326E55">
        <w:rPr>
          <w:rFonts w:ascii="Times New Roman" w:hAnsi="Times New Roman" w:cs="Times New Roman"/>
          <w:noProof/>
          <w:spacing w:val="-6"/>
          <w:lang w:val="sk-SK"/>
        </w:rPr>
        <w:t>iii)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 so skládkami odpadu, spaľovňami</w:t>
      </w:r>
      <w:r w:rsidRPr="00326E55">
        <w:rPr>
          <w:rStyle w:val="FootnoteReference"/>
          <w:rFonts w:ascii="Times New Roman" w:hAnsi="Times New Roman" w:cs="Times New Roman"/>
          <w:noProof/>
          <w:spacing w:val="-6"/>
          <w:lang w:val="sk-SK"/>
        </w:rPr>
        <w:footnoteReference w:id="53"/>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mechanickými biologickými čistiarňami</w:t>
      </w:r>
      <w:r w:rsidRPr="00326E55">
        <w:rPr>
          <w:rStyle w:val="FootnoteReference"/>
          <w:rFonts w:ascii="Times New Roman" w:hAnsi="Times New Roman" w:cs="Times New Roman"/>
          <w:noProof/>
          <w:spacing w:val="-6"/>
          <w:lang w:val="sk-SK"/>
        </w:rPr>
        <w:footnoteReference w:id="54"/>
      </w:r>
      <w:r w:rsidR="00326E55" w:rsidRPr="00326E55">
        <w:rPr>
          <w:rFonts w:ascii="Times New Roman" w:hAnsi="Times New Roman" w:cs="Times New Roman"/>
          <w:noProof/>
          <w:spacing w:val="-6"/>
          <w:lang w:val="sk-SK"/>
        </w:rPr>
        <w:t>.</w:t>
      </w:r>
    </w:p>
    <w:p w14:paraId="5B6E5058" w14:textId="3169B441" w:rsidR="00BF03AA" w:rsidRPr="00326E55" w:rsidRDefault="00FB452D">
      <w:pPr>
        <w:pStyle w:val="P68B1DB1-ListParagraph37"/>
        <w:numPr>
          <w:ilvl w:val="1"/>
          <w:numId w:val="78"/>
        </w:numPr>
        <w:spacing w:after="0" w:line="257" w:lineRule="auto"/>
        <w:ind w:left="953" w:hanging="477"/>
        <w:jc w:val="both"/>
        <w:rPr>
          <w:noProof/>
          <w:spacing w:val="-6"/>
          <w:lang w:val="sk-SK"/>
        </w:rPr>
      </w:pPr>
      <w:r w:rsidRPr="00326E55">
        <w:rPr>
          <w:noProof/>
          <w:spacing w:val="-6"/>
          <w:lang w:val="sk-SK"/>
        </w:rPr>
        <w:t>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320D37A1" w14:textId="4B1F039D" w:rsidR="00BF03AA" w:rsidRPr="00326E55" w:rsidRDefault="00FB452D">
      <w:pPr>
        <w:pStyle w:val="P68B1DB1-ListParagraph37"/>
        <w:numPr>
          <w:ilvl w:val="0"/>
          <w:numId w:val="78"/>
        </w:numPr>
        <w:spacing w:after="0" w:line="257" w:lineRule="auto"/>
        <w:ind w:left="476" w:hanging="476"/>
        <w:jc w:val="both"/>
        <w:rPr>
          <w:noProof/>
          <w:spacing w:val="-6"/>
          <w:lang w:val="sk-SK"/>
        </w:rPr>
      </w:pPr>
      <w:r w:rsidRPr="00326E55">
        <w:rPr>
          <w:noProof/>
          <w:spacing w:val="-6"/>
          <w:lang w:val="sk-SK"/>
        </w:rPr>
        <w:t xml:space="preserve">Suma, na ktorú sa vzťahuje vykonávacia dohoda, </w:t>
      </w:r>
      <w:r w:rsidRPr="00326E55">
        <w:rPr>
          <w:noProof/>
          <w:spacing w:val="-6"/>
          <w:lang w:val="sk-SK"/>
        </w:rPr>
        <w:t>štruktúra poplatkov pre implementujúceho partnera</w:t>
      </w:r>
      <w:r w:rsidR="00326E55" w:rsidRPr="00326E55">
        <w:rPr>
          <w:noProof/>
          <w:spacing w:val="-6"/>
          <w:lang w:val="sk-SK"/>
        </w:rPr>
        <w:t xml:space="preserve"> a </w:t>
      </w:r>
      <w:r w:rsidRPr="00326E55">
        <w:rPr>
          <w:noProof/>
          <w:spacing w:val="-6"/>
          <w:lang w:val="sk-SK"/>
        </w:rPr>
        <w:t>požiadavka použiť akékoľvek nevyužité výnosy zo systému,</w:t>
      </w:r>
      <w:r w:rsidR="00326E55" w:rsidRPr="00326E55">
        <w:rPr>
          <w:noProof/>
          <w:spacing w:val="-6"/>
          <w:lang w:val="sk-SK"/>
        </w:rPr>
        <w:t xml:space="preserve"> a </w:t>
      </w:r>
      <w:r w:rsidRPr="00326E55">
        <w:rPr>
          <w:noProof/>
          <w:spacing w:val="-6"/>
          <w:lang w:val="sk-SK"/>
        </w:rPr>
        <w:t>to aj po roku 2026, na rovnaké politické účely.</w:t>
      </w:r>
    </w:p>
    <w:p w14:paraId="401BF866" w14:textId="7B9199E8" w:rsidR="00BF03AA" w:rsidRPr="00326E55" w:rsidRDefault="00FB452D">
      <w:pPr>
        <w:pStyle w:val="P68B1DB1-ListParagraph37"/>
        <w:numPr>
          <w:ilvl w:val="0"/>
          <w:numId w:val="78"/>
        </w:numPr>
        <w:spacing w:after="0" w:line="257" w:lineRule="auto"/>
        <w:ind w:left="476" w:hanging="476"/>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p>
    <w:p w14:paraId="0C1543E3" w14:textId="77349067" w:rsidR="00BF03AA" w:rsidRPr="00326E55" w:rsidRDefault="00FB452D">
      <w:pPr>
        <w:pStyle w:val="P68B1DB1-ListParagraph36"/>
        <w:numPr>
          <w:ilvl w:val="0"/>
          <w:numId w:val="77"/>
        </w:numPr>
        <w:spacing w:after="0" w:line="240" w:lineRule="auto"/>
        <w:ind w:left="1440"/>
        <w:jc w:val="both"/>
        <w:rPr>
          <w:rFonts w:hint="default"/>
          <w:noProof/>
          <w:spacing w:val="-6"/>
          <w:lang w:val="sk-SK"/>
        </w:rPr>
      </w:pPr>
      <w:r w:rsidRPr="00326E55">
        <w:rPr>
          <w:noProof/>
          <w:spacing w:val="-6"/>
          <w:lang w:val="sk-SK"/>
        </w:rPr>
        <w:t xml:space="preserve">Opis monitorovacieho systému </w:t>
      </w:r>
      <w:r w:rsidRPr="00326E55">
        <w:rPr>
          <w:noProof/>
          <w:spacing w:val="-6"/>
          <w:lang w:val="sk-SK"/>
        </w:rPr>
        <w:t>implementujúceho partnera na podávanie správ</w:t>
      </w:r>
      <w:r w:rsidR="00326E55" w:rsidRPr="00326E55">
        <w:rPr>
          <w:noProof/>
          <w:spacing w:val="-6"/>
          <w:lang w:val="sk-SK"/>
        </w:rPr>
        <w:t xml:space="preserve"> o</w:t>
      </w:r>
      <w:r w:rsidR="00326E55" w:rsidRPr="00326E55">
        <w:rPr>
          <w:rFonts w:hint="default"/>
          <w:noProof/>
          <w:spacing w:val="-6"/>
          <w:lang w:val="sk-SK"/>
        </w:rPr>
        <w:t> </w:t>
      </w:r>
      <w:r w:rsidRPr="00326E55">
        <w:rPr>
          <w:noProof/>
          <w:spacing w:val="-6"/>
          <w:lang w:val="sk-SK"/>
        </w:rPr>
        <w:t>mobilizovaných dotáciách.</w:t>
      </w:r>
    </w:p>
    <w:p w14:paraId="0F72094C" w14:textId="068CD6B0" w:rsidR="00326E55" w:rsidRPr="00326E55" w:rsidRDefault="00FB452D">
      <w:pPr>
        <w:pStyle w:val="P68B1DB1-ListParagraph36"/>
        <w:numPr>
          <w:ilvl w:val="0"/>
          <w:numId w:val="77"/>
        </w:numPr>
        <w:spacing w:after="0" w:line="257" w:lineRule="auto"/>
        <w:ind w:left="1440"/>
        <w:jc w:val="both"/>
        <w:rPr>
          <w:rFonts w:hint="default"/>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konfliktom záujmov, ich odhaľovanie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náprava</w:t>
      </w:r>
      <w:r w:rsidR="00326E55" w:rsidRPr="00326E55">
        <w:rPr>
          <w:noProof/>
          <w:spacing w:val="-6"/>
          <w:lang w:val="sk-SK"/>
        </w:rPr>
        <w:t>.</w:t>
      </w:r>
    </w:p>
    <w:p w14:paraId="19D77E8F" w14:textId="26E8A109" w:rsidR="00BF03AA" w:rsidRPr="00326E55" w:rsidRDefault="00FB452D">
      <w:pPr>
        <w:pStyle w:val="P68B1DB1-ListParagraph37"/>
        <w:numPr>
          <w:ilvl w:val="0"/>
          <w:numId w:val="77"/>
        </w:numPr>
        <w:spacing w:after="0" w:line="257" w:lineRule="auto"/>
        <w:ind w:left="1440"/>
        <w:jc w:val="both"/>
        <w:rPr>
          <w:noProof/>
          <w:spacing w:val="-6"/>
          <w:lang w:val="sk-SK"/>
        </w:rPr>
      </w:pPr>
      <w:r w:rsidRPr="00326E55">
        <w:rPr>
          <w:noProof/>
          <w:spacing w:val="-6"/>
          <w:lang w:val="sk-SK"/>
        </w:rPr>
        <w:t xml:space="preserve">Povinnosť overiť oprávnenosť každej </w:t>
      </w:r>
      <w:r w:rsidRPr="00326E55">
        <w:rPr>
          <w:noProof/>
          <w:spacing w:val="-6"/>
          <w:lang w:val="sk-SK"/>
        </w:rPr>
        <w:t>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udelením subvencie na operáciu.</w:t>
      </w:r>
    </w:p>
    <w:p w14:paraId="0E152D6B" w14:textId="1EFC6FA1" w:rsidR="00326E55" w:rsidRPr="00326E55" w:rsidRDefault="00FB452D">
      <w:pPr>
        <w:pStyle w:val="P68B1DB1-ListParagraph37"/>
        <w:numPr>
          <w:ilvl w:val="0"/>
          <w:numId w:val="77"/>
        </w:numPr>
        <w:spacing w:after="0" w:line="240" w:lineRule="auto"/>
        <w:ind w:left="1440"/>
        <w:jc w:val="both"/>
        <w:rPr>
          <w:noProof/>
          <w:spacing w:val="-6"/>
          <w:lang w:val="sk-SK"/>
        </w:rPr>
      </w:pPr>
      <w:r w:rsidRPr="00326E55">
        <w:rPr>
          <w:noProof/>
          <w:spacing w:val="-6"/>
          <w:lang w:val="sk-SK"/>
        </w:rPr>
        <w:t>Povinnosť vykonávať následné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GSE. Týmito auditmi sa overí i) účinnosť systémov kontroly vrátane odhaľ</w:t>
      </w:r>
      <w:r w:rsidRPr="00326E55">
        <w:rPr>
          <w:noProof/>
          <w:spacing w:val="-6"/>
          <w:lang w:val="sk-SK"/>
        </w:rPr>
        <w:t>ovania podvodov, korupcie</w:t>
      </w:r>
      <w:r w:rsidR="00326E55" w:rsidRPr="00326E55">
        <w:rPr>
          <w:noProof/>
          <w:spacing w:val="-6"/>
          <w:lang w:val="sk-SK"/>
        </w:rPr>
        <w:t xml:space="preserve"> a </w:t>
      </w:r>
      <w:r w:rsidRPr="00326E55">
        <w:rPr>
          <w:noProof/>
          <w:spacing w:val="-6"/>
          <w:lang w:val="sk-SK"/>
        </w:rPr>
        <w:t>konfliktu záujmov; II) súlad so zásadou „výrazne nenarušiť“, pravidlami štátnej pomoci, požiadavkami na ciele</w:t>
      </w:r>
      <w:r w:rsidR="00326E55" w:rsidRPr="00326E55">
        <w:rPr>
          <w:noProof/>
          <w:spacing w:val="-6"/>
          <w:lang w:val="sk-SK"/>
        </w:rPr>
        <w:t xml:space="preserve"> v </w:t>
      </w:r>
      <w:r w:rsidRPr="00326E55">
        <w:rPr>
          <w:noProof/>
          <w:spacing w:val="-6"/>
          <w:lang w:val="sk-SK"/>
        </w:rPr>
        <w:t>oblasti klímy;</w:t>
      </w:r>
      <w:r w:rsidR="00326E55" w:rsidRPr="00326E55">
        <w:rPr>
          <w:noProof/>
          <w:spacing w:val="-6"/>
          <w:lang w:val="sk-SK"/>
        </w:rPr>
        <w:t xml:space="preserve"> a </w:t>
      </w:r>
      <w:r w:rsidRPr="00326E55">
        <w:rPr>
          <w:noProof/>
          <w:spacing w:val="-6"/>
          <w:lang w:val="sk-SK"/>
        </w:rPr>
        <w:t>iii) aby sa dodržala požiadavka, aby koneční príjemcovia schémy nedostali podporu</w:t>
      </w:r>
      <w:r w:rsidR="00326E55" w:rsidRPr="00326E55">
        <w:rPr>
          <w:noProof/>
          <w:spacing w:val="-6"/>
          <w:lang w:val="sk-SK"/>
        </w:rPr>
        <w:t xml:space="preserve"> z </w:t>
      </w:r>
      <w:r w:rsidRPr="00326E55">
        <w:rPr>
          <w:noProof/>
          <w:spacing w:val="-6"/>
          <w:lang w:val="sk-SK"/>
        </w:rPr>
        <w:t>iných nástrojov</w:t>
      </w:r>
      <w:r w:rsidRPr="00326E55">
        <w:rPr>
          <w:noProof/>
          <w:spacing w:val="-6"/>
          <w:lang w:val="sk-SK"/>
        </w:rPr>
        <w:t xml:space="preserve"> Únie na pokrytie rovnakých nákladov. Auditom sa takisto overí zákonnosť transakcií</w:t>
      </w:r>
      <w:r w:rsidR="00326E55" w:rsidRPr="00326E55">
        <w:rPr>
          <w:noProof/>
          <w:spacing w:val="-6"/>
          <w:lang w:val="sk-SK"/>
        </w:rPr>
        <w:t xml:space="preserve"> a </w:t>
      </w:r>
      <w:r w:rsidRPr="00326E55">
        <w:rPr>
          <w:noProof/>
          <w:spacing w:val="-6"/>
          <w:lang w:val="sk-SK"/>
        </w:rPr>
        <w:t>dodržiavanie podmienok platných dohôd</w:t>
      </w:r>
      <w:r w:rsidR="00326E55" w:rsidRPr="00326E55">
        <w:rPr>
          <w:noProof/>
          <w:spacing w:val="-6"/>
          <w:lang w:val="sk-SK"/>
        </w:rPr>
        <w:t xml:space="preserve"> o </w:t>
      </w:r>
      <w:r w:rsidRPr="00326E55">
        <w:rPr>
          <w:noProof/>
          <w:spacing w:val="-6"/>
          <w:lang w:val="sk-SK"/>
        </w:rPr>
        <w:t>grante podľa vykonávacej dohody</w:t>
      </w:r>
      <w:r w:rsidR="00326E55" w:rsidRPr="00326E55">
        <w:rPr>
          <w:noProof/>
          <w:spacing w:val="-6"/>
          <w:lang w:val="sk-SK"/>
        </w:rPr>
        <w:t>.</w:t>
      </w:r>
    </w:p>
    <w:p w14:paraId="6075CB16" w14:textId="24DB59EA" w:rsidR="00BF03AA" w:rsidRPr="00326E55" w:rsidRDefault="00FB452D">
      <w:pPr>
        <w:pStyle w:val="P68B1DB1-Normal5"/>
        <w:spacing w:before="120" w:after="120"/>
        <w:jc w:val="both"/>
        <w:rPr>
          <w:bCs/>
          <w:noProof/>
          <w:spacing w:val="-6"/>
          <w:lang w:val="sk-SK"/>
        </w:rPr>
      </w:pPr>
      <w:r w:rsidRPr="00326E55">
        <w:rPr>
          <w:noProof/>
          <w:spacing w:val="-6"/>
          <w:lang w:val="sk-SK"/>
        </w:rPr>
        <w:t>Investícia 2.1 – Posilnenie inteligentných sietí</w:t>
      </w:r>
    </w:p>
    <w:p w14:paraId="21FD05BA" w14:textId="74DC22F0"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modernizácia infraštr</w:t>
      </w:r>
      <w:r w:rsidRPr="00326E55">
        <w:rPr>
          <w:noProof/>
          <w:spacing w:val="-6"/>
          <w:lang w:val="sk-SK"/>
        </w:rPr>
        <w:t>uktúry</w:t>
      </w:r>
      <w:r w:rsidR="00326E55" w:rsidRPr="00326E55">
        <w:rPr>
          <w:noProof/>
          <w:spacing w:val="-6"/>
          <w:lang w:val="sk-SK"/>
        </w:rPr>
        <w:t xml:space="preserve"> a </w:t>
      </w:r>
      <w:r w:rsidRPr="00326E55">
        <w:rPr>
          <w:noProof/>
          <w:spacing w:val="-6"/>
          <w:lang w:val="sk-SK"/>
        </w:rPr>
        <w:t>digitalizácia elektrizačnej distribučnej sústavy. Investícia pozostáva</w:t>
      </w:r>
      <w:r w:rsidR="00326E55" w:rsidRPr="00326E55">
        <w:rPr>
          <w:noProof/>
          <w:spacing w:val="-6"/>
          <w:lang w:val="sk-SK"/>
        </w:rPr>
        <w:t xml:space="preserve"> z </w:t>
      </w:r>
      <w:r w:rsidRPr="00326E55">
        <w:rPr>
          <w:noProof/>
          <w:spacing w:val="-6"/>
          <w:lang w:val="sk-SK"/>
        </w:rPr>
        <w:t>poskytovania grantov prevádzkovateľom distribučných sietí na financovanie intervencií, ktorými sa zvyšuje hostiteľská kapacita distribučnej siete, ako aj kapacita, ktorú majú</w:t>
      </w:r>
      <w:r w:rsidRPr="00326E55">
        <w:rPr>
          <w:noProof/>
          <w:spacing w:val="-6"/>
          <w:lang w:val="sk-SK"/>
        </w:rPr>
        <w:t xml:space="preserve"> domácnosti</w:t>
      </w:r>
      <w:r w:rsidR="00326E55" w:rsidRPr="00326E55">
        <w:rPr>
          <w:noProof/>
          <w:spacing w:val="-6"/>
          <w:lang w:val="sk-SK"/>
        </w:rPr>
        <w:t xml:space="preserve"> k </w:t>
      </w:r>
      <w:r w:rsidRPr="00326E55">
        <w:rPr>
          <w:noProof/>
          <w:spacing w:val="-6"/>
          <w:lang w:val="sk-SK"/>
        </w:rPr>
        <w:t>dispozícii na elektrifikáciu svojej spotreby energie.</w:t>
      </w:r>
    </w:p>
    <w:p w14:paraId="02D17848" w14:textId="77777777" w:rsidR="00BF03AA" w:rsidRPr="00326E55" w:rsidRDefault="00FB452D">
      <w:pPr>
        <w:pStyle w:val="P68B1DB1-Normal5"/>
        <w:spacing w:before="120" w:after="120"/>
        <w:jc w:val="both"/>
        <w:rPr>
          <w:bCs/>
          <w:noProof/>
          <w:spacing w:val="-6"/>
          <w:lang w:val="sk-SK"/>
        </w:rPr>
      </w:pPr>
      <w:r w:rsidRPr="00326E55">
        <w:rPr>
          <w:noProof/>
          <w:spacing w:val="-6"/>
          <w:lang w:val="sk-SK"/>
        </w:rPr>
        <w:t>Investícia 2.2 – Intervencie na zvýšenie odolnosti elektrizačnej sústavy</w:t>
      </w:r>
    </w:p>
    <w:p w14:paraId="39000F1D" w14:textId="64A59951"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zlepšiť odolnosť elektrizačnej sústavy voči extrémnym poveternostným javom, čím sa zníži</w:t>
      </w:r>
      <w:r w:rsidRPr="00326E55">
        <w:rPr>
          <w:noProof/>
          <w:spacing w:val="-6"/>
          <w:lang w:val="sk-SK"/>
        </w:rPr>
        <w:t xml:space="preserve"> pravdepodobnosť dlhotrvajúcich prerušení dodávok elektriny. Investícia pozostáva</w:t>
      </w:r>
      <w:r w:rsidR="00326E55" w:rsidRPr="00326E55">
        <w:rPr>
          <w:noProof/>
          <w:spacing w:val="-6"/>
          <w:lang w:val="sk-SK"/>
        </w:rPr>
        <w:t xml:space="preserve"> z </w:t>
      </w:r>
      <w:r w:rsidRPr="00326E55">
        <w:rPr>
          <w:noProof/>
          <w:spacing w:val="-6"/>
          <w:lang w:val="sk-SK"/>
        </w:rPr>
        <w:t>poskytovania grantov prevádzkovateľom prenosových</w:t>
      </w:r>
      <w:r w:rsidR="00326E55" w:rsidRPr="00326E55">
        <w:rPr>
          <w:noProof/>
          <w:spacing w:val="-6"/>
          <w:lang w:val="sk-SK"/>
        </w:rPr>
        <w:t xml:space="preserve"> a </w:t>
      </w:r>
      <w:r w:rsidRPr="00326E55">
        <w:rPr>
          <w:noProof/>
          <w:spacing w:val="-6"/>
          <w:lang w:val="sk-SK"/>
        </w:rPr>
        <w:t>distribučných sústav na práce na elektrickej infraštruktúre.</w:t>
      </w:r>
    </w:p>
    <w:p w14:paraId="5250A4C7" w14:textId="4C4F06BB" w:rsidR="00BF03AA" w:rsidRPr="00326E55" w:rsidRDefault="00FB452D">
      <w:pPr>
        <w:pStyle w:val="P68B1DB1-Normal5"/>
        <w:rPr>
          <w:noProof/>
          <w:spacing w:val="-6"/>
          <w:lang w:val="sk-SK"/>
        </w:rPr>
      </w:pPr>
      <w:r w:rsidRPr="00326E55">
        <w:rPr>
          <w:noProof/>
          <w:spacing w:val="-6"/>
          <w:lang w:val="sk-SK"/>
        </w:rPr>
        <w:t>Investícia 3.1 – Výroba vodíka</w:t>
      </w:r>
      <w:r w:rsidR="00326E55" w:rsidRPr="00326E55">
        <w:rPr>
          <w:noProof/>
          <w:spacing w:val="-6"/>
          <w:lang w:val="sk-SK"/>
        </w:rPr>
        <w:t xml:space="preserve"> v </w:t>
      </w:r>
      <w:r w:rsidRPr="00326E55">
        <w:rPr>
          <w:noProof/>
          <w:spacing w:val="-6"/>
          <w:lang w:val="sk-SK"/>
        </w:rPr>
        <w:t>opustených priemyselných a</w:t>
      </w:r>
      <w:r w:rsidRPr="00326E55">
        <w:rPr>
          <w:noProof/>
          <w:spacing w:val="-6"/>
          <w:lang w:val="sk-SK"/>
        </w:rPr>
        <w:t>reáloch (vodíkové údolia)</w:t>
      </w:r>
    </w:p>
    <w:p w14:paraId="7CE42225" w14:textId="25A7245E" w:rsidR="00326E55" w:rsidRPr="00326E55" w:rsidRDefault="00FB452D">
      <w:pPr>
        <w:pStyle w:val="P68B1DB1-Normal7"/>
        <w:spacing w:before="120" w:after="120"/>
        <w:jc w:val="both"/>
        <w:rPr>
          <w:noProof/>
          <w:spacing w:val="-6"/>
          <w:lang w:val="sk-SK"/>
        </w:rPr>
      </w:pPr>
      <w:r w:rsidRPr="00326E55">
        <w:rPr>
          <w:noProof/>
          <w:spacing w:val="-6"/>
          <w:lang w:val="sk-SK"/>
        </w:rPr>
        <w:t>Cieľom tejto investície je vytvoriť nové vodíkové údolia, t. j. miestnu výrobu</w:t>
      </w:r>
      <w:r w:rsidR="00326E55" w:rsidRPr="00326E55">
        <w:rPr>
          <w:noProof/>
          <w:spacing w:val="-6"/>
          <w:lang w:val="sk-SK"/>
        </w:rPr>
        <w:t xml:space="preserve"> a </w:t>
      </w:r>
      <w:r w:rsidRPr="00326E55">
        <w:rPr>
          <w:noProof/>
          <w:spacing w:val="-6"/>
          <w:lang w:val="sk-SK"/>
        </w:rPr>
        <w:t>využívanie vodíka</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v </w:t>
      </w:r>
      <w:r w:rsidRPr="00326E55">
        <w:rPr>
          <w:noProof/>
          <w:spacing w:val="-6"/>
          <w:lang w:val="sk-SK"/>
        </w:rPr>
        <w:t>priemysle, MSP</w:t>
      </w:r>
      <w:r w:rsidR="00326E55" w:rsidRPr="00326E55">
        <w:rPr>
          <w:noProof/>
          <w:spacing w:val="-6"/>
          <w:lang w:val="sk-SK"/>
        </w:rPr>
        <w:t xml:space="preserve"> a </w:t>
      </w:r>
      <w:r w:rsidRPr="00326E55">
        <w:rPr>
          <w:noProof/>
          <w:spacing w:val="-6"/>
          <w:lang w:val="sk-SK"/>
        </w:rPr>
        <w:t>miestnej doprave. Investícia pozostáva</w:t>
      </w:r>
      <w:r w:rsidR="00326E55" w:rsidRPr="00326E55">
        <w:rPr>
          <w:noProof/>
          <w:spacing w:val="-6"/>
          <w:lang w:val="sk-SK"/>
        </w:rPr>
        <w:t xml:space="preserve"> z </w:t>
      </w:r>
      <w:r w:rsidRPr="00326E55">
        <w:rPr>
          <w:noProof/>
          <w:spacing w:val="-6"/>
          <w:lang w:val="sk-SK"/>
        </w:rPr>
        <w:t>poskytovania grantov na realizáciu projektov na</w:t>
      </w:r>
      <w:r w:rsidRPr="00326E55">
        <w:rPr>
          <w:noProof/>
          <w:spacing w:val="-6"/>
          <w:lang w:val="sk-SK"/>
        </w:rPr>
        <w:t xml:space="preserve"> výrobu vodíka</w:t>
      </w:r>
      <w:r w:rsidR="00326E55" w:rsidRPr="00326E55">
        <w:rPr>
          <w:noProof/>
          <w:spacing w:val="-6"/>
          <w:lang w:val="sk-SK"/>
        </w:rPr>
        <w:t xml:space="preserve"> v </w:t>
      </w:r>
      <w:r w:rsidRPr="00326E55">
        <w:rPr>
          <w:noProof/>
          <w:spacing w:val="-6"/>
          <w:lang w:val="sk-SK"/>
        </w:rPr>
        <w:t>opustených priemyselných oblastiach</w:t>
      </w:r>
      <w:r w:rsidR="00326E55" w:rsidRPr="00326E55">
        <w:rPr>
          <w:noProof/>
          <w:spacing w:val="-6"/>
          <w:lang w:val="sk-SK"/>
        </w:rPr>
        <w:t>.</w:t>
      </w:r>
    </w:p>
    <w:p w14:paraId="551D6E6B" w14:textId="1F3382A1" w:rsidR="00BF03AA" w:rsidRPr="00326E55" w:rsidRDefault="00FB452D">
      <w:pPr>
        <w:pStyle w:val="P68B1DB1-Normal5"/>
        <w:spacing w:before="120" w:after="120"/>
        <w:jc w:val="both"/>
        <w:rPr>
          <w:bCs/>
          <w:noProof/>
          <w:spacing w:val="-6"/>
          <w:lang w:val="sk-SK"/>
        </w:rPr>
      </w:pPr>
      <w:r w:rsidRPr="00326E55">
        <w:rPr>
          <w:noProof/>
          <w:spacing w:val="-6"/>
          <w:lang w:val="sk-SK"/>
        </w:rPr>
        <w:t>Investícia 3.2 – Využívanie vodíka</w:t>
      </w:r>
      <w:r w:rsidR="00326E55" w:rsidRPr="00326E55">
        <w:rPr>
          <w:noProof/>
          <w:spacing w:val="-6"/>
          <w:lang w:val="sk-SK"/>
        </w:rPr>
        <w:t xml:space="preserve"> v </w:t>
      </w:r>
      <w:r w:rsidRPr="00326E55">
        <w:rPr>
          <w:noProof/>
          <w:spacing w:val="-6"/>
          <w:lang w:val="sk-SK"/>
        </w:rPr>
        <w:t>ťažko dekarbonizovateľných priemyselných odvetviach</w:t>
      </w:r>
    </w:p>
    <w:p w14:paraId="0D6EC93D" w14:textId="44397E9C" w:rsidR="00326E55" w:rsidRPr="00326E55" w:rsidRDefault="00FB452D">
      <w:pPr>
        <w:pStyle w:val="P68B1DB1-Normal7"/>
        <w:spacing w:before="120" w:after="120"/>
        <w:jc w:val="both"/>
        <w:rPr>
          <w:noProof/>
          <w:spacing w:val="-6"/>
          <w:lang w:val="sk-SK"/>
        </w:rPr>
      </w:pPr>
      <w:r w:rsidRPr="00326E55">
        <w:rPr>
          <w:noProof/>
          <w:spacing w:val="-6"/>
          <w:lang w:val="sk-SK"/>
        </w:rPr>
        <w:t>Táto investícia pozostáva</w:t>
      </w:r>
      <w:r w:rsidR="00326E55" w:rsidRPr="00326E55">
        <w:rPr>
          <w:noProof/>
          <w:spacing w:val="-6"/>
          <w:lang w:val="sk-SK"/>
        </w:rPr>
        <w:t xml:space="preserve"> z </w:t>
      </w:r>
      <w:r w:rsidRPr="00326E55">
        <w:rPr>
          <w:noProof/>
          <w:spacing w:val="-6"/>
          <w:lang w:val="sk-SK"/>
        </w:rPr>
        <w:t>podpory výskumu, vývoja</w:t>
      </w:r>
      <w:r w:rsidR="00326E55" w:rsidRPr="00326E55">
        <w:rPr>
          <w:noProof/>
          <w:spacing w:val="-6"/>
          <w:lang w:val="sk-SK"/>
        </w:rPr>
        <w:t xml:space="preserve"> a </w:t>
      </w:r>
      <w:r w:rsidRPr="00326E55">
        <w:rPr>
          <w:noProof/>
          <w:spacing w:val="-6"/>
          <w:lang w:val="sk-SK"/>
        </w:rPr>
        <w:t>inovácií</w:t>
      </w:r>
      <w:r w:rsidR="00326E55" w:rsidRPr="00326E55">
        <w:rPr>
          <w:noProof/>
          <w:spacing w:val="-6"/>
          <w:lang w:val="sk-SK"/>
        </w:rPr>
        <w:t xml:space="preserve"> v </w:t>
      </w:r>
      <w:r w:rsidRPr="00326E55">
        <w:rPr>
          <w:noProof/>
          <w:spacing w:val="-6"/>
          <w:lang w:val="sk-SK"/>
        </w:rPr>
        <w:t>oblasti priemyselných procesov</w:t>
      </w:r>
      <w:r w:rsidR="00326E55" w:rsidRPr="00326E55">
        <w:rPr>
          <w:noProof/>
          <w:spacing w:val="-6"/>
          <w:lang w:val="sk-SK"/>
        </w:rPr>
        <w:t xml:space="preserve"> s </w:t>
      </w:r>
      <w:r w:rsidRPr="00326E55">
        <w:rPr>
          <w:noProof/>
          <w:spacing w:val="-6"/>
          <w:lang w:val="sk-SK"/>
        </w:rPr>
        <w:t xml:space="preserve">cieľom vyvinúť </w:t>
      </w:r>
      <w:r w:rsidRPr="00326E55">
        <w:rPr>
          <w:noProof/>
          <w:spacing w:val="-6"/>
          <w:lang w:val="sk-SK"/>
        </w:rPr>
        <w:t>iniciatívy na využívanie vodíka</w:t>
      </w:r>
      <w:r w:rsidR="00326E55" w:rsidRPr="00326E55">
        <w:rPr>
          <w:noProof/>
          <w:spacing w:val="-6"/>
          <w:lang w:val="sk-SK"/>
        </w:rPr>
        <w:t xml:space="preserve"> v </w:t>
      </w:r>
      <w:r w:rsidRPr="00326E55">
        <w:rPr>
          <w:noProof/>
          <w:spacing w:val="-6"/>
          <w:lang w:val="sk-SK"/>
        </w:rPr>
        <w:t>priemyselných odvetviach, ktoré využívajú metán ako zdroj energie pre tepelnú energiu (cement, papierne, keramický priemysel, sklársky priemysel atď.). Odvetvie fosílnych palív, ako sú ropné rafinérie, nie je oprávnené. Tý</w:t>
      </w:r>
      <w:r w:rsidRPr="00326E55">
        <w:rPr>
          <w:noProof/>
          <w:spacing w:val="-6"/>
          <w:lang w:val="sk-SK"/>
        </w:rPr>
        <w:t>mto opatrením sa podporuje výroba vodíka založená na elektrolýze</w:t>
      </w:r>
      <w:r w:rsidR="00326E55" w:rsidRPr="00326E55">
        <w:rPr>
          <w:noProof/>
          <w:spacing w:val="-6"/>
          <w:lang w:val="sk-SK"/>
        </w:rPr>
        <w:t xml:space="preserve"> s </w:t>
      </w:r>
      <w:r w:rsidRPr="00326E55">
        <w:rPr>
          <w:noProof/>
          <w:spacing w:val="-6"/>
          <w:lang w:val="sk-SK"/>
        </w:rPr>
        <w:t>využitím obnoviteľných zdrojov energie, ako sa vymedzuje</w:t>
      </w:r>
      <w:r w:rsidR="00326E55" w:rsidRPr="00326E55">
        <w:rPr>
          <w:noProof/>
          <w:spacing w:val="-6"/>
          <w:lang w:val="sk-SK"/>
        </w:rPr>
        <w:t xml:space="preserve"> v </w:t>
      </w:r>
      <w:r w:rsidRPr="00326E55">
        <w:rPr>
          <w:noProof/>
          <w:spacing w:val="-6"/>
          <w:lang w:val="sk-SK"/>
        </w:rPr>
        <w:t>smernici (EÚ) 2018/2001 (smernica</w:t>
      </w:r>
      <w:r w:rsidR="00326E55" w:rsidRPr="00326E55">
        <w:rPr>
          <w:noProof/>
          <w:spacing w:val="-6"/>
          <w:lang w:val="sk-SK"/>
        </w:rPr>
        <w:t xml:space="preserve"> o </w:t>
      </w:r>
      <w:r w:rsidRPr="00326E55">
        <w:rPr>
          <w:noProof/>
          <w:spacing w:val="-6"/>
          <w:lang w:val="sk-SK"/>
        </w:rPr>
        <w:t>obnoviteľných zdrojoch energie), alebo elektriny zo siete</w:t>
      </w:r>
      <w:r w:rsidR="00326E55" w:rsidRPr="00326E55">
        <w:rPr>
          <w:noProof/>
          <w:spacing w:val="-6"/>
          <w:lang w:val="sk-SK"/>
        </w:rPr>
        <w:t>.</w:t>
      </w:r>
    </w:p>
    <w:p w14:paraId="6232655E" w14:textId="5CEFD4AF" w:rsidR="00BF03AA" w:rsidRPr="00326E55" w:rsidRDefault="00FB452D">
      <w:pPr>
        <w:pStyle w:val="P68B1DB1-Normal7"/>
        <w:spacing w:before="120" w:after="120"/>
        <w:jc w:val="both"/>
        <w:rPr>
          <w:noProof/>
          <w:spacing w:val="-6"/>
          <w:lang w:val="sk-SK"/>
        </w:rPr>
      </w:pPr>
      <w:r w:rsidRPr="00326E55">
        <w:rPr>
          <w:noProof/>
          <w:spacing w:val="-6"/>
          <w:lang w:val="sk-SK"/>
        </w:rPr>
        <w:t xml:space="preserve">S cieľom zabezpečiť, aby opatrenie </w:t>
      </w:r>
      <w:r w:rsidRPr="00326E55">
        <w:rPr>
          <w:noProof/>
          <w:spacing w:val="-6"/>
          <w:lang w:val="sk-SK"/>
        </w:rPr>
        <w:t>bolo</w:t>
      </w:r>
      <w:r w:rsidR="00326E55" w:rsidRPr="00326E55">
        <w:rPr>
          <w:noProof/>
          <w:spacing w:val="-6"/>
          <w:lang w:val="sk-SK"/>
        </w:rPr>
        <w:t xml:space="preserve"> v </w:t>
      </w:r>
      <w:r w:rsidRPr="00326E55">
        <w:rPr>
          <w:noProof/>
          <w:spacing w:val="-6"/>
          <w:lang w:val="sk-SK"/>
        </w:rPr>
        <w:t>súlade so zásadou „výrazne nenarušiť“ podľa Mechanizmu na podporu obnovy</w:t>
      </w:r>
      <w:r w:rsidR="00326E55" w:rsidRPr="00326E55">
        <w:rPr>
          <w:noProof/>
          <w:spacing w:val="-6"/>
          <w:lang w:val="sk-SK"/>
        </w:rPr>
        <w:t xml:space="preserve"> a </w:t>
      </w:r>
      <w:r w:rsidRPr="00326E55">
        <w:rPr>
          <w:noProof/>
          <w:spacing w:val="-6"/>
          <w:lang w:val="sk-SK"/>
        </w:rPr>
        <w:t>odolnosti, ako sa stanovuje</w:t>
      </w:r>
      <w:r w:rsidR="00326E55" w:rsidRPr="00326E55">
        <w:rPr>
          <w:noProof/>
          <w:spacing w:val="-6"/>
          <w:lang w:val="sk-SK"/>
        </w:rPr>
        <w:t xml:space="preserve"> v </w:t>
      </w:r>
      <w:r w:rsidRPr="00326E55">
        <w:rPr>
          <w:noProof/>
          <w:spacing w:val="-6"/>
          <w:lang w:val="sk-SK"/>
        </w:rPr>
        <w:t>technickom usmernení</w:t>
      </w:r>
      <w:r w:rsidR="00326E55" w:rsidRPr="00326E55">
        <w:rPr>
          <w:noProof/>
          <w:spacing w:val="-6"/>
          <w:lang w:val="sk-SK"/>
        </w:rPr>
        <w:t xml:space="preserve"> k </w:t>
      </w:r>
      <w:r w:rsidRPr="00326E55">
        <w:rPr>
          <w:noProof/>
          <w:spacing w:val="-6"/>
          <w:lang w:val="sk-SK"/>
        </w:rPr>
        <w:t>zásade „výrazne nenarušiť“ (2021/C58/01), kritériá oprávnenosti</w:t>
      </w:r>
      <w:r w:rsidR="00326E55" w:rsidRPr="00326E55">
        <w:rPr>
          <w:noProof/>
          <w:spacing w:val="-6"/>
          <w:lang w:val="sk-SK"/>
        </w:rPr>
        <w:t xml:space="preserve"> v </w:t>
      </w:r>
      <w:r w:rsidRPr="00326E55">
        <w:rPr>
          <w:noProof/>
          <w:spacing w:val="-6"/>
          <w:lang w:val="sk-SK"/>
        </w:rPr>
        <w:t>nadchádzajúcich výzvach nezahŕňajú činnosti</w:t>
      </w:r>
      <w:r w:rsidR="00326E55" w:rsidRPr="00326E55">
        <w:rPr>
          <w:noProof/>
          <w:spacing w:val="-6"/>
          <w:lang w:val="sk-SK"/>
        </w:rPr>
        <w:t xml:space="preserve"> v </w:t>
      </w:r>
      <w:r w:rsidRPr="00326E55">
        <w:rPr>
          <w:noProof/>
          <w:spacing w:val="-6"/>
          <w:lang w:val="sk-SK"/>
        </w:rPr>
        <w:t>rámci sys</w:t>
      </w:r>
      <w:r w:rsidRPr="00326E55">
        <w:rPr>
          <w:noProof/>
          <w:spacing w:val="-6"/>
          <w:lang w:val="sk-SK"/>
        </w:rPr>
        <w:t>tému EÚ na obchodovanie</w:t>
      </w:r>
      <w:r w:rsidR="00326E55" w:rsidRPr="00326E55">
        <w:rPr>
          <w:noProof/>
          <w:spacing w:val="-6"/>
          <w:lang w:val="sk-SK"/>
        </w:rPr>
        <w:t xml:space="preserve"> s </w:t>
      </w:r>
      <w:r w:rsidRPr="00326E55">
        <w:rPr>
          <w:noProof/>
          <w:spacing w:val="-6"/>
          <w:lang w:val="sk-SK"/>
        </w:rPr>
        <w:t>emisiami (ETS), ktorými sa dosahujú predpokladané emisie skleníkových plynov, ktoré nie sú nižšie ako príslušné referenčné hodnoty. Ak sa činnosťou dosiahnu predpokladané emisie skleníkových plynov, ktoré nie sú výrazne nižšie, al</w:t>
      </w:r>
      <w:r w:rsidRPr="00326E55">
        <w:rPr>
          <w:noProof/>
          <w:spacing w:val="-6"/>
          <w:lang w:val="sk-SK"/>
        </w:rPr>
        <w:t>e stále nižšie ako príslušné referenčné hodnoty, poskytne sa vysvetlenie dôvodov, prečo to nie je možné. Referenčné hodnoty stanovené pre bezodplatné prideľovanie kvót pre činnosti, ktoré patria do rozsahu pôsobnosti systému obchodovania</w:t>
      </w:r>
      <w:r w:rsidR="00326E55" w:rsidRPr="00326E55">
        <w:rPr>
          <w:noProof/>
          <w:spacing w:val="-6"/>
          <w:lang w:val="sk-SK"/>
        </w:rPr>
        <w:t xml:space="preserve"> s </w:t>
      </w:r>
      <w:r w:rsidRPr="00326E55">
        <w:rPr>
          <w:noProof/>
          <w:spacing w:val="-6"/>
          <w:lang w:val="sk-SK"/>
        </w:rPr>
        <w:t>emisiami, ako sa</w:t>
      </w:r>
      <w:r w:rsidRPr="00326E55">
        <w:rPr>
          <w:noProof/>
          <w:spacing w:val="-6"/>
          <w:lang w:val="sk-SK"/>
        </w:rPr>
        <w:t xml:space="preserve"> stanovuje vo vykonávacom nariadení Komisie (EÚ) 2021/447.</w:t>
      </w:r>
    </w:p>
    <w:p w14:paraId="4267BDE9" w14:textId="79EF03CC" w:rsidR="00BF03AA" w:rsidRPr="00326E55" w:rsidRDefault="00FB452D">
      <w:pPr>
        <w:pStyle w:val="P68B1DB1-Normal5"/>
        <w:spacing w:before="120" w:after="120"/>
        <w:jc w:val="both"/>
        <w:rPr>
          <w:bCs/>
          <w:noProof/>
          <w:spacing w:val="-6"/>
          <w:lang w:val="sk-SK"/>
        </w:rPr>
      </w:pPr>
      <w:r w:rsidRPr="00326E55">
        <w:rPr>
          <w:noProof/>
          <w:spacing w:val="-6"/>
          <w:lang w:val="sk-SK"/>
        </w:rPr>
        <w:t>Investícia 3.4 – Testovanie vodíka pre železničnú mobilitu</w:t>
      </w:r>
      <w:r w:rsidR="00326E55" w:rsidRPr="00326E55">
        <w:rPr>
          <w:noProof/>
          <w:spacing w:val="-6"/>
          <w:lang w:val="sk-SK"/>
        </w:rPr>
        <w:t xml:space="preserve"> a </w:t>
      </w:r>
      <w:r w:rsidRPr="00326E55">
        <w:rPr>
          <w:noProof/>
          <w:spacing w:val="-6"/>
          <w:lang w:val="sk-SK"/>
        </w:rPr>
        <w:t>cestnú dopravu</w:t>
      </w:r>
    </w:p>
    <w:p w14:paraId="7E1FC238" w14:textId="0ACE6A6A" w:rsidR="00326E55" w:rsidRPr="00326E55" w:rsidRDefault="00FB452D">
      <w:pPr>
        <w:pStyle w:val="P68B1DB1-Normal66"/>
        <w:spacing w:before="120" w:after="120"/>
        <w:jc w:val="both"/>
        <w:rPr>
          <w:noProof/>
          <w:spacing w:val="-6"/>
          <w:lang w:val="sk-SK"/>
        </w:rPr>
      </w:pPr>
      <w:r w:rsidRPr="00326E55">
        <w:rPr>
          <w:noProof/>
          <w:spacing w:val="-6"/>
          <w:lang w:val="sk-SK"/>
        </w:rPr>
        <w:t>Cieľom tejto investície je prispieť</w:t>
      </w:r>
      <w:r w:rsidR="00326E55" w:rsidRPr="00326E55">
        <w:rPr>
          <w:noProof/>
          <w:spacing w:val="-6"/>
          <w:lang w:val="sk-SK"/>
        </w:rPr>
        <w:t xml:space="preserve"> k </w:t>
      </w:r>
      <w:r w:rsidRPr="00326E55">
        <w:rPr>
          <w:noProof/>
          <w:spacing w:val="-6"/>
          <w:lang w:val="sk-SK"/>
        </w:rPr>
        <w:t>využívaniu vodíka na účely čerpania paliva</w:t>
      </w:r>
      <w:r w:rsidR="00326E55" w:rsidRPr="00326E55">
        <w:rPr>
          <w:noProof/>
          <w:spacing w:val="-6"/>
          <w:lang w:val="sk-SK"/>
        </w:rPr>
        <w:t>.</w:t>
      </w:r>
    </w:p>
    <w:p w14:paraId="4EFB6650" w14:textId="5DD2D254" w:rsidR="00BF03AA" w:rsidRPr="00326E55" w:rsidRDefault="00FB452D">
      <w:pPr>
        <w:pStyle w:val="P68B1DB1-Normal7"/>
        <w:spacing w:before="120" w:after="120"/>
        <w:jc w:val="both"/>
        <w:rPr>
          <w:noProof/>
          <w:spacing w:val="-6"/>
          <w:lang w:val="sk-SK"/>
        </w:rPr>
      </w:pPr>
      <w:r w:rsidRPr="00326E55">
        <w:rPr>
          <w:noProof/>
          <w:spacing w:val="-6"/>
          <w:lang w:val="sk-SK"/>
        </w:rPr>
        <w:t>Táto investícia pozostáva</w:t>
      </w:r>
      <w:r w:rsidR="00326E55" w:rsidRPr="00326E55">
        <w:rPr>
          <w:noProof/>
          <w:spacing w:val="-6"/>
          <w:lang w:val="sk-SK"/>
        </w:rPr>
        <w:t xml:space="preserve"> z </w:t>
      </w:r>
      <w:r w:rsidRPr="00326E55">
        <w:rPr>
          <w:noProof/>
          <w:spacing w:val="-6"/>
          <w:lang w:val="sk-SK"/>
        </w:rPr>
        <w:t>výstavby ž</w:t>
      </w:r>
      <w:r w:rsidRPr="00326E55">
        <w:rPr>
          <w:noProof/>
          <w:spacing w:val="-6"/>
          <w:lang w:val="sk-SK"/>
        </w:rPr>
        <w:t>elezničných čerpacích staníc založených na vodíku, ktoré sa majú podľa možnosti nachádzať</w:t>
      </w:r>
      <w:r w:rsidR="00326E55" w:rsidRPr="00326E55">
        <w:rPr>
          <w:noProof/>
          <w:spacing w:val="-6"/>
          <w:lang w:val="sk-SK"/>
        </w:rPr>
        <w:t xml:space="preserve"> v </w:t>
      </w:r>
      <w:r w:rsidRPr="00326E55">
        <w:rPr>
          <w:noProof/>
          <w:spacing w:val="-6"/>
          <w:lang w:val="sk-SK"/>
        </w:rPr>
        <w:t>blízkosti miestnych miest na výrobu vodíka</w:t>
      </w:r>
      <w:r w:rsidR="00326E55" w:rsidRPr="00326E55">
        <w:rPr>
          <w:noProof/>
          <w:spacing w:val="-6"/>
          <w:lang w:val="sk-SK"/>
        </w:rPr>
        <w:t xml:space="preserve"> z </w:t>
      </w:r>
      <w:r w:rsidRPr="00326E55">
        <w:rPr>
          <w:noProof/>
          <w:spacing w:val="-6"/>
          <w:lang w:val="sk-SK"/>
        </w:rPr>
        <w:t>obnoviteľných zdrojov a/alebo diaľničných vodíkových čerpacích staníc,</w:t>
      </w:r>
      <w:r w:rsidR="00326E55" w:rsidRPr="00326E55">
        <w:rPr>
          <w:noProof/>
          <w:spacing w:val="-6"/>
          <w:lang w:val="sk-SK"/>
        </w:rPr>
        <w:t xml:space="preserve"> a </w:t>
      </w:r>
      <w:r w:rsidRPr="00326E55">
        <w:rPr>
          <w:noProof/>
          <w:spacing w:val="-6"/>
          <w:lang w:val="sk-SK"/>
        </w:rPr>
        <w:t>vodíkových čerpacích staníc pre cestnú dopravu</w:t>
      </w:r>
      <w:r w:rsidRPr="00326E55">
        <w:rPr>
          <w:noProof/>
          <w:spacing w:val="-6"/>
          <w:lang w:val="sk-SK"/>
        </w:rPr>
        <w:t>.</w:t>
      </w:r>
    </w:p>
    <w:p w14:paraId="1D90F6D0" w14:textId="3A888433" w:rsidR="00BF03AA" w:rsidRPr="00326E55" w:rsidRDefault="00FB452D">
      <w:pPr>
        <w:pStyle w:val="P68B1DB1-Normal5"/>
        <w:spacing w:before="120" w:after="120" w:line="278" w:lineRule="auto"/>
        <w:jc w:val="both"/>
        <w:rPr>
          <w:bCs/>
          <w:noProof/>
          <w:spacing w:val="-6"/>
          <w:lang w:val="sk-SK"/>
        </w:rPr>
      </w:pPr>
      <w:r w:rsidRPr="00326E55">
        <w:rPr>
          <w:noProof/>
          <w:spacing w:val="-6"/>
          <w:lang w:val="sk-SK"/>
        </w:rPr>
        <w:t>Investícia 3.5 – Výskum</w:t>
      </w:r>
      <w:r w:rsidR="00326E55" w:rsidRPr="00326E55">
        <w:rPr>
          <w:noProof/>
          <w:spacing w:val="-6"/>
          <w:lang w:val="sk-SK"/>
        </w:rPr>
        <w:t xml:space="preserve"> a </w:t>
      </w:r>
      <w:r w:rsidRPr="00326E55">
        <w:rPr>
          <w:noProof/>
          <w:spacing w:val="-6"/>
          <w:lang w:val="sk-SK"/>
        </w:rPr>
        <w:t>vývoj</w:t>
      </w:r>
      <w:r w:rsidR="00326E55" w:rsidRPr="00326E55">
        <w:rPr>
          <w:noProof/>
          <w:spacing w:val="-6"/>
          <w:lang w:val="sk-SK"/>
        </w:rPr>
        <w:t xml:space="preserve"> v </w:t>
      </w:r>
      <w:r w:rsidRPr="00326E55">
        <w:rPr>
          <w:noProof/>
          <w:spacing w:val="-6"/>
          <w:lang w:val="sk-SK"/>
        </w:rPr>
        <w:t>oblasti vodíka</w:t>
      </w:r>
    </w:p>
    <w:p w14:paraId="54B7C050" w14:textId="5E70B580" w:rsidR="00326E55" w:rsidRPr="00326E55" w:rsidRDefault="00FB452D">
      <w:pPr>
        <w:pStyle w:val="P68B1DB1-Normal7"/>
        <w:spacing w:before="120" w:after="120" w:line="278" w:lineRule="auto"/>
        <w:jc w:val="both"/>
        <w:rPr>
          <w:noProof/>
          <w:spacing w:val="-6"/>
          <w:lang w:val="sk-SK"/>
        </w:rPr>
      </w:pPr>
      <w:r w:rsidRPr="00326E55">
        <w:rPr>
          <w:noProof/>
          <w:spacing w:val="-6"/>
          <w:lang w:val="sk-SK"/>
        </w:rPr>
        <w:t>Cieľom tejto investície je podporiť výskum</w:t>
      </w:r>
      <w:r w:rsidR="00326E55" w:rsidRPr="00326E55">
        <w:rPr>
          <w:noProof/>
          <w:spacing w:val="-6"/>
          <w:lang w:val="sk-SK"/>
        </w:rPr>
        <w:t xml:space="preserve"> a </w:t>
      </w:r>
      <w:r w:rsidRPr="00326E55">
        <w:rPr>
          <w:noProof/>
          <w:spacing w:val="-6"/>
          <w:lang w:val="sk-SK"/>
        </w:rPr>
        <w:t>vývoj</w:t>
      </w:r>
      <w:r w:rsidR="00326E55" w:rsidRPr="00326E55">
        <w:rPr>
          <w:noProof/>
          <w:spacing w:val="-6"/>
          <w:lang w:val="sk-SK"/>
        </w:rPr>
        <w:t xml:space="preserve"> v </w:t>
      </w:r>
      <w:r w:rsidRPr="00326E55">
        <w:rPr>
          <w:noProof/>
          <w:spacing w:val="-6"/>
          <w:lang w:val="sk-SK"/>
        </w:rPr>
        <w:t>celom hodnotovom reťazci vodíka. Investícia pozostáva</w:t>
      </w:r>
      <w:r w:rsidR="00326E55" w:rsidRPr="00326E55">
        <w:rPr>
          <w:noProof/>
          <w:spacing w:val="-6"/>
          <w:lang w:val="sk-SK"/>
        </w:rPr>
        <w:t xml:space="preserve"> z </w:t>
      </w:r>
      <w:r w:rsidRPr="00326E55">
        <w:rPr>
          <w:noProof/>
          <w:spacing w:val="-6"/>
          <w:lang w:val="sk-SK"/>
        </w:rPr>
        <w:t>podpory projektov výskumu</w:t>
      </w:r>
      <w:r w:rsidR="00326E55" w:rsidRPr="00326E55">
        <w:rPr>
          <w:noProof/>
          <w:spacing w:val="-6"/>
          <w:lang w:val="sk-SK"/>
        </w:rPr>
        <w:t xml:space="preserve"> a </w:t>
      </w:r>
      <w:r w:rsidRPr="00326E55">
        <w:rPr>
          <w:noProof/>
          <w:spacing w:val="-6"/>
          <w:lang w:val="sk-SK"/>
        </w:rPr>
        <w:t>vývoja vodíka týkajúcich sa výroby ekologického vodíka, skladovania,</w:t>
      </w:r>
      <w:r w:rsidRPr="00326E55">
        <w:rPr>
          <w:noProof/>
          <w:spacing w:val="-6"/>
          <w:lang w:val="sk-SK"/>
        </w:rPr>
        <w:t xml:space="preserve"> prepravy</w:t>
      </w:r>
      <w:r w:rsidR="00326E55" w:rsidRPr="00326E55">
        <w:rPr>
          <w:noProof/>
          <w:spacing w:val="-6"/>
          <w:lang w:val="sk-SK"/>
        </w:rPr>
        <w:t xml:space="preserve"> a </w:t>
      </w:r>
      <w:r w:rsidRPr="00326E55">
        <w:rPr>
          <w:noProof/>
          <w:spacing w:val="-6"/>
          <w:lang w:val="sk-SK"/>
        </w:rPr>
        <w:t>transformácie na deriváty</w:t>
      </w:r>
      <w:r w:rsidR="00326E55" w:rsidRPr="00326E55">
        <w:rPr>
          <w:noProof/>
          <w:spacing w:val="-6"/>
          <w:lang w:val="sk-SK"/>
        </w:rPr>
        <w:t xml:space="preserve"> a </w:t>
      </w:r>
      <w:r w:rsidRPr="00326E55">
        <w:rPr>
          <w:noProof/>
          <w:spacing w:val="-6"/>
          <w:lang w:val="sk-SK"/>
        </w:rPr>
        <w:t>e-palivá, palivové články</w:t>
      </w:r>
      <w:r w:rsidR="00326E55" w:rsidRPr="00326E55">
        <w:rPr>
          <w:noProof/>
          <w:spacing w:val="-6"/>
          <w:lang w:val="sk-SK"/>
        </w:rPr>
        <w:t xml:space="preserve"> a </w:t>
      </w:r>
      <w:r w:rsidRPr="00326E55">
        <w:rPr>
          <w:noProof/>
          <w:spacing w:val="-6"/>
          <w:lang w:val="sk-SK"/>
        </w:rPr>
        <w:t>integrované inteligentné systémy riadenia infraštruktúry založenej na vodíku</w:t>
      </w:r>
      <w:r w:rsidR="00326E55" w:rsidRPr="00326E55">
        <w:rPr>
          <w:noProof/>
          <w:spacing w:val="-6"/>
          <w:lang w:val="sk-SK"/>
        </w:rPr>
        <w:t>.</w:t>
      </w:r>
    </w:p>
    <w:p w14:paraId="44ACAD1D" w14:textId="236AD69B" w:rsidR="00BF03AA" w:rsidRPr="00326E55" w:rsidRDefault="00FB452D">
      <w:pPr>
        <w:pStyle w:val="P68B1DB1-Normal5"/>
        <w:spacing w:before="120" w:after="120" w:line="278" w:lineRule="auto"/>
        <w:jc w:val="both"/>
        <w:rPr>
          <w:bCs/>
          <w:noProof/>
          <w:spacing w:val="-6"/>
          <w:lang w:val="sk-SK"/>
        </w:rPr>
      </w:pPr>
      <w:r w:rsidRPr="00326E55">
        <w:rPr>
          <w:noProof/>
          <w:spacing w:val="-6"/>
          <w:lang w:val="sk-SK"/>
        </w:rPr>
        <w:t>Investícia 4.2 – Vývoj rýchlych systémov hromadnej dopravy</w:t>
      </w:r>
    </w:p>
    <w:p w14:paraId="133228BC" w14:textId="1F333239" w:rsidR="00326E55" w:rsidRPr="00326E55" w:rsidRDefault="00FB452D">
      <w:pPr>
        <w:pStyle w:val="P68B1DB1-Normal7"/>
        <w:spacing w:after="120"/>
        <w:ind w:right="4"/>
        <w:jc w:val="both"/>
        <w:rPr>
          <w:noProof/>
          <w:spacing w:val="-6"/>
          <w:lang w:val="sk-SK"/>
        </w:rPr>
      </w:pPr>
      <w:r w:rsidRPr="00326E55">
        <w:rPr>
          <w:noProof/>
          <w:spacing w:val="-6"/>
          <w:lang w:val="sk-SK"/>
        </w:rPr>
        <w:t>Cieľom opatrenia je zvýšiť rýchlu jazdu</w:t>
      </w:r>
      <w:r w:rsidR="00326E55" w:rsidRPr="00326E55">
        <w:rPr>
          <w:noProof/>
          <w:spacing w:val="-6"/>
          <w:lang w:val="sk-SK"/>
        </w:rPr>
        <w:t xml:space="preserve"> v </w:t>
      </w:r>
      <w:r w:rsidRPr="00326E55">
        <w:rPr>
          <w:noProof/>
          <w:spacing w:val="-6"/>
          <w:lang w:val="sk-SK"/>
        </w:rPr>
        <w:t xml:space="preserve">systéme </w:t>
      </w:r>
      <w:r w:rsidRPr="00326E55">
        <w:rPr>
          <w:noProof/>
          <w:spacing w:val="-6"/>
          <w:lang w:val="sk-SK"/>
        </w:rPr>
        <w:t>hromadnej dopravy</w:t>
      </w:r>
      <w:r w:rsidR="00326E55" w:rsidRPr="00326E55">
        <w:rPr>
          <w:noProof/>
          <w:spacing w:val="-6"/>
          <w:lang w:val="sk-SK"/>
        </w:rPr>
        <w:t xml:space="preserve"> a </w:t>
      </w:r>
      <w:r w:rsidRPr="00326E55">
        <w:rPr>
          <w:noProof/>
          <w:spacing w:val="-6"/>
          <w:lang w:val="sk-SK"/>
        </w:rPr>
        <w:t>podporiť prechod</w:t>
      </w:r>
      <w:r w:rsidR="00326E55" w:rsidRPr="00326E55">
        <w:rPr>
          <w:noProof/>
          <w:spacing w:val="-6"/>
          <w:lang w:val="sk-SK"/>
        </w:rPr>
        <w:t xml:space="preserve"> z </w:t>
      </w:r>
      <w:r w:rsidRPr="00326E55">
        <w:rPr>
          <w:noProof/>
          <w:spacing w:val="-6"/>
          <w:lang w:val="sk-SK"/>
        </w:rPr>
        <w:t>automobilovej dopravy na verejnú dopravu. Táto investícia pozostáva</w:t>
      </w:r>
      <w:r w:rsidR="00326E55" w:rsidRPr="00326E55">
        <w:rPr>
          <w:noProof/>
          <w:spacing w:val="-6"/>
          <w:lang w:val="sk-SK"/>
        </w:rPr>
        <w:t xml:space="preserve"> z </w:t>
      </w:r>
      <w:r w:rsidRPr="00326E55">
        <w:rPr>
          <w:noProof/>
          <w:spacing w:val="-6"/>
          <w:lang w:val="sk-SK"/>
        </w:rPr>
        <w:t>výstavby nových tratí</w:t>
      </w:r>
      <w:r w:rsidR="00326E55" w:rsidRPr="00326E55">
        <w:rPr>
          <w:noProof/>
          <w:spacing w:val="-6"/>
          <w:lang w:val="sk-SK"/>
        </w:rPr>
        <w:t xml:space="preserve"> a </w:t>
      </w:r>
      <w:r w:rsidRPr="00326E55">
        <w:rPr>
          <w:noProof/>
          <w:spacing w:val="-6"/>
          <w:lang w:val="sk-SK"/>
        </w:rPr>
        <w:t>rozšírenia existujúcich tratí rýchlych systémov hromadnej dopravy, modernizácie infraštruktúry systémov rýchlej hromadnej d</w:t>
      </w:r>
      <w:r w:rsidRPr="00326E55">
        <w:rPr>
          <w:noProof/>
          <w:spacing w:val="-6"/>
          <w:lang w:val="sk-SK"/>
        </w:rPr>
        <w:t>opravy</w:t>
      </w:r>
      <w:r w:rsidR="00326E55" w:rsidRPr="00326E55">
        <w:rPr>
          <w:noProof/>
          <w:spacing w:val="-6"/>
          <w:lang w:val="sk-SK"/>
        </w:rPr>
        <w:t xml:space="preserve"> a </w:t>
      </w:r>
      <w:r w:rsidRPr="00326E55">
        <w:rPr>
          <w:noProof/>
          <w:spacing w:val="-6"/>
          <w:lang w:val="sk-SK"/>
        </w:rPr>
        <w:t>nákupu železničných koľajových vozidiel</w:t>
      </w:r>
      <w:r w:rsidR="00326E55" w:rsidRPr="00326E55">
        <w:rPr>
          <w:noProof/>
          <w:spacing w:val="-6"/>
          <w:lang w:val="sk-SK"/>
        </w:rPr>
        <w:t xml:space="preserve"> s </w:t>
      </w:r>
      <w:r w:rsidRPr="00326E55">
        <w:rPr>
          <w:noProof/>
          <w:spacing w:val="-6"/>
          <w:lang w:val="sk-SK"/>
        </w:rPr>
        <w:t>nulovými emisiami pre systémy rýchlej hromadnej dopravy</w:t>
      </w:r>
      <w:r w:rsidR="00326E55" w:rsidRPr="00326E55">
        <w:rPr>
          <w:noProof/>
          <w:spacing w:val="-6"/>
          <w:lang w:val="sk-SK"/>
        </w:rPr>
        <w:t>.</w:t>
      </w:r>
    </w:p>
    <w:p w14:paraId="78413179" w14:textId="7FF30F81" w:rsidR="00BF03AA" w:rsidRPr="00326E55" w:rsidRDefault="00FB452D">
      <w:pPr>
        <w:pStyle w:val="P68B1DB1-Normal5"/>
        <w:spacing w:after="120"/>
        <w:jc w:val="both"/>
        <w:rPr>
          <w:bCs/>
          <w:noProof/>
          <w:spacing w:val="-6"/>
          <w:lang w:val="sk-SK"/>
        </w:rPr>
      </w:pPr>
      <w:bookmarkStart w:id="13" w:name="_Hlk151064119"/>
      <w:r w:rsidRPr="00326E55">
        <w:rPr>
          <w:noProof/>
          <w:spacing w:val="-6"/>
          <w:lang w:val="sk-SK"/>
        </w:rPr>
        <w:t>Investícia 4.4.1 – Posilnenie regionálneho vozového parku verejnej dopravy pre autobusy</w:t>
      </w:r>
      <w:r w:rsidR="00326E55" w:rsidRPr="00326E55">
        <w:rPr>
          <w:noProof/>
          <w:spacing w:val="-6"/>
          <w:lang w:val="sk-SK"/>
        </w:rPr>
        <w:t xml:space="preserve"> s </w:t>
      </w:r>
      <w:r w:rsidRPr="00326E55">
        <w:rPr>
          <w:noProof/>
          <w:spacing w:val="-6"/>
          <w:lang w:val="sk-SK"/>
        </w:rPr>
        <w:t>nulovými emisiami</w:t>
      </w:r>
    </w:p>
    <w:p w14:paraId="7813F97F" w14:textId="0F90982C" w:rsidR="00BF03AA" w:rsidRPr="00326E55" w:rsidRDefault="00FB452D">
      <w:pPr>
        <w:pStyle w:val="P68B1DB1-Normal7"/>
        <w:spacing w:after="120"/>
        <w:jc w:val="both"/>
        <w:rPr>
          <w:noProof/>
          <w:spacing w:val="-6"/>
          <w:lang w:val="sk-SK"/>
        </w:rPr>
      </w:pPr>
      <w:r w:rsidRPr="00326E55">
        <w:rPr>
          <w:noProof/>
          <w:spacing w:val="-6"/>
          <w:lang w:val="sk-SK"/>
        </w:rPr>
        <w:t>Cieľom investície je znížiť emisie sklen</w:t>
      </w:r>
      <w:r w:rsidRPr="00326E55">
        <w:rPr>
          <w:noProof/>
          <w:spacing w:val="-6"/>
          <w:lang w:val="sk-SK"/>
        </w:rPr>
        <w:t>íkových plynov</w:t>
      </w:r>
      <w:r w:rsidR="00326E55" w:rsidRPr="00326E55">
        <w:rPr>
          <w:noProof/>
          <w:spacing w:val="-6"/>
          <w:lang w:val="sk-SK"/>
        </w:rPr>
        <w:t xml:space="preserve"> a </w:t>
      </w:r>
      <w:r w:rsidRPr="00326E55">
        <w:rPr>
          <w:noProof/>
          <w:spacing w:val="-6"/>
          <w:lang w:val="sk-SK"/>
        </w:rPr>
        <w:t>modernizovať vozový park verejných autobusov. Táto investícia pozostáva</w:t>
      </w:r>
      <w:r w:rsidR="00326E55" w:rsidRPr="00326E55">
        <w:rPr>
          <w:noProof/>
          <w:spacing w:val="-6"/>
          <w:lang w:val="sk-SK"/>
        </w:rPr>
        <w:t xml:space="preserve"> z </w:t>
      </w:r>
      <w:r w:rsidRPr="00326E55">
        <w:rPr>
          <w:noProof/>
          <w:spacing w:val="-6"/>
          <w:lang w:val="sk-SK"/>
        </w:rPr>
        <w:t>obstarávania autobusov</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inštalácie nabíjacích staníc.</w:t>
      </w:r>
    </w:p>
    <w:bookmarkEnd w:id="13"/>
    <w:p w14:paraId="315777CC" w14:textId="6A09FB25" w:rsidR="00BF03AA" w:rsidRPr="00326E55" w:rsidRDefault="00FB452D">
      <w:pPr>
        <w:pStyle w:val="P68B1DB1-Normal5"/>
        <w:spacing w:before="120" w:after="120"/>
        <w:jc w:val="both"/>
        <w:rPr>
          <w:noProof/>
          <w:spacing w:val="-6"/>
          <w:lang w:val="sk-SK"/>
        </w:rPr>
      </w:pPr>
      <w:r w:rsidRPr="00326E55">
        <w:rPr>
          <w:noProof/>
          <w:spacing w:val="-6"/>
          <w:lang w:val="sk-SK"/>
        </w:rPr>
        <w:t>Investícia 4.4.2 – Posilnenie vozového parku regionálnej verejnej železničnej dopravy vlak</w:t>
      </w:r>
      <w:r w:rsidRPr="00326E55">
        <w:rPr>
          <w:noProof/>
          <w:spacing w:val="-6"/>
          <w:lang w:val="sk-SK"/>
        </w:rPr>
        <w:t>mi</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univerzálnou službou</w:t>
      </w:r>
    </w:p>
    <w:p w14:paraId="039B8DED" w14:textId="155E8C7D" w:rsidR="00BF03AA" w:rsidRPr="00326E55" w:rsidRDefault="00FB452D">
      <w:pPr>
        <w:pStyle w:val="P68B1DB1-Normal7"/>
        <w:spacing w:before="120" w:after="120"/>
        <w:jc w:val="both"/>
        <w:rPr>
          <w:b/>
          <w:noProof/>
          <w:spacing w:val="-6"/>
          <w:lang w:val="sk-SK"/>
        </w:rPr>
      </w:pPr>
      <w:r w:rsidRPr="00326E55">
        <w:rPr>
          <w:noProof/>
          <w:spacing w:val="-6"/>
          <w:lang w:val="sk-SK"/>
        </w:rPr>
        <w:t>Cieľom investície je znížiť emisie skleníkových plynov zo železničnej dopravy</w:t>
      </w:r>
      <w:r w:rsidR="00326E55" w:rsidRPr="00326E55">
        <w:rPr>
          <w:noProof/>
          <w:spacing w:val="-6"/>
          <w:lang w:val="sk-SK"/>
        </w:rPr>
        <w:t xml:space="preserve"> a </w:t>
      </w:r>
      <w:r w:rsidRPr="00326E55">
        <w:rPr>
          <w:noProof/>
          <w:spacing w:val="-6"/>
          <w:lang w:val="sk-SK"/>
        </w:rPr>
        <w:t>modernizovať železničný vozový park. Táto investícia pozostáva</w:t>
      </w:r>
      <w:r w:rsidR="00326E55" w:rsidRPr="00326E55">
        <w:rPr>
          <w:noProof/>
          <w:spacing w:val="-6"/>
          <w:lang w:val="sk-SK"/>
        </w:rPr>
        <w:t xml:space="preserve"> z </w:t>
      </w:r>
      <w:r w:rsidRPr="00326E55">
        <w:rPr>
          <w:noProof/>
          <w:spacing w:val="-6"/>
          <w:lang w:val="sk-SK"/>
        </w:rPr>
        <w:t>registrácie najmenej 97 osobných vlakov</w:t>
      </w:r>
      <w:r w:rsidR="00326E55" w:rsidRPr="00326E55">
        <w:rPr>
          <w:noProof/>
          <w:spacing w:val="-6"/>
          <w:lang w:val="sk-SK"/>
        </w:rPr>
        <w:t xml:space="preserve"> s </w:t>
      </w:r>
      <w:r w:rsidRPr="00326E55">
        <w:rPr>
          <w:noProof/>
          <w:spacing w:val="-6"/>
          <w:lang w:val="sk-SK"/>
        </w:rPr>
        <w:t>nulovými emisiami.</w:t>
      </w:r>
    </w:p>
    <w:p w14:paraId="3D3308CE" w14:textId="77777777" w:rsidR="00326E55" w:rsidRPr="00326E55" w:rsidRDefault="00FB452D">
      <w:pPr>
        <w:pStyle w:val="P68B1DB1-Normal5"/>
        <w:spacing w:before="120" w:after="120"/>
        <w:jc w:val="both"/>
        <w:rPr>
          <w:noProof/>
          <w:spacing w:val="-6"/>
          <w:lang w:val="sk-SK"/>
        </w:rPr>
      </w:pPr>
      <w:r w:rsidRPr="00326E55">
        <w:rPr>
          <w:noProof/>
          <w:spacing w:val="-6"/>
          <w:lang w:val="sk-SK"/>
        </w:rPr>
        <w:t>Inve</w:t>
      </w:r>
      <w:r w:rsidRPr="00326E55">
        <w:rPr>
          <w:noProof/>
          <w:spacing w:val="-6"/>
          <w:lang w:val="sk-SK"/>
        </w:rPr>
        <w:t>stícia 4.4.3 – Obnova vozového parku pre velenie národného hasičského zboru</w:t>
      </w:r>
    </w:p>
    <w:p w14:paraId="03BAE130" w14:textId="6EBBFF03" w:rsidR="00BF03AA" w:rsidRPr="00326E55" w:rsidRDefault="00FB452D">
      <w:pPr>
        <w:spacing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Cieľom investície je znížiť emisie skleníkových plynov</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modernizovať vozový park hasičského zboru. Táto investícia pozostáva</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obstarávania najmenej</w:t>
      </w:r>
      <w:r w:rsidRPr="00326E55">
        <w:rPr>
          <w:rFonts w:ascii="Times New Roman" w:hAnsi="Times New Roman"/>
          <w:noProof/>
          <w:color w:val="006100"/>
          <w:spacing w:val="-6"/>
          <w:sz w:val="20"/>
          <w:szCs w:val="20"/>
          <w:lang w:val="sk-SK"/>
        </w:rPr>
        <w:t xml:space="preserve"> </w:t>
      </w:r>
      <w:r w:rsidRPr="00326E55">
        <w:rPr>
          <w:rFonts w:ascii="Times New Roman" w:hAnsi="Times New Roman" w:cs="Times New Roman"/>
          <w:noProof/>
          <w:spacing w:val="-6"/>
          <w:lang w:val="sk-SK"/>
        </w:rPr>
        <w:t>3800 vozidiel pre národnú poži</w:t>
      </w:r>
      <w:r w:rsidRPr="00326E55">
        <w:rPr>
          <w:rFonts w:ascii="Times New Roman" w:hAnsi="Times New Roman" w:cs="Times New Roman"/>
          <w:noProof/>
          <w:spacing w:val="-6"/>
          <w:lang w:val="sk-SK"/>
        </w:rPr>
        <w:t>arnu brigádu.</w:t>
      </w:r>
    </w:p>
    <w:p w14:paraId="335DB2A0" w14:textId="3211B9C9" w:rsidR="00BF03AA" w:rsidRPr="00326E55" w:rsidRDefault="00FB452D">
      <w:pPr>
        <w:pStyle w:val="P68B1DB1-Normal5"/>
        <w:spacing w:after="120"/>
        <w:jc w:val="both"/>
        <w:rPr>
          <w:noProof/>
          <w:spacing w:val="-6"/>
          <w:lang w:val="sk-SK"/>
        </w:rPr>
      </w:pPr>
      <w:r w:rsidRPr="00326E55">
        <w:rPr>
          <w:noProof/>
          <w:spacing w:val="-6"/>
          <w:lang w:val="sk-SK"/>
        </w:rPr>
        <w:t>Investícia 5.1 – Podpora výrobného systému pre ekologickú transformáciu, emisne neutrálne technológie</w:t>
      </w:r>
      <w:r w:rsidR="00326E55" w:rsidRPr="00326E55">
        <w:rPr>
          <w:noProof/>
          <w:spacing w:val="-6"/>
          <w:lang w:val="sk-SK"/>
        </w:rPr>
        <w:t xml:space="preserve"> a </w:t>
      </w:r>
      <w:r w:rsidRPr="00326E55">
        <w:rPr>
          <w:noProof/>
          <w:spacing w:val="-6"/>
          <w:lang w:val="sk-SK"/>
        </w:rPr>
        <w:t>konkurencieschopnosť</w:t>
      </w:r>
      <w:r w:rsidR="00326E55" w:rsidRPr="00326E55">
        <w:rPr>
          <w:noProof/>
          <w:spacing w:val="-6"/>
          <w:lang w:val="sk-SK"/>
        </w:rPr>
        <w:t xml:space="preserve"> a </w:t>
      </w:r>
      <w:r w:rsidRPr="00326E55">
        <w:rPr>
          <w:noProof/>
          <w:spacing w:val="-6"/>
          <w:lang w:val="sk-SK"/>
        </w:rPr>
        <w:t>odolnosť strategických dodávateľských reťazcov</w:t>
      </w:r>
    </w:p>
    <w:p w14:paraId="2C9A6E57" w14:textId="41A007DC" w:rsidR="00BF03AA" w:rsidRPr="00326E55" w:rsidRDefault="00FB452D">
      <w:pPr>
        <w:pStyle w:val="P68B1DB1-Normal7"/>
        <w:spacing w:before="120" w:after="120"/>
        <w:jc w:val="both"/>
        <w:rPr>
          <w:noProof/>
          <w:spacing w:val="-6"/>
          <w:lang w:val="sk-SK"/>
        </w:rPr>
      </w:pPr>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dvoch čiastkových investícií.</w:t>
      </w:r>
    </w:p>
    <w:p w14:paraId="3B87BB5D" w14:textId="77777777" w:rsidR="00BF03AA" w:rsidRPr="00326E55" w:rsidRDefault="00FB452D">
      <w:pPr>
        <w:pStyle w:val="P68B1DB1-Normal5"/>
        <w:spacing w:before="120" w:after="120"/>
        <w:jc w:val="both"/>
        <w:rPr>
          <w:noProof/>
          <w:spacing w:val="-6"/>
          <w:lang w:val="sk-SK"/>
        </w:rPr>
      </w:pPr>
      <w:r w:rsidRPr="00326E55">
        <w:rPr>
          <w:noProof/>
          <w:spacing w:val="-6"/>
          <w:lang w:val="sk-SK"/>
        </w:rPr>
        <w:t>Čiastková i</w:t>
      </w:r>
      <w:r w:rsidRPr="00326E55">
        <w:rPr>
          <w:noProof/>
          <w:spacing w:val="-6"/>
          <w:lang w:val="sk-SK"/>
        </w:rPr>
        <w:t>nvestícia 1:</w:t>
      </w:r>
    </w:p>
    <w:p w14:paraId="4CB183CF" w14:textId="353E5496" w:rsidR="00326E55" w:rsidRPr="00326E55" w:rsidRDefault="00FB452D">
      <w:pPr>
        <w:pStyle w:val="P68B1DB1-Normal7"/>
        <w:spacing w:after="120"/>
        <w:jc w:val="both"/>
        <w:rPr>
          <w:noProof/>
          <w:spacing w:val="-6"/>
          <w:lang w:val="sk-SK"/>
        </w:rPr>
      </w:pPr>
      <w:r w:rsidRPr="00326E55">
        <w:rPr>
          <w:noProof/>
          <w:spacing w:val="-6"/>
          <w:lang w:val="sk-SK"/>
        </w:rPr>
        <w:t>Táto čiastková investícia pozostáva</w:t>
      </w:r>
      <w:r w:rsidR="00326E55" w:rsidRPr="00326E55">
        <w:rPr>
          <w:noProof/>
          <w:spacing w:val="-6"/>
          <w:lang w:val="sk-SK"/>
        </w:rPr>
        <w:t xml:space="preserve"> z </w:t>
      </w:r>
      <w:r w:rsidRPr="00326E55">
        <w:rPr>
          <w:noProof/>
          <w:spacing w:val="-6"/>
          <w:lang w:val="sk-SK"/>
        </w:rPr>
        <w:t>verejnej investície do nástroja, tzv. emisne neutrálnych technológií,</w:t>
      </w:r>
      <w:r w:rsidR="00326E55" w:rsidRPr="00326E55">
        <w:rPr>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oblasti energetickej efektívnosti, výroby energie</w:t>
      </w:r>
      <w:r w:rsidR="00326E55" w:rsidRPr="00326E55">
        <w:rPr>
          <w:noProof/>
          <w:spacing w:val="-6"/>
          <w:lang w:val="sk-SK"/>
        </w:rPr>
        <w:t xml:space="preserve"> z </w:t>
      </w:r>
      <w:r w:rsidRPr="00326E55">
        <w:rPr>
          <w:noProof/>
          <w:spacing w:val="-6"/>
          <w:lang w:val="sk-SK"/>
        </w:rPr>
        <w:t>obno</w:t>
      </w:r>
      <w:r w:rsidRPr="00326E55">
        <w:rPr>
          <w:noProof/>
          <w:spacing w:val="-6"/>
          <w:lang w:val="sk-SK"/>
        </w:rPr>
        <w:t>viteľných zdrojov na vlastnú spotrebu</w:t>
      </w:r>
      <w:r w:rsidR="00326E55" w:rsidRPr="00326E55">
        <w:rPr>
          <w:noProof/>
          <w:spacing w:val="-6"/>
          <w:lang w:val="sk-SK"/>
        </w:rPr>
        <w:t xml:space="preserve"> a </w:t>
      </w:r>
      <w:r w:rsidRPr="00326E55">
        <w:rPr>
          <w:noProof/>
          <w:spacing w:val="-6"/>
          <w:lang w:val="sk-SK"/>
        </w:rPr>
        <w:t>udržateľnej transformácie výrobného procesu</w:t>
      </w:r>
      <w:r w:rsidR="00326E55" w:rsidRPr="00326E55">
        <w:rPr>
          <w:noProof/>
          <w:spacing w:val="-6"/>
          <w:lang w:val="sk-SK"/>
        </w:rPr>
        <w:t>.</w:t>
      </w:r>
    </w:p>
    <w:p w14:paraId="61A65E51" w14:textId="3A57930F" w:rsidR="00BF03AA" w:rsidRPr="00326E55" w:rsidRDefault="00FB452D">
      <w:pPr>
        <w:pStyle w:val="P68B1DB1-Normal7"/>
        <w:spacing w:after="120"/>
        <w:jc w:val="both"/>
        <w:rPr>
          <w:noProof/>
          <w:spacing w:val="-6"/>
          <w:lang w:val="sk-SK"/>
        </w:rPr>
      </w:pPr>
      <w:r w:rsidRPr="00326E55">
        <w:rPr>
          <w:noProof/>
          <w:spacing w:val="-6"/>
          <w:lang w:val="sk-SK"/>
        </w:rPr>
        <w:t>Investícia podporí:</w:t>
      </w:r>
    </w:p>
    <w:p w14:paraId="29DBD850" w14:textId="77777777" w:rsidR="00326E55" w:rsidRPr="00326E55" w:rsidRDefault="00FB452D">
      <w:pPr>
        <w:pStyle w:val="P68B1DB1-ListParagraph37"/>
        <w:numPr>
          <w:ilvl w:val="0"/>
          <w:numId w:val="63"/>
        </w:numPr>
        <w:spacing w:after="120" w:line="240" w:lineRule="auto"/>
        <w:jc w:val="both"/>
        <w:rPr>
          <w:noProof/>
          <w:spacing w:val="-6"/>
          <w:lang w:val="sk-SK"/>
        </w:rPr>
      </w:pPr>
      <w:r w:rsidRPr="00326E55">
        <w:rPr>
          <w:noProof/>
          <w:spacing w:val="-6"/>
          <w:lang w:val="sk-SK"/>
        </w:rPr>
        <w:t>ekologickú transformáciu vnútroštátneho výrobného systému na rôznych úrovniach podporou investícií do posilnenia výrobných reťazcov zariadení</w:t>
      </w:r>
      <w:r w:rsidR="00326E55" w:rsidRPr="00326E55">
        <w:rPr>
          <w:noProof/>
          <w:spacing w:val="-6"/>
          <w:lang w:val="sk-SK"/>
        </w:rPr>
        <w:t xml:space="preserve"> a </w:t>
      </w:r>
      <w:r w:rsidRPr="00326E55">
        <w:rPr>
          <w:noProof/>
          <w:spacing w:val="-6"/>
          <w:lang w:val="sk-SK"/>
        </w:rPr>
        <w:t>ich pri</w:t>
      </w:r>
      <w:r w:rsidRPr="00326E55">
        <w:rPr>
          <w:noProof/>
          <w:spacing w:val="-6"/>
          <w:lang w:val="sk-SK"/>
        </w:rPr>
        <w:t>amych</w:t>
      </w:r>
      <w:r w:rsidR="00326E55" w:rsidRPr="00326E55">
        <w:rPr>
          <w:noProof/>
          <w:spacing w:val="-6"/>
          <w:lang w:val="sk-SK"/>
        </w:rPr>
        <w:t xml:space="preserve"> a </w:t>
      </w:r>
      <w:r w:rsidRPr="00326E55">
        <w:rPr>
          <w:noProof/>
          <w:spacing w:val="-6"/>
          <w:lang w:val="sk-SK"/>
        </w:rPr>
        <w:t>nepriamych komponentov relevantných pre ekologickú transformáciu (napríklad batérie</w:t>
      </w:r>
      <w:r w:rsidR="00326E55" w:rsidRPr="00326E55">
        <w:rPr>
          <w:noProof/>
          <w:spacing w:val="-6"/>
          <w:lang w:val="sk-SK"/>
        </w:rPr>
        <w:t xml:space="preserve"> a </w:t>
      </w:r>
      <w:r w:rsidRPr="00326E55">
        <w:rPr>
          <w:noProof/>
          <w:spacing w:val="-6"/>
          <w:lang w:val="sk-SK"/>
        </w:rPr>
        <w:t>uskladňovanie energie, solárne</w:t>
      </w:r>
      <w:r w:rsidR="00326E55" w:rsidRPr="00326E55">
        <w:rPr>
          <w:noProof/>
          <w:spacing w:val="-6"/>
          <w:lang w:val="sk-SK"/>
        </w:rPr>
        <w:t xml:space="preserve"> a </w:t>
      </w:r>
      <w:r w:rsidRPr="00326E55">
        <w:rPr>
          <w:noProof/>
          <w:spacing w:val="-6"/>
          <w:lang w:val="sk-SK"/>
        </w:rPr>
        <w:t>veterné technológie, tepelné čerpadlá</w:t>
      </w:r>
      <w:r w:rsidR="00326E55" w:rsidRPr="00326E55">
        <w:rPr>
          <w:noProof/>
          <w:spacing w:val="-6"/>
          <w:lang w:val="sk-SK"/>
        </w:rPr>
        <w:t xml:space="preserve"> a </w:t>
      </w:r>
      <w:r w:rsidRPr="00326E55">
        <w:rPr>
          <w:noProof/>
          <w:spacing w:val="-6"/>
          <w:lang w:val="sk-SK"/>
        </w:rPr>
        <w:t>technológie geotermálnej energie, vodíkové technológie</w:t>
      </w:r>
      <w:r w:rsidR="00326E55" w:rsidRPr="00326E55">
        <w:rPr>
          <w:noProof/>
          <w:spacing w:val="-6"/>
          <w:lang w:val="sk-SK"/>
        </w:rPr>
        <w:t xml:space="preserve"> a </w:t>
      </w:r>
      <w:r w:rsidRPr="00326E55">
        <w:rPr>
          <w:noProof/>
          <w:spacing w:val="-6"/>
          <w:lang w:val="sk-SK"/>
        </w:rPr>
        <w:t>zariadenia na zachytávanie</w:t>
      </w:r>
      <w:r w:rsidR="00326E55" w:rsidRPr="00326E55">
        <w:rPr>
          <w:noProof/>
          <w:spacing w:val="-6"/>
          <w:lang w:val="sk-SK"/>
        </w:rPr>
        <w:t xml:space="preserve"> a </w:t>
      </w:r>
      <w:r w:rsidRPr="00326E55">
        <w:rPr>
          <w:noProof/>
          <w:spacing w:val="-6"/>
          <w:lang w:val="sk-SK"/>
        </w:rPr>
        <w:t>ukl</w:t>
      </w:r>
      <w:r w:rsidRPr="00326E55">
        <w:rPr>
          <w:noProof/>
          <w:spacing w:val="-6"/>
          <w:lang w:val="sk-SK"/>
        </w:rPr>
        <w:t>adanie uhlíka),</w:t>
      </w:r>
    </w:p>
    <w:p w14:paraId="4BDB2110" w14:textId="69E5A445" w:rsidR="00BF03AA" w:rsidRPr="00326E55" w:rsidRDefault="00FB452D">
      <w:pPr>
        <w:pStyle w:val="P68B1DB1-ListParagraph37"/>
        <w:numPr>
          <w:ilvl w:val="0"/>
          <w:numId w:val="63"/>
        </w:numPr>
        <w:spacing w:after="120" w:line="240" w:lineRule="auto"/>
        <w:jc w:val="both"/>
        <w:rPr>
          <w:noProof/>
          <w:spacing w:val="-6"/>
          <w:lang w:val="sk-SK"/>
        </w:rPr>
      </w:pPr>
      <w:r w:rsidRPr="00326E55">
        <w:rPr>
          <w:noProof/>
          <w:spacing w:val="-6"/>
          <w:lang w:val="sk-SK"/>
        </w:rPr>
        <w:t>energetická účinnosť výrobných procesov (aj prostredníctvom výroby elektrickej energie</w:t>
      </w:r>
      <w:r w:rsidR="00326E55" w:rsidRPr="00326E55">
        <w:rPr>
          <w:noProof/>
          <w:spacing w:val="-6"/>
          <w:lang w:val="sk-SK"/>
        </w:rPr>
        <w:t xml:space="preserve"> z </w:t>
      </w:r>
      <w:r w:rsidRPr="00326E55">
        <w:rPr>
          <w:noProof/>
          <w:spacing w:val="-6"/>
          <w:lang w:val="sk-SK"/>
        </w:rPr>
        <w:t>obnoviteľných zdrojov na vlastnú spotrebu</w:t>
      </w:r>
      <w:r w:rsidR="00326E55" w:rsidRPr="00326E55">
        <w:rPr>
          <w:noProof/>
          <w:spacing w:val="-6"/>
          <w:lang w:val="sk-SK"/>
        </w:rPr>
        <w:t xml:space="preserve"> s </w:t>
      </w:r>
      <w:r w:rsidRPr="00326E55">
        <w:rPr>
          <w:noProof/>
          <w:spacing w:val="-6"/>
          <w:lang w:val="sk-SK"/>
        </w:rPr>
        <w:t>výnimkou biomasy),</w:t>
      </w:r>
    </w:p>
    <w:p w14:paraId="309034B6" w14:textId="2D203FDE" w:rsidR="00BF03AA" w:rsidRPr="00326E55" w:rsidRDefault="00FB452D">
      <w:pPr>
        <w:pStyle w:val="P68B1DB1-ListParagraph37"/>
        <w:numPr>
          <w:ilvl w:val="0"/>
          <w:numId w:val="63"/>
        </w:numPr>
        <w:spacing w:after="120" w:line="240" w:lineRule="auto"/>
        <w:jc w:val="both"/>
        <w:rPr>
          <w:noProof/>
          <w:spacing w:val="-6"/>
          <w:lang w:val="sk-SK"/>
        </w:rPr>
      </w:pPr>
      <w:r w:rsidRPr="00326E55">
        <w:rPr>
          <w:noProof/>
          <w:spacing w:val="-6"/>
          <w:lang w:val="sk-SK"/>
        </w:rPr>
        <w:t>udržateľnosť výrobných procesov,</w:t>
      </w:r>
      <w:r w:rsidR="00326E55" w:rsidRPr="00326E55">
        <w:rPr>
          <w:noProof/>
          <w:spacing w:val="-6"/>
          <w:lang w:val="sk-SK"/>
        </w:rPr>
        <w:t xml:space="preserve"> a </w:t>
      </w:r>
      <w:r w:rsidRPr="00326E55">
        <w:rPr>
          <w:noProof/>
          <w:spacing w:val="-6"/>
          <w:lang w:val="sk-SK"/>
        </w:rPr>
        <w:t>to aj so zreteľom na obehové hospodárstvo</w:t>
      </w:r>
      <w:r w:rsidR="00326E55" w:rsidRPr="00326E55">
        <w:rPr>
          <w:noProof/>
          <w:spacing w:val="-6"/>
          <w:lang w:val="sk-SK"/>
        </w:rPr>
        <w:t xml:space="preserve"> a </w:t>
      </w:r>
      <w:r w:rsidRPr="00326E55">
        <w:rPr>
          <w:noProof/>
          <w:spacing w:val="-6"/>
          <w:lang w:val="sk-SK"/>
        </w:rPr>
        <w:t>efektívne</w:t>
      </w:r>
      <w:r w:rsidRPr="00326E55">
        <w:rPr>
          <w:noProof/>
          <w:spacing w:val="-6"/>
          <w:lang w:val="sk-SK"/>
        </w:rPr>
        <w:t>jšie využívanie zdrojov.</w:t>
      </w:r>
    </w:p>
    <w:p w14:paraId="2742F20D" w14:textId="77777777" w:rsidR="00BF03AA" w:rsidRPr="00326E55" w:rsidRDefault="00FB452D">
      <w:pPr>
        <w:pStyle w:val="P68B1DB1-Normal7"/>
        <w:spacing w:after="120"/>
        <w:jc w:val="both"/>
        <w:rPr>
          <w:noProof/>
          <w:spacing w:val="-6"/>
          <w:lang w:val="sk-SK"/>
        </w:rPr>
      </w:pPr>
      <w:r w:rsidRPr="00326E55">
        <w:rPr>
          <w:noProof/>
          <w:spacing w:val="-6"/>
          <w:lang w:val="sk-SK"/>
        </w:rPr>
        <w:t>Investícia i) zahŕňa tieto riadky produktov:</w:t>
      </w:r>
    </w:p>
    <w:p w14:paraId="010C59D7" w14:textId="106B329F" w:rsidR="00326E55" w:rsidRPr="00326E55" w:rsidRDefault="00FB452D">
      <w:pPr>
        <w:pStyle w:val="P68B1DB1-Normal7"/>
        <w:spacing w:after="120"/>
        <w:jc w:val="both"/>
        <w:rPr>
          <w:noProof/>
          <w:spacing w:val="-6"/>
          <w:lang w:val="sk-SK"/>
        </w:rPr>
      </w:pPr>
      <w:r w:rsidRPr="00326E55">
        <w:rPr>
          <w:noProof/>
          <w:spacing w:val="-6"/>
          <w:lang w:val="sk-SK"/>
        </w:rPr>
        <w:t>—</w:t>
      </w:r>
      <w:r w:rsidRPr="00326E55">
        <w:rPr>
          <w:noProof/>
          <w:spacing w:val="-6"/>
          <w:lang w:val="sk-SK"/>
        </w:rPr>
        <w:tab/>
        <w:t>Prvá sa zameriava na výrobu fotovoltických alebo veterných technológií</w:t>
      </w:r>
      <w:r w:rsidR="00326E55" w:rsidRPr="00326E55">
        <w:rPr>
          <w:noProof/>
          <w:spacing w:val="-6"/>
          <w:lang w:val="sk-SK"/>
        </w:rPr>
        <w:t xml:space="preserve"> a </w:t>
      </w:r>
      <w:r w:rsidRPr="00326E55">
        <w:rPr>
          <w:noProof/>
          <w:spacing w:val="-6"/>
          <w:lang w:val="sk-SK"/>
        </w:rPr>
        <w:t>zvýši výrobnú kapacitu fotovoltických alebo veterných technológií aspoň</w:t>
      </w:r>
      <w:r w:rsidR="00326E55" w:rsidRPr="00326E55">
        <w:rPr>
          <w:noProof/>
          <w:spacing w:val="-6"/>
          <w:lang w:val="sk-SK"/>
        </w:rPr>
        <w:t xml:space="preserve"> o </w:t>
      </w:r>
      <w:r w:rsidRPr="00326E55">
        <w:rPr>
          <w:noProof/>
          <w:spacing w:val="-6"/>
          <w:lang w:val="sk-SK"/>
        </w:rPr>
        <w:t>4 GW/rok</w:t>
      </w:r>
      <w:r w:rsidR="00326E55" w:rsidRPr="00326E55">
        <w:rPr>
          <w:noProof/>
          <w:spacing w:val="-6"/>
          <w:lang w:val="sk-SK"/>
        </w:rPr>
        <w:t>.</w:t>
      </w:r>
    </w:p>
    <w:p w14:paraId="6C6CAD5E" w14:textId="39EC3DA9" w:rsidR="00BF03AA" w:rsidRPr="00326E55" w:rsidRDefault="00FB452D">
      <w:pPr>
        <w:pStyle w:val="P68B1DB1-Normal7"/>
        <w:spacing w:after="120"/>
        <w:jc w:val="both"/>
        <w:rPr>
          <w:noProof/>
          <w:spacing w:val="-6"/>
          <w:lang w:val="sk-SK"/>
        </w:rPr>
      </w:pPr>
      <w:r w:rsidRPr="00326E55">
        <w:rPr>
          <w:noProof/>
          <w:spacing w:val="-6"/>
          <w:lang w:val="sk-SK"/>
        </w:rPr>
        <w:t>—</w:t>
      </w:r>
      <w:r w:rsidRPr="00326E55">
        <w:rPr>
          <w:noProof/>
          <w:spacing w:val="-6"/>
          <w:lang w:val="sk-SK"/>
        </w:rPr>
        <w:tab/>
        <w:t>Druhá sa zameriava na výr</w:t>
      </w:r>
      <w:r w:rsidRPr="00326E55">
        <w:rPr>
          <w:noProof/>
          <w:spacing w:val="-6"/>
          <w:lang w:val="sk-SK"/>
        </w:rPr>
        <w:t>obu batérií</w:t>
      </w:r>
      <w:r w:rsidR="00326E55" w:rsidRPr="00326E55">
        <w:rPr>
          <w:noProof/>
          <w:spacing w:val="-6"/>
          <w:lang w:val="sk-SK"/>
        </w:rPr>
        <w:t xml:space="preserve"> a </w:t>
      </w:r>
      <w:r w:rsidRPr="00326E55">
        <w:rPr>
          <w:noProof/>
          <w:spacing w:val="-6"/>
          <w:lang w:val="sk-SK"/>
        </w:rPr>
        <w:t>zvýši výrobnú kapacitu batérií aspoň</w:t>
      </w:r>
      <w:r w:rsidR="00326E55" w:rsidRPr="00326E55">
        <w:rPr>
          <w:noProof/>
          <w:spacing w:val="-6"/>
          <w:lang w:val="sk-SK"/>
        </w:rPr>
        <w:t xml:space="preserve"> o </w:t>
      </w:r>
      <w:r w:rsidRPr="00326E55">
        <w:rPr>
          <w:noProof/>
          <w:spacing w:val="-6"/>
          <w:lang w:val="sk-SK"/>
        </w:rPr>
        <w:t>28 GW/rok.</w:t>
      </w:r>
    </w:p>
    <w:p w14:paraId="7DA35B74" w14:textId="0766A1A6" w:rsidR="00326E55" w:rsidRPr="00326E55" w:rsidRDefault="00FB452D">
      <w:pPr>
        <w:pStyle w:val="P68B1DB1-Normal7"/>
        <w:spacing w:after="120"/>
        <w:jc w:val="both"/>
        <w:rPr>
          <w:noProof/>
          <w:spacing w:val="-6"/>
          <w:lang w:val="sk-SK"/>
        </w:rPr>
      </w:pPr>
      <w:r w:rsidRPr="00326E55">
        <w:rPr>
          <w:noProof/>
          <w:spacing w:val="-6"/>
          <w:lang w:val="sk-SK"/>
        </w:rPr>
        <w:t>Nástroj funguje tak, že poskytuje nenávratné granty, dotované úvery</w:t>
      </w:r>
      <w:r w:rsidR="00326E55" w:rsidRPr="00326E55">
        <w:rPr>
          <w:noProof/>
          <w:spacing w:val="-6"/>
          <w:lang w:val="sk-SK"/>
        </w:rPr>
        <w:t xml:space="preserve"> a </w:t>
      </w:r>
      <w:r w:rsidRPr="00326E55">
        <w:rPr>
          <w:noProof/>
          <w:spacing w:val="-6"/>
          <w:lang w:val="sk-SK"/>
        </w:rPr>
        <w:t>bonifikácie úrokov priamo súkromnému sektoru</w:t>
      </w:r>
      <w:r w:rsidR="00326E55" w:rsidRPr="00326E55">
        <w:rPr>
          <w:noProof/>
          <w:spacing w:val="-6"/>
          <w:lang w:val="sk-SK"/>
        </w:rPr>
        <w:t>.</w:t>
      </w:r>
    </w:p>
    <w:p w14:paraId="65990B9A" w14:textId="51DF4693" w:rsidR="00BF03AA" w:rsidRPr="00326E55" w:rsidRDefault="00FB452D">
      <w:pPr>
        <w:pStyle w:val="P68B1DB1-Normal7"/>
        <w:spacing w:after="120"/>
        <w:jc w:val="both"/>
        <w:rPr>
          <w:noProof/>
          <w:spacing w:val="-6"/>
          <w:lang w:val="sk-SK"/>
        </w:rPr>
      </w:pPr>
      <w:r w:rsidRPr="00326E55">
        <w:rPr>
          <w:noProof/>
          <w:spacing w:val="-6"/>
          <w:lang w:val="sk-SK"/>
        </w:rPr>
        <w:t xml:space="preserve">Nástroj spravuje spoločnosť Invitalia S.p.A. ako implementujúci partner. </w:t>
      </w:r>
      <w:r w:rsidRPr="00326E55">
        <w:rPr>
          <w:noProof/>
          <w:spacing w:val="-6"/>
          <w:lang w:val="sk-SK"/>
        </w:rPr>
        <w:t>Nástroj zahŕňa tieto finančné nástroje:</w:t>
      </w:r>
    </w:p>
    <w:p w14:paraId="3B5EF40E" w14:textId="3D9EEB24" w:rsidR="00BF03AA" w:rsidRPr="00326E55" w:rsidRDefault="00FB452D">
      <w:pPr>
        <w:pStyle w:val="ListParagraph"/>
        <w:numPr>
          <w:ilvl w:val="0"/>
          <w:numId w:val="25"/>
        </w:numPr>
        <w:spacing w:after="120" w:line="240" w:lineRule="auto"/>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Rozvojová zmluva, ktorou sa podporia projekty emisne neutrálnych technológií nad</w:t>
      </w:r>
      <w:r w:rsidRPr="00326E55">
        <w:rPr>
          <w:rFonts w:ascii="Times New Roman" w:hAnsi="Times New Roman" w:cs="Times New Roman" w:hint="eastAsia"/>
          <w:noProof/>
          <w:color w:val="006100"/>
          <w:spacing w:val="-6"/>
          <w:sz w:val="20"/>
          <w:lang w:val="sk-SK"/>
        </w:rPr>
        <w:t xml:space="preserve">  </w:t>
      </w:r>
      <w:r w:rsidRPr="00326E55">
        <w:rPr>
          <w:rFonts w:ascii="Times New Roman" w:hAnsi="Times New Roman" w:cs="Times New Roman"/>
          <w:noProof/>
          <w:spacing w:val="-6"/>
          <w:lang w:val="sk-SK"/>
        </w:rPr>
        <w:t>20000000 EUR poskytovaním grantov, bonifikácie úrokových sadzieb</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dotovaných úverov.</w:t>
      </w:r>
    </w:p>
    <w:p w14:paraId="44C58026" w14:textId="20DD3540" w:rsidR="00BF03AA" w:rsidRPr="00326E55" w:rsidRDefault="00FB452D">
      <w:pPr>
        <w:pStyle w:val="ListParagraph"/>
        <w:numPr>
          <w:ilvl w:val="0"/>
          <w:numId w:val="25"/>
        </w:numPr>
        <w:spacing w:after="120" w:line="240" w:lineRule="auto"/>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Fond pre priemyselnú transformáciu,</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ktorého sa</w:t>
      </w:r>
      <w:r w:rsidRPr="00326E55">
        <w:rPr>
          <w:rFonts w:ascii="Times New Roman" w:hAnsi="Times New Roman" w:cs="Times New Roman"/>
          <w:noProof/>
          <w:spacing w:val="-6"/>
          <w:lang w:val="sk-SK"/>
        </w:rPr>
        <w:t xml:space="preserve"> podporujú projekty od</w:t>
      </w:r>
      <w:r w:rsidRPr="00326E55">
        <w:rPr>
          <w:rFonts w:ascii="Times New Roman" w:hAnsi="Times New Roman" w:cs="Times New Roman" w:hint="eastAsia"/>
          <w:noProof/>
          <w:color w:val="006100"/>
          <w:spacing w:val="-6"/>
          <w:sz w:val="20"/>
          <w:lang w:val="sk-SK"/>
        </w:rPr>
        <w:t xml:space="preserve">  </w:t>
      </w:r>
      <w:r w:rsidRPr="00326E55">
        <w:rPr>
          <w:rFonts w:ascii="Times New Roman" w:hAnsi="Times New Roman" w:cs="Times New Roman"/>
          <w:noProof/>
          <w:spacing w:val="-6"/>
          <w:lang w:val="sk-SK"/>
        </w:rPr>
        <w:t>3000000 EUR do</w:t>
      </w:r>
      <w:r w:rsidRPr="00326E55">
        <w:rPr>
          <w:rFonts w:ascii="Times New Roman" w:hAnsi="Times New Roman" w:cs="Times New Roman" w:hint="eastAsia"/>
          <w:noProof/>
          <w:color w:val="006100"/>
          <w:spacing w:val="-6"/>
          <w:sz w:val="20"/>
          <w:lang w:val="sk-SK"/>
        </w:rPr>
        <w:t xml:space="preserve">  </w:t>
      </w:r>
      <w:r w:rsidRPr="00326E55">
        <w:rPr>
          <w:rFonts w:ascii="Times New Roman" w:hAnsi="Times New Roman" w:cs="Times New Roman"/>
          <w:noProof/>
          <w:spacing w:val="-6"/>
          <w:lang w:val="sk-SK"/>
        </w:rPr>
        <w:t>20000000 EUR poskytovaním grantov.</w:t>
      </w:r>
    </w:p>
    <w:p w14:paraId="67D1FB15" w14:textId="30051526" w:rsidR="00BF03AA" w:rsidRPr="00326E55" w:rsidRDefault="00FB452D">
      <w:pPr>
        <w:pStyle w:val="P68B1DB1-Normal7"/>
        <w:spacing w:after="120"/>
        <w:jc w:val="both"/>
        <w:rPr>
          <w:noProof/>
          <w:spacing w:val="-6"/>
          <w:lang w:val="sk-SK"/>
        </w:rPr>
      </w:pPr>
      <w:r w:rsidRPr="00326E55">
        <w:rPr>
          <w:noProof/>
          <w:spacing w:val="-6"/>
          <w:lang w:val="sk-SK"/>
        </w:rPr>
        <w:t>S cieľom realizovať investície do mechanizmu Taliansko</w:t>
      </w:r>
      <w:r w:rsidR="00326E55" w:rsidRPr="00326E55">
        <w:rPr>
          <w:noProof/>
          <w:spacing w:val="-6"/>
          <w:lang w:val="sk-SK"/>
        </w:rPr>
        <w:t xml:space="preserve"> a </w:t>
      </w:r>
      <w:r w:rsidRPr="00326E55">
        <w:rPr>
          <w:noProof/>
          <w:spacing w:val="-6"/>
          <w:lang w:val="sk-SK"/>
        </w:rPr>
        <w:t>spoločnosť Invitalia S.p.A. podpíšu vykonávaciu dohodu, ktorá bude obsahovať tento obsah:</w:t>
      </w:r>
    </w:p>
    <w:p w14:paraId="7D9A4731" w14:textId="330D75CF" w:rsidR="00BF03AA" w:rsidRPr="00326E55" w:rsidRDefault="00FB452D">
      <w:pPr>
        <w:pStyle w:val="P68B1DB1-ListParagraph37"/>
        <w:numPr>
          <w:ilvl w:val="3"/>
          <w:numId w:val="42"/>
        </w:numPr>
        <w:spacing w:after="120" w:line="240" w:lineRule="auto"/>
        <w:ind w:left="709"/>
        <w:jc w:val="both"/>
        <w:rPr>
          <w:noProof/>
          <w:spacing w:val="-6"/>
          <w:lang w:val="sk-SK"/>
        </w:rPr>
      </w:pPr>
      <w:r w:rsidRPr="00326E55">
        <w:rPr>
          <w:noProof/>
          <w:spacing w:val="-6"/>
          <w:lang w:val="sk-SK"/>
        </w:rPr>
        <w:t>Opis rozhodovacieho procesu nástro</w:t>
      </w:r>
      <w:r w:rsidRPr="00326E55">
        <w:rPr>
          <w:noProof/>
          <w:spacing w:val="-6"/>
          <w:lang w:val="sk-SK"/>
        </w:rPr>
        <w:t>ja: Konečné investičné rozhodnutia</w:t>
      </w:r>
      <w:r w:rsidR="00326E55" w:rsidRPr="00326E55">
        <w:rPr>
          <w:noProof/>
          <w:spacing w:val="-6"/>
          <w:lang w:val="sk-SK"/>
        </w:rPr>
        <w:t xml:space="preserve"> a </w:t>
      </w:r>
      <w:r w:rsidRPr="00326E55">
        <w:rPr>
          <w:noProof/>
          <w:spacing w:val="-6"/>
          <w:lang w:val="sk-SK"/>
        </w:rPr>
        <w:t>rozhodnutia</w:t>
      </w:r>
      <w:r w:rsidR="00326E55" w:rsidRPr="00326E55">
        <w:rPr>
          <w:noProof/>
          <w:spacing w:val="-6"/>
          <w:lang w:val="sk-SK"/>
        </w:rPr>
        <w:t xml:space="preserve"> o </w:t>
      </w:r>
      <w:r w:rsidRPr="00326E55">
        <w:rPr>
          <w:noProof/>
          <w:spacing w:val="-6"/>
          <w:lang w:val="sk-SK"/>
        </w:rPr>
        <w:t>udelení nástroja prijíma investičný výbor alebo iný príslušný rovnocenný riadiaci orgán</w:t>
      </w:r>
      <w:r w:rsidR="00326E55" w:rsidRPr="00326E55">
        <w:rPr>
          <w:noProof/>
          <w:spacing w:val="-6"/>
          <w:lang w:val="sk-SK"/>
        </w:rPr>
        <w:t xml:space="preserve"> a </w:t>
      </w:r>
      <w:r w:rsidRPr="00326E55">
        <w:rPr>
          <w:noProof/>
          <w:spacing w:val="-6"/>
          <w:lang w:val="sk-SK"/>
        </w:rPr>
        <w:t>schvaľujú sa väčšinou hlasov členov, ktorí sú nezávislí od vlády.</w:t>
      </w:r>
    </w:p>
    <w:p w14:paraId="22AA1897" w14:textId="77777777" w:rsidR="00BF03AA" w:rsidRPr="00326E55" w:rsidRDefault="00FB452D">
      <w:pPr>
        <w:pStyle w:val="P68B1DB1-ListParagraph37"/>
        <w:numPr>
          <w:ilvl w:val="3"/>
          <w:numId w:val="42"/>
        </w:numPr>
        <w:spacing w:after="120" w:line="240" w:lineRule="auto"/>
        <w:ind w:left="709"/>
        <w:jc w:val="both"/>
        <w:rPr>
          <w:noProof/>
          <w:spacing w:val="-6"/>
          <w:lang w:val="sk-SK"/>
        </w:rPr>
      </w:pPr>
      <w:r w:rsidRPr="00326E55">
        <w:rPr>
          <w:noProof/>
          <w:spacing w:val="-6"/>
          <w:lang w:val="sk-SK"/>
        </w:rPr>
        <w:t>Kľúčové požiadavky súvisiacej investičnej politik</w:t>
      </w:r>
      <w:r w:rsidRPr="00326E55">
        <w:rPr>
          <w:noProof/>
          <w:spacing w:val="-6"/>
          <w:lang w:val="sk-SK"/>
        </w:rPr>
        <w:t>y, ktoré zahŕňajú:</w:t>
      </w:r>
    </w:p>
    <w:p w14:paraId="1A5DC319" w14:textId="4D1B7087" w:rsidR="00326E55" w:rsidRPr="00326E55" w:rsidRDefault="00FB452D">
      <w:pPr>
        <w:pStyle w:val="P68B1DB1-ListParagraph37"/>
        <w:numPr>
          <w:ilvl w:val="4"/>
          <w:numId w:val="42"/>
        </w:numPr>
        <w:spacing w:after="120" w:line="240" w:lineRule="auto"/>
        <w:ind w:left="1276"/>
        <w:jc w:val="both"/>
        <w:rPr>
          <w:noProof/>
          <w:spacing w:val="-6"/>
          <w:lang w:val="sk-SK"/>
        </w:rPr>
      </w:pPr>
      <w:r w:rsidRPr="00326E55">
        <w:rPr>
          <w:noProof/>
          <w:spacing w:val="-6"/>
          <w:lang w:val="sk-SK"/>
        </w:rPr>
        <w:t>Opis finančných produktov</w:t>
      </w:r>
      <w:r w:rsidR="00326E55" w:rsidRPr="00326E55">
        <w:rPr>
          <w:noProof/>
          <w:spacing w:val="-6"/>
          <w:lang w:val="sk-SK"/>
        </w:rPr>
        <w:t xml:space="preserve"> a </w:t>
      </w:r>
      <w:r w:rsidRPr="00326E55">
        <w:rPr>
          <w:noProof/>
          <w:spacing w:val="-6"/>
          <w:lang w:val="sk-SK"/>
        </w:rPr>
        <w:t>oprávnených konečných príjemcov</w:t>
      </w:r>
      <w:r w:rsidR="00326E55" w:rsidRPr="00326E55">
        <w:rPr>
          <w:noProof/>
          <w:spacing w:val="-6"/>
          <w:lang w:val="sk-SK"/>
        </w:rPr>
        <w:t>.</w:t>
      </w:r>
    </w:p>
    <w:p w14:paraId="4BDEB623" w14:textId="77777777" w:rsidR="00326E55" w:rsidRPr="00326E55" w:rsidRDefault="00FB452D">
      <w:pPr>
        <w:pStyle w:val="P68B1DB1-ListParagraph37"/>
        <w:numPr>
          <w:ilvl w:val="4"/>
          <w:numId w:val="42"/>
        </w:numPr>
        <w:spacing w:after="120" w:line="240" w:lineRule="auto"/>
        <w:ind w:left="1276"/>
        <w:jc w:val="both"/>
        <w:rPr>
          <w:noProof/>
          <w:spacing w:val="-6"/>
          <w:lang w:val="sk-SK"/>
        </w:rPr>
      </w:pPr>
      <w:r w:rsidRPr="00326E55">
        <w:rPr>
          <w:noProof/>
          <w:spacing w:val="-6"/>
          <w:lang w:val="sk-SK"/>
        </w:rPr>
        <w:t>Požiadavka, aby všetky podporované investície boli ekonomicky životaschopné</w:t>
      </w:r>
      <w:r w:rsidR="00326E55" w:rsidRPr="00326E55">
        <w:rPr>
          <w:noProof/>
          <w:spacing w:val="-6"/>
          <w:lang w:val="sk-SK"/>
        </w:rPr>
        <w:t>.</w:t>
      </w:r>
    </w:p>
    <w:p w14:paraId="68407A1A" w14:textId="458F3AB3" w:rsidR="00326E55" w:rsidRPr="00326E55" w:rsidRDefault="00FB452D">
      <w:pPr>
        <w:pStyle w:val="ListParagraph"/>
        <w:numPr>
          <w:ilvl w:val="4"/>
          <w:numId w:val="42"/>
        </w:numPr>
        <w:spacing w:after="120" w:line="240" w:lineRule="auto"/>
        <w:ind w:left="1276"/>
        <w:jc w:val="both"/>
        <w:rPr>
          <w:rFonts w:ascii="Times New Roman" w:hAnsi="Times New Roman" w:cs="Times New Roman"/>
          <w:noProof/>
          <w:spacing w:val="-6"/>
          <w:lang w:val="sk-SK"/>
        </w:rPr>
      </w:pPr>
      <w:r w:rsidRPr="00326E55">
        <w:rPr>
          <w:rFonts w:ascii="Times New Roman" w:hAnsi="Times New Roman" w:cs="Times New Roman" w:hint="eastAsia"/>
          <w:noProof/>
          <w:spacing w:val="-6"/>
          <w:lang w:val="sk-SK"/>
        </w:rPr>
        <w:t xml:space="preserve">Požiadavka dodržiavať zásadu </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výrazne nenarušiť</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 ako sa stanovuje</w:t>
      </w:r>
      <w:r w:rsidR="00326E55" w:rsidRPr="00326E55">
        <w:rPr>
          <w:rFonts w:ascii="Times New Roman" w:hAnsi="Times New Roman" w:cs="Times New Roman" w:hint="eastAsia"/>
          <w:noProof/>
          <w:spacing w:val="-6"/>
          <w:lang w:val="sk-SK"/>
        </w:rPr>
        <w:t xml:space="preserve"> v</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technickom usmernení</w:t>
      </w:r>
      <w:r w:rsidR="00326E55" w:rsidRPr="00326E55">
        <w:rPr>
          <w:rFonts w:ascii="Times New Roman" w:hAnsi="Times New Roman" w:cs="Times New Roman" w:hint="eastAsia"/>
          <w:noProof/>
          <w:spacing w:val="-6"/>
          <w:lang w:val="sk-SK"/>
        </w:rPr>
        <w:t xml:space="preserve"> k</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 xml:space="preserve">zásade </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výrazne nenarušiť</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 xml:space="preserve"> (2021/C58/01). Investičná politika vylučuje</w:t>
      </w:r>
      <w:r w:rsidR="00326E55" w:rsidRPr="00326E55">
        <w:rPr>
          <w:rFonts w:ascii="Times New Roman" w:hAnsi="Times New Roman" w:cs="Times New Roman" w:hint="eastAsia"/>
          <w:noProof/>
          <w:spacing w:val="-6"/>
          <w:lang w:val="sk-SK"/>
        </w:rPr>
        <w:t xml:space="preserve"> z</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oprávnenosti najmä tento zoznam činností</w:t>
      </w:r>
      <w:r w:rsidR="00326E55" w:rsidRPr="00326E55">
        <w:rPr>
          <w:rFonts w:ascii="Times New Roman" w:hAnsi="Times New Roman" w:cs="Times New Roman" w:hint="eastAsia"/>
          <w:noProof/>
          <w:spacing w:val="-6"/>
          <w:lang w:val="sk-SK"/>
        </w:rPr>
        <w:t xml:space="preserve"> a</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aktív: I) činnosti</w:t>
      </w:r>
      <w:r w:rsidR="00326E55" w:rsidRPr="00326E55">
        <w:rPr>
          <w:rFonts w:ascii="Times New Roman" w:hAnsi="Times New Roman" w:cs="Times New Roman" w:hint="eastAsia"/>
          <w:noProof/>
          <w:spacing w:val="-6"/>
          <w:lang w:val="sk-SK"/>
        </w:rPr>
        <w:t xml:space="preserve"> a</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aktíva súvisiace</w:t>
      </w:r>
      <w:r w:rsidR="00326E55" w:rsidRPr="00326E55">
        <w:rPr>
          <w:rFonts w:ascii="Times New Roman" w:hAnsi="Times New Roman" w:cs="Times New Roman" w:hint="eastAsia"/>
          <w:noProof/>
          <w:spacing w:val="-6"/>
          <w:lang w:val="sk-SK"/>
        </w:rPr>
        <w:t xml:space="preserve"> s</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fosílnymi palivami vrátane následného používania,</w:t>
      </w:r>
      <w:r w:rsidRPr="00326E55">
        <w:rPr>
          <w:rStyle w:val="FootnoteReference"/>
          <w:rFonts w:ascii="Times New Roman" w:hAnsi="Times New Roman" w:cs="Times New Roman"/>
          <w:noProof/>
          <w:spacing w:val="-6"/>
          <w:lang w:val="sk-SK"/>
        </w:rPr>
        <w:footnoteReference w:id="55"/>
      </w:r>
      <w:r w:rsidRPr="00326E55">
        <w:rPr>
          <w:rFonts w:ascii="Times New Roman" w:hAnsi="Times New Roman" w:cs="Times New Roman"/>
          <w:noProof/>
          <w:spacing w:val="-6"/>
          <w:lang w:val="sk-SK"/>
        </w:rPr>
        <w:t>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systému EÚ na obchodovanie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emisiami (ETS), ktorými sa dosahujú predpokladané emisie skleníkových plynov, ktoré nie sú nižšie ako príslušné referenčné hodnoty,</w:t>
      </w:r>
      <w:r w:rsidRPr="00326E55">
        <w:rPr>
          <w:rStyle w:val="FootnoteReference"/>
          <w:rFonts w:ascii="Times New Roman" w:hAnsi="Times New Roman" w:cs="Times New Roman"/>
          <w:noProof/>
          <w:spacing w:val="-6"/>
          <w:lang w:val="sk-SK"/>
        </w:rPr>
        <w:footnoteReference w:id="56"/>
      </w:r>
      <w:r w:rsidRPr="00326E55">
        <w:rPr>
          <w:rFonts w:ascii="Times New Roman" w:hAnsi="Times New Roman" w:cs="Times New Roman"/>
          <w:noProof/>
          <w:spacing w:val="-6"/>
          <w:lang w:val="sk-SK"/>
        </w:rPr>
        <w:t>iii)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 so skládkami odpadu, spaľovňami</w:t>
      </w:r>
      <w:r w:rsidRPr="00326E55">
        <w:rPr>
          <w:rStyle w:val="FootnoteReference"/>
          <w:rFonts w:ascii="Times New Roman" w:hAnsi="Times New Roman" w:cs="Times New Roman"/>
          <w:noProof/>
          <w:spacing w:val="-6"/>
          <w:lang w:val="sk-SK"/>
        </w:rPr>
        <w:footnoteReference w:id="57"/>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mechanickými biologickými čistiarňami</w:t>
      </w:r>
      <w:r w:rsidRPr="00326E55">
        <w:rPr>
          <w:rStyle w:val="FootnoteReference"/>
          <w:rFonts w:ascii="Times New Roman" w:hAnsi="Times New Roman" w:cs="Times New Roman"/>
          <w:noProof/>
          <w:spacing w:val="-6"/>
          <w:lang w:val="sk-SK"/>
        </w:rPr>
        <w:footnoteReference w:id="58"/>
      </w:r>
      <w:r w:rsidR="00326E55" w:rsidRPr="00326E55">
        <w:rPr>
          <w:rFonts w:ascii="Times New Roman" w:hAnsi="Times New Roman" w:cs="Times New Roman"/>
          <w:noProof/>
          <w:spacing w:val="-6"/>
          <w:lang w:val="sk-SK"/>
        </w:rPr>
        <w:t>.</w:t>
      </w:r>
    </w:p>
    <w:p w14:paraId="40A1190A" w14:textId="122FAEBC" w:rsidR="00BF03AA" w:rsidRPr="00326E55" w:rsidRDefault="00FB452D">
      <w:pPr>
        <w:pStyle w:val="P68B1DB1-ListParagraph37"/>
        <w:numPr>
          <w:ilvl w:val="4"/>
          <w:numId w:val="42"/>
        </w:numPr>
        <w:spacing w:after="120" w:line="240" w:lineRule="auto"/>
        <w:ind w:left="1276"/>
        <w:jc w:val="both"/>
        <w:rPr>
          <w:noProof/>
          <w:spacing w:val="-6"/>
          <w:lang w:val="sk-SK"/>
        </w:rPr>
      </w:pPr>
      <w:r w:rsidRPr="00326E55">
        <w:rPr>
          <w:noProof/>
          <w:spacing w:val="-6"/>
          <w:lang w:val="sk-SK"/>
        </w:rPr>
        <w:t>Požiadavka, ab</w:t>
      </w:r>
      <w:r w:rsidRPr="00326E55">
        <w:rPr>
          <w:noProof/>
          <w:spacing w:val="-6"/>
          <w:lang w:val="sk-SK"/>
        </w:rPr>
        <w:t>y koneční príjemcovia nástroja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7F4A7895" w14:textId="7DF5D5DA" w:rsidR="00BF03AA" w:rsidRPr="00326E55" w:rsidRDefault="00FB452D">
      <w:pPr>
        <w:pStyle w:val="P68B1DB1-ListParagraph37"/>
        <w:numPr>
          <w:ilvl w:val="3"/>
          <w:numId w:val="42"/>
        </w:numPr>
        <w:spacing w:after="120" w:line="240" w:lineRule="auto"/>
        <w:ind w:left="709"/>
        <w:jc w:val="both"/>
        <w:rPr>
          <w:noProof/>
          <w:spacing w:val="-6"/>
          <w:lang w:val="sk-SK"/>
        </w:rPr>
      </w:pPr>
      <w:r w:rsidRPr="00326E55">
        <w:rPr>
          <w:noProof/>
          <w:spacing w:val="-6"/>
          <w:lang w:val="sk-SK"/>
        </w:rPr>
        <w:t>Suma,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reinvestovať akékoľvek spätné toky podľa i</w:t>
      </w:r>
      <w:r w:rsidRPr="00326E55">
        <w:rPr>
          <w:noProof/>
          <w:spacing w:val="-6"/>
          <w:lang w:val="sk-SK"/>
        </w:rPr>
        <w:t>nvestičnej politiky nástroja.</w:t>
      </w:r>
    </w:p>
    <w:p w14:paraId="6700F82B" w14:textId="0F271027" w:rsidR="00BF03AA" w:rsidRPr="00326E55" w:rsidRDefault="00FB452D">
      <w:pPr>
        <w:pStyle w:val="P68B1DB1-ListParagraph37"/>
        <w:numPr>
          <w:ilvl w:val="3"/>
          <w:numId w:val="42"/>
        </w:numPr>
        <w:spacing w:after="120" w:line="240" w:lineRule="auto"/>
        <w:ind w:left="709"/>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p>
    <w:p w14:paraId="2B3D7632" w14:textId="266CE6E9" w:rsidR="00BF03AA" w:rsidRPr="00326E55" w:rsidRDefault="00FB452D">
      <w:pPr>
        <w:pStyle w:val="P68B1DB1-ListParagraph36"/>
        <w:numPr>
          <w:ilvl w:val="4"/>
          <w:numId w:val="42"/>
        </w:numPr>
        <w:spacing w:after="120" w:line="240" w:lineRule="auto"/>
        <w:ind w:left="1276"/>
        <w:jc w:val="both"/>
        <w:rPr>
          <w:rFonts w:hint="default"/>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w:t>
      </w:r>
      <w:r w:rsidR="00326E55" w:rsidRPr="00326E55">
        <w:rPr>
          <w:rFonts w:hint="default"/>
          <w:noProof/>
          <w:spacing w:val="-6"/>
          <w:lang w:val="sk-SK"/>
        </w:rPr>
        <w:t> </w:t>
      </w:r>
      <w:r w:rsidRPr="00326E55">
        <w:rPr>
          <w:noProof/>
          <w:spacing w:val="-6"/>
          <w:lang w:val="sk-SK"/>
        </w:rPr>
        <w:t>mobilizovaných investíciách.</w:t>
      </w:r>
    </w:p>
    <w:p w14:paraId="693E57E9" w14:textId="413DF524" w:rsidR="00326E55" w:rsidRPr="00326E55" w:rsidRDefault="00FB452D">
      <w:pPr>
        <w:pStyle w:val="P68B1DB1-ListParagraph36"/>
        <w:numPr>
          <w:ilvl w:val="4"/>
          <w:numId w:val="42"/>
        </w:numPr>
        <w:spacing w:after="120" w:line="240" w:lineRule="auto"/>
        <w:ind w:left="1276"/>
        <w:jc w:val="both"/>
        <w:rPr>
          <w:rFonts w:hint="default"/>
          <w:noProof/>
          <w:spacing w:val="-6"/>
          <w:lang w:val="sk-SK"/>
        </w:rPr>
      </w:pPr>
      <w:r w:rsidRPr="00326E55">
        <w:rPr>
          <w:noProof/>
          <w:spacing w:val="-6"/>
          <w:lang w:val="sk-SK"/>
        </w:rPr>
        <w:t xml:space="preserve">Opis postupov implementujúceho partnera, ktorými sa zabezpečí </w:t>
      </w:r>
      <w:r w:rsidRPr="00326E55">
        <w:rPr>
          <w:noProof/>
          <w:spacing w:val="-6"/>
          <w:lang w:val="sk-SK"/>
        </w:rPr>
        <w:t>predchádzanie podvodom, korupcii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konfliktom záujmov, ich odhaľovanie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náprava</w:t>
      </w:r>
      <w:r w:rsidR="00326E55" w:rsidRPr="00326E55">
        <w:rPr>
          <w:noProof/>
          <w:spacing w:val="-6"/>
          <w:lang w:val="sk-SK"/>
        </w:rPr>
        <w:t>.</w:t>
      </w:r>
    </w:p>
    <w:p w14:paraId="4F432B30" w14:textId="30489665" w:rsidR="00BF03AA" w:rsidRPr="00326E55" w:rsidRDefault="00FB452D">
      <w:pPr>
        <w:pStyle w:val="P68B1DB1-ListParagraph37"/>
        <w:numPr>
          <w:ilvl w:val="4"/>
          <w:numId w:val="42"/>
        </w:numPr>
        <w:spacing w:after="120" w:line="240" w:lineRule="auto"/>
        <w:ind w:left="1276"/>
        <w:jc w:val="both"/>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tým, ako sa zaviaže financovať operáciu.</w:t>
      </w:r>
    </w:p>
    <w:p w14:paraId="5EDCAFAB" w14:textId="048F4F2B" w:rsidR="00BF03AA" w:rsidRPr="00326E55" w:rsidRDefault="00FB452D">
      <w:pPr>
        <w:pStyle w:val="P68B1DB1-ListParagraph37"/>
        <w:numPr>
          <w:ilvl w:val="4"/>
          <w:numId w:val="42"/>
        </w:numPr>
        <w:spacing w:after="120" w:line="240" w:lineRule="auto"/>
        <w:ind w:left="1276"/>
        <w:jc w:val="both"/>
        <w:rPr>
          <w:noProof/>
          <w:spacing w:val="-6"/>
          <w:lang w:val="sk-SK"/>
        </w:rPr>
      </w:pPr>
      <w:r w:rsidRPr="00326E55">
        <w:rPr>
          <w:noProof/>
          <w:spacing w:val="-6"/>
          <w:lang w:val="sk-SK"/>
        </w:rPr>
        <w:t>Povinnosť vykonávať násle</w:t>
      </w:r>
      <w:r w:rsidRPr="00326E55">
        <w:rPr>
          <w:noProof/>
          <w:spacing w:val="-6"/>
          <w:lang w:val="sk-SK"/>
        </w:rPr>
        <w:t>dné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spoločnosti Invitalia S.p.A. Tieto audity overujú:</w:t>
      </w:r>
    </w:p>
    <w:p w14:paraId="534C2E27" w14:textId="68FB06FF" w:rsidR="00BF03AA" w:rsidRPr="00326E55" w:rsidRDefault="00FB452D">
      <w:pPr>
        <w:pStyle w:val="P68B1DB1-ListParagraph37"/>
        <w:numPr>
          <w:ilvl w:val="5"/>
          <w:numId w:val="42"/>
        </w:numPr>
        <w:spacing w:after="120" w:line="240" w:lineRule="auto"/>
        <w:ind w:left="1985"/>
        <w:jc w:val="both"/>
        <w:rPr>
          <w:noProof/>
          <w:spacing w:val="-6"/>
          <w:lang w:val="sk-SK"/>
        </w:rPr>
      </w:pPr>
      <w:r w:rsidRPr="00326E55">
        <w:rPr>
          <w:noProof/>
          <w:spacing w:val="-6"/>
          <w:lang w:val="sk-SK"/>
        </w:rPr>
        <w:t>účinnosť systémov kontroly vrátane odhaľovania podvodov, korupcie</w:t>
      </w:r>
      <w:r w:rsidR="00326E55" w:rsidRPr="00326E55">
        <w:rPr>
          <w:noProof/>
          <w:spacing w:val="-6"/>
          <w:lang w:val="sk-SK"/>
        </w:rPr>
        <w:t xml:space="preserve"> a </w:t>
      </w:r>
      <w:r w:rsidRPr="00326E55">
        <w:rPr>
          <w:noProof/>
          <w:spacing w:val="-6"/>
          <w:lang w:val="sk-SK"/>
        </w:rPr>
        <w:t>konfliktu záujmov;</w:t>
      </w:r>
    </w:p>
    <w:p w14:paraId="761690B5" w14:textId="77777777" w:rsidR="00326E55" w:rsidRPr="00326E55" w:rsidRDefault="00FB452D">
      <w:pPr>
        <w:pStyle w:val="P68B1DB1-ListParagraph37"/>
        <w:numPr>
          <w:ilvl w:val="5"/>
          <w:numId w:val="42"/>
        </w:numPr>
        <w:spacing w:after="120" w:line="240" w:lineRule="auto"/>
        <w:ind w:left="1985"/>
        <w:jc w:val="both"/>
        <w:rPr>
          <w:noProof/>
          <w:spacing w:val="-6"/>
          <w:lang w:val="sk-SK"/>
        </w:rPr>
      </w:pPr>
      <w:r w:rsidRPr="00326E55">
        <w:rPr>
          <w:noProof/>
          <w:spacing w:val="-6"/>
          <w:lang w:val="sk-SK"/>
        </w:rPr>
        <w:t xml:space="preserve">súlad so zásadou „výrazne nenarušiť“, pravidlami štátnej </w:t>
      </w:r>
      <w:r w:rsidRPr="00326E55">
        <w:rPr>
          <w:noProof/>
          <w:spacing w:val="-6"/>
          <w:lang w:val="sk-SK"/>
        </w:rPr>
        <w:t>pomoci, požiadavkami na ciele</w:t>
      </w:r>
      <w:r w:rsidR="00326E55" w:rsidRPr="00326E55">
        <w:rPr>
          <w:noProof/>
          <w:spacing w:val="-6"/>
          <w:lang w:val="sk-SK"/>
        </w:rPr>
        <w:t xml:space="preserve"> v </w:t>
      </w:r>
      <w:r w:rsidRPr="00326E55">
        <w:rPr>
          <w:noProof/>
          <w:spacing w:val="-6"/>
          <w:lang w:val="sk-SK"/>
        </w:rPr>
        <w:t>oblasti klímy;</w:t>
      </w:r>
      <w:r w:rsidR="00326E55" w:rsidRPr="00326E55">
        <w:rPr>
          <w:noProof/>
          <w:spacing w:val="-6"/>
          <w:lang w:val="sk-SK"/>
        </w:rPr>
        <w:t xml:space="preserve"> a </w:t>
      </w:r>
      <w:r w:rsidRPr="00326E55">
        <w:rPr>
          <w:noProof/>
          <w:spacing w:val="-6"/>
          <w:lang w:val="sk-SK"/>
        </w:rPr>
        <w:t>zároveň</w:t>
      </w:r>
    </w:p>
    <w:p w14:paraId="277EFE87" w14:textId="72064874" w:rsidR="00326E55" w:rsidRPr="00326E55" w:rsidRDefault="00FB452D">
      <w:pPr>
        <w:pStyle w:val="P68B1DB1-ListParagraph37"/>
        <w:numPr>
          <w:ilvl w:val="5"/>
          <w:numId w:val="42"/>
        </w:numPr>
        <w:spacing w:after="120" w:line="240" w:lineRule="auto"/>
        <w:ind w:left="1985"/>
        <w:jc w:val="both"/>
        <w:rPr>
          <w:noProof/>
          <w:spacing w:val="-6"/>
          <w:lang w:val="sk-SK"/>
        </w:rPr>
      </w:pPr>
      <w:r w:rsidRPr="00326E55">
        <w:rPr>
          <w:noProof/>
          <w:spacing w:val="-6"/>
          <w:lang w:val="sk-SK"/>
        </w:rPr>
        <w:t>aby sa dodržala požiadavka, aby koneční príjemcovia nástroja nedostali podporu</w:t>
      </w:r>
      <w:r w:rsidR="00326E55" w:rsidRPr="00326E55">
        <w:rPr>
          <w:noProof/>
          <w:spacing w:val="-6"/>
          <w:lang w:val="sk-SK"/>
        </w:rPr>
        <w:t xml:space="preserve"> z </w:t>
      </w:r>
      <w:r w:rsidRPr="00326E55">
        <w:rPr>
          <w:noProof/>
          <w:spacing w:val="-6"/>
          <w:lang w:val="sk-SK"/>
        </w:rPr>
        <w:t>iných nástrojov Únie na pokrytie rovnakých nákladov. Auditom sa takisto overí zákonnosť transakcií</w:t>
      </w:r>
      <w:r w:rsidR="00326E55" w:rsidRPr="00326E55">
        <w:rPr>
          <w:noProof/>
          <w:spacing w:val="-6"/>
          <w:lang w:val="sk-SK"/>
        </w:rPr>
        <w:t xml:space="preserve"> a </w:t>
      </w:r>
      <w:r w:rsidRPr="00326E55">
        <w:rPr>
          <w:noProof/>
          <w:spacing w:val="-6"/>
          <w:lang w:val="sk-SK"/>
        </w:rPr>
        <w:t>dodržiavanie podm</w:t>
      </w:r>
      <w:r w:rsidRPr="00326E55">
        <w:rPr>
          <w:noProof/>
          <w:spacing w:val="-6"/>
          <w:lang w:val="sk-SK"/>
        </w:rPr>
        <w:t>ienok príslušnej vykonávacej dohody</w:t>
      </w:r>
      <w:r w:rsidR="00326E55" w:rsidRPr="00326E55">
        <w:rPr>
          <w:noProof/>
          <w:spacing w:val="-6"/>
          <w:lang w:val="sk-SK"/>
        </w:rPr>
        <w:t>.</w:t>
      </w:r>
    </w:p>
    <w:p w14:paraId="4C9A763B" w14:textId="78B7C80C" w:rsidR="00BF03AA" w:rsidRPr="00326E55" w:rsidRDefault="00FB452D">
      <w:pPr>
        <w:spacing w:before="120"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5. Požiadavky na investície</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oblasti klímy realizované implementujúcim partnerom: najmenej 460 000 000 EUR</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investícií Mechanizmu</w:t>
      </w:r>
      <w:r w:rsidRPr="00326E55">
        <w:rPr>
          <w:rFonts w:ascii="Times New Roman" w:hAnsi="Times New Roman" w:cs="Times New Roman" w:hint="eastAsia"/>
          <w:noProof/>
          <w:color w:val="006100"/>
          <w:spacing w:val="-6"/>
          <w:sz w:val="20"/>
          <w:szCs w:val="20"/>
          <w:lang w:val="sk-SK"/>
        </w:rPr>
        <w:t xml:space="preserve">  </w:t>
      </w:r>
      <w:r w:rsidRPr="00326E55">
        <w:rPr>
          <w:rFonts w:ascii="Times New Roman" w:hAnsi="Times New Roman" w:cs="Times New Roman"/>
          <w:noProof/>
          <w:spacing w:val="-6"/>
          <w:lang w:val="sk-SK"/>
        </w:rPr>
        <w:t>na podporu obnovy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odolnosti do mechanizmu prispeje</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cieľom</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oblasti zmeny klímy</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súlade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prílohou VI</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nariadeniu</w:t>
      </w:r>
      <w:r w:rsidR="00326E55" w:rsidRPr="00326E55">
        <w:rPr>
          <w:rFonts w:ascii="Times New Roman" w:hAnsi="Times New Roman" w:cs="Times New Roman"/>
          <w:noProof/>
          <w:spacing w:val="-6"/>
          <w:lang w:val="sk-SK"/>
        </w:rPr>
        <w:t xml:space="preserve"> o </w:t>
      </w:r>
      <w:r w:rsidRPr="00326E55">
        <w:rPr>
          <w:rFonts w:ascii="Times New Roman" w:hAnsi="Times New Roman" w:cs="Times New Roman"/>
          <w:noProof/>
          <w:spacing w:val="-6"/>
          <w:lang w:val="sk-SK"/>
        </w:rPr>
        <w:t>Mechanizme na podporu obnovy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odolnosti</w:t>
      </w:r>
      <w:r w:rsidRPr="00326E55">
        <w:rPr>
          <w:rStyle w:val="FootnoteReference"/>
          <w:rFonts w:ascii="Times New Roman" w:hAnsi="Times New Roman" w:cs="Times New Roman"/>
          <w:noProof/>
          <w:spacing w:val="-6"/>
          <w:lang w:val="sk-SK"/>
        </w:rPr>
        <w:footnoteReference w:id="59"/>
      </w:r>
      <w:r w:rsidRPr="00326E55">
        <w:rPr>
          <w:rFonts w:ascii="Times New Roman" w:hAnsi="Times New Roman" w:cs="Times New Roman"/>
          <w:noProof/>
          <w:spacing w:val="-6"/>
          <w:lang w:val="sk-SK"/>
        </w:rPr>
        <w:t>.</w:t>
      </w:r>
    </w:p>
    <w:p w14:paraId="5CB68DFF" w14:textId="77777777" w:rsidR="00BF03AA" w:rsidRPr="00326E55" w:rsidRDefault="00FB452D">
      <w:pPr>
        <w:pStyle w:val="P68B1DB1-Normal5"/>
        <w:spacing w:before="120" w:after="120"/>
        <w:jc w:val="both"/>
        <w:rPr>
          <w:noProof/>
          <w:spacing w:val="-6"/>
          <w:lang w:val="sk-SK"/>
        </w:rPr>
      </w:pPr>
      <w:r w:rsidRPr="00326E55">
        <w:rPr>
          <w:noProof/>
          <w:spacing w:val="-6"/>
          <w:lang w:val="sk-SK"/>
        </w:rPr>
        <w:t>Čiastková investícia 2:</w:t>
      </w:r>
    </w:p>
    <w:p w14:paraId="6272644C" w14:textId="4C3AD089" w:rsidR="00BF03AA" w:rsidRPr="00326E55" w:rsidRDefault="00FB452D">
      <w:pPr>
        <w:pStyle w:val="P68B1DB1-Normal7"/>
        <w:spacing w:before="120" w:after="120"/>
        <w:jc w:val="both"/>
        <w:rPr>
          <w:noProof/>
          <w:spacing w:val="-6"/>
          <w:lang w:val="sk-SK"/>
        </w:rPr>
      </w:pPr>
      <w:r w:rsidRPr="00326E55">
        <w:rPr>
          <w:noProof/>
          <w:spacing w:val="-6"/>
          <w:lang w:val="sk-SK"/>
        </w:rPr>
        <w:t>Táto čiastková investícia pozostáva</w:t>
      </w:r>
      <w:r w:rsidR="00326E55" w:rsidRPr="00326E55">
        <w:rPr>
          <w:noProof/>
          <w:spacing w:val="-6"/>
          <w:lang w:val="sk-SK"/>
        </w:rPr>
        <w:t xml:space="preserve"> z </w:t>
      </w:r>
      <w:r w:rsidRPr="00326E55">
        <w:rPr>
          <w:noProof/>
          <w:spacing w:val="-6"/>
          <w:lang w:val="sk-SK"/>
        </w:rPr>
        <w:t>verejnej investície do nástroja „Konkurencieschopnosť</w:t>
      </w:r>
      <w:r w:rsidR="00326E55" w:rsidRPr="00326E55">
        <w:rPr>
          <w:noProof/>
          <w:spacing w:val="-6"/>
          <w:lang w:val="sk-SK"/>
        </w:rPr>
        <w:t xml:space="preserve"> a </w:t>
      </w:r>
      <w:r w:rsidRPr="00326E55">
        <w:rPr>
          <w:noProof/>
          <w:spacing w:val="-6"/>
          <w:lang w:val="sk-SK"/>
        </w:rPr>
        <w:t>odolnosť strategických dodávateľských reťazcov“</w:t>
      </w:r>
      <w:r w:rsidR="00326E55" w:rsidRPr="00326E55">
        <w:rPr>
          <w:noProof/>
          <w:spacing w:val="-6"/>
          <w:lang w:val="sk-SK"/>
        </w:rPr>
        <w:t xml:space="preserve"> s </w:t>
      </w:r>
      <w:r w:rsidRPr="00326E55">
        <w:rPr>
          <w:noProof/>
          <w:spacing w:val="-6"/>
          <w:lang w:val="sk-SK"/>
        </w:rPr>
        <w:t>cieľom st</w:t>
      </w:r>
      <w:r w:rsidRPr="00326E55">
        <w:rPr>
          <w:noProof/>
          <w:spacing w:val="-6"/>
          <w:lang w:val="sk-SK"/>
        </w:rPr>
        <w: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s </w:t>
      </w:r>
      <w:r w:rsidRPr="00326E55">
        <w:rPr>
          <w:noProof/>
          <w:spacing w:val="-6"/>
          <w:lang w:val="sk-SK"/>
        </w:rPr>
        <w:t>cieľom posilniť priemyselné dodávateľské reťazce.</w:t>
      </w:r>
    </w:p>
    <w:p w14:paraId="597EB0B1" w14:textId="603CA148" w:rsidR="00BF03AA" w:rsidRPr="00326E55" w:rsidRDefault="00FB452D">
      <w:pPr>
        <w:pStyle w:val="P68B1DB1-Normal7"/>
        <w:spacing w:after="120"/>
        <w:jc w:val="both"/>
        <w:rPr>
          <w:noProof/>
          <w:spacing w:val="-6"/>
          <w:lang w:val="sk-SK"/>
        </w:rPr>
      </w:pPr>
      <w:r w:rsidRPr="00326E55">
        <w:rPr>
          <w:noProof/>
          <w:spacing w:val="-6"/>
          <w:lang w:val="sk-SK"/>
        </w:rPr>
        <w:t>Investícia podporuje projekty súvisiace</w:t>
      </w:r>
      <w:r w:rsidR="00326E55" w:rsidRPr="00326E55">
        <w:rPr>
          <w:noProof/>
          <w:spacing w:val="-6"/>
          <w:lang w:val="sk-SK"/>
        </w:rPr>
        <w:t xml:space="preserve"> s </w:t>
      </w:r>
      <w:r w:rsidRPr="00326E55">
        <w:rPr>
          <w:noProof/>
          <w:spacing w:val="-6"/>
          <w:lang w:val="sk-SK"/>
        </w:rPr>
        <w:t>kľúčovými strategickými hodnotovými reťazcami, ako sú programy priemyselného rozvoja</w:t>
      </w:r>
      <w:r w:rsidR="00326E55" w:rsidRPr="00326E55">
        <w:rPr>
          <w:noProof/>
          <w:spacing w:val="-6"/>
          <w:lang w:val="sk-SK"/>
        </w:rPr>
        <w:t xml:space="preserve"> a </w:t>
      </w:r>
      <w:r w:rsidRPr="00326E55">
        <w:rPr>
          <w:noProof/>
          <w:spacing w:val="-6"/>
          <w:lang w:val="sk-SK"/>
        </w:rPr>
        <w:t>programy rozv</w:t>
      </w:r>
      <w:r w:rsidRPr="00326E55">
        <w:rPr>
          <w:noProof/>
          <w:spacing w:val="-6"/>
          <w:lang w:val="sk-SK"/>
        </w:rPr>
        <w:t>oja ochrany životného prostredia.</w:t>
      </w:r>
    </w:p>
    <w:p w14:paraId="6C4D6485" w14:textId="69E5209A" w:rsidR="00BF03AA" w:rsidRPr="00326E55" w:rsidRDefault="00FB452D">
      <w:pPr>
        <w:pStyle w:val="P68B1DB1-Normal7"/>
        <w:spacing w:after="120"/>
        <w:jc w:val="both"/>
        <w:rPr>
          <w:noProof/>
          <w:spacing w:val="-6"/>
          <w:lang w:val="sk-SK"/>
        </w:rPr>
      </w:pPr>
      <w:r w:rsidRPr="00326E55">
        <w:rPr>
          <w:noProof/>
          <w:spacing w:val="-6"/>
          <w:lang w:val="sk-SK"/>
        </w:rPr>
        <w:t>Nástroj funguje tak, že poskytuje nenávratné granty, dotované úvery</w:t>
      </w:r>
      <w:r w:rsidR="00326E55" w:rsidRPr="00326E55">
        <w:rPr>
          <w:noProof/>
          <w:spacing w:val="-6"/>
          <w:lang w:val="sk-SK"/>
        </w:rPr>
        <w:t xml:space="preserve"> a </w:t>
      </w:r>
      <w:r w:rsidRPr="00326E55">
        <w:rPr>
          <w:noProof/>
          <w:spacing w:val="-6"/>
          <w:lang w:val="sk-SK"/>
        </w:rPr>
        <w:t>bonifikácie úrokov priamo súkromnému sektoru.</w:t>
      </w:r>
    </w:p>
    <w:p w14:paraId="20479CC0" w14:textId="77777777" w:rsidR="00326E55" w:rsidRPr="00326E55" w:rsidRDefault="00FB452D">
      <w:pPr>
        <w:pStyle w:val="P68B1DB1-Normal7"/>
        <w:spacing w:after="120"/>
        <w:jc w:val="both"/>
        <w:rPr>
          <w:noProof/>
          <w:spacing w:val="-6"/>
          <w:lang w:val="sk-SK"/>
        </w:rPr>
      </w:pPr>
      <w:r w:rsidRPr="00326E55">
        <w:rPr>
          <w:noProof/>
          <w:spacing w:val="-6"/>
          <w:lang w:val="sk-SK"/>
        </w:rPr>
        <w:t>Nástroj spravuje spoločnosť Invitalia S.p.A. ako implementujúci partner</w:t>
      </w:r>
      <w:r w:rsidR="00326E55" w:rsidRPr="00326E55">
        <w:rPr>
          <w:noProof/>
          <w:spacing w:val="-6"/>
          <w:lang w:val="sk-SK"/>
        </w:rPr>
        <w:t>.</w:t>
      </w:r>
    </w:p>
    <w:p w14:paraId="1C5F8F8D" w14:textId="7FBA46D4" w:rsidR="00BF03AA" w:rsidRPr="00326E55" w:rsidRDefault="00FB452D">
      <w:pPr>
        <w:pStyle w:val="P68B1DB1-Normal7"/>
        <w:spacing w:after="120"/>
        <w:jc w:val="both"/>
        <w:rPr>
          <w:noProof/>
          <w:spacing w:val="-6"/>
          <w:lang w:val="sk-SK"/>
        </w:rPr>
      </w:pPr>
      <w:r w:rsidRPr="00326E55">
        <w:rPr>
          <w:noProof/>
          <w:spacing w:val="-6"/>
          <w:lang w:val="sk-SK"/>
        </w:rPr>
        <w:t>S cieľom implementovať investície</w:t>
      </w:r>
      <w:r w:rsidRPr="00326E55">
        <w:rPr>
          <w:noProof/>
          <w:spacing w:val="-6"/>
          <w:lang w:val="sk-SK"/>
        </w:rPr>
        <w:t xml:space="preserve"> do mechanizmu Taliansko</w:t>
      </w:r>
      <w:r w:rsidR="00326E55" w:rsidRPr="00326E55">
        <w:rPr>
          <w:noProof/>
          <w:spacing w:val="-6"/>
          <w:lang w:val="sk-SK"/>
        </w:rPr>
        <w:t xml:space="preserve"> a </w:t>
      </w:r>
      <w:r w:rsidRPr="00326E55">
        <w:rPr>
          <w:noProof/>
          <w:spacing w:val="-6"/>
          <w:lang w:val="sk-SK"/>
        </w:rPr>
        <w:t>Invitalia podpíšu vykonávaciu dohodu, ktorá bude obsahovať tento obsah:</w:t>
      </w:r>
    </w:p>
    <w:p w14:paraId="58764336" w14:textId="3C4EC680" w:rsidR="00BF03AA" w:rsidRPr="00326E55" w:rsidRDefault="00FB452D">
      <w:pPr>
        <w:pStyle w:val="P68B1DB1-ListParagraph37"/>
        <w:numPr>
          <w:ilvl w:val="0"/>
          <w:numId w:val="60"/>
        </w:numPr>
        <w:spacing w:after="120" w:line="240" w:lineRule="auto"/>
        <w:jc w:val="both"/>
        <w:rPr>
          <w:noProof/>
          <w:spacing w:val="-6"/>
          <w:lang w:val="sk-SK"/>
        </w:rPr>
      </w:pPr>
      <w:r w:rsidRPr="00326E55">
        <w:rPr>
          <w:noProof/>
          <w:spacing w:val="-6"/>
          <w:lang w:val="sk-SK"/>
        </w:rPr>
        <w:t>Opis rozhodovacieho procesu nástroja: Konečné investičné rozhodnutia</w:t>
      </w:r>
      <w:r w:rsidR="00326E55" w:rsidRPr="00326E55">
        <w:rPr>
          <w:noProof/>
          <w:spacing w:val="-6"/>
          <w:lang w:val="sk-SK"/>
        </w:rPr>
        <w:t xml:space="preserve"> a </w:t>
      </w:r>
      <w:r w:rsidRPr="00326E55">
        <w:rPr>
          <w:noProof/>
          <w:spacing w:val="-6"/>
          <w:lang w:val="sk-SK"/>
        </w:rPr>
        <w:t>rozhodnutia</w:t>
      </w:r>
      <w:r w:rsidR="00326E55" w:rsidRPr="00326E55">
        <w:rPr>
          <w:noProof/>
          <w:spacing w:val="-6"/>
          <w:lang w:val="sk-SK"/>
        </w:rPr>
        <w:t xml:space="preserve"> o </w:t>
      </w:r>
      <w:r w:rsidRPr="00326E55">
        <w:rPr>
          <w:noProof/>
          <w:spacing w:val="-6"/>
          <w:lang w:val="sk-SK"/>
        </w:rPr>
        <w:t>udelení nástroja prijíma investičný výbor alebo iný príslušný rovnocenný</w:t>
      </w:r>
      <w:r w:rsidRPr="00326E55">
        <w:rPr>
          <w:noProof/>
          <w:spacing w:val="-6"/>
          <w:lang w:val="sk-SK"/>
        </w:rPr>
        <w:t xml:space="preserve"> riadiaci orgán</w:t>
      </w:r>
      <w:r w:rsidR="00326E55" w:rsidRPr="00326E55">
        <w:rPr>
          <w:noProof/>
          <w:spacing w:val="-6"/>
          <w:lang w:val="sk-SK"/>
        </w:rPr>
        <w:t xml:space="preserve"> a </w:t>
      </w:r>
      <w:r w:rsidRPr="00326E55">
        <w:rPr>
          <w:noProof/>
          <w:spacing w:val="-6"/>
          <w:lang w:val="sk-SK"/>
        </w:rPr>
        <w:t>schvaľujú sa väčšinou hlasov členov, ktorí sú nezávislí od vlády.</w:t>
      </w:r>
    </w:p>
    <w:p w14:paraId="04A5C01C" w14:textId="77777777" w:rsidR="00BF03AA" w:rsidRPr="00326E55" w:rsidRDefault="00FB452D">
      <w:pPr>
        <w:pStyle w:val="P68B1DB1-ListParagraph37"/>
        <w:numPr>
          <w:ilvl w:val="0"/>
          <w:numId w:val="60"/>
        </w:numPr>
        <w:spacing w:after="120" w:line="240" w:lineRule="auto"/>
        <w:jc w:val="both"/>
        <w:rPr>
          <w:noProof/>
          <w:spacing w:val="-6"/>
          <w:lang w:val="sk-SK"/>
        </w:rPr>
      </w:pPr>
      <w:r w:rsidRPr="00326E55">
        <w:rPr>
          <w:noProof/>
          <w:spacing w:val="-6"/>
          <w:lang w:val="sk-SK"/>
        </w:rPr>
        <w:t>Kľúčové požiadavky súvisiacej investičnej politiky, ktoré zahŕňajú:</w:t>
      </w:r>
    </w:p>
    <w:p w14:paraId="3B59B58E" w14:textId="6FC6BDE0" w:rsidR="00326E55" w:rsidRPr="00326E55" w:rsidRDefault="00FB452D">
      <w:pPr>
        <w:pStyle w:val="P68B1DB1-ListParagraph37"/>
        <w:numPr>
          <w:ilvl w:val="0"/>
          <w:numId w:val="61"/>
        </w:numPr>
        <w:spacing w:after="120" w:line="240" w:lineRule="auto"/>
        <w:jc w:val="both"/>
        <w:rPr>
          <w:noProof/>
          <w:spacing w:val="-6"/>
          <w:lang w:val="sk-SK"/>
        </w:rPr>
      </w:pPr>
      <w:r w:rsidRPr="00326E55">
        <w:rPr>
          <w:noProof/>
          <w:spacing w:val="-6"/>
          <w:lang w:val="sk-SK"/>
        </w:rPr>
        <w:t>Opis finančného(-ých) produktu(-ov)</w:t>
      </w:r>
      <w:r w:rsidR="00326E55" w:rsidRPr="00326E55">
        <w:rPr>
          <w:noProof/>
          <w:spacing w:val="-6"/>
          <w:lang w:val="sk-SK"/>
        </w:rPr>
        <w:t xml:space="preserve"> a </w:t>
      </w:r>
      <w:r w:rsidRPr="00326E55">
        <w:rPr>
          <w:noProof/>
          <w:spacing w:val="-6"/>
          <w:lang w:val="sk-SK"/>
        </w:rPr>
        <w:t>oprávnených konečných príjemcov</w:t>
      </w:r>
      <w:r w:rsidR="00326E55" w:rsidRPr="00326E55">
        <w:rPr>
          <w:noProof/>
          <w:spacing w:val="-6"/>
          <w:lang w:val="sk-SK"/>
        </w:rPr>
        <w:t>.</w:t>
      </w:r>
    </w:p>
    <w:p w14:paraId="638DE2E4" w14:textId="77777777" w:rsidR="00326E55" w:rsidRPr="00326E55" w:rsidRDefault="00FB452D">
      <w:pPr>
        <w:pStyle w:val="P68B1DB1-ListParagraph37"/>
        <w:numPr>
          <w:ilvl w:val="0"/>
          <w:numId w:val="61"/>
        </w:numPr>
        <w:spacing w:after="120" w:line="240" w:lineRule="auto"/>
        <w:jc w:val="both"/>
        <w:rPr>
          <w:noProof/>
          <w:spacing w:val="-6"/>
          <w:lang w:val="sk-SK"/>
        </w:rPr>
      </w:pPr>
      <w:r w:rsidRPr="00326E55">
        <w:rPr>
          <w:noProof/>
          <w:spacing w:val="-6"/>
          <w:lang w:val="sk-SK"/>
        </w:rPr>
        <w:t>Požiadavka, aby všetky podporovan</w:t>
      </w:r>
      <w:r w:rsidRPr="00326E55">
        <w:rPr>
          <w:noProof/>
          <w:spacing w:val="-6"/>
          <w:lang w:val="sk-SK"/>
        </w:rPr>
        <w:t>é investície boli ekonomicky životaschopné</w:t>
      </w:r>
      <w:r w:rsidR="00326E55" w:rsidRPr="00326E55">
        <w:rPr>
          <w:noProof/>
          <w:spacing w:val="-6"/>
          <w:lang w:val="sk-SK"/>
        </w:rPr>
        <w:t>.</w:t>
      </w:r>
    </w:p>
    <w:p w14:paraId="03601AC1" w14:textId="55F4DCA4" w:rsidR="00326E55" w:rsidRPr="00326E55" w:rsidRDefault="00FB452D">
      <w:pPr>
        <w:pStyle w:val="ListParagraph"/>
        <w:numPr>
          <w:ilvl w:val="0"/>
          <w:numId w:val="61"/>
        </w:numPr>
        <w:spacing w:after="120" w:line="240" w:lineRule="auto"/>
        <w:jc w:val="both"/>
        <w:rPr>
          <w:rFonts w:ascii="Times New Roman" w:hAnsi="Times New Roman" w:cs="Times New Roman"/>
          <w:noProof/>
          <w:spacing w:val="-6"/>
          <w:lang w:val="sk-SK"/>
        </w:rPr>
      </w:pPr>
      <w:r w:rsidRPr="00326E55">
        <w:rPr>
          <w:rFonts w:ascii="Times New Roman" w:hAnsi="Times New Roman" w:cs="Times New Roman" w:hint="eastAsia"/>
          <w:noProof/>
          <w:spacing w:val="-6"/>
          <w:lang w:val="sk-SK"/>
        </w:rPr>
        <w:t xml:space="preserve">Požiadavka dodržiavať zásadu </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výrazne nenarušiť</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 ako sa stanovuje</w:t>
      </w:r>
      <w:r w:rsidR="00326E55" w:rsidRPr="00326E55">
        <w:rPr>
          <w:rFonts w:ascii="Times New Roman" w:hAnsi="Times New Roman" w:cs="Times New Roman" w:hint="eastAsia"/>
          <w:noProof/>
          <w:spacing w:val="-6"/>
          <w:lang w:val="sk-SK"/>
        </w:rPr>
        <w:t xml:space="preserve"> v</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technickom usmernení</w:t>
      </w:r>
      <w:r w:rsidR="00326E55" w:rsidRPr="00326E55">
        <w:rPr>
          <w:rFonts w:ascii="Times New Roman" w:hAnsi="Times New Roman" w:cs="Times New Roman" w:hint="eastAsia"/>
          <w:noProof/>
          <w:spacing w:val="-6"/>
          <w:lang w:val="sk-SK"/>
        </w:rPr>
        <w:t xml:space="preserve"> k</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 xml:space="preserve">zásade </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výrazne nenarušiť</w:t>
      </w:r>
      <w:r w:rsidRPr="00326E55">
        <w:rPr>
          <w:rFonts w:ascii="Times New Roman" w:hAnsi="Times New Roman" w:cs="Times New Roman" w:hint="eastAsia"/>
          <w:noProof/>
          <w:spacing w:val="-6"/>
          <w:lang w:val="sk-SK"/>
        </w:rPr>
        <w:t>“</w:t>
      </w:r>
      <w:r w:rsidRPr="00326E55">
        <w:rPr>
          <w:rFonts w:ascii="Times New Roman" w:hAnsi="Times New Roman" w:cs="Times New Roman" w:hint="eastAsia"/>
          <w:noProof/>
          <w:spacing w:val="-6"/>
          <w:lang w:val="sk-SK"/>
        </w:rPr>
        <w:t xml:space="preserve"> (2021/C58/01). Investičná politika vylučuje</w:t>
      </w:r>
      <w:r w:rsidR="00326E55" w:rsidRPr="00326E55">
        <w:rPr>
          <w:rFonts w:ascii="Times New Roman" w:hAnsi="Times New Roman" w:cs="Times New Roman" w:hint="eastAsia"/>
          <w:noProof/>
          <w:spacing w:val="-6"/>
          <w:lang w:val="sk-SK"/>
        </w:rPr>
        <w:t xml:space="preserve"> z</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oprávnenosti najmä tento zoznam činností</w:t>
      </w:r>
      <w:r w:rsidR="00326E55" w:rsidRPr="00326E55">
        <w:rPr>
          <w:rFonts w:ascii="Times New Roman" w:hAnsi="Times New Roman" w:cs="Times New Roman" w:hint="eastAsia"/>
          <w:noProof/>
          <w:spacing w:val="-6"/>
          <w:lang w:val="sk-SK"/>
        </w:rPr>
        <w:t xml:space="preserve"> a</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aktí</w:t>
      </w:r>
      <w:r w:rsidRPr="00326E55">
        <w:rPr>
          <w:rFonts w:ascii="Times New Roman" w:hAnsi="Times New Roman" w:cs="Times New Roman" w:hint="eastAsia"/>
          <w:noProof/>
          <w:spacing w:val="-6"/>
          <w:lang w:val="sk-SK"/>
        </w:rPr>
        <w:t>v: I) činnosti</w:t>
      </w:r>
      <w:r w:rsidR="00326E55" w:rsidRPr="00326E55">
        <w:rPr>
          <w:rFonts w:ascii="Times New Roman" w:hAnsi="Times New Roman" w:cs="Times New Roman" w:hint="eastAsia"/>
          <w:noProof/>
          <w:spacing w:val="-6"/>
          <w:lang w:val="sk-SK"/>
        </w:rPr>
        <w:t xml:space="preserve"> a</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aktíva súvisiace</w:t>
      </w:r>
      <w:r w:rsidR="00326E55" w:rsidRPr="00326E55">
        <w:rPr>
          <w:rFonts w:ascii="Times New Roman" w:hAnsi="Times New Roman" w:cs="Times New Roman" w:hint="eastAsia"/>
          <w:noProof/>
          <w:spacing w:val="-6"/>
          <w:lang w:val="sk-SK"/>
        </w:rPr>
        <w:t xml:space="preserve"> s</w:t>
      </w:r>
      <w:r w:rsidR="00326E55" w:rsidRPr="00326E55">
        <w:rPr>
          <w:rFonts w:ascii="Times New Roman" w:hAnsi="Times New Roman" w:cs="Times New Roman"/>
          <w:noProof/>
          <w:spacing w:val="-6"/>
          <w:lang w:val="sk-SK"/>
        </w:rPr>
        <w:t> </w:t>
      </w:r>
      <w:r w:rsidRPr="00326E55">
        <w:rPr>
          <w:rFonts w:ascii="Times New Roman" w:hAnsi="Times New Roman" w:cs="Times New Roman" w:hint="eastAsia"/>
          <w:noProof/>
          <w:spacing w:val="-6"/>
          <w:lang w:val="sk-SK"/>
        </w:rPr>
        <w:t>fosílnymi palivami vrátane následného používania,</w:t>
      </w:r>
      <w:r w:rsidRPr="00326E55">
        <w:rPr>
          <w:rStyle w:val="FootnoteReference"/>
          <w:rFonts w:ascii="Times New Roman" w:hAnsi="Times New Roman" w:cs="Times New Roman"/>
          <w:noProof/>
          <w:spacing w:val="-6"/>
          <w:lang w:val="sk-SK"/>
        </w:rPr>
        <w:footnoteReference w:id="60"/>
      </w:r>
      <w:r w:rsidRPr="00326E55">
        <w:rPr>
          <w:rFonts w:ascii="Times New Roman" w:hAnsi="Times New Roman" w:cs="Times New Roman"/>
          <w:noProof/>
          <w:spacing w:val="-6"/>
          <w:lang w:val="sk-SK"/>
        </w:rPr>
        <w:t>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systému EÚ na obchodovanie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emisiami (ETS), ktorými sa dosahujú predpokladané emisie skleníkových plynov, ktoré nie sú nižšie ako príslušné</w:t>
      </w:r>
      <w:r w:rsidRPr="00326E55">
        <w:rPr>
          <w:rFonts w:ascii="Times New Roman" w:hAnsi="Times New Roman" w:cs="Times New Roman"/>
          <w:noProof/>
          <w:spacing w:val="-6"/>
          <w:lang w:val="sk-SK"/>
        </w:rPr>
        <w:t xml:space="preserve"> referenčné hodnoty,</w:t>
      </w:r>
      <w:r w:rsidRPr="00326E55">
        <w:rPr>
          <w:rStyle w:val="FootnoteReference"/>
          <w:rFonts w:ascii="Times New Roman" w:hAnsi="Times New Roman" w:cs="Times New Roman"/>
          <w:noProof/>
          <w:spacing w:val="-6"/>
          <w:lang w:val="sk-SK"/>
        </w:rPr>
        <w:footnoteReference w:id="61"/>
      </w:r>
      <w:r w:rsidRPr="00326E55">
        <w:rPr>
          <w:rFonts w:ascii="Times New Roman" w:hAnsi="Times New Roman" w:cs="Times New Roman"/>
          <w:noProof/>
          <w:spacing w:val="-6"/>
          <w:lang w:val="sk-SK"/>
        </w:rPr>
        <w:t>iii)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 so skládkami odpadu, spaľovňami</w:t>
      </w:r>
      <w:r w:rsidRPr="00326E55">
        <w:rPr>
          <w:rStyle w:val="FootnoteReference"/>
          <w:rFonts w:ascii="Times New Roman" w:hAnsi="Times New Roman" w:cs="Times New Roman"/>
          <w:noProof/>
          <w:spacing w:val="-6"/>
          <w:lang w:val="sk-SK"/>
        </w:rPr>
        <w:footnoteReference w:id="62"/>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mechanickými biologickými čistiarňami</w:t>
      </w:r>
      <w:r w:rsidRPr="00326E55">
        <w:rPr>
          <w:rStyle w:val="FootnoteReference"/>
          <w:rFonts w:ascii="Times New Roman" w:hAnsi="Times New Roman" w:cs="Times New Roman"/>
          <w:noProof/>
          <w:spacing w:val="-6"/>
          <w:lang w:val="sk-SK"/>
        </w:rPr>
        <w:footnoteReference w:id="63"/>
      </w:r>
      <w:r w:rsidR="00326E55" w:rsidRPr="00326E55">
        <w:rPr>
          <w:rFonts w:ascii="Times New Roman" w:hAnsi="Times New Roman" w:cs="Times New Roman"/>
          <w:noProof/>
          <w:spacing w:val="-6"/>
          <w:lang w:val="sk-SK"/>
        </w:rPr>
        <w:t>.</w:t>
      </w:r>
    </w:p>
    <w:p w14:paraId="2010774B" w14:textId="6CD11018" w:rsidR="00BF03AA" w:rsidRPr="00326E55" w:rsidRDefault="00FB452D">
      <w:pPr>
        <w:pStyle w:val="P68B1DB1-ListParagraph37"/>
        <w:numPr>
          <w:ilvl w:val="0"/>
          <w:numId w:val="61"/>
        </w:numPr>
        <w:spacing w:after="120" w:line="240" w:lineRule="auto"/>
        <w:jc w:val="both"/>
        <w:rPr>
          <w:noProof/>
          <w:spacing w:val="-6"/>
          <w:lang w:val="sk-SK"/>
        </w:rPr>
      </w:pPr>
      <w:r w:rsidRPr="00326E55">
        <w:rPr>
          <w:noProof/>
          <w:spacing w:val="-6"/>
          <w:lang w:val="sk-SK"/>
        </w:rPr>
        <w:t>Požiadavka, aby koneční príjemcovia nástroja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32BD3191" w14:textId="6CB5B95F" w:rsidR="00BF03AA" w:rsidRPr="00326E55" w:rsidRDefault="00FB452D">
      <w:pPr>
        <w:pStyle w:val="P68B1DB1-ListParagraph37"/>
        <w:numPr>
          <w:ilvl w:val="0"/>
          <w:numId w:val="60"/>
        </w:numPr>
        <w:spacing w:after="120" w:line="240" w:lineRule="auto"/>
        <w:jc w:val="both"/>
        <w:rPr>
          <w:noProof/>
          <w:spacing w:val="-6"/>
          <w:lang w:val="sk-SK"/>
        </w:rPr>
      </w:pPr>
      <w:r w:rsidRPr="00326E55">
        <w:rPr>
          <w:noProof/>
          <w:spacing w:val="-6"/>
          <w:lang w:val="sk-SK"/>
        </w:rPr>
        <w:t xml:space="preserve">Suma, na </w:t>
      </w:r>
      <w:r w:rsidRPr="00326E55">
        <w:rPr>
          <w:noProof/>
          <w:spacing w:val="-6"/>
          <w:lang w:val="sk-SK"/>
        </w:rPr>
        <w:t>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reinvestovať akékoľvek spätné toky podľa investičnej politiky nástroja.</w:t>
      </w:r>
    </w:p>
    <w:p w14:paraId="1F235FCB" w14:textId="0558C35C" w:rsidR="00BF03AA" w:rsidRPr="00326E55" w:rsidRDefault="00FB452D">
      <w:pPr>
        <w:pStyle w:val="P68B1DB1-ListParagraph37"/>
        <w:numPr>
          <w:ilvl w:val="0"/>
          <w:numId w:val="60"/>
        </w:numPr>
        <w:spacing w:after="120" w:line="240" w:lineRule="auto"/>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p>
    <w:p w14:paraId="2B1EB99A" w14:textId="45AC8B9A" w:rsidR="00BF03AA" w:rsidRPr="00326E55" w:rsidRDefault="00FB452D">
      <w:pPr>
        <w:pStyle w:val="P68B1DB1-ListParagraph36"/>
        <w:numPr>
          <w:ilvl w:val="1"/>
          <w:numId w:val="62"/>
        </w:numPr>
        <w:spacing w:after="120" w:line="240" w:lineRule="auto"/>
        <w:jc w:val="both"/>
        <w:rPr>
          <w:rFonts w:hint="default"/>
          <w:noProof/>
          <w:spacing w:val="-6"/>
          <w:lang w:val="sk-SK"/>
        </w:rPr>
      </w:pPr>
      <w:r w:rsidRPr="00326E55">
        <w:rPr>
          <w:noProof/>
          <w:spacing w:val="-6"/>
          <w:lang w:val="sk-SK"/>
        </w:rPr>
        <w:t>Opis monitorovacieho systému</w:t>
      </w:r>
      <w:r w:rsidRPr="00326E55">
        <w:rPr>
          <w:noProof/>
          <w:spacing w:val="-6"/>
          <w:lang w:val="sk-SK"/>
        </w:rPr>
        <w:t xml:space="preserve"> implementujúceho partnera na podávanie správ</w:t>
      </w:r>
      <w:r w:rsidR="00326E55" w:rsidRPr="00326E55">
        <w:rPr>
          <w:noProof/>
          <w:spacing w:val="-6"/>
          <w:lang w:val="sk-SK"/>
        </w:rPr>
        <w:t xml:space="preserve"> o</w:t>
      </w:r>
      <w:r w:rsidR="00326E55" w:rsidRPr="00326E55">
        <w:rPr>
          <w:rFonts w:hint="default"/>
          <w:noProof/>
          <w:spacing w:val="-6"/>
          <w:lang w:val="sk-SK"/>
        </w:rPr>
        <w:t> </w:t>
      </w:r>
      <w:r w:rsidRPr="00326E55">
        <w:rPr>
          <w:noProof/>
          <w:spacing w:val="-6"/>
          <w:lang w:val="sk-SK"/>
        </w:rPr>
        <w:t>mobilizovaných investíciách.</w:t>
      </w:r>
    </w:p>
    <w:p w14:paraId="28264CA6" w14:textId="5BDE0965" w:rsidR="00326E55" w:rsidRPr="00326E55" w:rsidRDefault="00FB452D">
      <w:pPr>
        <w:pStyle w:val="P68B1DB1-ListParagraph36"/>
        <w:numPr>
          <w:ilvl w:val="1"/>
          <w:numId w:val="62"/>
        </w:numPr>
        <w:spacing w:after="120" w:line="240" w:lineRule="auto"/>
        <w:jc w:val="both"/>
        <w:rPr>
          <w:rFonts w:hint="default"/>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konfliktom záujmov, ich odhaľovanie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náprava</w:t>
      </w:r>
      <w:r w:rsidR="00326E55" w:rsidRPr="00326E55">
        <w:rPr>
          <w:noProof/>
          <w:spacing w:val="-6"/>
          <w:lang w:val="sk-SK"/>
        </w:rPr>
        <w:t>.</w:t>
      </w:r>
    </w:p>
    <w:p w14:paraId="59FE0E83" w14:textId="51EB9069" w:rsidR="00BF03AA" w:rsidRPr="00326E55" w:rsidRDefault="00FB452D">
      <w:pPr>
        <w:pStyle w:val="P68B1DB1-ListParagraph37"/>
        <w:numPr>
          <w:ilvl w:val="1"/>
          <w:numId w:val="62"/>
        </w:numPr>
        <w:spacing w:after="120" w:line="240" w:lineRule="auto"/>
        <w:jc w:val="both"/>
        <w:rPr>
          <w:noProof/>
          <w:spacing w:val="-6"/>
          <w:lang w:val="sk-SK"/>
        </w:rPr>
      </w:pPr>
      <w:r w:rsidRPr="00326E55">
        <w:rPr>
          <w:noProof/>
          <w:spacing w:val="-6"/>
          <w:lang w:val="sk-SK"/>
        </w:rPr>
        <w:t>Povinnosť overiť oprávnenosť každej</w:t>
      </w:r>
      <w:r w:rsidRPr="00326E55">
        <w:rPr>
          <w:noProof/>
          <w:spacing w:val="-6"/>
          <w:lang w:val="sk-SK"/>
        </w:rPr>
        <w:t xml:space="preserve">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tým, ako sa zaviaže financovať operáciu.</w:t>
      </w:r>
    </w:p>
    <w:p w14:paraId="027FADFB" w14:textId="5E10A50E" w:rsidR="00BF03AA" w:rsidRPr="00326E55" w:rsidRDefault="00FB452D">
      <w:pPr>
        <w:pStyle w:val="P68B1DB1-ListParagraph37"/>
        <w:numPr>
          <w:ilvl w:val="1"/>
          <w:numId w:val="62"/>
        </w:numPr>
        <w:spacing w:after="120" w:line="240" w:lineRule="auto"/>
        <w:jc w:val="both"/>
        <w:rPr>
          <w:noProof/>
          <w:spacing w:val="-6"/>
          <w:lang w:val="sk-SK"/>
        </w:rPr>
      </w:pPr>
      <w:r w:rsidRPr="00326E55">
        <w:rPr>
          <w:noProof/>
          <w:spacing w:val="-6"/>
          <w:lang w:val="sk-SK"/>
        </w:rPr>
        <w:t>Povinnosť vykonávať následné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OCHÚ Invitalia. Týmito auditmi sa overia:</w:t>
      </w:r>
    </w:p>
    <w:p w14:paraId="7742295B" w14:textId="634E71D0" w:rsidR="00BF03AA" w:rsidRPr="00326E55" w:rsidRDefault="00FB452D">
      <w:pPr>
        <w:pStyle w:val="P68B1DB1-ListParagraph37"/>
        <w:numPr>
          <w:ilvl w:val="2"/>
          <w:numId w:val="62"/>
        </w:numPr>
        <w:spacing w:after="120" w:line="240" w:lineRule="auto"/>
        <w:jc w:val="both"/>
        <w:rPr>
          <w:noProof/>
          <w:spacing w:val="-6"/>
          <w:lang w:val="sk-SK"/>
        </w:rPr>
      </w:pPr>
      <w:r w:rsidRPr="00326E55">
        <w:rPr>
          <w:noProof/>
          <w:spacing w:val="-6"/>
          <w:lang w:val="sk-SK"/>
        </w:rPr>
        <w:t>účinnosť systémov ko</w:t>
      </w:r>
      <w:r w:rsidRPr="00326E55">
        <w:rPr>
          <w:noProof/>
          <w:spacing w:val="-6"/>
          <w:lang w:val="sk-SK"/>
        </w:rPr>
        <w:t>ntroly vrátane odhaľovania podvodov, korupcie</w:t>
      </w:r>
      <w:r w:rsidR="00326E55" w:rsidRPr="00326E55">
        <w:rPr>
          <w:noProof/>
          <w:spacing w:val="-6"/>
          <w:lang w:val="sk-SK"/>
        </w:rPr>
        <w:t xml:space="preserve"> a </w:t>
      </w:r>
      <w:r w:rsidRPr="00326E55">
        <w:rPr>
          <w:noProof/>
          <w:spacing w:val="-6"/>
          <w:lang w:val="sk-SK"/>
        </w:rPr>
        <w:t>konfliktu záujmov;</w:t>
      </w:r>
    </w:p>
    <w:p w14:paraId="3EB34CC0" w14:textId="77777777" w:rsidR="00326E55" w:rsidRPr="00326E55" w:rsidRDefault="00FB452D">
      <w:pPr>
        <w:pStyle w:val="P68B1DB1-ListParagraph37"/>
        <w:numPr>
          <w:ilvl w:val="2"/>
          <w:numId w:val="62"/>
        </w:numPr>
        <w:spacing w:after="120" w:line="240" w:lineRule="auto"/>
        <w:jc w:val="both"/>
        <w:rPr>
          <w:noProof/>
          <w:spacing w:val="-6"/>
          <w:lang w:val="sk-SK"/>
        </w:rPr>
      </w:pPr>
      <w:r w:rsidRPr="00326E55">
        <w:rPr>
          <w:noProof/>
          <w:spacing w:val="-6"/>
          <w:lang w:val="sk-SK"/>
        </w:rPr>
        <w:t>súlad so zásadou „výrazne nenarušiť“, pravidlami štátnej pomoci, požiadavkami na ciele</w:t>
      </w:r>
      <w:r w:rsidR="00326E55" w:rsidRPr="00326E55">
        <w:rPr>
          <w:noProof/>
          <w:spacing w:val="-6"/>
          <w:lang w:val="sk-SK"/>
        </w:rPr>
        <w:t xml:space="preserve"> v </w:t>
      </w:r>
      <w:r w:rsidRPr="00326E55">
        <w:rPr>
          <w:noProof/>
          <w:spacing w:val="-6"/>
          <w:lang w:val="sk-SK"/>
        </w:rPr>
        <w:t>oblasti klímy;</w:t>
      </w:r>
      <w:r w:rsidR="00326E55" w:rsidRPr="00326E55">
        <w:rPr>
          <w:noProof/>
          <w:spacing w:val="-6"/>
          <w:lang w:val="sk-SK"/>
        </w:rPr>
        <w:t xml:space="preserve"> a </w:t>
      </w:r>
      <w:r w:rsidRPr="00326E55">
        <w:rPr>
          <w:noProof/>
          <w:spacing w:val="-6"/>
          <w:lang w:val="sk-SK"/>
        </w:rPr>
        <w:t>zároveň</w:t>
      </w:r>
    </w:p>
    <w:p w14:paraId="13932B43" w14:textId="5ABA78A6" w:rsidR="00BF03AA" w:rsidRPr="00326E55" w:rsidRDefault="00FB452D">
      <w:pPr>
        <w:pStyle w:val="P68B1DB1-ListParagraph37"/>
        <w:numPr>
          <w:ilvl w:val="2"/>
          <w:numId w:val="62"/>
        </w:numPr>
        <w:spacing w:after="120" w:line="240" w:lineRule="auto"/>
        <w:jc w:val="both"/>
        <w:rPr>
          <w:noProof/>
          <w:spacing w:val="-6"/>
          <w:lang w:val="sk-SK"/>
        </w:rPr>
      </w:pPr>
      <w:r w:rsidRPr="00326E55">
        <w:rPr>
          <w:noProof/>
          <w:spacing w:val="-6"/>
          <w:lang w:val="sk-SK"/>
        </w:rPr>
        <w:t>aby sa dodržala požiadavka, aby koneční príjemcovia nástroja nedostali podp</w:t>
      </w:r>
      <w:r w:rsidRPr="00326E55">
        <w:rPr>
          <w:noProof/>
          <w:spacing w:val="-6"/>
          <w:lang w:val="sk-SK"/>
        </w:rPr>
        <w:t>oru</w:t>
      </w:r>
      <w:r w:rsidR="00326E55" w:rsidRPr="00326E55">
        <w:rPr>
          <w:noProof/>
          <w:spacing w:val="-6"/>
          <w:lang w:val="sk-SK"/>
        </w:rPr>
        <w:t xml:space="preserve"> z </w:t>
      </w:r>
      <w:r w:rsidRPr="00326E55">
        <w:rPr>
          <w:noProof/>
          <w:spacing w:val="-6"/>
          <w:lang w:val="sk-SK"/>
        </w:rPr>
        <w:t>iných nástrojov Únie na pokrytie rovnakých nákladov. Auditom sa takisto overí zákonnosť transakcií</w:t>
      </w:r>
      <w:r w:rsidR="00326E55" w:rsidRPr="00326E55">
        <w:rPr>
          <w:noProof/>
          <w:spacing w:val="-6"/>
          <w:lang w:val="sk-SK"/>
        </w:rPr>
        <w:t xml:space="preserve"> a </w:t>
      </w:r>
      <w:r w:rsidRPr="00326E55">
        <w:rPr>
          <w:noProof/>
          <w:spacing w:val="-6"/>
          <w:lang w:val="sk-SK"/>
        </w:rPr>
        <w:t>dodržiavanie podmienok príslušnej vykonávacej dohody.</w:t>
      </w:r>
    </w:p>
    <w:p w14:paraId="0FEF5986" w14:textId="2846B840" w:rsidR="00BF03AA" w:rsidRPr="00326E55" w:rsidRDefault="00FB452D">
      <w:pPr>
        <w:pStyle w:val="P68B1DB1-Normal29"/>
        <w:spacing w:before="120" w:after="120"/>
        <w:jc w:val="both"/>
        <w:rPr>
          <w:noProof/>
          <w:spacing w:val="-6"/>
          <w:lang w:val="sk-SK"/>
        </w:rPr>
      </w:pPr>
      <w:r w:rsidRPr="00326E55">
        <w:rPr>
          <w:noProof/>
          <w:spacing w:val="-6"/>
          <w:lang w:val="sk-SK"/>
        </w:rPr>
        <w:t>Investícia 5.2 – Rozvoj medzinárodného</w:t>
      </w:r>
      <w:r w:rsidR="00326E55" w:rsidRPr="00326E55">
        <w:rPr>
          <w:noProof/>
          <w:spacing w:val="-6"/>
          <w:lang w:val="sk-SK"/>
        </w:rPr>
        <w:t xml:space="preserve"> a </w:t>
      </w:r>
      <w:r w:rsidRPr="00326E55">
        <w:rPr>
          <w:noProof/>
          <w:spacing w:val="-6"/>
          <w:lang w:val="sk-SK"/>
        </w:rPr>
        <w:t>priemyselného vedúceho postavenia</w:t>
      </w:r>
      <w:r w:rsidR="00326E55" w:rsidRPr="00326E55">
        <w:rPr>
          <w:noProof/>
          <w:spacing w:val="-6"/>
          <w:lang w:val="sk-SK"/>
        </w:rPr>
        <w:t xml:space="preserve"> a </w:t>
      </w:r>
      <w:r w:rsidRPr="00326E55">
        <w:rPr>
          <w:noProof/>
          <w:spacing w:val="-6"/>
          <w:lang w:val="sk-SK"/>
        </w:rPr>
        <w:t>vedúceho postaveni</w:t>
      </w:r>
      <w:r w:rsidRPr="00326E55">
        <w:rPr>
          <w:noProof/>
          <w:spacing w:val="-6"/>
          <w:lang w:val="sk-SK"/>
        </w:rPr>
        <w:t>a</w:t>
      </w:r>
      <w:r w:rsidR="00326E55" w:rsidRPr="00326E55">
        <w:rPr>
          <w:noProof/>
          <w:spacing w:val="-6"/>
          <w:lang w:val="sk-SK"/>
        </w:rPr>
        <w:t xml:space="preserve"> v </w:t>
      </w:r>
      <w:r w:rsidRPr="00326E55">
        <w:rPr>
          <w:noProof/>
          <w:spacing w:val="-6"/>
          <w:lang w:val="sk-SK"/>
        </w:rPr>
        <w:t>oblasti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v </w:t>
      </w:r>
      <w:r w:rsidRPr="00326E55">
        <w:rPr>
          <w:noProof/>
          <w:spacing w:val="-6"/>
          <w:lang w:val="sk-SK"/>
        </w:rPr>
        <w:t>oblasti vodíka</w:t>
      </w:r>
    </w:p>
    <w:p w14:paraId="0D914928" w14:textId="2EDB44A0" w:rsidR="00326E55" w:rsidRPr="00326E55" w:rsidRDefault="00FB452D">
      <w:pPr>
        <w:pStyle w:val="P68B1DB1-Normal8"/>
        <w:spacing w:before="120" w:after="120"/>
        <w:jc w:val="both"/>
        <w:rPr>
          <w:noProof/>
          <w:spacing w:val="-6"/>
          <w:lang w:val="sk-SK"/>
        </w:rPr>
      </w:pPr>
      <w:r w:rsidRPr="00326E55">
        <w:rPr>
          <w:noProof/>
          <w:spacing w:val="-6"/>
          <w:lang w:val="sk-SK"/>
        </w:rPr>
        <w:t>Cieľom tejto investície je podporiť hodnotový reťazec vodíka</w:t>
      </w:r>
      <w:r w:rsidR="00326E55" w:rsidRPr="00326E55">
        <w:rPr>
          <w:noProof/>
          <w:spacing w:val="-6"/>
          <w:lang w:val="sk-SK"/>
        </w:rPr>
        <w:t xml:space="preserve"> v </w:t>
      </w:r>
      <w:r w:rsidRPr="00326E55">
        <w:rPr>
          <w:noProof/>
          <w:spacing w:val="-6"/>
          <w:lang w:val="sk-SK"/>
        </w:rPr>
        <w:t>Taliansku. Táto investícia pozostáva</w:t>
      </w:r>
      <w:r w:rsidR="00326E55" w:rsidRPr="00326E55">
        <w:rPr>
          <w:noProof/>
          <w:spacing w:val="-6"/>
          <w:lang w:val="sk-SK"/>
        </w:rPr>
        <w:t xml:space="preserve"> z </w:t>
      </w:r>
      <w:r w:rsidRPr="00326E55">
        <w:rPr>
          <w:noProof/>
          <w:spacing w:val="-6"/>
          <w:lang w:val="sk-SK"/>
        </w:rPr>
        <w:t>financovania: Dôležité projekty spoločného európskeho záujmu zvyšujúce výrobnú kapacitu elektrolyzérov, 2) d</w:t>
      </w:r>
      <w:r w:rsidRPr="00326E55">
        <w:rPr>
          <w:noProof/>
          <w:spacing w:val="-6"/>
          <w:lang w:val="sk-SK"/>
        </w:rPr>
        <w:t>odatočné projekty na výrobu elektrolyzérov, 3) priemyselné investície na podporu hodnotového reťazca vodíka vrátane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a </w:t>
      </w:r>
      <w:r w:rsidRPr="00326E55">
        <w:rPr>
          <w:noProof/>
          <w:spacing w:val="-6"/>
          <w:lang w:val="sk-SK"/>
        </w:rPr>
        <w:t>odbornej prípravy</w:t>
      </w:r>
      <w:r w:rsidR="00326E55" w:rsidRPr="00326E55">
        <w:rPr>
          <w:noProof/>
          <w:spacing w:val="-6"/>
          <w:lang w:val="sk-SK"/>
        </w:rPr>
        <w:t>.</w:t>
      </w:r>
    </w:p>
    <w:p w14:paraId="711F86C8" w14:textId="2F4966FA" w:rsidR="00BF03AA" w:rsidRPr="00326E55" w:rsidRDefault="00FB452D">
      <w:pPr>
        <w:pStyle w:val="P68B1DB1-Normal29"/>
        <w:spacing w:before="120" w:after="120"/>
        <w:jc w:val="both"/>
        <w:rPr>
          <w:noProof/>
          <w:spacing w:val="-6"/>
          <w:lang w:val="sk-SK"/>
        </w:rPr>
      </w:pPr>
      <w:r w:rsidRPr="00326E55">
        <w:rPr>
          <w:noProof/>
          <w:spacing w:val="-6"/>
          <w:lang w:val="sk-SK"/>
        </w:rPr>
        <w:t>Investícia 5.3 – Rozvoj medzinárodného</w:t>
      </w:r>
      <w:r w:rsidR="00326E55" w:rsidRPr="00326E55">
        <w:rPr>
          <w:noProof/>
          <w:spacing w:val="-6"/>
          <w:lang w:val="sk-SK"/>
        </w:rPr>
        <w:t xml:space="preserve"> a </w:t>
      </w:r>
      <w:r w:rsidRPr="00326E55">
        <w:rPr>
          <w:noProof/>
          <w:spacing w:val="-6"/>
          <w:lang w:val="sk-SK"/>
        </w:rPr>
        <w:t>priemyselného vedúceho postavenia</w:t>
      </w:r>
      <w:r w:rsidR="00326E55" w:rsidRPr="00326E55">
        <w:rPr>
          <w:noProof/>
          <w:spacing w:val="-6"/>
          <w:lang w:val="sk-SK"/>
        </w:rPr>
        <w:t xml:space="preserve"> a </w:t>
      </w:r>
      <w:r w:rsidRPr="00326E55">
        <w:rPr>
          <w:noProof/>
          <w:spacing w:val="-6"/>
          <w:lang w:val="sk-SK"/>
        </w:rPr>
        <w:t>vedúceho postavenia</w:t>
      </w:r>
      <w:r w:rsidR="00326E55" w:rsidRPr="00326E55">
        <w:rPr>
          <w:noProof/>
          <w:spacing w:val="-6"/>
          <w:lang w:val="sk-SK"/>
        </w:rPr>
        <w:t xml:space="preserve"> v </w:t>
      </w:r>
      <w:r w:rsidRPr="00326E55">
        <w:rPr>
          <w:noProof/>
          <w:spacing w:val="-6"/>
          <w:lang w:val="sk-SK"/>
        </w:rPr>
        <w:t>obl</w:t>
      </w:r>
      <w:r w:rsidRPr="00326E55">
        <w:rPr>
          <w:noProof/>
          <w:spacing w:val="-6"/>
          <w:lang w:val="sk-SK"/>
        </w:rPr>
        <w:t>asti výskumu</w:t>
      </w:r>
      <w:r w:rsidR="00326E55" w:rsidRPr="00326E55">
        <w:rPr>
          <w:noProof/>
          <w:spacing w:val="-6"/>
          <w:lang w:val="sk-SK"/>
        </w:rPr>
        <w:t xml:space="preserve"> a </w:t>
      </w:r>
      <w:r w:rsidRPr="00326E55">
        <w:rPr>
          <w:noProof/>
          <w:spacing w:val="-6"/>
          <w:lang w:val="sk-SK"/>
        </w:rPr>
        <w:t>vývoja elektrických autobusov</w:t>
      </w:r>
    </w:p>
    <w:p w14:paraId="61828AD5" w14:textId="53F21B3E" w:rsidR="00BF03AA" w:rsidRPr="00326E55" w:rsidRDefault="00FB452D">
      <w:pPr>
        <w:pStyle w:val="P68B1DB1-Normal8"/>
        <w:spacing w:before="120" w:after="120"/>
        <w:jc w:val="both"/>
        <w:rPr>
          <w:noProof/>
          <w:spacing w:val="-6"/>
          <w:lang w:val="sk-SK"/>
        </w:rPr>
      </w:pPr>
      <w:r w:rsidRPr="00326E55">
        <w:rPr>
          <w:noProof/>
          <w:spacing w:val="-6"/>
          <w:lang w:val="sk-SK"/>
        </w:rPr>
        <w:t>Táto investícia pozostáva</w:t>
      </w:r>
      <w:r w:rsidR="00326E55" w:rsidRPr="00326E55">
        <w:rPr>
          <w:noProof/>
          <w:spacing w:val="-6"/>
          <w:lang w:val="sk-SK"/>
        </w:rPr>
        <w:t xml:space="preserve"> z </w:t>
      </w:r>
      <w:r w:rsidRPr="00326E55">
        <w:rPr>
          <w:noProof/>
          <w:spacing w:val="-6"/>
          <w:lang w:val="sk-SK"/>
        </w:rPr>
        <w:t>podpory približne 45 projektov, ktoré môžu podporiť digitálnu</w:t>
      </w:r>
      <w:r w:rsidR="00326E55" w:rsidRPr="00326E55">
        <w:rPr>
          <w:noProof/>
          <w:spacing w:val="-6"/>
          <w:lang w:val="sk-SK"/>
        </w:rPr>
        <w:t xml:space="preserve"> a </w:t>
      </w:r>
      <w:r w:rsidRPr="00326E55">
        <w:rPr>
          <w:noProof/>
          <w:spacing w:val="-6"/>
          <w:lang w:val="sk-SK"/>
        </w:rPr>
        <w:t>zelenú transformáciu autobusového priemyslu na výrobu elektrických</w:t>
      </w:r>
      <w:r w:rsidR="00326E55" w:rsidRPr="00326E55">
        <w:rPr>
          <w:noProof/>
          <w:spacing w:val="-6"/>
          <w:lang w:val="sk-SK"/>
        </w:rPr>
        <w:t xml:space="preserve"> a </w:t>
      </w:r>
      <w:r w:rsidRPr="00326E55">
        <w:rPr>
          <w:noProof/>
          <w:spacing w:val="-6"/>
          <w:lang w:val="sk-SK"/>
        </w:rPr>
        <w:t>prepojených autobusov. Očakáva sa, že táto investí</w:t>
      </w:r>
      <w:r w:rsidRPr="00326E55">
        <w:rPr>
          <w:noProof/>
          <w:spacing w:val="-6"/>
          <w:lang w:val="sk-SK"/>
        </w:rPr>
        <w:t>cia podporí aj investície do obnovy vozového parku elektrických autobusov (bez zahrnutia hybridných autobusov).</w:t>
      </w:r>
    </w:p>
    <w:p w14:paraId="68150809" w14:textId="77777777" w:rsidR="00BF03AA" w:rsidRPr="00326E55" w:rsidRDefault="00FB452D">
      <w:pPr>
        <w:pStyle w:val="P68B1DB1-Normal29"/>
        <w:spacing w:before="120" w:after="120"/>
        <w:jc w:val="both"/>
        <w:rPr>
          <w:bCs/>
          <w:noProof/>
          <w:spacing w:val="-6"/>
          <w:lang w:val="sk-SK"/>
        </w:rPr>
      </w:pPr>
      <w:r w:rsidRPr="00326E55">
        <w:rPr>
          <w:noProof/>
          <w:spacing w:val="-6"/>
          <w:lang w:val="sk-SK"/>
        </w:rPr>
        <w:t>Investícia 5.4 – Kapitálová injekcia do Fondu pre zelenú transformáciu (ďalej len „GTF“), ktorý spravuje SGR rizikového kapitálu CDP</w:t>
      </w:r>
    </w:p>
    <w:p w14:paraId="198E4A24" w14:textId="06C650FF" w:rsidR="00326E55" w:rsidRPr="00326E55" w:rsidRDefault="00FB452D">
      <w:pPr>
        <w:pStyle w:val="P68B1DB1-Normal8"/>
        <w:spacing w:line="240" w:lineRule="auto"/>
        <w:jc w:val="both"/>
        <w:rPr>
          <w:noProof/>
          <w:spacing w:val="-6"/>
          <w:lang w:val="sk-SK"/>
        </w:rPr>
      </w:pPr>
      <w:r w:rsidRPr="00326E55">
        <w:rPr>
          <w:noProof/>
          <w:spacing w:val="-6"/>
          <w:lang w:val="sk-SK"/>
        </w:rPr>
        <w:t xml:space="preserve">Cieľom </w:t>
      </w:r>
      <w:r w:rsidRPr="00326E55">
        <w:rPr>
          <w:noProof/>
          <w:spacing w:val="-6"/>
          <w:lang w:val="sk-SK"/>
        </w:rPr>
        <w:t>tohto opatrenia je podporiť rastový potenciál talianskeho hospodárstva stimulovaním súkromných investícií, zlepšením prístupu startupov zapojených do zelenej transformácie</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a </w:t>
      </w:r>
      <w:r w:rsidRPr="00326E55">
        <w:rPr>
          <w:noProof/>
          <w:spacing w:val="-6"/>
          <w:lang w:val="sk-SK"/>
        </w:rPr>
        <w:t>rozvojom trhu</w:t>
      </w:r>
      <w:r w:rsidR="00326E55" w:rsidRPr="00326E55">
        <w:rPr>
          <w:noProof/>
          <w:spacing w:val="-6"/>
          <w:lang w:val="sk-SK"/>
        </w:rPr>
        <w:t xml:space="preserve"> s </w:t>
      </w:r>
      <w:r w:rsidRPr="00326E55">
        <w:rPr>
          <w:noProof/>
          <w:spacing w:val="-6"/>
          <w:lang w:val="sk-SK"/>
        </w:rPr>
        <w:t>rizikovým kapitálom</w:t>
      </w:r>
      <w:r w:rsidR="00326E55" w:rsidRPr="00326E55">
        <w:rPr>
          <w:noProof/>
          <w:spacing w:val="-6"/>
          <w:lang w:val="sk-SK"/>
        </w:rPr>
        <w:t xml:space="preserve"> v </w:t>
      </w:r>
      <w:r w:rsidRPr="00326E55">
        <w:rPr>
          <w:noProof/>
          <w:spacing w:val="-6"/>
          <w:lang w:val="sk-SK"/>
        </w:rPr>
        <w:t>tomto odvetví. Opatrenie pozo</w:t>
      </w:r>
      <w:r w:rsidRPr="00326E55">
        <w:rPr>
          <w:noProof/>
          <w:spacing w:val="-6"/>
          <w:lang w:val="sk-SK"/>
        </w:rPr>
        <w:t>stáva</w:t>
      </w:r>
      <w:r w:rsidR="00326E55" w:rsidRPr="00326E55">
        <w:rPr>
          <w:noProof/>
          <w:spacing w:val="-6"/>
          <w:lang w:val="sk-SK"/>
        </w:rPr>
        <w:t xml:space="preserve"> z </w:t>
      </w:r>
      <w:r w:rsidRPr="00326E55">
        <w:rPr>
          <w:noProof/>
          <w:spacing w:val="-6"/>
          <w:lang w:val="sk-SK"/>
        </w:rPr>
        <w:t>kapitálovej injekcie vo výške 250 000 000 EUR do Fondu pre zelenú transformáciu (ďalej len „GTF“), ktorý spravuje SGR rizikového kapitálu CDP</w:t>
      </w:r>
      <w:r w:rsidR="00326E55" w:rsidRPr="00326E55">
        <w:rPr>
          <w:noProof/>
          <w:spacing w:val="-6"/>
          <w:lang w:val="sk-SK"/>
        </w:rPr>
        <w:t>.</w:t>
      </w:r>
    </w:p>
    <w:p w14:paraId="29197E15" w14:textId="1CC8445F" w:rsidR="00BF03AA" w:rsidRPr="00326E55" w:rsidRDefault="00FB452D">
      <w:pPr>
        <w:pStyle w:val="P68B1DB1-LegalNumPar260"/>
        <w:numPr>
          <w:ilvl w:val="0"/>
          <w:numId w:val="0"/>
        </w:numPr>
        <w:spacing w:line="259" w:lineRule="auto"/>
        <w:jc w:val="both"/>
        <w:rPr>
          <w:noProof/>
          <w:spacing w:val="-6"/>
          <w:lang w:val="sk-SK"/>
        </w:rPr>
      </w:pPr>
      <w:r w:rsidRPr="00326E55">
        <w:rPr>
          <w:noProof/>
          <w:spacing w:val="-6"/>
          <w:lang w:val="sk-SK"/>
        </w:rPr>
        <w:t>SGR rizikového kapitálu CDP prijme investičnú politiku na používanie vlastného imania. Investičná politik</w:t>
      </w:r>
      <w:r w:rsidRPr="00326E55">
        <w:rPr>
          <w:noProof/>
          <w:spacing w:val="-6"/>
          <w:lang w:val="sk-SK"/>
        </w:rPr>
        <w:t>a zahŕňa opis finančného(-ých) produktu(-ov)</w:t>
      </w:r>
      <w:r w:rsidR="00326E55" w:rsidRPr="00326E55">
        <w:rPr>
          <w:noProof/>
          <w:spacing w:val="-6"/>
          <w:lang w:val="sk-SK"/>
        </w:rPr>
        <w:t xml:space="preserve"> s </w:t>
      </w:r>
      <w:r w:rsidRPr="00326E55">
        <w:rPr>
          <w:noProof/>
          <w:spacing w:val="-6"/>
          <w:lang w:val="sk-SK"/>
        </w:rPr>
        <w:t>očakávaným typom oprávnených konečných príjemcov</w:t>
      </w:r>
      <w:bookmarkStart w:id="14" w:name="_Hlk198572061"/>
      <w:r w:rsidRPr="00326E55">
        <w:rPr>
          <w:noProof/>
          <w:spacing w:val="-6"/>
          <w:lang w:val="sk-SK"/>
        </w:rPr>
        <w:t>, ktorých kapitál má podľa očakávaní podporovať</w:t>
      </w:r>
      <w:bookmarkEnd w:id="14"/>
      <w:r w:rsidRPr="00326E55">
        <w:rPr>
          <w:noProof/>
          <w:spacing w:val="-6"/>
          <w:lang w:val="sk-SK"/>
        </w:rPr>
        <w:t xml:space="preserve">, </w:t>
      </w:r>
      <w:bookmarkStart w:id="15" w:name="_Hlk198538454"/>
      <w:r w:rsidRPr="00326E55">
        <w:rPr>
          <w:noProof/>
          <w:spacing w:val="-6"/>
          <w:lang w:val="sk-SK"/>
        </w:rPr>
        <w:t>vrátane očakávaného harmonogramu implementácie 15 rokov</w:t>
      </w:r>
      <w:r w:rsidR="00326E55" w:rsidRPr="00326E55">
        <w:rPr>
          <w:noProof/>
          <w:spacing w:val="-6"/>
          <w:lang w:val="sk-SK"/>
        </w:rPr>
        <w:t xml:space="preserve"> a </w:t>
      </w:r>
      <w:r w:rsidRPr="00326E55">
        <w:rPr>
          <w:noProof/>
          <w:spacing w:val="-6"/>
          <w:lang w:val="sk-SK"/>
        </w:rPr>
        <w:t>poplatku za riadenie vo výške maximálne 13</w:t>
      </w:r>
      <w:r w:rsidR="00326E55" w:rsidRPr="00326E55">
        <w:rPr>
          <w:noProof/>
          <w:spacing w:val="-6"/>
          <w:lang w:val="sk-SK"/>
        </w:rPr>
        <w:t> %</w:t>
      </w:r>
      <w:bookmarkEnd w:id="15"/>
      <w:r w:rsidRPr="00326E55">
        <w:rPr>
          <w:noProof/>
          <w:spacing w:val="-6"/>
          <w:lang w:val="sk-SK"/>
        </w:rPr>
        <w:t>.</w:t>
      </w:r>
      <w:r w:rsidRPr="00326E55">
        <w:rPr>
          <w:noProof/>
          <w:spacing w:val="-6"/>
          <w:lang w:val="sk-SK"/>
        </w:rPr>
        <w:footnoteReference w:id="64"/>
      </w:r>
      <w:r w:rsidRPr="00326E55">
        <w:rPr>
          <w:noProof/>
          <w:spacing w:val="-6"/>
          <w:lang w:val="sk-SK"/>
        </w:rPr>
        <w:t xml:space="preserve"> GTF fun</w:t>
      </w:r>
      <w:r w:rsidRPr="00326E55">
        <w:rPr>
          <w:noProof/>
          <w:spacing w:val="-6"/>
          <w:lang w:val="sk-SK"/>
        </w:rPr>
        <w:t>guje tak, že priamo alebo nepriamo poskytuje kapitálovú, kvázi kapitálovú, dlhovú alebo kvázi dlhovú podporu.</w:t>
      </w:r>
      <w:r w:rsidRPr="00326E55">
        <w:rPr>
          <w:noProof/>
          <w:spacing w:val="-6"/>
          <w:lang w:val="sk-SK"/>
        </w:rPr>
        <w:footnoteReference w:id="65"/>
      </w:r>
      <w:r w:rsidRPr="00326E55">
        <w:rPr>
          <w:noProof/>
          <w:spacing w:val="-6"/>
          <w:lang w:val="sk-SK"/>
        </w:rPr>
        <w:t xml:space="preserve"> SGR rizikového kapitálu CDP prijme systém auditu</w:t>
      </w:r>
      <w:r w:rsidR="00326E55" w:rsidRPr="00326E55">
        <w:rPr>
          <w:noProof/>
          <w:spacing w:val="-6"/>
          <w:lang w:val="sk-SK"/>
        </w:rPr>
        <w:t xml:space="preserve"> a </w:t>
      </w:r>
      <w:r w:rsidRPr="00326E55">
        <w:rPr>
          <w:noProof/>
          <w:spacing w:val="-6"/>
          <w:lang w:val="sk-SK"/>
        </w:rPr>
        <w:t>kontroly opísaný</w:t>
      </w:r>
      <w:r w:rsidR="00326E55" w:rsidRPr="00326E55">
        <w:rPr>
          <w:noProof/>
          <w:spacing w:val="-6"/>
          <w:lang w:val="sk-SK"/>
        </w:rPr>
        <w:t xml:space="preserve"> v </w:t>
      </w:r>
      <w:r w:rsidRPr="00326E55">
        <w:rPr>
          <w:noProof/>
          <w:spacing w:val="-6"/>
          <w:lang w:val="sk-SK"/>
        </w:rPr>
        <w:t>usmerneniach „Linee Guida per le attività di rendicontazione e controllo de</w:t>
      </w:r>
      <w:r w:rsidRPr="00326E55">
        <w:rPr>
          <w:noProof/>
          <w:spacing w:val="-6"/>
          <w:lang w:val="sk-SK"/>
        </w:rPr>
        <w:t>i Fondi DTF e GTF“ na použitie vlastného imania.</w:t>
      </w:r>
      <w:r w:rsidR="00326E55" w:rsidRPr="00326E55">
        <w:rPr>
          <w:noProof/>
          <w:spacing w:val="-6"/>
          <w:lang w:val="sk-SK"/>
        </w:rPr>
        <w:t xml:space="preserve"> V </w:t>
      </w:r>
      <w:r w:rsidRPr="00326E55">
        <w:rPr>
          <w:noProof/>
          <w:spacing w:val="-6"/>
          <w:lang w:val="sk-SK"/>
        </w:rPr>
        <w:t>investičnej politike sa vyžaduje, aby finančný(-é) produkt(-y), ktorý(-é) kapitálová podpora podporuje, bol(-i)</w:t>
      </w:r>
      <w:r w:rsidR="00326E55" w:rsidRPr="00326E55">
        <w:rPr>
          <w:noProof/>
          <w:spacing w:val="-6"/>
          <w:lang w:val="sk-SK"/>
        </w:rPr>
        <w:t xml:space="preserve"> v </w:t>
      </w:r>
      <w:r w:rsidRPr="00326E55">
        <w:rPr>
          <w:noProof/>
          <w:spacing w:val="-6"/>
          <w:lang w:val="sk-SK"/>
        </w:rPr>
        <w:t>súlade so zásadou „výrazne nenarušiť“ (DNSH), ako sa stanovuje</w:t>
      </w:r>
      <w:r w:rsidR="00326E55" w:rsidRPr="00326E55">
        <w:rPr>
          <w:noProof/>
          <w:spacing w:val="-6"/>
          <w:lang w:val="sk-SK"/>
        </w:rPr>
        <w:t xml:space="preserve"> v </w:t>
      </w:r>
      <w:r w:rsidRPr="00326E55">
        <w:rPr>
          <w:noProof/>
          <w:spacing w:val="-6"/>
          <w:lang w:val="sk-SK"/>
        </w:rPr>
        <w:t>technickom usmernení týkaj</w:t>
      </w:r>
      <w:r w:rsidRPr="00326E55">
        <w:rPr>
          <w:noProof/>
          <w:spacing w:val="-6"/>
          <w:lang w:val="sk-SK"/>
        </w:rPr>
        <w:t>úcom sa zásady „výrazne nenarušiť“ (2021/C58/01). Najmä</w:t>
      </w:r>
      <w:r w:rsidR="00326E55" w:rsidRPr="00326E55">
        <w:rPr>
          <w:noProof/>
          <w:spacing w:val="-6"/>
          <w:lang w:val="sk-SK"/>
        </w:rPr>
        <w:t xml:space="preserve"> v </w:t>
      </w:r>
      <w:r w:rsidRPr="00326E55">
        <w:rPr>
          <w:noProof/>
          <w:spacing w:val="-6"/>
          <w:lang w:val="sk-SK"/>
        </w:rPr>
        <w:t>prípade všeobecnej podpory začínajúcim podnikom investičná politika vylučuje spoločnosti</w:t>
      </w:r>
      <w:r w:rsidR="00326E55" w:rsidRPr="00326E55">
        <w:rPr>
          <w:noProof/>
          <w:spacing w:val="-6"/>
          <w:lang w:val="sk-SK"/>
        </w:rPr>
        <w:t xml:space="preserve"> s </w:t>
      </w:r>
      <w:r w:rsidRPr="00326E55">
        <w:rPr>
          <w:noProof/>
          <w:spacing w:val="-6"/>
          <w:lang w:val="sk-SK"/>
        </w:rPr>
        <w:t>podstatným zameraním</w:t>
      </w:r>
      <w:r w:rsidRPr="00326E55">
        <w:rPr>
          <w:noProof/>
          <w:spacing w:val="-6"/>
          <w:lang w:val="sk-SK"/>
        </w:rPr>
        <w:footnoteReference w:id="66"/>
      </w:r>
      <w:r w:rsidR="00326E55" w:rsidRPr="00326E55">
        <w:rPr>
          <w:noProof/>
          <w:spacing w:val="-6"/>
          <w:lang w:val="sk-SK"/>
        </w:rPr>
        <w:t xml:space="preserve"> v </w:t>
      </w:r>
      <w:r w:rsidRPr="00326E55">
        <w:rPr>
          <w:noProof/>
          <w:spacing w:val="-6"/>
          <w:lang w:val="sk-SK"/>
        </w:rPr>
        <w:t>týchto odvetviach: I) výroba energie</w:t>
      </w:r>
      <w:r w:rsidR="00326E55" w:rsidRPr="00326E55">
        <w:rPr>
          <w:noProof/>
          <w:spacing w:val="-6"/>
          <w:lang w:val="sk-SK"/>
        </w:rPr>
        <w:t xml:space="preserve"> z </w:t>
      </w:r>
      <w:r w:rsidRPr="00326E55">
        <w:rPr>
          <w:noProof/>
          <w:spacing w:val="-6"/>
          <w:lang w:val="sk-SK"/>
        </w:rPr>
        <w:t>fosílnych palív</w:t>
      </w:r>
      <w:r w:rsidR="00326E55" w:rsidRPr="00326E55">
        <w:rPr>
          <w:noProof/>
          <w:spacing w:val="-6"/>
          <w:lang w:val="sk-SK"/>
        </w:rPr>
        <w:t xml:space="preserve"> a </w:t>
      </w:r>
      <w:r w:rsidRPr="00326E55">
        <w:rPr>
          <w:noProof/>
          <w:spacing w:val="-6"/>
          <w:lang w:val="sk-SK"/>
        </w:rPr>
        <w:t>súvisiace činnosti</w:t>
      </w:r>
      <w:r w:rsidRPr="00326E55">
        <w:rPr>
          <w:noProof/>
          <w:spacing w:val="-6"/>
          <w:lang w:val="sk-SK"/>
        </w:rPr>
        <w:footnoteReference w:id="67"/>
      </w:r>
      <w:r w:rsidRPr="00326E55">
        <w:rPr>
          <w:noProof/>
          <w:spacing w:val="-6"/>
          <w:lang w:val="sk-SK"/>
        </w:rPr>
        <w:t>; II) e</w:t>
      </w:r>
      <w:r w:rsidRPr="00326E55">
        <w:rPr>
          <w:noProof/>
          <w:spacing w:val="-6"/>
          <w:lang w:val="sk-SK"/>
        </w:rPr>
        <w:t>nergeticky náročné odvetvia a/alebo odvetvia</w:t>
      </w:r>
      <w:r w:rsidR="00326E55" w:rsidRPr="00326E55">
        <w:rPr>
          <w:noProof/>
          <w:spacing w:val="-6"/>
          <w:lang w:val="sk-SK"/>
        </w:rPr>
        <w:t xml:space="preserve"> s </w:t>
      </w:r>
      <w:r w:rsidRPr="00326E55">
        <w:rPr>
          <w:noProof/>
          <w:spacing w:val="-6"/>
          <w:lang w:val="sk-SK"/>
        </w:rPr>
        <w:t>vysokými emisiami CO2</w:t>
      </w:r>
      <w:r w:rsidRPr="00326E55">
        <w:rPr>
          <w:noProof/>
          <w:spacing w:val="-6"/>
          <w:lang w:val="sk-SK"/>
        </w:rPr>
        <w:footnoteReference w:id="68"/>
      </w:r>
      <w:r w:rsidRPr="00326E55">
        <w:rPr>
          <w:noProof/>
          <w:spacing w:val="-6"/>
          <w:lang w:val="sk-SK"/>
        </w:rPr>
        <w:t>; III) výroba, prenájom alebo predaj znečisťujúcich vozidiel</w:t>
      </w:r>
      <w:r w:rsidRPr="00326E55">
        <w:rPr>
          <w:noProof/>
          <w:spacing w:val="-6"/>
          <w:lang w:val="sk-SK"/>
        </w:rPr>
        <w:footnoteReference w:id="69"/>
      </w:r>
      <w:r w:rsidRPr="00326E55">
        <w:rPr>
          <w:noProof/>
          <w:spacing w:val="-6"/>
          <w:lang w:val="sk-SK"/>
        </w:rPr>
        <w:t>; IV) zber odpadu, spracovanie</w:t>
      </w:r>
      <w:r w:rsidR="00326E55" w:rsidRPr="00326E55">
        <w:rPr>
          <w:noProof/>
          <w:spacing w:val="-6"/>
          <w:lang w:val="sk-SK"/>
        </w:rPr>
        <w:t xml:space="preserve"> a </w:t>
      </w:r>
      <w:r w:rsidRPr="00326E55">
        <w:rPr>
          <w:noProof/>
          <w:spacing w:val="-6"/>
          <w:lang w:val="sk-SK"/>
        </w:rPr>
        <w:t>zneškodňovanie</w:t>
      </w:r>
      <w:r w:rsidRPr="00326E55">
        <w:rPr>
          <w:noProof/>
          <w:spacing w:val="-6"/>
          <w:lang w:val="sk-SK"/>
        </w:rPr>
        <w:footnoteReference w:id="70"/>
      </w:r>
      <w:r w:rsidRPr="00326E55">
        <w:rPr>
          <w:noProof/>
          <w:spacing w:val="-6"/>
          <w:lang w:val="sk-SK"/>
        </w:rPr>
        <w:t>odpadu, v) spracovanie jadrového paliva, výroba jadrovej energie. Investičná p</w:t>
      </w:r>
      <w:r w:rsidRPr="00326E55">
        <w:rPr>
          <w:noProof/>
          <w:spacing w:val="-6"/>
          <w:lang w:val="sk-SK"/>
        </w:rPr>
        <w:t>olitika si okrem toho vyžaduje súlad</w:t>
      </w:r>
      <w:r w:rsidR="00326E55" w:rsidRPr="00326E55">
        <w:rPr>
          <w:noProof/>
          <w:spacing w:val="-6"/>
          <w:lang w:val="sk-SK"/>
        </w:rPr>
        <w:t xml:space="preserve"> s </w:t>
      </w:r>
      <w:r w:rsidRPr="00326E55">
        <w:rPr>
          <w:noProof/>
          <w:spacing w:val="-6"/>
          <w:lang w:val="sk-SK"/>
        </w:rPr>
        <w:t>príslušnými právnymi predpismi EÚ</w:t>
      </w:r>
      <w:r w:rsidR="00326E55" w:rsidRPr="00326E55">
        <w:rPr>
          <w:noProof/>
          <w:spacing w:val="-6"/>
          <w:lang w:val="sk-SK"/>
        </w:rPr>
        <w:t xml:space="preserve"> a </w:t>
      </w:r>
      <w:r w:rsidRPr="00326E55">
        <w:rPr>
          <w:noProof/>
          <w:spacing w:val="-6"/>
          <w:lang w:val="sk-SK"/>
        </w:rPr>
        <w:t>vnútroštátnymi právnymi predpismi</w:t>
      </w:r>
      <w:r w:rsidR="00326E55" w:rsidRPr="00326E55">
        <w:rPr>
          <w:noProof/>
          <w:spacing w:val="-6"/>
          <w:lang w:val="sk-SK"/>
        </w:rPr>
        <w:t xml:space="preserve"> v </w:t>
      </w:r>
      <w:r w:rsidRPr="00326E55">
        <w:rPr>
          <w:noProof/>
          <w:spacing w:val="-6"/>
          <w:lang w:val="sk-SK"/>
        </w:rPr>
        <w:t>oblasti životného prostredia.</w:t>
      </w:r>
    </w:p>
    <w:p w14:paraId="027ACCD4" w14:textId="0756D441" w:rsidR="00BF03AA" w:rsidRPr="00326E55" w:rsidRDefault="00FB452D">
      <w:pPr>
        <w:pStyle w:val="P68B1DB1-LegalNumPar260"/>
        <w:numPr>
          <w:ilvl w:val="0"/>
          <w:numId w:val="0"/>
        </w:numPr>
        <w:spacing w:line="259" w:lineRule="auto"/>
        <w:jc w:val="both"/>
        <w:rPr>
          <w:noProof/>
          <w:spacing w:val="-6"/>
          <w:lang w:val="sk-SK"/>
        </w:rPr>
        <w:sectPr w:rsidR="00BF03AA" w:rsidRPr="00326E55" w:rsidSect="005F11B9">
          <w:headerReference w:type="even" r:id="rId92"/>
          <w:headerReference w:type="default" r:id="rId93"/>
          <w:footerReference w:type="even" r:id="rId94"/>
          <w:footerReference w:type="default" r:id="rId95"/>
          <w:headerReference w:type="first" r:id="rId96"/>
          <w:footerReference w:type="first" r:id="rId97"/>
          <w:pgSz w:w="11907" w:h="16839"/>
          <w:pgMar w:top="1134" w:right="1134" w:bottom="1134" w:left="1134" w:header="567" w:footer="567" w:gutter="0"/>
          <w:cols w:space="720"/>
          <w:docGrid w:linePitch="360"/>
        </w:sectPr>
      </w:pPr>
      <w:r w:rsidRPr="00326E55">
        <w:rPr>
          <w:noProof/>
          <w:spacing w:val="-6"/>
          <w:lang w:val="sk-SK"/>
        </w:rPr>
        <w:t xml:space="preserve"> </w:t>
      </w:r>
    </w:p>
    <w:p w14:paraId="1C9D170A" w14:textId="77777777" w:rsidR="00BF03AA" w:rsidRPr="00326E55" w:rsidRDefault="00BF03AA">
      <w:pPr>
        <w:spacing w:before="120" w:after="120"/>
        <w:jc w:val="both"/>
        <w:rPr>
          <w:rFonts w:ascii="Times New Roman" w:eastAsia="Times New Roman" w:hAnsi="Times New Roman" w:cs="Times New Roman"/>
          <w:noProof/>
          <w:spacing w:val="-6"/>
          <w:lang w:val="sk-SK"/>
        </w:rPr>
      </w:pPr>
    </w:p>
    <w:p w14:paraId="51899CDE" w14:textId="16BE49FA" w:rsidR="00BF03AA" w:rsidRPr="00326E55" w:rsidRDefault="00FB452D">
      <w:pPr>
        <w:pStyle w:val="P68B1DB1-Heading341"/>
        <w:ind w:left="850" w:hanging="850"/>
        <w:rPr>
          <w:rFonts w:ascii="Times New Roman" w:hAnsi="Times New Roman"/>
          <w:noProof/>
          <w:spacing w:val="-6"/>
          <w:lang w:val="sk-SK"/>
        </w:rPr>
      </w:pPr>
      <w:r w:rsidRPr="00326E55">
        <w:rPr>
          <w:rFonts w:ascii="Times New Roman" w:eastAsia="Times New Roman" w:hAnsi="Times New Roman" w:cs="Times New Roman"/>
          <w:b/>
          <w:noProof/>
          <w:spacing w:val="-6"/>
          <w:u w:val="single"/>
          <w:lang w:val="sk-SK"/>
        </w:rPr>
        <w:t xml:space="preserve">E.4. </w:t>
      </w:r>
      <w:r w:rsidRPr="00326E55">
        <w:rPr>
          <w:rFonts w:ascii="Times New Roman" w:hAnsi="Times New Roman"/>
          <w:noProof/>
          <w:spacing w:val="-6"/>
          <w:lang w:val="sk-SK"/>
        </w:rPr>
        <w:t xml:space="preserve"> </w:t>
      </w:r>
      <w:r w:rsidRPr="00326E55">
        <w:rPr>
          <w:rFonts w:ascii="Times New Roman" w:eastAsia="Times New Roman" w:hAnsi="Times New Roman" w:cs="Times New Roman"/>
          <w:b/>
          <w:noProof/>
          <w:spacing w:val="-6"/>
          <w:u w:val="single"/>
          <w:lang w:val="sk-SK"/>
        </w:rPr>
        <w:t>Míľniky, ciele, ukazovatele</w:t>
      </w:r>
      <w:r w:rsidR="00326E55" w:rsidRPr="00326E55">
        <w:rPr>
          <w:rFonts w:ascii="Times New Roman" w:eastAsia="Times New Roman" w:hAnsi="Times New Roman" w:cs="Times New Roman"/>
          <w:b/>
          <w:noProof/>
          <w:spacing w:val="-6"/>
          <w:u w:val="single"/>
          <w:lang w:val="sk-SK"/>
        </w:rPr>
        <w:t xml:space="preserve"> a </w:t>
      </w:r>
      <w:r w:rsidRPr="00326E55">
        <w:rPr>
          <w:rFonts w:ascii="Times New Roman" w:eastAsia="Times New Roman" w:hAnsi="Times New Roman" w:cs="Times New Roman"/>
          <w:b/>
          <w:noProof/>
          <w:spacing w:val="-6"/>
          <w:u w:val="single"/>
          <w:lang w:val="sk-SK"/>
        </w:rPr>
        <w:t xml:space="preserve">harmonogram </w:t>
      </w:r>
      <w:r w:rsidRPr="00326E55">
        <w:rPr>
          <w:rFonts w:ascii="Times New Roman" w:eastAsia="Times New Roman" w:hAnsi="Times New Roman" w:cs="Times New Roman"/>
          <w:b/>
          <w:noProof/>
          <w:spacing w:val="-6"/>
          <w:u w:val="single"/>
          <w:lang w:val="sk-SK"/>
        </w:rPr>
        <w:t>monitorovania</w:t>
      </w:r>
      <w:r w:rsidR="00326E55" w:rsidRPr="00326E55">
        <w:rPr>
          <w:rFonts w:ascii="Times New Roman" w:eastAsia="Times New Roman" w:hAnsi="Times New Roman" w:cs="Times New Roman"/>
          <w:b/>
          <w:noProof/>
          <w:spacing w:val="-6"/>
          <w:u w:val="single"/>
          <w:lang w:val="sk-SK"/>
        </w:rPr>
        <w:t xml:space="preserve"> a </w:t>
      </w:r>
      <w:r w:rsidRPr="00326E55">
        <w:rPr>
          <w:rFonts w:ascii="Times New Roman" w:eastAsia="Times New Roman" w:hAnsi="Times New Roman" w:cs="Times New Roman"/>
          <w:b/>
          <w:noProof/>
          <w:spacing w:val="-6"/>
          <w:u w:val="single"/>
          <w:lang w:val="sk-SK"/>
        </w:rPr>
        <w:t>realizácie</w:t>
      </w:r>
      <w:r w:rsidR="00326E55" w:rsidRPr="00326E55">
        <w:rPr>
          <w:rFonts w:ascii="Times New Roman" w:eastAsia="Times New Roman" w:hAnsi="Times New Roman" w:cs="Times New Roman"/>
          <w:b/>
          <w:noProof/>
          <w:spacing w:val="-6"/>
          <w:u w:val="single"/>
          <w:lang w:val="sk-SK"/>
        </w:rPr>
        <w:t xml:space="preserve"> v </w:t>
      </w:r>
      <w:r w:rsidRPr="00326E55">
        <w:rPr>
          <w:rFonts w:ascii="Times New Roman" w:eastAsia="Times New Roman" w:hAnsi="Times New Roman" w:cs="Times New Roman"/>
          <w:b/>
          <w:noProof/>
          <w:spacing w:val="-6"/>
          <w:u w:val="single"/>
          <w:lang w:val="sk-SK"/>
        </w:rPr>
        <w:t>súvislosti</w:t>
      </w:r>
      <w:r w:rsidR="00326E55" w:rsidRPr="00326E55">
        <w:rPr>
          <w:rFonts w:ascii="Times New Roman" w:eastAsia="Times New Roman" w:hAnsi="Times New Roman" w:cs="Times New Roman"/>
          <w:b/>
          <w:noProof/>
          <w:spacing w:val="-6"/>
          <w:u w:val="single"/>
          <w:lang w:val="sk-SK"/>
        </w:rPr>
        <w:t xml:space="preserve"> s </w:t>
      </w:r>
      <w:r w:rsidRPr="00326E55">
        <w:rPr>
          <w:rFonts w:ascii="Times New Roman" w:eastAsia="Times New Roman" w:hAnsi="Times New Roman" w:cs="Times New Roman"/>
          <w:b/>
          <w:noProof/>
          <w:spacing w:val="-6"/>
          <w:u w:val="single"/>
          <w:lang w:val="sk-SK"/>
        </w:rPr>
        <w:t xml:space="preserve">úverom </w:t>
      </w:r>
    </w:p>
    <w:tbl>
      <w:tblPr>
        <w:tblW w:w="52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2042"/>
        <w:gridCol w:w="1742"/>
        <w:gridCol w:w="1631"/>
        <w:gridCol w:w="1428"/>
        <w:gridCol w:w="1373"/>
        <w:gridCol w:w="1373"/>
        <w:gridCol w:w="1373"/>
        <w:gridCol w:w="1224"/>
        <w:gridCol w:w="725"/>
        <w:gridCol w:w="2347"/>
      </w:tblGrid>
      <w:tr w:rsidR="00BF03AA" w:rsidRPr="00326E55" w14:paraId="2F01B201" w14:textId="77777777">
        <w:trPr>
          <w:trHeight w:val="927"/>
          <w:tblHeader/>
          <w:jc w:val="center"/>
        </w:trPr>
        <w:tc>
          <w:tcPr>
            <w:tcW w:w="1402" w:type="dxa"/>
            <w:vMerge w:val="restart"/>
            <w:shd w:val="clear" w:color="auto" w:fill="BDD7EE"/>
            <w:vAlign w:val="center"/>
            <w:hideMark/>
          </w:tcPr>
          <w:p w14:paraId="2753E05E" w14:textId="77777777" w:rsidR="00BF03AA" w:rsidRPr="00326E55" w:rsidRDefault="00FB452D">
            <w:pPr>
              <w:pStyle w:val="P68B1DB1-Normal14"/>
              <w:jc w:val="center"/>
              <w:rPr>
                <w:rFonts w:ascii="Times New Roman" w:hAnsi="Times New Roman"/>
                <w:b/>
                <w:noProof/>
                <w:spacing w:val="-6"/>
                <w:szCs w:val="20"/>
                <w:lang w:val="sk-SK"/>
              </w:rPr>
            </w:pPr>
            <w:r w:rsidRPr="00326E55">
              <w:rPr>
                <w:rFonts w:ascii="Times New Roman" w:hAnsi="Times New Roman"/>
                <w:b/>
                <w:noProof/>
                <w:spacing w:val="-6"/>
                <w:lang w:val="sk-SK"/>
              </w:rPr>
              <w:t>Číslo Číslo</w:t>
            </w:r>
          </w:p>
        </w:tc>
        <w:tc>
          <w:tcPr>
            <w:tcW w:w="1559" w:type="dxa"/>
            <w:vMerge w:val="restart"/>
            <w:shd w:val="clear" w:color="auto" w:fill="BDD7EE"/>
            <w:vAlign w:val="center"/>
            <w:hideMark/>
          </w:tcPr>
          <w:p w14:paraId="57D3495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742" w:type="dxa"/>
            <w:vMerge w:val="restart"/>
            <w:shd w:val="clear" w:color="auto" w:fill="BDD7EE"/>
            <w:vAlign w:val="center"/>
            <w:hideMark/>
          </w:tcPr>
          <w:p w14:paraId="5FB09A1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612" w:type="dxa"/>
            <w:vMerge w:val="restart"/>
            <w:shd w:val="clear" w:color="auto" w:fill="BDD7EE"/>
            <w:vAlign w:val="center"/>
            <w:hideMark/>
          </w:tcPr>
          <w:p w14:paraId="1514534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428" w:type="dxa"/>
            <w:vMerge w:val="restart"/>
            <w:shd w:val="clear" w:color="auto" w:fill="BDD7EE"/>
            <w:vAlign w:val="center"/>
            <w:hideMark/>
          </w:tcPr>
          <w:p w14:paraId="47CA917F"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078" w:type="dxa"/>
            <w:gridSpan w:val="3"/>
            <w:shd w:val="clear" w:color="auto" w:fill="BDD7EE"/>
            <w:vAlign w:val="center"/>
            <w:hideMark/>
          </w:tcPr>
          <w:p w14:paraId="413C8769"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607" w:type="dxa"/>
            <w:gridSpan w:val="2"/>
            <w:shd w:val="clear" w:color="auto" w:fill="BDD7EE"/>
            <w:vAlign w:val="center"/>
            <w:hideMark/>
          </w:tcPr>
          <w:p w14:paraId="4A238B8E"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2347" w:type="dxa"/>
            <w:vMerge w:val="restart"/>
            <w:shd w:val="clear" w:color="auto" w:fill="BDD7EE"/>
            <w:vAlign w:val="center"/>
            <w:hideMark/>
          </w:tcPr>
          <w:p w14:paraId="50AD9A35" w14:textId="3E2CF905" w:rsidR="00BF03AA" w:rsidRPr="00326E55" w:rsidRDefault="00FB452D">
            <w:pPr>
              <w:pStyle w:val="P68B1DB1-Normal10"/>
              <w:rPr>
                <w:rFonts w:ascii="Times New Roman" w:hAnsi="Times New Roman"/>
                <w:noProof/>
                <w:spacing w:val="-6"/>
                <w:szCs w:val="20"/>
                <w:lang w:val="sk-SK"/>
              </w:rPr>
            </w:pPr>
            <w:r w:rsidRPr="00326E55">
              <w:rPr>
                <w:rFonts w:ascii="Times New Roman" w:hAnsi="Times New Roman"/>
                <w:noProof/>
                <w:spacing w:val="-6"/>
                <w:lang w:val="sk-SK"/>
              </w:rPr>
              <w:t xml:space="preserve">Opis </w:t>
            </w:r>
            <w:r w:rsidRPr="00326E55">
              <w:rPr>
                <w:rFonts w:ascii="Times New Roman" w:hAnsi="Times New Roman"/>
                <w:noProof/>
                <w:spacing w:val="-6"/>
                <w:lang w:val="sk-SK"/>
              </w:rPr>
              <w:t>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3F5B04CC" w14:textId="77777777">
        <w:trPr>
          <w:trHeight w:val="771"/>
          <w:tblHeader/>
          <w:jc w:val="center"/>
        </w:trPr>
        <w:tc>
          <w:tcPr>
            <w:tcW w:w="1402" w:type="dxa"/>
            <w:vMerge/>
            <w:vAlign w:val="center"/>
            <w:hideMark/>
          </w:tcPr>
          <w:p w14:paraId="6F16A687" w14:textId="77777777" w:rsidR="00BF03AA" w:rsidRPr="00326E55" w:rsidRDefault="00BF03AA">
            <w:pPr>
              <w:jc w:val="center"/>
              <w:rPr>
                <w:rFonts w:ascii="Times New Roman" w:hAnsi="Times New Roman"/>
                <w:b/>
                <w:bCs/>
                <w:noProof/>
                <w:spacing w:val="-6"/>
                <w:sz w:val="20"/>
                <w:szCs w:val="20"/>
                <w:lang w:val="sk-SK"/>
              </w:rPr>
            </w:pPr>
          </w:p>
        </w:tc>
        <w:tc>
          <w:tcPr>
            <w:tcW w:w="1559" w:type="dxa"/>
            <w:vMerge/>
            <w:vAlign w:val="center"/>
            <w:hideMark/>
          </w:tcPr>
          <w:p w14:paraId="52FF84E6" w14:textId="77777777" w:rsidR="00BF03AA" w:rsidRPr="00326E55" w:rsidRDefault="00BF03AA">
            <w:pPr>
              <w:jc w:val="center"/>
              <w:rPr>
                <w:rFonts w:ascii="Times New Roman" w:hAnsi="Times New Roman"/>
                <w:b/>
                <w:bCs/>
                <w:noProof/>
                <w:spacing w:val="-6"/>
                <w:sz w:val="20"/>
                <w:szCs w:val="20"/>
                <w:lang w:val="sk-SK"/>
              </w:rPr>
            </w:pPr>
          </w:p>
        </w:tc>
        <w:tc>
          <w:tcPr>
            <w:tcW w:w="1742" w:type="dxa"/>
            <w:vMerge/>
            <w:vAlign w:val="center"/>
            <w:hideMark/>
          </w:tcPr>
          <w:p w14:paraId="2F9A4F23" w14:textId="77777777" w:rsidR="00BF03AA" w:rsidRPr="00326E55" w:rsidRDefault="00BF03AA">
            <w:pPr>
              <w:jc w:val="center"/>
              <w:rPr>
                <w:rFonts w:ascii="Times New Roman" w:hAnsi="Times New Roman"/>
                <w:b/>
                <w:bCs/>
                <w:noProof/>
                <w:spacing w:val="-6"/>
                <w:sz w:val="20"/>
                <w:szCs w:val="20"/>
                <w:lang w:val="sk-SK"/>
              </w:rPr>
            </w:pPr>
          </w:p>
        </w:tc>
        <w:tc>
          <w:tcPr>
            <w:tcW w:w="1612" w:type="dxa"/>
            <w:vMerge/>
            <w:vAlign w:val="center"/>
            <w:hideMark/>
          </w:tcPr>
          <w:p w14:paraId="4DDAB48D" w14:textId="77777777" w:rsidR="00BF03AA" w:rsidRPr="00326E55" w:rsidRDefault="00BF03AA">
            <w:pPr>
              <w:jc w:val="center"/>
              <w:rPr>
                <w:rFonts w:ascii="Times New Roman" w:hAnsi="Times New Roman"/>
                <w:b/>
                <w:bCs/>
                <w:noProof/>
                <w:spacing w:val="-6"/>
                <w:sz w:val="20"/>
                <w:szCs w:val="20"/>
                <w:lang w:val="sk-SK"/>
              </w:rPr>
            </w:pPr>
          </w:p>
        </w:tc>
        <w:tc>
          <w:tcPr>
            <w:tcW w:w="1428" w:type="dxa"/>
            <w:vMerge/>
            <w:vAlign w:val="center"/>
            <w:hideMark/>
          </w:tcPr>
          <w:p w14:paraId="5A4D5FF6" w14:textId="77777777" w:rsidR="00BF03AA" w:rsidRPr="00326E55" w:rsidRDefault="00BF03AA">
            <w:pPr>
              <w:jc w:val="center"/>
              <w:rPr>
                <w:rFonts w:ascii="Times New Roman" w:hAnsi="Times New Roman"/>
                <w:b/>
                <w:bCs/>
                <w:noProof/>
                <w:spacing w:val="-6"/>
                <w:sz w:val="20"/>
                <w:szCs w:val="20"/>
                <w:lang w:val="sk-SK"/>
              </w:rPr>
            </w:pPr>
          </w:p>
        </w:tc>
        <w:tc>
          <w:tcPr>
            <w:tcW w:w="1197" w:type="dxa"/>
            <w:shd w:val="clear" w:color="auto" w:fill="BDD7EE"/>
            <w:vAlign w:val="center"/>
            <w:hideMark/>
          </w:tcPr>
          <w:p w14:paraId="656738EE"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972" w:type="dxa"/>
            <w:shd w:val="clear" w:color="auto" w:fill="BDD7EE"/>
            <w:vAlign w:val="center"/>
            <w:hideMark/>
          </w:tcPr>
          <w:p w14:paraId="43FFF72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909" w:type="dxa"/>
            <w:shd w:val="clear" w:color="auto" w:fill="BDD7EE"/>
            <w:vAlign w:val="center"/>
            <w:hideMark/>
          </w:tcPr>
          <w:p w14:paraId="4DB85958"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882" w:type="dxa"/>
            <w:shd w:val="clear" w:color="auto" w:fill="BDD7EE"/>
            <w:vAlign w:val="center"/>
            <w:hideMark/>
          </w:tcPr>
          <w:p w14:paraId="3448733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25" w:type="dxa"/>
            <w:shd w:val="clear" w:color="auto" w:fill="BDD7EE"/>
            <w:vAlign w:val="center"/>
            <w:hideMark/>
          </w:tcPr>
          <w:p w14:paraId="5A77D9B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347" w:type="dxa"/>
            <w:vMerge/>
            <w:vAlign w:val="center"/>
            <w:hideMark/>
          </w:tcPr>
          <w:p w14:paraId="42E752A9" w14:textId="77777777" w:rsidR="00BF03AA" w:rsidRPr="00326E55" w:rsidRDefault="00BF03AA">
            <w:pPr>
              <w:rPr>
                <w:rFonts w:ascii="Times New Roman" w:hAnsi="Times New Roman"/>
                <w:b/>
                <w:bCs/>
                <w:noProof/>
                <w:spacing w:val="-6"/>
                <w:sz w:val="20"/>
                <w:szCs w:val="20"/>
                <w:lang w:val="sk-SK"/>
              </w:rPr>
            </w:pPr>
          </w:p>
        </w:tc>
      </w:tr>
      <w:tr w:rsidR="00BF03AA" w:rsidRPr="00326E55" w14:paraId="1ED45E99"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D3D310" w14:textId="77777777" w:rsidR="00BF03AA" w:rsidRPr="00326E55" w:rsidRDefault="00FB452D">
            <w:pPr>
              <w:pStyle w:val="P68B1DB1-Normal12"/>
              <w:jc w:val="center"/>
              <w:rPr>
                <w:rFonts w:ascii="Times New Roman" w:hAnsi="Times New Roman"/>
                <w:noProof/>
                <w:spacing w:val="-6"/>
                <w:lang w:val="sk-SK"/>
              </w:rPr>
            </w:pPr>
            <w:bookmarkStart w:id="16" w:name="_Hlk212539687"/>
            <w:r w:rsidRPr="00326E55">
              <w:rPr>
                <w:rFonts w:ascii="Times New Roman" w:hAnsi="Times New Roman"/>
                <w:noProof/>
                <w:spacing w:val="-6"/>
                <w:lang w:val="sk-SK"/>
              </w:rPr>
              <w:t>M2C2 – 5</w:t>
            </w:r>
            <w:bookmarkEnd w:id="16"/>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D53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1.4 Vývoj biometánu podľa kritérií na podporu obehového hospodárstva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83A47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99078" w14:textId="41BD0003"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Vykonávacia dohoda, 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dokončenie </w:t>
            </w:r>
            <w:r w:rsidRPr="00326E55">
              <w:rPr>
                <w:rFonts w:ascii="Times New Roman" w:hAnsi="Times New Roman"/>
                <w:noProof/>
                <w:spacing w:val="-6"/>
                <w:lang w:val="sk-SK"/>
              </w:rPr>
              <w:t>investícií</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38359E" w14:textId="0D8CE554"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Nadobudnutie platnosti vykonávacích dohôd, podpísaných právnych dohôd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prevode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6DC911" w14:textId="2116C041"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NEUVEDENÉ </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73C68" w14:textId="511808CE"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55A90" w14:textId="2216B6EF"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503F05" w14:textId="01B41373"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8E94A3" w14:textId="4C19ABFF"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18D1CA" w14:textId="58E4A4B1"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p w14:paraId="60352BC4" w14:textId="78E8B911"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Taliansko prevedie 2 236 020 000 EUR do GSE na tento nást</w:t>
            </w:r>
            <w:r w:rsidRPr="00326E55">
              <w:rPr>
                <w:rFonts w:ascii="Times New Roman" w:hAnsi="Times New Roman"/>
                <w:noProof/>
                <w:spacing w:val="-6"/>
                <w:lang w:val="sk-SK"/>
              </w:rPr>
              <w:t>roj.</w:t>
            </w:r>
          </w:p>
          <w:p w14:paraId="72DCE1EE" w14:textId="53A1C124"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GSE musí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grante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na sumu 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odolnosti do programu (s prihliadnutím na poplatky za správu). </w:t>
            </w:r>
          </w:p>
        </w:tc>
      </w:tr>
      <w:tr w:rsidR="00BF03AA" w:rsidRPr="00326E55" w14:paraId="3A251113"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3DE63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6265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Investícia 2.1 Posilnenie </w:t>
            </w:r>
            <w:r w:rsidRPr="00326E55">
              <w:rPr>
                <w:rFonts w:ascii="Times New Roman" w:hAnsi="Times New Roman"/>
                <w:noProof/>
                <w:spacing w:val="-6"/>
                <w:lang w:val="sk-SK"/>
              </w:rPr>
              <w:t>inteligentných sietí</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8FD2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452B3E" w14:textId="5438B74F"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Inteligentné siete – Zvýšiť kapacitu siete na distribúciu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98D47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1AFAF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1AE8F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822B9" w14:textId="2D5F0903"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1 000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8E8B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3FE8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D889A4" w14:textId="24D0CAD5" w:rsidR="00BF03AA" w:rsidRPr="00326E55" w:rsidRDefault="00FB452D">
            <w:pPr>
              <w:pStyle w:val="P68B1DB1-Normal44"/>
              <w:rPr>
                <w:rFonts w:ascii="Times New Roman" w:hAnsi="Times New Roman"/>
                <w:noProof/>
                <w:spacing w:val="-6"/>
                <w:lang w:val="sk-SK"/>
              </w:rPr>
            </w:pPr>
            <w:r w:rsidRPr="00326E55">
              <w:rPr>
                <w:rFonts w:ascii="Times New Roman" w:hAnsi="Times New Roman"/>
                <w:noProof/>
                <w:spacing w:val="-6"/>
                <w:lang w:val="sk-SK"/>
              </w:rPr>
              <w:t>Zvýšiť kapacitu siete na distribúciu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1 000 MW</w:t>
            </w:r>
          </w:p>
        </w:tc>
      </w:tr>
      <w:tr w:rsidR="00BF03AA" w:rsidRPr="00326E55" w14:paraId="56101D80"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01A0D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M2C2 – </w:t>
            </w:r>
            <w:r w:rsidRPr="00326E55">
              <w:rPr>
                <w:rFonts w:ascii="Times New Roman" w:hAnsi="Times New Roman"/>
                <w:noProof/>
                <w:spacing w:val="-6"/>
                <w:lang w:val="sk-SK"/>
              </w:rPr>
              <w:t>17</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83659E" w14:textId="07AB0CA1"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3.4 Testovanie vodíka pre železničnú mobilitu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cestnú dopravu</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DE234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FB720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 vybudovaných vodíkových čerpacích staníc</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52EC6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3441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8140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460D91" w14:textId="20214810"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29</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833B2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1524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3F864E" w14:textId="300168EC"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sa vydávajú na výstavbu najmenej ôsmich železničných čerpacích </w:t>
            </w:r>
            <w:r w:rsidRPr="00326E55">
              <w:rPr>
                <w:rFonts w:ascii="Times New Roman" w:hAnsi="Times New Roman"/>
                <w:noProof/>
                <w:spacing w:val="-6"/>
                <w:lang w:val="sk-SK"/>
              </w:rPr>
              <w:t>staníc na báze vodíka pozdĺž najmenej piatich železničných tratí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aspoň 21 vodíkových čerpacích staníc pre cestnú dopravu.</w:t>
            </w:r>
          </w:p>
        </w:tc>
      </w:tr>
      <w:tr w:rsidR="00BF03AA" w:rsidRPr="00326E55" w14:paraId="1999AC37"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48960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M2C2 – 19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1A021" w14:textId="735AE29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3.5 Výskum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 vodíka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58F44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0C714" w14:textId="26DAB52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 projektov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vodíka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01F7F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92DDA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4E337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980B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B216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DRUHÝ </w:t>
            </w:r>
            <w:r w:rsidRPr="00326E55">
              <w:rPr>
                <w:rFonts w:ascii="Times New Roman" w:hAnsi="Times New Roman"/>
                <w:noProof/>
                <w:spacing w:val="-6"/>
                <w:lang w:val="sk-SK"/>
              </w:rPr>
              <w:t>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ED461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0A2680" w14:textId="0E99175F"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ukončení výskumných činností vydané pre najmenej 10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oblastiach</w:t>
            </w:r>
            <w:r w:rsidR="00326E55" w:rsidRPr="00326E55">
              <w:rPr>
                <w:rFonts w:ascii="Times New Roman" w:hAnsi="Times New Roman"/>
                <w:noProof/>
                <w:spacing w:val="-6"/>
                <w:lang w:val="sk-SK"/>
              </w:rPr>
              <w:t>;</w:t>
            </w:r>
          </w:p>
          <w:p w14:paraId="25B09CEA" w14:textId="3E71F67E"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a) Výroba zeleného vodíka</w:t>
            </w:r>
          </w:p>
          <w:p w14:paraId="03808A90" w14:textId="5F2F4513"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b) skladovanie, preprava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transformácia vodíka na deriváty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e-palivá</w:t>
            </w:r>
          </w:p>
          <w:p w14:paraId="68AD8F48" w14:textId="77777777"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C) Palivové články</w:t>
            </w:r>
          </w:p>
          <w:p w14:paraId="418154A9" w14:textId="2AE32FCD"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d) </w:t>
            </w:r>
            <w:r w:rsidRPr="00326E55">
              <w:rPr>
                <w:rFonts w:ascii="Times New Roman" w:hAnsi="Times New Roman"/>
                <w:noProof/>
                <w:spacing w:val="-6"/>
                <w:lang w:val="sk-SK"/>
              </w:rPr>
              <w:t>Integrované inteligentné riadenie inteligentných infraštruktúr založených na vodíku</w:t>
            </w:r>
          </w:p>
        </w:tc>
      </w:tr>
      <w:tr w:rsidR="00BF03AA" w:rsidRPr="00326E55" w14:paraId="1248F73E"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0852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24</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B04A4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Investícia 4.2 Vývoj rýchlych systémov hromadnej dopravy </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F942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84C70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Zadávanie všetkých verejných zákaziek na vybudovanie</w:t>
            </w:r>
            <w:r w:rsidRPr="00326E55">
              <w:rPr>
                <w:rFonts w:ascii="Times New Roman" w:hAnsi="Times New Roman"/>
                <w:noProof/>
                <w:spacing w:val="-6"/>
                <w:shd w:val="clear" w:color="auto" w:fill="E6E6E6"/>
                <w:lang w:val="sk-SK"/>
              </w:rPr>
              <w:t xml:space="preserve"> </w:t>
            </w:r>
            <w:r w:rsidRPr="00326E55">
              <w:rPr>
                <w:rFonts w:ascii="Times New Roman" w:hAnsi="Times New Roman"/>
                <w:noProof/>
                <w:spacing w:val="-6"/>
                <w:lang w:val="sk-SK"/>
              </w:rPr>
              <w:t xml:space="preserve">infraštruktúry pre rýchle systémy hromadnej dopravy </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476C4" w14:textId="7178809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DD168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B5B39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B6DE4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7A156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93A81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2023</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489D8" w14:textId="5BCD449E"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budovanie infraštruktúrnych projektov, ako sa vymedzuje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opise opatrenia.</w:t>
            </w:r>
          </w:p>
        </w:tc>
      </w:tr>
      <w:tr w:rsidR="00BF03AA" w:rsidRPr="00326E55" w14:paraId="11E82CB5"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41BBD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25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D041C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4.2 Vývoj rýchlych systémov hromadnej dopravy</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7785B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1C04F" w14:textId="6422E17E" w:rsidR="00BF03AA" w:rsidRPr="00326E55" w:rsidRDefault="00FB452D">
            <w:pPr>
              <w:pStyle w:val="P68B1DB1-Normal14"/>
              <w:jc w:val="center"/>
              <w:rPr>
                <w:rFonts w:ascii="Times New Roman" w:hAnsi="Times New Roman"/>
                <w:noProof/>
                <w:color w:val="006100"/>
                <w:spacing w:val="-6"/>
                <w:lang w:val="sk-SK"/>
              </w:rPr>
            </w:pPr>
            <w:r w:rsidRPr="00326E55">
              <w:rPr>
                <w:rFonts w:ascii="Times New Roman" w:hAnsi="Times New Roman"/>
                <w:noProof/>
                <w:color w:val="006100"/>
                <w:spacing w:val="-6"/>
                <w:lang w:val="sk-SK"/>
              </w:rPr>
              <w:t>Zadávanie</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všetkých verejných zákaziek na nákup železničných koľajových vozidiel</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nulovými emisiami</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intervencie na modernizáciu infraštruktúry systémov rýchlej</w:t>
            </w:r>
            <w:r w:rsidRPr="00326E55">
              <w:rPr>
                <w:rFonts w:ascii="Times New Roman" w:hAnsi="Times New Roman"/>
                <w:noProof/>
                <w:color w:val="006100"/>
                <w:spacing w:val="-6"/>
                <w:lang w:val="sk-SK"/>
              </w:rPr>
              <w:t xml:space="preserve"> hromadnej dopravy</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4B4FB8" w14:textId="343702C9"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všetkých verejných zákaziek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E287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A29F1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F057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239E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3C38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6215BA" w14:textId="6B4E80CC" w:rsidR="00BF03AA" w:rsidRPr="00326E55" w:rsidRDefault="00FB452D">
            <w:pPr>
              <w:pStyle w:val="P68B1DB1-Normal14"/>
              <w:rPr>
                <w:rFonts w:ascii="Times New Roman" w:hAnsi="Times New Roman"/>
                <w:noProof/>
                <w:spacing w:val="-6"/>
                <w:lang w:val="sk-SK"/>
              </w:rPr>
            </w:pPr>
            <w:r w:rsidRPr="00326E55">
              <w:rPr>
                <w:rFonts w:ascii="Times New Roman" w:hAnsi="Times New Roman"/>
                <w:noProof/>
                <w:color w:val="006100"/>
                <w:spacing w:val="-6"/>
                <w:lang w:val="sk-SK"/>
              </w:rPr>
              <w:t>Oznámenie</w:t>
            </w:r>
            <w:r w:rsidR="00326E55" w:rsidRPr="00326E55">
              <w:rPr>
                <w:rFonts w:ascii="Times New Roman" w:hAnsi="Times New Roman"/>
                <w:noProof/>
                <w:color w:val="006100"/>
                <w:spacing w:val="-6"/>
                <w:lang w:val="sk-SK"/>
              </w:rPr>
              <w:t xml:space="preserve"> o </w:t>
            </w:r>
            <w:r w:rsidRPr="00326E55">
              <w:rPr>
                <w:rFonts w:ascii="Times New Roman" w:hAnsi="Times New Roman"/>
                <w:noProof/>
                <w:color w:val="006100"/>
                <w:spacing w:val="-6"/>
                <w:lang w:val="sk-SK"/>
              </w:rPr>
              <w:t>zadaní</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všetkých verejných zákaziek na nákup najmenej 85 jednotiek železničných koľajových vozidiel</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najmenej 5 zásahov na mode</w:t>
            </w:r>
            <w:r w:rsidRPr="00326E55">
              <w:rPr>
                <w:rFonts w:ascii="Times New Roman" w:hAnsi="Times New Roman"/>
                <w:noProof/>
                <w:color w:val="006100"/>
                <w:spacing w:val="-6"/>
                <w:lang w:val="sk-SK"/>
              </w:rPr>
              <w:t>rnizáciu infraštruktúry systémov rýchlej hromadnej dopravy, ako sa vymedzuje</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opise opatrenia.</w:t>
            </w:r>
          </w:p>
        </w:tc>
      </w:tr>
      <w:tr w:rsidR="00BF03AA" w:rsidRPr="00326E55" w14:paraId="5EF261F6"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07CEB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M2C2 – 26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1BD0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4.2 Vývoj rýchlych systémov hromadnej dopravy</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0CEBF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Míľnik </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52E55" w14:textId="461FE16F"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Vybudovaná alebo zmodernizovaná verejná infraštruktúra pre rýchly rozvoj hromadnej </w:t>
            </w:r>
            <w:r w:rsidRPr="00326E55">
              <w:rPr>
                <w:rFonts w:ascii="Times New Roman" w:hAnsi="Times New Roman"/>
                <w:noProof/>
                <w:spacing w:val="-6"/>
                <w:lang w:val="sk-SK"/>
              </w:rPr>
              <w:t>dopravy, zakúpené železničné koľajové vozidlá</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8F5749" w14:textId="04ED44F2" w:rsidR="00BF03AA" w:rsidRPr="00326E55" w:rsidRDefault="00FB452D">
            <w:pPr>
              <w:pStyle w:val="P68B1DB1-Normal12"/>
              <w:jc w:val="center"/>
              <w:rPr>
                <w:rFonts w:ascii="Times New Roman" w:eastAsia="Arial Narrow" w:hAnsi="Times New Roman" w:cs="Arial Narrow"/>
                <w:noProof/>
                <w:spacing w:val="-6"/>
                <w:lang w:val="sk-SK"/>
              </w:rPr>
            </w:pPr>
            <w:r w:rsidRPr="00326E55">
              <w:rPr>
                <w:rFonts w:ascii="Times New Roman" w:hAnsi="Times New Roman"/>
                <w:noProof/>
                <w:spacing w:val="-6"/>
                <w:lang w:val="sk-SK"/>
              </w:rPr>
              <w:t>Vydané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vyplnení alebo registrácii</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44E49" w14:textId="4E04FE8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BF3ED" w14:textId="53C56BBC"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99A7C8" w14:textId="108831CF"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C697F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BFF52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CDBFF" w14:textId="04E01A95" w:rsidR="00BF03AA" w:rsidRPr="00326E55" w:rsidRDefault="00FB452D">
            <w:pPr>
              <w:pStyle w:val="P68B1DB1-ListParagraph13"/>
              <w:numPr>
                <w:ilvl w:val="0"/>
                <w:numId w:val="84"/>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prác vydané na najmenej 186 km infraštruktúry verejnej dopravy vo funkčných mestských </w:t>
            </w:r>
            <w:r w:rsidRPr="00326E55">
              <w:rPr>
                <w:rFonts w:ascii="Times New Roman" w:hAnsi="Times New Roman"/>
                <w:noProof/>
                <w:spacing w:val="-6"/>
                <w:lang w:val="sk-SK"/>
              </w:rPr>
              <w:t>oblastiach.</w:t>
            </w:r>
          </w:p>
          <w:p w14:paraId="660095A8" w14:textId="6A8CD135" w:rsidR="00BF03AA" w:rsidRPr="00326E55" w:rsidRDefault="00FB452D">
            <w:pPr>
              <w:pStyle w:val="P68B1DB1-ListParagraph13"/>
              <w:numPr>
                <w:ilvl w:val="0"/>
                <w:numId w:val="84"/>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Registrácia najmenej 311 jednotiek železničných koľajových vozidiel</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 na rýchlu hromadnú dopravu vo funkčných mestských oblastiach.</w:t>
            </w:r>
          </w:p>
          <w:p w14:paraId="3F7A4DEF" w14:textId="75940FD7" w:rsidR="00BF03AA" w:rsidRPr="00326E55" w:rsidRDefault="00FB452D">
            <w:pPr>
              <w:pStyle w:val="P68B1DB1-ListParagraph13"/>
              <w:numPr>
                <w:ilvl w:val="0"/>
                <w:numId w:val="84"/>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vydané pre najmenej 10 modernizačných zásahov pre infraštruktúru rýchle</w:t>
            </w:r>
            <w:r w:rsidRPr="00326E55">
              <w:rPr>
                <w:rFonts w:ascii="Times New Roman" w:hAnsi="Times New Roman"/>
                <w:noProof/>
                <w:spacing w:val="-6"/>
                <w:lang w:val="sk-SK"/>
              </w:rPr>
              <w:t>j hromadnej dopravy, ktoré môžu zahŕňať ich digitalizáciu. Tieto zásahy zahŕňajú modernizáciu staníc metra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infraštruktúry tratí metra, signalizačné systémy pre železničnú alebo električkovú dopravu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verejné tranzitné sklady.</w:t>
            </w:r>
          </w:p>
          <w:p w14:paraId="4A489E6C" w14:textId="16B6F5B8"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Investícia nesmie zahŕňať vý</w:t>
            </w:r>
            <w:r w:rsidRPr="00326E55">
              <w:rPr>
                <w:rFonts w:ascii="Times New Roman" w:hAnsi="Times New Roman"/>
                <w:noProof/>
                <w:spacing w:val="-6"/>
                <w:lang w:val="sk-SK"/>
              </w:rPr>
              <w:t>stavbu ani modernizáciu ciest mimo rozsahu pôsobnosti intervencie, pokiaľ tieto cesty nie sú neoddeliteľnou súčasťou infraštruktúry umožňujúcej prevádzku železničných koľajových vozidiel</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r>
      <w:tr w:rsidR="00BF03AA" w:rsidRPr="00326E55" w14:paraId="1E4F27E7"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A4F43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31</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3966E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Investícia 4.4.3: Obnova vozového </w:t>
            </w:r>
            <w:r w:rsidRPr="00326E55">
              <w:rPr>
                <w:rFonts w:ascii="Times New Roman" w:hAnsi="Times New Roman"/>
                <w:noProof/>
                <w:spacing w:val="-6"/>
                <w:lang w:val="sk-SK"/>
              </w:rPr>
              <w:t>parku pre veliteľstvo národného hasičského zboru</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E6B7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E68A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Zadanie všetkých verejných zákaziek na obnovu vozového parku pre veliteľstvo národného hasičského zboru</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6100F8" w14:textId="6DD09F6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všetkých zákaziek na obnovu vozového parku pre veliteľstvo národného </w:t>
            </w:r>
            <w:r w:rsidRPr="00326E55">
              <w:rPr>
                <w:rFonts w:ascii="Times New Roman" w:hAnsi="Times New Roman"/>
                <w:noProof/>
                <w:spacing w:val="-6"/>
                <w:lang w:val="sk-SK"/>
              </w:rPr>
              <w:t>hasičského zboru</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6EF61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2F16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5490C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NEUVÁDZA SA</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211C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B00AA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94A372" w14:textId="0C762BB0"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nadobudnutie vnútroštátnych hasičských vozidiel.</w:t>
            </w:r>
          </w:p>
        </w:tc>
      </w:tr>
      <w:tr w:rsidR="00BF03AA" w:rsidRPr="00326E55" w14:paraId="6E2E9D52"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BA9A7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32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3AC81" w14:textId="74C7A00D"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4.4.1: Posilnenie regionálneho vozového parku verejnej autobusovej</w:t>
            </w:r>
            <w:r w:rsidRPr="00326E55">
              <w:rPr>
                <w:rFonts w:ascii="Times New Roman" w:hAnsi="Times New Roman"/>
                <w:noProof/>
                <w:spacing w:val="-6"/>
                <w:lang w:val="sk-SK"/>
              </w:rPr>
              <w:t xml:space="preserve"> dopravy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nízkopodlažnými autobusmi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BDA75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932E2" w14:textId="427328E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Zadávanie všetkých verejných zákaziek na posilnenie regionálneho vozového parku verejnej autobusovej dopravy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nízkopodlažnými autobusmi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1DB1F" w14:textId="5FEF6674"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všetkých zákaziek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3017F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153C0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AD6AD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E92CD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B54A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2023</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9A9ABA" w14:textId="686A2F47"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verejných zákaziek na nadobudnutie najmenej 3000 nízkopodlažných autobusov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r>
      <w:tr w:rsidR="00BF03AA" w:rsidRPr="00326E55" w14:paraId="0AD27A62"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56452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34</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6E405" w14:textId="68F76896"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4.4.1: Posilnenie</w:t>
            </w:r>
            <w:r w:rsidRPr="00326E55">
              <w:rPr>
                <w:rFonts w:ascii="Times New Roman" w:hAnsi="Times New Roman"/>
                <w:noProof/>
                <w:spacing w:val="-6"/>
                <w:lang w:val="sk-SK"/>
              </w:rPr>
              <w:t xml:space="preserve"> regionálneho vozového parku verejnej autobusovej dopravy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nízkopodlažnými autobusmi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86764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428D4" w14:textId="64FE9A8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 nízkopodlažných autobusov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 registrovd T1</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F3F3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8A73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732C4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6E7C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800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68F6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8B25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EB5D5" w14:textId="72928668"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 xml:space="preserve">Registrácia najmenej 800 </w:t>
            </w:r>
            <w:r w:rsidRPr="00326E55">
              <w:rPr>
                <w:rFonts w:ascii="Times New Roman" w:hAnsi="Times New Roman"/>
                <w:noProof/>
                <w:spacing w:val="-6"/>
                <w:lang w:val="sk-SK"/>
              </w:rPr>
              <w:t>nízkopodlažných autobusov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 obstaraných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M2C2 – 32 na posilnenie príslušného vozového parku.</w:t>
            </w:r>
          </w:p>
        </w:tc>
      </w:tr>
      <w:tr w:rsidR="00BF03AA" w:rsidRPr="00326E55" w14:paraId="4B95E251"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ADB87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M2C2 – 34bis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9EC1E" w14:textId="03427AC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4.4.2: Posilnenie vozového parku regionálnej verejnej železničnej dopravy (vlaky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univerzálna služba)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341AA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EF7E44" w14:textId="19701AF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 vlakov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nulovými emisiami </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CBCB5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45DF1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8C5E8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14485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25</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770C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1EF10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10F50D" w14:textId="01B24ED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Dodanie najmenej 25 vlakov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r>
      <w:tr w:rsidR="00BF03AA" w:rsidRPr="00326E55" w14:paraId="27D75847"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0335D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M2C2 – 35 bis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4912F" w14:textId="709069E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4.4.2: Posilnenie vozového parku regionálnej verejnej železničnej dopravy (vlaky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univerzálna služba)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B26E0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3ADA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Počet registrovaných vlakov </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98BDF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BCD40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1F9AF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25</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89B27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97</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8FDE1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8CD9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C9BFFF" w14:textId="64237DB6"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Registrácia najmenej 97 vlakov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 Oprávnené vlaky sú elektrické, vodíkové palivové články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najviac 20 bimodálnych </w:t>
            </w:r>
            <w:r w:rsidRPr="00326E55">
              <w:rPr>
                <w:rFonts w:ascii="Times New Roman" w:hAnsi="Times New Roman"/>
                <w:noProof/>
                <w:spacing w:val="-6"/>
                <w:lang w:val="sk-SK"/>
              </w:rPr>
              <w:t>vlakov.</w:t>
            </w:r>
          </w:p>
        </w:tc>
      </w:tr>
      <w:tr w:rsidR="00BF03AA" w:rsidRPr="00326E55" w14:paraId="202C9C5B"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FFA0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38bis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F8FB07" w14:textId="654E727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5.1. Podpora výrobného systému pre ekologickú transformáciu, emisne neutrálne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konkurencieschopnosť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odolnosť strategických dodávateľských reťazcov</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2EC6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F3C90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Vykonávacia dohoda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736EA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Nadobudnutie platnosti vykonávacej </w:t>
            </w:r>
            <w:r w:rsidRPr="00326E55">
              <w:rPr>
                <w:rFonts w:ascii="Times New Roman" w:hAnsi="Times New Roman"/>
                <w:noProof/>
                <w:spacing w:val="-6"/>
                <w:lang w:val="sk-SK"/>
              </w:rPr>
              <w:t>dohody</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67E31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7ECF1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DB0C4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1F93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72D0D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3309D" w14:textId="77777777"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r>
      <w:tr w:rsidR="00BF03AA" w:rsidRPr="00326E55" w14:paraId="632B61C0"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7704B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39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FC13B7" w14:textId="2457397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5.1 Podpora výrobného systému pre ekologickú transformáciu, emisne neutrálne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konkurencieschopnosť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odolnosť </w:t>
            </w:r>
            <w:r w:rsidRPr="00326E55">
              <w:rPr>
                <w:rFonts w:ascii="Times New Roman" w:hAnsi="Times New Roman"/>
                <w:noProof/>
                <w:spacing w:val="-6"/>
                <w:lang w:val="sk-SK"/>
              </w:rPr>
              <w:t>strategických dodávateľských reťazcov</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D3CF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93970" w14:textId="4C120F4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Talianske ministerstvo podnikov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Made ukončilo prevod finančných prostriedkov spoločnosti Invitalia S.p.A.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CD1F68" w14:textId="46C03F2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prevode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3AA89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220C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8FC15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F9F58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4D601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6B10BE" w14:textId="77777777" w:rsidR="00BF03AA" w:rsidRPr="00326E55" w:rsidRDefault="00FB452D">
            <w:pPr>
              <w:pStyle w:val="P68B1DB1-Normal44"/>
              <w:spacing w:before="120" w:after="120"/>
              <w:rPr>
                <w:rFonts w:ascii="Times New Roman" w:hAnsi="Times New Roman"/>
                <w:noProof/>
                <w:spacing w:val="-6"/>
                <w:lang w:val="sk-SK"/>
              </w:rPr>
            </w:pPr>
            <w:r w:rsidRPr="00326E55">
              <w:rPr>
                <w:rFonts w:ascii="Times New Roman" w:hAnsi="Times New Roman"/>
                <w:noProof/>
                <w:spacing w:val="-6"/>
                <w:lang w:val="sk-SK"/>
              </w:rPr>
              <w:t xml:space="preserve">Taliansko prevedie </w:t>
            </w:r>
            <w:r w:rsidRPr="00326E55">
              <w:rPr>
                <w:rFonts w:ascii="Times New Roman" w:hAnsi="Times New Roman"/>
                <w:noProof/>
                <w:spacing w:val="-6"/>
                <w:lang w:val="sk-SK"/>
              </w:rPr>
              <w:t>3 500 000 000 EUR do nástroja Invitalia.</w:t>
            </w:r>
          </w:p>
          <w:p w14:paraId="5D6E1513" w14:textId="77777777" w:rsidR="00BF03AA" w:rsidRPr="00326E55" w:rsidRDefault="00BF03AA">
            <w:pPr>
              <w:rPr>
                <w:rFonts w:ascii="Times New Roman" w:hAnsi="Times New Roman"/>
                <w:noProof/>
                <w:spacing w:val="-6"/>
                <w:sz w:val="20"/>
                <w:lang w:val="sk-SK"/>
              </w:rPr>
            </w:pPr>
          </w:p>
        </w:tc>
      </w:tr>
      <w:tr w:rsidR="00BF03AA" w:rsidRPr="00326E55" w14:paraId="49B359F5"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51F98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M2C2 – 40</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DDEC9B" w14:textId="7786E75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5.1. Podpora výrobného systému pre ekologickú transformáciu, emisne neutrálne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konkurencieschopnosť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odolnosť strategických dodávateľských reťazcov</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AE43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A270E5" w14:textId="2CDAB23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Dodatok</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vykonávacej </w:t>
            </w:r>
            <w:r w:rsidRPr="00326E55">
              <w:rPr>
                <w:rFonts w:ascii="Times New Roman" w:hAnsi="Times New Roman"/>
                <w:noProof/>
                <w:spacing w:val="-6"/>
                <w:lang w:val="sk-SK"/>
              </w:rPr>
              <w:t>dohode, 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dokončenie investícií</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03C72" w14:textId="27F6603B"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Nadobudnutie platnosti zmenenej vykonávacej dohody, právnych dohôd podpísaných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BB8B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9C2A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E7FA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100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304F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D2BB3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5295D" w14:textId="77777777"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 xml:space="preserve">Zmena </w:t>
            </w:r>
            <w:r w:rsidRPr="00326E55">
              <w:rPr>
                <w:rFonts w:ascii="Times New Roman" w:hAnsi="Times New Roman"/>
                <w:noProof/>
                <w:spacing w:val="-6"/>
                <w:lang w:val="sk-SK"/>
              </w:rPr>
              <w:t>vykonávacej dohody.</w:t>
            </w:r>
          </w:p>
          <w:p w14:paraId="36F09C58" w14:textId="20605199"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Taliansko prevedie 400 000 000 EUR do nástroja Invitalia.</w:t>
            </w:r>
          </w:p>
          <w:p w14:paraId="47AAA15A" w14:textId="398AE32A" w:rsidR="00BF03AA" w:rsidRPr="00326E55" w:rsidRDefault="00FB452D">
            <w:pPr>
              <w:pStyle w:val="P68B1DB1-Normal21"/>
              <w:spacing w:before="120" w:after="120"/>
              <w:rPr>
                <w:rFonts w:ascii="Times New Roman" w:hAnsi="Times New Roman"/>
                <w:noProof/>
                <w:spacing w:val="-6"/>
                <w:szCs w:val="20"/>
                <w:lang w:val="sk-SK"/>
              </w:rPr>
            </w:pPr>
            <w:r w:rsidRPr="00326E55">
              <w:rPr>
                <w:rFonts w:ascii="Times New Roman" w:hAnsi="Times New Roman"/>
                <w:noProof/>
                <w:spacing w:val="-6"/>
                <w:lang w:val="sk-SK"/>
              </w:rPr>
              <w:t>Invitalia musí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na sumu potrebnú na využitie 100</w:t>
            </w:r>
            <w:r w:rsidR="00326E55" w:rsidRPr="00326E55">
              <w:rPr>
                <w:rFonts w:ascii="Times New Roman" w:hAnsi="Times New Roman"/>
                <w:noProof/>
                <w:spacing w:val="-6"/>
                <w:lang w:val="sk-SK"/>
              </w:rPr>
              <w:t> % z </w:t>
            </w:r>
            <w:r w:rsidRPr="00326E55">
              <w:rPr>
                <w:rFonts w:ascii="Times New Roman" w:hAnsi="Times New Roman"/>
                <w:noProof/>
                <w:spacing w:val="-6"/>
                <w:lang w:val="sk-SK"/>
              </w:rPr>
              <w:t>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vo výš</w:t>
            </w:r>
            <w:r w:rsidRPr="00326E55">
              <w:rPr>
                <w:rFonts w:ascii="Times New Roman" w:hAnsi="Times New Roman"/>
                <w:noProof/>
                <w:spacing w:val="-6"/>
                <w:lang w:val="sk-SK"/>
              </w:rPr>
              <w:t xml:space="preserve">ke 3 900 000 000 EUR (so zreteľom </w:t>
            </w:r>
            <w:r w:rsidRPr="00326E55">
              <w:rPr>
                <w:rFonts w:ascii="Times New Roman" w:hAnsi="Times New Roman"/>
                <w:noProof/>
                <w:spacing w:val="-6"/>
                <w:szCs w:val="20"/>
                <w:lang w:val="sk-SK"/>
              </w:rPr>
              <w:t xml:space="preserve">na poplatky za správu). </w:t>
            </w:r>
            <w:bookmarkStart w:id="17" w:name="_Hlk212583418"/>
            <w:r w:rsidRPr="00326E55">
              <w:rPr>
                <w:rFonts w:ascii="Times New Roman" w:hAnsi="Times New Roman"/>
                <w:noProof/>
                <w:spacing w:val="-6"/>
                <w:szCs w:val="20"/>
                <w:lang w:val="sk-SK"/>
              </w:rPr>
              <w:t>Aspoň 460 miliónov EUR</w:t>
            </w:r>
            <w:r w:rsidR="00326E55" w:rsidRPr="00326E55">
              <w:rPr>
                <w:rFonts w:ascii="Times New Roman" w:hAnsi="Times New Roman"/>
                <w:noProof/>
                <w:spacing w:val="-6"/>
                <w:szCs w:val="20"/>
                <w:lang w:val="sk-SK"/>
              </w:rPr>
              <w:t xml:space="preserve"> z </w:t>
            </w:r>
            <w:r w:rsidRPr="00326E55">
              <w:rPr>
                <w:rFonts w:ascii="Times New Roman" w:hAnsi="Times New Roman"/>
                <w:noProof/>
                <w:spacing w:val="-6"/>
                <w:szCs w:val="20"/>
                <w:lang w:val="sk-SK"/>
              </w:rPr>
              <w:t>tohto financovania prispeje</w:t>
            </w:r>
            <w:r w:rsidR="00326E55" w:rsidRPr="00326E55">
              <w:rPr>
                <w:rFonts w:ascii="Times New Roman" w:hAnsi="Times New Roman"/>
                <w:noProof/>
                <w:spacing w:val="-6"/>
                <w:szCs w:val="20"/>
                <w:lang w:val="sk-SK"/>
              </w:rPr>
              <w:t xml:space="preserve"> k </w:t>
            </w:r>
            <w:r w:rsidRPr="00326E55">
              <w:rPr>
                <w:rFonts w:ascii="Times New Roman" w:hAnsi="Times New Roman"/>
                <w:noProof/>
                <w:spacing w:val="-6"/>
                <w:szCs w:val="20"/>
                <w:lang w:val="sk-SK"/>
              </w:rPr>
              <w:t>plneniu cieľov</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oblasti klímy pomocou metodiky uvedenej</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prílohe VI</w:t>
            </w:r>
            <w:r w:rsidR="00326E55" w:rsidRPr="00326E55">
              <w:rPr>
                <w:rFonts w:ascii="Times New Roman" w:hAnsi="Times New Roman"/>
                <w:noProof/>
                <w:spacing w:val="-6"/>
                <w:szCs w:val="20"/>
                <w:lang w:val="sk-SK"/>
              </w:rPr>
              <w:t xml:space="preserve"> k </w:t>
            </w:r>
            <w:r w:rsidRPr="00326E55">
              <w:rPr>
                <w:rFonts w:ascii="Times New Roman" w:hAnsi="Times New Roman"/>
                <w:noProof/>
                <w:spacing w:val="-6"/>
                <w:szCs w:val="20"/>
                <w:lang w:val="sk-SK"/>
              </w:rPr>
              <w:t>nariadeniu</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Mechanizme na podporu obnovy</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odolnosti.</w:t>
            </w:r>
            <w:bookmarkEnd w:id="17"/>
          </w:p>
          <w:p w14:paraId="3B9A7A91" w14:textId="77777777" w:rsidR="00326E55"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Predovšetkým</w:t>
            </w:r>
            <w:r w:rsidR="00326E55" w:rsidRPr="00326E55">
              <w:rPr>
                <w:rFonts w:ascii="Times New Roman" w:hAnsi="Times New Roman"/>
                <w:noProof/>
                <w:spacing w:val="-6"/>
                <w:lang w:val="sk-SK"/>
              </w:rPr>
              <w:t>:</w:t>
            </w:r>
          </w:p>
          <w:p w14:paraId="3A713340" w14:textId="445CEA6F"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—Aspoň 700 000 000 EUR sa pridelí na čiastkovú investíciu 1 Emisne neutrálne technológie;</w:t>
            </w:r>
          </w:p>
          <w:p w14:paraId="23C7F94A" w14:textId="08EEA21B"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Zostávajúce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sa alokujú na čiastkovú investíciu 2 Konkurencieschopnosť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odolnosť strategických dodávateľsk</w:t>
            </w:r>
            <w:r w:rsidRPr="00326E55">
              <w:rPr>
                <w:rFonts w:ascii="Times New Roman" w:hAnsi="Times New Roman"/>
                <w:noProof/>
                <w:spacing w:val="-6"/>
                <w:lang w:val="sk-SK"/>
              </w:rPr>
              <w:t>ých reťazcov vrátane polovodičových projektov. Na poľnohospodársko-priemyselný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agropotravinársky sektor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čiastkovej investície 2 pridelí maximálne 400 000 000 EUR.</w:t>
            </w:r>
          </w:p>
        </w:tc>
      </w:tr>
      <w:tr w:rsidR="00BF03AA" w:rsidRPr="00326E55" w14:paraId="3A58B0AA"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8EF03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42bis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10F4C" w14:textId="77777777" w:rsidR="00BF03AA"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 xml:space="preserve">Investícia 5.4 – Kapitálová injekcia do Fondu pre zelenú </w:t>
            </w:r>
            <w:r w:rsidRPr="00326E55">
              <w:rPr>
                <w:rFonts w:ascii="Times New Roman" w:hAnsi="Times New Roman"/>
                <w:noProof/>
                <w:spacing w:val="-6"/>
                <w:lang w:val="sk-SK"/>
              </w:rPr>
              <w:t>transformáciu (ďalej len „GTF“)</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D49061" w14:textId="77777777" w:rsidR="00BF03AA"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3C04C" w14:textId="77777777" w:rsidR="00BF03AA"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Kapitálová injekcia do Fondu pre zelenú transformáciu</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50325" w14:textId="327CF45B"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B66CA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71E2D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 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18D64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E085A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361A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7640A6" w14:textId="77777777" w:rsidR="00BF03AA" w:rsidRPr="00326E55" w:rsidRDefault="00FB452D">
            <w:pPr>
              <w:spacing w:after="120"/>
              <w:jc w:val="both"/>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Taliansko prevedie do GTF 250000000 EUR.</w:t>
            </w:r>
          </w:p>
          <w:p w14:paraId="1E9AF93F" w14:textId="37F0A1DA"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Investičná politika („Accordo Finanziario“) musí </w:t>
            </w:r>
            <w:r w:rsidRPr="00326E55">
              <w:rPr>
                <w:rFonts w:ascii="Times New Roman" w:hAnsi="Times New Roman"/>
                <w:noProof/>
                <w:spacing w:val="-6"/>
                <w:lang w:val="sk-SK"/>
              </w:rPr>
              <w:t>byť okrem toho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opisom opatrenia.</w:t>
            </w:r>
          </w:p>
        </w:tc>
      </w:tr>
      <w:tr w:rsidR="00BF03AA" w:rsidRPr="00326E55" w14:paraId="0263B7BD"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E4E3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43</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8C43E4" w14:textId="77777777" w:rsidR="00BF03AA"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Investícia 5.4: Kapitálová injekcia do Fondu pre zelenú transformáciu (ďalej len „GTF“)</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55179" w14:textId="77777777" w:rsidR="00BF03AA"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39263" w14:textId="77777777" w:rsidR="00BF03AA"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Prijatie správy</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73842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Prijatie správy</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A1C21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A05BE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F27B7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685A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F31FB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41EC5" w14:textId="188CE0EB" w:rsidR="00BF03AA"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 xml:space="preserve">Taliansko predloží </w:t>
            </w:r>
            <w:r w:rsidRPr="00326E55">
              <w:rPr>
                <w:rFonts w:ascii="Times New Roman" w:hAnsi="Times New Roman"/>
                <w:noProof/>
                <w:spacing w:val="-6"/>
                <w:lang w:val="sk-SK"/>
              </w:rPr>
              <w:t>správu,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uvedie opatrenia, ktoré GTF prijala na vykonávanie investičnej politiky, vrátane krokov prijatých na implementáciu finančných produktov, ktoré sa majú podporiť</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vlastného imania, ako aj očakávané kroky, ktoré sa majú prijať na ďalšie vyko</w:t>
            </w:r>
            <w:r w:rsidRPr="00326E55">
              <w:rPr>
                <w:rFonts w:ascii="Times New Roman" w:hAnsi="Times New Roman"/>
                <w:noProof/>
                <w:spacing w:val="-6"/>
                <w:lang w:val="sk-SK"/>
              </w:rPr>
              <w:t>návanie týchto produktov.</w:t>
            </w:r>
          </w:p>
          <w:p w14:paraId="4EED585D" w14:textId="7C308F2B"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noProof/>
                <w:spacing w:val="-6"/>
                <w:lang w:val="sk-SK"/>
              </w:rPr>
              <w:t>V správe sa uvádzajú aj sumy investované priamym/nepriamym spôsobom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 každého finančného produktu.</w:t>
            </w:r>
          </w:p>
        </w:tc>
      </w:tr>
      <w:tr w:rsidR="00BF03AA" w:rsidRPr="00326E55" w14:paraId="64450C95"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8C79D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M2C2 – 44</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2C19F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Rozvoj agrovoltaických systémov</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4EBBFF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302DE9" w14:textId="71503BF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Zadávanie všetkých verejných zákaziek na inštaláciu </w:t>
            </w:r>
            <w:r w:rsidRPr="00326E55">
              <w:rPr>
                <w:rFonts w:ascii="Times New Roman" w:hAnsi="Times New Roman"/>
                <w:noProof/>
                <w:spacing w:val="-6"/>
                <w:lang w:val="sk-SK"/>
              </w:rPr>
              <w:t>fotovoltických solárnych panelov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agrovoltaických systémoch</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5E32E9" w14:textId="1AB40617" w:rsidR="00BF03AA" w:rsidRPr="00326E55" w:rsidRDefault="00FB452D">
            <w:pPr>
              <w:pStyle w:val="P68B1DB1-Normal67"/>
              <w:jc w:val="center"/>
              <w:rPr>
                <w:rFonts w:ascii="Times New Roman" w:eastAsia="Arial Narrow" w:hAnsi="Times New Roman"/>
                <w:noProof/>
                <w:spacing w:val="-6"/>
                <w:lang w:val="sk-SK"/>
              </w:rPr>
            </w:pPr>
            <w:r w:rsidRPr="00326E55">
              <w:rPr>
                <w:rFonts w:ascii="Times New Roman" w:hAnsi="Times New Roman"/>
                <w:noProof/>
                <w:spacing w:val="-6"/>
                <w:lang w:val="sk-SK"/>
              </w:rPr>
              <w:t>Uverejnenie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udelením (postúpením) všetkých verejných zákaziek na inštaláciu fotovoltických solárnych panelov do agrovoltaických systémov</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D40AB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3AC8BF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D82490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37E07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CAB100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9935588" w14:textId="6298AEAC"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Uverejnenie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udelením (zadaním) všetkých verejných zákaziek na inštaláciu fotovoltických solárnych panelov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meradiel</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agrovoltaických systémoch. </w:t>
            </w:r>
          </w:p>
        </w:tc>
      </w:tr>
      <w:tr w:rsidR="00BF03AA" w:rsidRPr="00326E55" w14:paraId="5337BA2E"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0A99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M2C2 – 45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76CA3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Rozvoj agrovoltaických systémov</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37867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2DE302" w14:textId="28EFF78D"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Vykonávacia </w:t>
            </w:r>
            <w:r w:rsidRPr="00326E55">
              <w:rPr>
                <w:rFonts w:ascii="Times New Roman" w:hAnsi="Times New Roman"/>
                <w:noProof/>
                <w:spacing w:val="-6"/>
                <w:lang w:val="sk-SK"/>
              </w:rPr>
              <w:t>dohoda, 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dokončenie investícií</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ABFE3" w14:textId="3DE929D4"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Nadobudnutie platnosti vykonávacej dohody, podpísaných právnych dohôd,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501A32" w14:textId="77777777" w:rsidR="00BF03AA" w:rsidRPr="00326E55" w:rsidRDefault="00BF03AA">
            <w:pPr>
              <w:jc w:val="center"/>
              <w:rPr>
                <w:rFonts w:ascii="Times New Roman" w:hAnsi="Times New Roman"/>
                <w:noProof/>
                <w:color w:val="006100"/>
                <w:spacing w:val="-6"/>
                <w:sz w:val="20"/>
                <w:lang w:val="sk-SK"/>
              </w:rPr>
            </w:pP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9A284" w14:textId="77777777" w:rsidR="00BF03AA" w:rsidRPr="00326E55" w:rsidRDefault="00BF03AA">
            <w:pPr>
              <w:jc w:val="center"/>
              <w:rPr>
                <w:rFonts w:ascii="Times New Roman" w:hAnsi="Times New Roman"/>
                <w:noProof/>
                <w:color w:val="006100"/>
                <w:spacing w:val="-6"/>
                <w:sz w:val="20"/>
                <w:lang w:val="sk-SK"/>
              </w:rPr>
            </w:pP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AC7E31" w14:textId="77777777" w:rsidR="00BF03AA" w:rsidRPr="00326E55" w:rsidRDefault="00BF03AA">
            <w:pPr>
              <w:jc w:val="center"/>
              <w:rPr>
                <w:rFonts w:ascii="Times New Roman" w:hAnsi="Times New Roman"/>
                <w:noProof/>
                <w:color w:val="006100"/>
                <w:spacing w:val="-6"/>
                <w:sz w:val="20"/>
                <w:lang w:val="sk-SK"/>
              </w:rPr>
            </w:pP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71FF4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B530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8E417D"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p w14:paraId="2C732690" w14:textId="455F2313"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Taliansko prevedie </w:t>
            </w:r>
            <w:r w:rsidRPr="00326E55">
              <w:rPr>
                <w:rFonts w:ascii="Times New Roman" w:hAnsi="Times New Roman"/>
                <w:noProof/>
                <w:spacing w:val="-6"/>
                <w:lang w:val="sk-SK"/>
              </w:rPr>
              <w:t>1 099 000 000 EUR do GSE na tento nástroj.</w:t>
            </w:r>
          </w:p>
          <w:p w14:paraId="589B2718" w14:textId="5E73ADC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GSE musí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grante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na sumu 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odolnosti do programu (s prihliadnutím na poplatky za správu). </w:t>
            </w:r>
          </w:p>
        </w:tc>
      </w:tr>
      <w:tr w:rsidR="00BF03AA" w:rsidRPr="00326E55" w14:paraId="0966369D"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3EAA5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M2C2 – </w:t>
            </w:r>
            <w:r w:rsidRPr="00326E55">
              <w:rPr>
                <w:rFonts w:ascii="Times New Roman" w:hAnsi="Times New Roman"/>
                <w:noProof/>
                <w:spacing w:val="-6"/>
                <w:lang w:val="sk-SK"/>
              </w:rPr>
              <w:t>47</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19BB79" w14:textId="171F0DD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1.2 Podpora obnoviteľných zdrojov energie pre energetické spoločenstvá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spoločne konajúcich samospotrebiteľov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9F21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8393C" w14:textId="0AD59A4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Vykonávacia dohoda, 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dokončenie investícií</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8A270" w14:textId="20B961A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platnosti vykonávacích dohôd, podpísaných právnych dohôd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CC954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86AE0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F7DC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19852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15E9A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2A11C" w14:textId="77777777"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p w14:paraId="29DB9467" w14:textId="42BAE8A4"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Taliansko prevedie 795 500 000 EUR do GSE na tento nástroj.</w:t>
            </w:r>
          </w:p>
          <w:p w14:paraId="67D8F61A" w14:textId="4C70279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GSE uzavri</w:t>
            </w:r>
            <w:r w:rsidRPr="00326E55">
              <w:rPr>
                <w:rFonts w:ascii="Times New Roman" w:hAnsi="Times New Roman"/>
                <w:noProof/>
                <w:spacing w:val="-6"/>
                <w:lang w:val="sk-SK"/>
              </w:rPr>
              <w: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grante na sumu potrebnú na využitie aspoň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investície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odolnosti do schémy (so zreteľom na poplatky za správu). </w:t>
            </w:r>
          </w:p>
        </w:tc>
      </w:tr>
      <w:tr w:rsidR="00BF03AA" w:rsidRPr="00326E55" w14:paraId="26FE3D63"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9DF7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M2C2 – 48</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0F3F3B" w14:textId="07849F3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3.1 Výroba 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opustených priemyselných </w:t>
            </w:r>
            <w:r w:rsidRPr="00326E55">
              <w:rPr>
                <w:rFonts w:ascii="Times New Roman" w:hAnsi="Times New Roman"/>
                <w:noProof/>
                <w:spacing w:val="-6"/>
                <w:lang w:val="sk-SK"/>
              </w:rPr>
              <w:t>areáloch (vodíkové údolia)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F9BA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76F12A" w14:textId="7F1D9D0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Zadanie všetkých verejných zákaziek na projekty výroby 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opustených priemyselných oblastiach</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EC3B5" w14:textId="3695FBD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výrobu 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opustených priemyselných oblastiach</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76BC5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250BD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42DDB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4177D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E9D2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0020FC" w14:textId="7263B474" w:rsidR="00BF03AA" w:rsidRPr="00326E55" w:rsidRDefault="00FB452D">
            <w:pPr>
              <w:pStyle w:val="P68B1DB1-Normal14"/>
              <w:rPr>
                <w:rFonts w:ascii="Times New Roman" w:hAnsi="Times New Roman"/>
                <w:noProof/>
                <w:color w:val="006100"/>
                <w:spacing w:val="-6"/>
                <w:szCs w:val="20"/>
                <w:lang w:val="sk-SK"/>
              </w:rPr>
            </w:pPr>
            <w:r w:rsidRPr="00326E55">
              <w:rPr>
                <w:rFonts w:ascii="Times New Roman" w:hAnsi="Times New Roman"/>
                <w:noProof/>
                <w:color w:val="006100"/>
                <w:spacing w:val="-6"/>
                <w:lang w:val="sk-SK"/>
              </w:rPr>
              <w:t>Udeľovanie projektov na výrobu vodíka</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opustených priemyselných oblastiach. Finančné prostriedky sa poskytnú na výrobu ekologického vodíka</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menej ako 3 tCO2eq/tH2</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cieľom dosiahnuť čo najlepší výsledok</w:t>
            </w:r>
            <w:r w:rsidR="00326E55" w:rsidRPr="00326E55">
              <w:rPr>
                <w:rFonts w:ascii="Times New Roman" w:hAnsi="Times New Roman"/>
                <w:noProof/>
                <w:color w:val="006100"/>
                <w:spacing w:val="-6"/>
                <w:lang w:val="sk-SK"/>
              </w:rPr>
              <w:t xml:space="preserve"> z </w:t>
            </w:r>
            <w:r w:rsidRPr="00326E55">
              <w:rPr>
                <w:rFonts w:ascii="Times New Roman" w:hAnsi="Times New Roman"/>
                <w:noProof/>
                <w:color w:val="006100"/>
                <w:spacing w:val="-6"/>
                <w:lang w:val="sk-SK"/>
              </w:rPr>
              <w:t>hľadiska dekarbonizá</w:t>
            </w:r>
            <w:r w:rsidRPr="00326E55">
              <w:rPr>
                <w:rFonts w:ascii="Times New Roman" w:hAnsi="Times New Roman"/>
                <w:noProof/>
                <w:color w:val="006100"/>
                <w:spacing w:val="-6"/>
                <w:lang w:val="sk-SK"/>
              </w:rPr>
              <w:t>cie.</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Týmto opatrením sa podporí výroba vodíka založená na elektrolýze</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využitím obnoviteľných zdrojov energie vymedzených</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smernici (EÚ) 2018/2001 (smernica</w:t>
            </w:r>
            <w:r w:rsidR="00326E55" w:rsidRPr="00326E55">
              <w:rPr>
                <w:rFonts w:ascii="Times New Roman" w:hAnsi="Times New Roman"/>
                <w:noProof/>
                <w:color w:val="006100"/>
                <w:spacing w:val="-6"/>
                <w:lang w:val="sk-SK"/>
              </w:rPr>
              <w:t xml:space="preserve"> o </w:t>
            </w:r>
            <w:r w:rsidRPr="00326E55">
              <w:rPr>
                <w:rFonts w:ascii="Times New Roman" w:hAnsi="Times New Roman"/>
                <w:noProof/>
                <w:color w:val="006100"/>
                <w:spacing w:val="-6"/>
                <w:lang w:val="sk-SK"/>
              </w:rPr>
              <w:t>obnoviteľných zdrojoch energie) alebo elektriny zo siete</w:t>
            </w:r>
            <w:r w:rsidRPr="00326E55">
              <w:rPr>
                <w:rFonts w:ascii="Times New Roman" w:hAnsi="Times New Roman"/>
                <w:noProof/>
                <w:spacing w:val="-6"/>
                <w:lang w:val="sk-SK"/>
              </w:rPr>
              <w:t>.</w:t>
            </w:r>
          </w:p>
        </w:tc>
      </w:tr>
      <w:tr w:rsidR="00BF03AA" w:rsidRPr="00326E55" w14:paraId="6D59FE80"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85D0A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M2C2 – 49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A1D69A" w14:textId="74B29A6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3.1 Výroba </w:t>
            </w:r>
            <w:r w:rsidRPr="00326E55">
              <w:rPr>
                <w:rFonts w:ascii="Times New Roman" w:hAnsi="Times New Roman"/>
                <w:noProof/>
                <w:spacing w:val="-6"/>
                <w:lang w:val="sk-SK"/>
              </w:rPr>
              <w:t>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opustených priemyselných areáloch (vodíkové údolia)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B2C6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77588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Realizované projekty</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8BF61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D331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4DC58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0CE6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1A01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A666A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BDBB5D" w14:textId="2A8FE9E6" w:rsidR="00BF03AA"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vydané pre 10 projektov vodíkových údolí vrátane inštalácie 10 elektrolyzérov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kapacitou najmenej </w:t>
            </w:r>
            <w:r w:rsidRPr="00326E55">
              <w:rPr>
                <w:rFonts w:ascii="Times New Roman" w:hAnsi="Times New Roman"/>
                <w:noProof/>
                <w:spacing w:val="-6"/>
                <w:lang w:val="sk-SK"/>
              </w:rPr>
              <w:t>1 MW za každý.</w:t>
            </w:r>
          </w:p>
          <w:p w14:paraId="463EAC04" w14:textId="177BC64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Odhady nákladov na pripojenie schválené vývojárom sa vydávajú pre elektrolyzéry vyžadujúce pripojenie do sústavy.</w:t>
            </w:r>
          </w:p>
        </w:tc>
      </w:tr>
      <w:tr w:rsidR="00BF03AA" w:rsidRPr="00326E55" w14:paraId="78E5612A"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8567A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M2C2 – 50</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E6C5A5" w14:textId="7A5C2EB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3.2 Využívanie 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ťažko dekarbonizovateľných priemyselných odvetviach</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8F91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909B9" w14:textId="2FA0EB5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Dohoda na podporu </w:t>
            </w:r>
            <w:r w:rsidRPr="00326E55">
              <w:rPr>
                <w:rFonts w:ascii="Times New Roman" w:hAnsi="Times New Roman"/>
                <w:noProof/>
                <w:spacing w:val="-6"/>
                <w:lang w:val="sk-SK"/>
              </w:rPr>
              <w:t>prechodu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metánu na ekologický vodík</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6EFA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Podpísanie dohody</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148D4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7D55D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5383B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085B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71BA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FC5212" w14:textId="1F937E81" w:rsidR="00BF03AA" w:rsidRPr="00326E55" w:rsidRDefault="00FB452D">
            <w:pPr>
              <w:pStyle w:val="P68B1DB1-Normal14"/>
              <w:rPr>
                <w:rFonts w:ascii="Times New Roman" w:hAnsi="Times New Roman"/>
                <w:noProof/>
                <w:color w:val="006100"/>
                <w:spacing w:val="-6"/>
                <w:szCs w:val="20"/>
                <w:lang w:val="sk-SK"/>
              </w:rPr>
            </w:pPr>
            <w:r w:rsidRPr="00326E55">
              <w:rPr>
                <w:rFonts w:ascii="Times New Roman" w:hAnsi="Times New Roman"/>
                <w:noProof/>
                <w:color w:val="006100"/>
                <w:spacing w:val="-6"/>
                <w:lang w:val="sk-SK"/>
              </w:rPr>
              <w:t>Podpísanie dohody</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vybranými vlastníkmi projektov na podporu prechodu</w:t>
            </w:r>
            <w:r w:rsidR="00326E55" w:rsidRPr="00326E55">
              <w:rPr>
                <w:rFonts w:ascii="Times New Roman" w:hAnsi="Times New Roman"/>
                <w:noProof/>
                <w:color w:val="006100"/>
                <w:spacing w:val="-6"/>
                <w:lang w:val="sk-SK"/>
              </w:rPr>
              <w:t xml:space="preserve"> z </w:t>
            </w:r>
            <w:r w:rsidRPr="00326E55">
              <w:rPr>
                <w:rFonts w:ascii="Times New Roman" w:hAnsi="Times New Roman"/>
                <w:noProof/>
                <w:color w:val="006100"/>
                <w:spacing w:val="-6"/>
                <w:lang w:val="sk-SK"/>
              </w:rPr>
              <w:t>metánu na ekologický vodík. Projekty sú čiastočne určené na vývojový proces vý</w:t>
            </w:r>
            <w:r w:rsidRPr="00326E55">
              <w:rPr>
                <w:rFonts w:ascii="Times New Roman" w:hAnsi="Times New Roman"/>
                <w:noProof/>
                <w:color w:val="006100"/>
                <w:spacing w:val="-6"/>
                <w:lang w:val="sk-SK"/>
              </w:rPr>
              <w:t>skumu, vývoja</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inovácií</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čiastočne sa venujú realizácii</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skúšaniu priemyselného prototypu</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použitím vodíka.</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Týmto opatrením sa podporuje výroba vodíka založená na elektrolýze</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využitím obnoviteľných zdrojov energie vymedzených</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 xml:space="preserve">smernici (EÚ) </w:t>
            </w:r>
            <w:r w:rsidRPr="00326E55">
              <w:rPr>
                <w:rFonts w:ascii="Times New Roman" w:hAnsi="Times New Roman"/>
                <w:noProof/>
                <w:color w:val="006100"/>
                <w:spacing w:val="-6"/>
                <w:lang w:val="sk-SK"/>
              </w:rPr>
              <w:t>2018/2001 (smernica</w:t>
            </w:r>
            <w:r w:rsidR="00326E55" w:rsidRPr="00326E55">
              <w:rPr>
                <w:rFonts w:ascii="Times New Roman" w:hAnsi="Times New Roman"/>
                <w:noProof/>
                <w:color w:val="006100"/>
                <w:spacing w:val="-6"/>
                <w:lang w:val="sk-SK"/>
              </w:rPr>
              <w:t xml:space="preserve"> o </w:t>
            </w:r>
            <w:r w:rsidRPr="00326E55">
              <w:rPr>
                <w:rFonts w:ascii="Times New Roman" w:hAnsi="Times New Roman"/>
                <w:noProof/>
                <w:color w:val="006100"/>
                <w:spacing w:val="-6"/>
                <w:lang w:val="sk-SK"/>
              </w:rPr>
              <w:t>obnoviteľných zdrojoch energie) alebo elektriny zo siete.</w:t>
            </w:r>
          </w:p>
        </w:tc>
      </w:tr>
      <w:tr w:rsidR="00BF03AA" w:rsidRPr="00326E55" w14:paraId="095C9F2C"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CD864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M2C2 – 52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A58C7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5.2 Vodík</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09906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6D3F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Výroba elektrolyzérov</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E2B8E" w14:textId="08683FD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uverejnení všetkých verejných zákaziek</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49C05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65076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D9B1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DD58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75825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55B4D"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Zadanie zákazky na výstavbu priemyselného zariadenia na výrobu elektrolyzérov. </w:t>
            </w:r>
          </w:p>
        </w:tc>
      </w:tr>
      <w:tr w:rsidR="00BF03AA" w:rsidRPr="00326E55" w14:paraId="2F6F8428"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531AC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M2C2 – 53</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3601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5.2 Vodík</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DDB9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3E152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Vybudovaný priemyselný závod (priemyselné zariadenia) </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E8F8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95DCE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486B1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18E7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03AF0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E1E5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8CA3A9" w14:textId="3CD19552"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ukončení prác vydané na </w:t>
            </w:r>
            <w:r w:rsidRPr="00326E55">
              <w:rPr>
                <w:rFonts w:ascii="Times New Roman" w:hAnsi="Times New Roman"/>
                <w:noProof/>
                <w:spacing w:val="-6"/>
                <w:lang w:val="sk-SK"/>
              </w:rPr>
              <w:t>výstavbu aspoň jedného priemyselného zariadenia na výrobu elektrolyzérov alebo modulárneho komína. Celková súhrnná výrobná kapacita závodu(-ov) musí dosiahnuť aspoň 890 MW/rok.</w:t>
            </w:r>
          </w:p>
        </w:tc>
      </w:tr>
    </w:tbl>
    <w:p w14:paraId="3C108043" w14:textId="77777777" w:rsidR="00BF03AA" w:rsidRPr="00326E55" w:rsidRDefault="00BF03AA">
      <w:pPr>
        <w:rPr>
          <w:rFonts w:ascii="Times New Roman" w:hAnsi="Times New Roman"/>
          <w:noProof/>
          <w:spacing w:val="-6"/>
          <w:lang w:val="sk-SK"/>
        </w:rPr>
        <w:sectPr w:rsidR="00BF03AA" w:rsidRPr="00326E55" w:rsidSect="005A558B">
          <w:headerReference w:type="default" r:id="rId98"/>
          <w:footerReference w:type="default" r:id="rId99"/>
          <w:pgSz w:w="16838" w:h="11906" w:orient="landscape"/>
          <w:pgMar w:top="1440" w:right="1440" w:bottom="1440" w:left="1440" w:header="708" w:footer="708" w:gutter="0"/>
          <w:cols w:space="708"/>
          <w:docGrid w:linePitch="360"/>
        </w:sectPr>
      </w:pPr>
    </w:p>
    <w:p w14:paraId="4EBCA40F" w14:textId="303329A5" w:rsidR="00BF03AA" w:rsidRPr="00326E55" w:rsidRDefault="00FB452D">
      <w:pPr>
        <w:pStyle w:val="P68B1DB1-Heading23"/>
        <w:ind w:left="1080"/>
        <w:rPr>
          <w:noProof/>
          <w:spacing w:val="-6"/>
          <w:lang w:val="sk-SK"/>
        </w:rPr>
      </w:pPr>
      <w:r w:rsidRPr="00326E55">
        <w:rPr>
          <w:noProof/>
          <w:spacing w:val="-6"/>
          <w:lang w:val="sk-SK"/>
        </w:rPr>
        <w:t xml:space="preserve">F. ZAMESTNANOSŤ 2 </w:t>
      </w:r>
      <w:r w:rsidRPr="00326E55">
        <w:rPr>
          <w:noProof/>
          <w:spacing w:val="-6"/>
          <w:lang w:val="sk-SK"/>
        </w:rPr>
        <w:t>COMPONENT 3 – Energetická efektívnosť</w:t>
      </w:r>
      <w:r w:rsidR="00326E55" w:rsidRPr="00326E55">
        <w:rPr>
          <w:noProof/>
          <w:spacing w:val="-6"/>
          <w:lang w:val="sk-SK"/>
        </w:rPr>
        <w:t xml:space="preserve"> a </w:t>
      </w:r>
      <w:r w:rsidRPr="00326E55">
        <w:rPr>
          <w:noProof/>
          <w:spacing w:val="-6"/>
          <w:lang w:val="sk-SK"/>
        </w:rPr>
        <w:t>rekvalifikácia budov</w:t>
      </w:r>
    </w:p>
    <w:p w14:paraId="0108FFEF" w14:textId="77777777" w:rsidR="00326E55" w:rsidRPr="00326E55" w:rsidRDefault="00FB452D">
      <w:pPr>
        <w:pStyle w:val="P68B1DB1-Normal7"/>
        <w:spacing w:before="120" w:after="120"/>
        <w:jc w:val="both"/>
        <w:rPr>
          <w:noProof/>
          <w:spacing w:val="-6"/>
          <w:lang w:val="sk-SK"/>
        </w:rPr>
      </w:pPr>
      <w:r w:rsidRPr="00326E55">
        <w:rPr>
          <w:noProof/>
          <w:spacing w:val="-6"/>
          <w:lang w:val="sk-SK"/>
        </w:rPr>
        <w:t>Energetická efektívnosť je základným kameňom tohto komponentu, ktorý je rozdelený do troch hlavných pilierov</w:t>
      </w:r>
      <w:r w:rsidR="00326E55" w:rsidRPr="00326E55">
        <w:rPr>
          <w:noProof/>
          <w:spacing w:val="-6"/>
          <w:lang w:val="sk-SK"/>
        </w:rPr>
        <w:t>.</w:t>
      </w:r>
    </w:p>
    <w:p w14:paraId="649AE708" w14:textId="56700D89" w:rsidR="00326E55" w:rsidRPr="00326E55" w:rsidRDefault="00FB452D">
      <w:pPr>
        <w:pStyle w:val="P68B1DB1-Normal7"/>
        <w:numPr>
          <w:ilvl w:val="0"/>
          <w:numId w:val="29"/>
        </w:numPr>
        <w:spacing w:before="120" w:after="120" w:line="240" w:lineRule="auto"/>
        <w:ind w:left="360"/>
        <w:contextualSpacing/>
        <w:jc w:val="both"/>
        <w:rPr>
          <w:noProof/>
          <w:spacing w:val="-6"/>
          <w:lang w:val="sk-SK"/>
        </w:rPr>
      </w:pPr>
      <w:r w:rsidRPr="00326E55">
        <w:rPr>
          <w:noProof/>
          <w:spacing w:val="-6"/>
          <w:lang w:val="sk-SK"/>
        </w:rPr>
        <w:t>Prvým pilierom je zavedenie dočasného stimulu na energetickú</w:t>
      </w:r>
      <w:r w:rsidR="00326E55" w:rsidRPr="00326E55">
        <w:rPr>
          <w:noProof/>
          <w:spacing w:val="-6"/>
          <w:lang w:val="sk-SK"/>
        </w:rPr>
        <w:t xml:space="preserve"> a </w:t>
      </w:r>
      <w:r w:rsidRPr="00326E55">
        <w:rPr>
          <w:noProof/>
          <w:spacing w:val="-6"/>
          <w:lang w:val="sk-SK"/>
        </w:rPr>
        <w:t xml:space="preserve">protiseizmickú obnovu </w:t>
      </w:r>
      <w:r w:rsidRPr="00326E55">
        <w:rPr>
          <w:noProof/>
          <w:spacing w:val="-6"/>
          <w:lang w:val="sk-SK"/>
        </w:rPr>
        <w:t>súkromných nehnuteľností prostredníctvom daňového odpočtu nákladov vynaložených na intervencie. Oprávnené intervencie sú tie, ktoré zvyšujú energetickú hospodárnosť obydlia aspoň</w:t>
      </w:r>
      <w:r w:rsidR="00326E55" w:rsidRPr="00326E55">
        <w:rPr>
          <w:noProof/>
          <w:spacing w:val="-6"/>
          <w:lang w:val="sk-SK"/>
        </w:rPr>
        <w:t xml:space="preserve"> o </w:t>
      </w:r>
      <w:r w:rsidRPr="00326E55">
        <w:rPr>
          <w:noProof/>
          <w:spacing w:val="-6"/>
          <w:lang w:val="sk-SK"/>
        </w:rPr>
        <w:t>dve kategórie energetického certifikátu, čím sa</w:t>
      </w:r>
      <w:r w:rsidR="00326E55" w:rsidRPr="00326E55">
        <w:rPr>
          <w:noProof/>
          <w:spacing w:val="-6"/>
          <w:lang w:val="sk-SK"/>
        </w:rPr>
        <w:t xml:space="preserve"> v </w:t>
      </w:r>
      <w:r w:rsidRPr="00326E55">
        <w:rPr>
          <w:noProof/>
          <w:spacing w:val="-6"/>
          <w:lang w:val="sk-SK"/>
        </w:rPr>
        <w:t xml:space="preserve">priemere dosahuje </w:t>
      </w:r>
      <w:r w:rsidRPr="00326E55">
        <w:rPr>
          <w:noProof/>
          <w:spacing w:val="-6"/>
          <w:lang w:val="sk-SK"/>
        </w:rPr>
        <w:t>zlepšenie spotreby energie nad 30</w:t>
      </w:r>
      <w:r w:rsidR="00326E55" w:rsidRPr="00326E55">
        <w:rPr>
          <w:noProof/>
          <w:spacing w:val="-6"/>
          <w:lang w:val="sk-SK"/>
        </w:rPr>
        <w:t> %.</w:t>
      </w:r>
    </w:p>
    <w:p w14:paraId="066F8614" w14:textId="3E4ACCD2" w:rsidR="00BF03AA" w:rsidRPr="00326E55" w:rsidRDefault="00FB452D">
      <w:pPr>
        <w:pStyle w:val="P68B1DB1-Normal7"/>
        <w:numPr>
          <w:ilvl w:val="0"/>
          <w:numId w:val="29"/>
        </w:numPr>
        <w:spacing w:before="120" w:after="120" w:line="240" w:lineRule="auto"/>
        <w:ind w:left="360"/>
        <w:contextualSpacing/>
        <w:jc w:val="both"/>
        <w:rPr>
          <w:noProof/>
          <w:spacing w:val="-6"/>
          <w:lang w:val="sk-SK"/>
        </w:rPr>
      </w:pPr>
      <w:r w:rsidRPr="00326E55">
        <w:rPr>
          <w:noProof/>
          <w:spacing w:val="-6"/>
          <w:lang w:val="sk-SK"/>
        </w:rPr>
        <w:t>Druhým pilierom tejto zložky je zlepšenie efektívnosti</w:t>
      </w:r>
      <w:r w:rsidR="00326E55" w:rsidRPr="00326E55">
        <w:rPr>
          <w:noProof/>
          <w:spacing w:val="-6"/>
          <w:lang w:val="sk-SK"/>
        </w:rPr>
        <w:t xml:space="preserve"> a </w:t>
      </w:r>
      <w:r w:rsidRPr="00326E55">
        <w:rPr>
          <w:noProof/>
          <w:spacing w:val="-6"/>
          <w:lang w:val="sk-SK"/>
        </w:rPr>
        <w:t>bezpečnosti verejných škôl</w:t>
      </w:r>
      <w:r w:rsidR="00326E55" w:rsidRPr="00326E55">
        <w:rPr>
          <w:noProof/>
          <w:spacing w:val="-6"/>
          <w:lang w:val="sk-SK"/>
        </w:rPr>
        <w:t xml:space="preserve"> a </w:t>
      </w:r>
      <w:r w:rsidRPr="00326E55">
        <w:rPr>
          <w:noProof/>
          <w:spacing w:val="-6"/>
          <w:lang w:val="sk-SK"/>
        </w:rPr>
        <w:t>súdnych citadelov.</w:t>
      </w:r>
    </w:p>
    <w:p w14:paraId="3BB703B6" w14:textId="61FBAD30" w:rsidR="00326E55" w:rsidRPr="00326E55" w:rsidRDefault="00FB452D">
      <w:pPr>
        <w:pStyle w:val="P68B1DB1-Normal7"/>
        <w:numPr>
          <w:ilvl w:val="0"/>
          <w:numId w:val="29"/>
        </w:numPr>
        <w:spacing w:before="120" w:after="120" w:line="240" w:lineRule="auto"/>
        <w:ind w:left="360"/>
        <w:contextualSpacing/>
        <w:jc w:val="both"/>
        <w:rPr>
          <w:noProof/>
          <w:spacing w:val="-6"/>
          <w:lang w:val="sk-SK"/>
        </w:rPr>
      </w:pPr>
      <w:r w:rsidRPr="00326E55">
        <w:rPr>
          <w:noProof/>
          <w:spacing w:val="-6"/>
          <w:lang w:val="sk-SK"/>
        </w:rPr>
        <w:t>Tretí pilier je zameraný na stimuláciu výstavby</w:t>
      </w:r>
      <w:r w:rsidR="00326E55" w:rsidRPr="00326E55">
        <w:rPr>
          <w:noProof/>
          <w:spacing w:val="-6"/>
          <w:lang w:val="sk-SK"/>
        </w:rPr>
        <w:t xml:space="preserve"> a </w:t>
      </w:r>
      <w:r w:rsidRPr="00326E55">
        <w:rPr>
          <w:noProof/>
          <w:spacing w:val="-6"/>
          <w:lang w:val="sk-SK"/>
        </w:rPr>
        <w:t>rozširovania účinných sietí diaľkového vykurovania</w:t>
      </w:r>
      <w:r w:rsidR="00326E55" w:rsidRPr="00326E55">
        <w:rPr>
          <w:noProof/>
          <w:spacing w:val="-6"/>
          <w:lang w:val="sk-SK"/>
        </w:rPr>
        <w:t xml:space="preserve"> v </w:t>
      </w:r>
      <w:r w:rsidRPr="00326E55">
        <w:rPr>
          <w:noProof/>
          <w:spacing w:val="-6"/>
          <w:lang w:val="sk-SK"/>
        </w:rPr>
        <w:t>mestských o</w:t>
      </w:r>
      <w:r w:rsidRPr="00326E55">
        <w:rPr>
          <w:noProof/>
          <w:spacing w:val="-6"/>
          <w:lang w:val="sk-SK"/>
        </w:rPr>
        <w:t>blastiach</w:t>
      </w:r>
      <w:r w:rsidR="00326E55" w:rsidRPr="00326E55">
        <w:rPr>
          <w:noProof/>
          <w:spacing w:val="-6"/>
          <w:lang w:val="sk-SK"/>
        </w:rPr>
        <w:t>.</w:t>
      </w:r>
    </w:p>
    <w:p w14:paraId="273F0998" w14:textId="3C88DBA1" w:rsidR="00326E55" w:rsidRPr="00326E55" w:rsidRDefault="00FB452D">
      <w:pPr>
        <w:pStyle w:val="P68B1DB1-Normal7"/>
        <w:spacing w:before="120" w:after="120"/>
        <w:jc w:val="both"/>
        <w:rPr>
          <w:noProof/>
          <w:spacing w:val="-6"/>
          <w:lang w:val="sk-SK"/>
        </w:rPr>
      </w:pPr>
      <w:r w:rsidRPr="00326E55">
        <w:rPr>
          <w:noProof/>
          <w:spacing w:val="-6"/>
          <w:lang w:val="sk-SK"/>
        </w:rPr>
        <w:t>Okrem toho existuje niekoľko reforiem na zjednodušenie</w:t>
      </w:r>
      <w:r w:rsidR="00326E55" w:rsidRPr="00326E55">
        <w:rPr>
          <w:noProof/>
          <w:spacing w:val="-6"/>
          <w:lang w:val="sk-SK"/>
        </w:rPr>
        <w:t xml:space="preserve"> a </w:t>
      </w:r>
      <w:r w:rsidRPr="00326E55">
        <w:rPr>
          <w:noProof/>
          <w:spacing w:val="-6"/>
          <w:lang w:val="sk-SK"/>
        </w:rPr>
        <w:t>urýchlenie realizácie projektov zameraných na zlepšenie energetickej hospodárnosti budov</w:t>
      </w:r>
      <w:r w:rsidR="00326E55" w:rsidRPr="00326E55">
        <w:rPr>
          <w:noProof/>
          <w:spacing w:val="-6"/>
          <w:lang w:val="sk-SK"/>
        </w:rPr>
        <w:t>.</w:t>
      </w:r>
    </w:p>
    <w:p w14:paraId="51FE1FA3" w14:textId="58366A36" w:rsidR="00326E55" w:rsidRPr="00326E55" w:rsidRDefault="00FB452D">
      <w:pPr>
        <w:pStyle w:val="P68B1DB1-Normal7"/>
        <w:spacing w:before="120" w:after="120"/>
        <w:jc w:val="both"/>
        <w:rPr>
          <w:noProof/>
          <w:spacing w:val="-6"/>
          <w:lang w:val="sk-SK"/>
        </w:rPr>
      </w:pPr>
      <w:r w:rsidRPr="00326E55">
        <w:rPr>
          <w:noProof/>
          <w:spacing w:val="-6"/>
          <w:lang w:val="sk-SK"/>
        </w:rPr>
        <w:t>Očakáva sa, že tento komponent výrazne prispeje</w:t>
      </w:r>
      <w:r w:rsidR="00326E55" w:rsidRPr="00326E55">
        <w:rPr>
          <w:noProof/>
          <w:spacing w:val="-6"/>
          <w:lang w:val="sk-SK"/>
        </w:rPr>
        <w:t xml:space="preserve"> k </w:t>
      </w:r>
      <w:r w:rsidRPr="00326E55">
        <w:rPr>
          <w:noProof/>
          <w:spacing w:val="-6"/>
          <w:lang w:val="sk-SK"/>
        </w:rPr>
        <w:t>dosiahnutiu cieľov Talianska</w:t>
      </w:r>
      <w:r w:rsidR="00326E55" w:rsidRPr="00326E55">
        <w:rPr>
          <w:noProof/>
          <w:spacing w:val="-6"/>
          <w:lang w:val="sk-SK"/>
        </w:rPr>
        <w:t xml:space="preserve"> v </w:t>
      </w:r>
      <w:r w:rsidRPr="00326E55">
        <w:rPr>
          <w:noProof/>
          <w:spacing w:val="-6"/>
          <w:lang w:val="sk-SK"/>
        </w:rPr>
        <w:t>oblasti klímy</w:t>
      </w:r>
      <w:r w:rsidR="00326E55" w:rsidRPr="00326E55">
        <w:rPr>
          <w:noProof/>
          <w:spacing w:val="-6"/>
          <w:lang w:val="sk-SK"/>
        </w:rPr>
        <w:t xml:space="preserve"> a </w:t>
      </w:r>
      <w:r w:rsidRPr="00326E55">
        <w:rPr>
          <w:noProof/>
          <w:spacing w:val="-6"/>
          <w:lang w:val="sk-SK"/>
        </w:rPr>
        <w:t>e</w:t>
      </w:r>
      <w:r w:rsidRPr="00326E55">
        <w:rPr>
          <w:noProof/>
          <w:spacing w:val="-6"/>
          <w:lang w:val="sk-SK"/>
        </w:rPr>
        <w:t>nergetiky do roku 2030, keďže občiansky sektor je zodpovedný za takmer polovicu celkovej spotreby energie</w:t>
      </w:r>
      <w:r w:rsidR="00326E55" w:rsidRPr="00326E55">
        <w:rPr>
          <w:noProof/>
          <w:spacing w:val="-6"/>
          <w:lang w:val="sk-SK"/>
        </w:rPr>
        <w:t xml:space="preserve"> v </w:t>
      </w:r>
      <w:r w:rsidRPr="00326E55">
        <w:rPr>
          <w:noProof/>
          <w:spacing w:val="-6"/>
          <w:lang w:val="sk-SK"/>
        </w:rPr>
        <w:t>Taliansku. Väčšina budov bola postavená pred prijatím kritérií na úsporu energie</w:t>
      </w:r>
      <w:r w:rsidR="00326E55" w:rsidRPr="00326E55">
        <w:rPr>
          <w:noProof/>
          <w:spacing w:val="-6"/>
          <w:lang w:val="sk-SK"/>
        </w:rPr>
        <w:t xml:space="preserve"> a </w:t>
      </w:r>
      <w:r w:rsidRPr="00326E55">
        <w:rPr>
          <w:noProof/>
          <w:spacing w:val="-6"/>
          <w:lang w:val="sk-SK"/>
        </w:rPr>
        <w:t>nadobudnutím účinnosti príslušných právnych predpisov,</w:t>
      </w:r>
      <w:r w:rsidR="00326E55" w:rsidRPr="00326E55">
        <w:rPr>
          <w:noProof/>
          <w:spacing w:val="-6"/>
          <w:lang w:val="sk-SK"/>
        </w:rPr>
        <w:t xml:space="preserve"> a </w:t>
      </w:r>
      <w:r w:rsidRPr="00326E55">
        <w:rPr>
          <w:noProof/>
          <w:spacing w:val="-6"/>
          <w:lang w:val="sk-SK"/>
        </w:rPr>
        <w:t>preto sú</w:t>
      </w:r>
      <w:r w:rsidRPr="00326E55">
        <w:rPr>
          <w:noProof/>
          <w:spacing w:val="-6"/>
          <w:lang w:val="sk-SK"/>
        </w:rPr>
        <w:t xml:space="preserve"> potreby</w:t>
      </w:r>
      <w:r w:rsidR="00326E55" w:rsidRPr="00326E55">
        <w:rPr>
          <w:noProof/>
          <w:spacing w:val="-6"/>
          <w:lang w:val="sk-SK"/>
        </w:rPr>
        <w:t xml:space="preserve"> z </w:t>
      </w:r>
      <w:r w:rsidRPr="00326E55">
        <w:rPr>
          <w:noProof/>
          <w:spacing w:val="-6"/>
          <w:lang w:val="sk-SK"/>
        </w:rPr>
        <w:t>hľadiska energetickej efektívnosti</w:t>
      </w:r>
      <w:r w:rsidR="00326E55" w:rsidRPr="00326E55">
        <w:rPr>
          <w:noProof/>
          <w:spacing w:val="-6"/>
          <w:lang w:val="sk-SK"/>
        </w:rPr>
        <w:t xml:space="preserve"> a </w:t>
      </w:r>
      <w:r w:rsidRPr="00326E55">
        <w:rPr>
          <w:noProof/>
          <w:spacing w:val="-6"/>
          <w:lang w:val="sk-SK"/>
        </w:rPr>
        <w:t>prispôsobenia sa seizmickým rizikám značné</w:t>
      </w:r>
      <w:r w:rsidR="00326E55" w:rsidRPr="00326E55">
        <w:rPr>
          <w:noProof/>
          <w:spacing w:val="-6"/>
          <w:lang w:val="sk-SK"/>
        </w:rPr>
        <w:t>.</w:t>
      </w:r>
    </w:p>
    <w:p w14:paraId="5D239074" w14:textId="5046BE14" w:rsidR="00BF03AA" w:rsidRPr="00326E55" w:rsidRDefault="00FB452D">
      <w:pPr>
        <w:pStyle w:val="P68B1DB1-Normal7"/>
        <w:spacing w:before="120" w:after="120"/>
        <w:jc w:val="both"/>
        <w:rPr>
          <w:noProof/>
          <w:spacing w:val="-6"/>
          <w:lang w:val="sk-SK"/>
        </w:rPr>
      </w:pPr>
      <w:r w:rsidRPr="00326E55">
        <w:rPr>
          <w:noProof/>
          <w:spacing w:val="-6"/>
          <w:lang w:val="sk-SK"/>
        </w:rPr>
        <w:t>Tento komponent sa zaoberá časťou odporúčania pre danú krajinu na rok 2020,</w:t>
      </w:r>
      <w:r w:rsidR="00326E55" w:rsidRPr="00326E55">
        <w:rPr>
          <w:noProof/>
          <w:spacing w:val="-6"/>
          <w:lang w:val="sk-SK"/>
        </w:rPr>
        <w:t xml:space="preserve"> v </w:t>
      </w:r>
      <w:r w:rsidRPr="00326E55">
        <w:rPr>
          <w:noProof/>
          <w:spacing w:val="-6"/>
          <w:lang w:val="sk-SK"/>
        </w:rPr>
        <w:t>ktorom Rada Taliansku odporučila, aby prijalo opatrenia</w:t>
      </w:r>
      <w:r w:rsidR="00326E55" w:rsidRPr="00326E55">
        <w:rPr>
          <w:noProof/>
          <w:spacing w:val="-6"/>
          <w:lang w:val="sk-SK"/>
        </w:rPr>
        <w:t xml:space="preserve"> s </w:t>
      </w:r>
      <w:r w:rsidRPr="00326E55">
        <w:rPr>
          <w:noProof/>
          <w:spacing w:val="-6"/>
          <w:lang w:val="sk-SK"/>
        </w:rPr>
        <w:t>cieľom „zamerať investície n</w:t>
      </w:r>
      <w:r w:rsidRPr="00326E55">
        <w:rPr>
          <w:noProof/>
          <w:spacing w:val="-6"/>
          <w:lang w:val="sk-SK"/>
        </w:rPr>
        <w:t>a zelenú</w:t>
      </w:r>
      <w:r w:rsidR="00326E55" w:rsidRPr="00326E55">
        <w:rPr>
          <w:noProof/>
          <w:spacing w:val="-6"/>
          <w:lang w:val="sk-SK"/>
        </w:rPr>
        <w:t xml:space="preserve"> a </w:t>
      </w:r>
      <w:r w:rsidRPr="00326E55">
        <w:rPr>
          <w:noProof/>
          <w:spacing w:val="-6"/>
          <w:lang w:val="sk-SK"/>
        </w:rPr>
        <w:t>digitálnu transformáciu, najmä na [...] hospodárenie</w:t>
      </w:r>
      <w:r w:rsidR="00326E55" w:rsidRPr="00326E55">
        <w:rPr>
          <w:noProof/>
          <w:spacing w:val="-6"/>
          <w:lang w:val="sk-SK"/>
        </w:rPr>
        <w:t xml:space="preserve"> s </w:t>
      </w:r>
      <w:r w:rsidRPr="00326E55">
        <w:rPr>
          <w:noProof/>
          <w:spacing w:val="-6"/>
          <w:lang w:val="sk-SK"/>
        </w:rPr>
        <w:t>vodami, ako aj posilnenú digitálnu infraštruktúru</w:t>
      </w:r>
      <w:r w:rsidR="00326E55" w:rsidRPr="00326E55">
        <w:rPr>
          <w:noProof/>
          <w:spacing w:val="-6"/>
          <w:lang w:val="sk-SK"/>
        </w:rPr>
        <w:t xml:space="preserve"> s </w:t>
      </w:r>
      <w:r w:rsidRPr="00326E55">
        <w:rPr>
          <w:noProof/>
          <w:spacing w:val="-6"/>
          <w:lang w:val="sk-SK"/>
        </w:rPr>
        <w:t xml:space="preserve">cieľom zabezpečiť poskytovanie základných služieb“. Časť sa zaoberá aj odporúčaniami pre jednotlivé krajiny na rok 2019 </w:t>
      </w:r>
      <w:r w:rsidR="00326E55" w:rsidRPr="00326E55">
        <w:rPr>
          <w:noProof/>
          <w:spacing w:val="-6"/>
          <w:lang w:val="sk-SK"/>
        </w:rPr>
        <w:t>č. </w:t>
      </w:r>
      <w:r w:rsidRPr="00326E55">
        <w:rPr>
          <w:noProof/>
          <w:spacing w:val="-6"/>
          <w:lang w:val="sk-SK"/>
        </w:rPr>
        <w:t>3 („Zamerať hos</w:t>
      </w:r>
      <w:r w:rsidRPr="00326E55">
        <w:rPr>
          <w:noProof/>
          <w:spacing w:val="-6"/>
          <w:lang w:val="sk-SK"/>
        </w:rPr>
        <w:t>podársku politiku súvisiacu</w:t>
      </w:r>
      <w:r w:rsidR="00326E55" w:rsidRPr="00326E55">
        <w:rPr>
          <w:noProof/>
          <w:spacing w:val="-6"/>
          <w:lang w:val="sk-SK"/>
        </w:rPr>
        <w:t xml:space="preserve"> s </w:t>
      </w:r>
      <w:r w:rsidRPr="00326E55">
        <w:rPr>
          <w:noProof/>
          <w:spacing w:val="-6"/>
          <w:lang w:val="sk-SK"/>
        </w:rPr>
        <w:t>investíciami na kvalitu infraštruktúry</w:t>
      </w:r>
      <w:r w:rsidR="00326E55" w:rsidRPr="00326E55">
        <w:rPr>
          <w:noProof/>
          <w:spacing w:val="-6"/>
          <w:lang w:val="sk-SK"/>
        </w:rPr>
        <w:t xml:space="preserve"> s </w:t>
      </w:r>
      <w:r w:rsidRPr="00326E55">
        <w:rPr>
          <w:noProof/>
          <w:spacing w:val="-6"/>
          <w:lang w:val="sk-SK"/>
        </w:rPr>
        <w:t>prihliadnutím na regionálne rozdiely. [...]</w:t>
      </w:r>
      <w:r w:rsidR="00326E55" w:rsidRPr="00326E55">
        <w:rPr>
          <w:noProof/>
          <w:spacing w:val="-6"/>
          <w:lang w:val="sk-SK"/>
        </w:rPr>
        <w:t xml:space="preserve"> a </w:t>
      </w:r>
      <w:r w:rsidRPr="00326E55">
        <w:rPr>
          <w:noProof/>
          <w:spacing w:val="-6"/>
          <w:lang w:val="sk-SK"/>
        </w:rPr>
        <w:t>zlepšiť účinnosť verejnej správy [...] urýchlením digitalizácie</w:t>
      </w:r>
      <w:r w:rsidR="00326E55" w:rsidRPr="00326E55">
        <w:rPr>
          <w:noProof/>
          <w:spacing w:val="-6"/>
          <w:lang w:val="sk-SK"/>
        </w:rPr>
        <w:t xml:space="preserve"> a </w:t>
      </w:r>
      <w:r w:rsidRPr="00326E55">
        <w:rPr>
          <w:noProof/>
          <w:spacing w:val="-6"/>
          <w:lang w:val="sk-SK"/>
        </w:rPr>
        <w:t>zvýšením efektívnosti</w:t>
      </w:r>
      <w:r w:rsidR="00326E55" w:rsidRPr="00326E55">
        <w:rPr>
          <w:noProof/>
          <w:spacing w:val="-6"/>
          <w:lang w:val="sk-SK"/>
        </w:rPr>
        <w:t xml:space="preserve"> a </w:t>
      </w:r>
      <w:r w:rsidRPr="00326E55">
        <w:rPr>
          <w:noProof/>
          <w:spacing w:val="-6"/>
          <w:lang w:val="sk-SK"/>
        </w:rPr>
        <w:t>kvality miestnych verejných služieb“).</w:t>
      </w:r>
    </w:p>
    <w:p w14:paraId="20F43116" w14:textId="55D1A1E3" w:rsidR="00326E55" w:rsidRPr="00326E55" w:rsidRDefault="00FB452D">
      <w:pPr>
        <w:pStyle w:val="P68B1DB1-Normal7"/>
        <w:spacing w:before="120" w:after="120"/>
        <w:jc w:val="both"/>
        <w:rPr>
          <w:noProof/>
          <w:spacing w:val="-6"/>
          <w:lang w:val="sk-SK"/>
        </w:rPr>
      </w:pPr>
      <w:r w:rsidRPr="00326E55">
        <w:rPr>
          <w:noProof/>
          <w:spacing w:val="-6"/>
          <w:lang w:val="sk-SK"/>
        </w:rPr>
        <w:t>Očakáva sa</w:t>
      </w:r>
      <w:r w:rsidRPr="00326E55">
        <w:rPr>
          <w:noProof/>
          <w:spacing w:val="-6"/>
          <w:lang w:val="sk-SK"/>
        </w:rPr>
        <w:t>, že žiadne opatrenie</w:t>
      </w:r>
      <w:r w:rsidR="00326E55" w:rsidRPr="00326E55">
        <w:rPr>
          <w:noProof/>
          <w:spacing w:val="-6"/>
          <w:lang w:val="sk-SK"/>
        </w:rPr>
        <w:t xml:space="preserve"> v </w:t>
      </w:r>
      <w:r w:rsidRPr="00326E55">
        <w:rPr>
          <w:noProof/>
          <w:spacing w:val="-6"/>
          <w:lang w:val="sk-SK"/>
        </w:rPr>
        <w:t>tomto komponente výrazne nenaruší environmentálne ciele</w:t>
      </w:r>
      <w:r w:rsidR="00326E55" w:rsidRPr="00326E55">
        <w:rPr>
          <w:noProof/>
          <w:spacing w:val="-6"/>
          <w:lang w:val="sk-SK"/>
        </w:rPr>
        <w:t xml:space="preserve"> v </w:t>
      </w:r>
      <w:r w:rsidRPr="00326E55">
        <w:rPr>
          <w:noProof/>
          <w:spacing w:val="-6"/>
          <w:lang w:val="sk-SK"/>
        </w:rPr>
        <w:t>zmysle článku 17 nariadenia Európskeho parlamentu</w:t>
      </w:r>
      <w:r w:rsidR="00326E55" w:rsidRPr="00326E55">
        <w:rPr>
          <w:noProof/>
          <w:spacing w:val="-6"/>
          <w:lang w:val="sk-SK"/>
        </w:rPr>
        <w:t xml:space="preserve"> a </w:t>
      </w:r>
      <w:r w:rsidRPr="00326E55">
        <w:rPr>
          <w:noProof/>
          <w:spacing w:val="-6"/>
          <w:lang w:val="sk-SK"/>
        </w:rPr>
        <w:t>Rady (EÚ) 2020/852, berúc do úvahy opis opatrení</w:t>
      </w:r>
      <w:r w:rsidR="00326E55" w:rsidRPr="00326E55">
        <w:rPr>
          <w:noProof/>
          <w:spacing w:val="-6"/>
          <w:lang w:val="sk-SK"/>
        </w:rPr>
        <w:t xml:space="preserve"> a </w:t>
      </w:r>
      <w:r w:rsidRPr="00326E55">
        <w:rPr>
          <w:noProof/>
          <w:spacing w:val="-6"/>
          <w:lang w:val="sk-SK"/>
        </w:rPr>
        <w:t>zmierňujúce kroky stanovené</w:t>
      </w:r>
      <w:r w:rsidR="00326E55" w:rsidRPr="00326E55">
        <w:rPr>
          <w:noProof/>
          <w:spacing w:val="-6"/>
          <w:lang w:val="sk-SK"/>
        </w:rPr>
        <w:t xml:space="preserve"> v </w:t>
      </w:r>
      <w:r w:rsidRPr="00326E55">
        <w:rPr>
          <w:noProof/>
          <w:spacing w:val="-6"/>
          <w:lang w:val="sk-SK"/>
        </w:rPr>
        <w:t>pláne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v </w:t>
      </w:r>
      <w:r w:rsidRPr="00326E55">
        <w:rPr>
          <w:noProof/>
          <w:spacing w:val="-6"/>
          <w:lang w:val="sk-SK"/>
        </w:rPr>
        <w:t xml:space="preserve">súlade so </w:t>
      </w:r>
      <w:r w:rsidRPr="00326E55">
        <w:rPr>
          <w:noProof/>
          <w:spacing w:val="-6"/>
          <w:lang w:val="sk-SK"/>
        </w:rPr>
        <w:t>zásadou technického usmernia týkajúceho sa uplatňovania zásady „výrazne nenarušiť“ (DNHS) (2021/C58/01)</w:t>
      </w:r>
      <w:r w:rsidR="00326E55" w:rsidRPr="00326E55">
        <w:rPr>
          <w:noProof/>
          <w:spacing w:val="-6"/>
          <w:lang w:val="sk-SK"/>
        </w:rPr>
        <w:t>.</w:t>
      </w:r>
    </w:p>
    <w:p w14:paraId="456DDF5F" w14:textId="36A3F8B2" w:rsidR="00BF03AA" w:rsidRPr="00326E55" w:rsidRDefault="00FB452D">
      <w:pPr>
        <w:pStyle w:val="P68B1DB1-Heading39"/>
        <w:ind w:left="850" w:hanging="850"/>
        <w:rPr>
          <w:b/>
          <w:bCs/>
          <w:i/>
          <w:iCs/>
          <w:noProof/>
          <w:color w:val="156082" w:themeColor="accent1"/>
          <w:spacing w:val="-6"/>
          <w:u w:val="single"/>
          <w:lang w:val="sk-SK"/>
        </w:rPr>
      </w:pPr>
      <w:r w:rsidRPr="00326E55">
        <w:rPr>
          <w:b/>
          <w:noProof/>
          <w:spacing w:val="-6"/>
          <w:u w:val="single"/>
          <w:lang w:val="sk-SK"/>
        </w:rPr>
        <w:t xml:space="preserve">F.1.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nenávratnej finančnej podpory</w:t>
      </w:r>
    </w:p>
    <w:p w14:paraId="231F17B4" w14:textId="77777777" w:rsidR="00BF03AA" w:rsidRPr="00326E55" w:rsidRDefault="00FB452D">
      <w:pPr>
        <w:pStyle w:val="P68B1DB1-Normal5"/>
        <w:spacing w:before="120" w:after="120" w:line="257" w:lineRule="auto"/>
        <w:jc w:val="both"/>
        <w:rPr>
          <w:bCs/>
          <w:noProof/>
          <w:spacing w:val="-6"/>
          <w:lang w:val="sk-SK"/>
        </w:rPr>
      </w:pPr>
      <w:r w:rsidRPr="00326E55">
        <w:rPr>
          <w:noProof/>
          <w:spacing w:val="-6"/>
          <w:lang w:val="sk-SK"/>
        </w:rPr>
        <w:t>Investícia 2.1: Posilnenie ekobonusu pre energetickú účinnosť</w:t>
      </w:r>
    </w:p>
    <w:p w14:paraId="7ADD2636" w14:textId="5E66E6A0" w:rsidR="00BF03AA" w:rsidRPr="00326E55" w:rsidRDefault="00FB452D">
      <w:pPr>
        <w:pStyle w:val="P68B1DB1-Normal7"/>
        <w:spacing w:before="120" w:after="120"/>
        <w:jc w:val="both"/>
        <w:rPr>
          <w:noProof/>
          <w:spacing w:val="-6"/>
          <w:lang w:val="sk-SK"/>
        </w:rPr>
      </w:pPr>
      <w:r w:rsidRPr="00326E55">
        <w:rPr>
          <w:noProof/>
          <w:spacing w:val="-6"/>
          <w:lang w:val="sk-SK"/>
        </w:rPr>
        <w:t>Cieľom tohto opatr</w:t>
      </w:r>
      <w:r w:rsidRPr="00326E55">
        <w:rPr>
          <w:noProof/>
          <w:spacing w:val="-6"/>
          <w:lang w:val="sk-SK"/>
        </w:rPr>
        <w:t>enia je podporiť energetickú obnovu obytných budov. Opatrenie spočíva</w:t>
      </w:r>
      <w:r w:rsidR="00326E55" w:rsidRPr="00326E55">
        <w:rPr>
          <w:noProof/>
          <w:spacing w:val="-6"/>
          <w:lang w:val="sk-SK"/>
        </w:rPr>
        <w:t xml:space="preserve"> v </w:t>
      </w:r>
      <w:r w:rsidRPr="00326E55">
        <w:rPr>
          <w:noProof/>
          <w:spacing w:val="-6"/>
          <w:lang w:val="sk-SK"/>
        </w:rPr>
        <w:t>poskytovaní podpory vo forme daňového odpočtu alebo ako alternatíva</w:t>
      </w:r>
      <w:r w:rsidR="00326E55" w:rsidRPr="00326E55">
        <w:rPr>
          <w:noProof/>
          <w:spacing w:val="-6"/>
          <w:lang w:val="sk-SK"/>
        </w:rPr>
        <w:t xml:space="preserve"> k </w:t>
      </w:r>
      <w:r w:rsidRPr="00326E55">
        <w:rPr>
          <w:noProof/>
          <w:spacing w:val="-6"/>
          <w:lang w:val="sk-SK"/>
        </w:rPr>
        <w:t>nástroju daňového odpočtu vo forme finančných nástrojov (tzv. „kreditný transfer“</w:t>
      </w:r>
      <w:r w:rsidR="00326E55" w:rsidRPr="00326E55">
        <w:rPr>
          <w:noProof/>
          <w:spacing w:val="-6"/>
          <w:lang w:val="sk-SK"/>
        </w:rPr>
        <w:t xml:space="preserve"> a </w:t>
      </w:r>
      <w:r w:rsidRPr="00326E55">
        <w:rPr>
          <w:noProof/>
          <w:spacing w:val="-6"/>
          <w:lang w:val="sk-SK"/>
        </w:rPr>
        <w:t>„faktúrna zľava“) osobitným ka</w:t>
      </w:r>
      <w:r w:rsidRPr="00326E55">
        <w:rPr>
          <w:noProof/>
          <w:spacing w:val="-6"/>
          <w:lang w:val="sk-SK"/>
        </w:rPr>
        <w:t>tegóriám organizácií</w:t>
      </w:r>
      <w:r w:rsidR="00326E55" w:rsidRPr="00326E55">
        <w:rPr>
          <w:noProof/>
          <w:spacing w:val="-6"/>
          <w:lang w:val="sk-SK"/>
        </w:rPr>
        <w:t xml:space="preserve"> a </w:t>
      </w:r>
      <w:r w:rsidRPr="00326E55">
        <w:rPr>
          <w:noProof/>
          <w:spacing w:val="-6"/>
          <w:lang w:val="sk-SK"/>
        </w:rPr>
        <w:t>domácností.</w:t>
      </w:r>
    </w:p>
    <w:p w14:paraId="263625F9" w14:textId="2193BA5A" w:rsidR="00BF03AA" w:rsidRPr="00326E55" w:rsidRDefault="00FB452D">
      <w:pPr>
        <w:pStyle w:val="P68B1DB1-Normal5"/>
        <w:spacing w:before="120" w:after="120"/>
        <w:jc w:val="both"/>
        <w:rPr>
          <w:bCs/>
          <w:noProof/>
          <w:spacing w:val="-6"/>
          <w:lang w:val="sk-SK"/>
        </w:rPr>
      </w:pPr>
      <w:r w:rsidRPr="00326E55">
        <w:rPr>
          <w:noProof/>
          <w:spacing w:val="-6"/>
          <w:lang w:val="sk-SK"/>
        </w:rPr>
        <w:t>Reforma 1.1 – Zjednodušenie</w:t>
      </w:r>
      <w:r w:rsidR="00326E55" w:rsidRPr="00326E55">
        <w:rPr>
          <w:noProof/>
          <w:spacing w:val="-6"/>
          <w:lang w:val="sk-SK"/>
        </w:rPr>
        <w:t xml:space="preserve"> a </w:t>
      </w:r>
      <w:r w:rsidRPr="00326E55">
        <w:rPr>
          <w:noProof/>
          <w:spacing w:val="-6"/>
          <w:lang w:val="sk-SK"/>
        </w:rPr>
        <w:t>urýchlenie postupov pre intervencie</w:t>
      </w:r>
      <w:r w:rsidR="00326E55" w:rsidRPr="00326E55">
        <w:rPr>
          <w:noProof/>
          <w:spacing w:val="-6"/>
          <w:lang w:val="sk-SK"/>
        </w:rPr>
        <w:t xml:space="preserve"> v </w:t>
      </w:r>
      <w:r w:rsidRPr="00326E55">
        <w:rPr>
          <w:noProof/>
          <w:spacing w:val="-6"/>
          <w:lang w:val="sk-SK"/>
        </w:rPr>
        <w:t>oblasti energetickej efektívnosti</w:t>
      </w:r>
    </w:p>
    <w:p w14:paraId="065B94EE" w14:textId="0A116324" w:rsidR="00BF03AA" w:rsidRPr="00326E55" w:rsidRDefault="00FB452D">
      <w:pPr>
        <w:pStyle w:val="P68B1DB1-Normal7"/>
        <w:spacing w:before="120" w:after="120"/>
        <w:jc w:val="both"/>
        <w:rPr>
          <w:noProof/>
          <w:spacing w:val="-6"/>
          <w:lang w:val="sk-SK"/>
        </w:rPr>
      </w:pPr>
      <w:r w:rsidRPr="00326E55">
        <w:rPr>
          <w:noProof/>
          <w:spacing w:val="-6"/>
          <w:lang w:val="sk-SK"/>
        </w:rPr>
        <w:t>Cieľom tejto reformy je zjednodušiť</w:t>
      </w:r>
      <w:r w:rsidR="00326E55" w:rsidRPr="00326E55">
        <w:rPr>
          <w:noProof/>
          <w:spacing w:val="-6"/>
          <w:lang w:val="sk-SK"/>
        </w:rPr>
        <w:t xml:space="preserve"> a </w:t>
      </w:r>
      <w:r w:rsidRPr="00326E55">
        <w:rPr>
          <w:noProof/>
          <w:spacing w:val="-6"/>
          <w:lang w:val="sk-SK"/>
        </w:rPr>
        <w:t>urýchliť postupy vykonávania intervencií súvisiacich</w:t>
      </w:r>
      <w:r w:rsidR="00326E55" w:rsidRPr="00326E55">
        <w:rPr>
          <w:noProof/>
          <w:spacing w:val="-6"/>
          <w:lang w:val="sk-SK"/>
        </w:rPr>
        <w:t xml:space="preserve"> s </w:t>
      </w:r>
      <w:r w:rsidRPr="00326E55">
        <w:rPr>
          <w:noProof/>
          <w:spacing w:val="-6"/>
          <w:lang w:val="sk-SK"/>
        </w:rPr>
        <w:t>energetickou efektívnosťou</w:t>
      </w:r>
      <w:r w:rsidRPr="00326E55">
        <w:rPr>
          <w:noProof/>
          <w:spacing w:val="-6"/>
          <w:lang w:val="sk-SK"/>
        </w:rPr>
        <w:t>. Pozostáva zo štyroch hlavných opatrení:</w:t>
      </w:r>
    </w:p>
    <w:p w14:paraId="06AFE945" w14:textId="7BBD5E65" w:rsidR="00326E55" w:rsidRPr="00326E55" w:rsidRDefault="00FB452D">
      <w:pPr>
        <w:pStyle w:val="P68B1DB1-Normal7"/>
        <w:numPr>
          <w:ilvl w:val="0"/>
          <w:numId w:val="30"/>
        </w:numPr>
        <w:spacing w:before="120" w:after="120" w:line="240" w:lineRule="auto"/>
        <w:ind w:left="357" w:hanging="357"/>
        <w:contextualSpacing/>
        <w:jc w:val="both"/>
        <w:rPr>
          <w:noProof/>
          <w:spacing w:val="-6"/>
          <w:lang w:val="sk-SK"/>
        </w:rPr>
      </w:pPr>
      <w:r w:rsidRPr="00326E55">
        <w:rPr>
          <w:b/>
          <w:noProof/>
          <w:spacing w:val="-6"/>
          <w:lang w:val="sk-SK"/>
        </w:rPr>
        <w:t xml:space="preserve">Spustenie vnútroštátneho portálu pre energetickú hospodárnosť budov: </w:t>
      </w:r>
      <w:r w:rsidRPr="00326E55">
        <w:rPr>
          <w:noProof/>
          <w:spacing w:val="-6"/>
          <w:lang w:val="sk-SK"/>
        </w:rPr>
        <w:t>Portál podporuje občanov</w:t>
      </w:r>
      <w:r w:rsidR="00326E55" w:rsidRPr="00326E55">
        <w:rPr>
          <w:noProof/>
          <w:spacing w:val="-6"/>
          <w:lang w:val="sk-SK"/>
        </w:rPr>
        <w:t xml:space="preserve"> a </w:t>
      </w:r>
      <w:r w:rsidRPr="00326E55">
        <w:rPr>
          <w:noProof/>
          <w:spacing w:val="-6"/>
          <w:lang w:val="sk-SK"/>
        </w:rPr>
        <w:t>prevádzkovateľov pri riadení projektov energetickej efektívnosti</w:t>
      </w:r>
      <w:r w:rsidR="00326E55" w:rsidRPr="00326E55">
        <w:rPr>
          <w:noProof/>
          <w:spacing w:val="-6"/>
          <w:lang w:val="sk-SK"/>
        </w:rPr>
        <w:t xml:space="preserve"> a </w:t>
      </w:r>
      <w:r w:rsidRPr="00326E55">
        <w:rPr>
          <w:noProof/>
          <w:spacing w:val="-6"/>
          <w:lang w:val="sk-SK"/>
        </w:rPr>
        <w:t>je jednoduchým zdrojom prístupu</w:t>
      </w:r>
      <w:r w:rsidR="00326E55" w:rsidRPr="00326E55">
        <w:rPr>
          <w:noProof/>
          <w:spacing w:val="-6"/>
          <w:lang w:val="sk-SK"/>
        </w:rPr>
        <w:t xml:space="preserve"> k </w:t>
      </w:r>
      <w:r w:rsidRPr="00326E55">
        <w:rPr>
          <w:noProof/>
          <w:spacing w:val="-6"/>
          <w:lang w:val="sk-SK"/>
        </w:rPr>
        <w:t xml:space="preserve">informáciám pre </w:t>
      </w:r>
      <w:r w:rsidRPr="00326E55">
        <w:rPr>
          <w:noProof/>
          <w:spacing w:val="-6"/>
          <w:lang w:val="sk-SK"/>
        </w:rPr>
        <w:t>subjekty</w:t>
      </w:r>
      <w:r w:rsidR="00326E55" w:rsidRPr="00326E55">
        <w:rPr>
          <w:noProof/>
          <w:spacing w:val="-6"/>
          <w:lang w:val="sk-SK"/>
        </w:rPr>
        <w:t xml:space="preserve"> s </w:t>
      </w:r>
      <w:r w:rsidRPr="00326E55">
        <w:rPr>
          <w:noProof/>
          <w:spacing w:val="-6"/>
          <w:lang w:val="sk-SK"/>
        </w:rPr>
        <w:t>rozhodovacou právomocou. Obsahuje informácie</w:t>
      </w:r>
      <w:r w:rsidR="00326E55" w:rsidRPr="00326E55">
        <w:rPr>
          <w:noProof/>
          <w:spacing w:val="-6"/>
          <w:lang w:val="sk-SK"/>
        </w:rPr>
        <w:t xml:space="preserve"> o </w:t>
      </w:r>
      <w:r w:rsidRPr="00326E55">
        <w:rPr>
          <w:noProof/>
          <w:spacing w:val="-6"/>
          <w:lang w:val="sk-SK"/>
        </w:rPr>
        <w:t>energetickej hospodárnosti vnútroštátneho fondu budov, od ktorých sa očakáva, že pomôžu podnikom</w:t>
      </w:r>
      <w:r w:rsidR="00326E55" w:rsidRPr="00326E55">
        <w:rPr>
          <w:noProof/>
          <w:spacing w:val="-6"/>
          <w:lang w:val="sk-SK"/>
        </w:rPr>
        <w:t xml:space="preserve"> a </w:t>
      </w:r>
      <w:r w:rsidRPr="00326E55">
        <w:rPr>
          <w:noProof/>
          <w:spacing w:val="-6"/>
          <w:lang w:val="sk-SK"/>
        </w:rPr>
        <w:t>občanom pri rozhodovaní</w:t>
      </w:r>
      <w:r w:rsidR="00326E55" w:rsidRPr="00326E55">
        <w:rPr>
          <w:noProof/>
          <w:spacing w:val="-6"/>
          <w:lang w:val="sk-SK"/>
        </w:rPr>
        <w:t xml:space="preserve"> o </w:t>
      </w:r>
      <w:r w:rsidRPr="00326E55">
        <w:rPr>
          <w:noProof/>
          <w:spacing w:val="-6"/>
          <w:lang w:val="sk-SK"/>
        </w:rPr>
        <w:t>zlepšení energetickej hospodárnosti ich nehnuteľnosti. Zriadi sa jednotné</w:t>
      </w:r>
      <w:r w:rsidRPr="00326E55">
        <w:rPr>
          <w:noProof/>
          <w:spacing w:val="-6"/>
          <w:lang w:val="sk-SK"/>
        </w:rPr>
        <w:t xml:space="preserve"> kontaktné miesto na poskytovanie pomoci</w:t>
      </w:r>
      <w:r w:rsidR="00326E55" w:rsidRPr="00326E55">
        <w:rPr>
          <w:noProof/>
          <w:spacing w:val="-6"/>
          <w:lang w:val="sk-SK"/>
        </w:rPr>
        <w:t xml:space="preserve"> a </w:t>
      </w:r>
      <w:r w:rsidRPr="00326E55">
        <w:rPr>
          <w:noProof/>
          <w:spacing w:val="-6"/>
          <w:lang w:val="sk-SK"/>
        </w:rPr>
        <w:t>všetkých užitočných informácií občanom</w:t>
      </w:r>
      <w:r w:rsidR="00326E55" w:rsidRPr="00326E55">
        <w:rPr>
          <w:noProof/>
          <w:spacing w:val="-6"/>
          <w:lang w:val="sk-SK"/>
        </w:rPr>
        <w:t xml:space="preserve"> a </w:t>
      </w:r>
      <w:r w:rsidRPr="00326E55">
        <w:rPr>
          <w:noProof/>
          <w:spacing w:val="-6"/>
          <w:lang w:val="sk-SK"/>
        </w:rPr>
        <w:t>podnikom</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energetickým mapovaním budov, dodržiavaním odvetvových predpisov, hodnotením potenciálu efektívnosti</w:t>
      </w:r>
      <w:r w:rsidR="00326E55" w:rsidRPr="00326E55">
        <w:rPr>
          <w:noProof/>
          <w:spacing w:val="-6"/>
          <w:lang w:val="sk-SK"/>
        </w:rPr>
        <w:t xml:space="preserve"> a </w:t>
      </w:r>
      <w:r w:rsidRPr="00326E55">
        <w:rPr>
          <w:noProof/>
          <w:spacing w:val="-6"/>
          <w:lang w:val="sk-SK"/>
        </w:rPr>
        <w:t>výberom priorít činnosti vrátane plánov obnov</w:t>
      </w:r>
      <w:r w:rsidRPr="00326E55">
        <w:rPr>
          <w:noProof/>
          <w:spacing w:val="-6"/>
          <w:lang w:val="sk-SK"/>
        </w:rPr>
        <w:t>y vo fázach, výberu najvhodnejších propagačných nástrojov na tento účel</w:t>
      </w:r>
      <w:r w:rsidR="00326E55" w:rsidRPr="00326E55">
        <w:rPr>
          <w:noProof/>
          <w:spacing w:val="-6"/>
          <w:lang w:val="sk-SK"/>
        </w:rPr>
        <w:t xml:space="preserve"> a </w:t>
      </w:r>
      <w:r w:rsidRPr="00326E55">
        <w:rPr>
          <w:noProof/>
          <w:spacing w:val="-6"/>
          <w:lang w:val="sk-SK"/>
        </w:rPr>
        <w:t>odbornej prípravy odborných zručností</w:t>
      </w:r>
      <w:r w:rsidR="00326E55" w:rsidRPr="00326E55">
        <w:rPr>
          <w:noProof/>
          <w:spacing w:val="-6"/>
          <w:lang w:val="sk-SK"/>
        </w:rPr>
        <w:t>.</w:t>
      </w:r>
    </w:p>
    <w:p w14:paraId="540DF9F1" w14:textId="670AA017" w:rsidR="00326E55" w:rsidRPr="00326E55" w:rsidRDefault="00FB452D">
      <w:pPr>
        <w:pStyle w:val="P68B1DB1-Normal7"/>
        <w:numPr>
          <w:ilvl w:val="0"/>
          <w:numId w:val="30"/>
        </w:numPr>
        <w:spacing w:before="120" w:after="120" w:line="240" w:lineRule="auto"/>
        <w:ind w:left="357" w:hanging="357"/>
        <w:contextualSpacing/>
        <w:jc w:val="both"/>
        <w:rPr>
          <w:noProof/>
          <w:spacing w:val="-6"/>
          <w:lang w:val="sk-SK"/>
        </w:rPr>
      </w:pPr>
      <w:r w:rsidRPr="00326E55">
        <w:rPr>
          <w:b/>
          <w:noProof/>
          <w:spacing w:val="-6"/>
          <w:lang w:val="sk-SK"/>
        </w:rPr>
        <w:t>Posilnenie činností plánu informovania</w:t>
      </w:r>
      <w:r w:rsidR="00326E55" w:rsidRPr="00326E55">
        <w:rPr>
          <w:b/>
          <w:noProof/>
          <w:spacing w:val="-6"/>
          <w:lang w:val="sk-SK"/>
        </w:rPr>
        <w:t xml:space="preserve"> a </w:t>
      </w:r>
      <w:r w:rsidRPr="00326E55">
        <w:rPr>
          <w:b/>
          <w:noProof/>
          <w:spacing w:val="-6"/>
          <w:lang w:val="sk-SK"/>
        </w:rPr>
        <w:t>odbornej prípravy zameraného na civilný sektor –</w:t>
      </w:r>
      <w:r w:rsidR="00326E55" w:rsidRPr="00326E55">
        <w:rPr>
          <w:b/>
          <w:noProof/>
          <w:spacing w:val="-6"/>
          <w:lang w:val="sk-SK"/>
        </w:rPr>
        <w:t xml:space="preserve"> v </w:t>
      </w:r>
      <w:r w:rsidRPr="00326E55">
        <w:rPr>
          <w:noProof/>
          <w:spacing w:val="-6"/>
          <w:lang w:val="sk-SK"/>
        </w:rPr>
        <w:t>pláne informovania</w:t>
      </w:r>
      <w:r w:rsidR="00326E55" w:rsidRPr="00326E55">
        <w:rPr>
          <w:noProof/>
          <w:spacing w:val="-6"/>
          <w:lang w:val="sk-SK"/>
        </w:rPr>
        <w:t xml:space="preserve"> a </w:t>
      </w:r>
      <w:r w:rsidRPr="00326E55">
        <w:rPr>
          <w:noProof/>
          <w:spacing w:val="-6"/>
          <w:lang w:val="sk-SK"/>
        </w:rPr>
        <w:t xml:space="preserve">odbornej prípravy sa zohľadní </w:t>
      </w:r>
      <w:r w:rsidRPr="00326E55">
        <w:rPr>
          <w:noProof/>
          <w:spacing w:val="-6"/>
          <w:lang w:val="sk-SK"/>
        </w:rPr>
        <w:t>potreba vypracovať konkrétne iniciatívy zamerané na vyplnenie informačnej medzery koncových používateľov</w:t>
      </w:r>
      <w:r w:rsidR="00326E55" w:rsidRPr="00326E55">
        <w:rPr>
          <w:noProof/>
          <w:spacing w:val="-6"/>
          <w:lang w:val="sk-SK"/>
        </w:rPr>
        <w:t xml:space="preserve"> v </w:t>
      </w:r>
      <w:r w:rsidRPr="00326E55">
        <w:rPr>
          <w:noProof/>
          <w:spacing w:val="-6"/>
          <w:lang w:val="sk-SK"/>
        </w:rPr>
        <w:t>rezidenčnom sektore, ako aj vhodné činnosti odbornej prípravy</w:t>
      </w:r>
      <w:r w:rsidR="00326E55" w:rsidRPr="00326E55">
        <w:rPr>
          <w:noProof/>
          <w:spacing w:val="-6"/>
          <w:lang w:val="sk-SK"/>
        </w:rPr>
        <w:t xml:space="preserve"> o </w:t>
      </w:r>
      <w:r w:rsidRPr="00326E55">
        <w:rPr>
          <w:noProof/>
          <w:spacing w:val="-6"/>
          <w:lang w:val="sk-SK"/>
        </w:rPr>
        <w:t>stimuloch</w:t>
      </w:r>
      <w:r w:rsidR="00326E55" w:rsidRPr="00326E55">
        <w:rPr>
          <w:noProof/>
          <w:spacing w:val="-6"/>
          <w:lang w:val="sk-SK"/>
        </w:rPr>
        <w:t xml:space="preserve"> a </w:t>
      </w:r>
      <w:r w:rsidRPr="00326E55">
        <w:rPr>
          <w:noProof/>
          <w:spacing w:val="-6"/>
          <w:lang w:val="sk-SK"/>
        </w:rPr>
        <w:t>najúčinnejších zásahoch pre spoločnosti, ktoré ponúkajú energetické služb</w:t>
      </w:r>
      <w:r w:rsidRPr="00326E55">
        <w:rPr>
          <w:noProof/>
          <w:spacing w:val="-6"/>
          <w:lang w:val="sk-SK"/>
        </w:rPr>
        <w:t>y, ktoré vykonávajú intervencie,</w:t>
      </w:r>
      <w:r w:rsidR="00326E55" w:rsidRPr="00326E55">
        <w:rPr>
          <w:noProof/>
          <w:spacing w:val="-6"/>
          <w:lang w:val="sk-SK"/>
        </w:rPr>
        <w:t xml:space="preserve"> a </w:t>
      </w:r>
      <w:r w:rsidRPr="00326E55">
        <w:rPr>
          <w:noProof/>
          <w:spacing w:val="-6"/>
          <w:lang w:val="sk-SK"/>
        </w:rPr>
        <w:t>pre správcov kondomínií. Plán sa vypracuje</w:t>
      </w:r>
      <w:r w:rsidR="00326E55" w:rsidRPr="00326E55">
        <w:rPr>
          <w:noProof/>
          <w:spacing w:val="-6"/>
          <w:lang w:val="sk-SK"/>
        </w:rPr>
        <w:t xml:space="preserve"> s </w:t>
      </w:r>
      <w:r w:rsidRPr="00326E55">
        <w:rPr>
          <w:noProof/>
          <w:spacing w:val="-6"/>
          <w:lang w:val="sk-SK"/>
        </w:rPr>
        <w:t>prihliadnutím na potreby vyplývajúce</w:t>
      </w:r>
      <w:r w:rsidR="00326E55" w:rsidRPr="00326E55">
        <w:rPr>
          <w:noProof/>
          <w:spacing w:val="-6"/>
          <w:lang w:val="sk-SK"/>
        </w:rPr>
        <w:t xml:space="preserve"> z </w:t>
      </w:r>
      <w:r w:rsidRPr="00326E55">
        <w:rPr>
          <w:noProof/>
          <w:spacing w:val="-6"/>
          <w:lang w:val="sk-SK"/>
        </w:rPr>
        <w:t>opatrenia Superbonus</w:t>
      </w:r>
      <w:r w:rsidR="00326E55" w:rsidRPr="00326E55">
        <w:rPr>
          <w:noProof/>
          <w:spacing w:val="-6"/>
          <w:lang w:val="sk-SK"/>
        </w:rPr>
        <w:t xml:space="preserve"> s </w:t>
      </w:r>
      <w:r w:rsidRPr="00326E55">
        <w:rPr>
          <w:noProof/>
          <w:spacing w:val="-6"/>
          <w:lang w:val="sk-SK"/>
        </w:rPr>
        <w:t>cieľom maximalizovať jeho účinnosť</w:t>
      </w:r>
      <w:r w:rsidR="00326E55" w:rsidRPr="00326E55">
        <w:rPr>
          <w:noProof/>
          <w:spacing w:val="-6"/>
          <w:lang w:val="sk-SK"/>
        </w:rPr>
        <w:t xml:space="preserve"> a </w:t>
      </w:r>
      <w:r w:rsidRPr="00326E55">
        <w:rPr>
          <w:noProof/>
          <w:spacing w:val="-6"/>
          <w:lang w:val="sk-SK"/>
        </w:rPr>
        <w:t>položiť základy trvalej kultúry efektívnosti</w:t>
      </w:r>
      <w:r w:rsidR="00326E55" w:rsidRPr="00326E55">
        <w:rPr>
          <w:noProof/>
          <w:spacing w:val="-6"/>
          <w:lang w:val="sk-SK"/>
        </w:rPr>
        <w:t xml:space="preserve"> v </w:t>
      </w:r>
      <w:r w:rsidRPr="00326E55">
        <w:rPr>
          <w:noProof/>
          <w:spacing w:val="-6"/>
          <w:lang w:val="sk-SK"/>
        </w:rPr>
        <w:t>stavebníctve</w:t>
      </w:r>
      <w:r w:rsidR="00326E55" w:rsidRPr="00326E55">
        <w:rPr>
          <w:noProof/>
          <w:spacing w:val="-6"/>
          <w:lang w:val="sk-SK"/>
        </w:rPr>
        <w:t>.</w:t>
      </w:r>
    </w:p>
    <w:p w14:paraId="5B006019" w14:textId="4FE7E8D0" w:rsidR="00326E55" w:rsidRPr="00326E55" w:rsidRDefault="00FB452D">
      <w:pPr>
        <w:pStyle w:val="P68B1DB1-Normal7"/>
        <w:numPr>
          <w:ilvl w:val="0"/>
          <w:numId w:val="30"/>
        </w:numPr>
        <w:spacing w:before="120" w:after="120" w:line="240" w:lineRule="auto"/>
        <w:ind w:left="357" w:hanging="357"/>
        <w:contextualSpacing/>
        <w:jc w:val="both"/>
        <w:rPr>
          <w:noProof/>
          <w:spacing w:val="-6"/>
          <w:lang w:val="sk-SK"/>
        </w:rPr>
      </w:pPr>
      <w:r w:rsidRPr="00326E55">
        <w:rPr>
          <w:b/>
          <w:noProof/>
          <w:spacing w:val="-6"/>
          <w:lang w:val="sk-SK"/>
        </w:rPr>
        <w:t>Aktualizácia</w:t>
      </w:r>
      <w:r w:rsidR="00326E55" w:rsidRPr="00326E55">
        <w:rPr>
          <w:b/>
          <w:noProof/>
          <w:spacing w:val="-6"/>
          <w:lang w:val="sk-SK"/>
        </w:rPr>
        <w:t xml:space="preserve"> a </w:t>
      </w:r>
      <w:r w:rsidRPr="00326E55">
        <w:rPr>
          <w:b/>
          <w:noProof/>
          <w:spacing w:val="-6"/>
          <w:lang w:val="sk-SK"/>
        </w:rPr>
        <w:t>p</w:t>
      </w:r>
      <w:r w:rsidRPr="00326E55">
        <w:rPr>
          <w:b/>
          <w:noProof/>
          <w:spacing w:val="-6"/>
          <w:lang w:val="sk-SK"/>
        </w:rPr>
        <w:t xml:space="preserve">osilnenie Národného fondu pre energetickú účinnosť: </w:t>
      </w:r>
      <w:r w:rsidRPr="00326E55">
        <w:rPr>
          <w:noProof/>
          <w:spacing w:val="-6"/>
          <w:lang w:val="sk-SK"/>
        </w:rPr>
        <w:t>Revíziou nariadení</w:t>
      </w:r>
      <w:r w:rsidR="00326E55" w:rsidRPr="00326E55">
        <w:rPr>
          <w:noProof/>
          <w:spacing w:val="-6"/>
          <w:lang w:val="sk-SK"/>
        </w:rPr>
        <w:t xml:space="preserve"> o </w:t>
      </w:r>
      <w:r w:rsidRPr="00326E55">
        <w:rPr>
          <w:noProof/>
          <w:spacing w:val="-6"/>
          <w:lang w:val="sk-SK"/>
        </w:rPr>
        <w:t>zriadení</w:t>
      </w:r>
      <w:r w:rsidR="00326E55" w:rsidRPr="00326E55">
        <w:rPr>
          <w:noProof/>
          <w:spacing w:val="-6"/>
          <w:lang w:val="sk-SK"/>
        </w:rPr>
        <w:t xml:space="preserve"> a </w:t>
      </w:r>
      <w:r w:rsidRPr="00326E55">
        <w:rPr>
          <w:noProof/>
          <w:spacing w:val="-6"/>
          <w:lang w:val="sk-SK"/>
        </w:rPr>
        <w:t xml:space="preserve">riadení Národného fondu energetickej efektívnosti (článok 15 legislatívneho dekrétu </w:t>
      </w:r>
      <w:r w:rsidR="00326E55" w:rsidRPr="00326E55">
        <w:rPr>
          <w:noProof/>
          <w:spacing w:val="-6"/>
          <w:lang w:val="sk-SK"/>
        </w:rPr>
        <w:t>č. </w:t>
      </w:r>
      <w:r w:rsidRPr="00326E55">
        <w:rPr>
          <w:noProof/>
          <w:spacing w:val="-6"/>
          <w:lang w:val="sk-SK"/>
        </w:rPr>
        <w:t>102/2014</w:t>
      </w:r>
      <w:r w:rsidR="00326E55" w:rsidRPr="00326E55">
        <w:rPr>
          <w:noProof/>
          <w:spacing w:val="-6"/>
          <w:lang w:val="sk-SK"/>
        </w:rPr>
        <w:t xml:space="preserve"> a </w:t>
      </w:r>
      <w:r w:rsidRPr="00326E55">
        <w:rPr>
          <w:noProof/>
          <w:spacing w:val="-6"/>
          <w:lang w:val="sk-SK"/>
        </w:rPr>
        <w:t>medzirezortného dekrétu</w:t>
      </w:r>
      <w:r w:rsidR="00326E55" w:rsidRPr="00326E55">
        <w:rPr>
          <w:noProof/>
          <w:spacing w:val="-6"/>
          <w:lang w:val="sk-SK"/>
        </w:rPr>
        <w:t xml:space="preserve"> z </w:t>
      </w:r>
      <w:r w:rsidRPr="00326E55">
        <w:rPr>
          <w:noProof/>
          <w:spacing w:val="-6"/>
          <w:lang w:val="sk-SK"/>
        </w:rPr>
        <w:t>22</w:t>
      </w:r>
      <w:r w:rsidR="00326E55" w:rsidRPr="00326E55">
        <w:rPr>
          <w:noProof/>
          <w:spacing w:val="-6"/>
          <w:lang w:val="sk-SK"/>
        </w:rPr>
        <w:t>. decembra</w:t>
      </w:r>
      <w:r w:rsidRPr="00326E55">
        <w:rPr>
          <w:noProof/>
          <w:spacing w:val="-6"/>
          <w:lang w:val="sk-SK"/>
        </w:rPr>
        <w:t xml:space="preserve"> 2017) nadobudnú účinnosť zmeny</w:t>
      </w:r>
      <w:r w:rsidR="00326E55" w:rsidRPr="00326E55">
        <w:rPr>
          <w:noProof/>
          <w:spacing w:val="-6"/>
          <w:lang w:val="sk-SK"/>
        </w:rPr>
        <w:t xml:space="preserve"> s </w:t>
      </w:r>
      <w:r w:rsidRPr="00326E55">
        <w:rPr>
          <w:noProof/>
          <w:spacing w:val="-6"/>
          <w:lang w:val="sk-SK"/>
        </w:rPr>
        <w:t>ci</w:t>
      </w:r>
      <w:r w:rsidRPr="00326E55">
        <w:rPr>
          <w:noProof/>
          <w:spacing w:val="-6"/>
          <w:lang w:val="sk-SK"/>
        </w:rPr>
        <w:t>eľom podporiť posilnenie</w:t>
      </w:r>
      <w:r w:rsidR="00326E55" w:rsidRPr="00326E55">
        <w:rPr>
          <w:noProof/>
          <w:spacing w:val="-6"/>
          <w:lang w:val="sk-SK"/>
        </w:rPr>
        <w:t xml:space="preserve"> a </w:t>
      </w:r>
      <w:r w:rsidRPr="00326E55">
        <w:rPr>
          <w:noProof/>
          <w:spacing w:val="-6"/>
          <w:lang w:val="sk-SK"/>
        </w:rPr>
        <w:t>väčšie využívanie dostupných zdrojov</w:t>
      </w:r>
      <w:r w:rsidR="00326E55" w:rsidRPr="00326E55">
        <w:rPr>
          <w:noProof/>
          <w:spacing w:val="-6"/>
          <w:lang w:val="sk-SK"/>
        </w:rPr>
        <w:t>.</w:t>
      </w:r>
    </w:p>
    <w:p w14:paraId="5C05EB22" w14:textId="66A7F89C" w:rsidR="00BF03AA" w:rsidRPr="00326E55" w:rsidRDefault="00FB452D">
      <w:pPr>
        <w:pStyle w:val="P68B1DB1-Normal7"/>
        <w:numPr>
          <w:ilvl w:val="0"/>
          <w:numId w:val="30"/>
        </w:numPr>
        <w:spacing w:before="120" w:after="120" w:line="240" w:lineRule="auto"/>
        <w:ind w:left="357" w:hanging="357"/>
        <w:contextualSpacing/>
        <w:jc w:val="both"/>
        <w:rPr>
          <w:noProof/>
          <w:spacing w:val="-6"/>
          <w:lang w:val="sk-SK"/>
        </w:rPr>
      </w:pPr>
      <w:r w:rsidRPr="00326E55">
        <w:rPr>
          <w:b/>
          <w:noProof/>
          <w:spacing w:val="-6"/>
          <w:lang w:val="sk-SK"/>
        </w:rPr>
        <w:t>Urýchlenie realizačnej fázy projektov financovaných</w:t>
      </w:r>
      <w:r w:rsidR="00326E55" w:rsidRPr="00326E55">
        <w:rPr>
          <w:b/>
          <w:noProof/>
          <w:spacing w:val="-6"/>
          <w:lang w:val="sk-SK"/>
        </w:rPr>
        <w:t xml:space="preserve"> z </w:t>
      </w:r>
      <w:r w:rsidRPr="00326E55">
        <w:rPr>
          <w:b/>
          <w:noProof/>
          <w:spacing w:val="-6"/>
          <w:lang w:val="sk-SK"/>
        </w:rPr>
        <w:t xml:space="preserve">programu Ústredného verejného programu obnovy EPAC: Vykoná sa </w:t>
      </w:r>
      <w:r w:rsidRPr="00326E55">
        <w:rPr>
          <w:noProof/>
          <w:spacing w:val="-6"/>
          <w:lang w:val="sk-SK"/>
        </w:rPr>
        <w:t xml:space="preserve">regulačné preskúmanie zamerané na podporu efektívnejšieho riadenia zdrojov </w:t>
      </w:r>
      <w:r w:rsidRPr="00326E55">
        <w:rPr>
          <w:noProof/>
          <w:spacing w:val="-6"/>
          <w:lang w:val="sk-SK"/>
        </w:rPr>
        <w:t>osobitne vyčlenených na program rekvalifikácie budov ústrednej verejnej správy (PREPAC).</w:t>
      </w:r>
    </w:p>
    <w:p w14:paraId="5BCAB7CB" w14:textId="38E98E5A" w:rsidR="00BF03AA" w:rsidRPr="00326E55" w:rsidRDefault="00BF03AA">
      <w:pPr>
        <w:numPr>
          <w:ilvl w:val="0"/>
          <w:numId w:val="30"/>
        </w:numPr>
        <w:spacing w:before="120" w:after="120" w:line="240" w:lineRule="auto"/>
        <w:ind w:left="357" w:hanging="357"/>
        <w:contextualSpacing/>
        <w:jc w:val="both"/>
        <w:rPr>
          <w:rFonts w:ascii="Times New Roman" w:hAnsi="Times New Roman" w:cs="Times New Roman"/>
          <w:noProof/>
          <w:spacing w:val="-6"/>
          <w:lang w:val="sk-SK"/>
        </w:rPr>
        <w:sectPr w:rsidR="00BF03AA" w:rsidRPr="00326E55" w:rsidSect="005F11B9">
          <w:headerReference w:type="default" r:id="rId100"/>
          <w:footerReference w:type="default" r:id="rId101"/>
          <w:pgSz w:w="11906" w:h="16838"/>
          <w:pgMar w:top="1440" w:right="1440" w:bottom="1440" w:left="1440" w:header="708" w:footer="708" w:gutter="0"/>
          <w:cols w:space="708"/>
          <w:docGrid w:linePitch="360"/>
        </w:sectPr>
      </w:pPr>
    </w:p>
    <w:p w14:paraId="0C67A6EB" w14:textId="2166B5D0" w:rsidR="00BF03AA" w:rsidRPr="00326E55" w:rsidRDefault="00FB452D">
      <w:pPr>
        <w:pStyle w:val="P68B1DB1-Heading368"/>
        <w:ind w:left="850" w:hanging="850"/>
        <w:rPr>
          <w:noProof/>
          <w:spacing w:val="-6"/>
          <w:lang w:val="sk-SK"/>
        </w:rPr>
      </w:pPr>
      <w:r w:rsidRPr="00326E55">
        <w:rPr>
          <w:noProof/>
          <w:spacing w:val="-6"/>
          <w:lang w:val="sk-SK"/>
        </w:rPr>
        <w:t xml:space="preserve">F.2. </w:t>
      </w:r>
      <w:r w:rsidRPr="00326E55">
        <w:rPr>
          <w:noProof/>
          <w:spacing w:val="-6"/>
          <w:lang w:val="sk-SK"/>
        </w:rPr>
        <w:tab/>
        <w:t>Míľniky, ciele, ukazovatele</w:t>
      </w:r>
      <w:r w:rsidR="00326E55" w:rsidRPr="00326E55">
        <w:rPr>
          <w:noProof/>
          <w:spacing w:val="-6"/>
          <w:lang w:val="sk-SK"/>
        </w:rPr>
        <w:t xml:space="preserve"> a </w:t>
      </w:r>
      <w:r w:rsidRPr="00326E55">
        <w:rPr>
          <w:noProof/>
          <w:spacing w:val="-6"/>
          <w:lang w:val="sk-SK"/>
        </w:rPr>
        <w:t>harmonogram monitorovania</w:t>
      </w:r>
      <w:r w:rsidR="00326E55" w:rsidRPr="00326E55">
        <w:rPr>
          <w:noProof/>
          <w:spacing w:val="-6"/>
          <w:lang w:val="sk-SK"/>
        </w:rPr>
        <w:t xml:space="preserve"> a </w:t>
      </w:r>
      <w:r w:rsidRPr="00326E55">
        <w:rPr>
          <w:noProof/>
          <w:spacing w:val="-6"/>
          <w:lang w:val="sk-SK"/>
        </w:rPr>
        <w:t>realizácie pre nenávratnú finančnú podporu</w:t>
      </w:r>
    </w:p>
    <w:p w14:paraId="35F5C65B" w14:textId="77777777" w:rsidR="00BF03AA" w:rsidRPr="00326E55" w:rsidRDefault="00BF03AA">
      <w:pPr>
        <w:spacing w:before="120" w:after="120"/>
        <w:ind w:left="709"/>
        <w:jc w:val="both"/>
        <w:rPr>
          <w:rFonts w:ascii="Times New Roman" w:hAnsi="Times New Roman"/>
          <w:noProof/>
          <w:spacing w:val="-6"/>
          <w:lang w:val="sk-SK"/>
        </w:rPr>
      </w:pPr>
    </w:p>
    <w:tbl>
      <w:tblPr>
        <w:tblOverlap w:val="never"/>
        <w:tblW w:w="1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3"/>
        <w:gridCol w:w="1574"/>
        <w:gridCol w:w="1133"/>
        <w:gridCol w:w="1843"/>
        <w:gridCol w:w="1560"/>
        <w:gridCol w:w="1256"/>
        <w:gridCol w:w="871"/>
        <w:gridCol w:w="989"/>
        <w:gridCol w:w="994"/>
        <w:gridCol w:w="710"/>
        <w:gridCol w:w="3902"/>
      </w:tblGrid>
      <w:tr w:rsidR="00BF03AA" w:rsidRPr="00326E55" w14:paraId="7287959F" w14:textId="77777777">
        <w:trPr>
          <w:cantSplit/>
          <w:trHeight w:val="300"/>
          <w:tblHeader/>
          <w:jc w:val="center"/>
        </w:trPr>
        <w:tc>
          <w:tcPr>
            <w:tcW w:w="1123" w:type="dxa"/>
            <w:vMerge w:val="restart"/>
            <w:shd w:val="clear" w:color="auto" w:fill="BBD2EA"/>
            <w:vAlign w:val="center"/>
          </w:tcPr>
          <w:p w14:paraId="000551F7" w14:textId="77777777" w:rsidR="00BF03AA" w:rsidRPr="00326E55" w:rsidRDefault="00FB452D">
            <w:pPr>
              <w:pStyle w:val="Other10"/>
              <w:jc w:val="center"/>
              <w:rPr>
                <w:rFonts w:ascii="Times New Roman" w:hAnsi="Times New Roman" w:cs="Arial"/>
                <w:noProof/>
                <w:spacing w:val="-6"/>
                <w:sz w:val="20"/>
                <w:szCs w:val="20"/>
                <w:lang w:val="sk-SK"/>
              </w:rPr>
            </w:pPr>
            <w:bookmarkStart w:id="18" w:name="_Hlk132960760"/>
            <w:r w:rsidRPr="00326E55">
              <w:rPr>
                <w:rStyle w:val="Other1"/>
                <w:rFonts w:ascii="Times New Roman" w:hAnsi="Times New Roman" w:cs="Arial"/>
                <w:b/>
                <w:noProof/>
                <w:color w:val="000000" w:themeColor="text1"/>
                <w:spacing w:val="-6"/>
                <w:sz w:val="20"/>
                <w:szCs w:val="20"/>
                <w:lang w:val="sk-SK"/>
              </w:rPr>
              <w:t>Poradové</w:t>
            </w:r>
            <w:r w:rsidRPr="00326E55">
              <w:rPr>
                <w:rStyle w:val="Other1"/>
                <w:rFonts w:ascii="Times New Roman" w:hAnsi="Times New Roman" w:cs="Arial"/>
                <w:b/>
                <w:noProof/>
                <w:color w:val="000000" w:themeColor="text1"/>
                <w:spacing w:val="-6"/>
                <w:sz w:val="20"/>
                <w:szCs w:val="20"/>
                <w:lang w:val="sk-SK"/>
              </w:rPr>
              <w:t xml:space="preserve"> číslo</w:t>
            </w:r>
          </w:p>
        </w:tc>
        <w:tc>
          <w:tcPr>
            <w:tcW w:w="1574" w:type="dxa"/>
            <w:vMerge w:val="restart"/>
            <w:shd w:val="clear" w:color="auto" w:fill="BBD2EA"/>
            <w:vAlign w:val="center"/>
          </w:tcPr>
          <w:p w14:paraId="67262ED8"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Súvisiace</w:t>
            </w:r>
          </w:p>
          <w:p w14:paraId="3EE00490"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Opatrenie (reforma alebo investícia)</w:t>
            </w:r>
          </w:p>
        </w:tc>
        <w:tc>
          <w:tcPr>
            <w:tcW w:w="1133" w:type="dxa"/>
            <w:vMerge w:val="restart"/>
            <w:shd w:val="clear" w:color="auto" w:fill="BBD2EA"/>
            <w:vAlign w:val="center"/>
          </w:tcPr>
          <w:p w14:paraId="331BE5D3"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Míľnik/cieľ</w:t>
            </w:r>
          </w:p>
        </w:tc>
        <w:tc>
          <w:tcPr>
            <w:tcW w:w="1843" w:type="dxa"/>
            <w:vMerge w:val="restart"/>
            <w:shd w:val="clear" w:color="auto" w:fill="BBD2EA"/>
            <w:vAlign w:val="center"/>
          </w:tcPr>
          <w:p w14:paraId="504C9D81"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Názov</w:t>
            </w:r>
          </w:p>
        </w:tc>
        <w:tc>
          <w:tcPr>
            <w:tcW w:w="1560" w:type="dxa"/>
            <w:vMerge w:val="restart"/>
            <w:shd w:val="clear" w:color="auto" w:fill="BBD2EA"/>
            <w:vAlign w:val="center"/>
          </w:tcPr>
          <w:p w14:paraId="26432D24"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Kvalitatívne ukazovatele (pre míľniky)</w:t>
            </w:r>
          </w:p>
        </w:tc>
        <w:tc>
          <w:tcPr>
            <w:tcW w:w="3116" w:type="dxa"/>
            <w:gridSpan w:val="3"/>
            <w:shd w:val="clear" w:color="auto" w:fill="BBD2EA"/>
            <w:vAlign w:val="center"/>
          </w:tcPr>
          <w:p w14:paraId="7A27784B"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Kvantitatívne ukazovatele (pre ciele)</w:t>
            </w:r>
          </w:p>
        </w:tc>
        <w:tc>
          <w:tcPr>
            <w:tcW w:w="1704" w:type="dxa"/>
            <w:gridSpan w:val="2"/>
            <w:shd w:val="clear" w:color="auto" w:fill="BBD2EA"/>
            <w:vAlign w:val="center"/>
          </w:tcPr>
          <w:p w14:paraId="573EDA9E"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Orientačný harmonogram dokončenia</w:t>
            </w:r>
          </w:p>
        </w:tc>
        <w:tc>
          <w:tcPr>
            <w:tcW w:w="3902" w:type="dxa"/>
            <w:vMerge w:val="restart"/>
            <w:shd w:val="clear" w:color="auto" w:fill="BBD2EA"/>
            <w:vAlign w:val="center"/>
          </w:tcPr>
          <w:p w14:paraId="2155C587" w14:textId="19FDBC06" w:rsidR="00BF03AA" w:rsidRPr="00326E55" w:rsidRDefault="00FB452D">
            <w:pPr>
              <w:pStyle w:val="Other10"/>
              <w:ind w:firstLine="22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Opis každého míľnika</w:t>
            </w:r>
            <w:r w:rsidR="00326E55" w:rsidRPr="00326E55">
              <w:rPr>
                <w:rStyle w:val="Other1"/>
                <w:rFonts w:ascii="Times New Roman" w:hAnsi="Times New Roman" w:cs="Arial"/>
                <w:b/>
                <w:noProof/>
                <w:color w:val="000000" w:themeColor="text1"/>
                <w:spacing w:val="-6"/>
                <w:sz w:val="20"/>
                <w:szCs w:val="20"/>
                <w:lang w:val="sk-SK"/>
              </w:rPr>
              <w:t xml:space="preserve"> a </w:t>
            </w:r>
            <w:r w:rsidRPr="00326E55">
              <w:rPr>
                <w:rStyle w:val="Other1"/>
                <w:rFonts w:ascii="Times New Roman" w:hAnsi="Times New Roman" w:cs="Arial"/>
                <w:b/>
                <w:noProof/>
                <w:color w:val="000000" w:themeColor="text1"/>
                <w:spacing w:val="-6"/>
                <w:sz w:val="20"/>
                <w:szCs w:val="20"/>
                <w:lang w:val="sk-SK"/>
              </w:rPr>
              <w:t>cieľa</w:t>
            </w:r>
          </w:p>
        </w:tc>
      </w:tr>
      <w:tr w:rsidR="00BF03AA" w:rsidRPr="00326E55" w14:paraId="22ACB0E6" w14:textId="77777777">
        <w:trPr>
          <w:cantSplit/>
          <w:trHeight w:val="300"/>
          <w:tblHeader/>
          <w:jc w:val="center"/>
        </w:trPr>
        <w:tc>
          <w:tcPr>
            <w:tcW w:w="1123" w:type="dxa"/>
            <w:vMerge/>
            <w:vAlign w:val="center"/>
          </w:tcPr>
          <w:p w14:paraId="5683DCD6" w14:textId="77777777" w:rsidR="00BF03AA" w:rsidRPr="00326E55" w:rsidRDefault="00BF03AA">
            <w:pPr>
              <w:jc w:val="center"/>
              <w:rPr>
                <w:rFonts w:ascii="Times New Roman" w:hAnsi="Times New Roman" w:cs="Arial"/>
                <w:noProof/>
                <w:spacing w:val="-6"/>
                <w:sz w:val="20"/>
                <w:szCs w:val="20"/>
                <w:lang w:val="sk-SK"/>
              </w:rPr>
            </w:pPr>
          </w:p>
        </w:tc>
        <w:tc>
          <w:tcPr>
            <w:tcW w:w="1574" w:type="dxa"/>
            <w:vMerge/>
            <w:vAlign w:val="center"/>
          </w:tcPr>
          <w:p w14:paraId="1BBBE31F" w14:textId="77777777" w:rsidR="00BF03AA" w:rsidRPr="00326E55" w:rsidRDefault="00BF03AA">
            <w:pPr>
              <w:jc w:val="center"/>
              <w:rPr>
                <w:rFonts w:ascii="Times New Roman" w:hAnsi="Times New Roman" w:cs="Arial"/>
                <w:noProof/>
                <w:spacing w:val="-6"/>
                <w:sz w:val="20"/>
                <w:szCs w:val="20"/>
                <w:lang w:val="sk-SK"/>
              </w:rPr>
            </w:pPr>
          </w:p>
        </w:tc>
        <w:tc>
          <w:tcPr>
            <w:tcW w:w="1133" w:type="dxa"/>
            <w:vMerge/>
            <w:vAlign w:val="center"/>
          </w:tcPr>
          <w:p w14:paraId="1204ECE3" w14:textId="77777777" w:rsidR="00BF03AA" w:rsidRPr="00326E55" w:rsidRDefault="00BF03AA">
            <w:pPr>
              <w:jc w:val="center"/>
              <w:rPr>
                <w:rFonts w:ascii="Times New Roman" w:hAnsi="Times New Roman" w:cs="Arial"/>
                <w:noProof/>
                <w:spacing w:val="-6"/>
                <w:sz w:val="20"/>
                <w:szCs w:val="20"/>
                <w:lang w:val="sk-SK"/>
              </w:rPr>
            </w:pPr>
          </w:p>
        </w:tc>
        <w:tc>
          <w:tcPr>
            <w:tcW w:w="1843" w:type="dxa"/>
            <w:vMerge/>
            <w:vAlign w:val="center"/>
          </w:tcPr>
          <w:p w14:paraId="62008506" w14:textId="77777777" w:rsidR="00BF03AA" w:rsidRPr="00326E55" w:rsidRDefault="00BF03AA">
            <w:pPr>
              <w:jc w:val="center"/>
              <w:rPr>
                <w:rFonts w:ascii="Times New Roman" w:hAnsi="Times New Roman" w:cs="Arial"/>
                <w:noProof/>
                <w:spacing w:val="-6"/>
                <w:sz w:val="20"/>
                <w:szCs w:val="20"/>
                <w:lang w:val="sk-SK"/>
              </w:rPr>
            </w:pPr>
          </w:p>
        </w:tc>
        <w:tc>
          <w:tcPr>
            <w:tcW w:w="1560" w:type="dxa"/>
            <w:vMerge/>
            <w:vAlign w:val="center"/>
          </w:tcPr>
          <w:p w14:paraId="48FC18BC" w14:textId="77777777" w:rsidR="00BF03AA" w:rsidRPr="00326E55" w:rsidRDefault="00BF03AA">
            <w:pPr>
              <w:jc w:val="center"/>
              <w:rPr>
                <w:rFonts w:ascii="Times New Roman" w:hAnsi="Times New Roman" w:cs="Arial"/>
                <w:noProof/>
                <w:spacing w:val="-6"/>
                <w:sz w:val="20"/>
                <w:szCs w:val="20"/>
                <w:lang w:val="sk-SK"/>
              </w:rPr>
            </w:pPr>
          </w:p>
        </w:tc>
        <w:tc>
          <w:tcPr>
            <w:tcW w:w="1256" w:type="dxa"/>
            <w:shd w:val="clear" w:color="auto" w:fill="BBD2EA"/>
            <w:vAlign w:val="center"/>
          </w:tcPr>
          <w:p w14:paraId="0A4DD12C"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Merná jednotka</w:t>
            </w:r>
          </w:p>
        </w:tc>
        <w:tc>
          <w:tcPr>
            <w:tcW w:w="871" w:type="dxa"/>
            <w:shd w:val="clear" w:color="auto" w:fill="BBD2EA"/>
            <w:vAlign w:val="center"/>
          </w:tcPr>
          <w:p w14:paraId="665E3589"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Základná</w:t>
            </w:r>
          </w:p>
        </w:tc>
        <w:tc>
          <w:tcPr>
            <w:tcW w:w="989" w:type="dxa"/>
            <w:shd w:val="clear" w:color="auto" w:fill="BBD2EA"/>
            <w:vAlign w:val="center"/>
          </w:tcPr>
          <w:p w14:paraId="4738BD95" w14:textId="77777777" w:rsidR="00BF03AA" w:rsidRPr="00326E55" w:rsidRDefault="00FB452D">
            <w:pPr>
              <w:pStyle w:val="Other10"/>
              <w:ind w:firstLine="28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Cieľ</w:t>
            </w:r>
          </w:p>
        </w:tc>
        <w:tc>
          <w:tcPr>
            <w:tcW w:w="994" w:type="dxa"/>
            <w:shd w:val="clear" w:color="auto" w:fill="BBD2EA"/>
            <w:vAlign w:val="center"/>
          </w:tcPr>
          <w:p w14:paraId="66CDDDC9"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Štvrtina</w:t>
            </w:r>
          </w:p>
        </w:tc>
        <w:tc>
          <w:tcPr>
            <w:tcW w:w="710" w:type="dxa"/>
            <w:shd w:val="clear" w:color="auto" w:fill="BBD2EA"/>
            <w:vAlign w:val="center"/>
          </w:tcPr>
          <w:p w14:paraId="02C24E00"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Rok</w:t>
            </w:r>
          </w:p>
        </w:tc>
        <w:tc>
          <w:tcPr>
            <w:tcW w:w="3902" w:type="dxa"/>
            <w:vMerge/>
            <w:vAlign w:val="center"/>
          </w:tcPr>
          <w:p w14:paraId="733711A4" w14:textId="77777777" w:rsidR="00BF03AA" w:rsidRPr="00326E55" w:rsidRDefault="00BF03AA">
            <w:pPr>
              <w:jc w:val="center"/>
              <w:rPr>
                <w:rFonts w:ascii="Times New Roman" w:hAnsi="Times New Roman" w:cs="Arial"/>
                <w:noProof/>
                <w:spacing w:val="-6"/>
                <w:sz w:val="20"/>
                <w:szCs w:val="20"/>
                <w:lang w:val="sk-SK"/>
              </w:rPr>
            </w:pPr>
          </w:p>
        </w:tc>
      </w:tr>
      <w:tr w:rsidR="00BF03AA" w:rsidRPr="00326E55" w14:paraId="49704447" w14:textId="77777777">
        <w:trPr>
          <w:cantSplit/>
          <w:trHeight w:val="300"/>
          <w:jc w:val="center"/>
        </w:trPr>
        <w:tc>
          <w:tcPr>
            <w:tcW w:w="1123" w:type="dxa"/>
            <w:shd w:val="clear" w:color="auto" w:fill="C6EFCD"/>
            <w:vAlign w:val="center"/>
          </w:tcPr>
          <w:p w14:paraId="560B3CBF" w14:textId="66CA4BAF"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1</w:t>
            </w:r>
          </w:p>
        </w:tc>
        <w:tc>
          <w:tcPr>
            <w:tcW w:w="1574" w:type="dxa"/>
            <w:shd w:val="clear" w:color="auto" w:fill="C6EFCD"/>
            <w:vAlign w:val="center"/>
          </w:tcPr>
          <w:p w14:paraId="08265963" w14:textId="2F51D87B"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2.1 – Posilnenie ekobonusu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energetickej efektívnosti</w:t>
            </w:r>
          </w:p>
        </w:tc>
        <w:tc>
          <w:tcPr>
            <w:tcW w:w="1133" w:type="dxa"/>
            <w:shd w:val="clear" w:color="auto" w:fill="C6EFCD"/>
            <w:vAlign w:val="center"/>
          </w:tcPr>
          <w:p w14:paraId="423FD0F4" w14:textId="4B11DEA0"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Míľnik</w:t>
            </w:r>
          </w:p>
        </w:tc>
        <w:tc>
          <w:tcPr>
            <w:tcW w:w="1843" w:type="dxa"/>
            <w:shd w:val="clear" w:color="auto" w:fill="C6EFCD"/>
            <w:vAlign w:val="center"/>
          </w:tcPr>
          <w:p w14:paraId="253FFE01" w14:textId="07967193"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Nadobudnutie účinnosti rozšírenia Superbonusu</w:t>
            </w:r>
          </w:p>
        </w:tc>
        <w:tc>
          <w:tcPr>
            <w:tcW w:w="1560" w:type="dxa"/>
            <w:shd w:val="clear" w:color="auto" w:fill="C6EFCD"/>
            <w:vAlign w:val="center"/>
          </w:tcPr>
          <w:p w14:paraId="23002C47" w14:textId="396F8C1E"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právnom akte (právnych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w:t>
            </w:r>
          </w:p>
        </w:tc>
        <w:tc>
          <w:tcPr>
            <w:tcW w:w="1256" w:type="dxa"/>
            <w:shd w:val="clear" w:color="auto" w:fill="C6EFCD"/>
            <w:vAlign w:val="center"/>
          </w:tcPr>
          <w:p w14:paraId="58AF774F" w14:textId="7680570D"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71" w:type="dxa"/>
            <w:shd w:val="clear" w:color="auto" w:fill="C6EFCD"/>
            <w:vAlign w:val="center"/>
          </w:tcPr>
          <w:p w14:paraId="5E80F188" w14:textId="34987EB7"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89" w:type="dxa"/>
            <w:shd w:val="clear" w:color="auto" w:fill="C6EFCD"/>
            <w:vAlign w:val="center"/>
          </w:tcPr>
          <w:p w14:paraId="13BED476" w14:textId="59420905"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4" w:type="dxa"/>
            <w:shd w:val="clear" w:color="auto" w:fill="C6EFCD"/>
            <w:vAlign w:val="center"/>
          </w:tcPr>
          <w:p w14:paraId="1AE9757B" w14:textId="5560FD26"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ŠTVRTÝ ŠTVRŤROK</w:t>
            </w:r>
          </w:p>
        </w:tc>
        <w:tc>
          <w:tcPr>
            <w:tcW w:w="710" w:type="dxa"/>
            <w:shd w:val="clear" w:color="auto" w:fill="C6EFCD"/>
            <w:vAlign w:val="center"/>
          </w:tcPr>
          <w:p w14:paraId="094CB585" w14:textId="04DC9012"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2021</w:t>
            </w:r>
          </w:p>
        </w:tc>
        <w:tc>
          <w:tcPr>
            <w:tcW w:w="3902" w:type="dxa"/>
            <w:shd w:val="clear" w:color="auto" w:fill="C6EFCD"/>
          </w:tcPr>
          <w:p w14:paraId="5EDC6DE1" w14:textId="13B7FC75" w:rsidR="00BF03AA" w:rsidRPr="00326E55" w:rsidRDefault="00FB452D">
            <w:pPr>
              <w:pStyle w:val="P68B1DB1-Other1069"/>
              <w:rPr>
                <w:rFonts w:ascii="Times New Roman" w:hAnsi="Times New Roman" w:cs="Arial"/>
                <w:noProof/>
                <w:spacing w:val="-6"/>
                <w:lang w:val="sk-SK"/>
              </w:rPr>
            </w:pPr>
            <w:r w:rsidRPr="00326E55">
              <w:rPr>
                <w:rFonts w:ascii="Times New Roman" w:hAnsi="Times New Roman"/>
                <w:noProof/>
                <w:spacing w:val="-6"/>
                <w:lang w:val="sk-SK"/>
              </w:rPr>
              <w:t>Právnym aktom sa predĺžia dávky Ecobonus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ismabonus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2022</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kondomínií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 30</w:t>
            </w:r>
            <w:r w:rsidR="00326E55" w:rsidRPr="00326E55">
              <w:rPr>
                <w:rFonts w:ascii="Times New Roman" w:hAnsi="Times New Roman"/>
                <w:noProof/>
                <w:spacing w:val="-6"/>
                <w:lang w:val="sk-SK"/>
              </w:rPr>
              <w:t>. júna</w:t>
            </w:r>
            <w:r w:rsidRPr="00326E55">
              <w:rPr>
                <w:rFonts w:ascii="Times New Roman" w:hAnsi="Times New Roman"/>
                <w:noProof/>
                <w:spacing w:val="-6"/>
                <w:lang w:val="sk-SK"/>
              </w:rPr>
              <w:t xml:space="preserve"> 2023</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sociálneho bývania (IACP).</w:t>
            </w:r>
          </w:p>
        </w:tc>
      </w:tr>
      <w:tr w:rsidR="00BF03AA" w:rsidRPr="00326E55" w14:paraId="4B03D9BA" w14:textId="77777777">
        <w:trPr>
          <w:cantSplit/>
          <w:trHeight w:val="300"/>
          <w:jc w:val="center"/>
        </w:trPr>
        <w:tc>
          <w:tcPr>
            <w:tcW w:w="1123" w:type="dxa"/>
            <w:shd w:val="clear" w:color="auto" w:fill="C6EFCD"/>
            <w:vAlign w:val="center"/>
          </w:tcPr>
          <w:p w14:paraId="72F83513" w14:textId="5A3559C1"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2</w:t>
            </w:r>
          </w:p>
        </w:tc>
        <w:tc>
          <w:tcPr>
            <w:tcW w:w="1574" w:type="dxa"/>
            <w:shd w:val="clear" w:color="auto" w:fill="C6EFCD"/>
            <w:vAlign w:val="center"/>
          </w:tcPr>
          <w:p w14:paraId="37191F93" w14:textId="173608F0"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2.1 – Posilnenie ekobonusu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záujme energetickej </w:t>
            </w:r>
            <w:r w:rsidRPr="00326E55">
              <w:rPr>
                <w:rFonts w:ascii="Times New Roman" w:hAnsi="Times New Roman"/>
                <w:noProof/>
                <w:spacing w:val="-6"/>
                <w:lang w:val="sk-SK"/>
              </w:rPr>
              <w:t>efektívnosti</w:t>
            </w:r>
          </w:p>
        </w:tc>
        <w:tc>
          <w:tcPr>
            <w:tcW w:w="1133" w:type="dxa"/>
            <w:shd w:val="clear" w:color="auto" w:fill="C6EFCD"/>
            <w:vAlign w:val="center"/>
          </w:tcPr>
          <w:p w14:paraId="59DD260A" w14:textId="4B8CC4CB"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Cieľ</w:t>
            </w:r>
          </w:p>
        </w:tc>
        <w:tc>
          <w:tcPr>
            <w:tcW w:w="1843" w:type="dxa"/>
            <w:shd w:val="clear" w:color="auto" w:fill="C6EFCD"/>
            <w:vAlign w:val="center"/>
          </w:tcPr>
          <w:p w14:paraId="14092D18" w14:textId="72667D54"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Obnova budov Superbonus T1</w:t>
            </w:r>
          </w:p>
        </w:tc>
        <w:tc>
          <w:tcPr>
            <w:tcW w:w="1560" w:type="dxa"/>
            <w:shd w:val="clear" w:color="auto" w:fill="C6EFCD"/>
            <w:vAlign w:val="center"/>
          </w:tcPr>
          <w:p w14:paraId="3F13B4EE" w14:textId="60E2FAB2"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1256" w:type="dxa"/>
            <w:shd w:val="clear" w:color="auto" w:fill="C6EFCD"/>
            <w:vAlign w:val="center"/>
          </w:tcPr>
          <w:p w14:paraId="7210E5AD" w14:textId="141CE4F2"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Počet</w:t>
            </w:r>
          </w:p>
        </w:tc>
        <w:tc>
          <w:tcPr>
            <w:tcW w:w="871" w:type="dxa"/>
            <w:shd w:val="clear" w:color="auto" w:fill="C6EFCD"/>
            <w:vAlign w:val="center"/>
          </w:tcPr>
          <w:p w14:paraId="0D48082D" w14:textId="04B475AC"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0</w:t>
            </w:r>
          </w:p>
        </w:tc>
        <w:tc>
          <w:tcPr>
            <w:tcW w:w="989" w:type="dxa"/>
            <w:shd w:val="clear" w:color="auto" w:fill="C6EFCD"/>
            <w:vAlign w:val="center"/>
          </w:tcPr>
          <w:p w14:paraId="1F6E503C" w14:textId="3795401B"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17 000 000</w:t>
            </w:r>
          </w:p>
        </w:tc>
        <w:tc>
          <w:tcPr>
            <w:tcW w:w="994" w:type="dxa"/>
            <w:shd w:val="clear" w:color="auto" w:fill="C6EFCD"/>
            <w:vAlign w:val="center"/>
          </w:tcPr>
          <w:p w14:paraId="6608D5E0" w14:textId="65777DEF"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DRUHÝ ŠTVRŤROK</w:t>
            </w:r>
          </w:p>
        </w:tc>
        <w:tc>
          <w:tcPr>
            <w:tcW w:w="710" w:type="dxa"/>
            <w:shd w:val="clear" w:color="auto" w:fill="C6EFCD"/>
            <w:vAlign w:val="center"/>
          </w:tcPr>
          <w:p w14:paraId="7C01E889" w14:textId="34272366"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2023</w:t>
            </w:r>
          </w:p>
        </w:tc>
        <w:tc>
          <w:tcPr>
            <w:tcW w:w="3902" w:type="dxa"/>
            <w:shd w:val="clear" w:color="auto" w:fill="C6EFCD"/>
          </w:tcPr>
          <w:p w14:paraId="7042BAC4" w14:textId="375A0C08" w:rsidR="00BF03AA" w:rsidRPr="00326E55" w:rsidRDefault="00FB452D">
            <w:pPr>
              <w:pStyle w:val="P68B1DB1-Other1069"/>
              <w:rPr>
                <w:rFonts w:ascii="Times New Roman" w:hAnsi="Times New Roman" w:cs="Arial"/>
                <w:noProof/>
                <w:spacing w:val="-6"/>
                <w:lang w:val="sk-SK"/>
              </w:rPr>
            </w:pPr>
            <w:r w:rsidRPr="00326E55">
              <w:rPr>
                <w:rFonts w:ascii="Times New Roman" w:hAnsi="Times New Roman"/>
                <w:noProof/>
                <w:spacing w:val="-6"/>
                <w:lang w:val="sk-SK"/>
              </w:rPr>
              <w:t>Úplná obnova budov (aspoň 17000000 metrov štvorcových, čo vedie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úsporám primárnej energie aspoň 40</w:t>
            </w:r>
            <w:r w:rsidR="00326E55" w:rsidRPr="00326E55">
              <w:rPr>
                <w:rFonts w:ascii="Times New Roman" w:hAnsi="Times New Roman"/>
                <w:noProof/>
                <w:spacing w:val="-6"/>
                <w:lang w:val="sk-SK"/>
              </w:rPr>
              <w:t> % a k </w:t>
            </w:r>
            <w:r w:rsidRPr="00326E55">
              <w:rPr>
                <w:rFonts w:ascii="Times New Roman" w:hAnsi="Times New Roman"/>
                <w:noProof/>
                <w:spacing w:val="-6"/>
                <w:lang w:val="sk-SK"/>
              </w:rPr>
              <w:t>zvýšeniu aspoň dvoch kategórií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osvedčení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energetickej efektívnosti.</w:t>
            </w:r>
          </w:p>
        </w:tc>
      </w:tr>
      <w:tr w:rsidR="00BF03AA" w:rsidRPr="00326E55" w14:paraId="60FA6456" w14:textId="77777777">
        <w:trPr>
          <w:cantSplit/>
          <w:trHeight w:val="300"/>
          <w:jc w:val="center"/>
        </w:trPr>
        <w:tc>
          <w:tcPr>
            <w:tcW w:w="1123" w:type="dxa"/>
            <w:shd w:val="clear" w:color="auto" w:fill="C6EFCD"/>
            <w:vAlign w:val="center"/>
          </w:tcPr>
          <w:p w14:paraId="6DC49D64" w14:textId="25F6B46A"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3</w:t>
            </w:r>
          </w:p>
        </w:tc>
        <w:tc>
          <w:tcPr>
            <w:tcW w:w="1574" w:type="dxa"/>
            <w:shd w:val="clear" w:color="auto" w:fill="C6EFCD"/>
            <w:vAlign w:val="center"/>
          </w:tcPr>
          <w:p w14:paraId="2AD709F4" w14:textId="55776278"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2.1 – Posilnenie ekobonusu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energetickej efektívnosti</w:t>
            </w:r>
          </w:p>
        </w:tc>
        <w:tc>
          <w:tcPr>
            <w:tcW w:w="1133" w:type="dxa"/>
            <w:shd w:val="clear" w:color="auto" w:fill="C6EFCD"/>
            <w:vAlign w:val="center"/>
          </w:tcPr>
          <w:p w14:paraId="16A59C9A" w14:textId="71949B58"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Cieľ</w:t>
            </w:r>
          </w:p>
        </w:tc>
        <w:tc>
          <w:tcPr>
            <w:tcW w:w="1843" w:type="dxa"/>
            <w:shd w:val="clear" w:color="auto" w:fill="C6EFCD"/>
            <w:vAlign w:val="center"/>
          </w:tcPr>
          <w:p w14:paraId="6A7573F1" w14:textId="6D187128"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Obnova budov Superbonus T2</w:t>
            </w:r>
          </w:p>
        </w:tc>
        <w:tc>
          <w:tcPr>
            <w:tcW w:w="1560" w:type="dxa"/>
            <w:shd w:val="clear" w:color="auto" w:fill="C6EFCD"/>
            <w:vAlign w:val="center"/>
          </w:tcPr>
          <w:p w14:paraId="36EDE700" w14:textId="5DBA04D7"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1256" w:type="dxa"/>
            <w:shd w:val="clear" w:color="auto" w:fill="C6EFCD"/>
            <w:vAlign w:val="center"/>
          </w:tcPr>
          <w:p w14:paraId="5FC3CDE7" w14:textId="3387E2B2"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Počet</w:t>
            </w:r>
          </w:p>
        </w:tc>
        <w:tc>
          <w:tcPr>
            <w:tcW w:w="871" w:type="dxa"/>
            <w:shd w:val="clear" w:color="auto" w:fill="C6EFCD"/>
            <w:vAlign w:val="center"/>
          </w:tcPr>
          <w:p w14:paraId="75BF0E20" w14:textId="2C79906E"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17 000 000</w:t>
            </w:r>
          </w:p>
        </w:tc>
        <w:tc>
          <w:tcPr>
            <w:tcW w:w="989" w:type="dxa"/>
            <w:shd w:val="clear" w:color="auto" w:fill="C6EFCD"/>
            <w:vAlign w:val="center"/>
          </w:tcPr>
          <w:p w14:paraId="3D8DE174" w14:textId="0EF9BFA0"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35 800 000</w:t>
            </w:r>
          </w:p>
        </w:tc>
        <w:tc>
          <w:tcPr>
            <w:tcW w:w="994" w:type="dxa"/>
            <w:shd w:val="clear" w:color="auto" w:fill="C6EFCD"/>
            <w:vAlign w:val="center"/>
          </w:tcPr>
          <w:p w14:paraId="070EF47D" w14:textId="16EF7171"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ŠTVRTÝ ŠTVRŤROK</w:t>
            </w:r>
          </w:p>
        </w:tc>
        <w:tc>
          <w:tcPr>
            <w:tcW w:w="710" w:type="dxa"/>
            <w:shd w:val="clear" w:color="auto" w:fill="C6EFCD"/>
            <w:vAlign w:val="center"/>
          </w:tcPr>
          <w:p w14:paraId="63C60E9D" w14:textId="7ADFAE06"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2025</w:t>
            </w:r>
          </w:p>
        </w:tc>
        <w:tc>
          <w:tcPr>
            <w:tcW w:w="3902" w:type="dxa"/>
            <w:shd w:val="clear" w:color="auto" w:fill="C6EFCD"/>
          </w:tcPr>
          <w:p w14:paraId="4200FB40" w14:textId="686A86C4" w:rsidR="00326E55" w:rsidRPr="00326E55" w:rsidRDefault="00FB452D">
            <w:pPr>
              <w:pStyle w:val="P68B1DB1-Other1069"/>
              <w:rPr>
                <w:rFonts w:ascii="Times New Roman" w:hAnsi="Times New Roman"/>
                <w:noProof/>
                <w:spacing w:val="-6"/>
                <w:lang w:val="sk-SK"/>
              </w:rPr>
            </w:pPr>
            <w:r w:rsidRPr="00326E55">
              <w:rPr>
                <w:rFonts w:ascii="Times New Roman" w:hAnsi="Times New Roman"/>
                <w:noProof/>
                <w:spacing w:val="-6"/>
                <w:lang w:val="sk-SK"/>
              </w:rPr>
              <w:t xml:space="preserve">Vydávajú sa osvedčenia („asseverazioni“) potvrdzujúce </w:t>
            </w:r>
            <w:r w:rsidRPr="00326E55">
              <w:rPr>
                <w:rFonts w:ascii="Times New Roman" w:hAnsi="Times New Roman"/>
                <w:noProof/>
                <w:spacing w:val="-6"/>
                <w:lang w:val="sk-SK"/>
              </w:rPr>
              <w:t>obnovu budov na najmenej 35800000 metrov štvorcových, ktorej výsledkom sú úspory primárnej energie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40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zvyšujúce sa aspoň dve kategórie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osvedčení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energetickej efektívnosti (energetická certifikácia podľa vymedzenia vo vyhláške 63/2013)</w:t>
            </w:r>
            <w:r w:rsidR="00326E55" w:rsidRPr="00326E55">
              <w:rPr>
                <w:rFonts w:ascii="Times New Roman" w:hAnsi="Times New Roman"/>
                <w:noProof/>
                <w:spacing w:val="-6"/>
                <w:lang w:val="sk-SK"/>
              </w:rPr>
              <w:t>.</w:t>
            </w:r>
          </w:p>
          <w:p w14:paraId="390CA5D6" w14:textId="38737FF7" w:rsidR="00BF03AA" w:rsidRPr="00326E55" w:rsidRDefault="00BF03AA">
            <w:pPr>
              <w:pStyle w:val="Other10"/>
              <w:rPr>
                <w:rFonts w:ascii="Times New Roman" w:hAnsi="Times New Roman"/>
                <w:noProof/>
                <w:spacing w:val="-6"/>
                <w:sz w:val="20"/>
                <w:szCs w:val="20"/>
                <w:lang w:val="sk-SK"/>
              </w:rPr>
            </w:pPr>
          </w:p>
          <w:p w14:paraId="7FED8816" w14:textId="5A9449D6" w:rsidR="00BF03AA" w:rsidRPr="00326E55" w:rsidRDefault="00FB452D">
            <w:pPr>
              <w:pStyle w:val="P68B1DB1-Other1069"/>
              <w:rPr>
                <w:rFonts w:ascii="Times New Roman" w:hAnsi="Times New Roman"/>
                <w:noProof/>
                <w:spacing w:val="-6"/>
                <w:lang w:val="sk-SK"/>
              </w:rPr>
            </w:pPr>
            <w:r w:rsidRPr="00326E55">
              <w:rPr>
                <w:rFonts w:ascii="Times New Roman" w:hAnsi="Times New Roman"/>
                <w:noProof/>
                <w:spacing w:val="-6"/>
                <w:lang w:val="sk-SK"/>
              </w:rPr>
              <w:t xml:space="preserve">V </w:t>
            </w:r>
            <w:r w:rsidRPr="00326E55">
              <w:rPr>
                <w:rFonts w:ascii="Times New Roman" w:hAnsi="Times New Roman"/>
                <w:noProof/>
                <w:spacing w:val="-6"/>
                <w:lang w:val="sk-SK"/>
              </w:rPr>
              <w:t>prípadoch, keď sú plynové kondenzačné kotly nainštalované ako zvolená náhrada existujúcich neefektívnych kotlov na plyn, uhlie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naftu, musia mať výkon A. Náklady na inštaláciu plynových kondenzačných kotlov predstavujú najviac 20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p</w:t>
            </w:r>
            <w:r w:rsidRPr="00326E55">
              <w:rPr>
                <w:rFonts w:ascii="Times New Roman" w:hAnsi="Times New Roman"/>
                <w:noProof/>
                <w:spacing w:val="-6"/>
                <w:lang w:val="sk-SK"/>
              </w:rPr>
              <w:t>rogram obnovy.</w:t>
            </w:r>
          </w:p>
          <w:p w14:paraId="259C7274" w14:textId="77777777" w:rsidR="00BF03AA" w:rsidRPr="00326E55" w:rsidRDefault="00BF03AA">
            <w:pPr>
              <w:pStyle w:val="Other10"/>
              <w:rPr>
                <w:rFonts w:ascii="Times New Roman" w:hAnsi="Times New Roman"/>
                <w:noProof/>
                <w:spacing w:val="-6"/>
                <w:sz w:val="20"/>
                <w:szCs w:val="20"/>
                <w:lang w:val="sk-SK"/>
              </w:rPr>
            </w:pPr>
          </w:p>
          <w:p w14:paraId="402B8782" w14:textId="0A046722" w:rsidR="00BF03AA" w:rsidRPr="00326E55" w:rsidRDefault="00FB452D">
            <w:pPr>
              <w:pStyle w:val="P68B1DB1-Other1069"/>
              <w:rPr>
                <w:rStyle w:val="Other1"/>
                <w:rFonts w:ascii="Times New Roman" w:hAnsi="Times New Roman" w:cs="Arial"/>
                <w:noProof/>
                <w:spacing w:val="-6"/>
                <w:lang w:val="sk-SK"/>
              </w:rPr>
            </w:pPr>
            <w:r w:rsidRPr="00326E55">
              <w:rPr>
                <w:rFonts w:ascii="Times New Roman" w:hAnsi="Times New Roman"/>
                <w:noProof/>
                <w:spacing w:val="-6"/>
                <w:lang w:val="sk-SK"/>
              </w:rPr>
              <w:t>Celková odhadovaná úspora energie dosiahnutá intervenciami predstavuje najmenej 191 Ktoe.</w:t>
            </w:r>
          </w:p>
        </w:tc>
      </w:tr>
      <w:tr w:rsidR="00BF03AA" w:rsidRPr="00326E55" w14:paraId="764FDB8A" w14:textId="77777777">
        <w:trPr>
          <w:cantSplit/>
          <w:trHeight w:val="300"/>
          <w:jc w:val="center"/>
        </w:trPr>
        <w:tc>
          <w:tcPr>
            <w:tcW w:w="1123" w:type="dxa"/>
            <w:shd w:val="clear" w:color="auto" w:fill="C6EFCD"/>
            <w:vAlign w:val="center"/>
          </w:tcPr>
          <w:p w14:paraId="00E8167B" w14:textId="149B8798"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4</w:t>
            </w:r>
          </w:p>
        </w:tc>
        <w:tc>
          <w:tcPr>
            <w:tcW w:w="1574" w:type="dxa"/>
            <w:shd w:val="clear" w:color="auto" w:fill="C6EFCD"/>
            <w:vAlign w:val="center"/>
          </w:tcPr>
          <w:p w14:paraId="62B31AFD" w14:textId="7FA54A9D"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Reforma 1.1: Zjednodušenie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urýchlenie postupov pre 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energetickej efektívnosti</w:t>
            </w:r>
          </w:p>
        </w:tc>
        <w:tc>
          <w:tcPr>
            <w:tcW w:w="1133" w:type="dxa"/>
            <w:shd w:val="clear" w:color="auto" w:fill="C6EFCD"/>
            <w:vAlign w:val="center"/>
          </w:tcPr>
          <w:p w14:paraId="0C1F3F7F" w14:textId="76B4FAE6"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Míľnik</w:t>
            </w:r>
          </w:p>
        </w:tc>
        <w:tc>
          <w:tcPr>
            <w:tcW w:w="1843" w:type="dxa"/>
            <w:shd w:val="clear" w:color="auto" w:fill="C6EFCD"/>
            <w:vAlign w:val="center"/>
          </w:tcPr>
          <w:p w14:paraId="25D39313" w14:textId="57D151DF"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Zjednodušenie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urýchlenie </w:t>
            </w:r>
            <w:r w:rsidRPr="00326E55">
              <w:rPr>
                <w:rFonts w:ascii="Times New Roman" w:hAnsi="Times New Roman"/>
                <w:noProof/>
                <w:spacing w:val="-6"/>
                <w:lang w:val="sk-SK"/>
              </w:rPr>
              <w:t>postupov pre 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energetickej efektívnosti</w:t>
            </w:r>
          </w:p>
        </w:tc>
        <w:tc>
          <w:tcPr>
            <w:tcW w:w="1560" w:type="dxa"/>
            <w:shd w:val="clear" w:color="auto" w:fill="C6EFCD"/>
            <w:vAlign w:val="center"/>
          </w:tcPr>
          <w:p w14:paraId="40BE12A0" w14:textId="0419CE0B"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právnom akte (právnych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w:t>
            </w:r>
          </w:p>
        </w:tc>
        <w:tc>
          <w:tcPr>
            <w:tcW w:w="1256" w:type="dxa"/>
            <w:shd w:val="clear" w:color="auto" w:fill="C6EFCD"/>
            <w:vAlign w:val="center"/>
          </w:tcPr>
          <w:p w14:paraId="56DD4BFB" w14:textId="1250DF31"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71" w:type="dxa"/>
            <w:shd w:val="clear" w:color="auto" w:fill="C6EFCD"/>
            <w:vAlign w:val="center"/>
          </w:tcPr>
          <w:p w14:paraId="02B8BD72" w14:textId="438F27E7"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89" w:type="dxa"/>
            <w:shd w:val="clear" w:color="auto" w:fill="C6EFCD"/>
            <w:vAlign w:val="center"/>
          </w:tcPr>
          <w:p w14:paraId="0448690D" w14:textId="65FA9F3C"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4" w:type="dxa"/>
            <w:shd w:val="clear" w:color="auto" w:fill="C6EFCD"/>
            <w:vAlign w:val="center"/>
          </w:tcPr>
          <w:p w14:paraId="68F2D8C3" w14:textId="5ABBA43A"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DRUHÝ ŠTVRŤROK</w:t>
            </w:r>
          </w:p>
        </w:tc>
        <w:tc>
          <w:tcPr>
            <w:tcW w:w="710" w:type="dxa"/>
            <w:shd w:val="clear" w:color="auto" w:fill="C6EFCD"/>
            <w:vAlign w:val="center"/>
          </w:tcPr>
          <w:p w14:paraId="477294C9" w14:textId="6B982055"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2022</w:t>
            </w:r>
          </w:p>
        </w:tc>
        <w:tc>
          <w:tcPr>
            <w:tcW w:w="3902" w:type="dxa"/>
            <w:shd w:val="clear" w:color="auto" w:fill="C6EFCD"/>
          </w:tcPr>
          <w:p w14:paraId="781EA6CF" w14:textId="465368B0" w:rsidR="00BF03AA" w:rsidRPr="00326E55" w:rsidRDefault="00FB452D">
            <w:pPr>
              <w:pStyle w:val="P68B1DB1-Other1069"/>
              <w:rPr>
                <w:rFonts w:ascii="Times New Roman" w:hAnsi="Times New Roman"/>
                <w:noProof/>
                <w:spacing w:val="-6"/>
                <w:lang w:val="sk-SK"/>
              </w:rPr>
            </w:pPr>
            <w:r w:rsidRPr="00326E55">
              <w:rPr>
                <w:rFonts w:ascii="Times New Roman" w:hAnsi="Times New Roman"/>
                <w:noProof/>
                <w:spacing w:val="-6"/>
                <w:lang w:val="sk-SK"/>
              </w:rPr>
              <w:t>Právnym aktom (právnymi aktmi) sa zjednodušia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urýchlia </w:t>
            </w:r>
            <w:r w:rsidRPr="00326E55">
              <w:rPr>
                <w:rFonts w:ascii="Times New Roman" w:hAnsi="Times New Roman"/>
                <w:noProof/>
                <w:spacing w:val="-6"/>
                <w:lang w:val="sk-SK"/>
              </w:rPr>
              <w:t>postupy pre zásahy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energetickej efektívnosti:</w:t>
            </w:r>
          </w:p>
          <w:p w14:paraId="4E455EDA" w14:textId="77777777" w:rsidR="00BF03AA" w:rsidRPr="00326E55" w:rsidRDefault="00BF03AA">
            <w:pPr>
              <w:pStyle w:val="Other10"/>
              <w:rPr>
                <w:rFonts w:ascii="Times New Roman" w:hAnsi="Times New Roman"/>
                <w:noProof/>
                <w:spacing w:val="-6"/>
                <w:sz w:val="20"/>
                <w:szCs w:val="20"/>
                <w:lang w:val="sk-SK"/>
              </w:rPr>
            </w:pPr>
          </w:p>
          <w:p w14:paraId="5654BBBE" w14:textId="77777777" w:rsidR="00BF03AA" w:rsidRPr="00326E55" w:rsidRDefault="00FB452D">
            <w:pPr>
              <w:pStyle w:val="P68B1DB1-ListParagraph13"/>
              <w:numPr>
                <w:ilvl w:val="0"/>
                <w:numId w:val="31"/>
              </w:numPr>
              <w:spacing w:before="120" w:after="120" w:line="276" w:lineRule="auto"/>
              <w:rPr>
                <w:rFonts w:ascii="Times New Roman" w:hAnsi="Times New Roman"/>
                <w:noProof/>
                <w:spacing w:val="-6"/>
                <w:lang w:val="sk-SK"/>
              </w:rPr>
            </w:pPr>
            <w:r w:rsidRPr="00326E55">
              <w:rPr>
                <w:rFonts w:ascii="Times New Roman" w:hAnsi="Times New Roman"/>
                <w:noProof/>
                <w:spacing w:val="-6"/>
                <w:lang w:val="sk-SK"/>
              </w:rPr>
              <w:t>Spustenie vnútroštátneho portálu pre energetickú hospodárnosť budov</w:t>
            </w:r>
          </w:p>
          <w:p w14:paraId="0BB34D1B" w14:textId="2C369736" w:rsidR="00BF03AA" w:rsidRPr="00326E55" w:rsidRDefault="00FB452D">
            <w:pPr>
              <w:pStyle w:val="P68B1DB1-ListParagraph13"/>
              <w:numPr>
                <w:ilvl w:val="0"/>
                <w:numId w:val="31"/>
              </w:numPr>
              <w:spacing w:before="120" w:after="120" w:line="276" w:lineRule="auto"/>
              <w:rPr>
                <w:rFonts w:ascii="Times New Roman" w:hAnsi="Times New Roman"/>
                <w:noProof/>
                <w:spacing w:val="-6"/>
                <w:lang w:val="sk-SK"/>
              </w:rPr>
            </w:pPr>
            <w:r w:rsidRPr="00326E55">
              <w:rPr>
                <w:rFonts w:ascii="Times New Roman" w:hAnsi="Times New Roman"/>
                <w:noProof/>
                <w:spacing w:val="-6"/>
                <w:lang w:val="sk-SK"/>
              </w:rPr>
              <w:t>Posilnenie činností plánu informovania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odbornej prípravy zameraného na civilný sektor</w:t>
            </w:r>
          </w:p>
          <w:p w14:paraId="3734E5CA" w14:textId="37C3D99D" w:rsidR="00BF03AA" w:rsidRPr="00326E55" w:rsidRDefault="00FB452D">
            <w:pPr>
              <w:pStyle w:val="P68B1DB1-ListParagraph13"/>
              <w:numPr>
                <w:ilvl w:val="0"/>
                <w:numId w:val="31"/>
              </w:numPr>
              <w:spacing w:before="120" w:after="120" w:line="276" w:lineRule="auto"/>
              <w:rPr>
                <w:rFonts w:ascii="Times New Roman" w:hAnsi="Times New Roman"/>
                <w:noProof/>
                <w:spacing w:val="-6"/>
                <w:lang w:val="sk-SK"/>
              </w:rPr>
            </w:pPr>
            <w:r w:rsidRPr="00326E55">
              <w:rPr>
                <w:rFonts w:ascii="Times New Roman" w:hAnsi="Times New Roman"/>
                <w:noProof/>
                <w:spacing w:val="-6"/>
                <w:lang w:val="sk-SK"/>
              </w:rPr>
              <w:t>Aktualizácia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posilnenie Národného fondu </w:t>
            </w:r>
            <w:r w:rsidRPr="00326E55">
              <w:rPr>
                <w:rFonts w:ascii="Times New Roman" w:hAnsi="Times New Roman"/>
                <w:noProof/>
                <w:spacing w:val="-6"/>
                <w:lang w:val="sk-SK"/>
              </w:rPr>
              <w:t>pre energetickú účinnosť</w:t>
            </w:r>
          </w:p>
          <w:p w14:paraId="11C2B96A" w14:textId="7BFEDBD6" w:rsidR="00BF03AA" w:rsidRPr="00326E55" w:rsidRDefault="00FB452D">
            <w:pPr>
              <w:pStyle w:val="P68B1DB1-ListParagraph13"/>
              <w:numPr>
                <w:ilvl w:val="0"/>
                <w:numId w:val="31"/>
              </w:numPr>
              <w:spacing w:before="120" w:after="120" w:line="276" w:lineRule="auto"/>
              <w:rPr>
                <w:rFonts w:ascii="Times New Roman" w:hAnsi="Times New Roman" w:cs="Arial"/>
                <w:noProof/>
                <w:spacing w:val="-6"/>
                <w:lang w:val="sk-SK"/>
              </w:rPr>
            </w:pPr>
            <w:r w:rsidRPr="00326E55">
              <w:rPr>
                <w:rFonts w:ascii="Times New Roman" w:hAnsi="Times New Roman"/>
                <w:noProof/>
                <w:spacing w:val="-6"/>
                <w:lang w:val="sk-SK"/>
              </w:rPr>
              <w:t>Urýchlenie realizačnej fázy projektov financovaných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programu PREPAC</w:t>
            </w:r>
          </w:p>
        </w:tc>
      </w:tr>
      <w:bookmarkEnd w:id="18"/>
    </w:tbl>
    <w:p w14:paraId="2ABFE4DB" w14:textId="77777777" w:rsidR="00BF03AA" w:rsidRPr="00326E55" w:rsidRDefault="00BF03AA">
      <w:pPr>
        <w:spacing w:before="120" w:after="120"/>
        <w:ind w:left="709"/>
        <w:jc w:val="both"/>
        <w:rPr>
          <w:rFonts w:ascii="Times New Roman" w:hAnsi="Times New Roman"/>
          <w:noProof/>
          <w:spacing w:val="-6"/>
          <w:lang w:val="sk-SK"/>
        </w:rPr>
      </w:pPr>
    </w:p>
    <w:p w14:paraId="7198DB20"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even" r:id="rId102"/>
          <w:headerReference w:type="default" r:id="rId103"/>
          <w:footerReference w:type="even" r:id="rId104"/>
          <w:footerReference w:type="default" r:id="rId105"/>
          <w:headerReference w:type="first" r:id="rId106"/>
          <w:footerReference w:type="first" r:id="rId107"/>
          <w:pgSz w:w="16839" w:h="11907" w:orient="landscape"/>
          <w:pgMar w:top="1134" w:right="1134" w:bottom="1134" w:left="1134" w:header="567" w:footer="567" w:gutter="0"/>
          <w:cols w:space="720"/>
          <w:docGrid w:linePitch="360"/>
        </w:sectPr>
      </w:pPr>
    </w:p>
    <w:p w14:paraId="2061536E" w14:textId="77777777" w:rsidR="00326E55" w:rsidRPr="00326E55" w:rsidRDefault="00FB452D">
      <w:pPr>
        <w:pStyle w:val="P68B1DB1-Heading39"/>
        <w:ind w:left="850" w:hanging="850"/>
        <w:rPr>
          <w:b/>
          <w:noProof/>
          <w:spacing w:val="-6"/>
          <w:u w:val="single"/>
          <w:lang w:val="sk-SK"/>
        </w:rPr>
      </w:pPr>
      <w:r w:rsidRPr="00326E55">
        <w:rPr>
          <w:b/>
          <w:noProof/>
          <w:spacing w:val="-6"/>
          <w:u w:val="single"/>
          <w:lang w:val="sk-SK"/>
        </w:rPr>
        <w:t xml:space="preserve">F.3.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021D01EB" w14:textId="77777777" w:rsidR="00326E55" w:rsidRPr="00326E55" w:rsidRDefault="00FB452D">
      <w:pPr>
        <w:pStyle w:val="P68B1DB1-Normal70"/>
        <w:spacing w:before="120" w:after="120"/>
        <w:jc w:val="both"/>
        <w:rPr>
          <w:noProof/>
          <w:spacing w:val="-6"/>
          <w:lang w:val="sk-SK"/>
        </w:rPr>
      </w:pPr>
      <w:r w:rsidRPr="00326E55">
        <w:rPr>
          <w:noProof/>
          <w:spacing w:val="-6"/>
          <w:lang w:val="sk-SK"/>
        </w:rPr>
        <w:t xml:space="preserve">Investícia 1.1: Výstavba nových </w:t>
      </w:r>
      <w:r w:rsidRPr="00326E55">
        <w:rPr>
          <w:noProof/>
          <w:spacing w:val="-6"/>
          <w:lang w:val="sk-SK"/>
        </w:rPr>
        <w:t>škôl prostredníctvom výmeny budov</w:t>
      </w:r>
    </w:p>
    <w:p w14:paraId="55154398" w14:textId="50CA75FB" w:rsidR="00BF03AA" w:rsidRPr="00326E55" w:rsidRDefault="00FB452D">
      <w:pPr>
        <w:pStyle w:val="P68B1DB1-Normal7"/>
        <w:spacing w:before="120" w:after="120"/>
        <w:jc w:val="both"/>
        <w:rPr>
          <w:noProof/>
          <w:spacing w:val="-6"/>
          <w:lang w:val="sk-SK"/>
        </w:rPr>
      </w:pPr>
      <w:r w:rsidRPr="00326E55">
        <w:rPr>
          <w:noProof/>
          <w:spacing w:val="-6"/>
          <w:lang w:val="sk-SK"/>
        </w:rPr>
        <w:t>Cieľom opatrenia je vytvoriť moderné</w:t>
      </w:r>
      <w:r w:rsidR="00326E55" w:rsidRPr="00326E55">
        <w:rPr>
          <w:noProof/>
          <w:spacing w:val="-6"/>
          <w:lang w:val="sk-SK"/>
        </w:rPr>
        <w:t xml:space="preserve"> a </w:t>
      </w:r>
      <w:r w:rsidRPr="00326E55">
        <w:rPr>
          <w:noProof/>
          <w:spacing w:val="-6"/>
          <w:lang w:val="sk-SK"/>
        </w:rPr>
        <w:t>udržateľné školské štruktúry, najmä znížením spotreby energie</w:t>
      </w:r>
      <w:r w:rsidR="00326E55" w:rsidRPr="00326E55">
        <w:rPr>
          <w:noProof/>
          <w:spacing w:val="-6"/>
          <w:lang w:val="sk-SK"/>
        </w:rPr>
        <w:t xml:space="preserve"> a </w:t>
      </w:r>
      <w:r w:rsidRPr="00326E55">
        <w:rPr>
          <w:noProof/>
          <w:spacing w:val="-6"/>
          <w:lang w:val="sk-SK"/>
        </w:rPr>
        <w:t>zvýšením seizmickej bezpečnosti. Toto opatrenie spočíva</w:t>
      </w:r>
      <w:r w:rsidR="00326E55" w:rsidRPr="00326E55">
        <w:rPr>
          <w:noProof/>
          <w:spacing w:val="-6"/>
          <w:lang w:val="sk-SK"/>
        </w:rPr>
        <w:t xml:space="preserve"> v </w:t>
      </w:r>
      <w:r w:rsidRPr="00326E55">
        <w:rPr>
          <w:noProof/>
          <w:spacing w:val="-6"/>
          <w:lang w:val="sk-SK"/>
        </w:rPr>
        <w:t>nahradení časti fondu budov verejných škôl.</w:t>
      </w:r>
    </w:p>
    <w:p w14:paraId="2BCEF344" w14:textId="77777777" w:rsidR="00BF03AA" w:rsidRPr="00326E55" w:rsidRDefault="00FB452D">
      <w:pPr>
        <w:pStyle w:val="P68B1DB1-Normal5"/>
        <w:spacing w:before="120" w:after="120"/>
        <w:jc w:val="both"/>
        <w:rPr>
          <w:rFonts w:eastAsia="Calibri"/>
          <w:bCs/>
          <w:noProof/>
          <w:spacing w:val="-6"/>
          <w:lang w:val="sk-SK"/>
        </w:rPr>
      </w:pPr>
      <w:r w:rsidRPr="00326E55">
        <w:rPr>
          <w:noProof/>
          <w:spacing w:val="-6"/>
          <w:lang w:val="sk-SK"/>
        </w:rPr>
        <w:t xml:space="preserve">Investícia 1.2 – </w:t>
      </w:r>
      <w:r w:rsidRPr="00326E55">
        <w:rPr>
          <w:noProof/>
          <w:spacing w:val="-6"/>
          <w:lang w:val="sk-SK"/>
        </w:rPr>
        <w:t>Rekvalifikácia verejného nehnuteľného majetku čiastočne alebo úplne využívaného výkonom spravodlivosti</w:t>
      </w:r>
    </w:p>
    <w:p w14:paraId="3D573CDD" w14:textId="534AD2A9" w:rsidR="00BF03AA" w:rsidRPr="00326E55" w:rsidRDefault="00FB452D">
      <w:pPr>
        <w:pStyle w:val="P68B1DB1-Normal7"/>
        <w:spacing w:before="120" w:after="120"/>
        <w:jc w:val="both"/>
        <w:rPr>
          <w:b/>
          <w:bCs/>
          <w:noProof/>
          <w:spacing w:val="-6"/>
          <w:u w:val="single"/>
          <w:lang w:val="sk-SK"/>
        </w:rPr>
      </w:pPr>
      <w:r w:rsidRPr="00326E55">
        <w:rPr>
          <w:noProof/>
          <w:spacing w:val="-6"/>
          <w:lang w:val="sk-SK"/>
        </w:rPr>
        <w:t>Cieľom opatrenia je rekvalifikovať</w:t>
      </w:r>
      <w:r w:rsidR="00326E55" w:rsidRPr="00326E55">
        <w:rPr>
          <w:noProof/>
          <w:spacing w:val="-6"/>
          <w:lang w:val="sk-SK"/>
        </w:rPr>
        <w:t xml:space="preserve"> a </w:t>
      </w:r>
      <w:r w:rsidRPr="00326E55">
        <w:rPr>
          <w:noProof/>
          <w:spacing w:val="-6"/>
          <w:lang w:val="sk-SK"/>
        </w:rPr>
        <w:t>modernizovať budovy čiastočne alebo úplne využívané pri výkone spravodlivosti. Opatrenie pozostáva</w:t>
      </w:r>
      <w:r w:rsidR="00326E55" w:rsidRPr="00326E55">
        <w:rPr>
          <w:noProof/>
          <w:spacing w:val="-6"/>
          <w:lang w:val="sk-SK"/>
        </w:rPr>
        <w:t xml:space="preserve"> z </w:t>
      </w:r>
      <w:r w:rsidRPr="00326E55">
        <w:rPr>
          <w:noProof/>
          <w:spacing w:val="-6"/>
          <w:lang w:val="sk-SK"/>
        </w:rPr>
        <w:t>vykonávania ren</w:t>
      </w:r>
      <w:r w:rsidRPr="00326E55">
        <w:rPr>
          <w:noProof/>
          <w:spacing w:val="-6"/>
          <w:lang w:val="sk-SK"/>
        </w:rPr>
        <w:t>ovačných</w:t>
      </w:r>
      <w:r w:rsidR="00326E55" w:rsidRPr="00326E55">
        <w:rPr>
          <w:noProof/>
          <w:spacing w:val="-6"/>
          <w:lang w:val="sk-SK"/>
        </w:rPr>
        <w:t xml:space="preserve"> a </w:t>
      </w:r>
      <w:r w:rsidRPr="00326E55">
        <w:rPr>
          <w:noProof/>
          <w:spacing w:val="-6"/>
          <w:lang w:val="sk-SK"/>
        </w:rPr>
        <w:t>rekultivačných prác na nehnuteľnostiach nachádzajúcich sa vo viacerých talianskych obciach, okrem iného vrátane intervencií</w:t>
      </w:r>
      <w:r w:rsidR="00326E55" w:rsidRPr="00326E55">
        <w:rPr>
          <w:noProof/>
          <w:spacing w:val="-6"/>
          <w:lang w:val="sk-SK"/>
        </w:rPr>
        <w:t xml:space="preserve"> v </w:t>
      </w:r>
      <w:r w:rsidRPr="00326E55">
        <w:rPr>
          <w:noProof/>
          <w:spacing w:val="-6"/>
          <w:lang w:val="sk-SK"/>
        </w:rPr>
        <w:t>oblasti energetickej efektívnosti.</w:t>
      </w:r>
    </w:p>
    <w:p w14:paraId="56C6B6DC" w14:textId="77777777" w:rsidR="00BF03AA" w:rsidRPr="00326E55" w:rsidRDefault="00FB452D">
      <w:pPr>
        <w:pStyle w:val="P68B1DB1-Normal5"/>
        <w:spacing w:before="120" w:after="120"/>
        <w:jc w:val="both"/>
        <w:rPr>
          <w:rFonts w:eastAsia="Calibri"/>
          <w:bCs/>
          <w:noProof/>
          <w:spacing w:val="-6"/>
          <w:lang w:val="sk-SK"/>
        </w:rPr>
      </w:pPr>
      <w:r w:rsidRPr="00326E55">
        <w:rPr>
          <w:noProof/>
          <w:spacing w:val="-6"/>
          <w:lang w:val="sk-SK"/>
        </w:rPr>
        <w:t>Investícia 3.1: Podpora účinného diaľkového vykurovania</w:t>
      </w:r>
    </w:p>
    <w:p w14:paraId="723900FA" w14:textId="5A5331E6" w:rsidR="00BF03AA" w:rsidRPr="00326E55" w:rsidRDefault="00FB452D">
      <w:pPr>
        <w:pStyle w:val="P68B1DB1-Normal7"/>
        <w:spacing w:before="120" w:after="120"/>
        <w:jc w:val="both"/>
        <w:rPr>
          <w:b/>
          <w:noProof/>
          <w:spacing w:val="-6"/>
          <w:sz w:val="24"/>
          <w:szCs w:val="24"/>
          <w:u w:val="single"/>
          <w:lang w:val="sk-SK"/>
        </w:rPr>
        <w:sectPr w:rsidR="00BF03AA" w:rsidRPr="00326E55" w:rsidSect="005F11B9">
          <w:headerReference w:type="even" r:id="rId108"/>
          <w:headerReference w:type="default" r:id="rId109"/>
          <w:footerReference w:type="even" r:id="rId110"/>
          <w:footerReference w:type="default" r:id="rId111"/>
          <w:headerReference w:type="first" r:id="rId112"/>
          <w:footerReference w:type="first" r:id="rId113"/>
          <w:pgSz w:w="11907" w:h="16839"/>
          <w:pgMar w:top="1134" w:right="1134" w:bottom="1134" w:left="1134" w:header="567" w:footer="567" w:gutter="0"/>
          <w:cols w:space="720"/>
          <w:docGrid w:linePitch="360"/>
        </w:sectPr>
      </w:pPr>
      <w:r w:rsidRPr="00326E55">
        <w:rPr>
          <w:noProof/>
          <w:spacing w:val="-6"/>
          <w:lang w:val="sk-SK"/>
        </w:rPr>
        <w:t>Cieľom opatrenia je rozšíriť využívanie účinného diaľkového vykurovania založeného na distribúcii tepla vyrobeného</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z </w:t>
      </w:r>
      <w:r w:rsidRPr="00326E55">
        <w:rPr>
          <w:noProof/>
          <w:spacing w:val="-6"/>
          <w:lang w:val="sk-SK"/>
        </w:rPr>
        <w:t xml:space="preserve">odpadového tepla alebo kombinovanej výroby vo vysokovýkonných zariadeniach. </w:t>
      </w:r>
      <w:r w:rsidRPr="00326E55">
        <w:rPr>
          <w:noProof/>
          <w:spacing w:val="-6"/>
          <w:lang w:val="sk-SK"/>
        </w:rPr>
        <w:t>Opatrenie pozostáva</w:t>
      </w:r>
      <w:r w:rsidR="00326E55" w:rsidRPr="00326E55">
        <w:rPr>
          <w:noProof/>
          <w:spacing w:val="-6"/>
          <w:lang w:val="sk-SK"/>
        </w:rPr>
        <w:t xml:space="preserve"> z </w:t>
      </w:r>
      <w:r w:rsidRPr="00326E55">
        <w:rPr>
          <w:noProof/>
          <w:spacing w:val="-6"/>
          <w:lang w:val="sk-SK"/>
        </w:rPr>
        <w:t>financovania projektov súvisiacich</w:t>
      </w:r>
      <w:r w:rsidR="00326E55" w:rsidRPr="00326E55">
        <w:rPr>
          <w:noProof/>
          <w:spacing w:val="-6"/>
          <w:lang w:val="sk-SK"/>
        </w:rPr>
        <w:t xml:space="preserve"> s </w:t>
      </w:r>
      <w:r w:rsidRPr="00326E55">
        <w:rPr>
          <w:noProof/>
          <w:spacing w:val="-6"/>
          <w:lang w:val="sk-SK"/>
        </w:rPr>
        <w:t>výstavbou nových alebo rozšírením existujúcich sietí diaľkového vykurovania, pričom prioritou sú projekty, ktoré zaručujú najväčšie úspory primárnej energie</w:t>
      </w:r>
      <w:r w:rsidR="00326E55" w:rsidRPr="00326E55">
        <w:rPr>
          <w:noProof/>
          <w:spacing w:val="-6"/>
          <w:lang w:val="sk-SK"/>
        </w:rPr>
        <w:t xml:space="preserve"> z </w:t>
      </w:r>
      <w:r w:rsidRPr="00326E55">
        <w:rPr>
          <w:noProof/>
          <w:spacing w:val="-6"/>
          <w:lang w:val="sk-SK"/>
        </w:rPr>
        <w:t>neobnoviteľných zdrojov.</w:t>
      </w:r>
      <w:r w:rsidRPr="00326E55">
        <w:rPr>
          <w:b/>
          <w:noProof/>
          <w:spacing w:val="-6"/>
          <w:sz w:val="24"/>
          <w:szCs w:val="24"/>
          <w:u w:val="single"/>
          <w:lang w:val="sk-SK"/>
        </w:rPr>
        <w:t xml:space="preserve"> </w:t>
      </w:r>
    </w:p>
    <w:p w14:paraId="223989E4" w14:textId="3EF318A2" w:rsidR="00BF03AA" w:rsidRPr="00326E55" w:rsidRDefault="00FB452D">
      <w:pPr>
        <w:pStyle w:val="P68B1DB1-Heading368"/>
        <w:ind w:left="850" w:hanging="850"/>
        <w:rPr>
          <w:noProof/>
          <w:spacing w:val="-6"/>
          <w:lang w:val="sk-SK"/>
        </w:rPr>
      </w:pPr>
      <w:r w:rsidRPr="00326E55">
        <w:rPr>
          <w:noProof/>
          <w:spacing w:val="-6"/>
          <w:lang w:val="sk-SK"/>
        </w:rPr>
        <w:t xml:space="preserve">F.4. </w:t>
      </w:r>
      <w:r w:rsidRPr="00326E55">
        <w:rPr>
          <w:noProof/>
          <w:spacing w:val="-6"/>
          <w:lang w:val="sk-SK"/>
        </w:rPr>
        <w:tab/>
        <w:t>Míľnik</w:t>
      </w:r>
      <w:r w:rsidRPr="00326E55">
        <w:rPr>
          <w:noProof/>
          <w:spacing w:val="-6"/>
          <w:lang w:val="sk-SK"/>
        </w:rPr>
        <w:t>y, ciele, ukazovatele</w:t>
      </w:r>
      <w:r w:rsidR="00326E55" w:rsidRPr="00326E55">
        <w:rPr>
          <w:noProof/>
          <w:spacing w:val="-6"/>
          <w:lang w:val="sk-SK"/>
        </w:rPr>
        <w:t xml:space="preserve"> a </w:t>
      </w:r>
      <w:r w:rsidRPr="00326E55">
        <w:rPr>
          <w:noProof/>
          <w:spacing w:val="-6"/>
          <w:lang w:val="sk-SK"/>
        </w:rPr>
        <w:t>harmonogram monitorovania</w:t>
      </w:r>
      <w:r w:rsidR="00326E55" w:rsidRPr="00326E55">
        <w:rPr>
          <w:noProof/>
          <w:spacing w:val="-6"/>
          <w:lang w:val="sk-SK"/>
        </w:rPr>
        <w:t xml:space="preserve"> a </w:t>
      </w:r>
      <w:r w:rsidRPr="00326E55">
        <w:rPr>
          <w:noProof/>
          <w:spacing w:val="-6"/>
          <w:lang w:val="sk-SK"/>
        </w:rPr>
        <w:t>realizácie</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úverom</w:t>
      </w:r>
    </w:p>
    <w:p w14:paraId="583B494E" w14:textId="77777777" w:rsidR="00BF03AA" w:rsidRPr="00326E55" w:rsidRDefault="00BF03AA">
      <w:pPr>
        <w:spacing w:before="120" w:after="120"/>
        <w:jc w:val="both"/>
        <w:rPr>
          <w:rFonts w:ascii="Times New Roman" w:hAnsi="Times New Roman" w:cs="Times New Roman"/>
          <w:noProof/>
          <w:spacing w:val="-6"/>
          <w:lang w:val="sk-SK"/>
        </w:rPr>
      </w:pPr>
    </w:p>
    <w:tbl>
      <w:tblPr>
        <w:tblOverlap w:val="never"/>
        <w:tblW w:w="1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3"/>
        <w:gridCol w:w="1574"/>
        <w:gridCol w:w="1133"/>
        <w:gridCol w:w="1843"/>
        <w:gridCol w:w="1560"/>
        <w:gridCol w:w="1256"/>
        <w:gridCol w:w="871"/>
        <w:gridCol w:w="989"/>
        <w:gridCol w:w="994"/>
        <w:gridCol w:w="710"/>
        <w:gridCol w:w="3902"/>
      </w:tblGrid>
      <w:tr w:rsidR="00BF03AA" w:rsidRPr="00326E55" w14:paraId="70170A06" w14:textId="77777777">
        <w:trPr>
          <w:cantSplit/>
          <w:trHeight w:val="300"/>
          <w:tblHeader/>
          <w:jc w:val="center"/>
        </w:trPr>
        <w:tc>
          <w:tcPr>
            <w:tcW w:w="1123" w:type="dxa"/>
            <w:vMerge w:val="restart"/>
            <w:shd w:val="clear" w:color="auto" w:fill="BBD2EA"/>
            <w:vAlign w:val="center"/>
          </w:tcPr>
          <w:p w14:paraId="02A367C7"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Poradové číslo</w:t>
            </w:r>
          </w:p>
        </w:tc>
        <w:tc>
          <w:tcPr>
            <w:tcW w:w="1574" w:type="dxa"/>
            <w:vMerge w:val="restart"/>
            <w:shd w:val="clear" w:color="auto" w:fill="BBD2EA"/>
            <w:vAlign w:val="center"/>
          </w:tcPr>
          <w:p w14:paraId="51D0EDB2"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Súvisiace</w:t>
            </w:r>
          </w:p>
          <w:p w14:paraId="573BAC8B"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Opatrenie (reforma alebo investícia)</w:t>
            </w:r>
          </w:p>
        </w:tc>
        <w:tc>
          <w:tcPr>
            <w:tcW w:w="1133" w:type="dxa"/>
            <w:vMerge w:val="restart"/>
            <w:shd w:val="clear" w:color="auto" w:fill="BBD2EA"/>
            <w:vAlign w:val="center"/>
          </w:tcPr>
          <w:p w14:paraId="27572A0A"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Míľnik/cieľ</w:t>
            </w:r>
          </w:p>
        </w:tc>
        <w:tc>
          <w:tcPr>
            <w:tcW w:w="1843" w:type="dxa"/>
            <w:vMerge w:val="restart"/>
            <w:shd w:val="clear" w:color="auto" w:fill="BBD2EA"/>
            <w:vAlign w:val="center"/>
          </w:tcPr>
          <w:p w14:paraId="55F4776E"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Názov</w:t>
            </w:r>
          </w:p>
        </w:tc>
        <w:tc>
          <w:tcPr>
            <w:tcW w:w="1560" w:type="dxa"/>
            <w:vMerge w:val="restart"/>
            <w:shd w:val="clear" w:color="auto" w:fill="BBD2EA"/>
            <w:vAlign w:val="center"/>
          </w:tcPr>
          <w:p w14:paraId="1E96A0D6"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Kvalitatívne ukazovatele (pre míľniky)</w:t>
            </w:r>
          </w:p>
        </w:tc>
        <w:tc>
          <w:tcPr>
            <w:tcW w:w="3116" w:type="dxa"/>
            <w:gridSpan w:val="3"/>
            <w:shd w:val="clear" w:color="auto" w:fill="BBD2EA"/>
            <w:vAlign w:val="center"/>
          </w:tcPr>
          <w:p w14:paraId="13A4FE79"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Kvantitatívne ukazovatele (pre ciele)</w:t>
            </w:r>
          </w:p>
        </w:tc>
        <w:tc>
          <w:tcPr>
            <w:tcW w:w="1704" w:type="dxa"/>
            <w:gridSpan w:val="2"/>
            <w:shd w:val="clear" w:color="auto" w:fill="BBD2EA"/>
            <w:vAlign w:val="center"/>
          </w:tcPr>
          <w:p w14:paraId="3BC31B6F"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 xml:space="preserve">Orientačný </w:t>
            </w:r>
            <w:r w:rsidRPr="00326E55">
              <w:rPr>
                <w:rStyle w:val="Other1"/>
                <w:rFonts w:ascii="Times New Roman" w:hAnsi="Times New Roman" w:cs="Arial"/>
                <w:b/>
                <w:noProof/>
                <w:color w:val="000000" w:themeColor="text1"/>
                <w:spacing w:val="-6"/>
                <w:sz w:val="20"/>
                <w:szCs w:val="20"/>
                <w:lang w:val="sk-SK"/>
              </w:rPr>
              <w:t>harmonogram dokončenia</w:t>
            </w:r>
          </w:p>
        </w:tc>
        <w:tc>
          <w:tcPr>
            <w:tcW w:w="3902" w:type="dxa"/>
            <w:vMerge w:val="restart"/>
            <w:shd w:val="clear" w:color="auto" w:fill="BBD2EA"/>
            <w:vAlign w:val="center"/>
          </w:tcPr>
          <w:p w14:paraId="470042FF" w14:textId="49D9DA60" w:rsidR="00BF03AA" w:rsidRPr="00326E55" w:rsidRDefault="00FB452D">
            <w:pPr>
              <w:pStyle w:val="Other10"/>
              <w:ind w:firstLine="22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Opis každého míľnika</w:t>
            </w:r>
            <w:r w:rsidR="00326E55" w:rsidRPr="00326E55">
              <w:rPr>
                <w:rStyle w:val="Other1"/>
                <w:rFonts w:ascii="Times New Roman" w:hAnsi="Times New Roman" w:cs="Arial"/>
                <w:b/>
                <w:noProof/>
                <w:color w:val="000000" w:themeColor="text1"/>
                <w:spacing w:val="-6"/>
                <w:sz w:val="20"/>
                <w:szCs w:val="20"/>
                <w:lang w:val="sk-SK"/>
              </w:rPr>
              <w:t xml:space="preserve"> a </w:t>
            </w:r>
            <w:r w:rsidRPr="00326E55">
              <w:rPr>
                <w:rStyle w:val="Other1"/>
                <w:rFonts w:ascii="Times New Roman" w:hAnsi="Times New Roman" w:cs="Arial"/>
                <w:b/>
                <w:noProof/>
                <w:color w:val="000000" w:themeColor="text1"/>
                <w:spacing w:val="-6"/>
                <w:sz w:val="20"/>
                <w:szCs w:val="20"/>
                <w:lang w:val="sk-SK"/>
              </w:rPr>
              <w:t>cieľa</w:t>
            </w:r>
          </w:p>
        </w:tc>
      </w:tr>
      <w:tr w:rsidR="00BF03AA" w:rsidRPr="00326E55" w14:paraId="766D9935" w14:textId="77777777">
        <w:trPr>
          <w:cantSplit/>
          <w:trHeight w:val="300"/>
          <w:tblHeader/>
          <w:jc w:val="center"/>
        </w:trPr>
        <w:tc>
          <w:tcPr>
            <w:tcW w:w="1123" w:type="dxa"/>
            <w:vMerge/>
            <w:vAlign w:val="center"/>
          </w:tcPr>
          <w:p w14:paraId="3EE87CC5" w14:textId="77777777" w:rsidR="00BF03AA" w:rsidRPr="00326E55" w:rsidRDefault="00BF03AA">
            <w:pPr>
              <w:jc w:val="center"/>
              <w:rPr>
                <w:rFonts w:ascii="Times New Roman" w:hAnsi="Times New Roman" w:cs="Arial"/>
                <w:noProof/>
                <w:spacing w:val="-6"/>
                <w:sz w:val="20"/>
                <w:szCs w:val="20"/>
                <w:lang w:val="sk-SK"/>
              </w:rPr>
            </w:pPr>
          </w:p>
        </w:tc>
        <w:tc>
          <w:tcPr>
            <w:tcW w:w="1574" w:type="dxa"/>
            <w:vMerge/>
            <w:vAlign w:val="center"/>
          </w:tcPr>
          <w:p w14:paraId="78075D51" w14:textId="77777777" w:rsidR="00BF03AA" w:rsidRPr="00326E55" w:rsidRDefault="00BF03AA">
            <w:pPr>
              <w:jc w:val="center"/>
              <w:rPr>
                <w:rFonts w:ascii="Times New Roman" w:hAnsi="Times New Roman" w:cs="Arial"/>
                <w:noProof/>
                <w:spacing w:val="-6"/>
                <w:sz w:val="20"/>
                <w:szCs w:val="20"/>
                <w:lang w:val="sk-SK"/>
              </w:rPr>
            </w:pPr>
          </w:p>
        </w:tc>
        <w:tc>
          <w:tcPr>
            <w:tcW w:w="1133" w:type="dxa"/>
            <w:vMerge/>
            <w:vAlign w:val="center"/>
          </w:tcPr>
          <w:p w14:paraId="4D93DEC4" w14:textId="77777777" w:rsidR="00BF03AA" w:rsidRPr="00326E55" w:rsidRDefault="00BF03AA">
            <w:pPr>
              <w:jc w:val="center"/>
              <w:rPr>
                <w:rFonts w:ascii="Times New Roman" w:hAnsi="Times New Roman" w:cs="Arial"/>
                <w:noProof/>
                <w:spacing w:val="-6"/>
                <w:sz w:val="20"/>
                <w:szCs w:val="20"/>
                <w:lang w:val="sk-SK"/>
              </w:rPr>
            </w:pPr>
          </w:p>
        </w:tc>
        <w:tc>
          <w:tcPr>
            <w:tcW w:w="1843" w:type="dxa"/>
            <w:vMerge/>
            <w:vAlign w:val="center"/>
          </w:tcPr>
          <w:p w14:paraId="3CD5E63C" w14:textId="77777777" w:rsidR="00BF03AA" w:rsidRPr="00326E55" w:rsidRDefault="00BF03AA">
            <w:pPr>
              <w:jc w:val="center"/>
              <w:rPr>
                <w:rFonts w:ascii="Times New Roman" w:hAnsi="Times New Roman" w:cs="Arial"/>
                <w:noProof/>
                <w:spacing w:val="-6"/>
                <w:sz w:val="20"/>
                <w:szCs w:val="20"/>
                <w:lang w:val="sk-SK"/>
              </w:rPr>
            </w:pPr>
          </w:p>
        </w:tc>
        <w:tc>
          <w:tcPr>
            <w:tcW w:w="1560" w:type="dxa"/>
            <w:vMerge/>
            <w:vAlign w:val="center"/>
          </w:tcPr>
          <w:p w14:paraId="74EE6E40" w14:textId="77777777" w:rsidR="00BF03AA" w:rsidRPr="00326E55" w:rsidRDefault="00BF03AA">
            <w:pPr>
              <w:jc w:val="center"/>
              <w:rPr>
                <w:rFonts w:ascii="Times New Roman" w:hAnsi="Times New Roman" w:cs="Arial"/>
                <w:noProof/>
                <w:spacing w:val="-6"/>
                <w:sz w:val="20"/>
                <w:szCs w:val="20"/>
                <w:lang w:val="sk-SK"/>
              </w:rPr>
            </w:pPr>
          </w:p>
        </w:tc>
        <w:tc>
          <w:tcPr>
            <w:tcW w:w="1256" w:type="dxa"/>
            <w:shd w:val="clear" w:color="auto" w:fill="BBD2EA"/>
            <w:vAlign w:val="center"/>
          </w:tcPr>
          <w:p w14:paraId="7A088103"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Merná jednotka</w:t>
            </w:r>
          </w:p>
        </w:tc>
        <w:tc>
          <w:tcPr>
            <w:tcW w:w="871" w:type="dxa"/>
            <w:shd w:val="clear" w:color="auto" w:fill="BBD2EA"/>
            <w:vAlign w:val="center"/>
          </w:tcPr>
          <w:p w14:paraId="334A425B"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Základná</w:t>
            </w:r>
          </w:p>
        </w:tc>
        <w:tc>
          <w:tcPr>
            <w:tcW w:w="989" w:type="dxa"/>
            <w:shd w:val="clear" w:color="auto" w:fill="BBD2EA"/>
            <w:vAlign w:val="center"/>
          </w:tcPr>
          <w:p w14:paraId="42E0770C" w14:textId="77777777" w:rsidR="00BF03AA" w:rsidRPr="00326E55" w:rsidRDefault="00FB452D">
            <w:pPr>
              <w:pStyle w:val="Other10"/>
              <w:ind w:firstLine="28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Cieľ</w:t>
            </w:r>
          </w:p>
        </w:tc>
        <w:tc>
          <w:tcPr>
            <w:tcW w:w="994" w:type="dxa"/>
            <w:shd w:val="clear" w:color="auto" w:fill="BBD2EA"/>
            <w:vAlign w:val="center"/>
          </w:tcPr>
          <w:p w14:paraId="3843E6F8"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Štvrtina</w:t>
            </w:r>
          </w:p>
        </w:tc>
        <w:tc>
          <w:tcPr>
            <w:tcW w:w="710" w:type="dxa"/>
            <w:shd w:val="clear" w:color="auto" w:fill="BBD2EA"/>
            <w:vAlign w:val="center"/>
          </w:tcPr>
          <w:p w14:paraId="2000893E" w14:textId="77777777" w:rsidR="00BF03AA" w:rsidRPr="00326E55" w:rsidRDefault="00FB452D">
            <w:pPr>
              <w:pStyle w:val="Other10"/>
              <w:jc w:val="center"/>
              <w:rPr>
                <w:rFonts w:ascii="Times New Roman" w:hAnsi="Times New Roman" w:cs="Arial"/>
                <w:noProof/>
                <w:spacing w:val="-6"/>
                <w:sz w:val="20"/>
                <w:szCs w:val="20"/>
                <w:lang w:val="sk-SK"/>
              </w:rPr>
            </w:pPr>
            <w:r w:rsidRPr="00326E55">
              <w:rPr>
                <w:rStyle w:val="Other1"/>
                <w:rFonts w:ascii="Times New Roman" w:hAnsi="Times New Roman" w:cs="Arial"/>
                <w:b/>
                <w:noProof/>
                <w:color w:val="000000" w:themeColor="text1"/>
                <w:spacing w:val="-6"/>
                <w:sz w:val="20"/>
                <w:szCs w:val="20"/>
                <w:lang w:val="sk-SK"/>
              </w:rPr>
              <w:t>Rok</w:t>
            </w:r>
          </w:p>
        </w:tc>
        <w:tc>
          <w:tcPr>
            <w:tcW w:w="3902" w:type="dxa"/>
            <w:vMerge/>
            <w:vAlign w:val="center"/>
          </w:tcPr>
          <w:p w14:paraId="4F9DDE7F" w14:textId="77777777" w:rsidR="00BF03AA" w:rsidRPr="00326E55" w:rsidRDefault="00BF03AA">
            <w:pPr>
              <w:jc w:val="center"/>
              <w:rPr>
                <w:rFonts w:ascii="Times New Roman" w:hAnsi="Times New Roman" w:cs="Arial"/>
                <w:noProof/>
                <w:spacing w:val="-6"/>
                <w:sz w:val="20"/>
                <w:szCs w:val="20"/>
                <w:lang w:val="sk-SK"/>
              </w:rPr>
            </w:pPr>
          </w:p>
        </w:tc>
      </w:tr>
      <w:tr w:rsidR="00BF03AA" w:rsidRPr="00326E55" w14:paraId="02F0B870" w14:textId="77777777">
        <w:trPr>
          <w:cantSplit/>
          <w:trHeight w:val="300"/>
          <w:jc w:val="center"/>
        </w:trPr>
        <w:tc>
          <w:tcPr>
            <w:tcW w:w="1123" w:type="dxa"/>
            <w:shd w:val="clear" w:color="auto" w:fill="C6EFCD"/>
            <w:vAlign w:val="center"/>
          </w:tcPr>
          <w:p w14:paraId="659B75BF" w14:textId="55B1FF3C"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5</w:t>
            </w:r>
          </w:p>
        </w:tc>
        <w:tc>
          <w:tcPr>
            <w:tcW w:w="1574" w:type="dxa"/>
            <w:shd w:val="clear" w:color="auto" w:fill="C6EFCD"/>
            <w:vAlign w:val="center"/>
          </w:tcPr>
          <w:p w14:paraId="18010505" w14:textId="00195232"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1.1: Výstavba nových škôl prostredníctvom výmeny budov</w:t>
            </w:r>
          </w:p>
        </w:tc>
        <w:tc>
          <w:tcPr>
            <w:tcW w:w="1133" w:type="dxa"/>
            <w:shd w:val="clear" w:color="auto" w:fill="C6EFCD"/>
            <w:vAlign w:val="center"/>
          </w:tcPr>
          <w:p w14:paraId="7A2A421E" w14:textId="269A6781"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Míľnik</w:t>
            </w:r>
          </w:p>
        </w:tc>
        <w:tc>
          <w:tcPr>
            <w:tcW w:w="1843" w:type="dxa"/>
            <w:shd w:val="clear" w:color="auto" w:fill="C6EFCD"/>
            <w:vAlign w:val="center"/>
          </w:tcPr>
          <w:p w14:paraId="423766AB" w14:textId="62E130C4"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Zadávanie všetkých verejných zákaziek</w:t>
            </w:r>
            <w:r w:rsidRPr="00326E55">
              <w:rPr>
                <w:rFonts w:ascii="Times New Roman" w:hAnsi="Times New Roman"/>
                <w:noProof/>
                <w:spacing w:val="-6"/>
                <w:lang w:val="sk-SK"/>
              </w:rPr>
              <w:t xml:space="preserve"> na výstavbu nových škôl prostredníctvom výmeny budov na modernizáciu energie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školských budovách na základe postupu verejného obstarávania</w:t>
            </w:r>
          </w:p>
        </w:tc>
        <w:tc>
          <w:tcPr>
            <w:tcW w:w="1560" w:type="dxa"/>
            <w:shd w:val="clear" w:color="auto" w:fill="C6EFCD"/>
            <w:vAlign w:val="center"/>
          </w:tcPr>
          <w:p w14:paraId="626A8C01" w14:textId="2FD9ABEE"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základe postupu verejného obstarávania</w:t>
            </w:r>
          </w:p>
        </w:tc>
        <w:tc>
          <w:tcPr>
            <w:tcW w:w="1256" w:type="dxa"/>
            <w:shd w:val="clear" w:color="auto" w:fill="C6EFCD"/>
            <w:vAlign w:val="center"/>
          </w:tcPr>
          <w:p w14:paraId="2C89F30F" w14:textId="3CE638DA"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71" w:type="dxa"/>
            <w:shd w:val="clear" w:color="auto" w:fill="C6EFCD"/>
            <w:vAlign w:val="center"/>
          </w:tcPr>
          <w:p w14:paraId="433E411E" w14:textId="671FD3F7"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89" w:type="dxa"/>
            <w:shd w:val="clear" w:color="auto" w:fill="C6EFCD"/>
            <w:vAlign w:val="center"/>
          </w:tcPr>
          <w:p w14:paraId="4654FE5B" w14:textId="4B13A397"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4" w:type="dxa"/>
            <w:shd w:val="clear" w:color="auto" w:fill="C6EFCD"/>
            <w:vAlign w:val="center"/>
          </w:tcPr>
          <w:p w14:paraId="45AEB676" w14:textId="4B77B12B"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TRETÍ ŠTVRŤROK</w:t>
            </w:r>
          </w:p>
        </w:tc>
        <w:tc>
          <w:tcPr>
            <w:tcW w:w="710" w:type="dxa"/>
            <w:shd w:val="clear" w:color="auto" w:fill="C6EFCD"/>
            <w:vAlign w:val="center"/>
          </w:tcPr>
          <w:p w14:paraId="5A9A98B1" w14:textId="49D4AC3E"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2023</w:t>
            </w:r>
          </w:p>
        </w:tc>
        <w:tc>
          <w:tcPr>
            <w:tcW w:w="3902" w:type="dxa"/>
            <w:shd w:val="clear" w:color="auto" w:fill="C6EFCD"/>
          </w:tcPr>
          <w:p w14:paraId="77E0B79B" w14:textId="0876BE29" w:rsidR="00BF03AA" w:rsidRPr="00326E55" w:rsidRDefault="00FB452D">
            <w:pPr>
              <w:pStyle w:val="P68B1DB1-Other1069"/>
              <w:rPr>
                <w:rFonts w:ascii="Times New Roman" w:hAnsi="Times New Roman" w:cs="Arial"/>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nahradenie nových škôl budov oprávnených na financovanie formalizované miestnymi orgánmi, ktoré zodpovedá celkovej ploche najmenej 400000 metrov štvorcových</w:t>
            </w:r>
          </w:p>
        </w:tc>
      </w:tr>
      <w:tr w:rsidR="00BF03AA" w:rsidRPr="00326E55" w14:paraId="1FDC172A" w14:textId="77777777">
        <w:trPr>
          <w:cantSplit/>
          <w:trHeight w:val="300"/>
          <w:jc w:val="center"/>
        </w:trPr>
        <w:tc>
          <w:tcPr>
            <w:tcW w:w="1123" w:type="dxa"/>
            <w:shd w:val="clear" w:color="auto" w:fill="C6EFCD"/>
            <w:vAlign w:val="center"/>
          </w:tcPr>
          <w:p w14:paraId="67E04F5E" w14:textId="7504287D"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6</w:t>
            </w:r>
          </w:p>
        </w:tc>
        <w:tc>
          <w:tcPr>
            <w:tcW w:w="1574" w:type="dxa"/>
            <w:shd w:val="clear" w:color="auto" w:fill="C6EFCD"/>
            <w:vAlign w:val="center"/>
          </w:tcPr>
          <w:p w14:paraId="2351A936" w14:textId="3B923F7E"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1.1: Výstavba nových škôl prostredníctvom výmeny budov</w:t>
            </w:r>
          </w:p>
        </w:tc>
        <w:tc>
          <w:tcPr>
            <w:tcW w:w="1133" w:type="dxa"/>
            <w:shd w:val="clear" w:color="auto" w:fill="C6EFCD"/>
            <w:vAlign w:val="center"/>
          </w:tcPr>
          <w:p w14:paraId="0ED541DB" w14:textId="749A96D1"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Cieľ</w:t>
            </w:r>
          </w:p>
        </w:tc>
        <w:tc>
          <w:tcPr>
            <w:tcW w:w="1843" w:type="dxa"/>
            <w:shd w:val="clear" w:color="auto" w:fill="C6EFCD"/>
            <w:vAlign w:val="center"/>
          </w:tcPr>
          <w:p w14:paraId="264C1BBE" w14:textId="6998CC28"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Prostredníctvom výmeny budov sa vybuduje najmenej 166 nových škôl.</w:t>
            </w:r>
          </w:p>
        </w:tc>
        <w:tc>
          <w:tcPr>
            <w:tcW w:w="1560" w:type="dxa"/>
            <w:shd w:val="clear" w:color="auto" w:fill="C6EFCD"/>
            <w:vAlign w:val="center"/>
          </w:tcPr>
          <w:p w14:paraId="50D10FCE" w14:textId="25DCFAAB"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1256" w:type="dxa"/>
            <w:shd w:val="clear" w:color="auto" w:fill="C6EFCD"/>
            <w:vAlign w:val="center"/>
          </w:tcPr>
          <w:p w14:paraId="7F582C1F" w14:textId="29892752"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Počet</w:t>
            </w:r>
          </w:p>
        </w:tc>
        <w:tc>
          <w:tcPr>
            <w:tcW w:w="871" w:type="dxa"/>
            <w:shd w:val="clear" w:color="auto" w:fill="C6EFCD"/>
            <w:vAlign w:val="center"/>
          </w:tcPr>
          <w:p w14:paraId="74A19CBE" w14:textId="0DB64D48"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0</w:t>
            </w:r>
          </w:p>
        </w:tc>
        <w:tc>
          <w:tcPr>
            <w:tcW w:w="989" w:type="dxa"/>
            <w:shd w:val="clear" w:color="auto" w:fill="C6EFCD"/>
            <w:vAlign w:val="center"/>
          </w:tcPr>
          <w:p w14:paraId="77070C0C" w14:textId="25BF8A7D"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166</w:t>
            </w:r>
          </w:p>
        </w:tc>
        <w:tc>
          <w:tcPr>
            <w:tcW w:w="994" w:type="dxa"/>
            <w:shd w:val="clear" w:color="auto" w:fill="C6EFCD"/>
            <w:vAlign w:val="center"/>
          </w:tcPr>
          <w:p w14:paraId="64661F45" w14:textId="4030B441"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PRVÝ ŠTVRŤROK</w:t>
            </w:r>
          </w:p>
        </w:tc>
        <w:tc>
          <w:tcPr>
            <w:tcW w:w="710" w:type="dxa"/>
            <w:shd w:val="clear" w:color="auto" w:fill="C6EFCD"/>
            <w:vAlign w:val="center"/>
          </w:tcPr>
          <w:p w14:paraId="3CCA7E19" w14:textId="277FE919"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2026</w:t>
            </w:r>
          </w:p>
        </w:tc>
        <w:tc>
          <w:tcPr>
            <w:tcW w:w="3902" w:type="dxa"/>
            <w:shd w:val="clear" w:color="auto" w:fill="C6EFCD"/>
          </w:tcPr>
          <w:p w14:paraId="0E850D4A" w14:textId="4BECB20F" w:rsidR="00BF03AA" w:rsidRPr="00326E55" w:rsidRDefault="00FB452D">
            <w:pPr>
              <w:pStyle w:val="P68B1DB1-Other1069"/>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prác vydané na výstavbu najmenej 166 nových škôl </w:t>
            </w:r>
            <w:r w:rsidRPr="00326E55">
              <w:rPr>
                <w:rFonts w:ascii="Times New Roman" w:hAnsi="Times New Roman"/>
                <w:noProof/>
                <w:spacing w:val="-6"/>
                <w:lang w:val="sk-SK"/>
              </w:rPr>
              <w:t>prostredníctvom výmeny budov.</w:t>
            </w:r>
          </w:p>
          <w:p w14:paraId="527A07AD" w14:textId="77777777" w:rsidR="00BF03AA" w:rsidRPr="00326E55" w:rsidRDefault="00BF03AA">
            <w:pPr>
              <w:pStyle w:val="Other10"/>
              <w:rPr>
                <w:rFonts w:ascii="Times New Roman" w:hAnsi="Times New Roman"/>
                <w:noProof/>
                <w:spacing w:val="-6"/>
                <w:sz w:val="20"/>
                <w:szCs w:val="20"/>
                <w:lang w:val="sk-SK"/>
              </w:rPr>
            </w:pPr>
          </w:p>
          <w:p w14:paraId="3F544B5D" w14:textId="28535826" w:rsidR="00BF03AA" w:rsidRPr="00326E55" w:rsidRDefault="00FB452D">
            <w:pPr>
              <w:pStyle w:val="P68B1DB1-Other1069"/>
              <w:rPr>
                <w:rFonts w:ascii="Times New Roman" w:hAnsi="Times New Roman" w:cs="Arial"/>
                <w:noProof/>
                <w:spacing w:val="-6"/>
                <w:lang w:val="sk-SK"/>
              </w:rPr>
            </w:pPr>
            <w:r w:rsidRPr="00326E55">
              <w:rPr>
                <w:rFonts w:ascii="Times New Roman" w:hAnsi="Times New Roman"/>
                <w:noProof/>
                <w:spacing w:val="-6"/>
                <w:lang w:val="sk-SK"/>
              </w:rPr>
              <w:t>Primárna energetická spotreba 166 nových škôl musí byť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20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nižšia ako požiadavka na budovy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takmer nulovou spotrebou energie,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čom svedčí vydávanie osvedčení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energetickej hospodárnosti.</w:t>
            </w:r>
          </w:p>
        </w:tc>
      </w:tr>
      <w:tr w:rsidR="00BF03AA" w:rsidRPr="00326E55" w14:paraId="12B61452" w14:textId="77777777">
        <w:trPr>
          <w:cantSplit/>
          <w:trHeight w:val="300"/>
          <w:jc w:val="center"/>
        </w:trPr>
        <w:tc>
          <w:tcPr>
            <w:tcW w:w="1123" w:type="dxa"/>
            <w:shd w:val="clear" w:color="auto" w:fill="C6EFCD"/>
            <w:vAlign w:val="center"/>
          </w:tcPr>
          <w:p w14:paraId="59715AB5" w14:textId="44CB2FC7"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7</w:t>
            </w:r>
          </w:p>
        </w:tc>
        <w:tc>
          <w:tcPr>
            <w:tcW w:w="1574" w:type="dxa"/>
            <w:shd w:val="clear" w:color="auto" w:fill="C6EFCD"/>
            <w:vAlign w:val="center"/>
          </w:tcPr>
          <w:p w14:paraId="6CB1B149" w14:textId="773B10EB"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1.2 –</w:t>
            </w:r>
            <w:r w:rsidRPr="00326E55">
              <w:rPr>
                <w:rFonts w:ascii="Times New Roman" w:hAnsi="Times New Roman"/>
                <w:noProof/>
                <w:spacing w:val="-6"/>
                <w:lang w:val="sk-SK"/>
              </w:rPr>
              <w:t xml:space="preserve"> Výstavba budov, rekvalifikácia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nehnuteľného majetku pri výkone spravodlivosti</w:t>
            </w:r>
          </w:p>
        </w:tc>
        <w:tc>
          <w:tcPr>
            <w:tcW w:w="1133" w:type="dxa"/>
            <w:shd w:val="clear" w:color="auto" w:fill="C6EFCD"/>
            <w:vAlign w:val="center"/>
          </w:tcPr>
          <w:p w14:paraId="77EB2E0F" w14:textId="62728E42"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Míľnik</w:t>
            </w:r>
          </w:p>
        </w:tc>
        <w:tc>
          <w:tcPr>
            <w:tcW w:w="1843" w:type="dxa"/>
            <w:shd w:val="clear" w:color="auto" w:fill="C6EFCD"/>
            <w:vAlign w:val="center"/>
          </w:tcPr>
          <w:p w14:paraId="1452EF10" w14:textId="47FE3265"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Zadávanie všetkých verejných zákaziek na výstavbu nových budov, rekvalifikáciu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posilnenie nehnuteľného majetku výkonu spravodlivosti podpisuje verejný </w:t>
            </w:r>
            <w:r w:rsidRPr="00326E55">
              <w:rPr>
                <w:rFonts w:ascii="Times New Roman" w:hAnsi="Times New Roman"/>
                <w:noProof/>
                <w:spacing w:val="-6"/>
                <w:lang w:val="sk-SK"/>
              </w:rPr>
              <w:t>obstarávateľ na základe verejného obstarávania.</w:t>
            </w:r>
          </w:p>
        </w:tc>
        <w:tc>
          <w:tcPr>
            <w:tcW w:w="1560" w:type="dxa"/>
            <w:shd w:val="clear" w:color="auto" w:fill="C6EFCD"/>
            <w:vAlign w:val="center"/>
          </w:tcPr>
          <w:p w14:paraId="4CA9E4CC" w14:textId="74D7CF3D"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základe postupu verejného obstarávania</w:t>
            </w:r>
          </w:p>
        </w:tc>
        <w:tc>
          <w:tcPr>
            <w:tcW w:w="1256" w:type="dxa"/>
            <w:shd w:val="clear" w:color="auto" w:fill="C6EFCD"/>
            <w:vAlign w:val="center"/>
          </w:tcPr>
          <w:p w14:paraId="2CBB317D" w14:textId="6FD2D19F"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871" w:type="dxa"/>
            <w:shd w:val="clear" w:color="auto" w:fill="C6EFCD"/>
            <w:vAlign w:val="center"/>
          </w:tcPr>
          <w:p w14:paraId="246657E9" w14:textId="05C0B488"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989" w:type="dxa"/>
            <w:shd w:val="clear" w:color="auto" w:fill="C6EFCD"/>
            <w:vAlign w:val="center"/>
          </w:tcPr>
          <w:p w14:paraId="054754C6" w14:textId="4CDA6AF2"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NEUVEDENÉ</w:t>
            </w:r>
          </w:p>
        </w:tc>
        <w:tc>
          <w:tcPr>
            <w:tcW w:w="994" w:type="dxa"/>
            <w:shd w:val="clear" w:color="auto" w:fill="C6EFCD"/>
            <w:vAlign w:val="center"/>
          </w:tcPr>
          <w:p w14:paraId="1C8BDC37" w14:textId="72459FD3"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ŠTVRTÝ ŠTVRŤROK</w:t>
            </w:r>
          </w:p>
        </w:tc>
        <w:tc>
          <w:tcPr>
            <w:tcW w:w="710" w:type="dxa"/>
            <w:shd w:val="clear" w:color="auto" w:fill="C6EFCD"/>
            <w:vAlign w:val="center"/>
          </w:tcPr>
          <w:p w14:paraId="3C8BEADE" w14:textId="741160A7"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2023</w:t>
            </w:r>
          </w:p>
        </w:tc>
        <w:tc>
          <w:tcPr>
            <w:tcW w:w="3902" w:type="dxa"/>
            <w:shd w:val="clear" w:color="auto" w:fill="C6EFCD"/>
          </w:tcPr>
          <w:p w14:paraId="7B80AE92" w14:textId="197B34DE" w:rsidR="00BF03AA" w:rsidRPr="00326E55" w:rsidRDefault="00FB452D">
            <w:pPr>
              <w:pStyle w:val="P68B1DB1-Other1069"/>
              <w:rPr>
                <w:rStyle w:val="Other1"/>
                <w:rFonts w:ascii="Times New Roman" w:hAnsi="Times New Roman" w:cs="Arial"/>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výstavbu budov, re</w:t>
            </w:r>
            <w:r w:rsidRPr="00326E55">
              <w:rPr>
                <w:rFonts w:ascii="Times New Roman" w:hAnsi="Times New Roman"/>
                <w:noProof/>
                <w:spacing w:val="-6"/>
                <w:lang w:val="sk-SK"/>
              </w:rPr>
              <w:t>kvalifikáciu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nehnuteľného majetku výkonu spravodlivosti.</w:t>
            </w:r>
          </w:p>
        </w:tc>
      </w:tr>
      <w:tr w:rsidR="00BF03AA" w:rsidRPr="00326E55" w14:paraId="7DB75A60" w14:textId="77777777">
        <w:trPr>
          <w:cantSplit/>
          <w:trHeight w:val="300"/>
          <w:jc w:val="center"/>
        </w:trPr>
        <w:tc>
          <w:tcPr>
            <w:tcW w:w="1123" w:type="dxa"/>
            <w:shd w:val="clear" w:color="auto" w:fill="C6EFCD"/>
            <w:vAlign w:val="center"/>
          </w:tcPr>
          <w:p w14:paraId="6E365C3D" w14:textId="5E7AA3B9"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8</w:t>
            </w:r>
          </w:p>
        </w:tc>
        <w:tc>
          <w:tcPr>
            <w:tcW w:w="1574" w:type="dxa"/>
            <w:shd w:val="clear" w:color="auto" w:fill="C6EFCD"/>
            <w:vAlign w:val="center"/>
          </w:tcPr>
          <w:p w14:paraId="367D70D2" w14:textId="21E7CCBF"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1.2 – Rekvalifikácia verejného nehnuteľného majetku čiastočne alebo úplne využívaného výkonom spravodlivosti</w:t>
            </w:r>
          </w:p>
        </w:tc>
        <w:tc>
          <w:tcPr>
            <w:tcW w:w="1133" w:type="dxa"/>
            <w:shd w:val="clear" w:color="auto" w:fill="C6EFCD"/>
            <w:vAlign w:val="center"/>
          </w:tcPr>
          <w:p w14:paraId="055DE80F" w14:textId="54A67B60"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Cieľ</w:t>
            </w:r>
          </w:p>
        </w:tc>
        <w:tc>
          <w:tcPr>
            <w:tcW w:w="1843" w:type="dxa"/>
            <w:shd w:val="clear" w:color="auto" w:fill="C6EFCD"/>
            <w:vAlign w:val="center"/>
          </w:tcPr>
          <w:p w14:paraId="7E9C2AA9" w14:textId="6269488E"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 xml:space="preserve">Vykonané práce na najmenej 289000 metrov </w:t>
            </w:r>
            <w:r w:rsidRPr="00326E55">
              <w:rPr>
                <w:rFonts w:ascii="Times New Roman" w:hAnsi="Times New Roman"/>
                <w:noProof/>
                <w:spacing w:val="-6"/>
                <w:lang w:val="sk-SK"/>
              </w:rPr>
              <w:t>štvorcových verejných nehnuteľností</w:t>
            </w:r>
          </w:p>
        </w:tc>
        <w:tc>
          <w:tcPr>
            <w:tcW w:w="1560" w:type="dxa"/>
            <w:shd w:val="clear" w:color="auto" w:fill="C6EFCD"/>
            <w:vAlign w:val="center"/>
          </w:tcPr>
          <w:p w14:paraId="481DA3D5" w14:textId="242CD523"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NEUVEDENÉ</w:t>
            </w:r>
          </w:p>
        </w:tc>
        <w:tc>
          <w:tcPr>
            <w:tcW w:w="1256" w:type="dxa"/>
            <w:shd w:val="clear" w:color="auto" w:fill="C6EFCD"/>
            <w:vAlign w:val="center"/>
          </w:tcPr>
          <w:p w14:paraId="342307C2" w14:textId="66F95FC7"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871" w:type="dxa"/>
            <w:shd w:val="clear" w:color="auto" w:fill="C6EFCD"/>
            <w:vAlign w:val="center"/>
          </w:tcPr>
          <w:p w14:paraId="3EED6E1A" w14:textId="07DC3AC0"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0</w:t>
            </w:r>
          </w:p>
        </w:tc>
        <w:tc>
          <w:tcPr>
            <w:tcW w:w="989" w:type="dxa"/>
            <w:shd w:val="clear" w:color="auto" w:fill="C6EFCD"/>
            <w:vAlign w:val="center"/>
          </w:tcPr>
          <w:p w14:paraId="35A5A001" w14:textId="6CC7DB82"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289 000</w:t>
            </w:r>
          </w:p>
        </w:tc>
        <w:tc>
          <w:tcPr>
            <w:tcW w:w="994" w:type="dxa"/>
            <w:shd w:val="clear" w:color="auto" w:fill="C6EFCD"/>
            <w:vAlign w:val="center"/>
          </w:tcPr>
          <w:p w14:paraId="2DF827EC" w14:textId="2981C5A0"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PRVÝ ŠTVRŤROK</w:t>
            </w:r>
          </w:p>
        </w:tc>
        <w:tc>
          <w:tcPr>
            <w:tcW w:w="710" w:type="dxa"/>
            <w:shd w:val="clear" w:color="auto" w:fill="C6EFCD"/>
            <w:vAlign w:val="center"/>
          </w:tcPr>
          <w:p w14:paraId="24204F3E" w14:textId="728746B1"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2026</w:t>
            </w:r>
          </w:p>
        </w:tc>
        <w:tc>
          <w:tcPr>
            <w:tcW w:w="3902" w:type="dxa"/>
            <w:shd w:val="clear" w:color="auto" w:fill="C6EFCD"/>
          </w:tcPr>
          <w:p w14:paraId="528970C0" w14:textId="50AA69C8" w:rsidR="00BF03AA" w:rsidRPr="00326E55" w:rsidRDefault="00FB452D">
            <w:pPr>
              <w:pStyle w:val="P68B1DB1-Other1069"/>
              <w:rPr>
                <w:rFonts w:ascii="Times New Roman" w:hAnsi="Times New Roman" w:cs="Arial"/>
                <w:noProof/>
                <w:spacing w:val="-6"/>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verejnom nehnuteľnom majetku, ktorý čiastočne alebo úplne využíva výkon spravodlivosti, najmenej na 289000 metrov štvorcových.</w:t>
            </w:r>
          </w:p>
        </w:tc>
      </w:tr>
      <w:tr w:rsidR="00BF03AA" w:rsidRPr="00326E55" w14:paraId="1D575B72" w14:textId="77777777">
        <w:trPr>
          <w:cantSplit/>
          <w:trHeight w:val="300"/>
          <w:jc w:val="center"/>
        </w:trPr>
        <w:tc>
          <w:tcPr>
            <w:tcW w:w="1123" w:type="dxa"/>
            <w:shd w:val="clear" w:color="auto" w:fill="C6EFCD"/>
            <w:vAlign w:val="center"/>
          </w:tcPr>
          <w:p w14:paraId="281AA1C3" w14:textId="0B527F29"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w:t>
            </w:r>
            <w:r w:rsidRPr="00326E55">
              <w:rPr>
                <w:rFonts w:ascii="Times New Roman" w:hAnsi="Times New Roman"/>
                <w:noProof/>
                <w:spacing w:val="-6"/>
                <w:lang w:val="sk-SK"/>
              </w:rPr>
              <w:t xml:space="preserve"> – 9</w:t>
            </w:r>
          </w:p>
        </w:tc>
        <w:tc>
          <w:tcPr>
            <w:tcW w:w="1574" w:type="dxa"/>
            <w:shd w:val="clear" w:color="auto" w:fill="C6EFCD"/>
            <w:vAlign w:val="center"/>
          </w:tcPr>
          <w:p w14:paraId="20BC6D8D" w14:textId="76E4FF6A"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3.1: Podpora účinného diaľkového vykurovania</w:t>
            </w:r>
          </w:p>
        </w:tc>
        <w:tc>
          <w:tcPr>
            <w:tcW w:w="1133" w:type="dxa"/>
            <w:shd w:val="clear" w:color="auto" w:fill="C6EFCD"/>
            <w:vAlign w:val="center"/>
          </w:tcPr>
          <w:p w14:paraId="77C382CA" w14:textId="4A277633"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Míľnik</w:t>
            </w:r>
          </w:p>
        </w:tc>
        <w:tc>
          <w:tcPr>
            <w:tcW w:w="1843" w:type="dxa"/>
            <w:shd w:val="clear" w:color="auto" w:fill="C6EFCD"/>
            <w:vAlign w:val="center"/>
          </w:tcPr>
          <w:p w14:paraId="227D694C" w14:textId="66EE638F"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Zákazky na zlepšenie vykurovacích sietí zadáva ministerstvo pre ekologickú transformáciu na základe postupu verejného obstarávania.</w:t>
            </w:r>
          </w:p>
        </w:tc>
        <w:tc>
          <w:tcPr>
            <w:tcW w:w="1560" w:type="dxa"/>
            <w:shd w:val="clear" w:color="auto" w:fill="C6EFCD"/>
            <w:vAlign w:val="center"/>
          </w:tcPr>
          <w:p w14:paraId="403D45AD" w14:textId="540E5392"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všetkých verejných zákaziek na </w:t>
            </w:r>
            <w:r w:rsidRPr="00326E55">
              <w:rPr>
                <w:rFonts w:ascii="Times New Roman" w:hAnsi="Times New Roman"/>
                <w:noProof/>
                <w:spacing w:val="-6"/>
                <w:lang w:val="sk-SK"/>
              </w:rPr>
              <w:t>základe postupu verejného obstarávania</w:t>
            </w:r>
          </w:p>
        </w:tc>
        <w:tc>
          <w:tcPr>
            <w:tcW w:w="1256" w:type="dxa"/>
            <w:shd w:val="clear" w:color="auto" w:fill="C6EFCD"/>
            <w:vAlign w:val="center"/>
          </w:tcPr>
          <w:p w14:paraId="09A6D91D" w14:textId="3BB62E2F"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71" w:type="dxa"/>
            <w:shd w:val="clear" w:color="auto" w:fill="C6EFCD"/>
            <w:vAlign w:val="center"/>
          </w:tcPr>
          <w:p w14:paraId="60E3EA27" w14:textId="57168CE7"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89" w:type="dxa"/>
            <w:shd w:val="clear" w:color="auto" w:fill="C6EFCD"/>
            <w:vAlign w:val="center"/>
          </w:tcPr>
          <w:p w14:paraId="229AB1FC" w14:textId="17284CDE"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4" w:type="dxa"/>
            <w:shd w:val="clear" w:color="auto" w:fill="C6EFCD"/>
            <w:vAlign w:val="center"/>
          </w:tcPr>
          <w:p w14:paraId="23AAE5E4" w14:textId="0019970D"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ŠTVRTÝ ŠTVRŤROK</w:t>
            </w:r>
          </w:p>
        </w:tc>
        <w:tc>
          <w:tcPr>
            <w:tcW w:w="710" w:type="dxa"/>
            <w:shd w:val="clear" w:color="auto" w:fill="C6EFCD"/>
            <w:vAlign w:val="center"/>
          </w:tcPr>
          <w:p w14:paraId="6E423165" w14:textId="70C47C40"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2022</w:t>
            </w:r>
          </w:p>
        </w:tc>
        <w:tc>
          <w:tcPr>
            <w:tcW w:w="3902" w:type="dxa"/>
            <w:shd w:val="clear" w:color="auto" w:fill="C6EFCD"/>
          </w:tcPr>
          <w:p w14:paraId="0B6A92A1" w14:textId="77777777" w:rsidR="00BF03AA" w:rsidRPr="00326E55" w:rsidRDefault="00FB452D">
            <w:pPr>
              <w:pStyle w:val="P68B1DB1-Other1069"/>
              <w:rPr>
                <w:rFonts w:ascii="Times New Roman" w:hAnsi="Times New Roman"/>
                <w:noProof/>
                <w:spacing w:val="-6"/>
                <w:lang w:val="sk-SK"/>
              </w:rPr>
            </w:pPr>
            <w:r w:rsidRPr="00326E55">
              <w:rPr>
                <w:rFonts w:ascii="Times New Roman" w:hAnsi="Times New Roman"/>
                <w:noProof/>
                <w:spacing w:val="-6"/>
                <w:lang w:val="sk-SK"/>
              </w:rPr>
              <w:t>Zadávanie všetkých verejných zákaziek na výstavbu nových sietí diaľkového vykurovania alebo rozšírenie existujúcich sietí diaľkového vykurovania, čo by malo zahŕňať p</w:t>
            </w:r>
            <w:r w:rsidRPr="00326E55">
              <w:rPr>
                <w:rFonts w:ascii="Times New Roman" w:hAnsi="Times New Roman"/>
                <w:noProof/>
                <w:spacing w:val="-6"/>
                <w:lang w:val="sk-SK"/>
              </w:rPr>
              <w:t>ožiadavku na zníženie spotreby energie.</w:t>
            </w:r>
          </w:p>
          <w:p w14:paraId="0241140F" w14:textId="77777777" w:rsidR="00BF03AA" w:rsidRPr="00326E55" w:rsidRDefault="00BF03AA">
            <w:pPr>
              <w:pStyle w:val="Other10"/>
              <w:rPr>
                <w:rFonts w:ascii="Times New Roman" w:hAnsi="Times New Roman"/>
                <w:noProof/>
                <w:spacing w:val="-6"/>
                <w:sz w:val="20"/>
                <w:szCs w:val="20"/>
                <w:lang w:val="sk-SK"/>
              </w:rPr>
            </w:pPr>
          </w:p>
          <w:p w14:paraId="7C6DDA29" w14:textId="78C9D46D" w:rsidR="00BF03AA" w:rsidRPr="00326E55" w:rsidRDefault="00FB452D">
            <w:pPr>
              <w:pStyle w:val="P68B1DB1-Other1071"/>
              <w:rPr>
                <w:rFonts w:ascii="Times New Roman" w:hAnsi="Times New Roman" w:cs="Arial"/>
                <w:noProof/>
                <w:spacing w:val="-6"/>
                <w:szCs w:val="20"/>
                <w:lang w:val="sk-SK"/>
              </w:rPr>
            </w:pPr>
            <w:r w:rsidRPr="00326E55">
              <w:rPr>
                <w:rFonts w:ascii="Times New Roman" w:hAnsi="Times New Roman"/>
                <w:noProof/>
                <w:spacing w:val="-6"/>
                <w:lang w:val="sk-SK"/>
              </w:rPr>
              <w:t>Zadávanie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w:t>
            </w:r>
            <w:r w:rsidRPr="00326E55">
              <w:rPr>
                <w:rFonts w:ascii="Times New Roman" w:hAnsi="Times New Roman"/>
                <w:noProof/>
                <w:spacing w:val="-6"/>
                <w:lang w:val="sk-SK"/>
              </w:rPr>
              <w:t>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25DF86C3" w14:textId="77777777">
        <w:trPr>
          <w:cantSplit/>
          <w:trHeight w:val="300"/>
          <w:jc w:val="center"/>
        </w:trPr>
        <w:tc>
          <w:tcPr>
            <w:tcW w:w="1123" w:type="dxa"/>
            <w:shd w:val="clear" w:color="auto" w:fill="C6EFCD"/>
            <w:vAlign w:val="center"/>
          </w:tcPr>
          <w:p w14:paraId="537CEDF8" w14:textId="1D96E7D6"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M2C3 – 10</w:t>
            </w:r>
          </w:p>
        </w:tc>
        <w:tc>
          <w:tcPr>
            <w:tcW w:w="1574" w:type="dxa"/>
            <w:shd w:val="clear" w:color="auto" w:fill="C6EFCD"/>
            <w:vAlign w:val="center"/>
          </w:tcPr>
          <w:p w14:paraId="7AC22CD0" w14:textId="4148C93F"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Investícia 3.1: Podpora účinného diaľkového vykurovania</w:t>
            </w:r>
          </w:p>
        </w:tc>
        <w:tc>
          <w:tcPr>
            <w:tcW w:w="1133" w:type="dxa"/>
            <w:shd w:val="clear" w:color="auto" w:fill="C6EFCD"/>
            <w:vAlign w:val="center"/>
          </w:tcPr>
          <w:p w14:paraId="063E3315" w14:textId="205D3AD3"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Cieľ</w:t>
            </w:r>
          </w:p>
        </w:tc>
        <w:tc>
          <w:tcPr>
            <w:tcW w:w="1843" w:type="dxa"/>
            <w:shd w:val="clear" w:color="auto" w:fill="C6EFCD"/>
            <w:vAlign w:val="center"/>
          </w:tcPr>
          <w:p w14:paraId="1B3A6880" w14:textId="0D8481F5"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 xml:space="preserve">Vybudovanie alebo rozšírenie sietí diaľkového </w:t>
            </w:r>
            <w:r w:rsidRPr="00326E55">
              <w:rPr>
                <w:rFonts w:ascii="Times New Roman" w:hAnsi="Times New Roman"/>
                <w:noProof/>
                <w:spacing w:val="-6"/>
                <w:lang w:val="sk-SK"/>
              </w:rPr>
              <w:t>vykurovania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spotrebu energie</w:t>
            </w:r>
          </w:p>
        </w:tc>
        <w:tc>
          <w:tcPr>
            <w:tcW w:w="1560" w:type="dxa"/>
            <w:shd w:val="clear" w:color="auto" w:fill="C6EFCD"/>
            <w:vAlign w:val="center"/>
          </w:tcPr>
          <w:p w14:paraId="2AC7AEFF" w14:textId="11FD106C" w:rsidR="00BF03AA" w:rsidRPr="00326E55" w:rsidRDefault="00FB452D">
            <w:pPr>
              <w:pStyle w:val="P68B1DB1-Other1069"/>
              <w:jc w:val="center"/>
              <w:rPr>
                <w:rStyle w:val="Other1"/>
                <w:rFonts w:ascii="Times New Roman" w:hAnsi="Times New Roman" w:cs="Arial"/>
                <w:noProof/>
                <w:spacing w:val="-6"/>
                <w:lang w:val="sk-SK"/>
              </w:rPr>
            </w:pPr>
            <w:r w:rsidRPr="00326E55">
              <w:rPr>
                <w:rFonts w:ascii="Times New Roman" w:hAnsi="Times New Roman"/>
                <w:noProof/>
                <w:spacing w:val="-6"/>
                <w:lang w:val="sk-SK"/>
              </w:rPr>
              <w:t>NEUVEDENÉ</w:t>
            </w:r>
          </w:p>
        </w:tc>
        <w:tc>
          <w:tcPr>
            <w:tcW w:w="1256" w:type="dxa"/>
            <w:shd w:val="clear" w:color="auto" w:fill="C6EFCD"/>
            <w:vAlign w:val="center"/>
          </w:tcPr>
          <w:p w14:paraId="499144D4" w14:textId="346BB1AA"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KTOE</w:t>
            </w:r>
          </w:p>
        </w:tc>
        <w:tc>
          <w:tcPr>
            <w:tcW w:w="871" w:type="dxa"/>
            <w:shd w:val="clear" w:color="auto" w:fill="C6EFCD"/>
            <w:vAlign w:val="center"/>
          </w:tcPr>
          <w:p w14:paraId="650A4AD6" w14:textId="228B839A"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0</w:t>
            </w:r>
          </w:p>
        </w:tc>
        <w:tc>
          <w:tcPr>
            <w:tcW w:w="989" w:type="dxa"/>
            <w:shd w:val="clear" w:color="auto" w:fill="C6EFCD"/>
            <w:vAlign w:val="center"/>
          </w:tcPr>
          <w:p w14:paraId="56E5DB11" w14:textId="7C115170" w:rsidR="00BF03AA" w:rsidRPr="00326E55" w:rsidRDefault="00FB452D">
            <w:pPr>
              <w:pStyle w:val="P68B1DB1-Other1069"/>
              <w:jc w:val="center"/>
              <w:rPr>
                <w:rFonts w:ascii="Times New Roman" w:hAnsi="Times New Roman"/>
                <w:noProof/>
                <w:spacing w:val="-6"/>
                <w:lang w:val="sk-SK"/>
              </w:rPr>
            </w:pPr>
            <w:r w:rsidRPr="00326E55">
              <w:rPr>
                <w:rFonts w:ascii="Times New Roman" w:hAnsi="Times New Roman"/>
                <w:noProof/>
                <w:spacing w:val="-6"/>
                <w:lang w:val="sk-SK"/>
              </w:rPr>
              <w:t>30</w:t>
            </w:r>
          </w:p>
        </w:tc>
        <w:tc>
          <w:tcPr>
            <w:tcW w:w="994" w:type="dxa"/>
            <w:shd w:val="clear" w:color="auto" w:fill="C6EFCD"/>
            <w:vAlign w:val="center"/>
          </w:tcPr>
          <w:p w14:paraId="4B120786" w14:textId="25BB8651"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PRVÝ ŠTVRŤROK</w:t>
            </w:r>
          </w:p>
        </w:tc>
        <w:tc>
          <w:tcPr>
            <w:tcW w:w="710" w:type="dxa"/>
            <w:shd w:val="clear" w:color="auto" w:fill="C6EFCD"/>
            <w:vAlign w:val="center"/>
          </w:tcPr>
          <w:p w14:paraId="0DB76C2F" w14:textId="261CA81F" w:rsidR="00BF03AA" w:rsidRPr="00326E55" w:rsidRDefault="00FB452D">
            <w:pPr>
              <w:pStyle w:val="P68B1DB1-Other1069"/>
              <w:jc w:val="center"/>
              <w:rPr>
                <w:rFonts w:ascii="Times New Roman" w:hAnsi="Times New Roman" w:cs="Arial"/>
                <w:noProof/>
                <w:spacing w:val="-6"/>
                <w:lang w:val="sk-SK"/>
              </w:rPr>
            </w:pPr>
            <w:r w:rsidRPr="00326E55">
              <w:rPr>
                <w:rFonts w:ascii="Times New Roman" w:hAnsi="Times New Roman"/>
                <w:noProof/>
                <w:spacing w:val="-6"/>
                <w:lang w:val="sk-SK"/>
              </w:rPr>
              <w:t>2026</w:t>
            </w:r>
          </w:p>
        </w:tc>
        <w:tc>
          <w:tcPr>
            <w:tcW w:w="3902" w:type="dxa"/>
            <w:shd w:val="clear" w:color="auto" w:fill="C6EFCD"/>
          </w:tcPr>
          <w:p w14:paraId="1CA0F691" w14:textId="22085C9C" w:rsidR="00326E55"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výstavbe nových sietí diaľkového vykurovania alebo</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rozšírení existujúcich sietí, ktoré umožňujú zníženie spotreby energie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30 KTOE ročne, ako sa potvrdzuje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správe nezávislého inžiniera</w:t>
            </w:r>
            <w:r w:rsidR="00326E55" w:rsidRPr="00326E55">
              <w:rPr>
                <w:rFonts w:ascii="Times New Roman" w:hAnsi="Times New Roman"/>
                <w:noProof/>
                <w:spacing w:val="-6"/>
                <w:lang w:val="sk-SK"/>
              </w:rPr>
              <w:t>.</w:t>
            </w:r>
          </w:p>
          <w:p w14:paraId="53025886" w14:textId="39C14C6C"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Investícia musí spĺňať podmienky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poznámke pod čiarou </w:t>
            </w:r>
            <w:r w:rsidR="00326E55" w:rsidRPr="00326E55">
              <w:rPr>
                <w:rFonts w:ascii="Times New Roman" w:hAnsi="Times New Roman"/>
                <w:noProof/>
                <w:spacing w:val="-6"/>
                <w:lang w:val="sk-SK"/>
              </w:rPr>
              <w:t>č. </w:t>
            </w:r>
            <w:r w:rsidRPr="00326E55">
              <w:rPr>
                <w:rFonts w:ascii="Times New Roman" w:hAnsi="Times New Roman"/>
                <w:noProof/>
                <w:spacing w:val="-6"/>
                <w:lang w:val="sk-SK"/>
              </w:rPr>
              <w:t>9 prílohy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241/2021/EÚ</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50BE0C02" w14:textId="458609B9" w:rsidR="00BF03AA" w:rsidRPr="00326E55" w:rsidRDefault="00FB452D">
            <w:pPr>
              <w:pStyle w:val="P68B1DB1-Other1069"/>
              <w:rPr>
                <w:rFonts w:ascii="Times New Roman" w:hAnsi="Times New Roman" w:cs="Arial"/>
                <w:noProof/>
                <w:spacing w:val="-6"/>
                <w:lang w:val="sk-SK"/>
              </w:rPr>
            </w:pPr>
            <w:r w:rsidRPr="00326E55">
              <w:rPr>
                <w:rFonts w:ascii="Times New Roman" w:hAnsi="Times New Roman"/>
                <w:noProof/>
                <w:spacing w:val="-6"/>
                <w:lang w:val="sk-SK"/>
              </w:rPr>
              <w:t>Aby boli systémy diaľkového vykurovani</w:t>
            </w:r>
            <w:r w:rsidRPr="00326E55">
              <w:rPr>
                <w:rFonts w:ascii="Times New Roman" w:hAnsi="Times New Roman"/>
                <w:noProof/>
                <w:spacing w:val="-6"/>
                <w:lang w:val="sk-SK"/>
              </w:rPr>
              <w:t>a oprávnené, musia ako hlavný zdroj tepla využívať teplo vyrobené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odpadového tepla alebo</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kombinovanej výroby vo vysokovýkonných zariadeniach. Fosílne palivá sa používajú výlučne ako záloha.</w:t>
            </w:r>
          </w:p>
        </w:tc>
      </w:tr>
    </w:tbl>
    <w:p w14:paraId="7A3CF2D4" w14:textId="77777777" w:rsidR="00BF03AA" w:rsidRPr="00326E55" w:rsidRDefault="00BF03AA">
      <w:pPr>
        <w:tabs>
          <w:tab w:val="left" w:pos="4252"/>
        </w:tabs>
        <w:rPr>
          <w:rFonts w:ascii="Times New Roman" w:hAnsi="Times New Roman"/>
          <w:i/>
          <w:noProof/>
          <w:spacing w:val="-6"/>
          <w:lang w:val="sk-SK"/>
        </w:rPr>
        <w:sectPr w:rsidR="00BF03AA" w:rsidRPr="00326E55" w:rsidSect="006C4CAC">
          <w:headerReference w:type="even" r:id="rId114"/>
          <w:headerReference w:type="default" r:id="rId115"/>
          <w:footerReference w:type="even" r:id="rId116"/>
          <w:footerReference w:type="default" r:id="rId117"/>
          <w:headerReference w:type="first" r:id="rId118"/>
          <w:footerReference w:type="first" r:id="rId119"/>
          <w:pgSz w:w="16838" w:h="11906" w:orient="landscape"/>
          <w:pgMar w:top="1440" w:right="1440" w:bottom="1440" w:left="1440" w:header="708" w:footer="708" w:gutter="0"/>
          <w:cols w:space="708"/>
          <w:docGrid w:linePitch="360"/>
        </w:sectPr>
      </w:pPr>
    </w:p>
    <w:p w14:paraId="4AA1843D" w14:textId="794122F9" w:rsidR="00BF03AA" w:rsidRPr="00326E55" w:rsidRDefault="00FB452D">
      <w:pPr>
        <w:pStyle w:val="P68B1DB1-Heading23"/>
        <w:ind w:left="1080"/>
        <w:rPr>
          <w:noProof/>
          <w:spacing w:val="-6"/>
          <w:lang w:val="sk-SK"/>
        </w:rPr>
      </w:pPr>
      <w:r w:rsidRPr="00326E55">
        <w:rPr>
          <w:noProof/>
          <w:spacing w:val="-6"/>
          <w:lang w:val="sk-SK"/>
        </w:rPr>
        <w:t>G. MISSION 2 COMPONENT 4 – Územné plánovanie</w:t>
      </w:r>
      <w:r w:rsidR="00326E55" w:rsidRPr="00326E55">
        <w:rPr>
          <w:noProof/>
          <w:spacing w:val="-6"/>
          <w:lang w:val="sk-SK"/>
        </w:rPr>
        <w:t xml:space="preserve"> a </w:t>
      </w:r>
      <w:r w:rsidRPr="00326E55">
        <w:rPr>
          <w:noProof/>
          <w:spacing w:val="-6"/>
          <w:lang w:val="sk-SK"/>
        </w:rPr>
        <w:t>vodné zdroje</w:t>
      </w:r>
    </w:p>
    <w:p w14:paraId="315AFA18" w14:textId="4CFDC891" w:rsidR="00BF03AA" w:rsidRPr="00326E55" w:rsidRDefault="00FB452D">
      <w:pPr>
        <w:pStyle w:val="P68B1DB1-Times1272"/>
        <w:rPr>
          <w:noProof/>
          <w:spacing w:val="-6"/>
          <w:lang w:val="sk-SK"/>
        </w:rPr>
      </w:pPr>
      <w:r w:rsidRPr="00326E55">
        <w:rPr>
          <w:noProof/>
          <w:spacing w:val="-6"/>
          <w:lang w:val="sk-SK"/>
        </w:rPr>
        <w:t>Cieľom tejto zložky talianskeho plánu obnovy</w:t>
      </w:r>
      <w:r w:rsidR="00326E55" w:rsidRPr="00326E55">
        <w:rPr>
          <w:noProof/>
          <w:spacing w:val="-6"/>
          <w:lang w:val="sk-SK"/>
        </w:rPr>
        <w:t xml:space="preserve"> a </w:t>
      </w:r>
      <w:r w:rsidRPr="00326E55">
        <w:rPr>
          <w:noProof/>
          <w:spacing w:val="-6"/>
          <w:lang w:val="sk-SK"/>
        </w:rPr>
        <w:t>odolnosti je riešiť niekoľko dlhodobých nedostatkov súvisiacich</w:t>
      </w:r>
      <w:r w:rsidR="00326E55" w:rsidRPr="00326E55">
        <w:rPr>
          <w:noProof/>
          <w:spacing w:val="-6"/>
          <w:lang w:val="sk-SK"/>
        </w:rPr>
        <w:t xml:space="preserve"> s </w:t>
      </w:r>
      <w:r w:rsidRPr="00326E55">
        <w:rPr>
          <w:noProof/>
          <w:spacing w:val="-6"/>
          <w:lang w:val="sk-SK"/>
        </w:rPr>
        <w:t>riadením vodných zdrojov</w:t>
      </w:r>
      <w:r w:rsidR="00326E55" w:rsidRPr="00326E55">
        <w:rPr>
          <w:noProof/>
          <w:spacing w:val="-6"/>
          <w:lang w:val="sk-SK"/>
        </w:rPr>
        <w:t xml:space="preserve"> a </w:t>
      </w:r>
      <w:r w:rsidRPr="00326E55">
        <w:rPr>
          <w:noProof/>
          <w:spacing w:val="-6"/>
          <w:lang w:val="sk-SK"/>
        </w:rPr>
        <w:t>hydrogeologickými rizikami</w:t>
      </w:r>
      <w:r w:rsidR="00326E55" w:rsidRPr="00326E55">
        <w:rPr>
          <w:noProof/>
          <w:spacing w:val="-6"/>
          <w:lang w:val="sk-SK"/>
        </w:rPr>
        <w:t xml:space="preserve"> v </w:t>
      </w:r>
      <w:r w:rsidRPr="00326E55">
        <w:rPr>
          <w:noProof/>
          <w:spacing w:val="-6"/>
          <w:lang w:val="sk-SK"/>
        </w:rPr>
        <w:t>Talian</w:t>
      </w:r>
      <w:r w:rsidRPr="00326E55">
        <w:rPr>
          <w:noProof/>
          <w:spacing w:val="-6"/>
          <w:lang w:val="sk-SK"/>
        </w:rPr>
        <w:t>sku</w:t>
      </w:r>
      <w:r w:rsidR="00326E55" w:rsidRPr="00326E55">
        <w:rPr>
          <w:noProof/>
          <w:spacing w:val="-6"/>
          <w:lang w:val="sk-SK"/>
        </w:rPr>
        <w:t xml:space="preserve"> a </w:t>
      </w:r>
      <w:r w:rsidRPr="00326E55">
        <w:rPr>
          <w:noProof/>
          <w:spacing w:val="-6"/>
          <w:lang w:val="sk-SK"/>
        </w:rPr>
        <w:t>prijať niekoľko opatrení zameraných na zachovanie biodiverzity. To sa má dosiahnuť prostredníctvom významnej</w:t>
      </w:r>
      <w:r w:rsidR="00326E55" w:rsidRPr="00326E55">
        <w:rPr>
          <w:noProof/>
          <w:spacing w:val="-6"/>
          <w:lang w:val="sk-SK"/>
        </w:rPr>
        <w:t xml:space="preserve"> a </w:t>
      </w:r>
      <w:r w:rsidRPr="00326E55">
        <w:rPr>
          <w:noProof/>
          <w:spacing w:val="-6"/>
          <w:lang w:val="sk-SK"/>
        </w:rPr>
        <w:t>vyváženej kombinácie reforiem</w:t>
      </w:r>
      <w:r w:rsidR="00326E55" w:rsidRPr="00326E55">
        <w:rPr>
          <w:noProof/>
          <w:spacing w:val="-6"/>
          <w:lang w:val="sk-SK"/>
        </w:rPr>
        <w:t xml:space="preserve"> a </w:t>
      </w:r>
      <w:r w:rsidRPr="00326E55">
        <w:rPr>
          <w:noProof/>
          <w:spacing w:val="-6"/>
          <w:lang w:val="sk-SK"/>
        </w:rPr>
        <w:t>investícií</w:t>
      </w:r>
      <w:r w:rsidR="00326E55" w:rsidRPr="00326E55">
        <w:rPr>
          <w:noProof/>
          <w:spacing w:val="-6"/>
          <w:lang w:val="sk-SK"/>
        </w:rPr>
        <w:t xml:space="preserve"> v </w:t>
      </w:r>
      <w:r w:rsidRPr="00326E55">
        <w:rPr>
          <w:noProof/>
          <w:spacing w:val="-6"/>
          <w:lang w:val="sk-SK"/>
        </w:rPr>
        <w:t>týchto rôznych rozmeroch.</w:t>
      </w:r>
    </w:p>
    <w:p w14:paraId="0A392DB5" w14:textId="32D16E64" w:rsidR="00BF03AA" w:rsidRPr="00326E55" w:rsidRDefault="00FB452D">
      <w:pPr>
        <w:pStyle w:val="P68B1DB1-Times1272"/>
        <w:rPr>
          <w:noProof/>
          <w:spacing w:val="-6"/>
          <w:lang w:val="sk-SK"/>
        </w:rPr>
      </w:pPr>
      <w:r w:rsidRPr="00326E55">
        <w:rPr>
          <w:noProof/>
          <w:spacing w:val="-6"/>
          <w:lang w:val="sk-SK"/>
        </w:rPr>
        <w:t>Pokiaľ ide</w:t>
      </w:r>
      <w:r w:rsidR="00326E55" w:rsidRPr="00326E55">
        <w:rPr>
          <w:noProof/>
          <w:spacing w:val="-6"/>
          <w:lang w:val="sk-SK"/>
        </w:rPr>
        <w:t xml:space="preserve"> o </w:t>
      </w:r>
      <w:r w:rsidRPr="00326E55">
        <w:rPr>
          <w:noProof/>
          <w:spacing w:val="-6"/>
          <w:lang w:val="sk-SK"/>
        </w:rPr>
        <w:t>reformy,</w:t>
      </w:r>
      <w:r w:rsidR="00326E55" w:rsidRPr="00326E55">
        <w:rPr>
          <w:noProof/>
          <w:spacing w:val="-6"/>
          <w:lang w:val="sk-SK"/>
        </w:rPr>
        <w:t xml:space="preserve"> v </w:t>
      </w:r>
      <w:r w:rsidRPr="00326E55">
        <w:rPr>
          <w:noProof/>
          <w:spacing w:val="-6"/>
          <w:lang w:val="sk-SK"/>
        </w:rPr>
        <w:t xml:space="preserve">komponente sa navrhuje súbor opatrení </w:t>
      </w:r>
      <w:r w:rsidRPr="00326E55">
        <w:rPr>
          <w:noProof/>
          <w:spacing w:val="-6"/>
          <w:lang w:val="sk-SK"/>
        </w:rPr>
        <w:t>zameraných najmä na zlepšenie efektívnosti hospodárenia</w:t>
      </w:r>
      <w:r w:rsidR="00326E55" w:rsidRPr="00326E55">
        <w:rPr>
          <w:noProof/>
          <w:spacing w:val="-6"/>
          <w:lang w:val="sk-SK"/>
        </w:rPr>
        <w:t xml:space="preserve"> s </w:t>
      </w:r>
      <w:r w:rsidRPr="00326E55">
        <w:rPr>
          <w:noProof/>
          <w:spacing w:val="-6"/>
          <w:lang w:val="sk-SK"/>
        </w:rPr>
        <w:t>vodnými zdrojmi znížením fragmentácie odvetvia, zavedením primeranej cenovej politiky</w:t>
      </w:r>
      <w:r w:rsidR="00326E55" w:rsidRPr="00326E55">
        <w:rPr>
          <w:noProof/>
          <w:spacing w:val="-6"/>
          <w:lang w:val="sk-SK"/>
        </w:rPr>
        <w:t xml:space="preserve"> a </w:t>
      </w:r>
      <w:r w:rsidRPr="00326E55">
        <w:rPr>
          <w:noProof/>
          <w:spacing w:val="-6"/>
          <w:lang w:val="sk-SK"/>
        </w:rPr>
        <w:t>stanovením viacerých stimulov na riešenie existujúcich problémov súvisiacich</w:t>
      </w:r>
      <w:r w:rsidR="00326E55" w:rsidRPr="00326E55">
        <w:rPr>
          <w:noProof/>
          <w:spacing w:val="-6"/>
          <w:lang w:val="sk-SK"/>
        </w:rPr>
        <w:t xml:space="preserve"> s </w:t>
      </w:r>
      <w:r w:rsidRPr="00326E55">
        <w:rPr>
          <w:noProof/>
          <w:spacing w:val="-6"/>
          <w:lang w:val="sk-SK"/>
        </w:rPr>
        <w:t>odpadovými vodami. Reformy</w:t>
      </w:r>
      <w:r w:rsidR="00326E55" w:rsidRPr="00326E55">
        <w:rPr>
          <w:noProof/>
          <w:spacing w:val="-6"/>
          <w:lang w:val="sk-SK"/>
        </w:rPr>
        <w:t xml:space="preserve"> v </w:t>
      </w:r>
      <w:r w:rsidRPr="00326E55">
        <w:rPr>
          <w:noProof/>
          <w:spacing w:val="-6"/>
          <w:lang w:val="sk-SK"/>
        </w:rPr>
        <w:t>te</w:t>
      </w:r>
      <w:r w:rsidRPr="00326E55">
        <w:rPr>
          <w:noProof/>
          <w:spacing w:val="-6"/>
          <w:lang w:val="sk-SK"/>
        </w:rPr>
        <w:t>jto zložke zahŕňajú aj súbor opatrení na zjednodušenie navrhovania</w:t>
      </w:r>
      <w:r w:rsidR="00326E55" w:rsidRPr="00326E55">
        <w:rPr>
          <w:noProof/>
          <w:spacing w:val="-6"/>
          <w:lang w:val="sk-SK"/>
        </w:rPr>
        <w:t xml:space="preserve"> a </w:t>
      </w:r>
      <w:r w:rsidRPr="00326E55">
        <w:rPr>
          <w:noProof/>
          <w:spacing w:val="-6"/>
          <w:lang w:val="sk-SK"/>
        </w:rPr>
        <w:t>realizácie projektov týkajúcich sa vodohospodárskej infraštruktúry</w:t>
      </w:r>
      <w:r w:rsidR="00326E55" w:rsidRPr="00326E55">
        <w:rPr>
          <w:noProof/>
          <w:spacing w:val="-6"/>
          <w:lang w:val="sk-SK"/>
        </w:rPr>
        <w:t xml:space="preserve"> a </w:t>
      </w:r>
      <w:r w:rsidRPr="00326E55">
        <w:rPr>
          <w:noProof/>
          <w:spacing w:val="-6"/>
          <w:lang w:val="sk-SK"/>
        </w:rPr>
        <w:t>riadenia</w:t>
      </w:r>
      <w:r w:rsidR="00326E55" w:rsidRPr="00326E55">
        <w:rPr>
          <w:noProof/>
          <w:spacing w:val="-6"/>
          <w:lang w:val="sk-SK"/>
        </w:rPr>
        <w:t xml:space="preserve"> a </w:t>
      </w:r>
      <w:r w:rsidRPr="00326E55">
        <w:rPr>
          <w:noProof/>
          <w:spacing w:val="-6"/>
          <w:lang w:val="sk-SK"/>
        </w:rPr>
        <w:t>znižovania hydrologických rizík.</w:t>
      </w:r>
    </w:p>
    <w:p w14:paraId="4E9B3B11" w14:textId="119EED87" w:rsidR="00BF03AA" w:rsidRPr="00326E55" w:rsidRDefault="00FB452D">
      <w:pPr>
        <w:pStyle w:val="P68B1DB1-Times1272"/>
        <w:rPr>
          <w:noProof/>
          <w:spacing w:val="-6"/>
          <w:lang w:val="sk-SK"/>
        </w:rPr>
      </w:pPr>
      <w:r w:rsidRPr="00326E55">
        <w:rPr>
          <w:noProof/>
          <w:spacing w:val="-6"/>
          <w:lang w:val="sk-SK"/>
        </w:rPr>
        <w:t>Investície spojené</w:t>
      </w:r>
      <w:r w:rsidR="00326E55" w:rsidRPr="00326E55">
        <w:rPr>
          <w:noProof/>
          <w:spacing w:val="-6"/>
          <w:lang w:val="sk-SK"/>
        </w:rPr>
        <w:t xml:space="preserve"> s </w:t>
      </w:r>
      <w:r w:rsidRPr="00326E55">
        <w:rPr>
          <w:noProof/>
          <w:spacing w:val="-6"/>
          <w:lang w:val="sk-SK"/>
        </w:rPr>
        <w:t>týmto komponentom prispievajú</w:t>
      </w:r>
      <w:r w:rsidR="00326E55" w:rsidRPr="00326E55">
        <w:rPr>
          <w:noProof/>
          <w:spacing w:val="-6"/>
          <w:lang w:val="sk-SK"/>
        </w:rPr>
        <w:t xml:space="preserve"> k </w:t>
      </w:r>
      <w:r w:rsidRPr="00326E55">
        <w:rPr>
          <w:noProof/>
          <w:spacing w:val="-6"/>
          <w:lang w:val="sk-SK"/>
        </w:rPr>
        <w:t>zmierneniu</w:t>
      </w:r>
      <w:r w:rsidR="00326E55" w:rsidRPr="00326E55">
        <w:rPr>
          <w:noProof/>
          <w:spacing w:val="-6"/>
          <w:lang w:val="sk-SK"/>
        </w:rPr>
        <w:t xml:space="preserve"> a </w:t>
      </w:r>
      <w:r w:rsidRPr="00326E55">
        <w:rPr>
          <w:noProof/>
          <w:spacing w:val="-6"/>
          <w:lang w:val="sk-SK"/>
        </w:rPr>
        <w:t>lepšiemu</w:t>
      </w:r>
      <w:r w:rsidRPr="00326E55">
        <w:rPr>
          <w:noProof/>
          <w:spacing w:val="-6"/>
          <w:lang w:val="sk-SK"/>
        </w:rPr>
        <w:t xml:space="preserve"> riadeniu hydrogeologického rizika</w:t>
      </w:r>
      <w:r w:rsidR="00326E55" w:rsidRPr="00326E55">
        <w:rPr>
          <w:noProof/>
          <w:spacing w:val="-6"/>
          <w:lang w:val="sk-SK"/>
        </w:rPr>
        <w:t xml:space="preserve"> v </w:t>
      </w:r>
      <w:r w:rsidRPr="00326E55">
        <w:rPr>
          <w:noProof/>
          <w:spacing w:val="-6"/>
          <w:lang w:val="sk-SK"/>
        </w:rPr>
        <w:t>Taliansku,</w:t>
      </w:r>
      <w:r w:rsidR="00326E55" w:rsidRPr="00326E55">
        <w:rPr>
          <w:noProof/>
          <w:spacing w:val="-6"/>
          <w:lang w:val="sk-SK"/>
        </w:rPr>
        <w:t xml:space="preserve"> a </w:t>
      </w:r>
      <w:r w:rsidRPr="00326E55">
        <w:rPr>
          <w:noProof/>
          <w:spacing w:val="-6"/>
          <w:lang w:val="sk-SK"/>
        </w:rPr>
        <w:t>to</w:t>
      </w:r>
      <w:r w:rsidR="00326E55" w:rsidRPr="00326E55">
        <w:rPr>
          <w:noProof/>
          <w:spacing w:val="-6"/>
          <w:lang w:val="sk-SK"/>
        </w:rPr>
        <w:t xml:space="preserve"> z </w:t>
      </w:r>
      <w:r w:rsidRPr="00326E55">
        <w:rPr>
          <w:noProof/>
          <w:spacing w:val="-6"/>
          <w:lang w:val="sk-SK"/>
        </w:rPr>
        <w:t>hľadiska prevencie aj adaptácie,</w:t>
      </w:r>
      <w:r w:rsidR="00326E55" w:rsidRPr="00326E55">
        <w:rPr>
          <w:noProof/>
          <w:spacing w:val="-6"/>
          <w:lang w:val="sk-SK"/>
        </w:rPr>
        <w:t xml:space="preserve"> a </w:t>
      </w:r>
      <w:r w:rsidRPr="00326E55">
        <w:rPr>
          <w:noProof/>
          <w:spacing w:val="-6"/>
          <w:lang w:val="sk-SK"/>
        </w:rPr>
        <w:t>ich cieľom je zvýšiť odolnosť infraštruktúry súvisiacej</w:t>
      </w:r>
      <w:r w:rsidR="00326E55" w:rsidRPr="00326E55">
        <w:rPr>
          <w:noProof/>
          <w:spacing w:val="-6"/>
          <w:lang w:val="sk-SK"/>
        </w:rPr>
        <w:t xml:space="preserve"> s </w:t>
      </w:r>
      <w:r w:rsidRPr="00326E55">
        <w:rPr>
          <w:noProof/>
          <w:spacing w:val="-6"/>
          <w:lang w:val="sk-SK"/>
        </w:rPr>
        <w:t>vodou. Okrem toho sa zameriavajú na výrazné zlepšenie hospodárenia</w:t>
      </w:r>
      <w:r w:rsidR="00326E55" w:rsidRPr="00326E55">
        <w:rPr>
          <w:noProof/>
          <w:spacing w:val="-6"/>
          <w:lang w:val="sk-SK"/>
        </w:rPr>
        <w:t xml:space="preserve"> s </w:t>
      </w:r>
      <w:r w:rsidRPr="00326E55">
        <w:rPr>
          <w:noProof/>
          <w:spacing w:val="-6"/>
          <w:lang w:val="sk-SK"/>
        </w:rPr>
        <w:t>vodnými zdrojmi prostredníctvom lepšieh</w:t>
      </w:r>
      <w:r w:rsidRPr="00326E55">
        <w:rPr>
          <w:noProof/>
          <w:spacing w:val="-6"/>
          <w:lang w:val="sk-SK"/>
        </w:rPr>
        <w:t>o nakladania</w:t>
      </w:r>
      <w:r w:rsidR="00326E55" w:rsidRPr="00326E55">
        <w:rPr>
          <w:noProof/>
          <w:spacing w:val="-6"/>
          <w:lang w:val="sk-SK"/>
        </w:rPr>
        <w:t xml:space="preserve"> s </w:t>
      </w:r>
      <w:r w:rsidRPr="00326E55">
        <w:rPr>
          <w:noProof/>
          <w:spacing w:val="-6"/>
          <w:lang w:val="sk-SK"/>
        </w:rPr>
        <w:t>odpadovými vodami</w:t>
      </w:r>
      <w:r w:rsidR="00326E55" w:rsidRPr="00326E55">
        <w:rPr>
          <w:noProof/>
          <w:spacing w:val="-6"/>
          <w:lang w:val="sk-SK"/>
        </w:rPr>
        <w:t xml:space="preserve"> a </w:t>
      </w:r>
      <w:r w:rsidRPr="00326E55">
        <w:rPr>
          <w:noProof/>
          <w:spacing w:val="-6"/>
          <w:lang w:val="sk-SK"/>
        </w:rPr>
        <w:t>výrazného zníženia únikov vody,</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v </w:t>
      </w:r>
      <w:r w:rsidRPr="00326E55">
        <w:rPr>
          <w:noProof/>
          <w:spacing w:val="-6"/>
          <w:lang w:val="sk-SK"/>
        </w:rPr>
        <w:t>odvetví poľnohospodárstva. Investície posilnia digitalizáciu týchto odvetví</w:t>
      </w:r>
      <w:r w:rsidR="00326E55" w:rsidRPr="00326E55">
        <w:rPr>
          <w:noProof/>
          <w:spacing w:val="-6"/>
          <w:lang w:val="sk-SK"/>
        </w:rPr>
        <w:t xml:space="preserve"> a </w:t>
      </w:r>
      <w:r w:rsidRPr="00326E55">
        <w:rPr>
          <w:noProof/>
          <w:spacing w:val="-6"/>
          <w:lang w:val="sk-SK"/>
        </w:rPr>
        <w:t>zabezpečia, aby boli energeticky efektívnejšie</w:t>
      </w:r>
      <w:r w:rsidR="00326E55" w:rsidRPr="00326E55">
        <w:rPr>
          <w:noProof/>
          <w:spacing w:val="-6"/>
          <w:lang w:val="sk-SK"/>
        </w:rPr>
        <w:t xml:space="preserve"> a </w:t>
      </w:r>
      <w:r w:rsidRPr="00326E55">
        <w:rPr>
          <w:noProof/>
          <w:spacing w:val="-6"/>
          <w:lang w:val="sk-SK"/>
        </w:rPr>
        <w:t xml:space="preserve">lepšie prispôsobené zmene klímy. Táto zložka zahŕňa </w:t>
      </w:r>
      <w:r w:rsidRPr="00326E55">
        <w:rPr>
          <w:noProof/>
          <w:spacing w:val="-6"/>
          <w:lang w:val="sk-SK"/>
        </w:rPr>
        <w:t>aj súbor opatrení zameraných na zachovanie biodiverzity</w:t>
      </w:r>
      <w:r w:rsidR="00326E55" w:rsidRPr="00326E55">
        <w:rPr>
          <w:noProof/>
          <w:spacing w:val="-6"/>
          <w:lang w:val="sk-SK"/>
        </w:rPr>
        <w:t xml:space="preserve"> a </w:t>
      </w:r>
      <w:r w:rsidRPr="00326E55">
        <w:rPr>
          <w:noProof/>
          <w:spacing w:val="-6"/>
          <w:lang w:val="sk-SK"/>
        </w:rPr>
        <w:t>zelených plôch</w:t>
      </w:r>
      <w:r w:rsidR="00326E55" w:rsidRPr="00326E55">
        <w:rPr>
          <w:noProof/>
          <w:spacing w:val="-6"/>
          <w:lang w:val="sk-SK"/>
        </w:rPr>
        <w:t xml:space="preserve"> v </w:t>
      </w:r>
      <w:r w:rsidRPr="00326E55">
        <w:rPr>
          <w:noProof/>
          <w:spacing w:val="-6"/>
          <w:lang w:val="sk-SK"/>
        </w:rPr>
        <w:t>súlade so stratégiou EÚ</w:t>
      </w:r>
      <w:r w:rsidR="00326E55" w:rsidRPr="00326E55">
        <w:rPr>
          <w:noProof/>
          <w:spacing w:val="-6"/>
          <w:lang w:val="sk-SK"/>
        </w:rPr>
        <w:t xml:space="preserve"> v </w:t>
      </w:r>
      <w:r w:rsidRPr="00326E55">
        <w:rPr>
          <w:noProof/>
          <w:spacing w:val="-6"/>
          <w:lang w:val="sk-SK"/>
        </w:rPr>
        <w:t>oblasti biodiverzity do roku 2030.</w:t>
      </w:r>
    </w:p>
    <w:p w14:paraId="3435CB80" w14:textId="69558738" w:rsidR="00BF03AA" w:rsidRPr="00326E55" w:rsidRDefault="00FB452D">
      <w:pPr>
        <w:pStyle w:val="P68B1DB1-Times1273"/>
        <w:rPr>
          <w:rFonts w:ascii="Times New Roman" w:hAnsi="Times New Roman" w:cs="Times New Roman"/>
          <w:noProof/>
          <w:spacing w:val="-6"/>
          <w:lang w:val="sk-SK"/>
        </w:rPr>
      </w:pPr>
      <w:r w:rsidRPr="00326E55">
        <w:rPr>
          <w:rFonts w:ascii="Times New Roman" w:hAnsi="Times New Roman" w:cs="Times New Roman"/>
          <w:noProof/>
          <w:spacing w:val="-6"/>
          <w:lang w:val="sk-SK"/>
        </w:rPr>
        <w:t>Tento komponent sa zaoberá časťou odporúčania pre</w:t>
      </w:r>
      <w:r w:rsidRPr="00326E55">
        <w:rPr>
          <w:rFonts w:ascii="Times New Roman" w:hAnsi="Times New Roman"/>
          <w:noProof/>
          <w:color w:val="006100"/>
          <w:spacing w:val="-6"/>
          <w:lang w:val="sk-SK"/>
        </w:rPr>
        <w:t xml:space="preserve"> </w:t>
      </w:r>
      <w:r w:rsidRPr="00326E55">
        <w:rPr>
          <w:rFonts w:ascii="Times New Roman" w:hAnsi="Times New Roman" w:cs="Times New Roman"/>
          <w:noProof/>
          <w:spacing w:val="-6"/>
          <w:lang w:val="sk-SK"/>
        </w:rPr>
        <w:t>danú krajinu na rok 2020,</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 xml:space="preserve">ktorom Rada Európskej únie Taliansku </w:t>
      </w:r>
      <w:r w:rsidRPr="00326E55">
        <w:rPr>
          <w:rFonts w:ascii="Times New Roman" w:hAnsi="Times New Roman" w:cs="Times New Roman"/>
          <w:noProof/>
          <w:spacing w:val="-6"/>
          <w:lang w:val="sk-SK"/>
        </w:rPr>
        <w:t>odporučila, aby prijalo opatrenia</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cieľom „zamerať investície na zelenú</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digitálnu transformáciu, najmä na [...] hospodárenie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vodou, ako aj posilnenú digitálnu infraštruktúru</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cieľom zabezpečiť poskytovanie základných služieb“. Časť sa zaoberá aj odpo</w:t>
      </w:r>
      <w:r w:rsidRPr="00326E55">
        <w:rPr>
          <w:rFonts w:ascii="Times New Roman" w:hAnsi="Times New Roman" w:cs="Times New Roman"/>
          <w:noProof/>
          <w:spacing w:val="-6"/>
          <w:lang w:val="sk-SK"/>
        </w:rPr>
        <w:t xml:space="preserve">rúčaním pre danú krajinu na rok 2019 </w:t>
      </w:r>
      <w:r w:rsidR="00326E55" w:rsidRPr="00326E55">
        <w:rPr>
          <w:rFonts w:ascii="Times New Roman" w:hAnsi="Times New Roman" w:cs="Times New Roman"/>
          <w:noProof/>
          <w:spacing w:val="-6"/>
          <w:lang w:val="sk-SK"/>
        </w:rPr>
        <w:t>č. </w:t>
      </w:r>
      <w:r w:rsidRPr="00326E55">
        <w:rPr>
          <w:rFonts w:ascii="Times New Roman" w:hAnsi="Times New Roman" w:cs="Times New Roman"/>
          <w:noProof/>
          <w:spacing w:val="-6"/>
          <w:lang w:val="sk-SK"/>
        </w:rPr>
        <w:t>3 („Zamerať hospodársku politiku súvisiacu</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investíciami na kvalitu infraštruktúry</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prihliadnutím na regionálne rozdiely. [...]</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zlepšiť účinnosť verejnej správy [...] urýchlením digitalizácie</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zvýšením efektívno</w:t>
      </w:r>
      <w:r w:rsidRPr="00326E55">
        <w:rPr>
          <w:rFonts w:ascii="Times New Roman" w:hAnsi="Times New Roman" w:cs="Times New Roman"/>
          <w:noProof/>
          <w:spacing w:val="-6"/>
          <w:lang w:val="sk-SK"/>
        </w:rPr>
        <w:t>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kvality miestnych verejných služieb“).</w:t>
      </w:r>
    </w:p>
    <w:p w14:paraId="5F6A38E6" w14:textId="17A5B9E4" w:rsidR="00BF03AA" w:rsidRPr="00326E55" w:rsidRDefault="00FB452D">
      <w:pPr>
        <w:pStyle w:val="P68B1DB1-Times1272"/>
        <w:rPr>
          <w:b/>
          <w:noProof/>
          <w:spacing w:val="-6"/>
          <w:u w:val="single"/>
          <w:lang w:val="sk-SK"/>
        </w:rPr>
      </w:pPr>
      <w:r w:rsidRPr="00326E55">
        <w:rPr>
          <w:noProof/>
          <w:spacing w:val="-6"/>
          <w:lang w:val="sk-SK"/>
        </w:rPr>
        <w:t>Očakáva sa, že žiadne opatrenie</w:t>
      </w:r>
      <w:r w:rsidR="00326E55" w:rsidRPr="00326E55">
        <w:rPr>
          <w:noProof/>
          <w:spacing w:val="-6"/>
          <w:lang w:val="sk-SK"/>
        </w:rPr>
        <w:t xml:space="preserve"> v </w:t>
      </w:r>
      <w:r w:rsidRPr="00326E55">
        <w:rPr>
          <w:noProof/>
          <w:spacing w:val="-6"/>
          <w:lang w:val="sk-SK"/>
        </w:rPr>
        <w:t>tomto komponente výrazne nenaruší environmentálne ciele</w:t>
      </w:r>
      <w:r w:rsidR="00326E55" w:rsidRPr="00326E55">
        <w:rPr>
          <w:noProof/>
          <w:spacing w:val="-6"/>
          <w:lang w:val="sk-SK"/>
        </w:rPr>
        <w:t xml:space="preserve"> v </w:t>
      </w:r>
      <w:r w:rsidRPr="00326E55">
        <w:rPr>
          <w:noProof/>
          <w:spacing w:val="-6"/>
          <w:lang w:val="sk-SK"/>
        </w:rPr>
        <w:t>zmysle článku 17 nariadenia Európskeho parlamentu</w:t>
      </w:r>
      <w:r w:rsidR="00326E55" w:rsidRPr="00326E55">
        <w:rPr>
          <w:noProof/>
          <w:spacing w:val="-6"/>
          <w:lang w:val="sk-SK"/>
        </w:rPr>
        <w:t xml:space="preserve"> a </w:t>
      </w:r>
      <w:r w:rsidRPr="00326E55">
        <w:rPr>
          <w:noProof/>
          <w:spacing w:val="-6"/>
          <w:lang w:val="sk-SK"/>
        </w:rPr>
        <w:t>Rady (EÚ) 2020/852, berúc do úvahy opis opatrení</w:t>
      </w:r>
      <w:r w:rsidR="00326E55" w:rsidRPr="00326E55">
        <w:rPr>
          <w:noProof/>
          <w:spacing w:val="-6"/>
          <w:lang w:val="sk-SK"/>
        </w:rPr>
        <w:t xml:space="preserve"> a </w:t>
      </w:r>
      <w:r w:rsidRPr="00326E55">
        <w:rPr>
          <w:noProof/>
          <w:spacing w:val="-6"/>
          <w:lang w:val="sk-SK"/>
        </w:rPr>
        <w:t>zmierňujúce krok</w:t>
      </w:r>
      <w:r w:rsidRPr="00326E55">
        <w:rPr>
          <w:noProof/>
          <w:spacing w:val="-6"/>
          <w:lang w:val="sk-SK"/>
        </w:rPr>
        <w:t>y stanovené</w:t>
      </w:r>
      <w:r w:rsidR="00326E55" w:rsidRPr="00326E55">
        <w:rPr>
          <w:noProof/>
          <w:spacing w:val="-6"/>
          <w:lang w:val="sk-SK"/>
        </w:rPr>
        <w:t xml:space="preserve"> v </w:t>
      </w:r>
      <w:r w:rsidRPr="00326E55">
        <w:rPr>
          <w:noProof/>
          <w:spacing w:val="-6"/>
          <w:lang w:val="sk-SK"/>
        </w:rPr>
        <w:t>pláne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v </w:t>
      </w:r>
      <w:r w:rsidRPr="00326E55">
        <w:rPr>
          <w:noProof/>
          <w:spacing w:val="-6"/>
          <w:lang w:val="sk-SK"/>
        </w:rPr>
        <w:t>súlade so zásadou technického usmernia týkajúceho sa uplatňovania zásady „výrazne nenarušiť“ (DNHS) (2021/C58/01).</w:t>
      </w:r>
    </w:p>
    <w:p w14:paraId="0915BAEE" w14:textId="639AF3ED" w:rsidR="00BF03AA" w:rsidRPr="00326E55" w:rsidRDefault="00FB452D">
      <w:pPr>
        <w:pStyle w:val="P68B1DB1-Heading368"/>
        <w:ind w:left="850" w:hanging="850"/>
        <w:rPr>
          <w:noProof/>
          <w:spacing w:val="-6"/>
          <w:lang w:val="sk-SK"/>
        </w:rPr>
      </w:pPr>
      <w:r w:rsidRPr="00326E55">
        <w:rPr>
          <w:noProof/>
          <w:spacing w:val="-6"/>
          <w:lang w:val="sk-SK"/>
        </w:rPr>
        <w:t xml:space="preserve">G.1. </w:t>
      </w:r>
      <w:r w:rsidRPr="00326E55">
        <w:rPr>
          <w:noProof/>
          <w:spacing w:val="-6"/>
          <w:lang w:val="sk-SK"/>
        </w:rPr>
        <w:tab/>
        <w:t>Opis reforiem</w:t>
      </w:r>
      <w:r w:rsidR="00326E55" w:rsidRPr="00326E55">
        <w:rPr>
          <w:noProof/>
          <w:spacing w:val="-6"/>
          <w:lang w:val="sk-SK"/>
        </w:rPr>
        <w:t xml:space="preserve"> a </w:t>
      </w:r>
      <w:r w:rsidRPr="00326E55">
        <w:rPr>
          <w:noProof/>
          <w:spacing w:val="-6"/>
          <w:lang w:val="sk-SK"/>
        </w:rPr>
        <w:t>investícií</w:t>
      </w:r>
      <w:r w:rsidR="00326E55" w:rsidRPr="00326E55">
        <w:rPr>
          <w:noProof/>
          <w:spacing w:val="-6"/>
          <w:lang w:val="sk-SK"/>
        </w:rPr>
        <w:t xml:space="preserve"> v </w:t>
      </w:r>
      <w:r w:rsidRPr="00326E55">
        <w:rPr>
          <w:noProof/>
          <w:spacing w:val="-6"/>
          <w:lang w:val="sk-SK"/>
        </w:rPr>
        <w:t>rámci nenávratnej finančnej podpory</w:t>
      </w:r>
    </w:p>
    <w:p w14:paraId="78872335" w14:textId="77777777" w:rsidR="00326E55" w:rsidRPr="00326E55" w:rsidRDefault="00FB452D">
      <w:pPr>
        <w:pStyle w:val="P68B1DB1-Times1274"/>
        <w:rPr>
          <w:noProof/>
          <w:spacing w:val="-6"/>
          <w:lang w:val="sk-SK"/>
        </w:rPr>
      </w:pPr>
      <w:r w:rsidRPr="00326E55">
        <w:rPr>
          <w:noProof/>
          <w:spacing w:val="-6"/>
          <w:lang w:val="sk-SK"/>
        </w:rPr>
        <w:t>Reforma 2.1 – Zjednodušenie</w:t>
      </w:r>
      <w:r w:rsidR="00326E55" w:rsidRPr="00326E55">
        <w:rPr>
          <w:noProof/>
          <w:spacing w:val="-6"/>
          <w:lang w:val="sk-SK"/>
        </w:rPr>
        <w:t xml:space="preserve"> a </w:t>
      </w:r>
      <w:r w:rsidRPr="00326E55">
        <w:rPr>
          <w:noProof/>
          <w:spacing w:val="-6"/>
          <w:lang w:val="sk-SK"/>
        </w:rPr>
        <w:t>urýchlenie postupov vykonávania intervencií proti hydrogeologickej nestabilite</w:t>
      </w:r>
    </w:p>
    <w:p w14:paraId="1D9DE898" w14:textId="2F7A4C14" w:rsidR="00BF03AA" w:rsidRPr="00326E55" w:rsidRDefault="00FB452D">
      <w:pPr>
        <w:pStyle w:val="P68B1DB1-Times1272"/>
        <w:rPr>
          <w:noProof/>
          <w:spacing w:val="-6"/>
          <w:lang w:val="sk-SK"/>
        </w:rPr>
      </w:pPr>
      <w:r w:rsidRPr="00326E55">
        <w:rPr>
          <w:noProof/>
          <w:spacing w:val="-6"/>
          <w:lang w:val="sk-SK"/>
        </w:rPr>
        <w:t>Cieľom tejto reformy je prekonať existujúce nedostatky</w:t>
      </w:r>
      <w:r w:rsidR="00326E55" w:rsidRPr="00326E55">
        <w:rPr>
          <w:noProof/>
          <w:spacing w:val="-6"/>
          <w:lang w:val="sk-SK"/>
        </w:rPr>
        <w:t xml:space="preserve"> v </w:t>
      </w:r>
      <w:r w:rsidRPr="00326E55">
        <w:rPr>
          <w:noProof/>
          <w:spacing w:val="-6"/>
          <w:lang w:val="sk-SK"/>
        </w:rPr>
        <w:t>riadení hydrogeologických rizík, na ktoré poukázal taliansky Dvor audítorov. Pozostáva zo zjednodušenia</w:t>
      </w:r>
      <w:r w:rsidR="00326E55" w:rsidRPr="00326E55">
        <w:rPr>
          <w:noProof/>
          <w:spacing w:val="-6"/>
          <w:lang w:val="sk-SK"/>
        </w:rPr>
        <w:t xml:space="preserve"> a </w:t>
      </w:r>
      <w:r w:rsidRPr="00326E55">
        <w:rPr>
          <w:noProof/>
          <w:spacing w:val="-6"/>
          <w:lang w:val="sk-SK"/>
        </w:rPr>
        <w:t>urýchlenia po</w:t>
      </w:r>
      <w:r w:rsidRPr="00326E55">
        <w:rPr>
          <w:noProof/>
          <w:spacing w:val="-6"/>
          <w:lang w:val="sk-SK"/>
        </w:rPr>
        <w:t>stupov vykonávania projektov</w:t>
      </w:r>
      <w:r w:rsidR="00326E55" w:rsidRPr="00326E55">
        <w:rPr>
          <w:noProof/>
          <w:spacing w:val="-6"/>
          <w:lang w:val="sk-SK"/>
        </w:rPr>
        <w:t xml:space="preserve"> v </w:t>
      </w:r>
      <w:r w:rsidRPr="00326E55">
        <w:rPr>
          <w:noProof/>
          <w:spacing w:val="-6"/>
          <w:lang w:val="sk-SK"/>
        </w:rPr>
        <w:t>tejto oblasti vrátane stanovenia maximálnych lehôt pre každú fázu; uprednostňovanie intervencií</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vnútroštátnym posúdením rizík</w:t>
      </w:r>
      <w:r w:rsidR="00326E55" w:rsidRPr="00326E55">
        <w:rPr>
          <w:noProof/>
          <w:spacing w:val="-6"/>
          <w:lang w:val="sk-SK"/>
        </w:rPr>
        <w:t xml:space="preserve"> a s </w:t>
      </w:r>
      <w:r w:rsidRPr="00326E55">
        <w:rPr>
          <w:noProof/>
          <w:spacing w:val="-6"/>
          <w:lang w:val="sk-SK"/>
        </w:rPr>
        <w:t xml:space="preserve">článkom 6 rozhodnutia EÚ </w:t>
      </w:r>
      <w:r w:rsidR="00326E55" w:rsidRPr="00326E55">
        <w:rPr>
          <w:noProof/>
          <w:spacing w:val="-6"/>
          <w:lang w:val="sk-SK"/>
        </w:rPr>
        <w:t>č. </w:t>
      </w:r>
      <w:r w:rsidRPr="00326E55">
        <w:rPr>
          <w:noProof/>
          <w:spacing w:val="-6"/>
          <w:lang w:val="sk-SK"/>
        </w:rPr>
        <w:t>1313/2013, posúdením spôsobilostí riadenia rizík</w:t>
      </w:r>
      <w:r w:rsidR="00326E55" w:rsidRPr="00326E55">
        <w:rPr>
          <w:noProof/>
          <w:spacing w:val="-6"/>
          <w:lang w:val="sk-SK"/>
        </w:rPr>
        <w:t xml:space="preserve"> a </w:t>
      </w:r>
      <w:r w:rsidRPr="00326E55">
        <w:rPr>
          <w:noProof/>
          <w:spacing w:val="-6"/>
          <w:lang w:val="sk-SK"/>
        </w:rPr>
        <w:t>zásad</w:t>
      </w:r>
      <w:r w:rsidRPr="00326E55">
        <w:rPr>
          <w:noProof/>
          <w:spacing w:val="-6"/>
          <w:lang w:val="sk-SK"/>
        </w:rPr>
        <w:t>ou „nespôsobovať významnú škodu“; stanovenie plánu na zvýšenie administratívnej kapacity subjektov zodpovedných za realizáciu týchto projektov</w:t>
      </w:r>
      <w:r w:rsidR="00326E55" w:rsidRPr="00326E55">
        <w:rPr>
          <w:noProof/>
          <w:spacing w:val="-6"/>
          <w:lang w:val="sk-SK"/>
        </w:rPr>
        <w:t xml:space="preserve"> a </w:t>
      </w:r>
      <w:r w:rsidRPr="00326E55">
        <w:rPr>
          <w:noProof/>
          <w:spacing w:val="-6"/>
          <w:lang w:val="sk-SK"/>
        </w:rPr>
        <w:t>posilnenie koordinácie medzi rôznymi zainteresovanými úrovňami verejnej správy,</w:t>
      </w:r>
      <w:r w:rsidR="00326E55" w:rsidRPr="00326E55">
        <w:rPr>
          <w:noProof/>
          <w:spacing w:val="-6"/>
          <w:lang w:val="sk-SK"/>
        </w:rPr>
        <w:t xml:space="preserve"> a </w:t>
      </w:r>
      <w:r w:rsidRPr="00326E55">
        <w:rPr>
          <w:noProof/>
          <w:spacing w:val="-6"/>
          <w:lang w:val="sk-SK"/>
        </w:rPr>
        <w:t>to aj zjednodušením informačn</w:t>
      </w:r>
      <w:r w:rsidRPr="00326E55">
        <w:rPr>
          <w:noProof/>
          <w:spacing w:val="-6"/>
          <w:lang w:val="sk-SK"/>
        </w:rPr>
        <w:t>ých tokov.</w:t>
      </w:r>
    </w:p>
    <w:p w14:paraId="10BF2A46" w14:textId="77777777" w:rsidR="00326E55" w:rsidRPr="00326E55" w:rsidRDefault="00FB452D">
      <w:pPr>
        <w:pStyle w:val="P68B1DB1-Times1274"/>
        <w:rPr>
          <w:noProof/>
          <w:spacing w:val="-6"/>
          <w:lang w:val="sk-SK"/>
        </w:rPr>
      </w:pPr>
      <w:r w:rsidRPr="00326E55">
        <w:rPr>
          <w:noProof/>
          <w:spacing w:val="-6"/>
          <w:lang w:val="sk-SK"/>
        </w:rPr>
        <w:t>Reforma 2 – Reforma právneho rámca pre lepšie hospodárenie</w:t>
      </w:r>
      <w:r w:rsidR="00326E55" w:rsidRPr="00326E55">
        <w:rPr>
          <w:noProof/>
          <w:spacing w:val="-6"/>
          <w:lang w:val="sk-SK"/>
        </w:rPr>
        <w:t xml:space="preserve"> s </w:t>
      </w:r>
      <w:r w:rsidRPr="00326E55">
        <w:rPr>
          <w:noProof/>
          <w:spacing w:val="-6"/>
          <w:lang w:val="sk-SK"/>
        </w:rPr>
        <w:t>vodou</w:t>
      </w:r>
      <w:r w:rsidR="00326E55" w:rsidRPr="00326E55">
        <w:rPr>
          <w:noProof/>
          <w:spacing w:val="-6"/>
          <w:lang w:val="sk-SK"/>
        </w:rPr>
        <w:t xml:space="preserve"> a </w:t>
      </w:r>
      <w:r w:rsidRPr="00326E55">
        <w:rPr>
          <w:noProof/>
          <w:spacing w:val="-6"/>
          <w:lang w:val="sk-SK"/>
        </w:rPr>
        <w:t>jej udržateľné využívanie</w:t>
      </w:r>
    </w:p>
    <w:p w14:paraId="626848D7" w14:textId="735EA3CF" w:rsidR="00326E55" w:rsidRPr="00326E55" w:rsidRDefault="00FB452D">
      <w:pPr>
        <w:pStyle w:val="P68B1DB1-Times1275"/>
        <w:rPr>
          <w:noProof/>
          <w:spacing w:val="-6"/>
          <w:sz w:val="22"/>
          <w:szCs w:val="22"/>
          <w:lang w:val="sk-SK"/>
        </w:rPr>
      </w:pPr>
      <w:r w:rsidRPr="00326E55">
        <w:rPr>
          <w:noProof/>
          <w:spacing w:val="-6"/>
          <w:lang w:val="sk-SK"/>
        </w:rPr>
        <w:t xml:space="preserve">Cieľom </w:t>
      </w:r>
      <w:r w:rsidRPr="00326E55">
        <w:rPr>
          <w:noProof/>
          <w:spacing w:val="-6"/>
          <w:sz w:val="22"/>
          <w:szCs w:val="22"/>
          <w:lang w:val="sk-SK"/>
        </w:rPr>
        <w:t>tejto reformy je riešiť dlhodobé problémy odvetvia vodného hospodárstva</w:t>
      </w:r>
      <w:r w:rsidR="00326E55" w:rsidRPr="00326E55">
        <w:rPr>
          <w:noProof/>
          <w:spacing w:val="-6"/>
          <w:sz w:val="22"/>
          <w:szCs w:val="22"/>
          <w:lang w:val="sk-SK"/>
        </w:rPr>
        <w:t xml:space="preserve"> v </w:t>
      </w:r>
      <w:r w:rsidRPr="00326E55">
        <w:rPr>
          <w:noProof/>
          <w:spacing w:val="-6"/>
          <w:sz w:val="22"/>
          <w:szCs w:val="22"/>
          <w:lang w:val="sk-SK"/>
        </w:rPr>
        <w:t>Taliansku, ktoré sa odrážajú</w:t>
      </w:r>
      <w:r w:rsidR="00326E55" w:rsidRPr="00326E55">
        <w:rPr>
          <w:noProof/>
          <w:spacing w:val="-6"/>
          <w:sz w:val="22"/>
          <w:szCs w:val="22"/>
          <w:lang w:val="sk-SK"/>
        </w:rPr>
        <w:t xml:space="preserve"> v </w:t>
      </w:r>
      <w:r w:rsidRPr="00326E55">
        <w:rPr>
          <w:noProof/>
          <w:spacing w:val="-6"/>
          <w:sz w:val="22"/>
          <w:szCs w:val="22"/>
          <w:lang w:val="sk-SK"/>
        </w:rPr>
        <w:t>mnohých prebiehajúcich postupoch</w:t>
      </w:r>
      <w:r w:rsidR="00326E55" w:rsidRPr="00326E55">
        <w:rPr>
          <w:noProof/>
          <w:spacing w:val="-6"/>
          <w:sz w:val="22"/>
          <w:szCs w:val="22"/>
          <w:lang w:val="sk-SK"/>
        </w:rPr>
        <w:t xml:space="preserve"> v </w:t>
      </w:r>
      <w:r w:rsidRPr="00326E55">
        <w:rPr>
          <w:noProof/>
          <w:spacing w:val="-6"/>
          <w:sz w:val="22"/>
          <w:szCs w:val="22"/>
          <w:lang w:val="sk-SK"/>
        </w:rPr>
        <w:t>prí</w:t>
      </w:r>
      <w:r w:rsidRPr="00326E55">
        <w:rPr>
          <w:noProof/>
          <w:spacing w:val="-6"/>
          <w:sz w:val="22"/>
          <w:szCs w:val="22"/>
          <w:lang w:val="sk-SK"/>
        </w:rPr>
        <w:t>pade nesplnenia povinnosti za nedodržiavanie smernice Rady 91/271/EHS,</w:t>
      </w:r>
      <w:r w:rsidR="00326E55" w:rsidRPr="00326E55">
        <w:rPr>
          <w:noProof/>
          <w:spacing w:val="-6"/>
          <w:sz w:val="22"/>
          <w:szCs w:val="22"/>
          <w:lang w:val="sk-SK"/>
        </w:rPr>
        <w:t xml:space="preserve"> v </w:t>
      </w:r>
      <w:r w:rsidRPr="00326E55">
        <w:rPr>
          <w:noProof/>
          <w:spacing w:val="-6"/>
          <w:sz w:val="22"/>
          <w:szCs w:val="22"/>
          <w:lang w:val="sk-SK"/>
        </w:rPr>
        <w:t>nadmernej fragmentácii odvetvia</w:t>
      </w:r>
      <w:r w:rsidR="00326E55" w:rsidRPr="00326E55">
        <w:rPr>
          <w:noProof/>
          <w:spacing w:val="-6"/>
          <w:sz w:val="22"/>
          <w:szCs w:val="22"/>
          <w:lang w:val="sk-SK"/>
        </w:rPr>
        <w:t xml:space="preserve"> a </w:t>
      </w:r>
      <w:r w:rsidRPr="00326E55">
        <w:rPr>
          <w:noProof/>
          <w:spacing w:val="-6"/>
          <w:sz w:val="22"/>
          <w:szCs w:val="22"/>
          <w:lang w:val="sk-SK"/>
        </w:rPr>
        <w:t>pri absencii primeraných stimulov</w:t>
      </w:r>
      <w:r w:rsidR="00326E55" w:rsidRPr="00326E55">
        <w:rPr>
          <w:noProof/>
          <w:spacing w:val="-6"/>
          <w:sz w:val="22"/>
          <w:szCs w:val="22"/>
          <w:lang w:val="sk-SK"/>
        </w:rPr>
        <w:t xml:space="preserve"> a </w:t>
      </w:r>
      <w:r w:rsidRPr="00326E55">
        <w:rPr>
          <w:noProof/>
          <w:spacing w:val="-6"/>
          <w:sz w:val="22"/>
          <w:szCs w:val="22"/>
          <w:lang w:val="sk-SK"/>
        </w:rPr>
        <w:t>cenových politík. Očakáva sa, že plánovanými opatreniami sa výrazne zníži fragmentácia odvetvia znížením počtu pr</w:t>
      </w:r>
      <w:r w:rsidRPr="00326E55">
        <w:rPr>
          <w:noProof/>
          <w:spacing w:val="-6"/>
          <w:sz w:val="22"/>
          <w:szCs w:val="22"/>
          <w:lang w:val="sk-SK"/>
        </w:rPr>
        <w:t>evádzkovateľov</w:t>
      </w:r>
      <w:r w:rsidR="00326E55" w:rsidRPr="00326E55">
        <w:rPr>
          <w:noProof/>
          <w:spacing w:val="-6"/>
          <w:sz w:val="22"/>
          <w:szCs w:val="22"/>
          <w:lang w:val="sk-SK"/>
        </w:rPr>
        <w:t xml:space="preserve"> a </w:t>
      </w:r>
      <w:r w:rsidRPr="00326E55">
        <w:rPr>
          <w:noProof/>
          <w:spacing w:val="-6"/>
          <w:sz w:val="22"/>
          <w:szCs w:val="22"/>
          <w:lang w:val="sk-SK"/>
        </w:rPr>
        <w:t>podporou úspor</w:t>
      </w:r>
      <w:r w:rsidR="00326E55" w:rsidRPr="00326E55">
        <w:rPr>
          <w:noProof/>
          <w:spacing w:val="-6"/>
          <w:sz w:val="22"/>
          <w:szCs w:val="22"/>
          <w:lang w:val="sk-SK"/>
        </w:rPr>
        <w:t xml:space="preserve"> z </w:t>
      </w:r>
      <w:r w:rsidRPr="00326E55">
        <w:rPr>
          <w:noProof/>
          <w:spacing w:val="-6"/>
          <w:sz w:val="22"/>
          <w:szCs w:val="22"/>
          <w:lang w:val="sk-SK"/>
        </w:rPr>
        <w:t>rozsahu, stanovením stimulov na zníženie úniku vody</w:t>
      </w:r>
      <w:r w:rsidR="00326E55" w:rsidRPr="00326E55">
        <w:rPr>
          <w:noProof/>
          <w:spacing w:val="-6"/>
          <w:sz w:val="22"/>
          <w:szCs w:val="22"/>
          <w:lang w:val="sk-SK"/>
        </w:rPr>
        <w:t xml:space="preserve"> a </w:t>
      </w:r>
      <w:r w:rsidRPr="00326E55">
        <w:rPr>
          <w:noProof/>
          <w:spacing w:val="-6"/>
          <w:sz w:val="22"/>
          <w:szCs w:val="22"/>
          <w:lang w:val="sk-SK"/>
        </w:rPr>
        <w:t>nadmernej spotreby vody</w:t>
      </w:r>
      <w:r w:rsidR="00326E55" w:rsidRPr="00326E55">
        <w:rPr>
          <w:noProof/>
          <w:spacing w:val="-6"/>
          <w:sz w:val="22"/>
          <w:szCs w:val="22"/>
          <w:lang w:val="sk-SK"/>
        </w:rPr>
        <w:t xml:space="preserve"> v </w:t>
      </w:r>
      <w:r w:rsidRPr="00326E55">
        <w:rPr>
          <w:noProof/>
          <w:spacing w:val="-6"/>
          <w:sz w:val="22"/>
          <w:szCs w:val="22"/>
          <w:lang w:val="sk-SK"/>
        </w:rPr>
        <w:t>odvetví poľnohospodárstva</w:t>
      </w:r>
      <w:r w:rsidR="00326E55" w:rsidRPr="00326E55">
        <w:rPr>
          <w:noProof/>
          <w:spacing w:val="-6"/>
          <w:sz w:val="22"/>
          <w:szCs w:val="22"/>
          <w:lang w:val="sk-SK"/>
        </w:rPr>
        <w:t xml:space="preserve"> a </w:t>
      </w:r>
      <w:r w:rsidRPr="00326E55">
        <w:rPr>
          <w:noProof/>
          <w:spacing w:val="-6"/>
          <w:sz w:val="22"/>
          <w:szCs w:val="22"/>
          <w:lang w:val="sk-SK"/>
        </w:rPr>
        <w:t>zavedením primeraných cenových politík pre udržateľnejšiu spotrebu vody</w:t>
      </w:r>
      <w:r w:rsidR="00326E55" w:rsidRPr="00326E55">
        <w:rPr>
          <w:noProof/>
          <w:spacing w:val="-6"/>
          <w:sz w:val="22"/>
          <w:szCs w:val="22"/>
          <w:lang w:val="sk-SK"/>
        </w:rPr>
        <w:t>.</w:t>
      </w:r>
    </w:p>
    <w:p w14:paraId="68279685" w14:textId="1BA4CC2C" w:rsidR="00326E55" w:rsidRPr="00326E55" w:rsidRDefault="00FB452D">
      <w:pPr>
        <w:pStyle w:val="P68B1DB1-Times1272"/>
        <w:rPr>
          <w:noProof/>
          <w:spacing w:val="-6"/>
          <w:lang w:val="sk-SK"/>
        </w:rPr>
      </w:pPr>
      <w:r w:rsidRPr="00326E55">
        <w:rPr>
          <w:noProof/>
          <w:spacing w:val="-6"/>
          <w:lang w:val="sk-SK"/>
        </w:rPr>
        <w:t>S regiónmi Kampánia, Kalábria, Molise</w:t>
      </w:r>
      <w:r w:rsidR="00326E55" w:rsidRPr="00326E55">
        <w:rPr>
          <w:noProof/>
          <w:spacing w:val="-6"/>
          <w:lang w:val="sk-SK"/>
        </w:rPr>
        <w:t xml:space="preserve"> a </w:t>
      </w:r>
      <w:r w:rsidRPr="00326E55">
        <w:rPr>
          <w:noProof/>
          <w:spacing w:val="-6"/>
          <w:lang w:val="sk-SK"/>
        </w:rPr>
        <w:t>Sicília sa podpíše súbor memoránd</w:t>
      </w:r>
      <w:r w:rsidR="00326E55" w:rsidRPr="00326E55">
        <w:rPr>
          <w:noProof/>
          <w:spacing w:val="-6"/>
          <w:lang w:val="sk-SK"/>
        </w:rPr>
        <w:t xml:space="preserve"> o </w:t>
      </w:r>
      <w:r w:rsidRPr="00326E55">
        <w:rPr>
          <w:noProof/>
          <w:spacing w:val="-6"/>
          <w:lang w:val="sk-SK"/>
        </w:rPr>
        <w:t>porozumení</w:t>
      </w:r>
      <w:r w:rsidR="00326E55" w:rsidRPr="00326E55">
        <w:rPr>
          <w:noProof/>
          <w:spacing w:val="-6"/>
          <w:lang w:val="sk-SK"/>
        </w:rPr>
        <w:t xml:space="preserve"> s </w:t>
      </w:r>
      <w:r w:rsidRPr="00326E55">
        <w:rPr>
          <w:noProof/>
          <w:spacing w:val="-6"/>
          <w:lang w:val="sk-SK"/>
        </w:rPr>
        <w:t>cieľom znížiť fragmentáciu počtu prevádzkovateľov poskytujúcich vodohospodárske služby.</w:t>
      </w:r>
      <w:r w:rsidR="00326E55" w:rsidRPr="00326E55">
        <w:rPr>
          <w:noProof/>
          <w:spacing w:val="-6"/>
          <w:lang w:val="sk-SK"/>
        </w:rPr>
        <w:t xml:space="preserve"> V </w:t>
      </w:r>
      <w:r w:rsidRPr="00326E55">
        <w:rPr>
          <w:noProof/>
          <w:spacing w:val="-6"/>
          <w:lang w:val="sk-SK"/>
        </w:rPr>
        <w:t>memorande</w:t>
      </w:r>
      <w:r w:rsidR="00326E55" w:rsidRPr="00326E55">
        <w:rPr>
          <w:noProof/>
          <w:spacing w:val="-6"/>
          <w:lang w:val="sk-SK"/>
        </w:rPr>
        <w:t xml:space="preserve"> o </w:t>
      </w:r>
      <w:r w:rsidRPr="00326E55">
        <w:rPr>
          <w:noProof/>
          <w:spacing w:val="-6"/>
          <w:lang w:val="sk-SK"/>
        </w:rPr>
        <w:t>porozumení sa stanovia ciele, pokiaľ ide</w:t>
      </w:r>
      <w:r w:rsidR="00326E55" w:rsidRPr="00326E55">
        <w:rPr>
          <w:noProof/>
          <w:spacing w:val="-6"/>
          <w:lang w:val="sk-SK"/>
        </w:rPr>
        <w:t xml:space="preserve"> o </w:t>
      </w:r>
      <w:r w:rsidRPr="00326E55">
        <w:rPr>
          <w:noProof/>
          <w:spacing w:val="-6"/>
          <w:lang w:val="sk-SK"/>
        </w:rPr>
        <w:t>zriadenie orgánov miestnej samosprávy, zníženie počtu prevádzk</w:t>
      </w:r>
      <w:r w:rsidRPr="00326E55">
        <w:rPr>
          <w:noProof/>
          <w:spacing w:val="-6"/>
          <w:lang w:val="sk-SK"/>
        </w:rPr>
        <w:t>ovateľov</w:t>
      </w:r>
      <w:r w:rsidR="00326E55" w:rsidRPr="00326E55">
        <w:rPr>
          <w:noProof/>
          <w:spacing w:val="-6"/>
          <w:lang w:val="sk-SK"/>
        </w:rPr>
        <w:t xml:space="preserve"> a </w:t>
      </w:r>
      <w:r w:rsidRPr="00326E55">
        <w:rPr>
          <w:noProof/>
          <w:spacing w:val="-6"/>
          <w:lang w:val="sk-SK"/>
        </w:rPr>
        <w:t>dosiahnutie úspor</w:t>
      </w:r>
      <w:r w:rsidR="00326E55" w:rsidRPr="00326E55">
        <w:rPr>
          <w:noProof/>
          <w:spacing w:val="-6"/>
          <w:lang w:val="sk-SK"/>
        </w:rPr>
        <w:t xml:space="preserve"> z </w:t>
      </w:r>
      <w:r w:rsidRPr="00326E55">
        <w:rPr>
          <w:noProof/>
          <w:spacing w:val="-6"/>
          <w:lang w:val="sk-SK"/>
        </w:rPr>
        <w:t>rozsahu</w:t>
      </w:r>
      <w:r w:rsidR="00326E55" w:rsidRPr="00326E55">
        <w:rPr>
          <w:noProof/>
          <w:spacing w:val="-6"/>
          <w:lang w:val="sk-SK"/>
        </w:rPr>
        <w:t xml:space="preserve"> s </w:t>
      </w:r>
      <w:r w:rsidRPr="00326E55">
        <w:rPr>
          <w:noProof/>
          <w:spacing w:val="-6"/>
          <w:lang w:val="sk-SK"/>
        </w:rPr>
        <w:t>cieľom stanoviť jednotlivých prevádzkovateľov pre každých 40000 obyvateľov do dvoch rokov od podpísania uvedeného memoranda</w:t>
      </w:r>
      <w:r w:rsidR="00326E55" w:rsidRPr="00326E55">
        <w:rPr>
          <w:noProof/>
          <w:spacing w:val="-6"/>
          <w:lang w:val="sk-SK"/>
        </w:rPr>
        <w:t xml:space="preserve"> o </w:t>
      </w:r>
      <w:r w:rsidRPr="00326E55">
        <w:rPr>
          <w:noProof/>
          <w:spacing w:val="-6"/>
          <w:lang w:val="sk-SK"/>
        </w:rPr>
        <w:t>porozumení</w:t>
      </w:r>
      <w:r w:rsidR="00326E55" w:rsidRPr="00326E55">
        <w:rPr>
          <w:noProof/>
          <w:spacing w:val="-6"/>
          <w:lang w:val="sk-SK"/>
        </w:rPr>
        <w:t>.</w:t>
      </w:r>
    </w:p>
    <w:p w14:paraId="27034741" w14:textId="321B9B75" w:rsidR="00BF03AA" w:rsidRPr="00326E55" w:rsidRDefault="00FB452D">
      <w:pPr>
        <w:pStyle w:val="P68B1DB1-Times1274"/>
        <w:rPr>
          <w:bCs/>
          <w:noProof/>
          <w:spacing w:val="-6"/>
          <w:lang w:val="sk-SK"/>
        </w:rPr>
      </w:pPr>
      <w:r w:rsidRPr="00326E55">
        <w:rPr>
          <w:noProof/>
          <w:spacing w:val="-6"/>
          <w:lang w:val="sk-SK"/>
        </w:rPr>
        <w:t>Reforma 4.2 „Opatrenia na zabezpečenie plných riadiacich kapacít pre integrov</w:t>
      </w:r>
      <w:r w:rsidRPr="00326E55">
        <w:rPr>
          <w:noProof/>
          <w:spacing w:val="-6"/>
          <w:lang w:val="sk-SK"/>
        </w:rPr>
        <w:t>ané vodohospodárske služby“</w:t>
      </w:r>
    </w:p>
    <w:p w14:paraId="28AAF636" w14:textId="61B0269F" w:rsidR="00326E55" w:rsidRPr="00326E55" w:rsidRDefault="00FB452D">
      <w:pPr>
        <w:pStyle w:val="P68B1DB1-Times1272"/>
        <w:rPr>
          <w:noProof/>
          <w:spacing w:val="-6"/>
          <w:lang w:val="sk-SK"/>
        </w:rPr>
      </w:pPr>
      <w:r w:rsidRPr="00326E55">
        <w:rPr>
          <w:noProof/>
          <w:spacing w:val="-6"/>
          <w:lang w:val="sk-SK"/>
        </w:rPr>
        <w:t>Cieľom tejto reformy je riešiť hlavné problémy</w:t>
      </w:r>
      <w:r w:rsidR="00326E55" w:rsidRPr="00326E55">
        <w:rPr>
          <w:noProof/>
          <w:spacing w:val="-6"/>
          <w:lang w:val="sk-SK"/>
        </w:rPr>
        <w:t xml:space="preserve"> v </w:t>
      </w:r>
      <w:r w:rsidRPr="00326E55">
        <w:rPr>
          <w:noProof/>
          <w:spacing w:val="-6"/>
          <w:lang w:val="sk-SK"/>
        </w:rPr>
        <w:t>oblasti hospodárenia</w:t>
      </w:r>
      <w:r w:rsidR="00326E55" w:rsidRPr="00326E55">
        <w:rPr>
          <w:noProof/>
          <w:spacing w:val="-6"/>
          <w:lang w:val="sk-SK"/>
        </w:rPr>
        <w:t xml:space="preserve"> s </w:t>
      </w:r>
      <w:r w:rsidRPr="00326E55">
        <w:rPr>
          <w:noProof/>
          <w:spacing w:val="-6"/>
          <w:lang w:val="sk-SK"/>
        </w:rPr>
        <w:t>vodnými zdrojmi</w:t>
      </w:r>
      <w:r w:rsidR="00326E55" w:rsidRPr="00326E55">
        <w:rPr>
          <w:noProof/>
          <w:spacing w:val="-6"/>
          <w:lang w:val="sk-SK"/>
        </w:rPr>
        <w:t xml:space="preserve"> a </w:t>
      </w:r>
      <w:r w:rsidRPr="00326E55">
        <w:rPr>
          <w:noProof/>
          <w:spacing w:val="-6"/>
          <w:lang w:val="sk-SK"/>
        </w:rPr>
        <w:t>zefektívniť systém</w:t>
      </w:r>
      <w:r w:rsidR="00326E55" w:rsidRPr="00326E55">
        <w:rPr>
          <w:noProof/>
          <w:spacing w:val="-6"/>
          <w:lang w:val="sk-SK"/>
        </w:rPr>
        <w:t>.</w:t>
      </w:r>
    </w:p>
    <w:p w14:paraId="1145EA3E" w14:textId="2DDD53B1" w:rsidR="00BF03AA" w:rsidRPr="00326E55" w:rsidRDefault="00FB452D">
      <w:pPr>
        <w:pStyle w:val="P68B1DB1-Times1272"/>
        <w:rPr>
          <w:b/>
          <w:noProof/>
          <w:spacing w:val="-6"/>
          <w:lang w:val="sk-SK"/>
        </w:rPr>
      </w:pPr>
      <w:r w:rsidRPr="00326E55">
        <w:rPr>
          <w:noProof/>
          <w:spacing w:val="-6"/>
          <w:lang w:val="sk-SK"/>
        </w:rPr>
        <w:t>Očakáva sa, že systém zníži existujúcu fragmentáciu počtu prevádzkovateľov, ktorá</w:t>
      </w:r>
      <w:r w:rsidR="00326E55" w:rsidRPr="00326E55">
        <w:rPr>
          <w:noProof/>
          <w:spacing w:val="-6"/>
          <w:lang w:val="sk-SK"/>
        </w:rPr>
        <w:t xml:space="preserve"> v </w:t>
      </w:r>
      <w:r w:rsidRPr="00326E55">
        <w:rPr>
          <w:noProof/>
          <w:spacing w:val="-6"/>
          <w:lang w:val="sk-SK"/>
        </w:rPr>
        <w:t>súčasnosti bráni efektívnemu využí</w:t>
      </w:r>
      <w:r w:rsidRPr="00326E55">
        <w:rPr>
          <w:noProof/>
          <w:spacing w:val="-6"/>
          <w:lang w:val="sk-SK"/>
        </w:rPr>
        <w:t>vaniu vodných zdrojov</w:t>
      </w:r>
      <w:r w:rsidR="00326E55" w:rsidRPr="00326E55">
        <w:rPr>
          <w:noProof/>
          <w:spacing w:val="-6"/>
          <w:lang w:val="sk-SK"/>
        </w:rPr>
        <w:t xml:space="preserve"> v </w:t>
      </w:r>
      <w:r w:rsidRPr="00326E55">
        <w:rPr>
          <w:noProof/>
          <w:spacing w:val="-6"/>
          <w:lang w:val="sk-SK"/>
        </w:rPr>
        <w:t>niektorých častiach krajiny. Očakáva sa tiež, že reformou sa vytvoria správne stimuly na lepšie využívanie vodných zdrojov</w:t>
      </w:r>
      <w:r w:rsidR="00326E55" w:rsidRPr="00326E55">
        <w:rPr>
          <w:noProof/>
          <w:spacing w:val="-6"/>
          <w:lang w:val="sk-SK"/>
        </w:rPr>
        <w:t xml:space="preserve"> v </w:t>
      </w:r>
      <w:r w:rsidRPr="00326E55">
        <w:rPr>
          <w:noProof/>
          <w:spacing w:val="-6"/>
          <w:lang w:val="sk-SK"/>
        </w:rPr>
        <w:t>odvetví poľnohospodárstva, zavedie sa systém sankcií za nezákonnú ťažbu vody</w:t>
      </w:r>
      <w:r w:rsidR="00326E55" w:rsidRPr="00326E55">
        <w:rPr>
          <w:noProof/>
          <w:spacing w:val="-6"/>
          <w:lang w:val="sk-SK"/>
        </w:rPr>
        <w:t xml:space="preserve"> a </w:t>
      </w:r>
      <w:r w:rsidRPr="00326E55">
        <w:rPr>
          <w:noProof/>
          <w:spacing w:val="-6"/>
          <w:lang w:val="sk-SK"/>
        </w:rPr>
        <w:t>zavedie sa systém cien, ktor</w:t>
      </w:r>
      <w:r w:rsidRPr="00326E55">
        <w:rPr>
          <w:noProof/>
          <w:spacing w:val="-6"/>
          <w:lang w:val="sk-SK"/>
        </w:rPr>
        <w:t>ý lepšie odráža zásadu „znečisťovateľ platí“</w:t>
      </w:r>
      <w:r w:rsidR="00326E55" w:rsidRPr="00326E55">
        <w:rPr>
          <w:noProof/>
          <w:spacing w:val="-6"/>
          <w:lang w:val="sk-SK"/>
        </w:rPr>
        <w:t xml:space="preserve"> a </w:t>
      </w:r>
      <w:r w:rsidRPr="00326E55">
        <w:rPr>
          <w:noProof/>
          <w:spacing w:val="-6"/>
          <w:lang w:val="sk-SK"/>
        </w:rPr>
        <w:t>je viac</w:t>
      </w:r>
      <w:r w:rsidR="00326E55" w:rsidRPr="00326E55">
        <w:rPr>
          <w:noProof/>
          <w:spacing w:val="-6"/>
          <w:lang w:val="sk-SK"/>
        </w:rPr>
        <w:t xml:space="preserve"> v </w:t>
      </w:r>
      <w:r w:rsidRPr="00326E55">
        <w:rPr>
          <w:noProof/>
          <w:spacing w:val="-6"/>
          <w:lang w:val="sk-SK"/>
        </w:rPr>
        <w:t>súlade so zásadou „znečisťovateľ platí“, pričom sa zabráni rozširovaniu existujúcich zavlažovacích systémov. Opatrenia sa prijímajú</w:t>
      </w:r>
      <w:r w:rsidR="00326E55" w:rsidRPr="00326E55">
        <w:rPr>
          <w:noProof/>
          <w:spacing w:val="-6"/>
          <w:lang w:val="sk-SK"/>
        </w:rPr>
        <w:t xml:space="preserve"> v </w:t>
      </w:r>
      <w:r w:rsidRPr="00326E55">
        <w:rPr>
          <w:noProof/>
          <w:spacing w:val="-6"/>
          <w:lang w:val="sk-SK"/>
        </w:rPr>
        <w:t>spolupráci</w:t>
      </w:r>
      <w:r w:rsidR="00326E55" w:rsidRPr="00326E55">
        <w:rPr>
          <w:noProof/>
          <w:spacing w:val="-6"/>
          <w:lang w:val="sk-SK"/>
        </w:rPr>
        <w:t xml:space="preserve"> s </w:t>
      </w:r>
      <w:r w:rsidRPr="00326E55">
        <w:rPr>
          <w:noProof/>
          <w:spacing w:val="-6"/>
          <w:lang w:val="sk-SK"/>
        </w:rPr>
        <w:t>regiónmi,</w:t>
      </w:r>
      <w:r w:rsidR="00326E55" w:rsidRPr="00326E55">
        <w:rPr>
          <w:noProof/>
          <w:spacing w:val="-6"/>
          <w:lang w:val="sk-SK"/>
        </w:rPr>
        <w:t xml:space="preserve"> v </w:t>
      </w:r>
      <w:r w:rsidRPr="00326E55">
        <w:rPr>
          <w:noProof/>
          <w:spacing w:val="-6"/>
          <w:lang w:val="sk-SK"/>
        </w:rPr>
        <w:t>ktorých je hospodárenie</w:t>
      </w:r>
      <w:r w:rsidR="00326E55" w:rsidRPr="00326E55">
        <w:rPr>
          <w:noProof/>
          <w:spacing w:val="-6"/>
          <w:lang w:val="sk-SK"/>
        </w:rPr>
        <w:t xml:space="preserve"> s </w:t>
      </w:r>
      <w:r w:rsidRPr="00326E55">
        <w:rPr>
          <w:noProof/>
          <w:spacing w:val="-6"/>
          <w:lang w:val="sk-SK"/>
        </w:rPr>
        <w:t>vodnými zdrojm</w:t>
      </w:r>
      <w:r w:rsidRPr="00326E55">
        <w:rPr>
          <w:noProof/>
          <w:spacing w:val="-6"/>
          <w:lang w:val="sk-SK"/>
        </w:rPr>
        <w:t>i</w:t>
      </w:r>
      <w:r w:rsidR="00326E55" w:rsidRPr="00326E55">
        <w:rPr>
          <w:noProof/>
          <w:spacing w:val="-6"/>
          <w:lang w:val="sk-SK"/>
        </w:rPr>
        <w:t xml:space="preserve"> v </w:t>
      </w:r>
      <w:r w:rsidRPr="00326E55">
        <w:rPr>
          <w:noProof/>
          <w:spacing w:val="-6"/>
          <w:lang w:val="sk-SK"/>
        </w:rPr>
        <w:t>súčasnosti problematickejšie.</w:t>
      </w:r>
    </w:p>
    <w:p w14:paraId="4237FFB3" w14:textId="26E6BF2A" w:rsidR="00BF03AA" w:rsidRPr="00326E55" w:rsidRDefault="00FB452D">
      <w:pPr>
        <w:pStyle w:val="P68B1DB1-Times1274"/>
        <w:rPr>
          <w:bCs/>
          <w:noProof/>
          <w:spacing w:val="-6"/>
          <w:lang w:val="sk-SK"/>
        </w:rPr>
      </w:pPr>
      <w:r w:rsidRPr="00326E55">
        <w:rPr>
          <w:noProof/>
          <w:spacing w:val="-6"/>
          <w:lang w:val="sk-SK"/>
        </w:rPr>
        <w:t>Investícia 3.2 – Digitalizácia národných parkov</w:t>
      </w:r>
      <w:r w:rsidR="00326E55" w:rsidRPr="00326E55">
        <w:rPr>
          <w:noProof/>
          <w:spacing w:val="-6"/>
          <w:lang w:val="sk-SK"/>
        </w:rPr>
        <w:t xml:space="preserve"> a </w:t>
      </w:r>
      <w:r w:rsidRPr="00326E55">
        <w:rPr>
          <w:noProof/>
          <w:spacing w:val="-6"/>
          <w:lang w:val="sk-SK"/>
        </w:rPr>
        <w:t>chránených morských oblastí</w:t>
      </w:r>
    </w:p>
    <w:p w14:paraId="17B46CDF" w14:textId="7AFC14A6" w:rsidR="00BF03AA" w:rsidRPr="00326E55" w:rsidRDefault="00FB452D">
      <w:pPr>
        <w:pStyle w:val="P68B1DB1-Times1272"/>
        <w:rPr>
          <w:noProof/>
          <w:spacing w:val="-6"/>
          <w:lang w:val="sk-SK"/>
        </w:rPr>
      </w:pPr>
      <w:r w:rsidRPr="00326E55">
        <w:rPr>
          <w:noProof/>
          <w:spacing w:val="-6"/>
          <w:lang w:val="sk-SK"/>
        </w:rPr>
        <w:t>Cieľom opatrenia je modernizovať</w:t>
      </w:r>
      <w:r w:rsidR="00326E55" w:rsidRPr="00326E55">
        <w:rPr>
          <w:noProof/>
          <w:spacing w:val="-6"/>
          <w:lang w:val="sk-SK"/>
        </w:rPr>
        <w:t xml:space="preserve"> a </w:t>
      </w:r>
      <w:r w:rsidRPr="00326E55">
        <w:rPr>
          <w:noProof/>
          <w:spacing w:val="-6"/>
          <w:lang w:val="sk-SK"/>
        </w:rPr>
        <w:t>digitalizovať postupy týkajúce sa fungovania národných parkov</w:t>
      </w:r>
      <w:r w:rsidR="00326E55" w:rsidRPr="00326E55">
        <w:rPr>
          <w:noProof/>
          <w:spacing w:val="-6"/>
          <w:lang w:val="sk-SK"/>
        </w:rPr>
        <w:t xml:space="preserve"> a </w:t>
      </w:r>
      <w:r w:rsidRPr="00326E55">
        <w:rPr>
          <w:noProof/>
          <w:spacing w:val="-6"/>
          <w:lang w:val="sk-SK"/>
        </w:rPr>
        <w:t xml:space="preserve">chránených morských oblastí. Opatrenie </w:t>
      </w:r>
      <w:r w:rsidRPr="00326E55">
        <w:rPr>
          <w:noProof/>
          <w:spacing w:val="-6"/>
          <w:lang w:val="sk-SK"/>
        </w:rPr>
        <w:t>pozostáva</w:t>
      </w:r>
      <w:r w:rsidR="00326E55" w:rsidRPr="00326E55">
        <w:rPr>
          <w:noProof/>
          <w:spacing w:val="-6"/>
          <w:lang w:val="sk-SK"/>
        </w:rPr>
        <w:t xml:space="preserve"> z </w:t>
      </w:r>
      <w:r w:rsidRPr="00326E55">
        <w:rPr>
          <w:noProof/>
          <w:spacing w:val="-6"/>
          <w:lang w:val="sk-SK"/>
        </w:rPr>
        <w:t>digitálnych služieb pre návštevníkov</w:t>
      </w:r>
      <w:r w:rsidR="00326E55" w:rsidRPr="00326E55">
        <w:rPr>
          <w:noProof/>
          <w:spacing w:val="-6"/>
          <w:lang w:val="sk-SK"/>
        </w:rPr>
        <w:t xml:space="preserve"> a </w:t>
      </w:r>
      <w:r w:rsidRPr="00326E55">
        <w:rPr>
          <w:noProof/>
          <w:spacing w:val="-6"/>
          <w:lang w:val="sk-SK"/>
        </w:rPr>
        <w:t>zásahov do ochrany prírody</w:t>
      </w:r>
      <w:r w:rsidR="00326E55" w:rsidRPr="00326E55">
        <w:rPr>
          <w:noProof/>
          <w:spacing w:val="-6"/>
          <w:lang w:val="sk-SK"/>
        </w:rPr>
        <w:t xml:space="preserve"> a </w:t>
      </w:r>
      <w:r w:rsidRPr="00326E55">
        <w:rPr>
          <w:noProof/>
          <w:spacing w:val="-6"/>
          <w:lang w:val="sk-SK"/>
        </w:rPr>
        <w:t>monitorovania prírodných zdrojov.</w:t>
      </w:r>
    </w:p>
    <w:p w14:paraId="54FA06DB" w14:textId="2E7BF96B" w:rsidR="00BF03AA" w:rsidRPr="00326E55" w:rsidRDefault="00FB452D">
      <w:pPr>
        <w:pStyle w:val="P68B1DB1-Times1274"/>
        <w:rPr>
          <w:bCs/>
          <w:noProof/>
          <w:spacing w:val="-6"/>
          <w:lang w:val="sk-SK"/>
        </w:rPr>
      </w:pPr>
      <w:r w:rsidRPr="00326E55">
        <w:rPr>
          <w:noProof/>
          <w:spacing w:val="-6"/>
          <w:lang w:val="sk-SK"/>
        </w:rPr>
        <w:t>Investícia 4.2. Zníženie strát vo vodovodných sieťach vrátane digitalizácie</w:t>
      </w:r>
      <w:r w:rsidR="00326E55" w:rsidRPr="00326E55">
        <w:rPr>
          <w:noProof/>
          <w:spacing w:val="-6"/>
          <w:lang w:val="sk-SK"/>
        </w:rPr>
        <w:t xml:space="preserve"> a </w:t>
      </w:r>
      <w:r w:rsidRPr="00326E55">
        <w:rPr>
          <w:noProof/>
          <w:spacing w:val="-6"/>
          <w:lang w:val="sk-SK"/>
        </w:rPr>
        <w:t>monitorovania sietí</w:t>
      </w:r>
    </w:p>
    <w:p w14:paraId="16E5E683" w14:textId="5E595393"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znížiť stratu pit</w:t>
      </w:r>
      <w:r w:rsidRPr="00326E55">
        <w:rPr>
          <w:noProof/>
          <w:spacing w:val="-6"/>
          <w:lang w:val="sk-SK"/>
        </w:rPr>
        <w:t>nej vody. Opatrenie pozostáva</w:t>
      </w:r>
      <w:r w:rsidR="00326E55" w:rsidRPr="00326E55">
        <w:rPr>
          <w:noProof/>
          <w:spacing w:val="-6"/>
          <w:lang w:val="sk-SK"/>
        </w:rPr>
        <w:t xml:space="preserve"> z </w:t>
      </w:r>
      <w:r w:rsidRPr="00326E55">
        <w:rPr>
          <w:noProof/>
          <w:spacing w:val="-6"/>
          <w:lang w:val="sk-SK"/>
        </w:rPr>
        <w:t>modernizácie</w:t>
      </w:r>
      <w:r w:rsidR="00326E55" w:rsidRPr="00326E55">
        <w:rPr>
          <w:noProof/>
          <w:spacing w:val="-6"/>
          <w:lang w:val="sk-SK"/>
        </w:rPr>
        <w:t xml:space="preserve"> a </w:t>
      </w:r>
      <w:r w:rsidRPr="00326E55">
        <w:rPr>
          <w:noProof/>
          <w:spacing w:val="-6"/>
          <w:lang w:val="sk-SK"/>
        </w:rPr>
        <w:t>modernizácie vodovodných sietí prostredníctvom pokročilých kontrolných systémov, ktoré umožňujú monitorovanie hlavných uzlov</w:t>
      </w:r>
      <w:r w:rsidR="00326E55" w:rsidRPr="00326E55">
        <w:rPr>
          <w:noProof/>
          <w:spacing w:val="-6"/>
          <w:lang w:val="sk-SK"/>
        </w:rPr>
        <w:t xml:space="preserve"> a </w:t>
      </w:r>
      <w:r w:rsidRPr="00326E55">
        <w:rPr>
          <w:noProof/>
          <w:spacing w:val="-6"/>
          <w:lang w:val="sk-SK"/>
        </w:rPr>
        <w:t>najcitlivejších bodov siete (úroveň vody).</w:t>
      </w:r>
    </w:p>
    <w:p w14:paraId="79595230" w14:textId="77777777" w:rsidR="00BF03AA" w:rsidRPr="00326E55" w:rsidRDefault="00BF03AA">
      <w:pPr>
        <w:pStyle w:val="Times12"/>
        <w:rPr>
          <w:rFonts w:ascii="Times New Roman" w:hAnsi="Times New Roman" w:cs="Times New Roman"/>
          <w:noProof/>
          <w:spacing w:val="-6"/>
          <w:lang w:val="sk-SK"/>
        </w:rPr>
        <w:sectPr w:rsidR="00BF03AA" w:rsidRPr="00326E55" w:rsidSect="005F11B9">
          <w:headerReference w:type="default" r:id="rId120"/>
          <w:footerReference w:type="default" r:id="rId121"/>
          <w:pgSz w:w="11906" w:h="16838"/>
          <w:pgMar w:top="1440" w:right="1440" w:bottom="1440" w:left="1440" w:header="708" w:footer="708" w:gutter="0"/>
          <w:cols w:space="708"/>
          <w:docGrid w:linePitch="360"/>
        </w:sectPr>
      </w:pPr>
    </w:p>
    <w:p w14:paraId="72B2E54F" w14:textId="72C243CB"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G.2.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14560" w:type="dxa"/>
        <w:jc w:val="center"/>
        <w:tblLook w:val="04A0" w:firstRow="1" w:lastRow="0" w:firstColumn="1" w:lastColumn="0" w:noHBand="0" w:noVBand="1"/>
      </w:tblPr>
      <w:tblGrid>
        <w:gridCol w:w="1241"/>
        <w:gridCol w:w="1402"/>
        <w:gridCol w:w="1167"/>
        <w:gridCol w:w="1432"/>
        <w:gridCol w:w="1300"/>
        <w:gridCol w:w="1297"/>
        <w:gridCol w:w="1263"/>
        <w:gridCol w:w="1263"/>
        <w:gridCol w:w="1128"/>
        <w:gridCol w:w="739"/>
        <w:gridCol w:w="2554"/>
      </w:tblGrid>
      <w:tr w:rsidR="00BF03AA" w:rsidRPr="00326E55" w14:paraId="17CF8AB2" w14:textId="77777777">
        <w:trPr>
          <w:trHeight w:val="927"/>
          <w:tblHeader/>
          <w:jc w:val="center"/>
        </w:trPr>
        <w:tc>
          <w:tcPr>
            <w:tcW w:w="1347"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413FADD" w14:textId="4617DBD5"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495"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D8BD12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7E43325"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460" w:type="dxa"/>
            <w:vMerge w:val="restart"/>
            <w:tcBorders>
              <w:top w:val="single" w:sz="4" w:space="0" w:color="auto"/>
              <w:left w:val="nil"/>
              <w:bottom w:val="single" w:sz="4" w:space="0" w:color="auto"/>
              <w:right w:val="single" w:sz="4" w:space="0" w:color="auto"/>
            </w:tcBorders>
            <w:shd w:val="clear" w:color="auto" w:fill="BDD7EE"/>
            <w:vAlign w:val="center"/>
            <w:hideMark/>
          </w:tcPr>
          <w:p w14:paraId="288AC1B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41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6E36A148" w14:textId="1CA9EB70"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176" w:type="dxa"/>
            <w:gridSpan w:val="3"/>
            <w:tcBorders>
              <w:top w:val="single" w:sz="4" w:space="0" w:color="auto"/>
              <w:left w:val="nil"/>
              <w:bottom w:val="single" w:sz="4" w:space="0" w:color="auto"/>
              <w:right w:val="single" w:sz="4" w:space="0" w:color="auto"/>
            </w:tcBorders>
            <w:shd w:val="clear" w:color="auto" w:fill="BDD7EE"/>
            <w:vAlign w:val="center"/>
            <w:hideMark/>
          </w:tcPr>
          <w:p w14:paraId="40D64782" w14:textId="00AA22C6"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w:t>
            </w:r>
            <w:r w:rsidRPr="00326E55">
              <w:rPr>
                <w:rFonts w:ascii="Times New Roman" w:hAnsi="Times New Roman"/>
                <w:b/>
                <w:noProof/>
                <w:spacing w:val="-6"/>
                <w:sz w:val="20"/>
                <w:lang w:val="sk-SK"/>
              </w:rPr>
              <w:t>ne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603" w:type="dxa"/>
            <w:gridSpan w:val="2"/>
            <w:tcBorders>
              <w:top w:val="single" w:sz="4" w:space="0" w:color="auto"/>
              <w:left w:val="nil"/>
              <w:bottom w:val="single" w:sz="4" w:space="0" w:color="auto"/>
              <w:right w:val="single" w:sz="4" w:space="0" w:color="auto"/>
            </w:tcBorders>
            <w:shd w:val="clear" w:color="auto" w:fill="BDD7EE"/>
            <w:vAlign w:val="center"/>
            <w:hideMark/>
          </w:tcPr>
          <w:p w14:paraId="778225E8"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2799"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6F533C2" w14:textId="6F5DD005"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3EDF3579" w14:textId="77777777">
        <w:trPr>
          <w:trHeight w:val="1013"/>
          <w:tblHeader/>
          <w:jc w:val="center"/>
        </w:trPr>
        <w:tc>
          <w:tcPr>
            <w:tcW w:w="1347" w:type="dxa"/>
            <w:vMerge/>
            <w:tcBorders>
              <w:top w:val="single" w:sz="4" w:space="0" w:color="auto"/>
              <w:left w:val="single" w:sz="4" w:space="0" w:color="auto"/>
              <w:bottom w:val="single" w:sz="4" w:space="0" w:color="auto"/>
              <w:right w:val="single" w:sz="4" w:space="0" w:color="auto"/>
            </w:tcBorders>
            <w:vAlign w:val="center"/>
            <w:hideMark/>
          </w:tcPr>
          <w:p w14:paraId="100893C0" w14:textId="77777777" w:rsidR="00BF03AA" w:rsidRPr="00326E55" w:rsidRDefault="00BF03AA">
            <w:pPr>
              <w:jc w:val="center"/>
              <w:rPr>
                <w:rFonts w:ascii="Times New Roman" w:hAnsi="Times New Roman"/>
                <w:b/>
                <w:bCs/>
                <w:noProof/>
                <w:spacing w:val="-6"/>
                <w:sz w:val="20"/>
                <w:szCs w:val="20"/>
                <w:lang w:val="sk-SK"/>
              </w:rPr>
            </w:pPr>
          </w:p>
        </w:tc>
        <w:tc>
          <w:tcPr>
            <w:tcW w:w="1495" w:type="dxa"/>
            <w:vMerge/>
            <w:tcBorders>
              <w:left w:val="single" w:sz="4" w:space="0" w:color="auto"/>
              <w:right w:val="single" w:sz="4" w:space="0" w:color="auto"/>
            </w:tcBorders>
            <w:vAlign w:val="center"/>
            <w:hideMark/>
          </w:tcPr>
          <w:p w14:paraId="3418F25C" w14:textId="77777777" w:rsidR="00BF03AA" w:rsidRPr="00326E55" w:rsidRDefault="00BF03AA">
            <w:pPr>
              <w:jc w:val="center"/>
              <w:rPr>
                <w:rFonts w:ascii="Times New Roman" w:hAnsi="Times New Roman"/>
                <w:b/>
                <w:bCs/>
                <w:noProof/>
                <w:spacing w:val="-6"/>
                <w:sz w:val="20"/>
                <w:szCs w:val="20"/>
                <w:lang w:val="sk-SK"/>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3C168372" w14:textId="77777777" w:rsidR="00BF03AA" w:rsidRPr="00326E55" w:rsidRDefault="00BF03AA">
            <w:pPr>
              <w:jc w:val="center"/>
              <w:rPr>
                <w:rFonts w:ascii="Times New Roman" w:hAnsi="Times New Roman"/>
                <w:b/>
                <w:bCs/>
                <w:noProof/>
                <w:spacing w:val="-6"/>
                <w:sz w:val="20"/>
                <w:szCs w:val="20"/>
                <w:lang w:val="sk-SK"/>
              </w:rPr>
            </w:pPr>
          </w:p>
        </w:tc>
        <w:tc>
          <w:tcPr>
            <w:tcW w:w="1460" w:type="dxa"/>
            <w:vMerge/>
            <w:tcBorders>
              <w:left w:val="single" w:sz="4" w:space="0" w:color="auto"/>
              <w:right w:val="single" w:sz="4" w:space="0" w:color="auto"/>
            </w:tcBorders>
            <w:vAlign w:val="center"/>
            <w:hideMark/>
          </w:tcPr>
          <w:p w14:paraId="46BD85F4" w14:textId="77777777" w:rsidR="00BF03AA" w:rsidRPr="00326E55" w:rsidRDefault="00BF03AA">
            <w:pPr>
              <w:jc w:val="center"/>
              <w:rPr>
                <w:rFonts w:ascii="Times New Roman" w:hAnsi="Times New Roman"/>
                <w:b/>
                <w:bCs/>
                <w:noProof/>
                <w:spacing w:val="-6"/>
                <w:sz w:val="20"/>
                <w:szCs w:val="20"/>
                <w:lang w:val="sk-SK"/>
              </w:rPr>
            </w:pPr>
          </w:p>
        </w:tc>
        <w:tc>
          <w:tcPr>
            <w:tcW w:w="1414" w:type="dxa"/>
            <w:vMerge/>
            <w:tcBorders>
              <w:top w:val="single" w:sz="4" w:space="0" w:color="auto"/>
              <w:left w:val="single" w:sz="4" w:space="0" w:color="auto"/>
              <w:bottom w:val="single" w:sz="4" w:space="0" w:color="auto"/>
            </w:tcBorders>
            <w:vAlign w:val="center"/>
            <w:hideMark/>
          </w:tcPr>
          <w:p w14:paraId="6FC8BDCD" w14:textId="77777777" w:rsidR="00BF03AA" w:rsidRPr="00326E55" w:rsidRDefault="00BF03AA">
            <w:pPr>
              <w:jc w:val="center"/>
              <w:rPr>
                <w:rFonts w:ascii="Times New Roman" w:hAnsi="Times New Roman"/>
                <w:b/>
                <w:bCs/>
                <w:noProof/>
                <w:spacing w:val="-6"/>
                <w:sz w:val="20"/>
                <w:szCs w:val="20"/>
                <w:lang w:val="sk-SK"/>
              </w:rPr>
            </w:pPr>
          </w:p>
        </w:tc>
        <w:tc>
          <w:tcPr>
            <w:tcW w:w="1410" w:type="dxa"/>
            <w:tcBorders>
              <w:top w:val="nil"/>
              <w:left w:val="single" w:sz="4" w:space="0" w:color="auto"/>
              <w:bottom w:val="single" w:sz="4" w:space="0" w:color="auto"/>
              <w:right w:val="single" w:sz="4" w:space="0" w:color="auto"/>
            </w:tcBorders>
            <w:shd w:val="clear" w:color="auto" w:fill="BDD7EE"/>
            <w:vAlign w:val="center"/>
            <w:hideMark/>
          </w:tcPr>
          <w:p w14:paraId="03264B5A"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047" w:type="dxa"/>
            <w:tcBorders>
              <w:top w:val="nil"/>
              <w:left w:val="nil"/>
              <w:bottom w:val="single" w:sz="4" w:space="0" w:color="auto"/>
              <w:right w:val="single" w:sz="4" w:space="0" w:color="auto"/>
            </w:tcBorders>
            <w:shd w:val="clear" w:color="auto" w:fill="BDD7EE"/>
            <w:vAlign w:val="center"/>
            <w:hideMark/>
          </w:tcPr>
          <w:p w14:paraId="6F256222"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719" w:type="dxa"/>
            <w:tcBorders>
              <w:top w:val="nil"/>
              <w:left w:val="nil"/>
              <w:bottom w:val="single" w:sz="4" w:space="0" w:color="auto"/>
              <w:right w:val="single" w:sz="4" w:space="0" w:color="auto"/>
            </w:tcBorders>
            <w:shd w:val="clear" w:color="auto" w:fill="BDD7EE"/>
            <w:vAlign w:val="center"/>
            <w:hideMark/>
          </w:tcPr>
          <w:p w14:paraId="0832932A"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809" w:type="dxa"/>
            <w:tcBorders>
              <w:top w:val="nil"/>
              <w:left w:val="nil"/>
              <w:bottom w:val="single" w:sz="4" w:space="0" w:color="auto"/>
              <w:right w:val="single" w:sz="4" w:space="0" w:color="auto"/>
            </w:tcBorders>
            <w:shd w:val="clear" w:color="auto" w:fill="BDD7EE"/>
            <w:vAlign w:val="center"/>
            <w:hideMark/>
          </w:tcPr>
          <w:p w14:paraId="1744708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94" w:type="dxa"/>
            <w:tcBorders>
              <w:top w:val="nil"/>
              <w:left w:val="nil"/>
              <w:bottom w:val="single" w:sz="4" w:space="0" w:color="auto"/>
              <w:right w:val="single" w:sz="4" w:space="0" w:color="auto"/>
            </w:tcBorders>
            <w:shd w:val="clear" w:color="auto" w:fill="BDD7EE"/>
            <w:vAlign w:val="center"/>
            <w:hideMark/>
          </w:tcPr>
          <w:p w14:paraId="379D9C5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799" w:type="dxa"/>
            <w:vMerge/>
            <w:tcBorders>
              <w:top w:val="single" w:sz="4" w:space="0" w:color="auto"/>
              <w:bottom w:val="single" w:sz="4" w:space="0" w:color="auto"/>
              <w:right w:val="single" w:sz="4" w:space="0" w:color="auto"/>
            </w:tcBorders>
            <w:vAlign w:val="center"/>
            <w:hideMark/>
          </w:tcPr>
          <w:p w14:paraId="3483C9BD" w14:textId="77777777" w:rsidR="00BF03AA" w:rsidRPr="00326E55" w:rsidRDefault="00BF03AA">
            <w:pPr>
              <w:rPr>
                <w:rFonts w:ascii="Times New Roman" w:hAnsi="Times New Roman"/>
                <w:b/>
                <w:bCs/>
                <w:noProof/>
                <w:spacing w:val="-6"/>
                <w:sz w:val="20"/>
                <w:szCs w:val="20"/>
                <w:lang w:val="sk-SK"/>
              </w:rPr>
            </w:pPr>
          </w:p>
        </w:tc>
      </w:tr>
      <w:tr w:rsidR="00BF03AA" w:rsidRPr="00326E55" w14:paraId="6279EAA0" w14:textId="77777777">
        <w:trPr>
          <w:trHeight w:val="170"/>
          <w:jc w:val="center"/>
        </w:trPr>
        <w:tc>
          <w:tcPr>
            <w:tcW w:w="134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413265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1</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3DB1D694" w14:textId="58C26FCE"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2.1. Zjednodušenie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urýchlenie postupov vykonávania intervencií proti hydrogeologickej nestabilite</w:t>
            </w:r>
          </w:p>
        </w:tc>
        <w:tc>
          <w:tcPr>
            <w:tcW w:w="1266" w:type="dxa"/>
            <w:tcBorders>
              <w:top w:val="single" w:sz="4" w:space="0" w:color="auto"/>
              <w:left w:val="nil"/>
              <w:bottom w:val="single" w:sz="4" w:space="0" w:color="auto"/>
              <w:right w:val="single" w:sz="4" w:space="0" w:color="auto"/>
            </w:tcBorders>
            <w:shd w:val="clear" w:color="auto" w:fill="C6EFCE"/>
            <w:noWrap/>
            <w:vAlign w:val="center"/>
            <w:hideMark/>
          </w:tcPr>
          <w:p w14:paraId="6A81CDD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10C2CEC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zjednodušenia právneho rámca pre lepšie riadenie hydrologických rizík</w:t>
            </w:r>
          </w:p>
        </w:tc>
        <w:tc>
          <w:tcPr>
            <w:tcW w:w="1414" w:type="dxa"/>
            <w:tcBorders>
              <w:top w:val="single" w:sz="4" w:space="0" w:color="auto"/>
              <w:left w:val="nil"/>
              <w:bottom w:val="single" w:sz="4" w:space="0" w:color="auto"/>
              <w:right w:val="single" w:sz="4" w:space="0" w:color="auto"/>
            </w:tcBorders>
            <w:shd w:val="clear" w:color="auto" w:fill="C6EFCE"/>
            <w:noWrap/>
            <w:vAlign w:val="center"/>
            <w:hideMark/>
          </w:tcPr>
          <w:p w14:paraId="1C82A28C" w14:textId="3A364925"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príslušnom právnom akte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w:t>
            </w:r>
          </w:p>
        </w:tc>
        <w:tc>
          <w:tcPr>
            <w:tcW w:w="1410" w:type="dxa"/>
            <w:tcBorders>
              <w:top w:val="nil"/>
              <w:left w:val="nil"/>
              <w:bottom w:val="single" w:sz="4" w:space="0" w:color="auto"/>
              <w:right w:val="single" w:sz="4" w:space="0" w:color="auto"/>
            </w:tcBorders>
            <w:shd w:val="clear" w:color="auto" w:fill="C6EFCE"/>
            <w:noWrap/>
            <w:vAlign w:val="center"/>
            <w:hideMark/>
          </w:tcPr>
          <w:p w14:paraId="5AA2A5E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47" w:type="dxa"/>
            <w:tcBorders>
              <w:top w:val="nil"/>
              <w:left w:val="nil"/>
              <w:bottom w:val="single" w:sz="4" w:space="0" w:color="auto"/>
              <w:right w:val="single" w:sz="4" w:space="0" w:color="auto"/>
            </w:tcBorders>
            <w:shd w:val="clear" w:color="auto" w:fill="C6EFCE"/>
            <w:noWrap/>
            <w:vAlign w:val="center"/>
            <w:hideMark/>
          </w:tcPr>
          <w:p w14:paraId="2CC489D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19" w:type="dxa"/>
            <w:tcBorders>
              <w:top w:val="nil"/>
              <w:left w:val="nil"/>
              <w:bottom w:val="single" w:sz="4" w:space="0" w:color="auto"/>
              <w:right w:val="single" w:sz="4" w:space="0" w:color="auto"/>
            </w:tcBorders>
            <w:shd w:val="clear" w:color="auto" w:fill="C6EFCE"/>
            <w:noWrap/>
            <w:vAlign w:val="center"/>
            <w:hideMark/>
          </w:tcPr>
          <w:p w14:paraId="0AE8793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tcBorders>
              <w:top w:val="nil"/>
              <w:left w:val="nil"/>
              <w:bottom w:val="single" w:sz="4" w:space="0" w:color="auto"/>
              <w:right w:val="single" w:sz="4" w:space="0" w:color="auto"/>
            </w:tcBorders>
            <w:shd w:val="clear" w:color="auto" w:fill="C6EFCE"/>
            <w:noWrap/>
            <w:vAlign w:val="center"/>
            <w:hideMark/>
          </w:tcPr>
          <w:p w14:paraId="137ED56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94" w:type="dxa"/>
            <w:tcBorders>
              <w:top w:val="nil"/>
              <w:left w:val="nil"/>
              <w:bottom w:val="single" w:sz="4" w:space="0" w:color="auto"/>
              <w:right w:val="single" w:sz="4" w:space="0" w:color="auto"/>
            </w:tcBorders>
            <w:shd w:val="clear" w:color="auto" w:fill="C6EFCE"/>
            <w:noWrap/>
            <w:vAlign w:val="center"/>
            <w:hideMark/>
          </w:tcPr>
          <w:p w14:paraId="03CC85A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799" w:type="dxa"/>
            <w:tcBorders>
              <w:top w:val="single" w:sz="4" w:space="0" w:color="auto"/>
              <w:left w:val="nil"/>
              <w:bottom w:val="single" w:sz="4" w:space="0" w:color="auto"/>
              <w:right w:val="single" w:sz="4" w:space="0" w:color="auto"/>
            </w:tcBorders>
            <w:shd w:val="clear" w:color="auto" w:fill="C6EFCE"/>
            <w:noWrap/>
            <w:vAlign w:val="center"/>
          </w:tcPr>
          <w:p w14:paraId="583090AA" w14:textId="77777777"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Nový právny rámec (aspoň):</w:t>
            </w:r>
          </w:p>
          <w:p w14:paraId="5A2AB5A7" w14:textId="0BC365AB"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szCs w:val="20"/>
                <w:lang w:val="sk-SK"/>
              </w:rPr>
            </w:pPr>
            <w:r w:rsidRPr="00326E55">
              <w:rPr>
                <w:rFonts w:ascii="Times New Roman" w:hAnsi="Times New Roman"/>
                <w:noProof/>
                <w:spacing w:val="-6"/>
                <w:lang w:val="sk-SK"/>
              </w:rPr>
              <w:t>Uprednostniť preventívne 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vnútroštátnym posúdením rizík</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 xml:space="preserve">článkom 6 rozhodnutia </w:t>
            </w:r>
            <w:r w:rsidR="00326E55" w:rsidRPr="00326E55">
              <w:rPr>
                <w:rFonts w:ascii="Times New Roman" w:hAnsi="Times New Roman"/>
                <w:noProof/>
                <w:spacing w:val="-6"/>
                <w:lang w:val="sk-SK"/>
              </w:rPr>
              <w:t>č. </w:t>
            </w:r>
            <w:r w:rsidRPr="00326E55">
              <w:rPr>
                <w:rFonts w:ascii="Times New Roman" w:hAnsi="Times New Roman"/>
                <w:noProof/>
                <w:spacing w:val="-6"/>
                <w:lang w:val="sk-SK"/>
              </w:rPr>
              <w:t>1313/2013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posúdením spôsobilostí riadenia rizík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zásadou „nespôsobovať významnú škodu“;</w:t>
            </w:r>
          </w:p>
          <w:p w14:paraId="3387B716" w14:textId="53E5E492"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szCs w:val="20"/>
                <w:lang w:val="sk-SK"/>
              </w:rPr>
            </w:pPr>
            <w:r w:rsidRPr="00326E55">
              <w:rPr>
                <w:rFonts w:ascii="Times New Roman" w:hAnsi="Times New Roman"/>
                <w:noProof/>
                <w:spacing w:val="-6"/>
                <w:lang w:val="sk-SK"/>
              </w:rPr>
              <w:t>Urýchliť postupy navrhovania projektov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stanoviť všeobecné zásady na zjednodušenie vykonávania projektov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postupov financovania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proje</w:t>
            </w:r>
            <w:r w:rsidRPr="00326E55">
              <w:rPr>
                <w:rFonts w:ascii="Times New Roman" w:hAnsi="Times New Roman"/>
                <w:noProof/>
                <w:spacing w:val="-6"/>
                <w:lang w:val="sk-SK"/>
              </w:rPr>
              <w:t>ktov hydrologických rizík;</w:t>
            </w:r>
          </w:p>
          <w:p w14:paraId="7887A4A6" w14:textId="0F4D2585"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lang w:val="sk-SK"/>
              </w:rPr>
            </w:pPr>
            <w:r w:rsidRPr="00326E55">
              <w:rPr>
                <w:rFonts w:ascii="Times New Roman" w:hAnsi="Times New Roman"/>
                <w:noProof/>
                <w:spacing w:val="-6"/>
                <w:lang w:val="sk-SK"/>
              </w:rPr>
              <w:t>Harmonizovať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zefektívniť informačné toky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nadbytočnosť pri podávaní správ medzi rôznymi informačnými systémami štátu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vytvoriť systém ukazovateľov na lepšiu identifikáciu hydrologických rizík</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odporúča</w:t>
            </w:r>
            <w:r w:rsidRPr="00326E55">
              <w:rPr>
                <w:rFonts w:ascii="Times New Roman" w:hAnsi="Times New Roman"/>
                <w:noProof/>
                <w:spacing w:val="-6"/>
                <w:lang w:val="sk-SK"/>
              </w:rPr>
              <w:t>niami talianskeho Dvora audítorov.</w:t>
            </w:r>
          </w:p>
          <w:p w14:paraId="06C47675" w14:textId="5F269116"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lang w:val="sk-SK"/>
              </w:rPr>
            </w:pPr>
            <w:r w:rsidRPr="00326E55">
              <w:rPr>
                <w:rFonts w:ascii="Times New Roman" w:hAnsi="Times New Roman"/>
                <w:noProof/>
                <w:spacing w:val="-6"/>
                <w:lang w:val="sk-SK"/>
              </w:rPr>
              <w:t>Posilniť koordináciu intervencií medzi rôznymi úrovňami verejnej správy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odporúčaniami talianskeho Dvora audítorov;</w:t>
            </w:r>
          </w:p>
          <w:p w14:paraId="3A012D9D" w14:textId="34E26FC6"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lang w:val="sk-SK"/>
              </w:rPr>
            </w:pPr>
            <w:r w:rsidRPr="00326E55">
              <w:rPr>
                <w:rFonts w:ascii="Times New Roman" w:hAnsi="Times New Roman"/>
                <w:noProof/>
                <w:spacing w:val="-6"/>
                <w:lang w:val="sk-SK"/>
              </w:rPr>
              <w:t>Vytvoriť spoločné databázy incidentov („dissesto“)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odporúčaniami talianskeho Dvora a</w:t>
            </w:r>
            <w:r w:rsidRPr="00326E55">
              <w:rPr>
                <w:rFonts w:ascii="Times New Roman" w:hAnsi="Times New Roman"/>
                <w:noProof/>
                <w:spacing w:val="-6"/>
                <w:lang w:val="sk-SK"/>
              </w:rPr>
              <w:t>udítorov;</w:t>
            </w:r>
          </w:p>
          <w:p w14:paraId="5A3FA1F9" w14:textId="77777777"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lang w:val="sk-SK"/>
              </w:rPr>
            </w:pPr>
            <w:r w:rsidRPr="00326E55">
              <w:rPr>
                <w:rFonts w:ascii="Times New Roman" w:hAnsi="Times New Roman"/>
                <w:noProof/>
                <w:spacing w:val="-6"/>
                <w:lang w:val="sk-SK"/>
              </w:rPr>
              <w:t>Stanoviť maximálne lehoty pre každú fázu.</w:t>
            </w:r>
          </w:p>
          <w:p w14:paraId="5635A14D" w14:textId="77777777"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szCs w:val="20"/>
                <w:lang w:val="sk-SK"/>
              </w:rPr>
            </w:pPr>
            <w:r w:rsidRPr="00326E55">
              <w:rPr>
                <w:rFonts w:ascii="Times New Roman" w:hAnsi="Times New Roman"/>
                <w:noProof/>
                <w:spacing w:val="-6"/>
                <w:lang w:val="sk-SK"/>
              </w:rPr>
              <w:t>Stanoviť plán na posilnenie kapacity príslušných subjektov.</w:t>
            </w:r>
          </w:p>
        </w:tc>
      </w:tr>
      <w:tr w:rsidR="00BF03AA" w:rsidRPr="00326E55" w14:paraId="5D60658B"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7A2AEC4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5BB7CFD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4.2 „Opatrenia na zabezpečenie plných riadiacich kapacít pre integrované vodohospodárske služby“</w:t>
            </w:r>
          </w:p>
        </w:tc>
        <w:tc>
          <w:tcPr>
            <w:tcW w:w="1266" w:type="dxa"/>
            <w:tcBorders>
              <w:top w:val="nil"/>
              <w:left w:val="nil"/>
              <w:bottom w:val="single" w:sz="4" w:space="0" w:color="auto"/>
              <w:right w:val="single" w:sz="4" w:space="0" w:color="auto"/>
            </w:tcBorders>
            <w:shd w:val="clear" w:color="auto" w:fill="C6EFCE"/>
            <w:noWrap/>
            <w:vAlign w:val="center"/>
            <w:hideMark/>
          </w:tcPr>
          <w:p w14:paraId="35AE2A3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596BDD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w:t>
            </w:r>
            <w:r w:rsidRPr="00326E55">
              <w:rPr>
                <w:rFonts w:ascii="Times New Roman" w:hAnsi="Times New Roman"/>
                <w:noProof/>
                <w:spacing w:val="-6"/>
                <w:lang w:val="sk-SK"/>
              </w:rPr>
              <w:t xml:space="preserve"> reformy na zabezpečenie plných riadiacich kapacít pre integrované vodohospodárske služby</w:t>
            </w:r>
          </w:p>
        </w:tc>
        <w:tc>
          <w:tcPr>
            <w:tcW w:w="1414" w:type="dxa"/>
            <w:tcBorders>
              <w:top w:val="nil"/>
              <w:left w:val="nil"/>
              <w:bottom w:val="single" w:sz="4" w:space="0" w:color="auto"/>
              <w:right w:val="single" w:sz="4" w:space="0" w:color="auto"/>
            </w:tcBorders>
            <w:shd w:val="clear" w:color="auto" w:fill="C6EFCE"/>
            <w:noWrap/>
            <w:vAlign w:val="center"/>
            <w:hideMark/>
          </w:tcPr>
          <w:p w14:paraId="32FE1250" w14:textId="70589B5A"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príslušnom právnom akte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w:t>
            </w:r>
          </w:p>
        </w:tc>
        <w:tc>
          <w:tcPr>
            <w:tcW w:w="1410" w:type="dxa"/>
            <w:tcBorders>
              <w:top w:val="nil"/>
              <w:left w:val="nil"/>
              <w:bottom w:val="single" w:sz="4" w:space="0" w:color="auto"/>
              <w:right w:val="single" w:sz="4" w:space="0" w:color="auto"/>
            </w:tcBorders>
            <w:shd w:val="clear" w:color="auto" w:fill="C6EFCE"/>
            <w:noWrap/>
            <w:vAlign w:val="center"/>
            <w:hideMark/>
          </w:tcPr>
          <w:p w14:paraId="581150D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47" w:type="dxa"/>
            <w:tcBorders>
              <w:top w:val="nil"/>
              <w:left w:val="nil"/>
              <w:bottom w:val="single" w:sz="4" w:space="0" w:color="auto"/>
              <w:right w:val="single" w:sz="4" w:space="0" w:color="auto"/>
            </w:tcBorders>
            <w:shd w:val="clear" w:color="auto" w:fill="C6EFCE"/>
            <w:noWrap/>
            <w:vAlign w:val="center"/>
            <w:hideMark/>
          </w:tcPr>
          <w:p w14:paraId="2B582B4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19" w:type="dxa"/>
            <w:tcBorders>
              <w:top w:val="nil"/>
              <w:left w:val="nil"/>
              <w:bottom w:val="single" w:sz="4" w:space="0" w:color="auto"/>
              <w:right w:val="single" w:sz="4" w:space="0" w:color="auto"/>
            </w:tcBorders>
            <w:shd w:val="clear" w:color="auto" w:fill="C6EFCE"/>
            <w:noWrap/>
            <w:vAlign w:val="center"/>
            <w:hideMark/>
          </w:tcPr>
          <w:p w14:paraId="7080A8A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tcBorders>
              <w:top w:val="nil"/>
              <w:left w:val="nil"/>
              <w:bottom w:val="single" w:sz="4" w:space="0" w:color="auto"/>
              <w:right w:val="single" w:sz="4" w:space="0" w:color="auto"/>
            </w:tcBorders>
            <w:shd w:val="clear" w:color="auto" w:fill="C6EFCE"/>
            <w:noWrap/>
            <w:vAlign w:val="center"/>
            <w:hideMark/>
          </w:tcPr>
          <w:p w14:paraId="12D28CB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94" w:type="dxa"/>
            <w:tcBorders>
              <w:top w:val="nil"/>
              <w:left w:val="nil"/>
              <w:bottom w:val="single" w:sz="4" w:space="0" w:color="auto"/>
              <w:right w:val="single" w:sz="4" w:space="0" w:color="auto"/>
            </w:tcBorders>
            <w:shd w:val="clear" w:color="auto" w:fill="C6EFCE"/>
            <w:noWrap/>
            <w:vAlign w:val="center"/>
            <w:hideMark/>
          </w:tcPr>
          <w:p w14:paraId="326D537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272820A0" w14:textId="60B7C873"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Všeobecný zákon/nariadenia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vodohospodárskych službách pre ich udržateľné využívanie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stimulovanie investícií do vodohospodárskej infraštruktúry, ktoré aspoň:</w:t>
            </w:r>
          </w:p>
          <w:p w14:paraId="49786188" w14:textId="4803AFF1"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lang w:val="sk-SK"/>
              </w:rPr>
            </w:pPr>
            <w:r w:rsidRPr="00326E55">
              <w:rPr>
                <w:rFonts w:ascii="Times New Roman" w:hAnsi="Times New Roman"/>
                <w:noProof/>
                <w:spacing w:val="-6"/>
                <w:lang w:val="sk-SK"/>
              </w:rPr>
              <w:t>Znížiť fragmentáciu subjektov prostredníctvom pravidiel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mechanizmov agregácie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stimulovať, aby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súčasnosti </w:t>
            </w:r>
            <w:r w:rsidRPr="00326E55">
              <w:rPr>
                <w:rFonts w:ascii="Times New Roman" w:hAnsi="Times New Roman"/>
                <w:noProof/>
                <w:spacing w:val="-6"/>
                <w:lang w:val="sk-SK"/>
              </w:rPr>
              <w:t>autonómne riadiace subjekty začlenili do jedinečného prevádzkovateľa pre celý Ambito Territoriale Ottimale;</w:t>
            </w:r>
          </w:p>
          <w:p w14:paraId="2A427C38" w14:textId="16C357B1"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lang w:val="sk-SK"/>
              </w:rPr>
            </w:pPr>
            <w:r w:rsidRPr="00326E55">
              <w:rPr>
                <w:rFonts w:ascii="Times New Roman" w:hAnsi="Times New Roman"/>
                <w:noProof/>
                <w:spacing w:val="-6"/>
                <w:lang w:val="sk-SK"/>
              </w:rPr>
              <w:t>Poskytnúť stimuly na udržateľné využívanie vody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poľnohospodárstve, najmä na podporu využívania spoločného systému monitorovania využívania vody (S</w:t>
            </w:r>
            <w:r w:rsidRPr="00326E55">
              <w:rPr>
                <w:rFonts w:ascii="Times New Roman" w:hAnsi="Times New Roman"/>
                <w:noProof/>
                <w:spacing w:val="-6"/>
                <w:lang w:val="sk-SK"/>
              </w:rPr>
              <w:t>IGRIAN) na kolektívne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samozásobovacie zavlažovanie;</w:t>
            </w:r>
          </w:p>
          <w:p w14:paraId="53A433B4" w14:textId="4949F5AC" w:rsidR="00BF03AA" w:rsidRPr="00326E55" w:rsidRDefault="00FB452D">
            <w:pPr>
              <w:pStyle w:val="P68B1DB1-ListParagraph15"/>
              <w:numPr>
                <w:ilvl w:val="0"/>
                <w:numId w:val="27"/>
              </w:numPr>
              <w:tabs>
                <w:tab w:val="left" w:pos="321"/>
              </w:tabs>
              <w:spacing w:before="120" w:after="0" w:line="276" w:lineRule="auto"/>
              <w:ind w:left="0" w:firstLine="37"/>
              <w:rPr>
                <w:rFonts w:ascii="Times New Roman" w:hAnsi="Times New Roman"/>
                <w:noProof/>
                <w:spacing w:val="-6"/>
                <w:szCs w:val="20"/>
                <w:lang w:val="sk-SK"/>
              </w:rPr>
            </w:pPr>
            <w:r w:rsidRPr="00326E55">
              <w:rPr>
                <w:rFonts w:ascii="Times New Roman" w:hAnsi="Times New Roman"/>
                <w:noProof/>
                <w:spacing w:val="-6"/>
                <w:lang w:val="sk-SK"/>
              </w:rPr>
              <w:t>Stanoviť systém regulovaných cien, ktorý primerane zohľadní využívanie environmentálnych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znečistenie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zásadou „znečisťovateľ platí“.</w:t>
            </w:r>
          </w:p>
        </w:tc>
      </w:tr>
      <w:tr w:rsidR="00BF03AA" w:rsidRPr="00326E55" w14:paraId="4FEFCDD5"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5624679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3</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4DA669B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4.2 „Opatrenia na zabezpečenie</w:t>
            </w:r>
            <w:r w:rsidRPr="00326E55">
              <w:rPr>
                <w:rFonts w:ascii="Times New Roman" w:hAnsi="Times New Roman"/>
                <w:noProof/>
                <w:spacing w:val="-6"/>
                <w:lang w:val="sk-SK"/>
              </w:rPr>
              <w:t xml:space="preserve"> plných riadiacich kapacít pre integrované vodohospodárske služby“</w:t>
            </w:r>
          </w:p>
        </w:tc>
        <w:tc>
          <w:tcPr>
            <w:tcW w:w="1266" w:type="dxa"/>
            <w:tcBorders>
              <w:top w:val="nil"/>
              <w:left w:val="nil"/>
              <w:bottom w:val="single" w:sz="4" w:space="0" w:color="auto"/>
              <w:right w:val="single" w:sz="4" w:space="0" w:color="auto"/>
            </w:tcBorders>
            <w:shd w:val="clear" w:color="auto" w:fill="C6EFCE"/>
            <w:noWrap/>
            <w:vAlign w:val="center"/>
            <w:hideMark/>
          </w:tcPr>
          <w:p w14:paraId="0431656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60ABE95" w14:textId="25FBA5FF"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právneho rámca pre lepšie hospodárenie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jej udržateľné využívanie</w:t>
            </w:r>
          </w:p>
        </w:tc>
        <w:tc>
          <w:tcPr>
            <w:tcW w:w="1414" w:type="dxa"/>
            <w:tcBorders>
              <w:top w:val="nil"/>
              <w:left w:val="nil"/>
              <w:bottom w:val="single" w:sz="4" w:space="0" w:color="auto"/>
              <w:right w:val="single" w:sz="4" w:space="0" w:color="auto"/>
            </w:tcBorders>
            <w:shd w:val="clear" w:color="auto" w:fill="C6EFCE"/>
            <w:noWrap/>
            <w:vAlign w:val="center"/>
            <w:hideMark/>
          </w:tcPr>
          <w:p w14:paraId="153E4880" w14:textId="161F476B"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platnosti memoránd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porozumení (MoP)</w:t>
            </w:r>
          </w:p>
        </w:tc>
        <w:tc>
          <w:tcPr>
            <w:tcW w:w="1410" w:type="dxa"/>
            <w:tcBorders>
              <w:top w:val="nil"/>
              <w:left w:val="nil"/>
              <w:bottom w:val="single" w:sz="4" w:space="0" w:color="auto"/>
              <w:right w:val="single" w:sz="4" w:space="0" w:color="auto"/>
            </w:tcBorders>
            <w:shd w:val="clear" w:color="auto" w:fill="C6EFCE"/>
            <w:noWrap/>
            <w:vAlign w:val="center"/>
            <w:hideMark/>
          </w:tcPr>
          <w:p w14:paraId="11701F6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47" w:type="dxa"/>
            <w:tcBorders>
              <w:top w:val="nil"/>
              <w:left w:val="nil"/>
              <w:bottom w:val="single" w:sz="4" w:space="0" w:color="auto"/>
              <w:right w:val="single" w:sz="4" w:space="0" w:color="auto"/>
            </w:tcBorders>
            <w:shd w:val="clear" w:color="auto" w:fill="C6EFCE"/>
            <w:noWrap/>
            <w:vAlign w:val="center"/>
            <w:hideMark/>
          </w:tcPr>
          <w:p w14:paraId="1571A88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19" w:type="dxa"/>
            <w:tcBorders>
              <w:top w:val="nil"/>
              <w:left w:val="nil"/>
              <w:bottom w:val="single" w:sz="4" w:space="0" w:color="auto"/>
              <w:right w:val="single" w:sz="4" w:space="0" w:color="auto"/>
            </w:tcBorders>
            <w:shd w:val="clear" w:color="auto" w:fill="C6EFCE"/>
            <w:noWrap/>
            <w:vAlign w:val="center"/>
            <w:hideMark/>
          </w:tcPr>
          <w:p w14:paraId="445A40E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tcBorders>
              <w:top w:val="nil"/>
              <w:left w:val="nil"/>
              <w:bottom w:val="single" w:sz="4" w:space="0" w:color="auto"/>
              <w:right w:val="single" w:sz="4" w:space="0" w:color="auto"/>
            </w:tcBorders>
            <w:shd w:val="clear" w:color="auto" w:fill="C6EFCE"/>
            <w:noWrap/>
            <w:vAlign w:val="center"/>
            <w:hideMark/>
          </w:tcPr>
          <w:p w14:paraId="5578577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94" w:type="dxa"/>
            <w:tcBorders>
              <w:top w:val="nil"/>
              <w:left w:val="nil"/>
              <w:bottom w:val="single" w:sz="4" w:space="0" w:color="auto"/>
              <w:right w:val="single" w:sz="4" w:space="0" w:color="auto"/>
            </w:tcBorders>
            <w:shd w:val="clear" w:color="auto" w:fill="C6EFCE"/>
            <w:noWrap/>
            <w:vAlign w:val="center"/>
            <w:hideMark/>
          </w:tcPr>
          <w:p w14:paraId="04C0A55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2799" w:type="dxa"/>
            <w:tcBorders>
              <w:top w:val="nil"/>
              <w:left w:val="nil"/>
              <w:bottom w:val="single" w:sz="4" w:space="0" w:color="auto"/>
              <w:right w:val="single" w:sz="4" w:space="0" w:color="auto"/>
            </w:tcBorders>
            <w:shd w:val="clear" w:color="auto" w:fill="C6EFCE"/>
            <w:noWrap/>
            <w:vAlign w:val="center"/>
            <w:hideMark/>
          </w:tcPr>
          <w:p w14:paraId="6D9388B1" w14:textId="3E4070E2" w:rsidR="00BF03AA" w:rsidRPr="00326E55" w:rsidRDefault="00FB452D">
            <w:pPr>
              <w:pStyle w:val="P68B1DB1-Normal21"/>
              <w:spacing w:line="276" w:lineRule="auto"/>
              <w:rPr>
                <w:rFonts w:ascii="Times New Roman" w:hAnsi="Times New Roman"/>
                <w:noProof/>
                <w:spacing w:val="-6"/>
                <w:szCs w:val="20"/>
                <w:lang w:val="sk-SK"/>
              </w:rPr>
            </w:pPr>
            <w:r w:rsidRPr="00326E55">
              <w:rPr>
                <w:rFonts w:ascii="Times New Roman" w:hAnsi="Times New Roman"/>
                <w:noProof/>
                <w:spacing w:val="-6"/>
                <w:lang w:val="sk-SK"/>
              </w:rPr>
              <w:t>Podpísanie memoránd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podstadingu (MoP) ministerstvom ekologickej transformácie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regiónmi Kampánia, Kalábria, Molise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Sicília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fragmentáciu počtu prevádzkovateľov poskytujúcich vodohospodárske služby.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memorande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porozumení by sa ma</w:t>
            </w:r>
            <w:r w:rsidRPr="00326E55">
              <w:rPr>
                <w:rFonts w:ascii="Times New Roman" w:hAnsi="Times New Roman"/>
                <w:noProof/>
                <w:spacing w:val="-6"/>
                <w:lang w:val="sk-SK"/>
              </w:rPr>
              <w:t>li stanoviť ciele,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zriadenie orgánov miestnej samosprávy, zníženie počtu prevádzkovateľov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dosiahnutie úspor</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rozsahu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vytvoriť jednotlivých prevádzkovateľov pre minimálne 40000 obyvateľov.</w:t>
            </w:r>
          </w:p>
        </w:tc>
      </w:tr>
      <w:tr w:rsidR="00BF03AA" w:rsidRPr="00326E55" w14:paraId="3E47CD17"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3DB854F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4</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63A194B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4.2 „Opatrenia na </w:t>
            </w:r>
            <w:r w:rsidRPr="00326E55">
              <w:rPr>
                <w:rFonts w:ascii="Times New Roman" w:hAnsi="Times New Roman"/>
                <w:noProof/>
                <w:spacing w:val="-6"/>
                <w:lang w:val="sk-SK"/>
              </w:rPr>
              <w:t>zabezpečenie plných riadiacich kapacít pre integrované vodohospodárske služby“</w:t>
            </w:r>
          </w:p>
        </w:tc>
        <w:tc>
          <w:tcPr>
            <w:tcW w:w="1266" w:type="dxa"/>
            <w:tcBorders>
              <w:top w:val="nil"/>
              <w:left w:val="nil"/>
              <w:bottom w:val="single" w:sz="4" w:space="0" w:color="auto"/>
              <w:right w:val="single" w:sz="4" w:space="0" w:color="auto"/>
            </w:tcBorders>
            <w:shd w:val="clear" w:color="auto" w:fill="C6EFCE"/>
            <w:noWrap/>
            <w:vAlign w:val="center"/>
            <w:hideMark/>
          </w:tcPr>
          <w:p w14:paraId="48D27D9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4E297056" w14:textId="753D14E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nového právneho rámca pre účely zavlažovania</w:t>
            </w:r>
          </w:p>
        </w:tc>
        <w:tc>
          <w:tcPr>
            <w:tcW w:w="1414" w:type="dxa"/>
            <w:tcBorders>
              <w:top w:val="nil"/>
              <w:left w:val="nil"/>
              <w:bottom w:val="single" w:sz="4" w:space="0" w:color="auto"/>
              <w:right w:val="single" w:sz="4" w:space="0" w:color="auto"/>
            </w:tcBorders>
            <w:shd w:val="clear" w:color="auto" w:fill="C6EFCE"/>
            <w:noWrap/>
            <w:vAlign w:val="center"/>
            <w:hideMark/>
          </w:tcPr>
          <w:p w14:paraId="26C76298" w14:textId="061FC414"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príslušnom právnom predpise,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w:t>
            </w:r>
          </w:p>
        </w:tc>
        <w:tc>
          <w:tcPr>
            <w:tcW w:w="1410" w:type="dxa"/>
            <w:tcBorders>
              <w:top w:val="nil"/>
              <w:left w:val="nil"/>
              <w:bottom w:val="single" w:sz="4" w:space="0" w:color="auto"/>
              <w:right w:val="single" w:sz="4" w:space="0" w:color="auto"/>
            </w:tcBorders>
            <w:shd w:val="clear" w:color="auto" w:fill="C6EFCE"/>
            <w:noWrap/>
            <w:vAlign w:val="center"/>
            <w:hideMark/>
          </w:tcPr>
          <w:p w14:paraId="4A1E226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47" w:type="dxa"/>
            <w:tcBorders>
              <w:top w:val="nil"/>
              <w:left w:val="nil"/>
              <w:bottom w:val="single" w:sz="4" w:space="0" w:color="auto"/>
              <w:right w:val="single" w:sz="4" w:space="0" w:color="auto"/>
            </w:tcBorders>
            <w:shd w:val="clear" w:color="auto" w:fill="C6EFCE"/>
            <w:noWrap/>
            <w:vAlign w:val="center"/>
            <w:hideMark/>
          </w:tcPr>
          <w:p w14:paraId="011ACAA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w:t>
            </w:r>
            <w:r w:rsidRPr="00326E55">
              <w:rPr>
                <w:rFonts w:ascii="Times New Roman" w:hAnsi="Times New Roman"/>
                <w:noProof/>
                <w:spacing w:val="-6"/>
                <w:lang w:val="sk-SK"/>
              </w:rPr>
              <w:t>NÉ</w:t>
            </w:r>
          </w:p>
        </w:tc>
        <w:tc>
          <w:tcPr>
            <w:tcW w:w="719" w:type="dxa"/>
            <w:tcBorders>
              <w:top w:val="nil"/>
              <w:left w:val="nil"/>
              <w:bottom w:val="single" w:sz="4" w:space="0" w:color="auto"/>
              <w:right w:val="single" w:sz="4" w:space="0" w:color="auto"/>
            </w:tcBorders>
            <w:shd w:val="clear" w:color="auto" w:fill="C6EFCE"/>
            <w:noWrap/>
            <w:vAlign w:val="center"/>
            <w:hideMark/>
          </w:tcPr>
          <w:p w14:paraId="7BDDE89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tcBorders>
              <w:top w:val="nil"/>
              <w:left w:val="nil"/>
              <w:bottom w:val="single" w:sz="4" w:space="0" w:color="auto"/>
              <w:right w:val="single" w:sz="4" w:space="0" w:color="auto"/>
            </w:tcBorders>
            <w:shd w:val="clear" w:color="auto" w:fill="C6EFCE"/>
            <w:noWrap/>
            <w:vAlign w:val="center"/>
            <w:hideMark/>
          </w:tcPr>
          <w:p w14:paraId="0B32083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94" w:type="dxa"/>
            <w:tcBorders>
              <w:top w:val="nil"/>
              <w:left w:val="nil"/>
              <w:bottom w:val="single" w:sz="4" w:space="0" w:color="auto"/>
              <w:right w:val="single" w:sz="4" w:space="0" w:color="auto"/>
            </w:tcBorders>
            <w:shd w:val="clear" w:color="auto" w:fill="C6EFCE"/>
            <w:noWrap/>
            <w:vAlign w:val="center"/>
            <w:hideMark/>
          </w:tcPr>
          <w:p w14:paraId="1970D22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183B35A1" w14:textId="77777777"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Revidovaný právny rámec musí minimálne:</w:t>
            </w:r>
          </w:p>
          <w:p w14:paraId="328526F3" w14:textId="1DFAAC0B"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—Zavedenie systému sankcií za nezákonnú ťažbu vody</w:t>
            </w:r>
          </w:p>
          <w:p w14:paraId="3933FA5D" w14:textId="2D038A66"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Požadovať posúdenie vplyvu podľa článku 4 ods. 7 rámcovej smernice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vode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posúdiť (prípadne kumulatívny) vplyv na všetky po</w:t>
            </w:r>
            <w:r w:rsidRPr="00326E55">
              <w:rPr>
                <w:rFonts w:ascii="Times New Roman" w:hAnsi="Times New Roman"/>
                <w:noProof/>
                <w:spacing w:val="-6"/>
                <w:lang w:val="sk-SK"/>
              </w:rPr>
              <w:t>tenciálne ovplyvnené vodné útvary.</w:t>
            </w:r>
          </w:p>
          <w:p w14:paraId="1A18A392" w14:textId="6B177730"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—Zabezpečiť, aby sa zabránilo rozšíreniu existujúceho zavlažovacieho systému (a to aj prostredníctvom zvýšeného využívania vody, t. j. nielen fyzického rozšírenia),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to aj účinnejšími metódami, ak príslušné vodné útvary </w:t>
            </w:r>
            <w:r w:rsidRPr="00326E55">
              <w:rPr>
                <w:rFonts w:ascii="Times New Roman" w:hAnsi="Times New Roman"/>
                <w:noProof/>
                <w:spacing w:val="-6"/>
                <w:lang w:val="sk-SK"/>
              </w:rPr>
              <w:t>(povrchové alebo podzemné vody) majú alebo sa predpokladá (v súvislosti so zintenzívňujúcou sa zmenou klímy) menej ako dobrý alebo potenciálne dobrý stav.</w:t>
            </w:r>
          </w:p>
        </w:tc>
      </w:tr>
      <w:tr w:rsidR="00BF03AA" w:rsidRPr="00326E55" w14:paraId="006AC47F"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6393B5E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5</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34B67B3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3.2: Digitalizácia národných parkov</w:t>
            </w:r>
          </w:p>
        </w:tc>
        <w:tc>
          <w:tcPr>
            <w:tcW w:w="1266" w:type="dxa"/>
            <w:tcBorders>
              <w:top w:val="nil"/>
              <w:left w:val="nil"/>
              <w:bottom w:val="single" w:sz="4" w:space="0" w:color="auto"/>
              <w:right w:val="single" w:sz="4" w:space="0" w:color="auto"/>
            </w:tcBorders>
            <w:shd w:val="clear" w:color="auto" w:fill="C6EFCE"/>
            <w:noWrap/>
            <w:vAlign w:val="center"/>
            <w:hideMark/>
          </w:tcPr>
          <w:p w14:paraId="57A1E96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9853C36" w14:textId="4198E9D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administratívneho zjednodušenia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rozvoja digitálnych služieb pre návštevníkov národných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chránených morských oblastí</w:t>
            </w:r>
          </w:p>
        </w:tc>
        <w:tc>
          <w:tcPr>
            <w:tcW w:w="1414" w:type="dxa"/>
            <w:tcBorders>
              <w:top w:val="nil"/>
              <w:left w:val="nil"/>
              <w:bottom w:val="single" w:sz="4" w:space="0" w:color="auto"/>
              <w:right w:val="single" w:sz="4" w:space="0" w:color="auto"/>
            </w:tcBorders>
            <w:shd w:val="clear" w:color="auto" w:fill="C6EFCE"/>
            <w:noWrap/>
            <w:vAlign w:val="center"/>
            <w:hideMark/>
          </w:tcPr>
          <w:p w14:paraId="0763CB3F" w14:textId="30E42DFA"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ministerskej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w:t>
            </w:r>
          </w:p>
        </w:tc>
        <w:tc>
          <w:tcPr>
            <w:tcW w:w="1410" w:type="dxa"/>
            <w:tcBorders>
              <w:top w:val="nil"/>
              <w:left w:val="nil"/>
              <w:bottom w:val="single" w:sz="4" w:space="0" w:color="auto"/>
              <w:right w:val="single" w:sz="4" w:space="0" w:color="auto"/>
            </w:tcBorders>
            <w:shd w:val="clear" w:color="auto" w:fill="C6EFCE"/>
            <w:noWrap/>
            <w:vAlign w:val="center"/>
            <w:hideMark/>
          </w:tcPr>
          <w:p w14:paraId="1A78EB7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47" w:type="dxa"/>
            <w:tcBorders>
              <w:top w:val="nil"/>
              <w:left w:val="nil"/>
              <w:bottom w:val="single" w:sz="4" w:space="0" w:color="auto"/>
              <w:right w:val="single" w:sz="4" w:space="0" w:color="auto"/>
            </w:tcBorders>
            <w:shd w:val="clear" w:color="auto" w:fill="C6EFCE"/>
            <w:noWrap/>
            <w:vAlign w:val="center"/>
            <w:hideMark/>
          </w:tcPr>
          <w:p w14:paraId="2BEDAA7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19" w:type="dxa"/>
            <w:tcBorders>
              <w:top w:val="nil"/>
              <w:left w:val="nil"/>
              <w:bottom w:val="single" w:sz="4" w:space="0" w:color="auto"/>
              <w:right w:val="single" w:sz="4" w:space="0" w:color="auto"/>
            </w:tcBorders>
            <w:shd w:val="clear" w:color="auto" w:fill="C6EFCE"/>
            <w:noWrap/>
            <w:vAlign w:val="center"/>
            <w:hideMark/>
          </w:tcPr>
          <w:p w14:paraId="57B2661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tcBorders>
              <w:top w:val="nil"/>
              <w:left w:val="nil"/>
              <w:bottom w:val="single" w:sz="4" w:space="0" w:color="auto"/>
              <w:right w:val="single" w:sz="4" w:space="0" w:color="auto"/>
            </w:tcBorders>
            <w:shd w:val="clear" w:color="auto" w:fill="C6EFCE"/>
            <w:noWrap/>
            <w:vAlign w:val="center"/>
            <w:hideMark/>
          </w:tcPr>
          <w:p w14:paraId="72032A5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94" w:type="dxa"/>
            <w:tcBorders>
              <w:top w:val="nil"/>
              <w:left w:val="nil"/>
              <w:bottom w:val="single" w:sz="4" w:space="0" w:color="auto"/>
              <w:right w:val="single" w:sz="4" w:space="0" w:color="auto"/>
            </w:tcBorders>
            <w:shd w:val="clear" w:color="auto" w:fill="C6EFCE"/>
            <w:noWrap/>
            <w:vAlign w:val="center"/>
            <w:hideMark/>
          </w:tcPr>
          <w:p w14:paraId="7E7B347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5798F812" w14:textId="6244EBF8"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Ministerská vyhláška po</w:t>
            </w:r>
            <w:r w:rsidRPr="00326E55">
              <w:rPr>
                <w:rFonts w:ascii="Times New Roman" w:hAnsi="Times New Roman"/>
                <w:noProof/>
                <w:spacing w:val="-6"/>
                <w:lang w:val="sk-SK"/>
              </w:rPr>
              <w:t>veruje rozvojom digitálnych služieb pre návštevníkov národných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chránených morských oblastí.</w:t>
            </w:r>
          </w:p>
          <w:p w14:paraId="2271BCF5" w14:textId="77777777" w:rsidR="00BF03AA" w:rsidRPr="00326E55" w:rsidRDefault="00BF03AA">
            <w:pPr>
              <w:spacing w:line="276" w:lineRule="auto"/>
              <w:rPr>
                <w:rFonts w:ascii="Times New Roman" w:hAnsi="Times New Roman"/>
                <w:noProof/>
                <w:color w:val="006100"/>
                <w:spacing w:val="-6"/>
                <w:sz w:val="20"/>
                <w:szCs w:val="20"/>
                <w:lang w:val="sk-SK"/>
              </w:rPr>
            </w:pPr>
          </w:p>
        </w:tc>
      </w:tr>
      <w:tr w:rsidR="00BF03AA" w:rsidRPr="00326E55" w14:paraId="13D75684"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32BFD37D"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M2C4 – 32</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04213ECD" w14:textId="4C2645EC"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4.2. Zníženie strát vo vodovodných sieťach vrátane digitalizácie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 sietí</w:t>
            </w:r>
          </w:p>
        </w:tc>
        <w:tc>
          <w:tcPr>
            <w:tcW w:w="1266" w:type="dxa"/>
            <w:tcBorders>
              <w:top w:val="nil"/>
              <w:left w:val="nil"/>
              <w:bottom w:val="single" w:sz="4" w:space="0" w:color="auto"/>
              <w:right w:val="single" w:sz="4" w:space="0" w:color="auto"/>
            </w:tcBorders>
            <w:shd w:val="clear" w:color="auto" w:fill="C6EFCE"/>
            <w:noWrap/>
            <w:vAlign w:val="center"/>
            <w:hideMark/>
          </w:tcPr>
          <w:p w14:paraId="0A72F087"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6822B67" w14:textId="27D417D6"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Zásahy do vodovodných distribučných </w:t>
            </w:r>
            <w:r w:rsidRPr="00326E55">
              <w:rPr>
                <w:rFonts w:ascii="Times New Roman" w:hAnsi="Times New Roman"/>
                <w:noProof/>
                <w:spacing w:val="-6"/>
                <w:lang w:val="sk-SK"/>
              </w:rPr>
              <w:t>sietí vrátane digitalizácie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 sietí T2</w:t>
            </w:r>
          </w:p>
        </w:tc>
        <w:tc>
          <w:tcPr>
            <w:tcW w:w="1414" w:type="dxa"/>
            <w:tcBorders>
              <w:top w:val="nil"/>
              <w:left w:val="nil"/>
              <w:bottom w:val="single" w:sz="4" w:space="0" w:color="auto"/>
              <w:right w:val="single" w:sz="4" w:space="0" w:color="auto"/>
            </w:tcBorders>
            <w:shd w:val="clear" w:color="auto" w:fill="C6EFCE"/>
            <w:noWrap/>
            <w:vAlign w:val="center"/>
            <w:hideMark/>
          </w:tcPr>
          <w:p w14:paraId="7AC80FBE"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410" w:type="dxa"/>
            <w:tcBorders>
              <w:top w:val="nil"/>
              <w:left w:val="nil"/>
              <w:bottom w:val="single" w:sz="4" w:space="0" w:color="auto"/>
              <w:right w:val="single" w:sz="4" w:space="0" w:color="auto"/>
            </w:tcBorders>
            <w:shd w:val="clear" w:color="auto" w:fill="C6EFCE"/>
            <w:noWrap/>
            <w:vAlign w:val="center"/>
            <w:hideMark/>
          </w:tcPr>
          <w:p w14:paraId="6810D9A4"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47" w:type="dxa"/>
            <w:tcBorders>
              <w:top w:val="nil"/>
              <w:left w:val="nil"/>
              <w:bottom w:val="single" w:sz="4" w:space="0" w:color="auto"/>
              <w:right w:val="single" w:sz="4" w:space="0" w:color="auto"/>
            </w:tcBorders>
            <w:shd w:val="clear" w:color="auto" w:fill="C6EFCE"/>
            <w:noWrap/>
            <w:vAlign w:val="center"/>
            <w:hideMark/>
          </w:tcPr>
          <w:p w14:paraId="697A5EE3"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14 000</w:t>
            </w:r>
          </w:p>
        </w:tc>
        <w:tc>
          <w:tcPr>
            <w:tcW w:w="719" w:type="dxa"/>
            <w:tcBorders>
              <w:top w:val="nil"/>
              <w:left w:val="nil"/>
              <w:bottom w:val="single" w:sz="4" w:space="0" w:color="auto"/>
              <w:right w:val="single" w:sz="4" w:space="0" w:color="auto"/>
            </w:tcBorders>
            <w:shd w:val="clear" w:color="auto" w:fill="C6EFCE"/>
            <w:noWrap/>
            <w:vAlign w:val="center"/>
            <w:hideMark/>
          </w:tcPr>
          <w:p w14:paraId="16972367"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45 000</w:t>
            </w:r>
          </w:p>
        </w:tc>
        <w:tc>
          <w:tcPr>
            <w:tcW w:w="809" w:type="dxa"/>
            <w:tcBorders>
              <w:top w:val="nil"/>
              <w:left w:val="nil"/>
              <w:bottom w:val="single" w:sz="4" w:space="0" w:color="auto"/>
              <w:right w:val="single" w:sz="4" w:space="0" w:color="auto"/>
            </w:tcBorders>
            <w:shd w:val="clear" w:color="auto" w:fill="C6EFCE"/>
            <w:noWrap/>
            <w:vAlign w:val="center"/>
            <w:hideMark/>
          </w:tcPr>
          <w:p w14:paraId="3F35E057"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94" w:type="dxa"/>
            <w:tcBorders>
              <w:top w:val="nil"/>
              <w:left w:val="nil"/>
              <w:bottom w:val="single" w:sz="4" w:space="0" w:color="auto"/>
              <w:right w:val="single" w:sz="4" w:space="0" w:color="auto"/>
            </w:tcBorders>
            <w:shd w:val="clear" w:color="auto" w:fill="C6EFCE"/>
            <w:noWrap/>
            <w:vAlign w:val="center"/>
            <w:hideMark/>
          </w:tcPr>
          <w:p w14:paraId="10EC2CBF"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2025</w:t>
            </w:r>
          </w:p>
        </w:tc>
        <w:tc>
          <w:tcPr>
            <w:tcW w:w="2799" w:type="dxa"/>
            <w:tcBorders>
              <w:top w:val="nil"/>
              <w:left w:val="nil"/>
              <w:bottom w:val="single" w:sz="4" w:space="0" w:color="auto"/>
              <w:right w:val="single" w:sz="4" w:space="0" w:color="auto"/>
            </w:tcBorders>
            <w:shd w:val="clear" w:color="auto" w:fill="C6EFCE"/>
            <w:noWrap/>
            <w:vAlign w:val="center"/>
            <w:hideMark/>
          </w:tcPr>
          <w:p w14:paraId="4F7D4545" w14:textId="77777777" w:rsidR="00BF03AA" w:rsidRPr="00326E55" w:rsidRDefault="00FB452D">
            <w:pPr>
              <w:pStyle w:val="P68B1DB1-Normal11"/>
              <w:spacing w:line="276" w:lineRule="auto"/>
              <w:rPr>
                <w:rFonts w:ascii="Times New Roman" w:hAnsi="Times New Roman"/>
                <w:noProof/>
                <w:spacing w:val="-6"/>
                <w:lang w:val="sk-SK"/>
              </w:rPr>
            </w:pPr>
            <w:r w:rsidRPr="00326E55">
              <w:rPr>
                <w:rFonts w:ascii="Times New Roman" w:hAnsi="Times New Roman"/>
                <w:noProof/>
                <w:spacing w:val="-6"/>
                <w:lang w:val="sk-SK"/>
              </w:rPr>
              <w:t>Ohraničenie vodovodnej siete aspoň 45000 kilometrov</w:t>
            </w:r>
          </w:p>
        </w:tc>
      </w:tr>
    </w:tbl>
    <w:p w14:paraId="1B00E62D" w14:textId="77777777" w:rsidR="00BF03AA" w:rsidRPr="00326E55" w:rsidRDefault="00BF03AA">
      <w:pPr>
        <w:spacing w:before="120" w:after="120"/>
        <w:ind w:left="709"/>
        <w:jc w:val="both"/>
        <w:rPr>
          <w:rFonts w:ascii="Times New Roman" w:hAnsi="Times New Roman"/>
          <w:noProof/>
          <w:spacing w:val="-6"/>
          <w:lang w:val="sk-SK"/>
        </w:rPr>
      </w:pPr>
    </w:p>
    <w:p w14:paraId="0C8AFC02"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even" r:id="rId122"/>
          <w:headerReference w:type="default" r:id="rId123"/>
          <w:footerReference w:type="even" r:id="rId124"/>
          <w:footerReference w:type="default" r:id="rId125"/>
          <w:headerReference w:type="first" r:id="rId126"/>
          <w:footerReference w:type="first" r:id="rId127"/>
          <w:pgSz w:w="16838" w:h="11906" w:orient="landscape" w:code="9"/>
          <w:pgMar w:top="1134" w:right="1134" w:bottom="1134" w:left="1134" w:header="567" w:footer="567" w:gutter="0"/>
          <w:cols w:space="720"/>
          <w:docGrid w:linePitch="360"/>
        </w:sectPr>
      </w:pPr>
    </w:p>
    <w:p w14:paraId="6562C8B1" w14:textId="77777777" w:rsidR="00326E55" w:rsidRPr="00326E55" w:rsidRDefault="00FB452D">
      <w:pPr>
        <w:pStyle w:val="P68B1DB1-Heading39"/>
        <w:ind w:left="850" w:hanging="850"/>
        <w:rPr>
          <w:b/>
          <w:noProof/>
          <w:spacing w:val="-6"/>
          <w:u w:val="single"/>
          <w:lang w:val="sk-SK"/>
        </w:rPr>
      </w:pPr>
      <w:r w:rsidRPr="00326E55">
        <w:rPr>
          <w:b/>
          <w:noProof/>
          <w:spacing w:val="-6"/>
          <w:u w:val="single"/>
          <w:lang w:val="sk-SK"/>
        </w:rPr>
        <w:t xml:space="preserve">G.3.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1599E7EB" w14:textId="77777777" w:rsidR="00326E55" w:rsidRPr="00326E55" w:rsidRDefault="00FB452D">
      <w:pPr>
        <w:pStyle w:val="P68B1DB1-Normal5"/>
        <w:spacing w:before="120" w:after="120" w:line="257" w:lineRule="auto"/>
        <w:jc w:val="both"/>
        <w:rPr>
          <w:noProof/>
          <w:spacing w:val="-6"/>
          <w:lang w:val="sk-SK"/>
        </w:rPr>
      </w:pPr>
      <w:r w:rsidRPr="00326E55">
        <w:rPr>
          <w:noProof/>
          <w:spacing w:val="-6"/>
          <w:lang w:val="sk-SK"/>
        </w:rPr>
        <w:t>Reforma 3.1 Prijatie národných programov kontroly znečistenia ovzdušia</w:t>
      </w:r>
    </w:p>
    <w:p w14:paraId="62AE968F" w14:textId="19BA27E9" w:rsidR="00BF03AA" w:rsidRPr="00326E55" w:rsidRDefault="00FB452D">
      <w:pPr>
        <w:pStyle w:val="P68B1DB1-Normal7"/>
        <w:spacing w:before="120" w:after="120"/>
        <w:jc w:val="both"/>
        <w:rPr>
          <w:noProof/>
          <w:spacing w:val="-6"/>
          <w:lang w:val="sk-SK"/>
        </w:rPr>
      </w:pPr>
      <w:r w:rsidRPr="00326E55">
        <w:rPr>
          <w:noProof/>
          <w:spacing w:val="-6"/>
          <w:lang w:val="sk-SK"/>
        </w:rPr>
        <w:t>Cieľom reformy je zosúladiť vnútroštátne</w:t>
      </w:r>
      <w:r w:rsidR="00326E55" w:rsidRPr="00326E55">
        <w:rPr>
          <w:noProof/>
          <w:spacing w:val="-6"/>
          <w:lang w:val="sk-SK"/>
        </w:rPr>
        <w:t xml:space="preserve"> a </w:t>
      </w:r>
      <w:r w:rsidRPr="00326E55">
        <w:rPr>
          <w:noProof/>
          <w:spacing w:val="-6"/>
          <w:lang w:val="sk-SK"/>
        </w:rPr>
        <w:t>regionálne právne predpisy</w:t>
      </w:r>
      <w:r w:rsidR="00326E55" w:rsidRPr="00326E55">
        <w:rPr>
          <w:noProof/>
          <w:spacing w:val="-6"/>
          <w:lang w:val="sk-SK"/>
        </w:rPr>
        <w:t xml:space="preserve"> a </w:t>
      </w:r>
      <w:r w:rsidRPr="00326E55">
        <w:rPr>
          <w:noProof/>
          <w:spacing w:val="-6"/>
          <w:lang w:val="sk-SK"/>
        </w:rPr>
        <w:t>zaviesť súvisiace opatrenia na zníženie emisií látok znečisťujúcich ovzdušie (v s</w:t>
      </w:r>
      <w:r w:rsidRPr="00326E55">
        <w:rPr>
          <w:noProof/>
          <w:spacing w:val="-6"/>
          <w:lang w:val="sk-SK"/>
        </w:rPr>
        <w:t>úlade</w:t>
      </w:r>
      <w:r w:rsidR="00326E55" w:rsidRPr="00326E55">
        <w:rPr>
          <w:noProof/>
          <w:spacing w:val="-6"/>
          <w:lang w:val="sk-SK"/>
        </w:rPr>
        <w:t xml:space="preserve"> s </w:t>
      </w:r>
      <w:r w:rsidRPr="00326E55">
        <w:rPr>
          <w:noProof/>
          <w:spacing w:val="-6"/>
          <w:lang w:val="sk-SK"/>
        </w:rPr>
        <w:t>cieľmi stanovenými</w:t>
      </w:r>
      <w:r w:rsidR="00326E55" w:rsidRPr="00326E55">
        <w:rPr>
          <w:noProof/>
          <w:spacing w:val="-6"/>
          <w:lang w:val="sk-SK"/>
        </w:rPr>
        <w:t xml:space="preserve"> v </w:t>
      </w:r>
      <w:r w:rsidRPr="00326E55">
        <w:rPr>
          <w:noProof/>
          <w:spacing w:val="-6"/>
          <w:lang w:val="sk-SK"/>
        </w:rPr>
        <w:t>smernici 2016/2284</w:t>
      </w:r>
      <w:r w:rsidR="00326E55" w:rsidRPr="00326E55">
        <w:rPr>
          <w:noProof/>
          <w:spacing w:val="-6"/>
          <w:lang w:val="sk-SK"/>
        </w:rPr>
        <w:t xml:space="preserve"> o </w:t>
      </w:r>
      <w:r w:rsidRPr="00326E55">
        <w:rPr>
          <w:noProof/>
          <w:spacing w:val="-6"/>
          <w:lang w:val="sk-SK"/>
        </w:rPr>
        <w:t>národných emisných stropoch</w:t>
      </w:r>
      <w:r w:rsidR="00326E55" w:rsidRPr="00326E55">
        <w:rPr>
          <w:noProof/>
          <w:spacing w:val="-6"/>
          <w:lang w:val="sk-SK"/>
        </w:rPr>
        <w:t xml:space="preserve"> a </w:t>
      </w:r>
      <w:r w:rsidRPr="00326E55">
        <w:rPr>
          <w:noProof/>
          <w:spacing w:val="-6"/>
          <w:lang w:val="sk-SK"/>
        </w:rPr>
        <w:t>zmene klímy).</w:t>
      </w:r>
    </w:p>
    <w:p w14:paraId="5ED2CE54" w14:textId="5E2990CA" w:rsidR="00BF03AA" w:rsidRPr="00326E55" w:rsidRDefault="00FB452D">
      <w:pPr>
        <w:pStyle w:val="P68B1DB1-Normal5"/>
        <w:spacing w:before="120" w:after="120" w:line="257" w:lineRule="auto"/>
        <w:jc w:val="both"/>
        <w:rPr>
          <w:bCs/>
          <w:noProof/>
          <w:spacing w:val="-6"/>
          <w:lang w:val="sk-SK"/>
        </w:rPr>
      </w:pPr>
      <w:r w:rsidRPr="00326E55">
        <w:rPr>
          <w:noProof/>
          <w:spacing w:val="-6"/>
          <w:lang w:val="sk-SK"/>
        </w:rPr>
        <w:t>Investícia 1.1: Zavedenie pokročilého</w:t>
      </w:r>
      <w:r w:rsidR="00326E55" w:rsidRPr="00326E55">
        <w:rPr>
          <w:noProof/>
          <w:spacing w:val="-6"/>
          <w:lang w:val="sk-SK"/>
        </w:rPr>
        <w:t xml:space="preserve"> a </w:t>
      </w:r>
      <w:r w:rsidRPr="00326E55">
        <w:rPr>
          <w:noProof/>
          <w:spacing w:val="-6"/>
          <w:lang w:val="sk-SK"/>
        </w:rPr>
        <w:t>integrovaného monitorovacieho</w:t>
      </w:r>
      <w:r w:rsidR="00326E55" w:rsidRPr="00326E55">
        <w:rPr>
          <w:noProof/>
          <w:spacing w:val="-6"/>
          <w:lang w:val="sk-SK"/>
        </w:rPr>
        <w:t xml:space="preserve"> a </w:t>
      </w:r>
      <w:r w:rsidRPr="00326E55">
        <w:rPr>
          <w:noProof/>
          <w:spacing w:val="-6"/>
          <w:lang w:val="sk-SK"/>
        </w:rPr>
        <w:t>prognostického systému</w:t>
      </w:r>
    </w:p>
    <w:p w14:paraId="5842594F" w14:textId="70C002F5"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identifikovať</w:t>
      </w:r>
      <w:r w:rsidR="00326E55" w:rsidRPr="00326E55">
        <w:rPr>
          <w:noProof/>
          <w:spacing w:val="-6"/>
          <w:lang w:val="sk-SK"/>
        </w:rPr>
        <w:t xml:space="preserve"> a </w:t>
      </w:r>
      <w:r w:rsidRPr="00326E55">
        <w:rPr>
          <w:noProof/>
          <w:spacing w:val="-6"/>
          <w:lang w:val="sk-SK"/>
        </w:rPr>
        <w:t xml:space="preserve">predvídať riziká </w:t>
      </w:r>
      <w:r w:rsidRPr="00326E55">
        <w:rPr>
          <w:noProof/>
          <w:spacing w:val="-6"/>
          <w:lang w:val="sk-SK"/>
        </w:rPr>
        <w:t>vyplývajúce</w:t>
      </w:r>
      <w:r w:rsidR="00326E55" w:rsidRPr="00326E55">
        <w:rPr>
          <w:noProof/>
          <w:spacing w:val="-6"/>
          <w:lang w:val="sk-SK"/>
        </w:rPr>
        <w:t xml:space="preserve"> z </w:t>
      </w:r>
      <w:r w:rsidRPr="00326E55">
        <w:rPr>
          <w:noProof/>
          <w:spacing w:val="-6"/>
          <w:lang w:val="sk-SK"/>
        </w:rPr>
        <w:t>vplyvu zmeny klímy</w:t>
      </w:r>
      <w:r w:rsidR="00326E55" w:rsidRPr="00326E55">
        <w:rPr>
          <w:noProof/>
          <w:spacing w:val="-6"/>
          <w:lang w:val="sk-SK"/>
        </w:rPr>
        <w:t xml:space="preserve"> a </w:t>
      </w:r>
      <w:r w:rsidRPr="00326E55">
        <w:rPr>
          <w:noProof/>
          <w:spacing w:val="-6"/>
          <w:lang w:val="sk-SK"/>
        </w:rPr>
        <w:t>neprimeraného priestorového plánovania</w:t>
      </w:r>
      <w:r w:rsidR="00326E55" w:rsidRPr="00326E55">
        <w:rPr>
          <w:noProof/>
          <w:spacing w:val="-6"/>
          <w:lang w:val="sk-SK"/>
        </w:rPr>
        <w:t xml:space="preserve"> a </w:t>
      </w:r>
      <w:r w:rsidRPr="00326E55">
        <w:rPr>
          <w:noProof/>
          <w:spacing w:val="-6"/>
          <w:lang w:val="sk-SK"/>
        </w:rPr>
        <w:t>poskytovať informácie pre plány prevencie rizík. Táto investícia pozostáva zo zriadenia monitorovacieho systému umožňujúceho diaľkové ovládanie veľkých územných oblastí</w:t>
      </w:r>
      <w:r w:rsidR="00326E55" w:rsidRPr="00326E55">
        <w:rPr>
          <w:noProof/>
          <w:spacing w:val="-6"/>
          <w:lang w:val="sk-SK"/>
        </w:rPr>
        <w:t xml:space="preserve"> a </w:t>
      </w:r>
      <w:r w:rsidRPr="00326E55">
        <w:rPr>
          <w:noProof/>
          <w:spacing w:val="-6"/>
          <w:lang w:val="sk-SK"/>
        </w:rPr>
        <w:t>identifik</w:t>
      </w:r>
      <w:r w:rsidRPr="00326E55">
        <w:rPr>
          <w:noProof/>
          <w:spacing w:val="-6"/>
          <w:lang w:val="sk-SK"/>
        </w:rPr>
        <w:t>áciu nezákonného zneškodňovania odpadu.</w:t>
      </w:r>
    </w:p>
    <w:p w14:paraId="04692204" w14:textId="22701CAD" w:rsidR="00BF03AA" w:rsidRPr="00326E55" w:rsidRDefault="00FB452D">
      <w:pPr>
        <w:pStyle w:val="P68B1DB1-Normal5"/>
        <w:spacing w:before="120" w:after="120" w:line="257" w:lineRule="auto"/>
        <w:jc w:val="both"/>
        <w:rPr>
          <w:bCs/>
          <w:noProof/>
          <w:spacing w:val="-6"/>
          <w:lang w:val="sk-SK"/>
        </w:rPr>
      </w:pPr>
      <w:r w:rsidRPr="00326E55">
        <w:rPr>
          <w:noProof/>
          <w:spacing w:val="-6"/>
          <w:lang w:val="sk-SK"/>
        </w:rPr>
        <w:t>Investícia 2.1: Opatrenia na zníženie povodňových</w:t>
      </w:r>
      <w:r w:rsidR="00326E55" w:rsidRPr="00326E55">
        <w:rPr>
          <w:noProof/>
          <w:spacing w:val="-6"/>
          <w:lang w:val="sk-SK"/>
        </w:rPr>
        <w:t xml:space="preserve"> a </w:t>
      </w:r>
      <w:r w:rsidRPr="00326E55">
        <w:rPr>
          <w:noProof/>
          <w:spacing w:val="-6"/>
          <w:lang w:val="sk-SK"/>
        </w:rPr>
        <w:t>hydrogeologických rizík</w:t>
      </w:r>
    </w:p>
    <w:p w14:paraId="59DBF6AD" w14:textId="12369FAB" w:rsidR="00BF03AA" w:rsidRPr="00326E55" w:rsidRDefault="00FB452D">
      <w:pPr>
        <w:pStyle w:val="P68B1DB1-Normal7"/>
        <w:spacing w:after="120"/>
        <w:jc w:val="both"/>
        <w:rPr>
          <w:noProof/>
          <w:spacing w:val="-6"/>
          <w:lang w:val="sk-SK"/>
        </w:rPr>
      </w:pPr>
      <w:r w:rsidRPr="00326E55">
        <w:rPr>
          <w:noProof/>
          <w:spacing w:val="-6"/>
          <w:lang w:val="sk-SK"/>
        </w:rPr>
        <w:t>Cieľom tohto opatrenia je riešiť hydrogeologickú nestabilitu na talianskom území. Opatrenie pozostáva</w:t>
      </w:r>
      <w:r w:rsidR="00326E55" w:rsidRPr="00326E55">
        <w:rPr>
          <w:noProof/>
          <w:spacing w:val="-6"/>
          <w:lang w:val="sk-SK"/>
        </w:rPr>
        <w:t xml:space="preserve"> z </w:t>
      </w:r>
      <w:r w:rsidRPr="00326E55">
        <w:rPr>
          <w:noProof/>
          <w:spacing w:val="-6"/>
          <w:lang w:val="sk-SK"/>
        </w:rPr>
        <w:t xml:space="preserve">dvoch línií činnosti: </w:t>
      </w:r>
      <w:r w:rsidRPr="00326E55">
        <w:rPr>
          <w:i/>
          <w:noProof/>
          <w:spacing w:val="-6"/>
          <w:lang w:val="sk-SK"/>
        </w:rPr>
        <w:t>Protezione Civ</w:t>
      </w:r>
      <w:r w:rsidRPr="00326E55">
        <w:rPr>
          <w:i/>
          <w:noProof/>
          <w:spacing w:val="-6"/>
          <w:lang w:val="sk-SK"/>
        </w:rPr>
        <w:t>ile</w:t>
      </w:r>
      <w:r w:rsidR="00326E55" w:rsidRPr="00326E55">
        <w:rPr>
          <w:noProof/>
          <w:spacing w:val="-6"/>
          <w:lang w:val="sk-SK"/>
        </w:rPr>
        <w:t xml:space="preserve"> a </w:t>
      </w:r>
      <w:r w:rsidRPr="00326E55">
        <w:rPr>
          <w:noProof/>
          <w:spacing w:val="-6"/>
          <w:lang w:val="sk-SK"/>
        </w:rPr>
        <w:t>„komisár pre núdzové situácie pre obnovu území Emilia Romagna, Toskánsko</w:t>
      </w:r>
      <w:r w:rsidR="00326E55" w:rsidRPr="00326E55">
        <w:rPr>
          <w:noProof/>
          <w:spacing w:val="-6"/>
          <w:lang w:val="sk-SK"/>
        </w:rPr>
        <w:t xml:space="preserve"> a </w:t>
      </w:r>
      <w:r w:rsidRPr="00326E55">
        <w:rPr>
          <w:noProof/>
          <w:spacing w:val="-6"/>
          <w:lang w:val="sk-SK"/>
        </w:rPr>
        <w:t>Marche“ ako zodpovedný správny orgán</w:t>
      </w:r>
      <w:r w:rsidR="00326E55" w:rsidRPr="00326E55">
        <w:rPr>
          <w:noProof/>
          <w:spacing w:val="-6"/>
          <w:lang w:val="sk-SK"/>
        </w:rPr>
        <w:t xml:space="preserve"> v </w:t>
      </w:r>
      <w:r w:rsidRPr="00326E55">
        <w:rPr>
          <w:noProof/>
          <w:spacing w:val="-6"/>
          <w:lang w:val="sk-SK"/>
        </w:rPr>
        <w:t>máji 2023</w:t>
      </w:r>
      <w:r w:rsidRPr="00326E55">
        <w:rPr>
          <w:i/>
          <w:noProof/>
          <w:spacing w:val="-6"/>
          <w:lang w:val="sk-SK"/>
        </w:rPr>
        <w:t xml:space="preserve"> (Commissario per la ricostruzione nel territorio della regione Emilia Romagna, Toscana e Marche)</w:t>
      </w:r>
      <w:r w:rsidRPr="00326E55">
        <w:rPr>
          <w:noProof/>
          <w:spacing w:val="-6"/>
          <w:lang w:val="sk-SK"/>
        </w:rPr>
        <w:t xml:space="preserve">: prvá línia činnosti sa týka </w:t>
      </w:r>
      <w:r w:rsidRPr="00326E55">
        <w:rPr>
          <w:noProof/>
          <w:spacing w:val="-6"/>
          <w:lang w:val="sk-SK"/>
        </w:rPr>
        <w:t>súboru intervencií na obnovu poškodených verejných štruktúr</w:t>
      </w:r>
      <w:r w:rsidR="00326E55" w:rsidRPr="00326E55">
        <w:rPr>
          <w:noProof/>
          <w:spacing w:val="-6"/>
          <w:lang w:val="sk-SK"/>
        </w:rPr>
        <w:t xml:space="preserve"> a </w:t>
      </w:r>
      <w:r w:rsidRPr="00326E55">
        <w:rPr>
          <w:noProof/>
          <w:spacing w:val="-6"/>
          <w:lang w:val="sk-SK"/>
        </w:rPr>
        <w:t>infraštruktúr (intervencie typu E)</w:t>
      </w:r>
      <w:r w:rsidR="00326E55" w:rsidRPr="00326E55">
        <w:rPr>
          <w:noProof/>
          <w:spacing w:val="-6"/>
          <w:lang w:val="sk-SK"/>
        </w:rPr>
        <w:t xml:space="preserve"> a </w:t>
      </w:r>
      <w:r w:rsidRPr="00326E55">
        <w:rPr>
          <w:noProof/>
          <w:spacing w:val="-6"/>
          <w:lang w:val="sk-SK"/>
        </w:rPr>
        <w:t>zníženie reziduálneho rizika úzko spojeného</w:t>
      </w:r>
      <w:r w:rsidR="00326E55" w:rsidRPr="00326E55">
        <w:rPr>
          <w:noProof/>
          <w:spacing w:val="-6"/>
          <w:lang w:val="sk-SK"/>
        </w:rPr>
        <w:t xml:space="preserve"> s </w:t>
      </w:r>
      <w:r w:rsidRPr="00326E55">
        <w:rPr>
          <w:noProof/>
          <w:spacing w:val="-6"/>
          <w:lang w:val="sk-SK"/>
        </w:rPr>
        <w:t>podujatím</w:t>
      </w:r>
      <w:r w:rsidR="00326E55" w:rsidRPr="00326E55">
        <w:rPr>
          <w:noProof/>
          <w:spacing w:val="-6"/>
          <w:lang w:val="sk-SK"/>
        </w:rPr>
        <w:t xml:space="preserve"> a </w:t>
      </w:r>
      <w:r w:rsidRPr="00326E55">
        <w:rPr>
          <w:noProof/>
          <w:spacing w:val="-6"/>
          <w:lang w:val="sk-SK"/>
        </w:rPr>
        <w:t>zameraných predovšetkým na ochranu verejnej</w:t>
      </w:r>
      <w:r w:rsidR="00326E55" w:rsidRPr="00326E55">
        <w:rPr>
          <w:noProof/>
          <w:spacing w:val="-6"/>
          <w:lang w:val="sk-SK"/>
        </w:rPr>
        <w:t xml:space="preserve"> a </w:t>
      </w:r>
      <w:r w:rsidRPr="00326E55">
        <w:rPr>
          <w:noProof/>
          <w:spacing w:val="-6"/>
          <w:lang w:val="sk-SK"/>
        </w:rPr>
        <w:t>súkromnej bezpečnosti (intervencie typu D); druhá lín</w:t>
      </w:r>
      <w:r w:rsidRPr="00326E55">
        <w:rPr>
          <w:noProof/>
          <w:spacing w:val="-6"/>
          <w:lang w:val="sk-SK"/>
        </w:rPr>
        <w:t>ia opatrení sa týka intervencií na obnovu vodných ciest</w:t>
      </w:r>
      <w:r w:rsidR="00326E55" w:rsidRPr="00326E55">
        <w:rPr>
          <w:noProof/>
          <w:spacing w:val="-6"/>
          <w:lang w:val="sk-SK"/>
        </w:rPr>
        <w:t xml:space="preserve"> a </w:t>
      </w:r>
      <w:r w:rsidRPr="00326E55">
        <w:rPr>
          <w:noProof/>
          <w:spacing w:val="-6"/>
          <w:lang w:val="sk-SK"/>
        </w:rPr>
        <w:t>zvýšenie ochrany pred povodňami</w:t>
      </w:r>
      <w:r w:rsidR="00326E55" w:rsidRPr="00326E55">
        <w:rPr>
          <w:noProof/>
          <w:spacing w:val="-6"/>
          <w:lang w:val="sk-SK"/>
        </w:rPr>
        <w:t xml:space="preserve"> a </w:t>
      </w:r>
      <w:r w:rsidRPr="00326E55">
        <w:rPr>
          <w:noProof/>
          <w:spacing w:val="-6"/>
          <w:lang w:val="sk-SK"/>
        </w:rPr>
        <w:t>zosuvmi pôdy, ako aj opatrení na obnovu dopravnej siete na územiach postihnutých povodňami</w:t>
      </w:r>
      <w:r w:rsidR="00326E55" w:rsidRPr="00326E55">
        <w:rPr>
          <w:noProof/>
          <w:spacing w:val="-6"/>
          <w:lang w:val="sk-SK"/>
        </w:rPr>
        <w:t xml:space="preserve"> v </w:t>
      </w:r>
      <w:r w:rsidRPr="00326E55">
        <w:rPr>
          <w:noProof/>
          <w:spacing w:val="-6"/>
          <w:lang w:val="sk-SK"/>
        </w:rPr>
        <w:t>máji 2023.</w:t>
      </w:r>
    </w:p>
    <w:p w14:paraId="093C5A48" w14:textId="77777777" w:rsidR="00326E55" w:rsidRPr="00326E55" w:rsidRDefault="00FB452D">
      <w:pPr>
        <w:pStyle w:val="P68B1DB1-Normal5"/>
        <w:spacing w:before="120" w:after="120" w:line="257" w:lineRule="auto"/>
        <w:jc w:val="both"/>
        <w:rPr>
          <w:noProof/>
          <w:spacing w:val="-6"/>
          <w:lang w:val="sk-SK"/>
        </w:rPr>
      </w:pPr>
      <w:r w:rsidRPr="00326E55">
        <w:rPr>
          <w:noProof/>
          <w:spacing w:val="-6"/>
          <w:lang w:val="sk-SK"/>
        </w:rPr>
        <w:t>Investícia 3.1: Ochrana</w:t>
      </w:r>
      <w:r w:rsidR="00326E55" w:rsidRPr="00326E55">
        <w:rPr>
          <w:noProof/>
          <w:spacing w:val="-6"/>
          <w:lang w:val="sk-SK"/>
        </w:rPr>
        <w:t xml:space="preserve"> a </w:t>
      </w:r>
      <w:r w:rsidRPr="00326E55">
        <w:rPr>
          <w:noProof/>
          <w:spacing w:val="-6"/>
          <w:lang w:val="sk-SK"/>
        </w:rPr>
        <w:t>zveľaďovanie mestských</w:t>
      </w:r>
      <w:r w:rsidR="00326E55" w:rsidRPr="00326E55">
        <w:rPr>
          <w:noProof/>
          <w:spacing w:val="-6"/>
          <w:lang w:val="sk-SK"/>
        </w:rPr>
        <w:t xml:space="preserve"> a </w:t>
      </w:r>
      <w:r w:rsidRPr="00326E55">
        <w:rPr>
          <w:noProof/>
          <w:spacing w:val="-6"/>
          <w:lang w:val="sk-SK"/>
        </w:rPr>
        <w:t>prímestsk</w:t>
      </w:r>
      <w:r w:rsidRPr="00326E55">
        <w:rPr>
          <w:noProof/>
          <w:spacing w:val="-6"/>
          <w:lang w:val="sk-SK"/>
        </w:rPr>
        <w:t>ých lesov</w:t>
      </w:r>
    </w:p>
    <w:p w14:paraId="384C0A95" w14:textId="4C62E6C8"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chrániť zelené plochy</w:t>
      </w:r>
      <w:r w:rsidR="00326E55" w:rsidRPr="00326E55">
        <w:rPr>
          <w:noProof/>
          <w:spacing w:val="-6"/>
          <w:lang w:val="sk-SK"/>
        </w:rPr>
        <w:t xml:space="preserve"> a </w:t>
      </w:r>
      <w:r w:rsidRPr="00326E55">
        <w:rPr>
          <w:noProof/>
          <w:spacing w:val="-6"/>
          <w:lang w:val="sk-SK"/>
        </w:rPr>
        <w:t>zvýšiť ich počet</w:t>
      </w:r>
      <w:r w:rsidR="00326E55" w:rsidRPr="00326E55">
        <w:rPr>
          <w:noProof/>
          <w:spacing w:val="-6"/>
          <w:lang w:val="sk-SK"/>
        </w:rPr>
        <w:t xml:space="preserve"> s </w:t>
      </w:r>
      <w:r w:rsidRPr="00326E55">
        <w:rPr>
          <w:noProof/>
          <w:spacing w:val="-6"/>
          <w:lang w:val="sk-SK"/>
        </w:rPr>
        <w:t>cieľom zachovať</w:t>
      </w:r>
      <w:r w:rsidR="00326E55" w:rsidRPr="00326E55">
        <w:rPr>
          <w:noProof/>
          <w:spacing w:val="-6"/>
          <w:lang w:val="sk-SK"/>
        </w:rPr>
        <w:t xml:space="preserve"> a </w:t>
      </w:r>
      <w:r w:rsidRPr="00326E55">
        <w:rPr>
          <w:noProof/>
          <w:spacing w:val="-6"/>
          <w:lang w:val="sk-SK"/>
        </w:rPr>
        <w:t>posilniť biodiverzitu</w:t>
      </w:r>
      <w:r w:rsidR="00326E55" w:rsidRPr="00326E55">
        <w:rPr>
          <w:noProof/>
          <w:spacing w:val="-6"/>
          <w:lang w:val="sk-SK"/>
        </w:rPr>
        <w:t xml:space="preserve"> a </w:t>
      </w:r>
      <w:r w:rsidRPr="00326E55">
        <w:rPr>
          <w:noProof/>
          <w:spacing w:val="-6"/>
          <w:lang w:val="sk-SK"/>
        </w:rPr>
        <w:t>zvýšiť kvalitu života obyvateľov týchto oblastí. Opatrenie pozostáva</w:t>
      </w:r>
      <w:r w:rsidR="00326E55" w:rsidRPr="00326E55">
        <w:rPr>
          <w:noProof/>
          <w:spacing w:val="-6"/>
          <w:lang w:val="sk-SK"/>
        </w:rPr>
        <w:t xml:space="preserve"> z </w:t>
      </w:r>
      <w:r w:rsidRPr="00326E55">
        <w:rPr>
          <w:noProof/>
          <w:spacing w:val="-6"/>
          <w:lang w:val="sk-SK"/>
        </w:rPr>
        <w:t>výsadby lesného reprodukčného materiálu (osív alebo rastlín) pre</w:t>
      </w:r>
      <w:r w:rsidRPr="00326E55">
        <w:rPr>
          <w:noProof/>
          <w:spacing w:val="-6"/>
          <w:lang w:val="sk-SK"/>
        </w:rPr>
        <w:t xml:space="preserve"> najmenej 4500000 stromov</w:t>
      </w:r>
      <w:r w:rsidR="00326E55" w:rsidRPr="00326E55">
        <w:rPr>
          <w:noProof/>
          <w:spacing w:val="-6"/>
          <w:lang w:val="sk-SK"/>
        </w:rPr>
        <w:t xml:space="preserve"> a </w:t>
      </w:r>
      <w:r w:rsidRPr="00326E55">
        <w:rPr>
          <w:noProof/>
          <w:spacing w:val="-6"/>
          <w:lang w:val="sk-SK"/>
        </w:rPr>
        <w:t>krov (na 4500 hektárov),</w:t>
      </w:r>
      <w:r w:rsidR="00326E55" w:rsidRPr="00326E55">
        <w:rPr>
          <w:noProof/>
          <w:spacing w:val="-6"/>
          <w:lang w:val="sk-SK"/>
        </w:rPr>
        <w:t xml:space="preserve"> z </w:t>
      </w:r>
      <w:r w:rsidRPr="00326E55">
        <w:rPr>
          <w:noProof/>
          <w:spacing w:val="-6"/>
          <w:lang w:val="sk-SK"/>
        </w:rPr>
        <w:t>toho najmenej 3,5 milióna stromov presadených</w:t>
      </w:r>
      <w:r w:rsidR="00326E55" w:rsidRPr="00326E55">
        <w:rPr>
          <w:noProof/>
          <w:spacing w:val="-6"/>
          <w:lang w:val="sk-SK"/>
        </w:rPr>
        <w:t xml:space="preserve"> v </w:t>
      </w:r>
      <w:r w:rsidRPr="00326E55">
        <w:rPr>
          <w:noProof/>
          <w:spacing w:val="-6"/>
          <w:lang w:val="sk-SK"/>
        </w:rPr>
        <w:t>ich konečnom mieste určenia</w:t>
      </w:r>
      <w:r w:rsidR="00326E55" w:rsidRPr="00326E55">
        <w:rPr>
          <w:noProof/>
          <w:spacing w:val="-6"/>
          <w:lang w:val="sk-SK"/>
        </w:rPr>
        <w:t xml:space="preserve"> v </w:t>
      </w:r>
      <w:r w:rsidRPr="00326E55">
        <w:rPr>
          <w:noProof/>
          <w:spacing w:val="-6"/>
          <w:lang w:val="sk-SK"/>
        </w:rPr>
        <w:t>14 metropolitných mestách Talianska.</w:t>
      </w:r>
    </w:p>
    <w:p w14:paraId="583EBE35" w14:textId="343A4946" w:rsidR="00BF03AA" w:rsidRPr="00326E55" w:rsidRDefault="00FB452D">
      <w:pPr>
        <w:pStyle w:val="P68B1DB1-Times1276"/>
        <w:rPr>
          <w:noProof/>
          <w:spacing w:val="-6"/>
          <w:lang w:val="sk-SK"/>
        </w:rPr>
      </w:pPr>
      <w:r w:rsidRPr="00326E55">
        <w:rPr>
          <w:noProof/>
          <w:spacing w:val="-6"/>
          <w:lang w:val="sk-SK"/>
        </w:rPr>
        <w:t>Investícia 3.2 – Digitalizácia národných parkov</w:t>
      </w:r>
      <w:r w:rsidR="00326E55" w:rsidRPr="00326E55">
        <w:rPr>
          <w:noProof/>
          <w:spacing w:val="-6"/>
          <w:lang w:val="sk-SK"/>
        </w:rPr>
        <w:t xml:space="preserve"> a </w:t>
      </w:r>
      <w:r w:rsidRPr="00326E55">
        <w:rPr>
          <w:noProof/>
          <w:spacing w:val="-6"/>
          <w:lang w:val="sk-SK"/>
        </w:rPr>
        <w:t>chránených morských oblastí</w:t>
      </w:r>
    </w:p>
    <w:p w14:paraId="7A13ED6A" w14:textId="7A1A5171" w:rsidR="00BF03AA" w:rsidRPr="00326E55" w:rsidRDefault="00FB452D">
      <w:pPr>
        <w:pStyle w:val="P68B1DB1-Times1277"/>
        <w:rPr>
          <w:noProof/>
          <w:spacing w:val="-6"/>
          <w:lang w:val="sk-SK"/>
        </w:rPr>
      </w:pPr>
      <w:r w:rsidRPr="00326E55">
        <w:rPr>
          <w:noProof/>
          <w:spacing w:val="-6"/>
          <w:lang w:val="sk-SK"/>
        </w:rPr>
        <w:t>Cieľom t</w:t>
      </w:r>
      <w:r w:rsidRPr="00326E55">
        <w:rPr>
          <w:noProof/>
          <w:spacing w:val="-6"/>
          <w:lang w:val="sk-SK"/>
        </w:rPr>
        <w:t>ohto opatrenia je modernizovať</w:t>
      </w:r>
      <w:r w:rsidR="00326E55" w:rsidRPr="00326E55">
        <w:rPr>
          <w:noProof/>
          <w:spacing w:val="-6"/>
          <w:lang w:val="sk-SK"/>
        </w:rPr>
        <w:t xml:space="preserve"> a </w:t>
      </w:r>
      <w:r w:rsidRPr="00326E55">
        <w:rPr>
          <w:noProof/>
          <w:spacing w:val="-6"/>
          <w:lang w:val="sk-SK"/>
        </w:rPr>
        <w:t>digitalizovať postupy týkajúce sa fungovania národných parkov</w:t>
      </w:r>
      <w:r w:rsidR="00326E55" w:rsidRPr="00326E55">
        <w:rPr>
          <w:noProof/>
          <w:spacing w:val="-6"/>
          <w:lang w:val="sk-SK"/>
        </w:rPr>
        <w:t xml:space="preserve"> a </w:t>
      </w:r>
      <w:r w:rsidRPr="00326E55">
        <w:rPr>
          <w:noProof/>
          <w:spacing w:val="-6"/>
          <w:lang w:val="sk-SK"/>
        </w:rPr>
        <w:t>chránených morských oblastí. Opatrenie pozostáva</w:t>
      </w:r>
      <w:r w:rsidR="00326E55" w:rsidRPr="00326E55">
        <w:rPr>
          <w:noProof/>
          <w:spacing w:val="-6"/>
          <w:lang w:val="sk-SK"/>
        </w:rPr>
        <w:t xml:space="preserve"> z </w:t>
      </w:r>
      <w:r w:rsidRPr="00326E55">
        <w:rPr>
          <w:noProof/>
          <w:spacing w:val="-6"/>
          <w:lang w:val="sk-SK"/>
        </w:rPr>
        <w:t>digitálnych služieb pre návštevníkov</w:t>
      </w:r>
      <w:r w:rsidR="00326E55" w:rsidRPr="00326E55">
        <w:rPr>
          <w:noProof/>
          <w:spacing w:val="-6"/>
          <w:lang w:val="sk-SK"/>
        </w:rPr>
        <w:t xml:space="preserve"> a </w:t>
      </w:r>
      <w:r w:rsidRPr="00326E55">
        <w:rPr>
          <w:noProof/>
          <w:spacing w:val="-6"/>
          <w:lang w:val="sk-SK"/>
        </w:rPr>
        <w:t>zásahov do ochrany prírody</w:t>
      </w:r>
      <w:r w:rsidR="00326E55" w:rsidRPr="00326E55">
        <w:rPr>
          <w:noProof/>
          <w:spacing w:val="-6"/>
          <w:lang w:val="sk-SK"/>
        </w:rPr>
        <w:t xml:space="preserve"> a </w:t>
      </w:r>
      <w:r w:rsidRPr="00326E55">
        <w:rPr>
          <w:noProof/>
          <w:spacing w:val="-6"/>
          <w:lang w:val="sk-SK"/>
        </w:rPr>
        <w:t>monitorovania prírodných zdrojov.</w:t>
      </w:r>
    </w:p>
    <w:p w14:paraId="6987E681" w14:textId="77777777" w:rsidR="00BF03AA" w:rsidRPr="00326E55" w:rsidRDefault="00FB452D">
      <w:pPr>
        <w:pStyle w:val="P68B1DB1-Normal5"/>
        <w:spacing w:before="120" w:after="120" w:line="257" w:lineRule="auto"/>
        <w:jc w:val="both"/>
        <w:rPr>
          <w:bCs/>
          <w:noProof/>
          <w:spacing w:val="-6"/>
          <w:lang w:val="sk-SK"/>
        </w:rPr>
      </w:pPr>
      <w:r w:rsidRPr="00326E55">
        <w:rPr>
          <w:noProof/>
          <w:spacing w:val="-6"/>
          <w:lang w:val="sk-SK"/>
        </w:rPr>
        <w:t>Invest</w:t>
      </w:r>
      <w:r w:rsidRPr="00326E55">
        <w:rPr>
          <w:noProof/>
          <w:spacing w:val="-6"/>
          <w:lang w:val="sk-SK"/>
        </w:rPr>
        <w:t>ícia 3.3 – Renaturifikácia oblasti Po</w:t>
      </w:r>
    </w:p>
    <w:p w14:paraId="1DA2CB64" w14:textId="1FE192A4"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reaktivovať prírodné procesy</w:t>
      </w:r>
      <w:r w:rsidR="00326E55" w:rsidRPr="00326E55">
        <w:rPr>
          <w:noProof/>
          <w:spacing w:val="-6"/>
          <w:lang w:val="sk-SK"/>
        </w:rPr>
        <w:t xml:space="preserve"> a </w:t>
      </w:r>
      <w:r w:rsidRPr="00326E55">
        <w:rPr>
          <w:noProof/>
          <w:spacing w:val="-6"/>
          <w:lang w:val="sk-SK"/>
        </w:rPr>
        <w:t>podporiť obnovu biodiverzity</w:t>
      </w:r>
      <w:r w:rsidR="00326E55" w:rsidRPr="00326E55">
        <w:rPr>
          <w:noProof/>
          <w:spacing w:val="-6"/>
          <w:lang w:val="sk-SK"/>
        </w:rPr>
        <w:t xml:space="preserve"> v </w:t>
      </w:r>
      <w:r w:rsidRPr="00326E55">
        <w:rPr>
          <w:noProof/>
          <w:spacing w:val="-6"/>
          <w:lang w:val="sk-SK"/>
        </w:rPr>
        <w:t>oblasti rieky Po. Opatrenie pozostáva</w:t>
      </w:r>
      <w:r w:rsidR="00326E55" w:rsidRPr="00326E55">
        <w:rPr>
          <w:noProof/>
          <w:spacing w:val="-6"/>
          <w:lang w:val="sk-SK"/>
        </w:rPr>
        <w:t xml:space="preserve"> z </w:t>
      </w:r>
      <w:r w:rsidRPr="00326E55">
        <w:rPr>
          <w:noProof/>
          <w:spacing w:val="-6"/>
          <w:lang w:val="sk-SK"/>
        </w:rPr>
        <w:t>vykonávania zásahov na zníženie umelosti riečneho dna.</w:t>
      </w:r>
    </w:p>
    <w:p w14:paraId="09617DB8" w14:textId="77777777" w:rsidR="00BF03AA" w:rsidRPr="00326E55" w:rsidRDefault="00FB452D">
      <w:pPr>
        <w:pStyle w:val="P68B1DB1-Normal5"/>
        <w:spacing w:before="120" w:after="120" w:line="257" w:lineRule="auto"/>
        <w:jc w:val="both"/>
        <w:rPr>
          <w:bCs/>
          <w:noProof/>
          <w:spacing w:val="-6"/>
          <w:lang w:val="sk-SK"/>
        </w:rPr>
      </w:pPr>
      <w:r w:rsidRPr="00326E55">
        <w:rPr>
          <w:noProof/>
          <w:spacing w:val="-6"/>
          <w:lang w:val="sk-SK"/>
        </w:rPr>
        <w:t xml:space="preserve">Investícia 3.4: Rekultivácia </w:t>
      </w:r>
      <w:r w:rsidRPr="00326E55">
        <w:rPr>
          <w:noProof/>
          <w:spacing w:val="-6"/>
          <w:lang w:val="sk-SK"/>
        </w:rPr>
        <w:t>opustených miest</w:t>
      </w:r>
    </w:p>
    <w:p w14:paraId="7C20ACC5" w14:textId="150FE565" w:rsidR="00BF03AA" w:rsidRPr="00326E55" w:rsidRDefault="00FB452D">
      <w:pPr>
        <w:pStyle w:val="P68B1DB1-Normal7"/>
        <w:spacing w:before="120" w:after="120"/>
        <w:jc w:val="both"/>
        <w:rPr>
          <w:noProof/>
          <w:spacing w:val="-6"/>
          <w:lang w:val="sk-SK"/>
        </w:rPr>
      </w:pPr>
      <w:r w:rsidRPr="00326E55">
        <w:rPr>
          <w:noProof/>
          <w:spacing w:val="-6"/>
          <w:lang w:val="sk-SK"/>
        </w:rPr>
        <w:t>Cieľom tohto zásahu je znížiť vplyv „sídiel na ojedinelé ochorenia“ na životné prostredie, čím sa nepriamo podporí obehové hospodárstvo. Táto investícia pozostáva</w:t>
      </w:r>
      <w:r w:rsidR="00326E55" w:rsidRPr="00326E55">
        <w:rPr>
          <w:noProof/>
          <w:spacing w:val="-6"/>
          <w:lang w:val="sk-SK"/>
        </w:rPr>
        <w:t xml:space="preserve"> z </w:t>
      </w:r>
      <w:r w:rsidRPr="00326E55">
        <w:rPr>
          <w:noProof/>
          <w:spacing w:val="-6"/>
          <w:lang w:val="sk-SK"/>
        </w:rPr>
        <w:t>prijatia akčného plánu na identifikáciu</w:t>
      </w:r>
      <w:r w:rsidR="00326E55" w:rsidRPr="00326E55">
        <w:rPr>
          <w:noProof/>
          <w:spacing w:val="-6"/>
          <w:lang w:val="sk-SK"/>
        </w:rPr>
        <w:t xml:space="preserve"> a </w:t>
      </w:r>
      <w:r w:rsidRPr="00326E55">
        <w:rPr>
          <w:noProof/>
          <w:spacing w:val="-6"/>
          <w:lang w:val="sk-SK"/>
        </w:rPr>
        <w:t>revitalizáciu opustených lokalít</w:t>
      </w:r>
      <w:r w:rsidR="00326E55" w:rsidRPr="00326E55">
        <w:rPr>
          <w:noProof/>
          <w:spacing w:val="-6"/>
          <w:lang w:val="sk-SK"/>
        </w:rPr>
        <w:t xml:space="preserve"> v </w:t>
      </w:r>
      <w:r w:rsidRPr="00326E55">
        <w:rPr>
          <w:noProof/>
          <w:spacing w:val="-6"/>
          <w:lang w:val="sk-SK"/>
        </w:rPr>
        <w:t>talianskych regiónoch</w:t>
      </w:r>
      <w:r w:rsidR="00326E55" w:rsidRPr="00326E55">
        <w:rPr>
          <w:noProof/>
          <w:spacing w:val="-6"/>
          <w:lang w:val="sk-SK"/>
        </w:rPr>
        <w:t xml:space="preserve"> a </w:t>
      </w:r>
      <w:r w:rsidRPr="00326E55">
        <w:rPr>
          <w:noProof/>
          <w:spacing w:val="-6"/>
          <w:lang w:val="sk-SK"/>
        </w:rPr>
        <w:t>autonómnych provinciách, ako aj</w:t>
      </w:r>
      <w:r w:rsidR="00326E55" w:rsidRPr="00326E55">
        <w:rPr>
          <w:noProof/>
          <w:spacing w:val="-6"/>
          <w:lang w:val="sk-SK"/>
        </w:rPr>
        <w:t xml:space="preserve"> z </w:t>
      </w:r>
      <w:r w:rsidRPr="00326E55">
        <w:rPr>
          <w:noProof/>
          <w:spacing w:val="-6"/>
          <w:lang w:val="sk-SK"/>
        </w:rPr>
        <w:t>vykonávania osobitných intervencií na ich obnovu.</w:t>
      </w:r>
    </w:p>
    <w:p w14:paraId="0C90F2DD" w14:textId="615946E3" w:rsidR="00BF03AA" w:rsidRPr="00326E55" w:rsidRDefault="00FB452D">
      <w:pPr>
        <w:pStyle w:val="P68B1DB1-Normal5"/>
        <w:spacing w:before="120" w:after="120" w:line="257" w:lineRule="auto"/>
        <w:jc w:val="both"/>
        <w:rPr>
          <w:bCs/>
          <w:noProof/>
          <w:spacing w:val="-6"/>
          <w:lang w:val="sk-SK"/>
        </w:rPr>
      </w:pPr>
      <w:r w:rsidRPr="00326E55">
        <w:rPr>
          <w:noProof/>
          <w:spacing w:val="-6"/>
          <w:lang w:val="sk-SK"/>
        </w:rPr>
        <w:t>Investícia 3.5: Obnova</w:t>
      </w:r>
      <w:r w:rsidR="00326E55" w:rsidRPr="00326E55">
        <w:rPr>
          <w:noProof/>
          <w:spacing w:val="-6"/>
          <w:lang w:val="sk-SK"/>
        </w:rPr>
        <w:t xml:space="preserve"> a </w:t>
      </w:r>
      <w:r w:rsidRPr="00326E55">
        <w:rPr>
          <w:noProof/>
          <w:spacing w:val="-6"/>
          <w:lang w:val="sk-SK"/>
        </w:rPr>
        <w:t>ochrana morského dna</w:t>
      </w:r>
      <w:r w:rsidR="00326E55" w:rsidRPr="00326E55">
        <w:rPr>
          <w:noProof/>
          <w:spacing w:val="-6"/>
          <w:lang w:val="sk-SK"/>
        </w:rPr>
        <w:t xml:space="preserve"> a </w:t>
      </w:r>
      <w:r w:rsidRPr="00326E55">
        <w:rPr>
          <w:noProof/>
          <w:spacing w:val="-6"/>
          <w:lang w:val="sk-SK"/>
        </w:rPr>
        <w:t>morských biotopov</w:t>
      </w:r>
    </w:p>
    <w:p w14:paraId="2FC1ADFA" w14:textId="65E2600E" w:rsidR="00BF03AA" w:rsidRPr="00326E55" w:rsidRDefault="00FB452D">
      <w:pPr>
        <w:pStyle w:val="P68B1DB1-Normal7"/>
        <w:jc w:val="both"/>
        <w:rPr>
          <w:noProof/>
          <w:spacing w:val="-6"/>
          <w:lang w:val="sk-SK"/>
        </w:rPr>
      </w:pPr>
      <w:r w:rsidRPr="00326E55">
        <w:rPr>
          <w:noProof/>
          <w:spacing w:val="-6"/>
          <w:lang w:val="sk-SK"/>
        </w:rPr>
        <w:t>Cieľom tohto opatrenia je prispieť</w:t>
      </w:r>
      <w:r w:rsidR="00326E55" w:rsidRPr="00326E55">
        <w:rPr>
          <w:noProof/>
          <w:spacing w:val="-6"/>
          <w:lang w:val="sk-SK"/>
        </w:rPr>
        <w:t xml:space="preserve"> k </w:t>
      </w:r>
      <w:r w:rsidRPr="00326E55">
        <w:rPr>
          <w:noProof/>
          <w:spacing w:val="-6"/>
          <w:lang w:val="sk-SK"/>
        </w:rPr>
        <w:t>zvráteniu degradácie morského dna</w:t>
      </w:r>
      <w:r w:rsidR="00326E55" w:rsidRPr="00326E55">
        <w:rPr>
          <w:noProof/>
          <w:spacing w:val="-6"/>
          <w:lang w:val="sk-SK"/>
        </w:rPr>
        <w:t xml:space="preserve"> a </w:t>
      </w:r>
      <w:r w:rsidRPr="00326E55">
        <w:rPr>
          <w:noProof/>
          <w:spacing w:val="-6"/>
          <w:lang w:val="sk-SK"/>
        </w:rPr>
        <w:t>morský</w:t>
      </w:r>
      <w:r w:rsidRPr="00326E55">
        <w:rPr>
          <w:noProof/>
          <w:spacing w:val="-6"/>
          <w:lang w:val="sk-SK"/>
        </w:rPr>
        <w:t>ch biotopov. Opatrenie pozostáva</w:t>
      </w:r>
      <w:r w:rsidR="00326E55" w:rsidRPr="00326E55">
        <w:rPr>
          <w:noProof/>
          <w:spacing w:val="-6"/>
          <w:lang w:val="sk-SK"/>
        </w:rPr>
        <w:t xml:space="preserve"> z </w:t>
      </w:r>
      <w:r w:rsidRPr="00326E55">
        <w:rPr>
          <w:noProof/>
          <w:spacing w:val="-6"/>
          <w:lang w:val="sk-SK"/>
        </w:rPr>
        <w:t>podpory projektov mapujúcich biotopy morského dna</w:t>
      </w:r>
      <w:r w:rsidR="00326E55" w:rsidRPr="00326E55">
        <w:rPr>
          <w:noProof/>
          <w:spacing w:val="-6"/>
          <w:lang w:val="sk-SK"/>
        </w:rPr>
        <w:t xml:space="preserve"> a </w:t>
      </w:r>
      <w:r w:rsidRPr="00326E55">
        <w:rPr>
          <w:noProof/>
          <w:spacing w:val="-6"/>
          <w:lang w:val="sk-SK"/>
        </w:rPr>
        <w:t>environmentálneho monitorovania, plánovania</w:t>
      </w:r>
      <w:r w:rsidR="00326E55" w:rsidRPr="00326E55">
        <w:rPr>
          <w:noProof/>
          <w:spacing w:val="-6"/>
          <w:lang w:val="sk-SK"/>
        </w:rPr>
        <w:t xml:space="preserve"> a </w:t>
      </w:r>
      <w:r w:rsidRPr="00326E55">
        <w:rPr>
          <w:noProof/>
          <w:spacing w:val="-6"/>
          <w:lang w:val="sk-SK"/>
        </w:rPr>
        <w:t>rozsiahlych opatrení na obnovu</w:t>
      </w:r>
      <w:r w:rsidR="00326E55" w:rsidRPr="00326E55">
        <w:rPr>
          <w:noProof/>
          <w:spacing w:val="-6"/>
          <w:lang w:val="sk-SK"/>
        </w:rPr>
        <w:t xml:space="preserve"> a </w:t>
      </w:r>
      <w:r w:rsidRPr="00326E55">
        <w:rPr>
          <w:noProof/>
          <w:spacing w:val="-6"/>
          <w:lang w:val="sk-SK"/>
        </w:rPr>
        <w:t>ochranu, ako aj</w:t>
      </w:r>
      <w:r w:rsidR="00326E55" w:rsidRPr="00326E55">
        <w:rPr>
          <w:noProof/>
          <w:spacing w:val="-6"/>
          <w:lang w:val="sk-SK"/>
        </w:rPr>
        <w:t xml:space="preserve"> z </w:t>
      </w:r>
      <w:r w:rsidRPr="00326E55">
        <w:rPr>
          <w:noProof/>
          <w:spacing w:val="-6"/>
          <w:lang w:val="sk-SK"/>
        </w:rPr>
        <w:t>posilnenia námorných monitorovacích platforiem.</w:t>
      </w:r>
    </w:p>
    <w:p w14:paraId="2DCA7B9B" w14:textId="77777777" w:rsidR="00BF03AA" w:rsidRPr="00326E55" w:rsidRDefault="00FB452D">
      <w:pPr>
        <w:pStyle w:val="P68B1DB1-Normal7"/>
        <w:rPr>
          <w:b/>
          <w:noProof/>
          <w:spacing w:val="-6"/>
          <w:lang w:val="sk-SK"/>
        </w:rPr>
      </w:pPr>
      <w:r w:rsidRPr="00326E55">
        <w:rPr>
          <w:noProof/>
          <w:spacing w:val="-6"/>
          <w:lang w:val="sk-SK"/>
        </w:rPr>
        <w:br w:type="page"/>
      </w:r>
    </w:p>
    <w:p w14:paraId="343C114F" w14:textId="6883701E" w:rsidR="00BF03AA" w:rsidRPr="00326E55" w:rsidRDefault="00FB452D">
      <w:pPr>
        <w:pStyle w:val="P68B1DB1-Normal5"/>
        <w:spacing w:before="120" w:after="120" w:line="257" w:lineRule="auto"/>
        <w:jc w:val="both"/>
        <w:rPr>
          <w:rFonts w:eastAsia="Calibri"/>
          <w:noProof/>
          <w:spacing w:val="-6"/>
          <w:lang w:val="sk-SK"/>
        </w:rPr>
      </w:pPr>
      <w:r w:rsidRPr="00326E55">
        <w:rPr>
          <w:noProof/>
          <w:spacing w:val="-6"/>
          <w:lang w:val="sk-SK"/>
        </w:rPr>
        <w:t xml:space="preserve">Reforma 4.1 </w:t>
      </w:r>
      <w:r w:rsidRPr="00326E55">
        <w:rPr>
          <w:noProof/>
          <w:spacing w:val="-6"/>
          <w:lang w:val="sk-SK"/>
        </w:rPr>
        <w:t>Zjednodušenie právnych predpisov</w:t>
      </w:r>
      <w:r w:rsidR="00326E55" w:rsidRPr="00326E55">
        <w:rPr>
          <w:noProof/>
          <w:spacing w:val="-6"/>
          <w:lang w:val="sk-SK"/>
        </w:rPr>
        <w:t xml:space="preserve"> a </w:t>
      </w:r>
      <w:r w:rsidRPr="00326E55">
        <w:rPr>
          <w:noProof/>
          <w:spacing w:val="-6"/>
          <w:lang w:val="sk-SK"/>
        </w:rPr>
        <w:t>posilnenie riadenia realizácie investícií do infraštruktúry na zásobovanie vodou</w:t>
      </w:r>
    </w:p>
    <w:p w14:paraId="0C362B28" w14:textId="281FE619" w:rsidR="00326E55" w:rsidRPr="00326E55" w:rsidRDefault="00FB452D">
      <w:pPr>
        <w:pStyle w:val="P68B1DB1-Paragrafoelenco178"/>
        <w:spacing w:after="120" w:line="240" w:lineRule="auto"/>
        <w:ind w:left="0"/>
        <w:jc w:val="both"/>
        <w:rPr>
          <w:noProof/>
          <w:spacing w:val="-6"/>
          <w:lang w:val="sk-SK"/>
        </w:rPr>
      </w:pPr>
      <w:r w:rsidRPr="00326E55">
        <w:rPr>
          <w:noProof/>
          <w:spacing w:val="-6"/>
          <w:lang w:val="sk-SK"/>
        </w:rPr>
        <w:t>Súčasný regulačný rámec</w:t>
      </w:r>
      <w:r w:rsidR="00326E55" w:rsidRPr="00326E55">
        <w:rPr>
          <w:noProof/>
          <w:spacing w:val="-6"/>
          <w:lang w:val="sk-SK"/>
        </w:rPr>
        <w:t xml:space="preserve"> a </w:t>
      </w:r>
      <w:r w:rsidRPr="00326E55">
        <w:rPr>
          <w:noProof/>
          <w:spacing w:val="-6"/>
          <w:lang w:val="sk-SK"/>
        </w:rPr>
        <w:t>existujúca fragmentácia riadenia majú negatívny vplyv na schopnosť plánovania</w:t>
      </w:r>
      <w:r w:rsidR="00326E55" w:rsidRPr="00326E55">
        <w:rPr>
          <w:noProof/>
          <w:spacing w:val="-6"/>
          <w:lang w:val="sk-SK"/>
        </w:rPr>
        <w:t xml:space="preserve"> a </w:t>
      </w:r>
      <w:r w:rsidRPr="00326E55">
        <w:rPr>
          <w:noProof/>
          <w:spacing w:val="-6"/>
          <w:lang w:val="sk-SK"/>
        </w:rPr>
        <w:t>realizácie investícií do infraštru</w:t>
      </w:r>
      <w:r w:rsidRPr="00326E55">
        <w:rPr>
          <w:noProof/>
          <w:spacing w:val="-6"/>
          <w:lang w:val="sk-SK"/>
        </w:rPr>
        <w:t>ktúry na zásobovanie vodou</w:t>
      </w:r>
      <w:r w:rsidR="00326E55" w:rsidRPr="00326E55">
        <w:rPr>
          <w:noProof/>
          <w:spacing w:val="-6"/>
          <w:lang w:val="sk-SK"/>
        </w:rPr>
        <w:t>.</w:t>
      </w:r>
    </w:p>
    <w:p w14:paraId="2685991A" w14:textId="4DF92D33" w:rsidR="00BF03AA" w:rsidRPr="00326E55" w:rsidRDefault="00FB452D">
      <w:pPr>
        <w:pStyle w:val="P68B1DB1-Normal7"/>
        <w:suppressAutoHyphens/>
        <w:jc w:val="both"/>
        <w:rPr>
          <w:noProof/>
          <w:spacing w:val="-6"/>
          <w:lang w:val="sk-SK"/>
        </w:rPr>
      </w:pPr>
      <w:r w:rsidRPr="00326E55">
        <w:rPr>
          <w:noProof/>
          <w:spacing w:val="-6"/>
          <w:lang w:val="sk-SK"/>
        </w:rPr>
        <w:t>Cieľom tejto reformy je zjednodušiť</w:t>
      </w:r>
      <w:r w:rsidR="00326E55" w:rsidRPr="00326E55">
        <w:rPr>
          <w:noProof/>
          <w:spacing w:val="-6"/>
          <w:lang w:val="sk-SK"/>
        </w:rPr>
        <w:t xml:space="preserve"> a </w:t>
      </w:r>
      <w:r w:rsidRPr="00326E55">
        <w:rPr>
          <w:noProof/>
          <w:spacing w:val="-6"/>
          <w:lang w:val="sk-SK"/>
        </w:rPr>
        <w:t>zefektívniť právny rámec</w:t>
      </w:r>
      <w:r w:rsidR="00326E55" w:rsidRPr="00326E55">
        <w:rPr>
          <w:noProof/>
          <w:spacing w:val="-6"/>
          <w:lang w:val="sk-SK"/>
        </w:rPr>
        <w:t xml:space="preserve"> a v </w:t>
      </w:r>
      <w:r w:rsidRPr="00326E55">
        <w:rPr>
          <w:noProof/>
          <w:spacing w:val="-6"/>
          <w:lang w:val="sk-SK"/>
        </w:rPr>
        <w:t>prípade potreby poskytnúť pomoc vykonávacím orgánom, ktoré nemajú dostatočnú kapacitu na realizáciu</w:t>
      </w:r>
      <w:r w:rsidR="00326E55" w:rsidRPr="00326E55">
        <w:rPr>
          <w:noProof/>
          <w:spacing w:val="-6"/>
          <w:lang w:val="sk-SK"/>
        </w:rPr>
        <w:t xml:space="preserve"> a </w:t>
      </w:r>
      <w:r w:rsidRPr="00326E55">
        <w:rPr>
          <w:noProof/>
          <w:spacing w:val="-6"/>
          <w:lang w:val="sk-SK"/>
        </w:rPr>
        <w:t>dokončenie týchto investícií</w:t>
      </w:r>
      <w:r w:rsidR="00326E55" w:rsidRPr="00326E55">
        <w:rPr>
          <w:noProof/>
          <w:spacing w:val="-6"/>
          <w:lang w:val="sk-SK"/>
        </w:rPr>
        <w:t xml:space="preserve"> v </w:t>
      </w:r>
      <w:r w:rsidRPr="00326E55">
        <w:rPr>
          <w:noProof/>
          <w:spacing w:val="-6"/>
          <w:lang w:val="sk-SK"/>
        </w:rPr>
        <w:t>pôvodne stanovených lehotách</w:t>
      </w:r>
      <w:r w:rsidRPr="00326E55">
        <w:rPr>
          <w:noProof/>
          <w:spacing w:val="-6"/>
          <w:lang w:val="sk-SK"/>
        </w:rPr>
        <w:t>.</w:t>
      </w:r>
    </w:p>
    <w:p w14:paraId="6E4F4200" w14:textId="7746DFEB" w:rsidR="00BF03AA" w:rsidRPr="00326E55" w:rsidRDefault="00FB452D">
      <w:pPr>
        <w:pStyle w:val="P68B1DB1-Normal7"/>
        <w:suppressAutoHyphens/>
        <w:jc w:val="both"/>
        <w:rPr>
          <w:noProof/>
          <w:spacing w:val="-6"/>
          <w:lang w:val="sk-SK"/>
        </w:rPr>
      </w:pPr>
      <w:r w:rsidRPr="00326E55">
        <w:rPr>
          <w:noProof/>
          <w:spacing w:val="-6"/>
          <w:lang w:val="sk-SK"/>
        </w:rPr>
        <w:t>Hlavné opatrenia plánované na dosiahnutie týchto cieľov sú najmä i) zriadením centrálneho verejného finančného nástroja pre investície</w:t>
      </w:r>
      <w:r w:rsidR="00326E55" w:rsidRPr="00326E55">
        <w:rPr>
          <w:noProof/>
          <w:spacing w:val="-6"/>
          <w:lang w:val="sk-SK"/>
        </w:rPr>
        <w:t xml:space="preserve"> v </w:t>
      </w:r>
      <w:r w:rsidRPr="00326E55">
        <w:rPr>
          <w:noProof/>
          <w:spacing w:val="-6"/>
          <w:lang w:val="sk-SK"/>
        </w:rPr>
        <w:t>odvetví vodného hospodárstva, ktorý zjednocuje zdroje, ktoré sú</w:t>
      </w:r>
      <w:r w:rsidR="00326E55" w:rsidRPr="00326E55">
        <w:rPr>
          <w:noProof/>
          <w:spacing w:val="-6"/>
          <w:lang w:val="sk-SK"/>
        </w:rPr>
        <w:t xml:space="preserve"> v </w:t>
      </w:r>
      <w:r w:rsidRPr="00326E55">
        <w:rPr>
          <w:noProof/>
          <w:spacing w:val="-6"/>
          <w:lang w:val="sk-SK"/>
        </w:rPr>
        <w:t>súčasnosti dosť rozptýlené; II) zjednodušenie postu</w:t>
      </w:r>
      <w:r w:rsidRPr="00326E55">
        <w:rPr>
          <w:noProof/>
          <w:spacing w:val="-6"/>
          <w:lang w:val="sk-SK"/>
        </w:rPr>
        <w:t>pov podávania správ</w:t>
      </w:r>
      <w:r w:rsidR="00326E55" w:rsidRPr="00326E55">
        <w:rPr>
          <w:noProof/>
          <w:spacing w:val="-6"/>
          <w:lang w:val="sk-SK"/>
        </w:rPr>
        <w:t xml:space="preserve"> a </w:t>
      </w:r>
      <w:r w:rsidRPr="00326E55">
        <w:rPr>
          <w:noProof/>
          <w:spacing w:val="-6"/>
          <w:lang w:val="sk-SK"/>
        </w:rPr>
        <w:t>monitorovania financovaných investícií, iii) ďalšie zapojenie regulačného orgánu do plánovania investícií, ktoré sa majú uskutočniť,</w:t>
      </w:r>
      <w:r w:rsidR="00326E55" w:rsidRPr="00326E55">
        <w:rPr>
          <w:noProof/>
          <w:spacing w:val="-6"/>
          <w:lang w:val="sk-SK"/>
        </w:rPr>
        <w:t xml:space="preserve"> a </w:t>
      </w:r>
      <w:r w:rsidRPr="00326E55">
        <w:rPr>
          <w:noProof/>
          <w:spacing w:val="-6"/>
          <w:lang w:val="sk-SK"/>
        </w:rPr>
        <w:t>do možných revízií plánu.</w:t>
      </w:r>
    </w:p>
    <w:p w14:paraId="60510DFC" w14:textId="7AF9CF19" w:rsidR="00326E55" w:rsidRPr="00326E55" w:rsidRDefault="00FB452D">
      <w:pPr>
        <w:pStyle w:val="P68B1DB1-Normal7"/>
        <w:suppressAutoHyphens/>
        <w:jc w:val="both"/>
        <w:rPr>
          <w:noProof/>
          <w:spacing w:val="-6"/>
          <w:lang w:val="sk-SK"/>
        </w:rPr>
      </w:pPr>
      <w:r w:rsidRPr="00326E55">
        <w:rPr>
          <w:noProof/>
          <w:spacing w:val="-6"/>
          <w:lang w:val="sk-SK"/>
        </w:rPr>
        <w:t>Ministerstvo infraštruktúry</w:t>
      </w:r>
      <w:r w:rsidR="00326E55" w:rsidRPr="00326E55">
        <w:rPr>
          <w:noProof/>
          <w:spacing w:val="-6"/>
          <w:lang w:val="sk-SK"/>
        </w:rPr>
        <w:t xml:space="preserve"> a </w:t>
      </w:r>
      <w:r w:rsidRPr="00326E55">
        <w:rPr>
          <w:noProof/>
          <w:spacing w:val="-6"/>
          <w:lang w:val="sk-SK"/>
        </w:rPr>
        <w:t>dopravy predloží reformný návrh týkajúci sa</w:t>
      </w:r>
      <w:r w:rsidRPr="00326E55">
        <w:rPr>
          <w:noProof/>
          <w:spacing w:val="-6"/>
          <w:lang w:val="sk-SK"/>
        </w:rPr>
        <w:t xml:space="preserve"> sektora zásobovania vodou</w:t>
      </w:r>
      <w:r w:rsidR="00326E55" w:rsidRPr="00326E55">
        <w:rPr>
          <w:noProof/>
          <w:spacing w:val="-6"/>
          <w:lang w:val="sk-SK"/>
        </w:rPr>
        <w:t>.</w:t>
      </w:r>
    </w:p>
    <w:p w14:paraId="37B1B205" w14:textId="15224F83" w:rsidR="00BF03AA" w:rsidRPr="00326E55" w:rsidRDefault="00FB452D">
      <w:pPr>
        <w:pStyle w:val="P68B1DB1-Normal5"/>
        <w:spacing w:before="120" w:after="120" w:line="257" w:lineRule="auto"/>
        <w:jc w:val="both"/>
        <w:rPr>
          <w:bCs/>
          <w:noProof/>
          <w:spacing w:val="-6"/>
          <w:lang w:val="sk-SK"/>
        </w:rPr>
      </w:pPr>
      <w:r w:rsidRPr="00326E55">
        <w:rPr>
          <w:noProof/>
          <w:spacing w:val="-6"/>
          <w:lang w:val="sk-SK"/>
        </w:rPr>
        <w:t>Investícia 4.1 Primárna vodohospodárska infraštruktúra na zabezpečenie dodávok vody</w:t>
      </w:r>
    </w:p>
    <w:p w14:paraId="3707375E" w14:textId="465650F2"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zaistiť bezpečnosť dodávok vody pre dôležité mestské oblasti</w:t>
      </w:r>
      <w:r w:rsidR="00326E55" w:rsidRPr="00326E55">
        <w:rPr>
          <w:noProof/>
          <w:spacing w:val="-6"/>
          <w:lang w:val="sk-SK"/>
        </w:rPr>
        <w:t xml:space="preserve"> a </w:t>
      </w:r>
      <w:r w:rsidRPr="00326E55">
        <w:rPr>
          <w:noProof/>
          <w:spacing w:val="-6"/>
          <w:lang w:val="sk-SK"/>
        </w:rPr>
        <w:t>veľké zavlažované oblasti</w:t>
      </w:r>
      <w:r w:rsidR="00326E55" w:rsidRPr="00326E55">
        <w:rPr>
          <w:noProof/>
          <w:spacing w:val="-6"/>
          <w:lang w:val="sk-SK"/>
        </w:rPr>
        <w:t xml:space="preserve"> a </w:t>
      </w:r>
      <w:r w:rsidRPr="00326E55">
        <w:rPr>
          <w:noProof/>
          <w:spacing w:val="-6"/>
          <w:lang w:val="sk-SK"/>
        </w:rPr>
        <w:t>zvýšiť bezpečnosť</w:t>
      </w:r>
      <w:r w:rsidR="00326E55" w:rsidRPr="00326E55">
        <w:rPr>
          <w:noProof/>
          <w:spacing w:val="-6"/>
          <w:lang w:val="sk-SK"/>
        </w:rPr>
        <w:t xml:space="preserve"> a </w:t>
      </w:r>
      <w:r w:rsidRPr="00326E55">
        <w:rPr>
          <w:noProof/>
          <w:spacing w:val="-6"/>
          <w:lang w:val="sk-SK"/>
        </w:rPr>
        <w:t>odolnos</w:t>
      </w:r>
      <w:r w:rsidRPr="00326E55">
        <w:rPr>
          <w:noProof/>
          <w:spacing w:val="-6"/>
          <w:lang w:val="sk-SK"/>
        </w:rPr>
        <w:t>ť siete,</w:t>
      </w:r>
      <w:r w:rsidR="00326E55" w:rsidRPr="00326E55">
        <w:rPr>
          <w:noProof/>
          <w:spacing w:val="-6"/>
          <w:lang w:val="sk-SK"/>
        </w:rPr>
        <w:t xml:space="preserve"> a </w:t>
      </w:r>
      <w:r w:rsidRPr="00326E55">
        <w:rPr>
          <w:noProof/>
          <w:spacing w:val="-6"/>
          <w:lang w:val="sk-SK"/>
        </w:rPr>
        <w:t>to aj pokiaľ ide</w:t>
      </w:r>
      <w:r w:rsidR="00326E55" w:rsidRPr="00326E55">
        <w:rPr>
          <w:noProof/>
          <w:spacing w:val="-6"/>
          <w:lang w:val="sk-SK"/>
        </w:rPr>
        <w:t xml:space="preserve"> o </w:t>
      </w:r>
      <w:r w:rsidRPr="00326E55">
        <w:rPr>
          <w:noProof/>
          <w:spacing w:val="-6"/>
          <w:lang w:val="sk-SK"/>
        </w:rPr>
        <w:t>prepravnú kapacitu vody. Opatrenie pozostáva</w:t>
      </w:r>
      <w:r w:rsidR="00326E55" w:rsidRPr="00326E55">
        <w:rPr>
          <w:noProof/>
          <w:spacing w:val="-6"/>
          <w:lang w:val="sk-SK"/>
        </w:rPr>
        <w:t xml:space="preserve"> z </w:t>
      </w:r>
      <w:r w:rsidRPr="00326E55">
        <w:rPr>
          <w:noProof/>
          <w:spacing w:val="-6"/>
          <w:lang w:val="sk-SK"/>
        </w:rPr>
        <w:t>prác na primárnej vodohospodárskej infraštruktúre na celom území štátu.</w:t>
      </w:r>
    </w:p>
    <w:p w14:paraId="2AE3EAEA" w14:textId="69C7EF69" w:rsidR="00BF03AA" w:rsidRPr="00326E55" w:rsidRDefault="00FB452D">
      <w:pPr>
        <w:pStyle w:val="P68B1DB1-Normal5"/>
        <w:rPr>
          <w:bCs/>
          <w:noProof/>
          <w:spacing w:val="-6"/>
          <w:lang w:val="sk-SK"/>
        </w:rPr>
      </w:pPr>
      <w:r w:rsidRPr="00326E55">
        <w:rPr>
          <w:noProof/>
          <w:spacing w:val="-6"/>
          <w:lang w:val="sk-SK"/>
        </w:rPr>
        <w:t>Investícia 4.2. Zníženie strát vo vodovodných sieťach vrátane digitalizácie</w:t>
      </w:r>
      <w:r w:rsidR="00326E55" w:rsidRPr="00326E55">
        <w:rPr>
          <w:noProof/>
          <w:spacing w:val="-6"/>
          <w:lang w:val="sk-SK"/>
        </w:rPr>
        <w:t xml:space="preserve"> a </w:t>
      </w:r>
      <w:r w:rsidRPr="00326E55">
        <w:rPr>
          <w:noProof/>
          <w:spacing w:val="-6"/>
          <w:lang w:val="sk-SK"/>
        </w:rPr>
        <w:t>monitorovania sietí</w:t>
      </w:r>
    </w:p>
    <w:p w14:paraId="04B7DDB7" w14:textId="075B428E" w:rsidR="00BF03AA" w:rsidRPr="00326E55" w:rsidRDefault="00FB452D">
      <w:pPr>
        <w:pStyle w:val="P68B1DB1-Normal7"/>
        <w:spacing w:before="120" w:after="120"/>
        <w:jc w:val="both"/>
        <w:rPr>
          <w:noProof/>
          <w:spacing w:val="-6"/>
          <w:lang w:val="sk-SK"/>
        </w:rPr>
      </w:pPr>
      <w:r w:rsidRPr="00326E55">
        <w:rPr>
          <w:noProof/>
          <w:spacing w:val="-6"/>
          <w:lang w:val="sk-SK"/>
        </w:rPr>
        <w:t xml:space="preserve">Cieľom </w:t>
      </w:r>
      <w:r w:rsidRPr="00326E55">
        <w:rPr>
          <w:noProof/>
          <w:spacing w:val="-6"/>
          <w:lang w:val="sk-SK"/>
        </w:rPr>
        <w:t>tejto investície je znížiť stratu pitnej vody. Opatrenie pozostáva</w:t>
      </w:r>
      <w:r w:rsidR="00326E55" w:rsidRPr="00326E55">
        <w:rPr>
          <w:noProof/>
          <w:spacing w:val="-6"/>
          <w:lang w:val="sk-SK"/>
        </w:rPr>
        <w:t xml:space="preserve"> z </w:t>
      </w:r>
      <w:r w:rsidRPr="00326E55">
        <w:rPr>
          <w:noProof/>
          <w:spacing w:val="-6"/>
          <w:lang w:val="sk-SK"/>
        </w:rPr>
        <w:t>modernizácie</w:t>
      </w:r>
      <w:r w:rsidR="00326E55" w:rsidRPr="00326E55">
        <w:rPr>
          <w:noProof/>
          <w:spacing w:val="-6"/>
          <w:lang w:val="sk-SK"/>
        </w:rPr>
        <w:t xml:space="preserve"> a </w:t>
      </w:r>
      <w:r w:rsidRPr="00326E55">
        <w:rPr>
          <w:noProof/>
          <w:spacing w:val="-6"/>
          <w:lang w:val="sk-SK"/>
        </w:rPr>
        <w:t>modernizácie vodovodných sietí prostredníctvom pokročilých kontrolných systémov, ktoré umožňujú monitorovanie hlavných uzlov</w:t>
      </w:r>
      <w:r w:rsidR="00326E55" w:rsidRPr="00326E55">
        <w:rPr>
          <w:noProof/>
          <w:spacing w:val="-6"/>
          <w:lang w:val="sk-SK"/>
        </w:rPr>
        <w:t xml:space="preserve"> a </w:t>
      </w:r>
      <w:r w:rsidRPr="00326E55">
        <w:rPr>
          <w:noProof/>
          <w:spacing w:val="-6"/>
          <w:lang w:val="sk-SK"/>
        </w:rPr>
        <w:t>najcitlivejších bodov siete (úroveň vody).</w:t>
      </w:r>
    </w:p>
    <w:p w14:paraId="6266BEA9" w14:textId="77777777" w:rsidR="00326E55" w:rsidRPr="00326E55" w:rsidRDefault="00FB452D">
      <w:pPr>
        <w:pStyle w:val="P68B1DB1-Normal5"/>
        <w:spacing w:before="120" w:after="120" w:line="257" w:lineRule="auto"/>
        <w:jc w:val="both"/>
        <w:rPr>
          <w:noProof/>
          <w:spacing w:val="-6"/>
          <w:lang w:val="sk-SK"/>
        </w:rPr>
      </w:pPr>
      <w:r w:rsidRPr="00326E55">
        <w:rPr>
          <w:noProof/>
          <w:spacing w:val="-6"/>
          <w:lang w:val="sk-SK"/>
        </w:rPr>
        <w:t>In</w:t>
      </w:r>
      <w:r w:rsidRPr="00326E55">
        <w:rPr>
          <w:noProof/>
          <w:spacing w:val="-6"/>
          <w:lang w:val="sk-SK"/>
        </w:rPr>
        <w:t>vestícia 4.3. Investície do odolnosti zavlažovacieho agrosystému</w:t>
      </w:r>
      <w:r w:rsidR="00326E55" w:rsidRPr="00326E55">
        <w:rPr>
          <w:noProof/>
          <w:spacing w:val="-6"/>
          <w:lang w:val="sk-SK"/>
        </w:rPr>
        <w:t xml:space="preserve"> v </w:t>
      </w:r>
      <w:r w:rsidRPr="00326E55">
        <w:rPr>
          <w:noProof/>
          <w:spacing w:val="-6"/>
          <w:lang w:val="sk-SK"/>
        </w:rPr>
        <w:t>záujme lepšieho hospodárenia</w:t>
      </w:r>
      <w:r w:rsidR="00326E55" w:rsidRPr="00326E55">
        <w:rPr>
          <w:noProof/>
          <w:spacing w:val="-6"/>
          <w:lang w:val="sk-SK"/>
        </w:rPr>
        <w:t xml:space="preserve"> s </w:t>
      </w:r>
      <w:r w:rsidRPr="00326E55">
        <w:rPr>
          <w:noProof/>
          <w:spacing w:val="-6"/>
          <w:lang w:val="sk-SK"/>
        </w:rPr>
        <w:t>vodnými zdrojmi</w:t>
      </w:r>
    </w:p>
    <w:p w14:paraId="43712A57" w14:textId="6B60248A" w:rsidR="00BF03AA" w:rsidRPr="00326E55" w:rsidRDefault="00FB452D">
      <w:pPr>
        <w:pStyle w:val="P68B1DB1-Normal7"/>
        <w:spacing w:before="120" w:after="120" w:line="257" w:lineRule="auto"/>
        <w:jc w:val="both"/>
        <w:rPr>
          <w:b/>
          <w:bCs/>
          <w:noProof/>
          <w:spacing w:val="-6"/>
          <w:lang w:val="sk-SK"/>
        </w:rPr>
      </w:pPr>
      <w:r w:rsidRPr="00326E55">
        <w:rPr>
          <w:noProof/>
          <w:spacing w:val="-6"/>
          <w:lang w:val="sk-SK"/>
        </w:rPr>
        <w:t>Cieľom tohto opatrenia je zvýšiť efektívnosť zavlažovacích systémov prostredníctvom digitalizácie</w:t>
      </w:r>
      <w:r w:rsidR="00326E55" w:rsidRPr="00326E55">
        <w:rPr>
          <w:noProof/>
          <w:spacing w:val="-6"/>
          <w:lang w:val="sk-SK"/>
        </w:rPr>
        <w:t xml:space="preserve"> a </w:t>
      </w:r>
      <w:r w:rsidRPr="00326E55">
        <w:rPr>
          <w:noProof/>
          <w:spacing w:val="-6"/>
          <w:lang w:val="sk-SK"/>
        </w:rPr>
        <w:t>intervencií</w:t>
      </w:r>
      <w:r w:rsidR="00326E55" w:rsidRPr="00326E55">
        <w:rPr>
          <w:noProof/>
          <w:spacing w:val="-6"/>
          <w:lang w:val="sk-SK"/>
        </w:rPr>
        <w:t xml:space="preserve"> v </w:t>
      </w:r>
      <w:r w:rsidRPr="00326E55">
        <w:rPr>
          <w:noProof/>
          <w:spacing w:val="-6"/>
          <w:lang w:val="sk-SK"/>
        </w:rPr>
        <w:t>oblasti infraštruktúry</w:t>
      </w:r>
      <w:r w:rsidR="00326E55" w:rsidRPr="00326E55">
        <w:rPr>
          <w:noProof/>
          <w:spacing w:val="-6"/>
          <w:lang w:val="sk-SK"/>
        </w:rPr>
        <w:t xml:space="preserve"> v </w:t>
      </w:r>
      <w:r w:rsidRPr="00326E55">
        <w:rPr>
          <w:noProof/>
          <w:spacing w:val="-6"/>
          <w:lang w:val="sk-SK"/>
        </w:rPr>
        <w:t>záu</w:t>
      </w:r>
      <w:r w:rsidRPr="00326E55">
        <w:rPr>
          <w:noProof/>
          <w:spacing w:val="-6"/>
          <w:lang w:val="sk-SK"/>
        </w:rPr>
        <w:t>jme udržateľnejšieho poľnohospodárskeho odvetvia odolnejšieho voči zmene klímy.</w:t>
      </w:r>
    </w:p>
    <w:p w14:paraId="67721AE1" w14:textId="3E2677F0" w:rsidR="00BF03AA" w:rsidRPr="00326E55" w:rsidRDefault="00FB452D">
      <w:pPr>
        <w:pStyle w:val="P68B1DB1-Normal5"/>
        <w:rPr>
          <w:bCs/>
          <w:noProof/>
          <w:spacing w:val="-6"/>
          <w:lang w:val="sk-SK"/>
        </w:rPr>
      </w:pPr>
      <w:r w:rsidRPr="00326E55">
        <w:rPr>
          <w:noProof/>
          <w:spacing w:val="-6"/>
          <w:lang w:val="sk-SK"/>
        </w:rPr>
        <w:t>Investícia 4.4. Kanalizácia</w:t>
      </w:r>
      <w:r w:rsidR="00326E55" w:rsidRPr="00326E55">
        <w:rPr>
          <w:noProof/>
          <w:spacing w:val="-6"/>
          <w:lang w:val="sk-SK"/>
        </w:rPr>
        <w:t xml:space="preserve"> a </w:t>
      </w:r>
      <w:r w:rsidRPr="00326E55">
        <w:rPr>
          <w:noProof/>
          <w:spacing w:val="-6"/>
          <w:lang w:val="sk-SK"/>
        </w:rPr>
        <w:t>čistenie</w:t>
      </w:r>
    </w:p>
    <w:p w14:paraId="1F7E0A53" w14:textId="1D985F24" w:rsidR="00BF03AA" w:rsidRPr="00326E55" w:rsidRDefault="00FB452D">
      <w:pPr>
        <w:pStyle w:val="P68B1DB1-Normal7"/>
        <w:tabs>
          <w:tab w:val="left" w:pos="720"/>
        </w:tabs>
        <w:spacing w:before="120" w:after="120"/>
        <w:jc w:val="both"/>
        <w:rPr>
          <w:noProof/>
          <w:spacing w:val="-6"/>
          <w:lang w:val="sk-SK"/>
        </w:rPr>
      </w:pPr>
      <w:r w:rsidRPr="00326E55">
        <w:rPr>
          <w:noProof/>
          <w:spacing w:val="-6"/>
          <w:lang w:val="sk-SK"/>
        </w:rPr>
        <w:t>Cieľom tohto opatrenia je znížiť nedostatky talianskych vodovodných systémov</w:t>
      </w:r>
      <w:r w:rsidR="00326E55" w:rsidRPr="00326E55">
        <w:rPr>
          <w:noProof/>
          <w:spacing w:val="-6"/>
          <w:lang w:val="sk-SK"/>
        </w:rPr>
        <w:t xml:space="preserve"> v </w:t>
      </w:r>
      <w:r w:rsidRPr="00326E55">
        <w:rPr>
          <w:noProof/>
          <w:spacing w:val="-6"/>
          <w:lang w:val="sk-SK"/>
        </w:rPr>
        <w:t>oblasti kanalizácie</w:t>
      </w:r>
      <w:r w:rsidR="00326E55" w:rsidRPr="00326E55">
        <w:rPr>
          <w:noProof/>
          <w:spacing w:val="-6"/>
          <w:lang w:val="sk-SK"/>
        </w:rPr>
        <w:t xml:space="preserve"> a </w:t>
      </w:r>
      <w:r w:rsidRPr="00326E55">
        <w:rPr>
          <w:noProof/>
          <w:spacing w:val="-6"/>
          <w:lang w:val="sk-SK"/>
        </w:rPr>
        <w:t>čistenia odpadových vôd, ako aj poče</w:t>
      </w:r>
      <w:r w:rsidRPr="00326E55">
        <w:rPr>
          <w:noProof/>
          <w:spacing w:val="-6"/>
          <w:lang w:val="sk-SK"/>
        </w:rPr>
        <w:t>t aglomerácií so slabými kanalizačnými</w:t>
      </w:r>
      <w:r w:rsidR="00326E55" w:rsidRPr="00326E55">
        <w:rPr>
          <w:noProof/>
          <w:spacing w:val="-6"/>
          <w:lang w:val="sk-SK"/>
        </w:rPr>
        <w:t xml:space="preserve"> a </w:t>
      </w:r>
      <w:r w:rsidRPr="00326E55">
        <w:rPr>
          <w:noProof/>
          <w:spacing w:val="-6"/>
          <w:lang w:val="sk-SK"/>
        </w:rPr>
        <w:t>čistiacimi systémami. Toto opatrenie pozostáva</w:t>
      </w:r>
      <w:r w:rsidR="00326E55" w:rsidRPr="00326E55">
        <w:rPr>
          <w:noProof/>
          <w:spacing w:val="-6"/>
          <w:lang w:val="sk-SK"/>
        </w:rPr>
        <w:t xml:space="preserve"> z </w:t>
      </w:r>
      <w:r w:rsidRPr="00326E55">
        <w:rPr>
          <w:noProof/>
          <w:spacing w:val="-6"/>
          <w:lang w:val="sk-SK"/>
        </w:rPr>
        <w:t>intervencií na zefektívnenie čistenia odpadových vôd vypúšťaných do morských</w:t>
      </w:r>
      <w:r w:rsidR="00326E55" w:rsidRPr="00326E55">
        <w:rPr>
          <w:noProof/>
          <w:spacing w:val="-6"/>
          <w:lang w:val="sk-SK"/>
        </w:rPr>
        <w:t xml:space="preserve"> a </w:t>
      </w:r>
      <w:r w:rsidRPr="00326E55">
        <w:rPr>
          <w:noProof/>
          <w:spacing w:val="-6"/>
          <w:lang w:val="sk-SK"/>
        </w:rPr>
        <w:t>vnútrozemských vôd.</w:t>
      </w:r>
    </w:p>
    <w:p w14:paraId="415ECACC" w14:textId="77777777" w:rsidR="00BF03AA" w:rsidRPr="00326E55" w:rsidRDefault="00FB452D">
      <w:pPr>
        <w:pStyle w:val="P68B1DB1-Normal5"/>
        <w:rPr>
          <w:bCs/>
          <w:noProof/>
          <w:spacing w:val="-6"/>
          <w:lang w:val="sk-SK"/>
        </w:rPr>
      </w:pPr>
      <w:r w:rsidRPr="00326E55">
        <w:rPr>
          <w:noProof/>
          <w:spacing w:val="-6"/>
          <w:lang w:val="sk-SK"/>
        </w:rPr>
        <w:t>Investícia 4.5. Grantová schéma na investície do vodohospodárskej i</w:t>
      </w:r>
      <w:r w:rsidRPr="00326E55">
        <w:rPr>
          <w:noProof/>
          <w:spacing w:val="-6"/>
          <w:lang w:val="sk-SK"/>
        </w:rPr>
        <w:t>nfraštruktúry</w:t>
      </w:r>
    </w:p>
    <w:p w14:paraId="6C96DA3C" w14:textId="3C638440" w:rsidR="00BF03AA" w:rsidRPr="00326E55" w:rsidRDefault="00FB452D">
      <w:pPr>
        <w:pStyle w:val="P68B1DB1-Normal7"/>
        <w:spacing w:line="240" w:lineRule="auto"/>
        <w:jc w:val="both"/>
        <w:rPr>
          <w:noProof/>
          <w:spacing w:val="-6"/>
          <w:lang w:val="sk-SK"/>
        </w:rPr>
      </w:pPr>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verejnej investície do grantovej schémy</w:t>
      </w:r>
      <w:r w:rsidR="00326E55" w:rsidRPr="00326E55">
        <w:rPr>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talianskom sektore vodného hospodárstva. Systém funguje tak, že poskytuje granty na nedostatočnú živ</w:t>
      </w:r>
      <w:r w:rsidRPr="00326E55">
        <w:rPr>
          <w:noProof/>
          <w:spacing w:val="-6"/>
          <w:lang w:val="sk-SK"/>
        </w:rPr>
        <w:t>otaschopnosť priamo súkromnému sektoru, ako aj subjektom verejného sektora zapojeným do podobných činností.</w:t>
      </w:r>
    </w:p>
    <w:p w14:paraId="38DD10A6" w14:textId="77777777" w:rsidR="00BF03AA" w:rsidRPr="00326E55" w:rsidRDefault="00FB452D">
      <w:pPr>
        <w:pStyle w:val="P68B1DB1-Normal7"/>
        <w:rPr>
          <w:noProof/>
          <w:spacing w:val="-6"/>
          <w:lang w:val="sk-SK"/>
        </w:rPr>
      </w:pPr>
      <w:r w:rsidRPr="00326E55">
        <w:rPr>
          <w:noProof/>
          <w:spacing w:val="-6"/>
          <w:lang w:val="sk-SK"/>
        </w:rPr>
        <w:br w:type="page"/>
      </w:r>
    </w:p>
    <w:p w14:paraId="723F1FBD" w14:textId="026A08B7" w:rsidR="00BF03AA" w:rsidRPr="00326E55" w:rsidRDefault="00FB452D">
      <w:pPr>
        <w:pStyle w:val="P68B1DB1-Normal7"/>
        <w:spacing w:line="240" w:lineRule="auto"/>
        <w:jc w:val="both"/>
        <w:rPr>
          <w:noProof/>
          <w:spacing w:val="-6"/>
          <w:lang w:val="sk-SK"/>
        </w:rPr>
      </w:pPr>
      <w:r w:rsidRPr="00326E55">
        <w:rPr>
          <w:noProof/>
          <w:spacing w:val="-6"/>
          <w:lang w:val="sk-SK"/>
        </w:rPr>
        <w:t>Schému spravuje spoločnosť Invitalia S.p.A. ako implementujúci partner. Systém zahŕňa tento rad výrobkov:</w:t>
      </w:r>
    </w:p>
    <w:p w14:paraId="7AB17DE2" w14:textId="239FCB88" w:rsidR="00BF03AA" w:rsidRPr="00326E55" w:rsidRDefault="00FB452D">
      <w:pPr>
        <w:pStyle w:val="P68B1DB1-ListParagraph37"/>
        <w:keepNext/>
        <w:numPr>
          <w:ilvl w:val="0"/>
          <w:numId w:val="73"/>
        </w:numPr>
        <w:spacing w:line="240" w:lineRule="auto"/>
        <w:jc w:val="both"/>
        <w:rPr>
          <w:noProof/>
          <w:spacing w:val="-6"/>
          <w:lang w:val="sk-SK"/>
        </w:rPr>
      </w:pPr>
      <w:r w:rsidRPr="00326E55">
        <w:rPr>
          <w:noProof/>
          <w:spacing w:val="-6"/>
          <w:lang w:val="sk-SK"/>
        </w:rPr>
        <w:t>Grant na medzeru</w:t>
      </w:r>
      <w:r w:rsidR="00326E55" w:rsidRPr="00326E55">
        <w:rPr>
          <w:noProof/>
          <w:spacing w:val="-6"/>
          <w:lang w:val="sk-SK"/>
        </w:rPr>
        <w:t xml:space="preserve"> v </w:t>
      </w:r>
      <w:r w:rsidRPr="00326E55">
        <w:rPr>
          <w:noProof/>
          <w:spacing w:val="-6"/>
          <w:lang w:val="sk-SK"/>
        </w:rPr>
        <w:t xml:space="preserve">životaschopnosti </w:t>
      </w:r>
      <w:r w:rsidRPr="00326E55">
        <w:rPr>
          <w:noProof/>
          <w:spacing w:val="-6"/>
          <w:lang w:val="sk-SK"/>
        </w:rPr>
        <w:t>určený na pokrytie medzery vo financovaní projektov infraštruktúry</w:t>
      </w:r>
      <w:r w:rsidR="00326E55" w:rsidRPr="00326E55">
        <w:rPr>
          <w:noProof/>
          <w:spacing w:val="-6"/>
          <w:lang w:val="sk-SK"/>
        </w:rPr>
        <w:t xml:space="preserve"> v </w:t>
      </w:r>
      <w:r w:rsidRPr="00326E55">
        <w:rPr>
          <w:noProof/>
          <w:spacing w:val="-6"/>
          <w:lang w:val="sk-SK"/>
        </w:rPr>
        <w:t>sektore vodného hospodárstva. Grant dotuje časť celkovej investície</w:t>
      </w:r>
      <w:r w:rsidR="00326E55" w:rsidRPr="00326E55">
        <w:rPr>
          <w:noProof/>
          <w:spacing w:val="-6"/>
          <w:lang w:val="sk-SK"/>
        </w:rPr>
        <w:t xml:space="preserve"> s </w:t>
      </w:r>
      <w:r w:rsidRPr="00326E55">
        <w:rPr>
          <w:noProof/>
          <w:spacing w:val="-6"/>
          <w:lang w:val="sk-SK"/>
        </w:rPr>
        <w:t>cieľom zabezpečiť bankovateľnosť projektu. Návrh štruktúry grantov stimuluje racionalizáciu</w:t>
      </w:r>
      <w:r w:rsidR="00326E55" w:rsidRPr="00326E55">
        <w:rPr>
          <w:noProof/>
          <w:spacing w:val="-6"/>
          <w:lang w:val="sk-SK"/>
        </w:rPr>
        <w:t xml:space="preserve"> a </w:t>
      </w:r>
      <w:r w:rsidRPr="00326E55">
        <w:rPr>
          <w:noProof/>
          <w:spacing w:val="-6"/>
          <w:lang w:val="sk-SK"/>
        </w:rPr>
        <w:t xml:space="preserve">agregáciu </w:t>
      </w:r>
      <w:r w:rsidRPr="00326E55">
        <w:rPr>
          <w:noProof/>
          <w:spacing w:val="-6"/>
          <w:lang w:val="sk-SK"/>
        </w:rPr>
        <w:t>poskytovateľov vodohospodárskych služieb zavedením mechanizmu odmeňovania.</w:t>
      </w:r>
    </w:p>
    <w:p w14:paraId="06373A6C" w14:textId="4968A9C5" w:rsidR="00BF03AA" w:rsidRPr="00326E55" w:rsidRDefault="00FB452D">
      <w:pPr>
        <w:pStyle w:val="P68B1DB1-Normal7"/>
        <w:spacing w:line="240" w:lineRule="auto"/>
        <w:jc w:val="both"/>
        <w:rPr>
          <w:noProof/>
          <w:spacing w:val="-6"/>
          <w:lang w:val="sk-SK"/>
        </w:rPr>
      </w:pPr>
      <w:r w:rsidRPr="00326E55">
        <w:rPr>
          <w:noProof/>
          <w:spacing w:val="-6"/>
          <w:lang w:val="sk-SK"/>
        </w:rPr>
        <w:t>S cieľom implementovať investíciu do systému Taliansko</w:t>
      </w:r>
      <w:r w:rsidR="00326E55" w:rsidRPr="00326E55">
        <w:rPr>
          <w:noProof/>
          <w:spacing w:val="-6"/>
          <w:lang w:val="sk-SK"/>
        </w:rPr>
        <w:t xml:space="preserve"> a </w:t>
      </w:r>
      <w:r w:rsidRPr="00326E55">
        <w:rPr>
          <w:noProof/>
          <w:spacing w:val="-6"/>
          <w:lang w:val="sk-SK"/>
        </w:rPr>
        <w:t>spoločnosť Invitalia S.p.A. podpíšu vykonávaciu dohodu, ktorá bude obsahovať tento obsah:</w:t>
      </w:r>
    </w:p>
    <w:p w14:paraId="0FC8E354" w14:textId="4047F594" w:rsidR="00BF03AA" w:rsidRPr="00326E55" w:rsidRDefault="00FB452D">
      <w:pPr>
        <w:pStyle w:val="P68B1DB1-LegalNumPar79"/>
        <w:numPr>
          <w:ilvl w:val="0"/>
          <w:numId w:val="0"/>
        </w:numPr>
        <w:spacing w:line="259" w:lineRule="auto"/>
        <w:jc w:val="both"/>
        <w:rPr>
          <w:rFonts w:eastAsia="Times New Roman"/>
          <w:noProof/>
          <w:spacing w:val="-6"/>
          <w:lang w:val="sk-SK"/>
        </w:rPr>
      </w:pPr>
      <w:r w:rsidRPr="00326E55">
        <w:rPr>
          <w:noProof/>
          <w:spacing w:val="-6"/>
          <w:lang w:val="sk-SK"/>
        </w:rPr>
        <w:t>1. Opis rozhodovacieho procesu</w:t>
      </w:r>
      <w:r w:rsidR="00326E55" w:rsidRPr="00326E55">
        <w:rPr>
          <w:noProof/>
          <w:spacing w:val="-6"/>
          <w:lang w:val="sk-SK"/>
        </w:rPr>
        <w:t xml:space="preserve"> v </w:t>
      </w:r>
      <w:r w:rsidRPr="00326E55">
        <w:rPr>
          <w:noProof/>
          <w:spacing w:val="-6"/>
          <w:lang w:val="sk-SK"/>
        </w:rPr>
        <w:t>r</w:t>
      </w:r>
      <w:r w:rsidRPr="00326E55">
        <w:rPr>
          <w:noProof/>
          <w:spacing w:val="-6"/>
          <w:lang w:val="sk-SK"/>
        </w:rPr>
        <w:t>ámci schémy: Konečné rozhodnutie</w:t>
      </w:r>
      <w:r w:rsidR="00326E55" w:rsidRPr="00326E55">
        <w:rPr>
          <w:noProof/>
          <w:spacing w:val="-6"/>
          <w:lang w:val="sk-SK"/>
        </w:rPr>
        <w:t xml:space="preserve"> o </w:t>
      </w:r>
      <w:r w:rsidRPr="00326E55">
        <w:rPr>
          <w:noProof/>
          <w:spacing w:val="-6"/>
          <w:lang w:val="sk-SK"/>
        </w:rPr>
        <w:t>poskytnutí pomoci</w:t>
      </w:r>
      <w:r w:rsidR="00326E55" w:rsidRPr="00326E55">
        <w:rPr>
          <w:noProof/>
          <w:spacing w:val="-6"/>
          <w:lang w:val="sk-SK"/>
        </w:rPr>
        <w:t xml:space="preserve"> v </w:t>
      </w:r>
      <w:r w:rsidRPr="00326E55">
        <w:rPr>
          <w:noProof/>
          <w:spacing w:val="-6"/>
          <w:lang w:val="sk-SK"/>
        </w:rPr>
        <w:t>rámci schémy prijíma 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 ktorí sú nezávislí od vlády.</w:t>
      </w:r>
    </w:p>
    <w:p w14:paraId="28C5D9CB" w14:textId="1069B619" w:rsidR="00BF03AA" w:rsidRPr="00326E55" w:rsidRDefault="00FB452D">
      <w:pPr>
        <w:pStyle w:val="P68B1DB1-LegalNumPar79"/>
        <w:numPr>
          <w:ilvl w:val="0"/>
          <w:numId w:val="0"/>
        </w:numPr>
        <w:spacing w:line="259" w:lineRule="auto"/>
        <w:ind w:left="476" w:hanging="476"/>
        <w:jc w:val="both"/>
        <w:rPr>
          <w:noProof/>
          <w:spacing w:val="-6"/>
          <w:lang w:val="sk-SK"/>
        </w:rPr>
      </w:pPr>
      <w:r w:rsidRPr="00326E55">
        <w:rPr>
          <w:noProof/>
          <w:spacing w:val="-6"/>
          <w:lang w:val="sk-SK"/>
        </w:rPr>
        <w:t>2. Kľúčové požiadavky súvisiacej grantovej politi</w:t>
      </w:r>
      <w:r w:rsidRPr="00326E55">
        <w:rPr>
          <w:noProof/>
          <w:spacing w:val="-6"/>
          <w:lang w:val="sk-SK"/>
        </w:rPr>
        <w:t>ky,</w:t>
      </w:r>
      <w:r w:rsidRPr="00326E55">
        <w:rPr>
          <w:b/>
          <w:noProof/>
          <w:spacing w:val="-6"/>
          <w:lang w:val="sk-SK"/>
        </w:rPr>
        <w:t xml:space="preserve"> </w:t>
      </w:r>
      <w:r w:rsidRPr="00326E55">
        <w:rPr>
          <w:noProof/>
          <w:spacing w:val="-6"/>
          <w:lang w:val="sk-SK"/>
        </w:rPr>
        <w:t>ktoré zahŕňajú:</w:t>
      </w:r>
    </w:p>
    <w:p w14:paraId="49411723" w14:textId="0B7C08AD" w:rsidR="00BF03AA" w:rsidRPr="00326E55" w:rsidRDefault="00FB452D">
      <w:pPr>
        <w:pStyle w:val="P68B1DB1-LegalNumPar280"/>
        <w:jc w:val="both"/>
        <w:rPr>
          <w:noProof/>
          <w:spacing w:val="-6"/>
          <w:lang w:val="sk-SK"/>
        </w:rPr>
      </w:pPr>
      <w:r w:rsidRPr="00326E55">
        <w:rPr>
          <w:noProof/>
          <w:spacing w:val="-6"/>
          <w:lang w:val="sk-SK"/>
        </w:rPr>
        <w:t>Opis poskytnutých grantov</w:t>
      </w:r>
      <w:r w:rsidR="00326E55" w:rsidRPr="00326E55">
        <w:rPr>
          <w:noProof/>
          <w:spacing w:val="-6"/>
          <w:lang w:val="sk-SK"/>
        </w:rPr>
        <w:t xml:space="preserve"> a </w:t>
      </w:r>
      <w:r w:rsidRPr="00326E55">
        <w:rPr>
          <w:noProof/>
          <w:spacing w:val="-6"/>
          <w:lang w:val="sk-SK"/>
        </w:rPr>
        <w:t>oprávnených konečných príjemcov. Konečnými príjemcami sú</w:t>
      </w:r>
      <w:r w:rsidR="00326E55" w:rsidRPr="00326E55">
        <w:rPr>
          <w:noProof/>
          <w:spacing w:val="-6"/>
          <w:lang w:val="sk-SK"/>
        </w:rPr>
        <w:t xml:space="preserve"> v </w:t>
      </w:r>
      <w:r w:rsidRPr="00326E55">
        <w:rPr>
          <w:noProof/>
          <w:spacing w:val="-6"/>
          <w:lang w:val="sk-SK"/>
        </w:rPr>
        <w:t>zásade spoločnosti so súkromnou účasťou.</w:t>
      </w:r>
      <w:r w:rsidR="00326E55" w:rsidRPr="00326E55">
        <w:rPr>
          <w:noProof/>
          <w:spacing w:val="-6"/>
          <w:lang w:val="sk-SK"/>
        </w:rPr>
        <w:t xml:space="preserve"> V </w:t>
      </w:r>
      <w:r w:rsidRPr="00326E55">
        <w:rPr>
          <w:noProof/>
          <w:spacing w:val="-6"/>
          <w:lang w:val="sk-SK"/>
        </w:rPr>
        <w:t>súlade so zásadou nediskriminácie by sa ako koneční príjemcovia mohli akceptovať aj verejné subjekty, ktor</w:t>
      </w:r>
      <w:r w:rsidRPr="00326E55">
        <w:rPr>
          <w:noProof/>
          <w:spacing w:val="-6"/>
          <w:lang w:val="sk-SK"/>
        </w:rPr>
        <w:t>é vykonávajú podobné činnosti ako súkromné subjekty využívajúce túto schému.</w:t>
      </w:r>
    </w:p>
    <w:p w14:paraId="6121841C" w14:textId="77777777" w:rsidR="00BF03AA" w:rsidRPr="00326E55" w:rsidRDefault="00FB452D">
      <w:pPr>
        <w:pStyle w:val="P68B1DB1-LegalNumPar280"/>
        <w:numPr>
          <w:ilvl w:val="1"/>
          <w:numId w:val="85"/>
        </w:numPr>
        <w:spacing w:line="259" w:lineRule="auto"/>
        <w:jc w:val="both"/>
        <w:rPr>
          <w:noProof/>
          <w:spacing w:val="-6"/>
          <w:lang w:val="sk-SK"/>
        </w:rPr>
      </w:pPr>
      <w:r w:rsidRPr="00326E55">
        <w:rPr>
          <w:noProof/>
          <w:spacing w:val="-6"/>
          <w:lang w:val="sk-SK"/>
        </w:rPr>
        <w:t>Požiadavka, aby všetky podporované investície boli ekonomicky životaschopné</w:t>
      </w:r>
      <w:r w:rsidRPr="00326E55">
        <w:rPr>
          <w:b/>
          <w:noProof/>
          <w:spacing w:val="-6"/>
          <w:lang w:val="sk-SK"/>
        </w:rPr>
        <w:t>.</w:t>
      </w:r>
    </w:p>
    <w:p w14:paraId="5DD623AD" w14:textId="676AFA97" w:rsidR="00BF03AA" w:rsidRPr="00326E55" w:rsidRDefault="00FB452D">
      <w:pPr>
        <w:pStyle w:val="P68B1DB1-LegalNumPar280"/>
        <w:spacing w:line="259" w:lineRule="auto"/>
        <w:jc w:val="both"/>
        <w:rPr>
          <w:noProof/>
          <w:spacing w:val="-6"/>
          <w:lang w:val="sk-SK"/>
        </w:rPr>
      </w:pPr>
      <w:r w:rsidRPr="00326E55">
        <w:rPr>
          <w:noProof/>
          <w:spacing w:val="-6"/>
          <w:lang w:val="sk-SK"/>
        </w:rPr>
        <w:t>Požiadavka dodržiavať zásadu „výrazne nenarušiť“, ako sa stanovuje</w:t>
      </w:r>
      <w:r w:rsidR="00326E55" w:rsidRPr="00326E55">
        <w:rPr>
          <w:noProof/>
          <w:spacing w:val="-6"/>
          <w:lang w:val="sk-SK"/>
        </w:rPr>
        <w:t xml:space="preserve"> v </w:t>
      </w:r>
      <w:r w:rsidRPr="00326E55">
        <w:rPr>
          <w:noProof/>
          <w:spacing w:val="-6"/>
          <w:lang w:val="sk-SK"/>
        </w:rPr>
        <w:t>technickom usmernení</w:t>
      </w:r>
      <w:r w:rsidR="00326E55" w:rsidRPr="00326E55">
        <w:rPr>
          <w:noProof/>
          <w:spacing w:val="-6"/>
          <w:lang w:val="sk-SK"/>
        </w:rPr>
        <w:t xml:space="preserve"> k </w:t>
      </w:r>
      <w:r w:rsidRPr="00326E55">
        <w:rPr>
          <w:noProof/>
          <w:spacing w:val="-6"/>
          <w:lang w:val="sk-SK"/>
        </w:rPr>
        <w:t>zásade „vý</w:t>
      </w:r>
      <w:r w:rsidRPr="00326E55">
        <w:rPr>
          <w:noProof/>
          <w:spacing w:val="-6"/>
          <w:lang w:val="sk-SK"/>
        </w:rPr>
        <w:t>razne nenarušiť“ (2021/C58/01). Grantová politika vylučuje</w:t>
      </w:r>
      <w:r w:rsidR="00326E55" w:rsidRPr="00326E55">
        <w:rPr>
          <w:noProof/>
          <w:spacing w:val="-6"/>
          <w:lang w:val="sk-SK"/>
        </w:rPr>
        <w:t xml:space="preserve"> z </w:t>
      </w:r>
      <w:r w:rsidRPr="00326E55">
        <w:rPr>
          <w:noProof/>
          <w:spacing w:val="-6"/>
          <w:lang w:val="sk-SK"/>
        </w:rPr>
        <w:t>oprávnenosti najmä tento zoznam činností</w:t>
      </w:r>
      <w:r w:rsidR="00326E55" w:rsidRPr="00326E55">
        <w:rPr>
          <w:noProof/>
          <w:spacing w:val="-6"/>
          <w:lang w:val="sk-SK"/>
        </w:rPr>
        <w:t xml:space="preserve"> a </w:t>
      </w:r>
      <w:r w:rsidRPr="00326E55">
        <w:rPr>
          <w:noProof/>
          <w:spacing w:val="-6"/>
          <w:lang w:val="sk-SK"/>
        </w:rPr>
        <w:t>aktív: činnosti</w:t>
      </w:r>
      <w:r w:rsidR="00326E55" w:rsidRPr="00326E55">
        <w:rPr>
          <w:noProof/>
          <w:spacing w:val="-6"/>
          <w:lang w:val="sk-SK"/>
        </w:rPr>
        <w:t xml:space="preserve"> a </w:t>
      </w:r>
      <w:r w:rsidRPr="00326E55">
        <w:rPr>
          <w:noProof/>
          <w:spacing w:val="-6"/>
          <w:lang w:val="sk-SK"/>
        </w:rPr>
        <w:t>aktíva súvisiace</w:t>
      </w:r>
      <w:r w:rsidR="00326E55" w:rsidRPr="00326E55">
        <w:rPr>
          <w:noProof/>
          <w:spacing w:val="-6"/>
          <w:lang w:val="sk-SK"/>
        </w:rPr>
        <w:t xml:space="preserve"> s </w:t>
      </w:r>
      <w:r w:rsidRPr="00326E55">
        <w:rPr>
          <w:noProof/>
          <w:spacing w:val="-6"/>
          <w:lang w:val="sk-SK"/>
        </w:rPr>
        <w:t>fosílnymi palivami vrátane následného použitia</w:t>
      </w:r>
      <w:r w:rsidRPr="00326E55">
        <w:rPr>
          <w:noProof/>
          <w:spacing w:val="-6"/>
          <w:lang w:val="sk-SK"/>
        </w:rPr>
        <w:footnoteReference w:id="71"/>
      </w:r>
      <w:r w:rsidRPr="00326E55">
        <w:rPr>
          <w:noProof/>
          <w:spacing w:val="-6"/>
          <w:lang w:val="sk-SK"/>
        </w:rPr>
        <w:t>. Súvisiaca grantová politika okrem toho zahŕňa požiadavku vylúčiť</w:t>
      </w:r>
      <w:r w:rsidR="00326E55" w:rsidRPr="00326E55">
        <w:rPr>
          <w:noProof/>
          <w:spacing w:val="-6"/>
          <w:lang w:val="sk-SK"/>
        </w:rPr>
        <w:t xml:space="preserve"> z </w:t>
      </w:r>
      <w:r w:rsidRPr="00326E55">
        <w:rPr>
          <w:noProof/>
          <w:spacing w:val="-6"/>
          <w:lang w:val="sk-SK"/>
        </w:rPr>
        <w:t>financovania: investície zahŕňajúce výstavbu nových priehrad; investície</w:t>
      </w:r>
      <w:r w:rsidR="00326E55" w:rsidRPr="00326E55">
        <w:rPr>
          <w:noProof/>
          <w:spacing w:val="-6"/>
          <w:lang w:val="sk-SK"/>
        </w:rPr>
        <w:t xml:space="preserve"> v </w:t>
      </w:r>
      <w:r w:rsidRPr="00326E55">
        <w:rPr>
          <w:noProof/>
          <w:spacing w:val="-6"/>
          <w:lang w:val="sk-SK"/>
        </w:rPr>
        <w:t>rozsahu pôsobnosti článku 4 ods. 7 smernice Európskeho parlamentu</w:t>
      </w:r>
      <w:r w:rsidR="00326E55" w:rsidRPr="00326E55">
        <w:rPr>
          <w:noProof/>
          <w:spacing w:val="-6"/>
          <w:lang w:val="sk-SK"/>
        </w:rPr>
        <w:t xml:space="preserve"> a </w:t>
      </w:r>
      <w:r w:rsidRPr="00326E55">
        <w:rPr>
          <w:noProof/>
          <w:spacing w:val="-6"/>
          <w:lang w:val="sk-SK"/>
        </w:rPr>
        <w:t>Rady 2000/60</w:t>
      </w:r>
      <w:r w:rsidR="00326E55" w:rsidRPr="00326E55">
        <w:rPr>
          <w:noProof/>
          <w:spacing w:val="-6"/>
          <w:lang w:val="sk-SK"/>
        </w:rPr>
        <w:t xml:space="preserve"> z </w:t>
      </w:r>
      <w:r w:rsidRPr="00326E55">
        <w:rPr>
          <w:noProof/>
          <w:spacing w:val="-6"/>
          <w:lang w:val="sk-SK"/>
        </w:rPr>
        <w:t>23</w:t>
      </w:r>
      <w:r w:rsidR="00326E55" w:rsidRPr="00326E55">
        <w:rPr>
          <w:noProof/>
          <w:spacing w:val="-6"/>
          <w:lang w:val="sk-SK"/>
        </w:rPr>
        <w:t>. októbra</w:t>
      </w:r>
      <w:r w:rsidRPr="00326E55">
        <w:rPr>
          <w:noProof/>
          <w:spacing w:val="-6"/>
          <w:lang w:val="sk-SK"/>
        </w:rPr>
        <w:t xml:space="preserve"> 2000, ktorou sa stanovuje rámec pôsobnosti pre činnosť Spoločenstva</w:t>
      </w:r>
      <w:r w:rsidR="00326E55" w:rsidRPr="00326E55">
        <w:rPr>
          <w:noProof/>
          <w:spacing w:val="-6"/>
          <w:lang w:val="sk-SK"/>
        </w:rPr>
        <w:t xml:space="preserve"> v </w:t>
      </w:r>
      <w:r w:rsidRPr="00326E55">
        <w:rPr>
          <w:noProof/>
          <w:spacing w:val="-6"/>
          <w:lang w:val="sk-SK"/>
        </w:rPr>
        <w:t>oblasti vodného</w:t>
      </w:r>
      <w:r w:rsidRPr="00326E55">
        <w:rPr>
          <w:noProof/>
          <w:spacing w:val="-6"/>
          <w:lang w:val="sk-SK"/>
        </w:rPr>
        <w:t xml:space="preserve"> hospodárstva.</w:t>
      </w:r>
    </w:p>
    <w:p w14:paraId="7B238733" w14:textId="47D32A65" w:rsidR="00BF03AA" w:rsidRPr="00326E55" w:rsidRDefault="00FB452D">
      <w:pPr>
        <w:pStyle w:val="P68B1DB1-LegalNumPar280"/>
        <w:numPr>
          <w:ilvl w:val="1"/>
          <w:numId w:val="85"/>
        </w:numPr>
        <w:spacing w:line="259" w:lineRule="auto"/>
        <w:jc w:val="both"/>
        <w:rPr>
          <w:bCs/>
          <w:noProof/>
          <w:spacing w:val="-6"/>
          <w:lang w:val="sk-SK"/>
        </w:rPr>
      </w:pPr>
      <w:r w:rsidRPr="00326E55">
        <w:rPr>
          <w:noProof/>
          <w:spacing w:val="-6"/>
          <w:lang w:val="sk-SK"/>
        </w:rPr>
        <w:t>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1D06AA30" w14:textId="37007A08" w:rsidR="00BF03AA" w:rsidRPr="00326E55" w:rsidRDefault="00FB452D">
      <w:pPr>
        <w:pStyle w:val="P68B1DB1-LegalNumPar79"/>
        <w:numPr>
          <w:ilvl w:val="0"/>
          <w:numId w:val="0"/>
        </w:numPr>
        <w:spacing w:line="259" w:lineRule="auto"/>
        <w:ind w:left="476" w:hanging="476"/>
        <w:jc w:val="both"/>
        <w:rPr>
          <w:noProof/>
          <w:spacing w:val="-6"/>
          <w:lang w:val="sk-SK"/>
        </w:rPr>
      </w:pPr>
      <w:r w:rsidRPr="00326E55">
        <w:rPr>
          <w:noProof/>
          <w:spacing w:val="-6"/>
          <w:lang w:val="sk-SK"/>
        </w:rPr>
        <w:t>3. Suma,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 xml:space="preserve">požiadavka použiť </w:t>
      </w:r>
      <w:r w:rsidRPr="00326E55">
        <w:rPr>
          <w:noProof/>
          <w:spacing w:val="-6"/>
          <w:lang w:val="sk-SK"/>
        </w:rPr>
        <w:t>akékoľvek nevyužité výnosy zo systému,</w:t>
      </w:r>
      <w:r w:rsidR="00326E55" w:rsidRPr="00326E55">
        <w:rPr>
          <w:noProof/>
          <w:spacing w:val="-6"/>
          <w:lang w:val="sk-SK"/>
        </w:rPr>
        <w:t xml:space="preserve"> a </w:t>
      </w:r>
      <w:r w:rsidRPr="00326E55">
        <w:rPr>
          <w:noProof/>
          <w:spacing w:val="-6"/>
          <w:lang w:val="sk-SK"/>
        </w:rPr>
        <w:t>to aj po roku 2026, na rovnaké politické účely.</w:t>
      </w:r>
    </w:p>
    <w:p w14:paraId="2B6DF3F5" w14:textId="77777777" w:rsidR="00BF03AA" w:rsidRPr="00326E55" w:rsidRDefault="00FB452D">
      <w:pPr>
        <w:pStyle w:val="P68B1DB1-Normal7"/>
        <w:rPr>
          <w:noProof/>
          <w:spacing w:val="-6"/>
          <w:kern w:val="0"/>
          <w:lang w:val="sk-SK"/>
        </w:rPr>
      </w:pPr>
      <w:r w:rsidRPr="00326E55">
        <w:rPr>
          <w:noProof/>
          <w:spacing w:val="-6"/>
          <w:lang w:val="sk-SK"/>
        </w:rPr>
        <w:br w:type="page"/>
      </w:r>
    </w:p>
    <w:p w14:paraId="23BBB441" w14:textId="1389420E" w:rsidR="00BF03AA" w:rsidRPr="00326E55" w:rsidRDefault="00FB452D">
      <w:pPr>
        <w:pStyle w:val="P68B1DB1-LegalNumPar79"/>
        <w:numPr>
          <w:ilvl w:val="0"/>
          <w:numId w:val="0"/>
        </w:numPr>
        <w:spacing w:line="259" w:lineRule="auto"/>
        <w:ind w:left="476" w:hanging="476"/>
        <w:jc w:val="both"/>
        <w:rPr>
          <w:noProof/>
          <w:spacing w:val="-6"/>
          <w:lang w:val="sk-SK"/>
        </w:rPr>
      </w:pPr>
      <w:r w:rsidRPr="00326E55">
        <w:rPr>
          <w:noProof/>
          <w:spacing w:val="-6"/>
          <w:lang w:val="sk-SK"/>
        </w:rPr>
        <w:t>4. Požiadavky na monitorovanie, audit</w:t>
      </w:r>
      <w:r w:rsidR="00326E55" w:rsidRPr="00326E55">
        <w:rPr>
          <w:noProof/>
          <w:spacing w:val="-6"/>
          <w:lang w:val="sk-SK"/>
        </w:rPr>
        <w:t xml:space="preserve"> a </w:t>
      </w:r>
      <w:r w:rsidRPr="00326E55">
        <w:rPr>
          <w:noProof/>
          <w:spacing w:val="-6"/>
          <w:lang w:val="sk-SK"/>
        </w:rPr>
        <w:t>kontrolu vrátane:</w:t>
      </w:r>
    </w:p>
    <w:p w14:paraId="72FED9A8" w14:textId="04D41A96" w:rsidR="00BF03AA" w:rsidRPr="00326E55" w:rsidRDefault="00FB452D">
      <w:pPr>
        <w:pStyle w:val="P68B1DB1-Normal7"/>
        <w:numPr>
          <w:ilvl w:val="0"/>
          <w:numId w:val="175"/>
        </w:numPr>
        <w:spacing w:line="240" w:lineRule="auto"/>
        <w:jc w:val="both"/>
        <w:rPr>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 </w:t>
      </w:r>
      <w:r w:rsidRPr="00326E55">
        <w:rPr>
          <w:noProof/>
          <w:spacing w:val="-6"/>
          <w:lang w:val="sk-SK"/>
        </w:rPr>
        <w:t>mobilizovaných grantoch.</w:t>
      </w:r>
    </w:p>
    <w:p w14:paraId="29D21C96" w14:textId="7DC3B8C7" w:rsidR="00326E55" w:rsidRPr="00326E55" w:rsidRDefault="00FB452D">
      <w:pPr>
        <w:pStyle w:val="P68B1DB1-Normal7"/>
        <w:numPr>
          <w:ilvl w:val="0"/>
          <w:numId w:val="175"/>
        </w:numPr>
        <w:jc w:val="both"/>
        <w:rPr>
          <w:noProof/>
          <w:spacing w:val="-6"/>
          <w:lang w:val="sk-SK"/>
        </w:rPr>
      </w:pPr>
      <w:r w:rsidRPr="00326E55">
        <w:rPr>
          <w:noProof/>
          <w:spacing w:val="-6"/>
          <w:lang w:val="sk-SK"/>
        </w:rPr>
        <w:t>Opis p</w:t>
      </w:r>
      <w:r w:rsidRPr="00326E55">
        <w:rPr>
          <w:noProof/>
          <w:spacing w:val="-6"/>
          <w:lang w:val="sk-SK"/>
        </w:rPr>
        <w:t>ostupov implementujúceho partnera, ktorými sa zabezpečí predchádzanie podvodom, korupcii</w:t>
      </w:r>
      <w:r w:rsidR="00326E55" w:rsidRPr="00326E55">
        <w:rPr>
          <w:noProof/>
          <w:spacing w:val="-6"/>
          <w:lang w:val="sk-SK"/>
        </w:rPr>
        <w:t xml:space="preserve"> a </w:t>
      </w:r>
      <w:r w:rsidRPr="00326E55">
        <w:rPr>
          <w:noProof/>
          <w:spacing w:val="-6"/>
          <w:lang w:val="sk-SK"/>
        </w:rPr>
        <w:t>konfliktom záujmov, ich odhaľovanie</w:t>
      </w:r>
      <w:r w:rsidR="00326E55" w:rsidRPr="00326E55">
        <w:rPr>
          <w:noProof/>
          <w:spacing w:val="-6"/>
          <w:lang w:val="sk-SK"/>
        </w:rPr>
        <w:t xml:space="preserve"> a </w:t>
      </w:r>
      <w:r w:rsidRPr="00326E55">
        <w:rPr>
          <w:noProof/>
          <w:spacing w:val="-6"/>
          <w:lang w:val="sk-SK"/>
        </w:rPr>
        <w:t>náprava</w:t>
      </w:r>
      <w:r w:rsidR="00326E55" w:rsidRPr="00326E55">
        <w:rPr>
          <w:noProof/>
          <w:spacing w:val="-6"/>
          <w:lang w:val="sk-SK"/>
        </w:rPr>
        <w:t>.</w:t>
      </w:r>
    </w:p>
    <w:p w14:paraId="792C1256" w14:textId="79C53122" w:rsidR="00BF03AA" w:rsidRPr="00326E55" w:rsidRDefault="00FB452D">
      <w:pPr>
        <w:pStyle w:val="P68B1DB1-Normal7"/>
        <w:numPr>
          <w:ilvl w:val="0"/>
          <w:numId w:val="175"/>
        </w:numPr>
        <w:jc w:val="both"/>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udelením g</w:t>
      </w:r>
      <w:r w:rsidRPr="00326E55">
        <w:rPr>
          <w:noProof/>
          <w:spacing w:val="-6"/>
          <w:lang w:val="sk-SK"/>
        </w:rPr>
        <w:t>rantu na operáciu.</w:t>
      </w:r>
    </w:p>
    <w:p w14:paraId="0AFD31BB" w14:textId="1149D6AB" w:rsidR="00326E55" w:rsidRPr="00326E55" w:rsidRDefault="00FB452D">
      <w:pPr>
        <w:pStyle w:val="P68B1DB1-Normal7"/>
        <w:numPr>
          <w:ilvl w:val="0"/>
          <w:numId w:val="175"/>
        </w:numPr>
        <w:spacing w:line="240" w:lineRule="auto"/>
        <w:jc w:val="both"/>
        <w:rPr>
          <w:noProof/>
          <w:spacing w:val="-6"/>
          <w:lang w:val="sk-SK"/>
        </w:rPr>
      </w:pPr>
      <w:r w:rsidRPr="00326E55">
        <w:rPr>
          <w:noProof/>
          <w:spacing w:val="-6"/>
          <w:lang w:val="sk-SK"/>
        </w:rPr>
        <w:t>Povinnosť vykonávať ex post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spoločnosti Invitalia S.p.A. Tieto audity overujú i) účinnosť systémov kontroly vrátane odhaľovania podvodov, korupcie</w:t>
      </w:r>
      <w:r w:rsidR="00326E55" w:rsidRPr="00326E55">
        <w:rPr>
          <w:noProof/>
          <w:spacing w:val="-6"/>
          <w:lang w:val="sk-SK"/>
        </w:rPr>
        <w:t xml:space="preserve"> a </w:t>
      </w:r>
      <w:r w:rsidRPr="00326E55">
        <w:rPr>
          <w:noProof/>
          <w:spacing w:val="-6"/>
          <w:lang w:val="sk-SK"/>
        </w:rPr>
        <w:t>konfliktu záujmov; II) súlad so zásad</w:t>
      </w:r>
      <w:r w:rsidRPr="00326E55">
        <w:rPr>
          <w:noProof/>
          <w:spacing w:val="-6"/>
          <w:lang w:val="sk-SK"/>
        </w:rPr>
        <w:t>ou „výrazne nenarušiť“, pravidlami štátnej pomoci, požiadavkami na ciele</w:t>
      </w:r>
      <w:r w:rsidR="00326E55" w:rsidRPr="00326E55">
        <w:rPr>
          <w:noProof/>
          <w:spacing w:val="-6"/>
          <w:lang w:val="sk-SK"/>
        </w:rPr>
        <w:t xml:space="preserve"> v </w:t>
      </w:r>
      <w:r w:rsidRPr="00326E55">
        <w:rPr>
          <w:noProof/>
          <w:spacing w:val="-6"/>
          <w:lang w:val="sk-SK"/>
        </w:rPr>
        <w:t>oblasti klímy;</w:t>
      </w:r>
      <w:r w:rsidR="00326E55" w:rsidRPr="00326E55">
        <w:rPr>
          <w:noProof/>
          <w:spacing w:val="-6"/>
          <w:lang w:val="sk-SK"/>
        </w:rPr>
        <w:t xml:space="preserve"> a </w:t>
      </w:r>
      <w:r w:rsidRPr="00326E55">
        <w:rPr>
          <w:noProof/>
          <w:spacing w:val="-6"/>
          <w:lang w:val="sk-SK"/>
        </w:rPr>
        <w:t>iii) aby sa dodržala 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 Auditom sa takisto overí zá</w:t>
      </w:r>
      <w:r w:rsidRPr="00326E55">
        <w:rPr>
          <w:noProof/>
          <w:spacing w:val="-6"/>
          <w:lang w:val="sk-SK"/>
        </w:rPr>
        <w:t>konnosť transakcií</w:t>
      </w:r>
      <w:r w:rsidR="00326E55" w:rsidRPr="00326E55">
        <w:rPr>
          <w:noProof/>
          <w:spacing w:val="-6"/>
          <w:lang w:val="sk-SK"/>
        </w:rPr>
        <w:t xml:space="preserve"> a </w:t>
      </w:r>
      <w:r w:rsidRPr="00326E55">
        <w:rPr>
          <w:noProof/>
          <w:spacing w:val="-6"/>
          <w:lang w:val="sk-SK"/>
        </w:rPr>
        <w:t>dodržiavanie podmienok príslušnej vykonávacej dohody</w:t>
      </w:r>
      <w:r w:rsidR="00326E55" w:rsidRPr="00326E55">
        <w:rPr>
          <w:noProof/>
          <w:spacing w:val="-6"/>
          <w:lang w:val="sk-SK"/>
        </w:rPr>
        <w:t xml:space="preserve"> a </w:t>
      </w:r>
      <w:r w:rsidRPr="00326E55">
        <w:rPr>
          <w:noProof/>
          <w:spacing w:val="-6"/>
          <w:lang w:val="sk-SK"/>
        </w:rPr>
        <w:t>dohôd</w:t>
      </w:r>
      <w:r w:rsidR="00326E55" w:rsidRPr="00326E55">
        <w:rPr>
          <w:noProof/>
          <w:spacing w:val="-6"/>
          <w:lang w:val="sk-SK"/>
        </w:rPr>
        <w:t xml:space="preserve"> o </w:t>
      </w:r>
      <w:r w:rsidRPr="00326E55">
        <w:rPr>
          <w:noProof/>
          <w:spacing w:val="-6"/>
          <w:lang w:val="sk-SK"/>
        </w:rPr>
        <w:t>grante</w:t>
      </w:r>
      <w:r w:rsidR="00326E55" w:rsidRPr="00326E55">
        <w:rPr>
          <w:noProof/>
          <w:spacing w:val="-6"/>
          <w:lang w:val="sk-SK"/>
        </w:rPr>
        <w:t>.</w:t>
      </w:r>
    </w:p>
    <w:p w14:paraId="68162088" w14:textId="693D49D6" w:rsidR="00BF03AA" w:rsidRPr="00326E55" w:rsidRDefault="00FB452D">
      <w:pPr>
        <w:numPr>
          <w:ilvl w:val="0"/>
          <w:numId w:val="85"/>
        </w:numPr>
        <w:spacing w:line="240" w:lineRule="auto"/>
        <w:ind w:left="720" w:hanging="360"/>
        <w:jc w:val="both"/>
        <w:rPr>
          <w:rFonts w:ascii="Times New Roman" w:hAnsi="Times New Roman" w:cs="Times New Roman"/>
          <w:noProof/>
          <w:spacing w:val="-6"/>
          <w:lang w:val="sk-SK"/>
        </w:rPr>
        <w:sectPr w:rsidR="00BF03AA" w:rsidRPr="00326E55" w:rsidSect="005F11B9">
          <w:headerReference w:type="even" r:id="rId128"/>
          <w:headerReference w:type="default" r:id="rId129"/>
          <w:footerReference w:type="even" r:id="rId130"/>
          <w:footerReference w:type="default" r:id="rId131"/>
          <w:headerReference w:type="first" r:id="rId132"/>
          <w:footerReference w:type="first" r:id="rId133"/>
          <w:pgSz w:w="11907" w:h="16839"/>
          <w:pgMar w:top="1134" w:right="1134" w:bottom="1134" w:left="1134" w:header="567" w:footer="567" w:gutter="0"/>
          <w:cols w:space="720"/>
          <w:docGrid w:linePitch="360"/>
        </w:sectPr>
      </w:pPr>
      <w:r w:rsidRPr="00326E55">
        <w:rPr>
          <w:rFonts w:ascii="Times New Roman" w:hAnsi="Times New Roman" w:cs="Times New Roman"/>
          <w:noProof/>
          <w:spacing w:val="-6"/>
          <w:lang w:val="sk-SK"/>
        </w:rPr>
        <w:t>Požiadavky na investície</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oblasti klímy realizované implementujúcim partnerom: najmenej 400 000 000 EUR</w:t>
      </w:r>
      <w:r w:rsidRPr="00326E55">
        <w:rPr>
          <w:rFonts w:ascii="Times New Roman" w:hAnsi="Times New Roman" w:cs="Times New Roman"/>
          <w:noProof/>
          <w:spacing w:val="-6"/>
          <w:lang w:val="sk-SK"/>
        </w:rPr>
        <w:t xml:space="preserve"> investície</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Mechanizmu na podporu obnovy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odolnosti do systému prispeje</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cieľom</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oblasti zmeny klímy</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súlade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prílohou VI</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nariadeniu</w:t>
      </w:r>
      <w:r w:rsidR="00326E55" w:rsidRPr="00326E55">
        <w:rPr>
          <w:rFonts w:ascii="Times New Roman" w:hAnsi="Times New Roman" w:cs="Times New Roman"/>
          <w:noProof/>
          <w:spacing w:val="-6"/>
          <w:lang w:val="sk-SK"/>
        </w:rPr>
        <w:t xml:space="preserve"> o </w:t>
      </w:r>
      <w:r w:rsidRPr="00326E55">
        <w:rPr>
          <w:rFonts w:ascii="Times New Roman" w:hAnsi="Times New Roman" w:cs="Times New Roman"/>
          <w:noProof/>
          <w:spacing w:val="-6"/>
          <w:lang w:val="sk-SK"/>
        </w:rPr>
        <w:t>Mechanizme na podporu obnovy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odolnosti.</w:t>
      </w:r>
      <w:r w:rsidRPr="00326E55">
        <w:rPr>
          <w:rStyle w:val="FootnoteReference"/>
          <w:rFonts w:ascii="Times New Roman" w:hAnsi="Times New Roman" w:cs="Times New Roman"/>
          <w:noProof/>
          <w:spacing w:val="-6"/>
          <w:lang w:val="sk-SK"/>
        </w:rPr>
        <w:footnoteReference w:id="72"/>
      </w:r>
    </w:p>
    <w:p w14:paraId="33EAFC11" w14:textId="0811478A" w:rsidR="00BF03AA" w:rsidRPr="00326E55" w:rsidRDefault="00FB452D">
      <w:pPr>
        <w:pStyle w:val="Heading3"/>
        <w:rPr>
          <w:rStyle w:val="SubtleEmphasis"/>
          <w:rFonts w:ascii="Times New Roman" w:hAnsi="Times New Roman" w:cs="Times New Roman"/>
          <w:b/>
          <w:bCs/>
          <w:i w:val="0"/>
          <w:iCs w:val="0"/>
          <w:noProof/>
          <w:spacing w:val="-6"/>
          <w:sz w:val="24"/>
          <w:szCs w:val="24"/>
          <w:lang w:val="sk-SK"/>
        </w:rPr>
      </w:pPr>
      <w:r w:rsidRPr="00326E55">
        <w:rPr>
          <w:rStyle w:val="SubtleEmphasis"/>
          <w:rFonts w:ascii="Times New Roman" w:hAnsi="Times New Roman" w:cs="Times New Roman"/>
          <w:b/>
          <w:i w:val="0"/>
          <w:iCs w:val="0"/>
          <w:noProof/>
          <w:spacing w:val="-6"/>
          <w:sz w:val="24"/>
          <w:szCs w:val="24"/>
          <w:lang w:val="sk-SK"/>
        </w:rPr>
        <w:t xml:space="preserve">G.4. </w:t>
      </w:r>
      <w:r w:rsidRPr="00326E55">
        <w:rPr>
          <w:rFonts w:ascii="Times New Roman" w:hAnsi="Times New Roman" w:cs="Times New Roman"/>
          <w:b/>
          <w:i/>
          <w:noProof/>
          <w:spacing w:val="-6"/>
          <w:sz w:val="24"/>
          <w:szCs w:val="24"/>
          <w:lang w:val="sk-SK"/>
        </w:rPr>
        <w:t xml:space="preserve"> </w:t>
      </w:r>
      <w:r w:rsidRPr="00326E55">
        <w:rPr>
          <w:rStyle w:val="SubtleEmphasis"/>
          <w:rFonts w:ascii="Times New Roman" w:hAnsi="Times New Roman" w:cs="Times New Roman"/>
          <w:b/>
          <w:i w:val="0"/>
          <w:iCs w:val="0"/>
          <w:noProof/>
          <w:spacing w:val="-6"/>
          <w:sz w:val="24"/>
          <w:szCs w:val="24"/>
          <w:lang w:val="sk-SK"/>
        </w:rPr>
        <w:t>Míľniky, ciele, ukazovatele</w:t>
      </w:r>
      <w:r w:rsidR="00326E55" w:rsidRPr="00326E55">
        <w:rPr>
          <w:rStyle w:val="SubtleEmphasis"/>
          <w:rFonts w:ascii="Times New Roman" w:hAnsi="Times New Roman" w:cs="Times New Roman"/>
          <w:b/>
          <w:i w:val="0"/>
          <w:iCs w:val="0"/>
          <w:noProof/>
          <w:spacing w:val="-6"/>
          <w:sz w:val="24"/>
          <w:szCs w:val="24"/>
          <w:lang w:val="sk-SK"/>
        </w:rPr>
        <w:t xml:space="preserve"> a </w:t>
      </w:r>
      <w:r w:rsidRPr="00326E55">
        <w:rPr>
          <w:rStyle w:val="SubtleEmphasis"/>
          <w:rFonts w:ascii="Times New Roman" w:hAnsi="Times New Roman" w:cs="Times New Roman"/>
          <w:b/>
          <w:i w:val="0"/>
          <w:iCs w:val="0"/>
          <w:noProof/>
          <w:spacing w:val="-6"/>
          <w:sz w:val="24"/>
          <w:szCs w:val="24"/>
          <w:lang w:val="sk-SK"/>
        </w:rPr>
        <w:t>harmonogram monitorovania</w:t>
      </w:r>
      <w:r w:rsidR="00326E55" w:rsidRPr="00326E55">
        <w:rPr>
          <w:rStyle w:val="SubtleEmphasis"/>
          <w:rFonts w:ascii="Times New Roman" w:hAnsi="Times New Roman" w:cs="Times New Roman"/>
          <w:b/>
          <w:i w:val="0"/>
          <w:iCs w:val="0"/>
          <w:noProof/>
          <w:spacing w:val="-6"/>
          <w:sz w:val="24"/>
          <w:szCs w:val="24"/>
          <w:lang w:val="sk-SK"/>
        </w:rPr>
        <w:t xml:space="preserve"> a </w:t>
      </w:r>
      <w:r w:rsidRPr="00326E55">
        <w:rPr>
          <w:rStyle w:val="SubtleEmphasis"/>
          <w:rFonts w:ascii="Times New Roman" w:hAnsi="Times New Roman" w:cs="Times New Roman"/>
          <w:b/>
          <w:i w:val="0"/>
          <w:iCs w:val="0"/>
          <w:noProof/>
          <w:spacing w:val="-6"/>
          <w:sz w:val="24"/>
          <w:szCs w:val="24"/>
          <w:lang w:val="sk-SK"/>
        </w:rPr>
        <w:t>realizácie</w:t>
      </w:r>
      <w:r w:rsidR="00326E55" w:rsidRPr="00326E55">
        <w:rPr>
          <w:rStyle w:val="SubtleEmphasis"/>
          <w:rFonts w:ascii="Times New Roman" w:hAnsi="Times New Roman" w:cs="Times New Roman"/>
          <w:b/>
          <w:i w:val="0"/>
          <w:iCs w:val="0"/>
          <w:noProof/>
          <w:spacing w:val="-6"/>
          <w:sz w:val="24"/>
          <w:szCs w:val="24"/>
          <w:lang w:val="sk-SK"/>
        </w:rPr>
        <w:t xml:space="preserve"> v </w:t>
      </w:r>
      <w:r w:rsidRPr="00326E55">
        <w:rPr>
          <w:rStyle w:val="SubtleEmphasis"/>
          <w:rFonts w:ascii="Times New Roman" w:hAnsi="Times New Roman" w:cs="Times New Roman"/>
          <w:b/>
          <w:i w:val="0"/>
          <w:iCs w:val="0"/>
          <w:noProof/>
          <w:spacing w:val="-6"/>
          <w:sz w:val="24"/>
          <w:szCs w:val="24"/>
          <w:lang w:val="sk-SK"/>
        </w:rPr>
        <w:t>súvislosti</w:t>
      </w:r>
      <w:r w:rsidR="00326E55" w:rsidRPr="00326E55">
        <w:rPr>
          <w:rStyle w:val="SubtleEmphasis"/>
          <w:rFonts w:ascii="Times New Roman" w:hAnsi="Times New Roman" w:cs="Times New Roman"/>
          <w:b/>
          <w:i w:val="0"/>
          <w:iCs w:val="0"/>
          <w:noProof/>
          <w:spacing w:val="-6"/>
          <w:sz w:val="24"/>
          <w:szCs w:val="24"/>
          <w:lang w:val="sk-SK"/>
        </w:rPr>
        <w:t xml:space="preserve"> s </w:t>
      </w:r>
      <w:r w:rsidRPr="00326E55">
        <w:rPr>
          <w:rStyle w:val="SubtleEmphasis"/>
          <w:rFonts w:ascii="Times New Roman" w:hAnsi="Times New Roman" w:cs="Times New Roman"/>
          <w:b/>
          <w:i w:val="0"/>
          <w:iCs w:val="0"/>
          <w:noProof/>
          <w:spacing w:val="-6"/>
          <w:sz w:val="24"/>
          <w:szCs w:val="24"/>
          <w:lang w:val="sk-SK"/>
        </w:rPr>
        <w:t xml:space="preserve">úverom </w:t>
      </w: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785"/>
        <w:gridCol w:w="1261"/>
        <w:gridCol w:w="1758"/>
        <w:gridCol w:w="1373"/>
        <w:gridCol w:w="1373"/>
        <w:gridCol w:w="1373"/>
        <w:gridCol w:w="1373"/>
        <w:gridCol w:w="1224"/>
        <w:gridCol w:w="770"/>
        <w:gridCol w:w="3544"/>
      </w:tblGrid>
      <w:tr w:rsidR="00BF03AA" w:rsidRPr="00326E55" w14:paraId="46CA287B" w14:textId="77777777">
        <w:trPr>
          <w:trHeight w:val="300"/>
          <w:tblHeader/>
        </w:trPr>
        <w:tc>
          <w:tcPr>
            <w:tcW w:w="1134" w:type="dxa"/>
            <w:vMerge w:val="restart"/>
            <w:shd w:val="clear" w:color="auto" w:fill="A5C9EB" w:themeFill="text2" w:themeFillTint="40"/>
            <w:noWrap/>
            <w:vAlign w:val="center"/>
          </w:tcPr>
          <w:p w14:paraId="58D4D8EA" w14:textId="77777777" w:rsidR="00BF03AA" w:rsidRPr="00326E55" w:rsidRDefault="00FB452D">
            <w:pPr>
              <w:pStyle w:val="P68B1DB1-Normal10"/>
              <w:jc w:val="center"/>
              <w:rPr>
                <w:rFonts w:ascii="Times New Roman" w:hAnsi="Times New Roman"/>
                <w:noProof/>
                <w:spacing w:val="-6"/>
                <w:lang w:val="sk-SK"/>
              </w:rPr>
            </w:pPr>
            <w:r w:rsidRPr="00326E55">
              <w:rPr>
                <w:rFonts w:ascii="Times New Roman" w:hAnsi="Times New Roman"/>
                <w:noProof/>
                <w:spacing w:val="-6"/>
                <w:lang w:val="sk-SK"/>
              </w:rPr>
              <w:t>Poradové číslo</w:t>
            </w:r>
          </w:p>
        </w:tc>
        <w:tc>
          <w:tcPr>
            <w:tcW w:w="1736" w:type="dxa"/>
            <w:vMerge w:val="restart"/>
            <w:shd w:val="clear" w:color="auto" w:fill="A5C9EB" w:themeFill="text2" w:themeFillTint="40"/>
            <w:noWrap/>
            <w:vAlign w:val="center"/>
          </w:tcPr>
          <w:p w14:paraId="78926072" w14:textId="77777777" w:rsidR="00BF03AA" w:rsidRPr="00326E55" w:rsidRDefault="00FB452D">
            <w:pPr>
              <w:pStyle w:val="P68B1DB1-Normal10"/>
              <w:jc w:val="center"/>
              <w:rPr>
                <w:rFonts w:ascii="Times New Roman" w:hAnsi="Times New Roman"/>
                <w:noProof/>
                <w:spacing w:val="-6"/>
                <w:lang w:val="sk-SK"/>
              </w:rPr>
            </w:pPr>
            <w:r w:rsidRPr="00326E55">
              <w:rPr>
                <w:rFonts w:ascii="Times New Roman" w:hAnsi="Times New Roman"/>
                <w:noProof/>
                <w:spacing w:val="-6"/>
                <w:lang w:val="sk-SK"/>
              </w:rPr>
              <w:t>Súvisiace opatrenie (reforma alebo investícia)</w:t>
            </w:r>
          </w:p>
        </w:tc>
        <w:tc>
          <w:tcPr>
            <w:tcW w:w="1261" w:type="dxa"/>
            <w:vMerge w:val="restart"/>
            <w:shd w:val="clear" w:color="auto" w:fill="A5C9EB" w:themeFill="text2" w:themeFillTint="40"/>
            <w:noWrap/>
            <w:vAlign w:val="center"/>
          </w:tcPr>
          <w:p w14:paraId="228AF4A5" w14:textId="77777777" w:rsidR="00BF03AA" w:rsidRPr="00326E55" w:rsidRDefault="00FB452D">
            <w:pPr>
              <w:pStyle w:val="P68B1DB1-Normal10"/>
              <w:jc w:val="center"/>
              <w:rPr>
                <w:rFonts w:ascii="Times New Roman" w:hAnsi="Times New Roman"/>
                <w:noProof/>
                <w:spacing w:val="-6"/>
                <w:lang w:val="sk-SK"/>
              </w:rPr>
            </w:pPr>
            <w:r w:rsidRPr="00326E55">
              <w:rPr>
                <w:rFonts w:ascii="Times New Roman" w:hAnsi="Times New Roman"/>
                <w:noProof/>
                <w:spacing w:val="-6"/>
                <w:lang w:val="sk-SK"/>
              </w:rPr>
              <w:t>Míľnik/cieľ</w:t>
            </w:r>
          </w:p>
        </w:tc>
        <w:tc>
          <w:tcPr>
            <w:tcW w:w="1365" w:type="dxa"/>
            <w:vMerge w:val="restart"/>
            <w:shd w:val="clear" w:color="auto" w:fill="A5C9EB" w:themeFill="text2" w:themeFillTint="40"/>
            <w:noWrap/>
            <w:vAlign w:val="center"/>
          </w:tcPr>
          <w:p w14:paraId="47D821E7" w14:textId="77777777" w:rsidR="00BF03AA" w:rsidRPr="00326E55" w:rsidRDefault="00FB452D">
            <w:pPr>
              <w:pStyle w:val="P68B1DB1-Normal10"/>
              <w:jc w:val="center"/>
              <w:rPr>
                <w:rFonts w:ascii="Times New Roman" w:hAnsi="Times New Roman"/>
                <w:noProof/>
                <w:spacing w:val="-6"/>
                <w:lang w:val="sk-SK"/>
              </w:rPr>
            </w:pPr>
            <w:r w:rsidRPr="00326E55">
              <w:rPr>
                <w:rFonts w:ascii="Times New Roman" w:hAnsi="Times New Roman"/>
                <w:noProof/>
                <w:spacing w:val="-6"/>
                <w:lang w:val="sk-SK"/>
              </w:rPr>
              <w:t>Názov</w:t>
            </w:r>
          </w:p>
        </w:tc>
        <w:tc>
          <w:tcPr>
            <w:tcW w:w="1264" w:type="dxa"/>
            <w:vMerge w:val="restart"/>
            <w:shd w:val="clear" w:color="auto" w:fill="A5C9EB" w:themeFill="text2" w:themeFillTint="40"/>
            <w:noWrap/>
            <w:vAlign w:val="center"/>
          </w:tcPr>
          <w:p w14:paraId="49996B17" w14:textId="77777777" w:rsidR="00BF03AA" w:rsidRPr="00326E55" w:rsidRDefault="00FB452D">
            <w:pPr>
              <w:jc w:val="center"/>
              <w:rPr>
                <w:rFonts w:ascii="Times New Roman" w:hAnsi="Times New Roman"/>
                <w:b/>
                <w:noProof/>
                <w:spacing w:val="-6"/>
                <w:sz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001" w:type="dxa"/>
            <w:gridSpan w:val="3"/>
            <w:shd w:val="clear" w:color="auto" w:fill="A5C9EB" w:themeFill="text2" w:themeFillTint="40"/>
            <w:noWrap/>
            <w:vAlign w:val="center"/>
          </w:tcPr>
          <w:p w14:paraId="1DAE38D5" w14:textId="77777777" w:rsidR="00BF03AA" w:rsidRPr="00326E55" w:rsidRDefault="00FB452D">
            <w:pPr>
              <w:jc w:val="center"/>
              <w:rPr>
                <w:rFonts w:ascii="Times New Roman" w:hAnsi="Times New Roman"/>
                <w:b/>
                <w:noProof/>
                <w:spacing w:val="-6"/>
                <w:sz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579" w:type="dxa"/>
            <w:gridSpan w:val="2"/>
            <w:shd w:val="clear" w:color="auto" w:fill="A5C9EB" w:themeFill="text2" w:themeFillTint="40"/>
            <w:noWrap/>
            <w:vAlign w:val="center"/>
          </w:tcPr>
          <w:p w14:paraId="3FC7174D" w14:textId="77777777" w:rsidR="00BF03AA" w:rsidRPr="00326E55" w:rsidRDefault="00FB452D">
            <w:pPr>
              <w:pStyle w:val="P68B1DB1-Normal10"/>
              <w:jc w:val="center"/>
              <w:rPr>
                <w:rFonts w:ascii="Times New Roman" w:hAnsi="Times New Roman"/>
                <w:noProof/>
                <w:spacing w:val="-6"/>
                <w:lang w:val="sk-SK"/>
              </w:rPr>
            </w:pPr>
            <w:r w:rsidRPr="00326E55">
              <w:rPr>
                <w:rFonts w:ascii="Times New Roman" w:hAnsi="Times New Roman"/>
                <w:noProof/>
                <w:spacing w:val="-6"/>
                <w:lang w:val="sk-SK"/>
              </w:rPr>
              <w:t>Orientačný harmonogram dokončenia</w:t>
            </w:r>
          </w:p>
        </w:tc>
        <w:tc>
          <w:tcPr>
            <w:tcW w:w="3544" w:type="dxa"/>
            <w:vMerge w:val="restart"/>
            <w:shd w:val="clear" w:color="auto" w:fill="A5C9EB" w:themeFill="text2" w:themeFillTint="40"/>
            <w:noWrap/>
            <w:vAlign w:val="center"/>
          </w:tcPr>
          <w:p w14:paraId="53D5A93B" w14:textId="7C9777F8" w:rsidR="00BF03AA" w:rsidRPr="00326E55" w:rsidRDefault="00FB452D">
            <w:pPr>
              <w:pStyle w:val="P68B1DB1-Normal10"/>
              <w:jc w:val="center"/>
              <w:rPr>
                <w:rFonts w:ascii="Times New Roman" w:hAnsi="Times New Roman"/>
                <w:noProof/>
                <w:spacing w:val="-6"/>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61D30D9F" w14:textId="77777777">
        <w:trPr>
          <w:trHeight w:val="300"/>
          <w:tblHeader/>
        </w:trPr>
        <w:tc>
          <w:tcPr>
            <w:tcW w:w="1134" w:type="dxa"/>
            <w:vMerge/>
            <w:noWrap/>
            <w:vAlign w:val="center"/>
          </w:tcPr>
          <w:p w14:paraId="547FCDAD" w14:textId="77777777" w:rsidR="00BF03AA" w:rsidRPr="00326E55" w:rsidRDefault="00BF03AA">
            <w:pPr>
              <w:jc w:val="center"/>
              <w:rPr>
                <w:rFonts w:ascii="Times New Roman" w:hAnsi="Times New Roman"/>
                <w:b/>
                <w:bCs/>
                <w:noProof/>
                <w:spacing w:val="-6"/>
                <w:sz w:val="20"/>
                <w:szCs w:val="20"/>
                <w:lang w:val="sk-SK"/>
              </w:rPr>
            </w:pPr>
          </w:p>
        </w:tc>
        <w:tc>
          <w:tcPr>
            <w:tcW w:w="1736" w:type="dxa"/>
            <w:vMerge/>
            <w:noWrap/>
            <w:vAlign w:val="center"/>
          </w:tcPr>
          <w:p w14:paraId="46023B44" w14:textId="77777777" w:rsidR="00BF03AA" w:rsidRPr="00326E55" w:rsidRDefault="00BF03AA">
            <w:pPr>
              <w:jc w:val="center"/>
              <w:rPr>
                <w:rFonts w:ascii="Times New Roman" w:hAnsi="Times New Roman"/>
                <w:b/>
                <w:bCs/>
                <w:noProof/>
                <w:spacing w:val="-6"/>
                <w:sz w:val="20"/>
                <w:szCs w:val="20"/>
                <w:lang w:val="sk-SK"/>
              </w:rPr>
            </w:pPr>
          </w:p>
        </w:tc>
        <w:tc>
          <w:tcPr>
            <w:tcW w:w="1261" w:type="dxa"/>
            <w:vMerge/>
            <w:noWrap/>
            <w:vAlign w:val="center"/>
          </w:tcPr>
          <w:p w14:paraId="5EA87C3D" w14:textId="77777777" w:rsidR="00BF03AA" w:rsidRPr="00326E55" w:rsidRDefault="00BF03AA">
            <w:pPr>
              <w:jc w:val="center"/>
              <w:rPr>
                <w:rFonts w:ascii="Times New Roman" w:hAnsi="Times New Roman"/>
                <w:b/>
                <w:bCs/>
                <w:noProof/>
                <w:spacing w:val="-6"/>
                <w:sz w:val="20"/>
                <w:szCs w:val="20"/>
                <w:lang w:val="sk-SK"/>
              </w:rPr>
            </w:pPr>
          </w:p>
        </w:tc>
        <w:tc>
          <w:tcPr>
            <w:tcW w:w="1365" w:type="dxa"/>
            <w:vMerge/>
            <w:noWrap/>
            <w:vAlign w:val="center"/>
          </w:tcPr>
          <w:p w14:paraId="00B31684" w14:textId="77777777" w:rsidR="00BF03AA" w:rsidRPr="00326E55" w:rsidRDefault="00BF03AA">
            <w:pPr>
              <w:jc w:val="center"/>
              <w:rPr>
                <w:rFonts w:ascii="Times New Roman" w:hAnsi="Times New Roman"/>
                <w:b/>
                <w:bCs/>
                <w:noProof/>
                <w:spacing w:val="-6"/>
                <w:sz w:val="20"/>
                <w:szCs w:val="20"/>
                <w:lang w:val="sk-SK"/>
              </w:rPr>
            </w:pPr>
          </w:p>
        </w:tc>
        <w:tc>
          <w:tcPr>
            <w:tcW w:w="1264" w:type="dxa"/>
            <w:vMerge/>
            <w:noWrap/>
            <w:vAlign w:val="center"/>
          </w:tcPr>
          <w:p w14:paraId="71737E12" w14:textId="77777777" w:rsidR="00BF03AA" w:rsidRPr="00326E55" w:rsidRDefault="00BF03AA">
            <w:pPr>
              <w:jc w:val="center"/>
              <w:rPr>
                <w:rFonts w:ascii="Times New Roman" w:hAnsi="Times New Roman"/>
                <w:b/>
                <w:bCs/>
                <w:noProof/>
                <w:spacing w:val="-6"/>
                <w:sz w:val="20"/>
                <w:szCs w:val="20"/>
                <w:lang w:val="sk-SK"/>
              </w:rPr>
            </w:pPr>
          </w:p>
        </w:tc>
        <w:tc>
          <w:tcPr>
            <w:tcW w:w="1055" w:type="dxa"/>
            <w:shd w:val="clear" w:color="auto" w:fill="A5C9EB" w:themeFill="text2" w:themeFillTint="40"/>
            <w:noWrap/>
            <w:vAlign w:val="center"/>
          </w:tcPr>
          <w:p w14:paraId="76B87A9D"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Merná jednotka</w:t>
            </w:r>
          </w:p>
        </w:tc>
        <w:tc>
          <w:tcPr>
            <w:tcW w:w="946" w:type="dxa"/>
            <w:shd w:val="clear" w:color="auto" w:fill="A5C9EB" w:themeFill="text2" w:themeFillTint="40"/>
            <w:vAlign w:val="center"/>
          </w:tcPr>
          <w:p w14:paraId="1E44CB01"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Základná</w:t>
            </w:r>
          </w:p>
        </w:tc>
        <w:tc>
          <w:tcPr>
            <w:tcW w:w="1000" w:type="dxa"/>
            <w:shd w:val="clear" w:color="auto" w:fill="A5C9EB" w:themeFill="text2" w:themeFillTint="40"/>
            <w:vAlign w:val="center"/>
          </w:tcPr>
          <w:p w14:paraId="502CA37A"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Cieľ</w:t>
            </w:r>
          </w:p>
        </w:tc>
        <w:tc>
          <w:tcPr>
            <w:tcW w:w="809" w:type="dxa"/>
            <w:shd w:val="clear" w:color="auto" w:fill="A5C9EB" w:themeFill="text2" w:themeFillTint="40"/>
            <w:noWrap/>
            <w:vAlign w:val="center"/>
          </w:tcPr>
          <w:p w14:paraId="5B886F6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70" w:type="dxa"/>
            <w:shd w:val="clear" w:color="auto" w:fill="A5C9EB" w:themeFill="text2" w:themeFillTint="40"/>
            <w:vAlign w:val="center"/>
          </w:tcPr>
          <w:p w14:paraId="1C27052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3544" w:type="dxa"/>
            <w:vMerge/>
            <w:noWrap/>
            <w:vAlign w:val="center"/>
          </w:tcPr>
          <w:p w14:paraId="1FFDAC98" w14:textId="77777777" w:rsidR="00BF03AA" w:rsidRPr="00326E55" w:rsidRDefault="00BF03AA">
            <w:pPr>
              <w:rPr>
                <w:rFonts w:ascii="Times New Roman" w:hAnsi="Times New Roman"/>
                <w:noProof/>
                <w:spacing w:val="-6"/>
                <w:sz w:val="20"/>
                <w:szCs w:val="20"/>
                <w:lang w:val="sk-SK"/>
              </w:rPr>
            </w:pPr>
          </w:p>
        </w:tc>
      </w:tr>
      <w:tr w:rsidR="00BF03AA" w:rsidRPr="00326E55" w14:paraId="14B78B0D" w14:textId="77777777">
        <w:trPr>
          <w:trHeight w:val="300"/>
        </w:trPr>
        <w:tc>
          <w:tcPr>
            <w:tcW w:w="1134" w:type="dxa"/>
            <w:shd w:val="clear" w:color="auto" w:fill="C6EFCE"/>
            <w:noWrap/>
            <w:vAlign w:val="center"/>
          </w:tcPr>
          <w:p w14:paraId="78BE74C2"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M2C4 – 6</w:t>
            </w:r>
          </w:p>
        </w:tc>
        <w:tc>
          <w:tcPr>
            <w:tcW w:w="1736" w:type="dxa"/>
            <w:shd w:val="clear" w:color="auto" w:fill="C6EFCE"/>
            <w:noWrap/>
            <w:vAlign w:val="center"/>
          </w:tcPr>
          <w:p w14:paraId="3D923B2D"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3.2: Digitalizácia národných parkov</w:t>
            </w:r>
          </w:p>
        </w:tc>
        <w:tc>
          <w:tcPr>
            <w:tcW w:w="1261" w:type="dxa"/>
            <w:shd w:val="clear" w:color="auto" w:fill="C6EFCE"/>
            <w:noWrap/>
            <w:vAlign w:val="center"/>
          </w:tcPr>
          <w:p w14:paraId="2DF4FB33"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65" w:type="dxa"/>
            <w:shd w:val="clear" w:color="auto" w:fill="C6EFCE"/>
            <w:noWrap/>
            <w:vAlign w:val="center"/>
          </w:tcPr>
          <w:p w14:paraId="2A55A2CE" w14:textId="59E82DE0"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Rozvoj digitálnych služieb pre návštevníkov národných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chránených morských oblastí</w:t>
            </w:r>
          </w:p>
        </w:tc>
        <w:tc>
          <w:tcPr>
            <w:tcW w:w="1264" w:type="dxa"/>
            <w:shd w:val="clear" w:color="auto" w:fill="C6EFCE"/>
            <w:noWrap/>
            <w:vAlign w:val="center"/>
          </w:tcPr>
          <w:p w14:paraId="3253730E"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55" w:type="dxa"/>
            <w:shd w:val="clear" w:color="auto" w:fill="C6EFCE"/>
            <w:noWrap/>
            <w:vAlign w:val="center"/>
          </w:tcPr>
          <w:p w14:paraId="4671BF18"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Percento</w:t>
            </w:r>
          </w:p>
        </w:tc>
        <w:tc>
          <w:tcPr>
            <w:tcW w:w="946" w:type="dxa"/>
            <w:shd w:val="clear" w:color="auto" w:fill="C6EFCE"/>
            <w:noWrap/>
            <w:vAlign w:val="center"/>
          </w:tcPr>
          <w:p w14:paraId="14BCE1D9"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000" w:type="dxa"/>
            <w:shd w:val="clear" w:color="auto" w:fill="C6EFCE"/>
            <w:noWrap/>
            <w:vAlign w:val="center"/>
          </w:tcPr>
          <w:p w14:paraId="2D310B6A"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70</w:t>
            </w:r>
          </w:p>
        </w:tc>
        <w:tc>
          <w:tcPr>
            <w:tcW w:w="809" w:type="dxa"/>
            <w:shd w:val="clear" w:color="auto" w:fill="C6EFCE"/>
            <w:noWrap/>
            <w:vAlign w:val="center"/>
          </w:tcPr>
          <w:p w14:paraId="4D8FA338"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70" w:type="dxa"/>
            <w:shd w:val="clear" w:color="auto" w:fill="C6EFCE"/>
            <w:noWrap/>
            <w:vAlign w:val="center"/>
          </w:tcPr>
          <w:p w14:paraId="1A7580A6"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2024</w:t>
            </w:r>
          </w:p>
        </w:tc>
        <w:tc>
          <w:tcPr>
            <w:tcW w:w="3544" w:type="dxa"/>
            <w:shd w:val="clear" w:color="auto" w:fill="C6EFCE"/>
            <w:noWrap/>
            <w:vAlign w:val="center"/>
          </w:tcPr>
          <w:p w14:paraId="28D529F6" w14:textId="7DB7B39E" w:rsidR="00BF03AA" w:rsidRPr="00326E55" w:rsidRDefault="00FB452D">
            <w:pPr>
              <w:pStyle w:val="P68B1DB1-Normal11"/>
              <w:spacing w:line="276" w:lineRule="auto"/>
              <w:rPr>
                <w:rFonts w:ascii="Times New Roman" w:hAnsi="Times New Roman"/>
                <w:noProof/>
                <w:spacing w:val="-6"/>
                <w:lang w:val="sk-SK"/>
              </w:rPr>
            </w:pPr>
            <w:r w:rsidRPr="00326E55">
              <w:rPr>
                <w:rFonts w:ascii="Times New Roman" w:hAnsi="Times New Roman"/>
                <w:noProof/>
                <w:spacing w:val="-6"/>
                <w:lang w:val="sk-SK"/>
              </w:rPr>
              <w:t>Aspoň 70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národných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chránených morských oblastí vyvinulo digitálne služby pre návštevníkov národných parkov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chránených morských oblastí (aspoň dve spomedzi: pripojenie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portálu Naturitalia.IT; žiadosť</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administratívne postupy alebo aplikáciu </w:t>
            </w:r>
            <w:r w:rsidRPr="00326E55">
              <w:rPr>
                <w:rFonts w:ascii="Times New Roman" w:hAnsi="Times New Roman"/>
                <w:noProof/>
                <w:spacing w:val="-6"/>
                <w:lang w:val="sk-SK"/>
              </w:rPr>
              <w:t>pre udržateľnú mobilitu).</w:t>
            </w:r>
          </w:p>
        </w:tc>
      </w:tr>
      <w:tr w:rsidR="00BF03AA" w:rsidRPr="00326E55" w14:paraId="75B78CF8" w14:textId="77777777">
        <w:trPr>
          <w:trHeight w:val="300"/>
        </w:trPr>
        <w:tc>
          <w:tcPr>
            <w:tcW w:w="1134" w:type="dxa"/>
            <w:shd w:val="clear" w:color="auto" w:fill="C6EFCE"/>
            <w:noWrap/>
            <w:vAlign w:val="center"/>
            <w:hideMark/>
          </w:tcPr>
          <w:p w14:paraId="605E2C8A" w14:textId="77777777" w:rsidR="00BF03AA" w:rsidRPr="00326E55" w:rsidRDefault="00FB452D">
            <w:pPr>
              <w:pStyle w:val="P68B1DB1-Normal11"/>
              <w:spacing w:line="27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M2C4 – 6bis</w:t>
            </w:r>
          </w:p>
        </w:tc>
        <w:tc>
          <w:tcPr>
            <w:tcW w:w="1736" w:type="dxa"/>
            <w:shd w:val="clear" w:color="auto" w:fill="C6EFCE"/>
            <w:noWrap/>
            <w:vAlign w:val="center"/>
          </w:tcPr>
          <w:p w14:paraId="17DF9A87" w14:textId="77777777" w:rsidR="00BF03AA" w:rsidRPr="00326E55" w:rsidRDefault="00FB452D">
            <w:pPr>
              <w:pStyle w:val="P68B1DB1-Normal12"/>
              <w:spacing w:line="276" w:lineRule="auto"/>
              <w:jc w:val="center"/>
              <w:rPr>
                <w:rFonts w:ascii="Times New Roman" w:eastAsia="Arial Narrow" w:hAnsi="Times New Roman" w:cs="Arial Narrow"/>
                <w:noProof/>
                <w:spacing w:val="-6"/>
                <w:lang w:val="sk-SK"/>
              </w:rPr>
            </w:pPr>
            <w:r w:rsidRPr="00326E55">
              <w:rPr>
                <w:rFonts w:ascii="Times New Roman" w:hAnsi="Times New Roman"/>
                <w:noProof/>
                <w:spacing w:val="-6"/>
                <w:lang w:val="sk-SK"/>
              </w:rPr>
              <w:t>Investícia 3.2: Digitalizácia národných parkov</w:t>
            </w:r>
          </w:p>
        </w:tc>
        <w:tc>
          <w:tcPr>
            <w:tcW w:w="1261" w:type="dxa"/>
            <w:shd w:val="clear" w:color="auto" w:fill="C6EFCE"/>
            <w:noWrap/>
            <w:vAlign w:val="center"/>
            <w:hideMark/>
          </w:tcPr>
          <w:p w14:paraId="7837F23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tcPr>
          <w:p w14:paraId="15538178" w14:textId="71416B66"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 Vykonané intervencie týkajúce sa ochrany prírody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monitorovania poskytnutých prírodných zdrojov </w:t>
            </w:r>
          </w:p>
        </w:tc>
        <w:tc>
          <w:tcPr>
            <w:tcW w:w="1264" w:type="dxa"/>
            <w:shd w:val="clear" w:color="auto" w:fill="C6EFCE"/>
            <w:noWrap/>
            <w:vAlign w:val="center"/>
            <w:hideMark/>
          </w:tcPr>
          <w:p w14:paraId="3F9AA4A5" w14:textId="77777777" w:rsidR="00BF03AA" w:rsidRPr="00326E55" w:rsidRDefault="00FB452D">
            <w:pPr>
              <w:pStyle w:val="P68B1DB1-Normal81"/>
              <w:spacing w:line="276" w:lineRule="auto"/>
              <w:jc w:val="center"/>
              <w:rPr>
                <w:rFonts w:ascii="Times New Roman" w:eastAsia="Arial Narrow" w:hAnsi="Times New Roman" w:cs="Arial Narrow"/>
                <w:noProof/>
                <w:spacing w:val="-6"/>
                <w:sz w:val="20"/>
                <w:szCs w:val="20"/>
                <w:lang w:val="sk-SK"/>
              </w:rPr>
            </w:pPr>
            <w:r w:rsidRPr="00326E55">
              <w:rPr>
                <w:rFonts w:ascii="Times New Roman" w:hAnsi="Times New Roman"/>
                <w:noProof/>
                <w:spacing w:val="-6"/>
                <w:lang w:val="sk-SK"/>
              </w:rPr>
              <w:t xml:space="preserve">Vydané osvedčenia </w:t>
            </w:r>
          </w:p>
        </w:tc>
        <w:tc>
          <w:tcPr>
            <w:tcW w:w="1055" w:type="dxa"/>
            <w:shd w:val="clear" w:color="auto" w:fill="C6EFCE"/>
            <w:noWrap/>
            <w:vAlign w:val="center"/>
            <w:hideMark/>
          </w:tcPr>
          <w:p w14:paraId="2AAB35CB"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946" w:type="dxa"/>
            <w:shd w:val="clear" w:color="auto" w:fill="C6EFCE"/>
            <w:noWrap/>
            <w:vAlign w:val="center"/>
          </w:tcPr>
          <w:p w14:paraId="053B7D26"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1000" w:type="dxa"/>
            <w:shd w:val="clear" w:color="auto" w:fill="C6EFCE"/>
            <w:noWrap/>
            <w:vAlign w:val="center"/>
          </w:tcPr>
          <w:p w14:paraId="563CCA75"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809" w:type="dxa"/>
            <w:shd w:val="clear" w:color="auto" w:fill="C6EFCE"/>
            <w:noWrap/>
            <w:vAlign w:val="center"/>
            <w:hideMark/>
          </w:tcPr>
          <w:p w14:paraId="752FD86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70" w:type="dxa"/>
            <w:shd w:val="clear" w:color="auto" w:fill="C6EFCE"/>
            <w:noWrap/>
            <w:vAlign w:val="center"/>
            <w:hideMark/>
          </w:tcPr>
          <w:p w14:paraId="478E92F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shd w:val="clear" w:color="auto" w:fill="C6EFCE"/>
            <w:noWrap/>
            <w:vAlign w:val="center"/>
            <w:hideMark/>
          </w:tcPr>
          <w:p w14:paraId="48414D37" w14:textId="34EE3076" w:rsidR="00BF03AA" w:rsidRPr="00326E55" w:rsidRDefault="00FB452D">
            <w:pPr>
              <w:pStyle w:val="P68B1DB1-ListParagraph13"/>
              <w:numPr>
                <w:ilvl w:val="0"/>
                <w:numId w:val="32"/>
              </w:numPr>
              <w:spacing w:after="0" w:line="276" w:lineRule="auto"/>
              <w:jc w:val="both"/>
              <w:rPr>
                <w:rFonts w:ascii="Times New Roman" w:hAnsi="Times New Roman"/>
                <w:noProof/>
                <w:spacing w:val="-6"/>
                <w:lang w:val="sk-SK"/>
              </w:rPr>
            </w:pPr>
            <w:r w:rsidRPr="00326E55">
              <w:rPr>
                <w:rFonts w:ascii="Times New Roman" w:hAnsi="Times New Roman"/>
                <w:noProof/>
                <w:spacing w:val="-6"/>
                <w:lang w:val="sk-SK"/>
              </w:rPr>
              <w:t>Osvedčenie(-a)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overení zhody pre najmenej 12000 položiek vybavenia na činnosti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ochrany prírody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w:t>
            </w:r>
          </w:p>
          <w:p w14:paraId="0C3C05CF" w14:textId="2AAC95C3" w:rsidR="00BF03AA" w:rsidRPr="00326E55" w:rsidRDefault="00FB452D">
            <w:pPr>
              <w:pStyle w:val="P68B1DB1-ListParagraph13"/>
              <w:numPr>
                <w:ilvl w:val="0"/>
                <w:numId w:val="32"/>
              </w:numPr>
              <w:spacing w:after="0" w:line="276" w:lineRule="auto"/>
              <w:jc w:val="both"/>
              <w:rPr>
                <w:rFonts w:ascii="Times New Roman" w:hAnsi="Times New Roman"/>
                <w:noProof/>
                <w:spacing w:val="-6"/>
                <w:lang w:val="sk-SK"/>
              </w:rPr>
            </w:pPr>
            <w:r w:rsidRPr="00326E55">
              <w:rPr>
                <w:rFonts w:ascii="Times New Roman" w:hAnsi="Times New Roman"/>
                <w:noProof/>
                <w:spacing w:val="-6"/>
                <w:lang w:val="sk-SK"/>
              </w:rPr>
              <w:t>Osvedčenie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pravidelnom poskytovaní služieb</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prírodných parkoch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chránených morských oblastiach najmenej 7 rôznych druhov technických</w:t>
            </w:r>
            <w:r w:rsidRPr="00326E55">
              <w:rPr>
                <w:rFonts w:ascii="Times New Roman" w:hAnsi="Times New Roman"/>
                <w:noProof/>
                <w:spacing w:val="-6"/>
                <w:lang w:val="sk-SK"/>
              </w:rPr>
              <w:t xml:space="preserve"> 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odbornej prípravy pre vedecké činnosti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monitorovanie na mieste.</w:t>
            </w:r>
          </w:p>
        </w:tc>
      </w:tr>
      <w:tr w:rsidR="00BF03AA" w:rsidRPr="00326E55" w14:paraId="3A482D7F" w14:textId="77777777">
        <w:trPr>
          <w:trHeight w:val="300"/>
        </w:trPr>
        <w:tc>
          <w:tcPr>
            <w:tcW w:w="1134" w:type="dxa"/>
            <w:shd w:val="clear" w:color="auto" w:fill="C6EFCE"/>
            <w:noWrap/>
            <w:vAlign w:val="center"/>
            <w:hideMark/>
          </w:tcPr>
          <w:p w14:paraId="1DA7FDD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7</w:t>
            </w:r>
          </w:p>
        </w:tc>
        <w:tc>
          <w:tcPr>
            <w:tcW w:w="1736" w:type="dxa"/>
            <w:shd w:val="clear" w:color="auto" w:fill="C6EFCE"/>
            <w:noWrap/>
            <w:vAlign w:val="center"/>
          </w:tcPr>
          <w:p w14:paraId="50C1920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3.1: Prijatie národných programov kontroly znečistenia ovzdušia</w:t>
            </w:r>
          </w:p>
        </w:tc>
        <w:tc>
          <w:tcPr>
            <w:tcW w:w="1261" w:type="dxa"/>
            <w:shd w:val="clear" w:color="auto" w:fill="C6EFCE"/>
            <w:noWrap/>
            <w:vAlign w:val="center"/>
            <w:hideMark/>
          </w:tcPr>
          <w:p w14:paraId="2D0C9CA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tcPr>
          <w:p w14:paraId="57E227F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národného programu kontroly znečistenia ovzdušia</w:t>
            </w:r>
          </w:p>
        </w:tc>
        <w:tc>
          <w:tcPr>
            <w:tcW w:w="1264" w:type="dxa"/>
            <w:shd w:val="clear" w:color="auto" w:fill="C6EFCE"/>
            <w:noWrap/>
            <w:vAlign w:val="center"/>
            <w:hideMark/>
          </w:tcPr>
          <w:p w14:paraId="1A239675" w14:textId="5446C172"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DPCM,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w:t>
            </w:r>
          </w:p>
        </w:tc>
        <w:tc>
          <w:tcPr>
            <w:tcW w:w="1055" w:type="dxa"/>
            <w:shd w:val="clear" w:color="auto" w:fill="C6EFCE"/>
            <w:noWrap/>
            <w:vAlign w:val="center"/>
            <w:hideMark/>
          </w:tcPr>
          <w:p w14:paraId="624FBFA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tcPr>
          <w:p w14:paraId="28791A0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NEUVÁDZA SA</w:t>
            </w:r>
          </w:p>
        </w:tc>
        <w:tc>
          <w:tcPr>
            <w:tcW w:w="1000" w:type="dxa"/>
            <w:shd w:val="clear" w:color="auto" w:fill="C6EFCE"/>
            <w:noWrap/>
            <w:vAlign w:val="center"/>
          </w:tcPr>
          <w:p w14:paraId="48E851A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1390C4E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33DF11A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544" w:type="dxa"/>
            <w:shd w:val="clear" w:color="auto" w:fill="C6EFCE"/>
            <w:noWrap/>
            <w:vAlign w:val="center"/>
            <w:hideMark/>
          </w:tcPr>
          <w:p w14:paraId="0FB55345" w14:textId="1809FF48"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Vyhláškou predsedu Rady ministrov (DPCM) sa stanoví národný program kontroly znečistenia ovzdušia, ktorým sa zavádzajú vhodné opatrenia na zníženie znečist</w:t>
            </w:r>
            <w:r w:rsidRPr="00326E55">
              <w:rPr>
                <w:rFonts w:ascii="Times New Roman" w:hAnsi="Times New Roman"/>
                <w:noProof/>
                <w:spacing w:val="-6"/>
                <w:lang w:val="sk-SK"/>
              </w:rPr>
              <w:t>enia ovzdušia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smernicou EÚ 2016/2284</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legislatívnym dekrétom </w:t>
            </w:r>
            <w:r w:rsidR="00326E55" w:rsidRPr="00326E55">
              <w:rPr>
                <w:rFonts w:ascii="Times New Roman" w:hAnsi="Times New Roman"/>
                <w:noProof/>
                <w:spacing w:val="-6"/>
                <w:lang w:val="sk-SK"/>
              </w:rPr>
              <w:t>č. </w:t>
            </w:r>
            <w:r w:rsidRPr="00326E55">
              <w:rPr>
                <w:rFonts w:ascii="Times New Roman" w:hAnsi="Times New Roman"/>
                <w:noProof/>
                <w:spacing w:val="-6"/>
                <w:lang w:val="sk-SK"/>
              </w:rPr>
              <w:t>81</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30</w:t>
            </w:r>
            <w:r w:rsidR="00326E55" w:rsidRPr="00326E55">
              <w:rPr>
                <w:rFonts w:ascii="Times New Roman" w:hAnsi="Times New Roman"/>
                <w:noProof/>
                <w:spacing w:val="-6"/>
                <w:lang w:val="sk-SK"/>
              </w:rPr>
              <w:t>. mája</w:t>
            </w:r>
            <w:r w:rsidRPr="00326E55">
              <w:rPr>
                <w:rFonts w:ascii="Times New Roman" w:hAnsi="Times New Roman"/>
                <w:noProof/>
                <w:spacing w:val="-6"/>
                <w:lang w:val="sk-SK"/>
              </w:rPr>
              <w:t xml:space="preserve"> 2018, ktorým sa transponuje uvedená smernica.</w:t>
            </w:r>
          </w:p>
        </w:tc>
      </w:tr>
      <w:tr w:rsidR="00BF03AA" w:rsidRPr="00326E55" w14:paraId="5120290A" w14:textId="77777777">
        <w:trPr>
          <w:trHeight w:val="300"/>
        </w:trPr>
        <w:tc>
          <w:tcPr>
            <w:tcW w:w="1134" w:type="dxa"/>
            <w:shd w:val="clear" w:color="auto" w:fill="C6EFCE"/>
            <w:noWrap/>
            <w:vAlign w:val="center"/>
            <w:hideMark/>
          </w:tcPr>
          <w:p w14:paraId="7E063A2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8</w:t>
            </w:r>
          </w:p>
        </w:tc>
        <w:tc>
          <w:tcPr>
            <w:tcW w:w="1736" w:type="dxa"/>
            <w:shd w:val="clear" w:color="auto" w:fill="C6EFCE"/>
            <w:noWrap/>
            <w:vAlign w:val="center"/>
          </w:tcPr>
          <w:p w14:paraId="4FF1BBEA" w14:textId="4C9F4F5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1.1. Zavedenie pokročilého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integrovaného systému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prognózovania</w:t>
            </w:r>
          </w:p>
        </w:tc>
        <w:tc>
          <w:tcPr>
            <w:tcW w:w="1261" w:type="dxa"/>
            <w:shd w:val="clear" w:color="auto" w:fill="C6EFCE"/>
            <w:noWrap/>
            <w:vAlign w:val="center"/>
            <w:hideMark/>
          </w:tcPr>
          <w:p w14:paraId="07C2E07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tcPr>
          <w:p w14:paraId="5A29201F" w14:textId="6857B54D"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Operačný </w:t>
            </w:r>
            <w:r w:rsidRPr="00326E55">
              <w:rPr>
                <w:rFonts w:ascii="Times New Roman" w:hAnsi="Times New Roman"/>
                <w:noProof/>
                <w:spacing w:val="-6"/>
                <w:lang w:val="sk-SK"/>
              </w:rPr>
              <w:t>plán pokročilého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integrovaného monitorovacieho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prognostického systému na identifikáciu hydrologických rizík</w:t>
            </w:r>
          </w:p>
        </w:tc>
        <w:tc>
          <w:tcPr>
            <w:tcW w:w="1264" w:type="dxa"/>
            <w:shd w:val="clear" w:color="auto" w:fill="C6EFCE"/>
            <w:noWrap/>
            <w:vAlign w:val="center"/>
            <w:hideMark/>
          </w:tcPr>
          <w:p w14:paraId="76C233A1" w14:textId="78629392"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ministerskej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w:t>
            </w:r>
          </w:p>
        </w:tc>
        <w:tc>
          <w:tcPr>
            <w:tcW w:w="1055" w:type="dxa"/>
            <w:shd w:val="clear" w:color="auto" w:fill="C6EFCE"/>
            <w:noWrap/>
            <w:vAlign w:val="center"/>
            <w:hideMark/>
          </w:tcPr>
          <w:p w14:paraId="134396A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tcPr>
          <w:p w14:paraId="22F8805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tcPr>
          <w:p w14:paraId="325FFEA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27B9AC0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70" w:type="dxa"/>
            <w:shd w:val="clear" w:color="auto" w:fill="C6EFCE"/>
            <w:noWrap/>
            <w:vAlign w:val="center"/>
            <w:hideMark/>
          </w:tcPr>
          <w:p w14:paraId="1909747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544" w:type="dxa"/>
            <w:shd w:val="clear" w:color="auto" w:fill="C6EFCE"/>
            <w:noWrap/>
            <w:vAlign w:val="center"/>
            <w:hideMark/>
          </w:tcPr>
          <w:p w14:paraId="1AC4DC1C" w14:textId="46BDBF09"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 xml:space="preserve">Ministerskou vyhláškou sa schvaľuje </w:t>
            </w:r>
            <w:r w:rsidRPr="00326E55">
              <w:rPr>
                <w:rFonts w:ascii="Times New Roman" w:hAnsi="Times New Roman"/>
                <w:noProof/>
                <w:spacing w:val="-6"/>
                <w:lang w:val="sk-SK"/>
              </w:rPr>
              <w:t>operačný plán vykonávania pokročilého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integrovaného systému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prognózovania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identifikovať hydrologické riziká. Minimálne:</w:t>
            </w:r>
          </w:p>
          <w:p w14:paraId="0D3CD579" w14:textId="2E2B11F0" w:rsidR="00BF03AA" w:rsidRPr="00326E55" w:rsidRDefault="00FB452D">
            <w:pPr>
              <w:pStyle w:val="P68B1DB1-ListParagraph15"/>
              <w:numPr>
                <w:ilvl w:val="0"/>
                <w:numId w:val="27"/>
              </w:numPr>
              <w:spacing w:before="120" w:after="120" w:line="276" w:lineRule="auto"/>
              <w:ind w:left="424"/>
              <w:jc w:val="both"/>
              <w:rPr>
                <w:rFonts w:ascii="Times New Roman" w:hAnsi="Times New Roman"/>
                <w:noProof/>
                <w:spacing w:val="-6"/>
                <w:szCs w:val="20"/>
                <w:lang w:val="sk-SK"/>
              </w:rPr>
            </w:pPr>
            <w:r w:rsidRPr="00326E55">
              <w:rPr>
                <w:rFonts w:ascii="Times New Roman" w:hAnsi="Times New Roman"/>
                <w:noProof/>
                <w:spacing w:val="-6"/>
                <w:lang w:val="sk-SK"/>
              </w:rPr>
              <w:t>Plánovať aplikácie diaľkového snímania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snímače dátového poľa;</w:t>
            </w:r>
          </w:p>
          <w:p w14:paraId="71D63861" w14:textId="73E572F5" w:rsidR="00BF03AA" w:rsidRPr="00326E55" w:rsidRDefault="00FB452D">
            <w:pPr>
              <w:pStyle w:val="P68B1DB1-ListParagraph15"/>
              <w:numPr>
                <w:ilvl w:val="0"/>
                <w:numId w:val="27"/>
              </w:numPr>
              <w:spacing w:before="120" w:after="120" w:line="276" w:lineRule="auto"/>
              <w:ind w:left="424"/>
              <w:jc w:val="both"/>
              <w:rPr>
                <w:rFonts w:ascii="Times New Roman" w:hAnsi="Times New Roman"/>
                <w:noProof/>
                <w:spacing w:val="-6"/>
                <w:szCs w:val="20"/>
                <w:lang w:val="sk-SK"/>
              </w:rPr>
            </w:pPr>
            <w:r w:rsidRPr="00326E55">
              <w:rPr>
                <w:rFonts w:ascii="Times New Roman" w:hAnsi="Times New Roman"/>
                <w:noProof/>
                <w:spacing w:val="-6"/>
                <w:lang w:val="sk-SK"/>
              </w:rPr>
              <w:t>Vytvoriť komunikačný systém, ktorý umožní koo</w:t>
            </w:r>
            <w:r w:rsidRPr="00326E55">
              <w:rPr>
                <w:rFonts w:ascii="Times New Roman" w:hAnsi="Times New Roman"/>
                <w:noProof/>
                <w:spacing w:val="-6"/>
                <w:lang w:val="sk-SK"/>
              </w:rPr>
              <w:t>rdináciu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interoperabilitu medzi rôznymi prevádzkovateľmi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kontrolných miestnostiach</w:t>
            </w:r>
          </w:p>
          <w:p w14:paraId="423DCEA2" w14:textId="4B37F2B2" w:rsidR="00BF03AA" w:rsidRPr="00326E55" w:rsidRDefault="00FB452D">
            <w:pPr>
              <w:pStyle w:val="P68B1DB1-ListParagraph15"/>
              <w:numPr>
                <w:ilvl w:val="0"/>
                <w:numId w:val="27"/>
              </w:numPr>
              <w:spacing w:before="120" w:after="120" w:line="276" w:lineRule="auto"/>
              <w:ind w:left="424"/>
              <w:jc w:val="both"/>
              <w:rPr>
                <w:rFonts w:ascii="Times New Roman" w:hAnsi="Times New Roman"/>
                <w:noProof/>
                <w:spacing w:val="-6"/>
                <w:szCs w:val="20"/>
                <w:lang w:val="sk-SK"/>
              </w:rPr>
            </w:pPr>
            <w:r w:rsidRPr="00326E55">
              <w:rPr>
                <w:rFonts w:ascii="Times New Roman" w:hAnsi="Times New Roman"/>
                <w:noProof/>
                <w:spacing w:val="-6"/>
                <w:lang w:val="sk-SK"/>
              </w:rPr>
              <w:t>Zriadenie ústredných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regionálnych kontrolných miestností</w:t>
            </w:r>
          </w:p>
          <w:p w14:paraId="582CFE2F" w14:textId="4291E40B" w:rsidR="00BF03AA" w:rsidRPr="00326E55" w:rsidRDefault="00FB452D">
            <w:pPr>
              <w:pStyle w:val="P68B1DB1-ListParagraph15"/>
              <w:numPr>
                <w:ilvl w:val="0"/>
                <w:numId w:val="27"/>
              </w:numPr>
              <w:spacing w:before="120" w:after="120" w:line="276" w:lineRule="auto"/>
              <w:ind w:left="424"/>
              <w:jc w:val="both"/>
              <w:rPr>
                <w:rFonts w:ascii="Times New Roman" w:hAnsi="Times New Roman"/>
                <w:noProof/>
                <w:spacing w:val="-6"/>
                <w:szCs w:val="20"/>
                <w:lang w:val="sk-SK"/>
              </w:rPr>
            </w:pPr>
            <w:r w:rsidRPr="00326E55">
              <w:rPr>
                <w:rFonts w:ascii="Times New Roman" w:hAnsi="Times New Roman"/>
                <w:noProof/>
                <w:spacing w:val="-6"/>
                <w:lang w:val="sk-SK"/>
              </w:rPr>
              <w:t>Vývoj systémov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služieb kybernetickej bezpečnosti</w:t>
            </w:r>
          </w:p>
        </w:tc>
      </w:tr>
      <w:tr w:rsidR="00BF03AA" w:rsidRPr="00326E55" w14:paraId="3FAFBE0B" w14:textId="77777777">
        <w:trPr>
          <w:trHeight w:val="300"/>
        </w:trPr>
        <w:tc>
          <w:tcPr>
            <w:tcW w:w="1134" w:type="dxa"/>
            <w:shd w:val="clear" w:color="auto" w:fill="C6EFCE"/>
            <w:noWrap/>
            <w:vAlign w:val="center"/>
            <w:hideMark/>
          </w:tcPr>
          <w:p w14:paraId="59D347E9"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M2C4 – 9</w:t>
            </w:r>
          </w:p>
        </w:tc>
        <w:tc>
          <w:tcPr>
            <w:tcW w:w="1736" w:type="dxa"/>
            <w:shd w:val="clear" w:color="auto" w:fill="C6EFCE"/>
            <w:noWrap/>
            <w:vAlign w:val="center"/>
          </w:tcPr>
          <w:p w14:paraId="197AA956" w14:textId="77777777" w:rsidR="00BF03AA" w:rsidRPr="00326E55" w:rsidRDefault="00BF03AA">
            <w:pPr>
              <w:spacing w:line="276" w:lineRule="auto"/>
              <w:jc w:val="center"/>
              <w:rPr>
                <w:rFonts w:ascii="Times New Roman" w:hAnsi="Times New Roman"/>
                <w:noProof/>
                <w:color w:val="006100"/>
                <w:spacing w:val="-6"/>
                <w:sz w:val="20"/>
                <w:szCs w:val="20"/>
                <w:lang w:val="sk-SK"/>
              </w:rPr>
            </w:pPr>
          </w:p>
          <w:p w14:paraId="11BF0D1B" w14:textId="2CA117EC"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1.1. Zavedenie pokročilého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integrovaného systému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prognózovania</w:t>
            </w:r>
          </w:p>
        </w:tc>
        <w:tc>
          <w:tcPr>
            <w:tcW w:w="1261" w:type="dxa"/>
            <w:shd w:val="clear" w:color="auto" w:fill="C6EFCE"/>
            <w:noWrap/>
            <w:vAlign w:val="center"/>
            <w:hideMark/>
          </w:tcPr>
          <w:p w14:paraId="69667583"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365" w:type="dxa"/>
            <w:shd w:val="clear" w:color="auto" w:fill="C6EFCE"/>
            <w:noWrap/>
            <w:vAlign w:val="center"/>
          </w:tcPr>
          <w:p w14:paraId="1AB6FEFB" w14:textId="459D1F32"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Systém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prognóz je prístupný </w:t>
            </w:r>
          </w:p>
        </w:tc>
        <w:tc>
          <w:tcPr>
            <w:tcW w:w="1264" w:type="dxa"/>
            <w:shd w:val="clear" w:color="auto" w:fill="C6EFCE"/>
            <w:noWrap/>
            <w:vAlign w:val="center"/>
            <w:hideMark/>
          </w:tcPr>
          <w:p w14:paraId="7960953C"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Systém je prístupný online </w:t>
            </w:r>
          </w:p>
        </w:tc>
        <w:tc>
          <w:tcPr>
            <w:tcW w:w="1055" w:type="dxa"/>
            <w:shd w:val="clear" w:color="auto" w:fill="C6EFCE"/>
            <w:noWrap/>
            <w:vAlign w:val="center"/>
            <w:hideMark/>
          </w:tcPr>
          <w:p w14:paraId="094A0587"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46" w:type="dxa"/>
            <w:shd w:val="clear" w:color="auto" w:fill="C6EFCE"/>
            <w:noWrap/>
            <w:vAlign w:val="center"/>
          </w:tcPr>
          <w:p w14:paraId="77C2C0B7"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00" w:type="dxa"/>
            <w:shd w:val="clear" w:color="auto" w:fill="C6EFCE"/>
            <w:noWrap/>
            <w:vAlign w:val="center"/>
          </w:tcPr>
          <w:p w14:paraId="056820EC"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06C3BBB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70" w:type="dxa"/>
            <w:shd w:val="clear" w:color="auto" w:fill="C6EFCE"/>
            <w:noWrap/>
            <w:vAlign w:val="center"/>
            <w:hideMark/>
          </w:tcPr>
          <w:p w14:paraId="1E04A43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544" w:type="dxa"/>
            <w:shd w:val="clear" w:color="auto" w:fill="C6EFCE"/>
            <w:noWrap/>
            <w:vAlign w:val="center"/>
            <w:hideMark/>
          </w:tcPr>
          <w:p w14:paraId="331B76F7" w14:textId="3820724A"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Systém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prognózovania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identifikovať hydrologické </w:t>
            </w:r>
            <w:r w:rsidRPr="00326E55">
              <w:rPr>
                <w:rFonts w:ascii="Times New Roman" w:hAnsi="Times New Roman"/>
                <w:noProof/>
                <w:spacing w:val="-6"/>
                <w:lang w:val="sk-SK"/>
              </w:rPr>
              <w:t>riziká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nezákonné zneškodňovanie odpadu je dostupný online.</w:t>
            </w:r>
          </w:p>
        </w:tc>
      </w:tr>
      <w:tr w:rsidR="00BF03AA" w:rsidRPr="00326E55" w14:paraId="28C3D97D" w14:textId="77777777">
        <w:trPr>
          <w:trHeight w:val="300"/>
        </w:trPr>
        <w:tc>
          <w:tcPr>
            <w:tcW w:w="1134" w:type="dxa"/>
            <w:shd w:val="clear" w:color="auto" w:fill="C6EFCE"/>
            <w:noWrap/>
            <w:vAlign w:val="center"/>
          </w:tcPr>
          <w:p w14:paraId="541A7D7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11</w:t>
            </w:r>
          </w:p>
        </w:tc>
        <w:tc>
          <w:tcPr>
            <w:tcW w:w="1736" w:type="dxa"/>
            <w:shd w:val="clear" w:color="auto" w:fill="C6EFCE"/>
            <w:noWrap/>
            <w:vAlign w:val="center"/>
          </w:tcPr>
          <w:p w14:paraId="174B42E7" w14:textId="74E324B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2.1.a. Opatrenia na znižovanie povodňových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hydrogeologických rizík – 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mestách Emilia Romagna, Toskánsko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Marche</w:t>
            </w:r>
          </w:p>
        </w:tc>
        <w:tc>
          <w:tcPr>
            <w:tcW w:w="1261" w:type="dxa"/>
            <w:shd w:val="clear" w:color="auto" w:fill="C6EFCE"/>
            <w:noWrap/>
            <w:vAlign w:val="center"/>
          </w:tcPr>
          <w:p w14:paraId="3D524C2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tcPr>
          <w:p w14:paraId="193FF21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Identifikácia zásahov prostredníctvom </w:t>
            </w:r>
            <w:r w:rsidRPr="00326E55">
              <w:rPr>
                <w:rFonts w:ascii="Times New Roman" w:hAnsi="Times New Roman"/>
                <w:noProof/>
                <w:spacing w:val="-6"/>
                <w:lang w:val="sk-SK"/>
              </w:rPr>
              <w:t>nariadenia (vyhlášok) komisára pre núdzové situácie</w:t>
            </w:r>
          </w:p>
        </w:tc>
        <w:tc>
          <w:tcPr>
            <w:tcW w:w="1264" w:type="dxa"/>
            <w:shd w:val="clear" w:color="auto" w:fill="C6EFCE"/>
            <w:noWrap/>
            <w:vAlign w:val="center"/>
          </w:tcPr>
          <w:p w14:paraId="4536731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Vyhláška (vyhlášky) komisára pre núdzové situácie</w:t>
            </w:r>
          </w:p>
        </w:tc>
        <w:tc>
          <w:tcPr>
            <w:tcW w:w="1055" w:type="dxa"/>
            <w:shd w:val="clear" w:color="auto" w:fill="C6EFCE"/>
            <w:noWrap/>
            <w:vAlign w:val="center"/>
          </w:tcPr>
          <w:p w14:paraId="54E9BE99"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946" w:type="dxa"/>
            <w:shd w:val="clear" w:color="auto" w:fill="C6EFCE"/>
            <w:noWrap/>
            <w:vAlign w:val="center"/>
          </w:tcPr>
          <w:p w14:paraId="2641E8D9"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1000" w:type="dxa"/>
            <w:shd w:val="clear" w:color="auto" w:fill="C6EFCE"/>
            <w:noWrap/>
            <w:vAlign w:val="center"/>
          </w:tcPr>
          <w:p w14:paraId="498E8A93" w14:textId="77777777" w:rsidR="00BF03AA" w:rsidRPr="00326E55" w:rsidRDefault="00BF03AA">
            <w:pPr>
              <w:spacing w:line="276" w:lineRule="auto"/>
              <w:jc w:val="center"/>
              <w:rPr>
                <w:rFonts w:ascii="Times New Roman" w:hAnsi="Times New Roman"/>
                <w:noProof/>
                <w:color w:val="006100"/>
                <w:spacing w:val="-6"/>
                <w:sz w:val="20"/>
                <w:szCs w:val="20"/>
                <w:lang w:val="sk-SK"/>
              </w:rPr>
            </w:pPr>
          </w:p>
        </w:tc>
        <w:tc>
          <w:tcPr>
            <w:tcW w:w="809" w:type="dxa"/>
            <w:shd w:val="clear" w:color="auto" w:fill="C6EFCE"/>
            <w:noWrap/>
            <w:vAlign w:val="center"/>
          </w:tcPr>
          <w:p w14:paraId="7C66F6A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70" w:type="dxa"/>
            <w:shd w:val="clear" w:color="auto" w:fill="C6EFCE"/>
            <w:noWrap/>
            <w:vAlign w:val="center"/>
          </w:tcPr>
          <w:p w14:paraId="151148E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shd w:val="clear" w:color="auto" w:fill="C6EFCE"/>
            <w:noWrap/>
            <w:vAlign w:val="center"/>
          </w:tcPr>
          <w:p w14:paraId="53276112" w14:textId="6A25AE22" w:rsidR="00BF03AA" w:rsidRPr="00326E55" w:rsidRDefault="00FB452D">
            <w:pPr>
              <w:rPr>
                <w:rFonts w:ascii="Times New Roman" w:hAnsi="Times New Roman"/>
                <w:i/>
                <w:noProof/>
                <w:color w:val="006100"/>
                <w:spacing w:val="-6"/>
                <w:sz w:val="20"/>
                <w:szCs w:val="20"/>
                <w:lang w:val="sk-SK"/>
              </w:rPr>
            </w:pPr>
            <w:r w:rsidRPr="00326E55">
              <w:rPr>
                <w:rFonts w:ascii="Times New Roman" w:hAnsi="Times New Roman"/>
                <w:noProof/>
                <w:color w:val="006100"/>
                <w:spacing w:val="-6"/>
                <w:sz w:val="20"/>
                <w:szCs w:val="20"/>
                <w:lang w:val="sk-SK"/>
              </w:rPr>
              <w:t>V jednom alebo viacerých nariadeniach komisára pre núdzové situácie sa určí presný zoznam zásahov na obnovu vodných ciest</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zvýšenie ochrany pred povodňami</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zosuvmi pôdy, zásahy na obnovu verejných budov vrátane verejných domov</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zdravotných stredísk</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celkový počet km dopravnej siete, ktorá sa má obnoviť.</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szCs w:val="20"/>
                <w:lang w:val="sk-SK"/>
              </w:rPr>
              <w:t>Hodnota celkového počtu intervencií predstavuje najmenej 1,2 miliardy E</w:t>
            </w:r>
            <w:r w:rsidRPr="00326E55">
              <w:rPr>
                <w:rFonts w:ascii="Times New Roman" w:hAnsi="Times New Roman"/>
                <w:noProof/>
                <w:color w:val="006100"/>
                <w:spacing w:val="-6"/>
                <w:sz w:val="20"/>
                <w:szCs w:val="20"/>
                <w:lang w:val="sk-SK"/>
              </w:rPr>
              <w:t>UR.</w:t>
            </w:r>
          </w:p>
        </w:tc>
      </w:tr>
      <w:tr w:rsidR="00BF03AA" w:rsidRPr="00326E55" w14:paraId="3C804535" w14:textId="77777777">
        <w:trPr>
          <w:trHeight w:val="300"/>
        </w:trPr>
        <w:tc>
          <w:tcPr>
            <w:tcW w:w="1134" w:type="dxa"/>
            <w:shd w:val="clear" w:color="auto" w:fill="C6EFCE"/>
            <w:noWrap/>
            <w:vAlign w:val="center"/>
          </w:tcPr>
          <w:p w14:paraId="4C7A3218"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M2C4 – 11bis</w:t>
            </w:r>
          </w:p>
        </w:tc>
        <w:tc>
          <w:tcPr>
            <w:tcW w:w="1736" w:type="dxa"/>
            <w:shd w:val="clear" w:color="auto" w:fill="C6EFCE"/>
            <w:noWrap/>
            <w:vAlign w:val="center"/>
          </w:tcPr>
          <w:p w14:paraId="06E0B18B" w14:textId="3F9F9997" w:rsidR="00BF03AA" w:rsidRPr="00326E55" w:rsidRDefault="00FB452D">
            <w:pPr>
              <w:pStyle w:val="P68B1DB1-Normal12"/>
              <w:spacing w:after="120"/>
              <w:jc w:val="center"/>
              <w:rPr>
                <w:rFonts w:ascii="Times New Roman" w:hAnsi="Times New Roman"/>
                <w:noProof/>
                <w:spacing w:val="-6"/>
                <w:lang w:val="sk-SK"/>
              </w:rPr>
            </w:pPr>
            <w:bookmarkStart w:id="19" w:name="_Hlk160472904"/>
            <w:r w:rsidRPr="00326E55">
              <w:rPr>
                <w:rFonts w:ascii="Times New Roman" w:hAnsi="Times New Roman"/>
                <w:noProof/>
                <w:spacing w:val="-6"/>
                <w:lang w:val="sk-SK"/>
              </w:rPr>
              <w:t>Investícia 2.1.a. Opatrenia na znižovanie povodňových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hydrogeologických rizík – 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mestách Emilia Romagna, Toskánsko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Marche</w:t>
            </w:r>
            <w:bookmarkEnd w:id="19"/>
          </w:p>
        </w:tc>
        <w:tc>
          <w:tcPr>
            <w:tcW w:w="1261" w:type="dxa"/>
            <w:shd w:val="clear" w:color="auto" w:fill="C6EFCE"/>
            <w:noWrap/>
            <w:vAlign w:val="center"/>
          </w:tcPr>
          <w:p w14:paraId="7507C768"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65" w:type="dxa"/>
            <w:shd w:val="clear" w:color="auto" w:fill="C6EFCE"/>
            <w:noWrap/>
            <w:vAlign w:val="center"/>
          </w:tcPr>
          <w:p w14:paraId="4679DD89"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Realizované projekty</w:t>
            </w:r>
          </w:p>
        </w:tc>
        <w:tc>
          <w:tcPr>
            <w:tcW w:w="1264" w:type="dxa"/>
            <w:shd w:val="clear" w:color="auto" w:fill="C6EFCE"/>
            <w:noWrap/>
            <w:vAlign w:val="center"/>
          </w:tcPr>
          <w:p w14:paraId="4C34BB3E"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Certifikácia dokončenia projektov</w:t>
            </w:r>
          </w:p>
        </w:tc>
        <w:tc>
          <w:tcPr>
            <w:tcW w:w="1055" w:type="dxa"/>
            <w:shd w:val="clear" w:color="auto" w:fill="C6EFCE"/>
            <w:noWrap/>
            <w:vAlign w:val="center"/>
          </w:tcPr>
          <w:p w14:paraId="1E0017A3"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46" w:type="dxa"/>
            <w:shd w:val="clear" w:color="auto" w:fill="C6EFCE"/>
            <w:noWrap/>
            <w:vAlign w:val="center"/>
          </w:tcPr>
          <w:p w14:paraId="04978117"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0</w:t>
            </w:r>
          </w:p>
        </w:tc>
        <w:tc>
          <w:tcPr>
            <w:tcW w:w="1000" w:type="dxa"/>
            <w:shd w:val="clear" w:color="auto" w:fill="C6EFCE"/>
            <w:noWrap/>
            <w:vAlign w:val="center"/>
          </w:tcPr>
          <w:p w14:paraId="433FFDA9"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190</w:t>
            </w:r>
          </w:p>
        </w:tc>
        <w:tc>
          <w:tcPr>
            <w:tcW w:w="809" w:type="dxa"/>
            <w:shd w:val="clear" w:color="auto" w:fill="C6EFCE"/>
            <w:noWrap/>
            <w:vAlign w:val="center"/>
          </w:tcPr>
          <w:p w14:paraId="08F31FFA"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70" w:type="dxa"/>
            <w:shd w:val="clear" w:color="auto" w:fill="C6EFCE"/>
            <w:noWrap/>
            <w:vAlign w:val="center"/>
          </w:tcPr>
          <w:p w14:paraId="721E7CA7"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544" w:type="dxa"/>
            <w:shd w:val="clear" w:color="auto" w:fill="C6EFCE"/>
            <w:noWrap/>
            <w:vAlign w:val="center"/>
          </w:tcPr>
          <w:p w14:paraId="16A113C6" w14:textId="38654A63" w:rsidR="00BF03AA"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sa vydávajú najmenej na 190 zásahov na obnovu vodných ciest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zvýšenie ochrany pred povodňami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zosuvmi pôdy, ako aj na rekonštrukčné zásahy dopravnej siete, ako sa uvádza vo vyhláškach komisára pre núdzové situácie.</w:t>
            </w:r>
          </w:p>
        </w:tc>
      </w:tr>
      <w:tr w:rsidR="00BF03AA" w:rsidRPr="00326E55" w14:paraId="217B07D3" w14:textId="77777777">
        <w:trPr>
          <w:trHeight w:val="300"/>
        </w:trPr>
        <w:tc>
          <w:tcPr>
            <w:tcW w:w="1134" w:type="dxa"/>
            <w:shd w:val="clear" w:color="auto" w:fill="C6EFCE"/>
            <w:noWrap/>
            <w:vAlign w:val="center"/>
          </w:tcPr>
          <w:p w14:paraId="1FEBD78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M2C4 – 12</w:t>
            </w:r>
          </w:p>
        </w:tc>
        <w:tc>
          <w:tcPr>
            <w:tcW w:w="1736" w:type="dxa"/>
            <w:shd w:val="clear" w:color="auto" w:fill="C6EFCE"/>
            <w:noWrap/>
            <w:vAlign w:val="center"/>
          </w:tcPr>
          <w:p w14:paraId="35B7FE48" w14:textId="5277BEE0"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2.1.b. Opatrenia na zníženie povodňových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hydrogeologických rizík</w:t>
            </w:r>
          </w:p>
        </w:tc>
        <w:tc>
          <w:tcPr>
            <w:tcW w:w="1261" w:type="dxa"/>
            <w:shd w:val="clear" w:color="auto" w:fill="C6EFCE"/>
            <w:noWrap/>
            <w:vAlign w:val="center"/>
          </w:tcPr>
          <w:p w14:paraId="6EA2D86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tcPr>
          <w:p w14:paraId="78542BB2" w14:textId="4669304F"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revidovaného právneho rámca pre zásahy proti povodňovým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hydrogeologickým rizikám</w:t>
            </w:r>
          </w:p>
        </w:tc>
        <w:tc>
          <w:tcPr>
            <w:tcW w:w="1264" w:type="dxa"/>
            <w:shd w:val="clear" w:color="auto" w:fill="C6EFCE"/>
            <w:noWrap/>
            <w:vAlign w:val="center"/>
          </w:tcPr>
          <w:p w14:paraId="501D54DB" w14:textId="0F27F875"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Ustanovenia nariadení,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uvádza nadobudnutie účinnosti</w:t>
            </w:r>
          </w:p>
        </w:tc>
        <w:tc>
          <w:tcPr>
            <w:tcW w:w="1055" w:type="dxa"/>
            <w:shd w:val="clear" w:color="auto" w:fill="C6EFCE"/>
            <w:noWrap/>
            <w:vAlign w:val="center"/>
          </w:tcPr>
          <w:p w14:paraId="104D45E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tcPr>
          <w:p w14:paraId="7F7E86E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tcPr>
          <w:p w14:paraId="340B292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tcPr>
          <w:p w14:paraId="2B36D58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tcPr>
          <w:p w14:paraId="71A94D8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544" w:type="dxa"/>
            <w:shd w:val="clear" w:color="auto" w:fill="C6EFCE"/>
            <w:noWrap/>
            <w:vAlign w:val="center"/>
          </w:tcPr>
          <w:p w14:paraId="07109043" w14:textId="34A4C39B"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noProof/>
                <w:spacing w:val="-6"/>
                <w:lang w:val="sk-SK"/>
              </w:rPr>
              <w:t>Dekréty, ktorými sa schvaľuje prvá intervencia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investičný plán</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príslušnej oblasti (delegát komisára/región/autonómna provincia) na zníženie povodňových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hydrogeologických rizík, majú za cieľ obnoviť </w:t>
            </w:r>
            <w:r w:rsidRPr="00326E55">
              <w:rPr>
                <w:rFonts w:ascii="Times New Roman" w:hAnsi="Times New Roman"/>
                <w:noProof/>
                <w:spacing w:val="-6"/>
                <w:lang w:val="sk-SK"/>
              </w:rPr>
              <w:t>začiatok pôvodných podmienok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zabezpečiť odolnosť území voči prírodným katastrofám.</w:t>
            </w:r>
          </w:p>
        </w:tc>
      </w:tr>
      <w:tr w:rsidR="00BF03AA" w:rsidRPr="00326E55" w14:paraId="457146B8" w14:textId="77777777">
        <w:trPr>
          <w:trHeight w:val="300"/>
        </w:trPr>
        <w:tc>
          <w:tcPr>
            <w:tcW w:w="1134" w:type="dxa"/>
            <w:shd w:val="clear" w:color="auto" w:fill="C6EFCE"/>
            <w:noWrap/>
            <w:vAlign w:val="center"/>
          </w:tcPr>
          <w:p w14:paraId="07E7E6F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M2C4 – 13</w:t>
            </w:r>
          </w:p>
        </w:tc>
        <w:tc>
          <w:tcPr>
            <w:tcW w:w="1736" w:type="dxa"/>
            <w:shd w:val="clear" w:color="auto" w:fill="C6EFCE"/>
            <w:noWrap/>
            <w:vAlign w:val="center"/>
          </w:tcPr>
          <w:p w14:paraId="66939BB7" w14:textId="4903DC45"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2.1b – Opatrenia na zníženie povodňových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hydrogeologických rizík</w:t>
            </w:r>
          </w:p>
        </w:tc>
        <w:tc>
          <w:tcPr>
            <w:tcW w:w="1261" w:type="dxa"/>
            <w:shd w:val="clear" w:color="auto" w:fill="C6EFCE"/>
            <w:noWrap/>
            <w:vAlign w:val="center"/>
          </w:tcPr>
          <w:p w14:paraId="47C9B87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tcPr>
          <w:p w14:paraId="20B65FCF" w14:textId="34388D13"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Vykonané intervencie typu 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typu E</w:t>
            </w:r>
          </w:p>
        </w:tc>
        <w:tc>
          <w:tcPr>
            <w:tcW w:w="1264" w:type="dxa"/>
            <w:shd w:val="clear" w:color="auto" w:fill="C6EFCE"/>
            <w:noWrap/>
            <w:vAlign w:val="center"/>
          </w:tcPr>
          <w:p w14:paraId="0F8652FB"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tcPr>
          <w:p w14:paraId="2F2A254D"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Percento</w:t>
            </w:r>
          </w:p>
        </w:tc>
        <w:tc>
          <w:tcPr>
            <w:tcW w:w="946" w:type="dxa"/>
            <w:shd w:val="clear" w:color="auto" w:fill="C6EFCE"/>
            <w:noWrap/>
            <w:vAlign w:val="center"/>
          </w:tcPr>
          <w:p w14:paraId="7EE5C4B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000" w:type="dxa"/>
            <w:shd w:val="clear" w:color="auto" w:fill="C6EFCE"/>
            <w:noWrap/>
            <w:vAlign w:val="center"/>
          </w:tcPr>
          <w:p w14:paraId="4FB7FD0A"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90</w:t>
            </w:r>
          </w:p>
        </w:tc>
        <w:tc>
          <w:tcPr>
            <w:tcW w:w="809" w:type="dxa"/>
            <w:shd w:val="clear" w:color="auto" w:fill="C6EFCE"/>
            <w:noWrap/>
            <w:vAlign w:val="center"/>
          </w:tcPr>
          <w:p w14:paraId="607345C4"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70" w:type="dxa"/>
            <w:shd w:val="clear" w:color="auto" w:fill="C6EFCE"/>
            <w:noWrap/>
            <w:vAlign w:val="center"/>
          </w:tcPr>
          <w:p w14:paraId="414867F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shd w:val="clear" w:color="auto" w:fill="C6EFCE"/>
            <w:noWrap/>
            <w:vAlign w:val="center"/>
          </w:tcPr>
          <w:p w14:paraId="4B34D8E3" w14:textId="4A538C0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sa vydávajú aspoň na 90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zásahov typu 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typu D zameraných na obnovu poškodených verejných štruktúr, ako sa uvádza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schvaľovacích aktoch Národnej služby civilnej ochrany.</w:t>
            </w:r>
          </w:p>
        </w:tc>
      </w:tr>
      <w:tr w:rsidR="00BF03AA" w:rsidRPr="00326E55" w14:paraId="01D2CA9A" w14:textId="77777777">
        <w:trPr>
          <w:trHeight w:val="300"/>
        </w:trPr>
        <w:tc>
          <w:tcPr>
            <w:tcW w:w="1134" w:type="dxa"/>
            <w:shd w:val="clear" w:color="auto" w:fill="C6EFCE"/>
            <w:noWrap/>
            <w:vAlign w:val="center"/>
            <w:hideMark/>
          </w:tcPr>
          <w:p w14:paraId="25B2DAE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18</w:t>
            </w:r>
          </w:p>
        </w:tc>
        <w:tc>
          <w:tcPr>
            <w:tcW w:w="1736" w:type="dxa"/>
            <w:shd w:val="clear" w:color="auto" w:fill="C6EFCE"/>
            <w:noWrap/>
            <w:vAlign w:val="center"/>
            <w:hideMark/>
          </w:tcPr>
          <w:p w14:paraId="5984DCDB" w14:textId="4F50AD75"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Investície. 3.1: Ochrana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zveľaďovanie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lesov</w:t>
            </w:r>
          </w:p>
        </w:tc>
        <w:tc>
          <w:tcPr>
            <w:tcW w:w="1261" w:type="dxa"/>
            <w:shd w:val="clear" w:color="auto" w:fill="C6EFCE"/>
            <w:noWrap/>
            <w:vAlign w:val="center"/>
            <w:hideMark/>
          </w:tcPr>
          <w:p w14:paraId="5919B0F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hideMark/>
          </w:tcPr>
          <w:p w14:paraId="49A629A0" w14:textId="68544171"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revidovaných právnych zmien na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zhodnocovanie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zelených plôch</w:t>
            </w:r>
          </w:p>
        </w:tc>
        <w:tc>
          <w:tcPr>
            <w:tcW w:w="1264" w:type="dxa"/>
            <w:shd w:val="clear" w:color="auto" w:fill="C6EFCE"/>
            <w:noWrap/>
            <w:vAlign w:val="center"/>
            <w:hideMark/>
          </w:tcPr>
          <w:p w14:paraId="0697C6AE" w14:textId="4533AB88"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príslušných právnych predpisoch,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prijatie plánu mestsk</w:t>
            </w:r>
            <w:r w:rsidRPr="00326E55">
              <w:rPr>
                <w:rFonts w:ascii="Times New Roman" w:hAnsi="Times New Roman"/>
                <w:noProof/>
                <w:spacing w:val="-6"/>
                <w:lang w:val="sk-SK"/>
              </w:rPr>
              <w:t>ého zalesňovania</w:t>
            </w:r>
          </w:p>
        </w:tc>
        <w:tc>
          <w:tcPr>
            <w:tcW w:w="1055" w:type="dxa"/>
            <w:shd w:val="clear" w:color="auto" w:fill="C6EFCE"/>
            <w:noWrap/>
            <w:vAlign w:val="center"/>
            <w:hideMark/>
          </w:tcPr>
          <w:p w14:paraId="07ADB5B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hideMark/>
          </w:tcPr>
          <w:p w14:paraId="2E21D3C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hideMark/>
          </w:tcPr>
          <w:p w14:paraId="62C7258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0CF7A5E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13A3698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544" w:type="dxa"/>
            <w:shd w:val="clear" w:color="auto" w:fill="C6EFCE"/>
            <w:noWrap/>
            <w:vAlign w:val="center"/>
            <w:hideMark/>
          </w:tcPr>
          <w:p w14:paraId="7F1524A1" w14:textId="1D525004"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Plán mestského zalesňovania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zákona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12</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2019, 141 (ďalej len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klíme“)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 fáze plánovania, ktorú majú uskutočniť metropolitné mestá.</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pláne </w:t>
            </w:r>
            <w:r w:rsidRPr="00326E55">
              <w:rPr>
                <w:rFonts w:ascii="Times New Roman" w:hAnsi="Times New Roman"/>
                <w:noProof/>
                <w:spacing w:val="-6"/>
                <w:lang w:val="sk-SK"/>
              </w:rPr>
              <w:t>by sa mali stanoviť minimálne tieto ciele:</w:t>
            </w:r>
          </w:p>
          <w:p w14:paraId="692B2F98" w14:textId="61F404DA" w:rsidR="00BF03AA" w:rsidRPr="00326E55" w:rsidRDefault="00FB452D">
            <w:pPr>
              <w:pStyle w:val="P68B1DB1-ListParagraph15"/>
              <w:numPr>
                <w:ilvl w:val="0"/>
                <w:numId w:val="27"/>
              </w:numPr>
              <w:spacing w:after="0" w:line="240" w:lineRule="auto"/>
              <w:ind w:left="446"/>
              <w:contextualSpacing w:val="0"/>
              <w:rPr>
                <w:rFonts w:ascii="Times New Roman" w:hAnsi="Times New Roman"/>
                <w:noProof/>
                <w:spacing w:val="-6"/>
                <w:szCs w:val="20"/>
                <w:lang w:val="sk-SK"/>
              </w:rPr>
            </w:pPr>
            <w:r w:rsidRPr="00326E55">
              <w:rPr>
                <w:rFonts w:ascii="Times New Roman" w:hAnsi="Times New Roman"/>
                <w:noProof/>
                <w:spacing w:val="-6"/>
                <w:lang w:val="sk-SK"/>
              </w:rPr>
              <w:t>Zachovať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posilniť difúznu biodiverzitu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európskou stratégiou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biodiverzity,</w:t>
            </w:r>
          </w:p>
          <w:p w14:paraId="38CDC4D8" w14:textId="64CA5C38" w:rsidR="00BF03AA" w:rsidRPr="00326E55" w:rsidRDefault="00FB452D">
            <w:pPr>
              <w:pStyle w:val="P68B1DB1-ListParagraph15"/>
              <w:numPr>
                <w:ilvl w:val="0"/>
                <w:numId w:val="27"/>
              </w:numPr>
              <w:spacing w:after="0" w:line="240" w:lineRule="auto"/>
              <w:ind w:left="446"/>
              <w:contextualSpacing w:val="0"/>
              <w:rPr>
                <w:rFonts w:ascii="Times New Roman" w:hAnsi="Times New Roman"/>
                <w:noProof/>
                <w:spacing w:val="-6"/>
                <w:szCs w:val="20"/>
                <w:lang w:val="sk-SK"/>
              </w:rPr>
            </w:pPr>
            <w:r w:rsidRPr="00326E55">
              <w:rPr>
                <w:rFonts w:ascii="Times New Roman" w:hAnsi="Times New Roman"/>
                <w:noProof/>
                <w:spacing w:val="-6"/>
                <w:lang w:val="sk-SK"/>
              </w:rPr>
              <w:t>Prispieť</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zníženiu znečistenia ovzdušia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metropolitných oblastiach,</w:t>
            </w:r>
          </w:p>
          <w:p w14:paraId="49055827" w14:textId="465F97A0" w:rsidR="00BF03AA" w:rsidRPr="00326E55" w:rsidRDefault="00FB452D">
            <w:pPr>
              <w:pStyle w:val="P68B1DB1-ListParagraph15"/>
              <w:numPr>
                <w:ilvl w:val="0"/>
                <w:numId w:val="27"/>
              </w:numPr>
              <w:spacing w:after="0" w:line="240" w:lineRule="auto"/>
              <w:ind w:left="446"/>
              <w:contextualSpacing w:val="0"/>
              <w:rPr>
                <w:rFonts w:ascii="Times New Roman" w:hAnsi="Times New Roman"/>
                <w:noProof/>
                <w:spacing w:val="-6"/>
                <w:szCs w:val="20"/>
                <w:lang w:val="sk-SK"/>
              </w:rPr>
            </w:pPr>
            <w:r w:rsidRPr="00326E55">
              <w:rPr>
                <w:rFonts w:ascii="Times New Roman" w:hAnsi="Times New Roman"/>
                <w:noProof/>
                <w:spacing w:val="-6"/>
                <w:lang w:val="sk-SK"/>
              </w:rPr>
              <w:t>Obmedziť postupy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nesplnenia povinnos</w:t>
            </w:r>
            <w:r w:rsidRPr="00326E55">
              <w:rPr>
                <w:rFonts w:ascii="Times New Roman" w:hAnsi="Times New Roman"/>
                <w:noProof/>
                <w:spacing w:val="-6"/>
                <w:lang w:val="sk-SK"/>
              </w:rPr>
              <w:t>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kvality ovzdušia;</w:t>
            </w:r>
          </w:p>
          <w:p w14:paraId="6D13A728" w14:textId="48E9140B" w:rsidR="00BF03AA" w:rsidRPr="00326E55" w:rsidRDefault="00FB452D">
            <w:pPr>
              <w:pStyle w:val="P68B1DB1-ListParagraph15"/>
              <w:numPr>
                <w:ilvl w:val="0"/>
                <w:numId w:val="27"/>
              </w:numPr>
              <w:spacing w:after="0" w:line="240" w:lineRule="auto"/>
              <w:ind w:left="446"/>
              <w:contextualSpacing w:val="0"/>
              <w:rPr>
                <w:rFonts w:ascii="Times New Roman" w:hAnsi="Times New Roman"/>
                <w:noProof/>
                <w:spacing w:val="-6"/>
                <w:szCs w:val="20"/>
                <w:lang w:val="sk-SK"/>
              </w:rPr>
            </w:pPr>
            <w:r w:rsidRPr="00326E55">
              <w:rPr>
                <w:rFonts w:ascii="Times New Roman" w:hAnsi="Times New Roman"/>
                <w:noProof/>
                <w:spacing w:val="-6"/>
                <w:lang w:val="sk-SK"/>
              </w:rPr>
              <w:t>Obnoviť krajinu vytvorenú človekom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zlepšiť chránené oblasti nachádzajúce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bezprostrednej blízkosti metropolitných oblastí;</w:t>
            </w:r>
          </w:p>
          <w:p w14:paraId="2600A551" w14:textId="55AAF36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Obmedziť spotrebu pôdy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obnoviť užitočné pôdy.</w:t>
            </w:r>
          </w:p>
        </w:tc>
      </w:tr>
      <w:tr w:rsidR="00BF03AA" w:rsidRPr="00326E55" w14:paraId="21752641" w14:textId="77777777">
        <w:trPr>
          <w:trHeight w:val="300"/>
        </w:trPr>
        <w:tc>
          <w:tcPr>
            <w:tcW w:w="1134" w:type="dxa"/>
            <w:shd w:val="clear" w:color="auto" w:fill="C6EFCE"/>
            <w:noWrap/>
            <w:vAlign w:val="center"/>
            <w:hideMark/>
          </w:tcPr>
          <w:p w14:paraId="0EB335F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19</w:t>
            </w:r>
          </w:p>
        </w:tc>
        <w:tc>
          <w:tcPr>
            <w:tcW w:w="1736" w:type="dxa"/>
            <w:shd w:val="clear" w:color="auto" w:fill="C6EFCE"/>
            <w:noWrap/>
            <w:vAlign w:val="center"/>
            <w:hideMark/>
          </w:tcPr>
          <w:p w14:paraId="0C28F051" w14:textId="71B28711"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Investície. 3.1: Ochrana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zveľaďovanie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lesov</w:t>
            </w:r>
          </w:p>
        </w:tc>
        <w:tc>
          <w:tcPr>
            <w:tcW w:w="1261" w:type="dxa"/>
            <w:shd w:val="clear" w:color="auto" w:fill="C6EFCE"/>
            <w:noWrap/>
            <w:vAlign w:val="center"/>
            <w:hideMark/>
          </w:tcPr>
          <w:p w14:paraId="1997F96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764834DE" w14:textId="09048FBC"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Rastlinné stromy na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zhodnocovanie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zelených plôch T1</w:t>
            </w:r>
          </w:p>
        </w:tc>
        <w:tc>
          <w:tcPr>
            <w:tcW w:w="1264" w:type="dxa"/>
            <w:shd w:val="clear" w:color="auto" w:fill="C6EFCE"/>
            <w:noWrap/>
            <w:vAlign w:val="center"/>
            <w:hideMark/>
          </w:tcPr>
          <w:p w14:paraId="4B210EE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4E4671B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7F8453B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000" w:type="dxa"/>
            <w:shd w:val="clear" w:color="auto" w:fill="C6EFCE"/>
            <w:noWrap/>
            <w:vAlign w:val="center"/>
            <w:hideMark/>
          </w:tcPr>
          <w:p w14:paraId="128D5B9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1 650 000</w:t>
            </w:r>
          </w:p>
        </w:tc>
        <w:tc>
          <w:tcPr>
            <w:tcW w:w="809" w:type="dxa"/>
            <w:shd w:val="clear" w:color="auto" w:fill="C6EFCE"/>
            <w:noWrap/>
            <w:vAlign w:val="center"/>
            <w:hideMark/>
          </w:tcPr>
          <w:p w14:paraId="53FF994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0FA8287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544" w:type="dxa"/>
            <w:shd w:val="clear" w:color="auto" w:fill="C6EFCE"/>
            <w:noWrap/>
            <w:vAlign w:val="center"/>
            <w:hideMark/>
          </w:tcPr>
          <w:p w14:paraId="41241CE4" w14:textId="64625818"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Vysadiť najmenej 1650000 stromov na opätovné zalesňovanie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oblastí podľa článku 4 zákona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12</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2019, 141 (tzv.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klíme).</w:t>
            </w:r>
          </w:p>
        </w:tc>
      </w:tr>
      <w:tr w:rsidR="00BF03AA" w:rsidRPr="00326E55" w14:paraId="05C1A266" w14:textId="77777777">
        <w:trPr>
          <w:trHeight w:val="300"/>
        </w:trPr>
        <w:tc>
          <w:tcPr>
            <w:tcW w:w="1134" w:type="dxa"/>
            <w:shd w:val="clear" w:color="auto" w:fill="C6EFCE"/>
            <w:noWrap/>
            <w:vAlign w:val="center"/>
            <w:hideMark/>
          </w:tcPr>
          <w:p w14:paraId="264953C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20</w:t>
            </w:r>
          </w:p>
        </w:tc>
        <w:tc>
          <w:tcPr>
            <w:tcW w:w="1736" w:type="dxa"/>
            <w:shd w:val="clear" w:color="auto" w:fill="C6EFCE"/>
            <w:noWrap/>
            <w:vAlign w:val="center"/>
            <w:hideMark/>
          </w:tcPr>
          <w:p w14:paraId="661F8355" w14:textId="7FB84118"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Investície. 3.1: Ochrana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zveľaďovanie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lesov</w:t>
            </w:r>
          </w:p>
        </w:tc>
        <w:tc>
          <w:tcPr>
            <w:tcW w:w="1261" w:type="dxa"/>
            <w:shd w:val="clear" w:color="auto" w:fill="C6EFCE"/>
            <w:noWrap/>
            <w:vAlign w:val="center"/>
            <w:hideMark/>
          </w:tcPr>
          <w:p w14:paraId="61FE3AC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7120E703" w14:textId="56BE948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Rastlinné stromy na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zhodnocovanie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prímestských zelených </w:t>
            </w:r>
            <w:r w:rsidRPr="00326E55">
              <w:rPr>
                <w:rFonts w:ascii="Times New Roman" w:hAnsi="Times New Roman"/>
                <w:noProof/>
                <w:spacing w:val="-6"/>
                <w:lang w:val="sk-SK"/>
              </w:rPr>
              <w:t>plôch T2</w:t>
            </w:r>
          </w:p>
        </w:tc>
        <w:tc>
          <w:tcPr>
            <w:tcW w:w="1264" w:type="dxa"/>
            <w:shd w:val="clear" w:color="auto" w:fill="C6EFCE"/>
            <w:noWrap/>
            <w:vAlign w:val="center"/>
            <w:hideMark/>
          </w:tcPr>
          <w:p w14:paraId="164B435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6062638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3991EBF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1 650 000</w:t>
            </w:r>
          </w:p>
        </w:tc>
        <w:tc>
          <w:tcPr>
            <w:tcW w:w="1000" w:type="dxa"/>
            <w:shd w:val="clear" w:color="auto" w:fill="C6EFCE"/>
            <w:noWrap/>
            <w:vAlign w:val="center"/>
            <w:hideMark/>
          </w:tcPr>
          <w:p w14:paraId="2E174BF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4 500 000</w:t>
            </w:r>
          </w:p>
        </w:tc>
        <w:tc>
          <w:tcPr>
            <w:tcW w:w="809" w:type="dxa"/>
            <w:shd w:val="clear" w:color="auto" w:fill="C6EFCE"/>
            <w:noWrap/>
            <w:vAlign w:val="center"/>
            <w:hideMark/>
          </w:tcPr>
          <w:p w14:paraId="4EC9EA4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332E157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shd w:val="clear" w:color="auto" w:fill="C6EFCE"/>
            <w:noWrap/>
            <w:vAlign w:val="center"/>
            <w:hideMark/>
          </w:tcPr>
          <w:p w14:paraId="09FB38E0" w14:textId="79139521"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Výsadba lesného reprodukčného materiálu (osív alebo rastlín) pre najmenej 4500000 stromov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krov na účely opätovného zalesňovania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oblastí podľa článku 4 zákona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12</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2019, 141 (tzv.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klíme).</w:t>
            </w:r>
          </w:p>
        </w:tc>
      </w:tr>
      <w:tr w:rsidR="00BF03AA" w:rsidRPr="00326E55" w14:paraId="49876945"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7FDF4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20bis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A641F2" w14:textId="0EF97F70"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Investície. 3.1: Ochrana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zveľaďovanie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lesov</w:t>
            </w:r>
          </w:p>
        </w:tc>
        <w:tc>
          <w:tcPr>
            <w:tcW w:w="12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3CCAF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33EE" w14:textId="5AC8CA3D"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Rastlinné stromy na ochranu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zhodnocovanie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zelených plôch T3</w:t>
            </w:r>
          </w:p>
        </w:tc>
        <w:tc>
          <w:tcPr>
            <w:tcW w:w="12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EE3A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00BF0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E752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0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D1E0D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3 500 000</w:t>
            </w:r>
          </w:p>
        </w:tc>
        <w:tc>
          <w:tcPr>
            <w:tcW w:w="8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AB795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DRUHÝ </w:t>
            </w:r>
            <w:r w:rsidRPr="00326E55">
              <w:rPr>
                <w:rFonts w:ascii="Times New Roman" w:hAnsi="Times New Roman"/>
                <w:noProof/>
                <w:spacing w:val="-6"/>
                <w:lang w:val="sk-SK"/>
              </w:rPr>
              <w:t>ŠTVRŤROK</w:t>
            </w:r>
          </w:p>
        </w:tc>
        <w:tc>
          <w:tcPr>
            <w:tcW w:w="770" w:type="dxa"/>
            <w:tcBorders>
              <w:top w:val="single" w:sz="4" w:space="0" w:color="auto"/>
              <w:left w:val="single" w:sz="4" w:space="0" w:color="auto"/>
              <w:bottom w:val="single" w:sz="4" w:space="0" w:color="auto"/>
              <w:right w:val="single" w:sz="4" w:space="0" w:color="auto"/>
            </w:tcBorders>
            <w:shd w:val="clear" w:color="auto" w:fill="C6EFCE"/>
            <w:vAlign w:val="center"/>
          </w:tcPr>
          <w:p w14:paraId="135BB5C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59A122" w14:textId="01C249DB"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Presádzanie lesného reprodukčného materiálu (osív alebo rastlín) pre najmenej 3500000 stromov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krov na opätovné zalesnenie 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prímestských oblastí.</w:t>
            </w:r>
          </w:p>
        </w:tc>
      </w:tr>
      <w:tr w:rsidR="00BF03AA" w:rsidRPr="00326E55" w14:paraId="136D37C5" w14:textId="77777777">
        <w:trPr>
          <w:trHeight w:val="300"/>
        </w:trPr>
        <w:tc>
          <w:tcPr>
            <w:tcW w:w="1134" w:type="dxa"/>
            <w:shd w:val="clear" w:color="auto" w:fill="C6EFCE"/>
            <w:noWrap/>
            <w:vAlign w:val="center"/>
            <w:hideMark/>
          </w:tcPr>
          <w:p w14:paraId="6ADE66B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21</w:t>
            </w:r>
          </w:p>
        </w:tc>
        <w:tc>
          <w:tcPr>
            <w:tcW w:w="1736" w:type="dxa"/>
            <w:shd w:val="clear" w:color="auto" w:fill="C6EFCE"/>
            <w:noWrap/>
            <w:vAlign w:val="center"/>
            <w:hideMark/>
          </w:tcPr>
          <w:p w14:paraId="711659F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3.3 Renaturácia oblasti Po</w:t>
            </w:r>
          </w:p>
        </w:tc>
        <w:tc>
          <w:tcPr>
            <w:tcW w:w="1261" w:type="dxa"/>
            <w:shd w:val="clear" w:color="auto" w:fill="C6EFCE"/>
            <w:noWrap/>
            <w:vAlign w:val="center"/>
            <w:hideMark/>
          </w:tcPr>
          <w:p w14:paraId="0186EFB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hideMark/>
          </w:tcPr>
          <w:p w14:paraId="30A6165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Revízia právneho rámca pre </w:t>
            </w:r>
            <w:r w:rsidRPr="00326E55">
              <w:rPr>
                <w:rFonts w:ascii="Times New Roman" w:hAnsi="Times New Roman"/>
                <w:noProof/>
                <w:spacing w:val="-6"/>
                <w:lang w:val="sk-SK"/>
              </w:rPr>
              <w:t>intervencie na renaturáciu oblasti Pád</w:t>
            </w:r>
          </w:p>
        </w:tc>
        <w:tc>
          <w:tcPr>
            <w:tcW w:w="1264" w:type="dxa"/>
            <w:shd w:val="clear" w:color="auto" w:fill="C6EFCE"/>
            <w:noWrap/>
            <w:vAlign w:val="center"/>
            <w:hideMark/>
          </w:tcPr>
          <w:p w14:paraId="6EB4EF69" w14:textId="4CB83DAE"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príslušnom právnom predpise,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w:t>
            </w:r>
          </w:p>
        </w:tc>
        <w:tc>
          <w:tcPr>
            <w:tcW w:w="1055" w:type="dxa"/>
            <w:shd w:val="clear" w:color="auto" w:fill="C6EFCE"/>
            <w:noWrap/>
            <w:vAlign w:val="center"/>
            <w:hideMark/>
          </w:tcPr>
          <w:p w14:paraId="2E517DA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hideMark/>
          </w:tcPr>
          <w:p w14:paraId="074D49B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hideMark/>
          </w:tcPr>
          <w:p w14:paraId="3B114B6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2187173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70" w:type="dxa"/>
            <w:shd w:val="clear" w:color="auto" w:fill="C6EFCE"/>
            <w:noWrap/>
            <w:vAlign w:val="center"/>
            <w:hideMark/>
          </w:tcPr>
          <w:p w14:paraId="5692A6E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544" w:type="dxa"/>
            <w:shd w:val="clear" w:color="auto" w:fill="C6EFCE"/>
            <w:noWrap/>
            <w:vAlign w:val="center"/>
            <w:hideMark/>
          </w:tcPr>
          <w:p w14:paraId="53197A14" w14:textId="1B97D507"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Nadobudnutie účinnosti príslušných právnych predpisov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obnoviť ekologický koridor reprezentovaný </w:t>
            </w:r>
            <w:r w:rsidRPr="00326E55">
              <w:rPr>
                <w:rFonts w:ascii="Times New Roman" w:hAnsi="Times New Roman"/>
                <w:noProof/>
                <w:spacing w:val="-6"/>
                <w:szCs w:val="20"/>
                <w:lang w:val="sk-SK"/>
              </w:rPr>
              <w:t>riečnym</w:t>
            </w:r>
            <w:r w:rsidRPr="00326E55">
              <w:rPr>
                <w:rFonts w:ascii="Times New Roman" w:hAnsi="Times New Roman"/>
                <w:noProof/>
                <w:spacing w:val="-6"/>
                <w:lang w:val="sk-SK"/>
              </w:rPr>
              <w:t>dnom vrátane prirodzeného opätovného zalesňovania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zásahov na obnovu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reaktiváciu bočných vetiev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oxôt.</w:t>
            </w:r>
          </w:p>
        </w:tc>
      </w:tr>
      <w:tr w:rsidR="00BF03AA" w:rsidRPr="00326E55" w14:paraId="02FB9DCF" w14:textId="77777777">
        <w:trPr>
          <w:trHeight w:val="300"/>
        </w:trPr>
        <w:tc>
          <w:tcPr>
            <w:tcW w:w="1134" w:type="dxa"/>
            <w:shd w:val="clear" w:color="auto" w:fill="C6EFCE"/>
            <w:noWrap/>
            <w:vAlign w:val="center"/>
            <w:hideMark/>
          </w:tcPr>
          <w:p w14:paraId="6001469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22</w:t>
            </w:r>
          </w:p>
        </w:tc>
        <w:tc>
          <w:tcPr>
            <w:tcW w:w="1736" w:type="dxa"/>
            <w:shd w:val="clear" w:color="auto" w:fill="C6EFCE"/>
            <w:noWrap/>
            <w:vAlign w:val="center"/>
            <w:hideMark/>
          </w:tcPr>
          <w:p w14:paraId="2BFF3B9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3.3 Renaturácia oblasti Po</w:t>
            </w:r>
          </w:p>
        </w:tc>
        <w:tc>
          <w:tcPr>
            <w:tcW w:w="1261" w:type="dxa"/>
            <w:shd w:val="clear" w:color="auto" w:fill="C6EFCE"/>
            <w:noWrap/>
            <w:vAlign w:val="center"/>
            <w:hideMark/>
          </w:tcPr>
          <w:p w14:paraId="799E1D6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41DA8A1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Zníženie umelosti riečneho dna na </w:t>
            </w:r>
            <w:r w:rsidRPr="00326E55">
              <w:rPr>
                <w:rFonts w:ascii="Times New Roman" w:hAnsi="Times New Roman"/>
                <w:noProof/>
                <w:spacing w:val="-6"/>
                <w:lang w:val="sk-SK"/>
              </w:rPr>
              <w:t>renaturáciu oblasti Pád T1</w:t>
            </w:r>
          </w:p>
        </w:tc>
        <w:tc>
          <w:tcPr>
            <w:tcW w:w="1264" w:type="dxa"/>
            <w:shd w:val="clear" w:color="auto" w:fill="C6EFCE"/>
            <w:noWrap/>
            <w:vAlign w:val="center"/>
            <w:hideMark/>
          </w:tcPr>
          <w:p w14:paraId="77F0DC3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6E3C07F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100B33C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000" w:type="dxa"/>
            <w:shd w:val="clear" w:color="auto" w:fill="C6EFCE"/>
            <w:noWrap/>
            <w:vAlign w:val="center"/>
            <w:hideMark/>
          </w:tcPr>
          <w:p w14:paraId="18CE1C0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13</w:t>
            </w:r>
          </w:p>
        </w:tc>
        <w:tc>
          <w:tcPr>
            <w:tcW w:w="809" w:type="dxa"/>
            <w:shd w:val="clear" w:color="auto" w:fill="C6EFCE"/>
            <w:noWrap/>
            <w:vAlign w:val="center"/>
            <w:hideMark/>
          </w:tcPr>
          <w:p w14:paraId="361718D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2F21663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shd w:val="clear" w:color="auto" w:fill="C6EFCE"/>
            <w:noWrap/>
            <w:vAlign w:val="center"/>
            <w:hideMark/>
          </w:tcPr>
          <w:p w14:paraId="2F5C4CD0" w14:textId="1FA2A0E7" w:rsidR="00BF03AA" w:rsidRPr="00326E55" w:rsidRDefault="00FB452D">
            <w:pPr>
              <w:pStyle w:val="P68B1DB1-Normal12"/>
              <w:spacing w:line="276" w:lineRule="auto"/>
              <w:jc w:val="both"/>
              <w:rPr>
                <w:rFonts w:ascii="Times New Roman" w:hAnsi="Times New Roman"/>
                <w:noProof/>
                <w:spacing w:val="-6"/>
                <w:lang w:val="sk-SK"/>
              </w:rPr>
            </w:pPr>
            <w:r w:rsidRPr="00326E55">
              <w:rPr>
                <w:rFonts w:ascii="Times New Roman" w:hAnsi="Times New Roman"/>
                <w:noProof/>
                <w:spacing w:val="-6"/>
                <w:lang w:val="sk-SK"/>
              </w:rPr>
              <w:t>Znížiť umelosť riečneho dna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13 km pozdĺž osi Po.</w:t>
            </w:r>
          </w:p>
        </w:tc>
      </w:tr>
      <w:tr w:rsidR="00BF03AA" w:rsidRPr="00326E55" w14:paraId="52767F20" w14:textId="77777777">
        <w:trPr>
          <w:trHeight w:val="300"/>
        </w:trPr>
        <w:tc>
          <w:tcPr>
            <w:tcW w:w="1134" w:type="dxa"/>
            <w:shd w:val="clear" w:color="auto" w:fill="C6EFCE"/>
            <w:noWrap/>
            <w:vAlign w:val="center"/>
            <w:hideMark/>
          </w:tcPr>
          <w:p w14:paraId="09E1C44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23</w:t>
            </w:r>
          </w:p>
        </w:tc>
        <w:tc>
          <w:tcPr>
            <w:tcW w:w="1736" w:type="dxa"/>
            <w:shd w:val="clear" w:color="auto" w:fill="C6EFCE"/>
            <w:noWrap/>
            <w:vAlign w:val="center"/>
            <w:hideMark/>
          </w:tcPr>
          <w:p w14:paraId="353476F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3.3 Renaturácia oblasti Po</w:t>
            </w:r>
          </w:p>
        </w:tc>
        <w:tc>
          <w:tcPr>
            <w:tcW w:w="1261" w:type="dxa"/>
            <w:shd w:val="clear" w:color="auto" w:fill="C6EFCE"/>
            <w:noWrap/>
            <w:vAlign w:val="center"/>
            <w:hideMark/>
          </w:tcPr>
          <w:p w14:paraId="38C5E7E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1B5D3F6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Zníženie umelosti riečneho dna na renaturáciu oblasti Pád T2</w:t>
            </w:r>
          </w:p>
        </w:tc>
        <w:tc>
          <w:tcPr>
            <w:tcW w:w="1264" w:type="dxa"/>
            <w:shd w:val="clear" w:color="auto" w:fill="C6EFCE"/>
            <w:noWrap/>
            <w:vAlign w:val="center"/>
            <w:hideMark/>
          </w:tcPr>
          <w:p w14:paraId="6356051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760D554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788DB1E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13</w:t>
            </w:r>
          </w:p>
        </w:tc>
        <w:tc>
          <w:tcPr>
            <w:tcW w:w="1000" w:type="dxa"/>
            <w:shd w:val="clear" w:color="auto" w:fill="C6EFCE"/>
            <w:noWrap/>
            <w:vAlign w:val="center"/>
            <w:hideMark/>
          </w:tcPr>
          <w:p w14:paraId="6EEDCEF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37</w:t>
            </w:r>
          </w:p>
        </w:tc>
        <w:tc>
          <w:tcPr>
            <w:tcW w:w="809" w:type="dxa"/>
            <w:shd w:val="clear" w:color="auto" w:fill="C6EFCE"/>
            <w:noWrap/>
            <w:vAlign w:val="center"/>
            <w:hideMark/>
          </w:tcPr>
          <w:p w14:paraId="342AC06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70" w:type="dxa"/>
            <w:shd w:val="clear" w:color="auto" w:fill="C6EFCE"/>
            <w:noWrap/>
            <w:vAlign w:val="center"/>
            <w:hideMark/>
          </w:tcPr>
          <w:p w14:paraId="672469C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shd w:val="clear" w:color="auto" w:fill="C6EFCE"/>
            <w:noWrap/>
            <w:vAlign w:val="center"/>
            <w:hideMark/>
          </w:tcPr>
          <w:p w14:paraId="7AFA5413" w14:textId="226F749A"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zníženie umelosti riečneho dna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37 km pozdĺž osi Po.</w:t>
            </w:r>
          </w:p>
          <w:p w14:paraId="70784EDE" w14:textId="29D425F8"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prác, ktoré zahŕňajú činnosti opätovného zalesňovania, pokrývajúce najmenej 337 hektárov </w:t>
            </w:r>
            <w:r w:rsidRPr="00326E55">
              <w:rPr>
                <w:rFonts w:ascii="Times New Roman" w:hAnsi="Times New Roman"/>
                <w:noProof/>
                <w:spacing w:val="-6"/>
                <w:lang w:val="sk-SK"/>
              </w:rPr>
              <w:t>pobrežných zalesnených oblastí.</w:t>
            </w:r>
          </w:p>
        </w:tc>
      </w:tr>
      <w:tr w:rsidR="00BF03AA" w:rsidRPr="00326E55" w14:paraId="09546FBF" w14:textId="77777777">
        <w:trPr>
          <w:trHeight w:val="300"/>
        </w:trPr>
        <w:tc>
          <w:tcPr>
            <w:tcW w:w="1134" w:type="dxa"/>
            <w:shd w:val="clear" w:color="auto" w:fill="C6EFCE"/>
            <w:noWrap/>
            <w:vAlign w:val="center"/>
            <w:hideMark/>
          </w:tcPr>
          <w:p w14:paraId="26F7DEC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24</w:t>
            </w:r>
          </w:p>
        </w:tc>
        <w:tc>
          <w:tcPr>
            <w:tcW w:w="1736" w:type="dxa"/>
            <w:shd w:val="clear" w:color="auto" w:fill="C6EFCE"/>
            <w:noWrap/>
            <w:vAlign w:val="center"/>
            <w:hideMark/>
          </w:tcPr>
          <w:p w14:paraId="0E2AE85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3.4. Sanácia „pôdy osirotených lokalít“</w:t>
            </w:r>
          </w:p>
        </w:tc>
        <w:tc>
          <w:tcPr>
            <w:tcW w:w="1261" w:type="dxa"/>
            <w:shd w:val="clear" w:color="auto" w:fill="C6EFCE"/>
            <w:noWrap/>
            <w:vAlign w:val="center"/>
            <w:hideMark/>
          </w:tcPr>
          <w:p w14:paraId="1F2110B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hideMark/>
          </w:tcPr>
          <w:p w14:paraId="528B7A5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Právny rámec pre sanáciu opustených lokalít</w:t>
            </w:r>
          </w:p>
        </w:tc>
        <w:tc>
          <w:tcPr>
            <w:tcW w:w="1264" w:type="dxa"/>
            <w:shd w:val="clear" w:color="auto" w:fill="C6EFCE"/>
            <w:noWrap/>
            <w:vAlign w:val="center"/>
            <w:hideMark/>
          </w:tcPr>
          <w:p w14:paraId="4BE18CCF" w14:textId="73A90684"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príslušnom právnom predpise,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prijatie akčného plánu</w:t>
            </w:r>
          </w:p>
        </w:tc>
        <w:tc>
          <w:tcPr>
            <w:tcW w:w="1055" w:type="dxa"/>
            <w:shd w:val="clear" w:color="auto" w:fill="C6EFCE"/>
            <w:noWrap/>
            <w:vAlign w:val="center"/>
            <w:hideMark/>
          </w:tcPr>
          <w:p w14:paraId="26E3D14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hideMark/>
          </w:tcPr>
          <w:p w14:paraId="0CE0F9E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hideMark/>
          </w:tcPr>
          <w:p w14:paraId="2DDFA34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7786BF0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075AE47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544" w:type="dxa"/>
            <w:shd w:val="clear" w:color="auto" w:fill="C6EFCE"/>
            <w:noWrap/>
            <w:vAlign w:val="center"/>
            <w:hideMark/>
          </w:tcPr>
          <w:p w14:paraId="44FB147A" w14:textId="28B16229"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Akčným plánom revitalizácie opustených lokalít sa zníži záber pôdy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posilní sa obnova miest. Zahŕňa minimálne:</w:t>
            </w:r>
          </w:p>
          <w:p w14:paraId="6F4D5A18" w14:textId="77777777" w:rsidR="00BF03AA" w:rsidRPr="00326E55" w:rsidRDefault="00FB452D">
            <w:pPr>
              <w:pStyle w:val="P68B1DB1-ListParagraph15"/>
              <w:numPr>
                <w:ilvl w:val="0"/>
                <w:numId w:val="27"/>
              </w:numPr>
              <w:spacing w:after="0" w:line="276" w:lineRule="auto"/>
              <w:ind w:left="305"/>
              <w:rPr>
                <w:rFonts w:ascii="Times New Roman" w:hAnsi="Times New Roman"/>
                <w:noProof/>
                <w:spacing w:val="-6"/>
                <w:szCs w:val="20"/>
                <w:lang w:val="sk-SK"/>
              </w:rPr>
            </w:pPr>
            <w:r w:rsidRPr="00326E55">
              <w:rPr>
                <w:rFonts w:ascii="Times New Roman" w:hAnsi="Times New Roman"/>
                <w:noProof/>
                <w:spacing w:val="-6"/>
                <w:lang w:val="sk-SK"/>
              </w:rPr>
              <w:t>Identifikácia opustených lokalít vo všetkých 21 regiónoch a/alebo autonómnych provinciách</w:t>
            </w:r>
          </w:p>
          <w:p w14:paraId="05863964" w14:textId="44BE9B72" w:rsidR="00BF03AA" w:rsidRPr="00326E55" w:rsidRDefault="00FB452D">
            <w:pPr>
              <w:pStyle w:val="P68B1DB1-ListParagraph15"/>
              <w:numPr>
                <w:ilvl w:val="0"/>
                <w:numId w:val="27"/>
              </w:numPr>
              <w:spacing w:after="0" w:line="276" w:lineRule="auto"/>
              <w:ind w:left="305"/>
              <w:rPr>
                <w:rFonts w:ascii="Times New Roman" w:hAnsi="Times New Roman"/>
                <w:noProof/>
                <w:spacing w:val="-6"/>
                <w:szCs w:val="20"/>
                <w:lang w:val="sk-SK"/>
              </w:rPr>
            </w:pPr>
            <w:r w:rsidRPr="00326E55">
              <w:rPr>
                <w:rFonts w:ascii="Times New Roman" w:hAnsi="Times New Roman"/>
                <w:noProof/>
                <w:spacing w:val="-6"/>
                <w:lang w:val="sk-SK"/>
              </w:rPr>
              <w:t xml:space="preserve">Osobitné zásahy, ktoré </w:t>
            </w:r>
            <w:r w:rsidRPr="00326E55">
              <w:rPr>
                <w:rFonts w:ascii="Times New Roman" w:hAnsi="Times New Roman"/>
                <w:noProof/>
                <w:spacing w:val="-6"/>
                <w:lang w:val="sk-SK"/>
              </w:rPr>
              <w:t>sa majú vykonať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každej ojedinelej lokalite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záber pôdy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zlepšiť obnovu miest</w:t>
            </w:r>
          </w:p>
        </w:tc>
      </w:tr>
      <w:tr w:rsidR="00BF03AA" w:rsidRPr="00326E55" w14:paraId="527B821A" w14:textId="77777777">
        <w:trPr>
          <w:trHeight w:val="300"/>
        </w:trPr>
        <w:tc>
          <w:tcPr>
            <w:tcW w:w="1134" w:type="dxa"/>
            <w:shd w:val="clear" w:color="auto" w:fill="C6EFCE"/>
            <w:noWrap/>
            <w:vAlign w:val="center"/>
            <w:hideMark/>
          </w:tcPr>
          <w:p w14:paraId="074FB1A1"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M2C4 – 25</w:t>
            </w:r>
          </w:p>
        </w:tc>
        <w:tc>
          <w:tcPr>
            <w:tcW w:w="1736" w:type="dxa"/>
            <w:shd w:val="clear" w:color="auto" w:fill="C6EFCE"/>
            <w:noWrap/>
            <w:vAlign w:val="center"/>
            <w:hideMark/>
          </w:tcPr>
          <w:p w14:paraId="175E2CA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3.4. Sanácia „pôdy osirotených lokalít“</w:t>
            </w:r>
          </w:p>
        </w:tc>
        <w:tc>
          <w:tcPr>
            <w:tcW w:w="1261" w:type="dxa"/>
            <w:shd w:val="clear" w:color="auto" w:fill="C6EFCE"/>
            <w:noWrap/>
            <w:vAlign w:val="center"/>
            <w:hideMark/>
          </w:tcPr>
          <w:p w14:paraId="12E3E13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4B4450C0" w14:textId="12AC963B"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Revitalizácia opustených lokalít</w:t>
            </w:r>
          </w:p>
        </w:tc>
        <w:tc>
          <w:tcPr>
            <w:tcW w:w="1264" w:type="dxa"/>
            <w:shd w:val="clear" w:color="auto" w:fill="C6EFCE"/>
            <w:noWrap/>
            <w:vAlign w:val="center"/>
            <w:hideMark/>
          </w:tcPr>
          <w:p w14:paraId="16DAB80F"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5FD3D6E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Percento</w:t>
            </w:r>
          </w:p>
        </w:tc>
        <w:tc>
          <w:tcPr>
            <w:tcW w:w="946" w:type="dxa"/>
            <w:shd w:val="clear" w:color="auto" w:fill="C6EFCE"/>
            <w:noWrap/>
            <w:vAlign w:val="center"/>
            <w:hideMark/>
          </w:tcPr>
          <w:p w14:paraId="5CE8A31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000" w:type="dxa"/>
            <w:shd w:val="clear" w:color="auto" w:fill="C6EFCE"/>
            <w:noWrap/>
            <w:vAlign w:val="center"/>
            <w:hideMark/>
          </w:tcPr>
          <w:p w14:paraId="63C5087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70</w:t>
            </w:r>
          </w:p>
        </w:tc>
        <w:tc>
          <w:tcPr>
            <w:tcW w:w="809" w:type="dxa"/>
            <w:shd w:val="clear" w:color="auto" w:fill="C6EFCE"/>
            <w:noWrap/>
            <w:vAlign w:val="center"/>
            <w:hideMark/>
          </w:tcPr>
          <w:p w14:paraId="18E27AA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70" w:type="dxa"/>
            <w:shd w:val="clear" w:color="auto" w:fill="C6EFCE"/>
            <w:noWrap/>
            <w:vAlign w:val="center"/>
            <w:hideMark/>
          </w:tcPr>
          <w:p w14:paraId="4388F03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shd w:val="clear" w:color="auto" w:fill="C6EFCE"/>
            <w:noWrap/>
            <w:vAlign w:val="center"/>
            <w:hideMark/>
          </w:tcPr>
          <w:p w14:paraId="7774AF71" w14:textId="7259D8D9"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sanácii pôdy (ako sa uvádza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5 čiarke 3 akčného plánu) vydané pre 70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opustených lokalít uvedených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akčnom pláne.</w:t>
            </w:r>
          </w:p>
        </w:tc>
      </w:tr>
      <w:tr w:rsidR="00BF03AA" w:rsidRPr="00326E55" w14:paraId="1B5C7512" w14:textId="77777777">
        <w:trPr>
          <w:trHeight w:val="300"/>
        </w:trPr>
        <w:tc>
          <w:tcPr>
            <w:tcW w:w="1134" w:type="dxa"/>
            <w:shd w:val="clear" w:color="auto" w:fill="C6EFCE"/>
            <w:noWrap/>
            <w:vAlign w:val="center"/>
            <w:hideMark/>
          </w:tcPr>
          <w:p w14:paraId="673B099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26</w:t>
            </w:r>
          </w:p>
        </w:tc>
        <w:tc>
          <w:tcPr>
            <w:tcW w:w="1736" w:type="dxa"/>
            <w:shd w:val="clear" w:color="auto" w:fill="C6EFCE"/>
            <w:noWrap/>
            <w:vAlign w:val="center"/>
            <w:hideMark/>
          </w:tcPr>
          <w:p w14:paraId="5EECDAFF" w14:textId="14378158"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3.5. Obnova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ochrana morského dna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morských biotopov</w:t>
            </w:r>
          </w:p>
        </w:tc>
        <w:tc>
          <w:tcPr>
            <w:tcW w:w="1261" w:type="dxa"/>
            <w:shd w:val="clear" w:color="auto" w:fill="C6EFCE"/>
            <w:noWrap/>
            <w:vAlign w:val="center"/>
            <w:hideMark/>
          </w:tcPr>
          <w:p w14:paraId="3F9A585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1F3C6E3B" w14:textId="0380985B"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Obnova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ochrana morského dna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morských biotopov</w:t>
            </w:r>
          </w:p>
        </w:tc>
        <w:tc>
          <w:tcPr>
            <w:tcW w:w="1264" w:type="dxa"/>
            <w:shd w:val="clear" w:color="auto" w:fill="C6EFCE"/>
            <w:noWrap/>
            <w:vAlign w:val="center"/>
            <w:hideMark/>
          </w:tcPr>
          <w:p w14:paraId="6C5D98B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5DB9533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29B9520C"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000" w:type="dxa"/>
            <w:shd w:val="clear" w:color="auto" w:fill="C6EFCE"/>
            <w:noWrap/>
            <w:vAlign w:val="center"/>
            <w:hideMark/>
          </w:tcPr>
          <w:p w14:paraId="458D68A1" w14:textId="020C0BD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10</w:t>
            </w:r>
          </w:p>
        </w:tc>
        <w:tc>
          <w:tcPr>
            <w:tcW w:w="809" w:type="dxa"/>
            <w:shd w:val="clear" w:color="auto" w:fill="C6EFCE"/>
            <w:noWrap/>
            <w:vAlign w:val="center"/>
            <w:hideMark/>
          </w:tcPr>
          <w:p w14:paraId="5CF3D34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70" w:type="dxa"/>
            <w:shd w:val="clear" w:color="auto" w:fill="C6EFCE"/>
            <w:noWrap/>
            <w:vAlign w:val="center"/>
            <w:hideMark/>
          </w:tcPr>
          <w:p w14:paraId="10FC84F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544" w:type="dxa"/>
            <w:shd w:val="clear" w:color="auto" w:fill="C6EFCE"/>
            <w:noWrap/>
            <w:vAlign w:val="center"/>
            <w:hideMark/>
          </w:tcPr>
          <w:p w14:paraId="585912A0" w14:textId="77777777" w:rsidR="00326E55"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Vykonalo sa týchto 10 činností</w:t>
            </w:r>
            <w:r w:rsidR="00326E55" w:rsidRPr="00326E55">
              <w:rPr>
                <w:rFonts w:ascii="Times New Roman" w:hAnsi="Times New Roman"/>
                <w:noProof/>
                <w:spacing w:val="-6"/>
                <w:lang w:val="sk-SK"/>
              </w:rPr>
              <w:t>:</w:t>
            </w:r>
          </w:p>
          <w:p w14:paraId="7C4EF0D7" w14:textId="7549C811" w:rsidR="00BF03AA" w:rsidRPr="00326E55" w:rsidRDefault="00FB452D">
            <w:pPr>
              <w:pStyle w:val="P68B1DB1-Normal12"/>
              <w:numPr>
                <w:ilvl w:val="0"/>
                <w:numId w:val="174"/>
              </w:numPr>
              <w:spacing w:line="276" w:lineRule="auto"/>
              <w:rPr>
                <w:rFonts w:ascii="Times New Roman" w:hAnsi="Times New Roman"/>
                <w:noProof/>
                <w:spacing w:val="-6"/>
                <w:lang w:val="sk-SK"/>
              </w:rPr>
            </w:pPr>
            <w:r w:rsidRPr="00326E55">
              <w:rPr>
                <w:rFonts w:ascii="Times New Roman" w:hAnsi="Times New Roman"/>
                <w:noProof/>
                <w:spacing w:val="-6"/>
                <w:lang w:val="sk-SK"/>
              </w:rPr>
              <w:t>Lokality na obnovu ustríc boli umiestnené aspoň</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jednej lokalite pre každý</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týchto regiónov:  Friuli Venezia Giulia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Emilia Romagna;</w:t>
            </w:r>
          </w:p>
          <w:p w14:paraId="7B7A68AE" w14:textId="055BC7C8" w:rsidR="00BF03AA" w:rsidRPr="00326E55" w:rsidRDefault="00FB452D">
            <w:pPr>
              <w:pStyle w:val="P68B1DB1-Normal12"/>
              <w:numPr>
                <w:ilvl w:val="0"/>
                <w:numId w:val="174"/>
              </w:numPr>
              <w:spacing w:line="276" w:lineRule="auto"/>
              <w:rPr>
                <w:rFonts w:ascii="Times New Roman" w:hAnsi="Times New Roman"/>
                <w:noProof/>
                <w:spacing w:val="-6"/>
                <w:lang w:val="sk-SK"/>
              </w:rPr>
            </w:pPr>
            <w:r w:rsidRPr="00326E55">
              <w:rPr>
                <w:rFonts w:ascii="Times New Roman" w:hAnsi="Times New Roman"/>
                <w:noProof/>
                <w:spacing w:val="-6"/>
                <w:lang w:val="sk-SK"/>
              </w:rPr>
              <w:t>Morské dno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morská vegetácia boli vysadené asp</w:t>
            </w:r>
            <w:r w:rsidRPr="00326E55">
              <w:rPr>
                <w:rFonts w:ascii="Times New Roman" w:hAnsi="Times New Roman"/>
                <w:noProof/>
                <w:spacing w:val="-6"/>
                <w:lang w:val="sk-SK"/>
              </w:rPr>
              <w:t>oň</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jednej lokalite pre každý</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týchto regiónov:   Lazio, Kampánia, Kalábria, Sicília;</w:t>
            </w:r>
          </w:p>
          <w:p w14:paraId="220ECFBA" w14:textId="41CF2599" w:rsidR="00BF03AA" w:rsidRPr="00326E55" w:rsidRDefault="00FB452D">
            <w:pPr>
              <w:pStyle w:val="P68B1DB1-Normal12"/>
              <w:numPr>
                <w:ilvl w:val="0"/>
                <w:numId w:val="174"/>
              </w:numPr>
              <w:spacing w:line="276" w:lineRule="auto"/>
              <w:rPr>
                <w:rFonts w:ascii="Times New Roman" w:hAnsi="Times New Roman"/>
                <w:noProof/>
                <w:spacing w:val="-6"/>
                <w:lang w:val="sk-SK"/>
              </w:rPr>
            </w:pPr>
            <w:r w:rsidRPr="00326E55">
              <w:rPr>
                <w:rFonts w:ascii="Times New Roman" w:hAnsi="Times New Roman"/>
                <w:noProof/>
                <w:spacing w:val="-6"/>
                <w:lang w:val="sk-SK"/>
              </w:rPr>
              <w:t>V oblastiach západného, stredného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južného Stredozemia boli nainštalované uväzovacie polia vybavené bójami;</w:t>
            </w:r>
          </w:p>
          <w:p w14:paraId="2D43D76E" w14:textId="7AF1C088" w:rsidR="00BF03AA" w:rsidRPr="00326E55" w:rsidRDefault="00FB452D">
            <w:pPr>
              <w:pStyle w:val="P68B1DB1-Normal12"/>
              <w:numPr>
                <w:ilvl w:val="0"/>
                <w:numId w:val="174"/>
              </w:numPr>
              <w:spacing w:line="276" w:lineRule="auto"/>
              <w:rPr>
                <w:rFonts w:ascii="Times New Roman" w:hAnsi="Times New Roman"/>
                <w:noProof/>
                <w:spacing w:val="-6"/>
                <w:lang w:val="sk-SK"/>
              </w:rPr>
            </w:pPr>
            <w:r w:rsidRPr="00326E55">
              <w:rPr>
                <w:rFonts w:ascii="Times New Roman" w:hAnsi="Times New Roman"/>
                <w:noProof/>
                <w:spacing w:val="-6"/>
                <w:lang w:val="sk-SK"/>
              </w:rPr>
              <w:t>Ghostové siete boli odstránené celkovo najmenej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15 </w:t>
            </w:r>
            <w:r w:rsidRPr="00326E55">
              <w:rPr>
                <w:rFonts w:ascii="Times New Roman" w:hAnsi="Times New Roman"/>
                <w:noProof/>
                <w:spacing w:val="-6"/>
                <w:lang w:val="sk-SK"/>
              </w:rPr>
              <w:t>lokalitách nachádzajúcich sa na Sicílii, Kampánii, Lazio, Apúlii, Marche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Emilia Romagna;</w:t>
            </w:r>
          </w:p>
          <w:p w14:paraId="1EAC6E08" w14:textId="2F1A39E6" w:rsidR="00BF03AA" w:rsidRPr="00326E55" w:rsidRDefault="00FB452D">
            <w:pPr>
              <w:pStyle w:val="P68B1DB1-Normal12"/>
              <w:numPr>
                <w:ilvl w:val="0"/>
                <w:numId w:val="174"/>
              </w:numPr>
              <w:spacing w:line="276" w:lineRule="auto"/>
              <w:rPr>
                <w:rFonts w:ascii="Times New Roman" w:hAnsi="Times New Roman"/>
                <w:noProof/>
                <w:spacing w:val="-6"/>
                <w:lang w:val="sk-SK"/>
              </w:rPr>
            </w:pPr>
            <w:r w:rsidRPr="00326E55">
              <w:rPr>
                <w:rFonts w:ascii="Times New Roman" w:hAnsi="Times New Roman"/>
                <w:noProof/>
                <w:spacing w:val="-6"/>
                <w:lang w:val="sk-SK"/>
              </w:rPr>
              <w:t>Pobrežné radiálne stanice boli udržiavané alebo inštalované alebo vybavené vývojovým softvérom najmenej na 9 miestach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bola zakúpená mobilná jednotka oceánografické</w:t>
            </w:r>
            <w:r w:rsidRPr="00326E55">
              <w:rPr>
                <w:rFonts w:ascii="Times New Roman" w:hAnsi="Times New Roman"/>
                <w:noProof/>
                <w:spacing w:val="-6"/>
                <w:lang w:val="sk-SK"/>
              </w:rPr>
              <w:t>ho výskumu;</w:t>
            </w:r>
          </w:p>
          <w:p w14:paraId="5805DEEE" w14:textId="602D454C" w:rsidR="00BF03AA" w:rsidRPr="00326E55" w:rsidRDefault="00FB452D">
            <w:pPr>
              <w:pStyle w:val="P68B1DB1-Normal12"/>
              <w:numPr>
                <w:ilvl w:val="0"/>
                <w:numId w:val="174"/>
              </w:numPr>
              <w:spacing w:line="276" w:lineRule="auto"/>
              <w:rPr>
                <w:rFonts w:ascii="Times New Roman" w:hAnsi="Times New Roman"/>
                <w:noProof/>
                <w:spacing w:val="-6"/>
                <w:lang w:val="sk-SK"/>
              </w:rPr>
            </w:pPr>
            <w:r w:rsidRPr="00326E55">
              <w:rPr>
                <w:rFonts w:ascii="Times New Roman" w:hAnsi="Times New Roman"/>
                <w:noProof/>
                <w:spacing w:val="-6"/>
                <w:lang w:val="sk-SK"/>
              </w:rPr>
              <w:t>Bolo spustených najmenej 12 vĺnových bójí;</w:t>
            </w:r>
          </w:p>
          <w:p w14:paraId="5AC6A412" w14:textId="6DF69C6C" w:rsidR="00BF03AA" w:rsidRPr="00326E55" w:rsidRDefault="00FB452D">
            <w:pPr>
              <w:pStyle w:val="P68B1DB1-ListParagraph13"/>
              <w:numPr>
                <w:ilvl w:val="0"/>
                <w:numId w:val="174"/>
              </w:numPr>
              <w:rPr>
                <w:rFonts w:ascii="Times New Roman" w:hAnsi="Times New Roman"/>
                <w:noProof/>
                <w:spacing w:val="-6"/>
                <w:lang w:val="sk-SK"/>
              </w:rPr>
            </w:pPr>
            <w:r w:rsidRPr="00326E55">
              <w:rPr>
                <w:rFonts w:ascii="Times New Roman" w:hAnsi="Times New Roman"/>
                <w:noProof/>
                <w:spacing w:val="-6"/>
                <w:lang w:val="sk-SK"/>
              </w:rPr>
              <w:t>Údržba alebo inštalácia nových snímačov sa uskutočnila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25 staniciach siete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prechodovým prierezom;</w:t>
            </w:r>
          </w:p>
          <w:p w14:paraId="7FB9AE5A" w14:textId="5C9CE94A" w:rsidR="00BF03AA" w:rsidRPr="00326E55" w:rsidRDefault="00FB452D">
            <w:pPr>
              <w:pStyle w:val="P68B1DB1-ListParagraph13"/>
              <w:numPr>
                <w:ilvl w:val="0"/>
                <w:numId w:val="174"/>
              </w:numPr>
              <w:rPr>
                <w:rFonts w:ascii="Times New Roman" w:hAnsi="Times New Roman"/>
                <w:noProof/>
                <w:spacing w:val="-6"/>
                <w:lang w:val="sk-SK"/>
              </w:rPr>
            </w:pPr>
            <w:r w:rsidRPr="00326E55">
              <w:rPr>
                <w:rFonts w:ascii="Times New Roman" w:hAnsi="Times New Roman"/>
                <w:noProof/>
                <w:spacing w:val="-6"/>
                <w:lang w:val="sk-SK"/>
              </w:rPr>
              <w:t>Inštalácia aspoň troch nových námorných meteorologických staníc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údržba najmenej 25 morsk</w:t>
            </w:r>
            <w:r w:rsidRPr="00326E55">
              <w:rPr>
                <w:rFonts w:ascii="Times New Roman" w:hAnsi="Times New Roman"/>
                <w:noProof/>
                <w:spacing w:val="-6"/>
                <w:lang w:val="sk-SK"/>
              </w:rPr>
              <w:t>ých meteorologických staníc</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Benátskej lagúny;</w:t>
            </w:r>
          </w:p>
          <w:p w14:paraId="4F5FC07C" w14:textId="688CF68A" w:rsidR="00BF03AA" w:rsidRPr="00326E55" w:rsidRDefault="00FB452D">
            <w:pPr>
              <w:pStyle w:val="P68B1DB1-Normal12"/>
              <w:numPr>
                <w:ilvl w:val="0"/>
                <w:numId w:val="174"/>
              </w:numPr>
              <w:spacing w:line="276" w:lineRule="auto"/>
              <w:rPr>
                <w:rFonts w:ascii="Times New Roman" w:hAnsi="Times New Roman"/>
                <w:noProof/>
                <w:spacing w:val="-6"/>
                <w:lang w:val="sk-SK"/>
              </w:rPr>
            </w:pPr>
            <w:r w:rsidRPr="00326E55">
              <w:rPr>
                <w:rFonts w:ascii="Times New Roman" w:hAnsi="Times New Roman"/>
                <w:noProof/>
                <w:spacing w:val="-6"/>
                <w:lang w:val="sk-SK"/>
              </w:rPr>
              <w:t>Bolo nainštalovaných najmenej 10 pevných staníc na nepretržité monitorovanie chemicky-fyzických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trofických parametrov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lagúnoch;</w:t>
            </w:r>
          </w:p>
          <w:p w14:paraId="47FBB98D" w14:textId="243961AC" w:rsidR="00326E55" w:rsidRPr="00326E55" w:rsidRDefault="00FB452D">
            <w:pPr>
              <w:pStyle w:val="P68B1DB1-Normal12"/>
              <w:numPr>
                <w:ilvl w:val="0"/>
                <w:numId w:val="174"/>
              </w:numPr>
              <w:spacing w:line="276" w:lineRule="auto"/>
              <w:rPr>
                <w:rFonts w:ascii="Times New Roman" w:hAnsi="Times New Roman"/>
                <w:noProof/>
                <w:spacing w:val="-6"/>
                <w:lang w:val="sk-SK"/>
              </w:rPr>
            </w:pPr>
            <w:r w:rsidRPr="00326E55">
              <w:rPr>
                <w:rFonts w:ascii="Times New Roman" w:hAnsi="Times New Roman"/>
                <w:noProof/>
                <w:spacing w:val="-6"/>
                <w:lang w:val="sk-SK"/>
              </w:rPr>
              <w:t>Aspoň 5 softvérových systémov na pozorovanie na monitorovanie morský</w:t>
            </w:r>
            <w:r w:rsidRPr="00326E55">
              <w:rPr>
                <w:rFonts w:ascii="Times New Roman" w:hAnsi="Times New Roman"/>
                <w:noProof/>
                <w:spacing w:val="-6"/>
                <w:lang w:val="sk-SK"/>
              </w:rPr>
              <w:t>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pobrežných biotopov vytvorilo údaje</w:t>
            </w:r>
            <w:r w:rsidR="00326E55" w:rsidRPr="00326E55">
              <w:rPr>
                <w:rFonts w:ascii="Times New Roman" w:hAnsi="Times New Roman"/>
                <w:noProof/>
                <w:spacing w:val="-6"/>
                <w:lang w:val="sk-SK"/>
              </w:rPr>
              <w:t>.</w:t>
            </w:r>
          </w:p>
          <w:p w14:paraId="4285A01E" w14:textId="64929CA0"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Každý nákup lodí alebo plavidiel musí byť najlepšou dostupnou technológiou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najnižšími environmentálnymi vplyvmi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tomto odvetví.</w:t>
            </w:r>
          </w:p>
        </w:tc>
      </w:tr>
      <w:tr w:rsidR="00BF03AA" w:rsidRPr="00326E55" w14:paraId="1B5A200B" w14:textId="77777777">
        <w:trPr>
          <w:trHeight w:val="300"/>
        </w:trPr>
        <w:tc>
          <w:tcPr>
            <w:tcW w:w="1134" w:type="dxa"/>
            <w:shd w:val="clear" w:color="auto" w:fill="C6EFCE"/>
            <w:noWrap/>
            <w:vAlign w:val="center"/>
            <w:hideMark/>
          </w:tcPr>
          <w:p w14:paraId="4503E2A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27</w:t>
            </w:r>
          </w:p>
        </w:tc>
        <w:tc>
          <w:tcPr>
            <w:tcW w:w="1736" w:type="dxa"/>
            <w:shd w:val="clear" w:color="auto" w:fill="C6EFCE"/>
            <w:noWrap/>
            <w:vAlign w:val="center"/>
            <w:hideMark/>
          </w:tcPr>
          <w:p w14:paraId="411B9DA0" w14:textId="5D97A3D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4.1. Zjednodušenie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posilnenie riadenia pri </w:t>
            </w:r>
            <w:r w:rsidRPr="00326E55">
              <w:rPr>
                <w:rFonts w:ascii="Times New Roman" w:hAnsi="Times New Roman"/>
                <w:noProof/>
                <w:spacing w:val="-6"/>
                <w:lang w:val="sk-SK"/>
              </w:rPr>
              <w:t>realizácii investícií do infraštruktúry na zásobovanie vodou</w:t>
            </w:r>
          </w:p>
        </w:tc>
        <w:tc>
          <w:tcPr>
            <w:tcW w:w="1261" w:type="dxa"/>
            <w:shd w:val="clear" w:color="auto" w:fill="C6EFCE"/>
            <w:noWrap/>
            <w:vAlign w:val="center"/>
            <w:hideMark/>
          </w:tcPr>
          <w:p w14:paraId="5B7AE55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hideMark/>
          </w:tcPr>
          <w:p w14:paraId="14BDB2EC" w14:textId="086EE9EC"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zjednodušenia právnych predpisov pre 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primárnej vodohospodárskej infraštruktúre na zabezpečenie dodávok vody</w:t>
            </w:r>
          </w:p>
        </w:tc>
        <w:tc>
          <w:tcPr>
            <w:tcW w:w="1264" w:type="dxa"/>
            <w:shd w:val="clear" w:color="auto" w:fill="C6EFCE"/>
            <w:noWrap/>
            <w:vAlign w:val="center"/>
            <w:hideMark/>
          </w:tcPr>
          <w:p w14:paraId="4C85B990" w14:textId="7CCE1644"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Ustanovenie (ustanovenia)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príslušných </w:t>
            </w:r>
            <w:r w:rsidRPr="00326E55">
              <w:rPr>
                <w:rFonts w:ascii="Times New Roman" w:hAnsi="Times New Roman"/>
                <w:noProof/>
                <w:spacing w:val="-6"/>
                <w:lang w:val="sk-SK"/>
              </w:rPr>
              <w:t>právnych predpisoch,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uvádza nadobudnutie účinnosti</w:t>
            </w:r>
          </w:p>
        </w:tc>
        <w:tc>
          <w:tcPr>
            <w:tcW w:w="1055" w:type="dxa"/>
            <w:shd w:val="clear" w:color="auto" w:fill="C6EFCE"/>
            <w:noWrap/>
            <w:vAlign w:val="center"/>
            <w:hideMark/>
          </w:tcPr>
          <w:p w14:paraId="412C9B2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hideMark/>
          </w:tcPr>
          <w:p w14:paraId="67484EA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hideMark/>
          </w:tcPr>
          <w:p w14:paraId="5BFF2F3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67C25DA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70" w:type="dxa"/>
            <w:shd w:val="clear" w:color="auto" w:fill="C6EFCE"/>
            <w:noWrap/>
            <w:vAlign w:val="center"/>
            <w:hideMark/>
          </w:tcPr>
          <w:p w14:paraId="26902E0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544" w:type="dxa"/>
            <w:shd w:val="clear" w:color="auto" w:fill="C6EFCE"/>
            <w:noWrap/>
            <w:vAlign w:val="center"/>
            <w:hideMark/>
          </w:tcPr>
          <w:p w14:paraId="0443AD20" w14:textId="3781FD54"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Revidovanými právnymi predpismi sa posilní riadenie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zjednoduší sa realizácia investícií do infraštruktúry na zásobovanie vodou. Nový právny r</w:t>
            </w:r>
            <w:r w:rsidRPr="00326E55">
              <w:rPr>
                <w:rFonts w:ascii="Times New Roman" w:hAnsi="Times New Roman"/>
                <w:noProof/>
                <w:spacing w:val="-6"/>
                <w:lang w:val="sk-SK"/>
              </w:rPr>
              <w:t>ámec by mal minimálne:</w:t>
            </w:r>
          </w:p>
          <w:p w14:paraId="33555687" w14:textId="40764B65" w:rsidR="00BF03AA" w:rsidRPr="00326E55" w:rsidRDefault="00FB452D">
            <w:pPr>
              <w:pStyle w:val="P68B1DB1-ListParagraph15"/>
              <w:spacing w:after="0" w:line="276" w:lineRule="auto"/>
              <w:ind w:left="0"/>
              <w:rPr>
                <w:rFonts w:ascii="Times New Roman" w:hAnsi="Times New Roman"/>
                <w:noProof/>
                <w:spacing w:val="-6"/>
                <w:szCs w:val="20"/>
                <w:lang w:val="sk-SK"/>
              </w:rPr>
            </w:pPr>
            <w:r w:rsidRPr="00326E55">
              <w:rPr>
                <w:rFonts w:ascii="Times New Roman" w:hAnsi="Times New Roman"/>
                <w:noProof/>
                <w:spacing w:val="-6"/>
                <w:lang w:val="sk-SK"/>
              </w:rPr>
              <w:t>— Urobiť</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národného plánu intervencií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sektore vodného hospodárstva ústredný finančný nástroj pre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sektore vodného hospodárstva.</w:t>
            </w:r>
          </w:p>
          <w:p w14:paraId="6BE551D5" w14:textId="088358BC" w:rsidR="00BF03AA" w:rsidRPr="00326E55" w:rsidRDefault="00FB452D">
            <w:pPr>
              <w:pStyle w:val="P68B1DB1-ListParagraph15"/>
              <w:spacing w:after="0" w:line="276" w:lineRule="auto"/>
              <w:ind w:left="0"/>
              <w:rPr>
                <w:rFonts w:ascii="Times New Roman" w:hAnsi="Times New Roman"/>
                <w:noProof/>
                <w:spacing w:val="-6"/>
                <w:szCs w:val="20"/>
                <w:lang w:val="sk-SK"/>
              </w:rPr>
            </w:pPr>
            <w:r w:rsidRPr="00326E55">
              <w:rPr>
                <w:rFonts w:ascii="Times New Roman" w:hAnsi="Times New Roman"/>
                <w:noProof/>
                <w:spacing w:val="-6"/>
                <w:lang w:val="sk-SK"/>
              </w:rPr>
              <w:t>— Požiadať</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stanovisko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aktívne zapojiť regulačného orgánu („Autorità di Regolazione per</w:t>
            </w:r>
            <w:r w:rsidRPr="00326E55">
              <w:rPr>
                <w:rFonts w:ascii="Times New Roman" w:hAnsi="Times New Roman"/>
                <w:noProof/>
                <w:spacing w:val="-6"/>
                <w:lang w:val="sk-SK"/>
              </w:rPr>
              <w:t xml:space="preserve"> Energia Reti e Ambiente“) do akejkoľvek zmeny alebo aktualizácie plánu.</w:t>
            </w:r>
          </w:p>
          <w:p w14:paraId="57813B95" w14:textId="5BCABADB" w:rsidR="00BF03AA" w:rsidRPr="00326E55" w:rsidRDefault="00FB452D">
            <w:pPr>
              <w:pStyle w:val="P68B1DB1-ListParagraph15"/>
              <w:spacing w:after="0" w:line="276" w:lineRule="auto"/>
              <w:ind w:left="0"/>
              <w:rPr>
                <w:rFonts w:ascii="Times New Roman" w:hAnsi="Times New Roman"/>
                <w:noProof/>
                <w:spacing w:val="-6"/>
                <w:szCs w:val="20"/>
                <w:lang w:val="sk-SK"/>
              </w:rPr>
            </w:pPr>
            <w:r w:rsidRPr="00326E55">
              <w:rPr>
                <w:rFonts w:ascii="Times New Roman" w:hAnsi="Times New Roman"/>
                <w:noProof/>
                <w:spacing w:val="-6"/>
                <w:lang w:val="sk-SK"/>
              </w:rPr>
              <w:t>— Poskytnúť podporné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sprievodné opatrenia pre vykonávacie orgány, ktoré nie sú schopné realizovať investície súvisiace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primárnym obstarávaním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predpokladanom časovom rámci.</w:t>
            </w:r>
          </w:p>
          <w:p w14:paraId="5482072D" w14:textId="4731311A" w:rsidR="00BF03AA" w:rsidRPr="00326E55" w:rsidRDefault="00FB452D">
            <w:pPr>
              <w:pStyle w:val="P68B1DB1-ListParagraph15"/>
              <w:spacing w:after="0" w:line="276" w:lineRule="auto"/>
              <w:ind w:left="0"/>
              <w:rPr>
                <w:rFonts w:ascii="Times New Roman" w:hAnsi="Times New Roman"/>
                <w:noProof/>
                <w:spacing w:val="-6"/>
                <w:szCs w:val="20"/>
                <w:lang w:val="sk-SK"/>
              </w:rPr>
            </w:pPr>
            <w:r w:rsidRPr="00326E55">
              <w:rPr>
                <w:rFonts w:ascii="Times New Roman" w:hAnsi="Times New Roman"/>
                <w:noProof/>
                <w:spacing w:val="-6"/>
                <w:lang w:val="sk-SK"/>
              </w:rPr>
              <w:t>— Zje</w:t>
            </w:r>
            <w:r w:rsidRPr="00326E55">
              <w:rPr>
                <w:rFonts w:ascii="Times New Roman" w:hAnsi="Times New Roman"/>
                <w:noProof/>
                <w:spacing w:val="-6"/>
                <w:lang w:val="sk-SK"/>
              </w:rPr>
              <w:t>dnodušiť postupy podávania správ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 investícií financovaných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odvetví vodného hospodárstva.</w:t>
            </w:r>
          </w:p>
        </w:tc>
      </w:tr>
      <w:tr w:rsidR="00BF03AA" w:rsidRPr="00326E55" w14:paraId="18653604" w14:textId="77777777">
        <w:trPr>
          <w:trHeight w:val="300"/>
        </w:trPr>
        <w:tc>
          <w:tcPr>
            <w:tcW w:w="1134" w:type="dxa"/>
            <w:shd w:val="clear" w:color="auto" w:fill="C6EFCE"/>
            <w:noWrap/>
            <w:vAlign w:val="center"/>
            <w:hideMark/>
          </w:tcPr>
          <w:p w14:paraId="6B8BFF8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28</w:t>
            </w:r>
          </w:p>
        </w:tc>
        <w:tc>
          <w:tcPr>
            <w:tcW w:w="1736" w:type="dxa"/>
            <w:shd w:val="clear" w:color="auto" w:fill="C6EFCE"/>
            <w:noWrap/>
            <w:vAlign w:val="center"/>
            <w:hideMark/>
          </w:tcPr>
          <w:p w14:paraId="74D73E2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4.1. Investície do primárnej vodohospodárskej infraštruktúry na zabezpečenie dodávok vody</w:t>
            </w:r>
          </w:p>
        </w:tc>
        <w:tc>
          <w:tcPr>
            <w:tcW w:w="1261" w:type="dxa"/>
            <w:shd w:val="clear" w:color="auto" w:fill="C6EFCE"/>
            <w:noWrap/>
            <w:vAlign w:val="center"/>
            <w:hideMark/>
          </w:tcPr>
          <w:p w14:paraId="0078431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hideMark/>
          </w:tcPr>
          <w:p w14:paraId="20B2E356" w14:textId="35503BCB"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Pridelenie finančných </w:t>
            </w:r>
            <w:r w:rsidRPr="00326E55">
              <w:rPr>
                <w:rFonts w:ascii="Times New Roman" w:hAnsi="Times New Roman"/>
                <w:noProof/>
                <w:spacing w:val="-6"/>
                <w:lang w:val="sk-SK"/>
              </w:rPr>
              <w:t>prostriedkov na všetky projekty na investície do primárnej vodohospodárskej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zabezpečenie dodávok vody</w:t>
            </w:r>
          </w:p>
        </w:tc>
        <w:tc>
          <w:tcPr>
            <w:tcW w:w="1264" w:type="dxa"/>
            <w:shd w:val="clear" w:color="auto" w:fill="C6EFCE"/>
            <w:noWrap/>
            <w:vAlign w:val="center"/>
            <w:hideMark/>
          </w:tcPr>
          <w:p w14:paraId="09C81823" w14:textId="27F7AB4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Uverejnenie vyhlášky (vyhlášok)</w:t>
            </w:r>
          </w:p>
        </w:tc>
        <w:tc>
          <w:tcPr>
            <w:tcW w:w="1055" w:type="dxa"/>
            <w:shd w:val="clear" w:color="auto" w:fill="C6EFCE"/>
            <w:noWrap/>
            <w:vAlign w:val="center"/>
            <w:hideMark/>
          </w:tcPr>
          <w:p w14:paraId="5C52B70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hideMark/>
          </w:tcPr>
          <w:p w14:paraId="6C44E54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hideMark/>
          </w:tcPr>
          <w:p w14:paraId="2A1D4A8F" w14:textId="77777777" w:rsidR="00BF03AA" w:rsidRPr="00326E55" w:rsidRDefault="00FB452D">
            <w:pPr>
              <w:pStyle w:val="P68B1DB1-Normal11"/>
              <w:spacing w:line="27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40C2216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70" w:type="dxa"/>
            <w:shd w:val="clear" w:color="auto" w:fill="C6EFCE"/>
            <w:noWrap/>
            <w:vAlign w:val="center"/>
            <w:hideMark/>
          </w:tcPr>
          <w:p w14:paraId="72880A8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544" w:type="dxa"/>
            <w:shd w:val="clear" w:color="auto" w:fill="C6EFCE"/>
            <w:noWrap/>
            <w:vAlign w:val="center"/>
            <w:hideMark/>
          </w:tcPr>
          <w:p w14:paraId="68092AB8" w14:textId="7F4856F5" w:rsidR="00BF03AA" w:rsidRPr="00326E55" w:rsidRDefault="00FB452D">
            <w:pPr>
              <w:pStyle w:val="P68B1DB1-Normal11"/>
              <w:suppressAutoHyphens/>
              <w:spacing w:line="276" w:lineRule="auto"/>
              <w:rPr>
                <w:rFonts w:ascii="Times New Roman" w:hAnsi="Times New Roman"/>
                <w:noProof/>
                <w:spacing w:val="-6"/>
                <w:szCs w:val="20"/>
                <w:lang w:val="sk-SK"/>
              </w:rPr>
            </w:pPr>
            <w:r w:rsidRPr="00326E55">
              <w:rPr>
                <w:rFonts w:ascii="Times New Roman" w:hAnsi="Times New Roman"/>
                <w:noProof/>
                <w:spacing w:val="-6"/>
                <w:lang w:val="sk-SK"/>
              </w:rPr>
              <w:t>Uverejnenie dekrétu (vyhlášok)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udelením </w:t>
            </w:r>
            <w:r w:rsidRPr="00326E55">
              <w:rPr>
                <w:rFonts w:ascii="Times New Roman" w:hAnsi="Times New Roman"/>
                <w:noProof/>
                <w:spacing w:val="-6"/>
                <w:lang w:val="sk-SK"/>
              </w:rPr>
              <w:t>(pridelením) finančných prostriedkov na projekty na investície do primárnej vodohospodárskej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 bezpečnosti dodávok vody.</w:t>
            </w:r>
          </w:p>
          <w:p w14:paraId="42B8C5E9" w14:textId="77777777" w:rsidR="00BF03AA" w:rsidRPr="00326E55" w:rsidRDefault="00FB452D">
            <w:pPr>
              <w:pStyle w:val="P68B1DB1-Normal11"/>
              <w:suppressAutoHyphens/>
              <w:spacing w:line="276" w:lineRule="auto"/>
              <w:rPr>
                <w:rFonts w:ascii="Times New Roman" w:hAnsi="Times New Roman"/>
                <w:noProof/>
                <w:spacing w:val="-6"/>
                <w:szCs w:val="20"/>
                <w:lang w:val="sk-SK"/>
              </w:rPr>
            </w:pPr>
            <w:r w:rsidRPr="00326E55">
              <w:rPr>
                <w:rFonts w:ascii="Times New Roman" w:hAnsi="Times New Roman"/>
                <w:noProof/>
                <w:spacing w:val="-6"/>
                <w:lang w:val="sk-SK"/>
              </w:rPr>
              <w:t>Rozsah pôsobnosti zmlúv je takýto:</w:t>
            </w:r>
          </w:p>
          <w:p w14:paraId="458D5928" w14:textId="47434A21" w:rsidR="00BF03AA" w:rsidRPr="00326E55" w:rsidRDefault="00FB452D">
            <w:pPr>
              <w:pStyle w:val="P68B1DB1-ListParagraph15"/>
              <w:numPr>
                <w:ilvl w:val="0"/>
                <w:numId w:val="27"/>
              </w:numPr>
              <w:suppressAutoHyphens/>
              <w:spacing w:after="0" w:line="276" w:lineRule="auto"/>
              <w:ind w:left="305"/>
              <w:rPr>
                <w:rFonts w:ascii="Times New Roman" w:hAnsi="Times New Roman"/>
                <w:noProof/>
                <w:spacing w:val="-6"/>
                <w:szCs w:val="20"/>
                <w:lang w:val="sk-SK"/>
              </w:rPr>
            </w:pPr>
            <w:r w:rsidRPr="00326E55">
              <w:rPr>
                <w:rFonts w:ascii="Times New Roman" w:hAnsi="Times New Roman"/>
                <w:noProof/>
                <w:spacing w:val="-6"/>
                <w:lang w:val="sk-SK"/>
              </w:rPr>
              <w:t>Bezpečnosť dodávok vody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dôležitých mestských oblastiach;</w:t>
            </w:r>
          </w:p>
          <w:p w14:paraId="5AA22161" w14:textId="5FD3F5C6" w:rsidR="00BF03AA" w:rsidRPr="00326E55" w:rsidRDefault="00FB452D">
            <w:pPr>
              <w:pStyle w:val="P68B1DB1-ListParagraph15"/>
              <w:numPr>
                <w:ilvl w:val="0"/>
                <w:numId w:val="27"/>
              </w:numPr>
              <w:suppressAutoHyphens/>
              <w:spacing w:after="0" w:line="276" w:lineRule="auto"/>
              <w:ind w:left="305"/>
              <w:rPr>
                <w:rFonts w:ascii="Times New Roman" w:hAnsi="Times New Roman"/>
                <w:noProof/>
                <w:spacing w:val="-6"/>
                <w:szCs w:val="20"/>
                <w:lang w:val="sk-SK"/>
              </w:rPr>
            </w:pPr>
            <w:r w:rsidRPr="00326E55">
              <w:rPr>
                <w:rFonts w:ascii="Times New Roman" w:hAnsi="Times New Roman"/>
                <w:noProof/>
                <w:spacing w:val="-6"/>
                <w:lang w:val="sk-SK"/>
              </w:rPr>
              <w:t>Štrukturálne práce na z</w:t>
            </w:r>
            <w:r w:rsidRPr="00326E55">
              <w:rPr>
                <w:rFonts w:ascii="Times New Roman" w:hAnsi="Times New Roman"/>
                <w:noProof/>
                <w:spacing w:val="-6"/>
                <w:lang w:val="sk-SK"/>
              </w:rPr>
              <w:t>výšenie bezpečnosti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siete vrátane adaptácie na zmenu klímy (okrem priehrad);</w:t>
            </w:r>
          </w:p>
          <w:p w14:paraId="18E77BE1" w14:textId="77777777" w:rsidR="00BF03AA" w:rsidRPr="00326E55" w:rsidRDefault="00FB452D">
            <w:pPr>
              <w:pStyle w:val="P68B1DB1-ListParagraph15"/>
              <w:numPr>
                <w:ilvl w:val="0"/>
                <w:numId w:val="27"/>
              </w:numPr>
              <w:spacing w:after="0" w:line="276" w:lineRule="auto"/>
              <w:ind w:left="305"/>
              <w:rPr>
                <w:rFonts w:ascii="Times New Roman" w:hAnsi="Times New Roman"/>
                <w:noProof/>
                <w:spacing w:val="-6"/>
                <w:szCs w:val="20"/>
                <w:lang w:val="sk-SK"/>
              </w:rPr>
            </w:pPr>
            <w:r w:rsidRPr="00326E55">
              <w:rPr>
                <w:rFonts w:ascii="Times New Roman" w:hAnsi="Times New Roman"/>
                <w:noProof/>
                <w:spacing w:val="-6"/>
                <w:lang w:val="sk-SK"/>
              </w:rPr>
              <w:t>Zvýšenie prepravnej kapacity vody.</w:t>
            </w:r>
          </w:p>
          <w:p w14:paraId="038820F6" w14:textId="7D4A79B4" w:rsidR="00BF03AA" w:rsidRPr="00326E55" w:rsidRDefault="00FB452D">
            <w:pPr>
              <w:pStyle w:val="P68B1DB1-Normal11"/>
              <w:spacing w:line="276" w:lineRule="auto"/>
              <w:ind w:left="-55"/>
              <w:rPr>
                <w:rFonts w:ascii="Times New Roman" w:hAnsi="Times New Roman"/>
                <w:noProof/>
                <w:spacing w:val="-6"/>
                <w:szCs w:val="20"/>
                <w:lang w:val="sk-SK"/>
              </w:rPr>
            </w:pPr>
            <w:r w:rsidRPr="00326E55">
              <w:rPr>
                <w:rFonts w:ascii="Times New Roman" w:hAnsi="Times New Roman"/>
                <w:noProof/>
                <w:spacing w:val="-6"/>
                <w:lang w:val="sk-SK"/>
              </w:rPr>
              <w:t>Výberovými kritériami sa zabezpečí, aby investícia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plnej miere prispievala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cieľom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zmeny klímy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koeficientom 40</w:t>
            </w:r>
            <w:r w:rsidR="00326E55" w:rsidRPr="00326E55">
              <w:rPr>
                <w:rFonts w:ascii="Times New Roman" w:hAnsi="Times New Roman"/>
                <w:noProof/>
                <w:spacing w:val="-6"/>
                <w:lang w:val="sk-SK"/>
              </w:rPr>
              <w:t> % v </w:t>
            </w:r>
            <w:r w:rsidRPr="00326E55">
              <w:rPr>
                <w:rFonts w:ascii="Times New Roman" w:hAnsi="Times New Roman"/>
                <w:noProof/>
                <w:spacing w:val="-6"/>
                <w:lang w:val="sk-SK"/>
              </w:rPr>
              <w:t>sú</w:t>
            </w:r>
            <w:r w:rsidRPr="00326E55">
              <w:rPr>
                <w:rFonts w:ascii="Times New Roman" w:hAnsi="Times New Roman"/>
                <w:noProof/>
                <w:spacing w:val="-6"/>
                <w:lang w:val="sk-SK"/>
              </w:rPr>
              <w:t>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prílohou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r>
      <w:tr w:rsidR="00BF03AA" w:rsidRPr="00326E55" w14:paraId="0778EDE3" w14:textId="77777777">
        <w:trPr>
          <w:trHeight w:val="300"/>
        </w:trPr>
        <w:tc>
          <w:tcPr>
            <w:tcW w:w="1134" w:type="dxa"/>
            <w:shd w:val="clear" w:color="auto" w:fill="C6EFCE"/>
            <w:noWrap/>
            <w:vAlign w:val="center"/>
            <w:hideMark/>
          </w:tcPr>
          <w:p w14:paraId="7DD5F73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29</w:t>
            </w:r>
          </w:p>
        </w:tc>
        <w:tc>
          <w:tcPr>
            <w:tcW w:w="1736" w:type="dxa"/>
            <w:shd w:val="clear" w:color="auto" w:fill="C6EFCE"/>
            <w:noWrap/>
            <w:vAlign w:val="center"/>
            <w:hideMark/>
          </w:tcPr>
          <w:p w14:paraId="1479E8E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4.1. Investície do primárnej vodohospodárskej infraštruktúry na zabezpečenie dodávok vody</w:t>
            </w:r>
          </w:p>
        </w:tc>
        <w:tc>
          <w:tcPr>
            <w:tcW w:w="1261" w:type="dxa"/>
            <w:shd w:val="clear" w:color="auto" w:fill="C6EFCE"/>
            <w:noWrap/>
            <w:vAlign w:val="center"/>
            <w:hideMark/>
          </w:tcPr>
          <w:p w14:paraId="23E98DF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51F7E33E" w14:textId="63726DCD"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szCs w:val="20"/>
                <w:lang w:val="sk-SK"/>
              </w:rPr>
              <w:t xml:space="preserve">Dokončenie prác na </w:t>
            </w:r>
            <w:r w:rsidRPr="00326E55">
              <w:rPr>
                <w:rFonts w:ascii="Times New Roman" w:hAnsi="Times New Roman"/>
                <w:noProof/>
                <w:spacing w:val="-6"/>
                <w:lang w:val="sk-SK"/>
              </w:rPr>
              <w:t xml:space="preserve">vodohospodárskej infraštruktúre </w:t>
            </w:r>
          </w:p>
        </w:tc>
        <w:tc>
          <w:tcPr>
            <w:tcW w:w="1264" w:type="dxa"/>
            <w:shd w:val="clear" w:color="auto" w:fill="C6EFCE"/>
            <w:noWrap/>
            <w:vAlign w:val="center"/>
            <w:hideMark/>
          </w:tcPr>
          <w:p w14:paraId="2DD5A94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78CCB86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60CB218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000" w:type="dxa"/>
            <w:shd w:val="clear" w:color="auto" w:fill="C6EFCE"/>
            <w:noWrap/>
            <w:vAlign w:val="center"/>
            <w:hideMark/>
          </w:tcPr>
          <w:p w14:paraId="6BD33234" w14:textId="39B54FB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45</w:t>
            </w:r>
          </w:p>
        </w:tc>
        <w:tc>
          <w:tcPr>
            <w:tcW w:w="809" w:type="dxa"/>
            <w:shd w:val="clear" w:color="auto" w:fill="C6EFCE"/>
            <w:noWrap/>
            <w:vAlign w:val="center"/>
            <w:hideMark/>
          </w:tcPr>
          <w:p w14:paraId="2039EB2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70" w:type="dxa"/>
            <w:shd w:val="clear" w:color="auto" w:fill="C6EFCE"/>
            <w:noWrap/>
            <w:vAlign w:val="center"/>
            <w:hideMark/>
          </w:tcPr>
          <w:p w14:paraId="68FE1CB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shd w:val="clear" w:color="auto" w:fill="C6EFCE"/>
            <w:noWrap/>
            <w:vAlign w:val="center"/>
            <w:hideMark/>
          </w:tcPr>
          <w:p w14:paraId="77A170FF" w14:textId="04E20BD7"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boli vydané pre zásahy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45 vodovodných systémoch (komplexných aj elementárnych),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 najmenej 32 komplexných vodovodných systémov.</w:t>
            </w:r>
          </w:p>
        </w:tc>
      </w:tr>
      <w:tr w:rsidR="00BF03AA" w:rsidRPr="00326E55" w14:paraId="5E436F60" w14:textId="77777777">
        <w:trPr>
          <w:trHeight w:val="300"/>
        </w:trPr>
        <w:tc>
          <w:tcPr>
            <w:tcW w:w="1134" w:type="dxa"/>
            <w:shd w:val="clear" w:color="auto" w:fill="C6EFCE"/>
            <w:noWrap/>
            <w:vAlign w:val="center"/>
            <w:hideMark/>
          </w:tcPr>
          <w:p w14:paraId="454ACBB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30</w:t>
            </w:r>
          </w:p>
        </w:tc>
        <w:tc>
          <w:tcPr>
            <w:tcW w:w="1736" w:type="dxa"/>
            <w:shd w:val="clear" w:color="auto" w:fill="C6EFCE"/>
            <w:noWrap/>
            <w:vAlign w:val="center"/>
            <w:hideMark/>
          </w:tcPr>
          <w:p w14:paraId="61754846" w14:textId="0C757A2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4.2. Zníženie strát vo vodovodných sieťach vrátane digitalizácie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 sietí</w:t>
            </w:r>
          </w:p>
        </w:tc>
        <w:tc>
          <w:tcPr>
            <w:tcW w:w="1261" w:type="dxa"/>
            <w:shd w:val="clear" w:color="auto" w:fill="C6EFCE"/>
            <w:noWrap/>
            <w:vAlign w:val="center"/>
            <w:hideMark/>
          </w:tcPr>
          <w:p w14:paraId="6B6292B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hideMark/>
          </w:tcPr>
          <w:p w14:paraId="3FA4AA1D" w14:textId="3AECB373"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Prideľovanie finančných prostriedkov všetkým projektom na intervencie vo vodovodných distribučných sieťach vrátane digitalizácie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 sietí</w:t>
            </w:r>
          </w:p>
        </w:tc>
        <w:tc>
          <w:tcPr>
            <w:tcW w:w="1264" w:type="dxa"/>
            <w:shd w:val="clear" w:color="auto" w:fill="C6EFCE"/>
            <w:noWrap/>
            <w:vAlign w:val="center"/>
            <w:hideMark/>
          </w:tcPr>
          <w:p w14:paraId="2B1EF6C6" w14:textId="77777777" w:rsidR="00BF03AA" w:rsidRPr="00326E55" w:rsidRDefault="00FB452D">
            <w:pPr>
              <w:pStyle w:val="P68B1DB1-Normal11"/>
              <w:spacing w:line="27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Uverejnenie vyhlášky (vyhlášok)</w:t>
            </w:r>
          </w:p>
        </w:tc>
        <w:tc>
          <w:tcPr>
            <w:tcW w:w="1055" w:type="dxa"/>
            <w:shd w:val="clear" w:color="auto" w:fill="C6EFCE"/>
            <w:noWrap/>
            <w:vAlign w:val="center"/>
            <w:hideMark/>
          </w:tcPr>
          <w:p w14:paraId="5DEDD46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hideMark/>
          </w:tcPr>
          <w:p w14:paraId="07FA88C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hideMark/>
          </w:tcPr>
          <w:p w14:paraId="315D07F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59075CE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70" w:type="dxa"/>
            <w:shd w:val="clear" w:color="auto" w:fill="C6EFCE"/>
            <w:noWrap/>
            <w:vAlign w:val="center"/>
            <w:hideMark/>
          </w:tcPr>
          <w:p w14:paraId="0A830EE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544" w:type="dxa"/>
            <w:shd w:val="clear" w:color="auto" w:fill="C6EFCE"/>
            <w:noWrap/>
            <w:vAlign w:val="center"/>
            <w:hideMark/>
          </w:tcPr>
          <w:p w14:paraId="60DEEA90" w14:textId="7D4F49A5"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Uverejnenie dekrétu (vyhlášok)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udelením (pridelením) finančných prostriedkov na projekty na intervencie zamerané na modernizáciu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efektívnosť vodovodných sietí.</w:t>
            </w:r>
          </w:p>
          <w:p w14:paraId="62D976D1" w14:textId="77777777"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Rozsah pôsobnosti zmlúv je takýto:</w:t>
            </w:r>
          </w:p>
          <w:p w14:paraId="4BB02E54" w14:textId="086DD778" w:rsidR="00BF03AA" w:rsidRPr="00326E55" w:rsidRDefault="00FB452D">
            <w:pPr>
              <w:pStyle w:val="P68B1DB1-ListParagraph15"/>
              <w:numPr>
                <w:ilvl w:val="0"/>
                <w:numId w:val="27"/>
              </w:numPr>
              <w:spacing w:after="0" w:line="276" w:lineRule="auto"/>
              <w:ind w:left="305"/>
              <w:textAlignment w:val="baseline"/>
              <w:rPr>
                <w:rFonts w:ascii="Times New Roman" w:hAnsi="Times New Roman"/>
                <w:noProof/>
                <w:spacing w:val="-6"/>
                <w:szCs w:val="20"/>
                <w:lang w:val="sk-SK"/>
              </w:rPr>
            </w:pPr>
            <w:r w:rsidRPr="00326E55">
              <w:rPr>
                <w:rFonts w:ascii="Times New Roman" w:hAnsi="Times New Roman"/>
                <w:noProof/>
                <w:spacing w:val="-6"/>
                <w:lang w:val="sk-SK"/>
              </w:rPr>
              <w:t>Intervencie na zníženie strát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sieťach pitnej vody;</w:t>
            </w:r>
          </w:p>
          <w:p w14:paraId="40EE36C4" w14:textId="31B4281B" w:rsidR="00BF03AA" w:rsidRPr="00326E55" w:rsidRDefault="00FB452D">
            <w:pPr>
              <w:pStyle w:val="P68B1DB1-ListParagraph15"/>
              <w:numPr>
                <w:ilvl w:val="0"/>
                <w:numId w:val="27"/>
              </w:numPr>
              <w:spacing w:after="0" w:line="276" w:lineRule="auto"/>
              <w:ind w:left="305"/>
              <w:textAlignment w:val="baseline"/>
              <w:rPr>
                <w:rFonts w:ascii="Times New Roman" w:hAnsi="Times New Roman"/>
                <w:noProof/>
                <w:spacing w:val="-6"/>
                <w:szCs w:val="20"/>
                <w:lang w:val="sk-SK"/>
              </w:rPr>
            </w:pPr>
            <w:r w:rsidRPr="00326E55">
              <w:rPr>
                <w:rFonts w:ascii="Times New Roman" w:hAnsi="Times New Roman"/>
                <w:noProof/>
                <w:spacing w:val="-6"/>
                <w:lang w:val="sk-SK"/>
              </w:rPr>
              <w:t>Zvýšiť odolnosť vodných systémov voči zmene klímy;</w:t>
            </w:r>
          </w:p>
          <w:p w14:paraId="0DB7C669" w14:textId="736BACEA" w:rsidR="00BF03AA" w:rsidRPr="00326E55" w:rsidRDefault="00FB452D">
            <w:pPr>
              <w:pStyle w:val="P68B1DB1-ListParagraph15"/>
              <w:numPr>
                <w:ilvl w:val="0"/>
                <w:numId w:val="27"/>
              </w:numPr>
              <w:spacing w:after="0" w:line="276" w:lineRule="auto"/>
              <w:ind w:left="305"/>
              <w:textAlignment w:val="baseline"/>
              <w:rPr>
                <w:rFonts w:ascii="Times New Roman" w:hAnsi="Times New Roman"/>
                <w:noProof/>
                <w:spacing w:val="-6"/>
                <w:szCs w:val="20"/>
                <w:lang w:val="sk-SK"/>
              </w:rPr>
            </w:pPr>
            <w:r w:rsidRPr="00326E55">
              <w:rPr>
                <w:rFonts w:ascii="Times New Roman" w:hAnsi="Times New Roman"/>
                <w:noProof/>
                <w:spacing w:val="-6"/>
                <w:lang w:val="sk-SK"/>
              </w:rPr>
              <w:t>Posilniť digitalizáciu sietí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optimálneho hospodárenia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 znížiť odpad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obmedziť neefektívno</w:t>
            </w:r>
            <w:r w:rsidRPr="00326E55">
              <w:rPr>
                <w:rFonts w:ascii="Times New Roman" w:hAnsi="Times New Roman"/>
                <w:noProof/>
                <w:spacing w:val="-6"/>
                <w:lang w:val="sk-SK"/>
              </w:rPr>
              <w:t>sť</w:t>
            </w:r>
          </w:p>
        </w:tc>
      </w:tr>
      <w:tr w:rsidR="00BF03AA" w:rsidRPr="00326E55" w14:paraId="25CFB198" w14:textId="77777777">
        <w:trPr>
          <w:trHeight w:val="300"/>
        </w:trPr>
        <w:tc>
          <w:tcPr>
            <w:tcW w:w="1134" w:type="dxa"/>
            <w:shd w:val="clear" w:color="auto" w:fill="C6EFCE"/>
            <w:noWrap/>
            <w:vAlign w:val="center"/>
            <w:hideMark/>
          </w:tcPr>
          <w:p w14:paraId="5C14AFC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31</w:t>
            </w:r>
          </w:p>
        </w:tc>
        <w:tc>
          <w:tcPr>
            <w:tcW w:w="1736" w:type="dxa"/>
            <w:shd w:val="clear" w:color="auto" w:fill="C6EFCE"/>
            <w:noWrap/>
            <w:vAlign w:val="center"/>
            <w:hideMark/>
          </w:tcPr>
          <w:p w14:paraId="20A879CE" w14:textId="0D6C5B6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4.2. Zníženie strát vo vodovodných sieťach vrátane digitalizácie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 sietí</w:t>
            </w:r>
          </w:p>
        </w:tc>
        <w:tc>
          <w:tcPr>
            <w:tcW w:w="1261" w:type="dxa"/>
            <w:shd w:val="clear" w:color="auto" w:fill="C6EFCE"/>
            <w:noWrap/>
            <w:vAlign w:val="center"/>
            <w:hideMark/>
          </w:tcPr>
          <w:p w14:paraId="7A5587C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3E4618F5" w14:textId="10318A4E"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Zásahy do vodovodných distribučných sietí vrátane digitalizácie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 sietí T1</w:t>
            </w:r>
          </w:p>
        </w:tc>
        <w:tc>
          <w:tcPr>
            <w:tcW w:w="1264" w:type="dxa"/>
            <w:shd w:val="clear" w:color="auto" w:fill="C6EFCE"/>
            <w:noWrap/>
            <w:vAlign w:val="center"/>
            <w:hideMark/>
          </w:tcPr>
          <w:p w14:paraId="2238560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6649416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235E033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000" w:type="dxa"/>
            <w:shd w:val="clear" w:color="auto" w:fill="C6EFCE"/>
            <w:noWrap/>
            <w:vAlign w:val="center"/>
            <w:hideMark/>
          </w:tcPr>
          <w:p w14:paraId="68AE8B8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14 000</w:t>
            </w:r>
          </w:p>
        </w:tc>
        <w:tc>
          <w:tcPr>
            <w:tcW w:w="809" w:type="dxa"/>
            <w:shd w:val="clear" w:color="auto" w:fill="C6EFCE"/>
            <w:noWrap/>
            <w:vAlign w:val="center"/>
            <w:hideMark/>
          </w:tcPr>
          <w:p w14:paraId="0B2ABFF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02140483"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shd w:val="clear" w:color="auto" w:fill="C6EFCE"/>
            <w:noWrap/>
            <w:vAlign w:val="center"/>
            <w:hideMark/>
          </w:tcPr>
          <w:p w14:paraId="54FDC086" w14:textId="77777777"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Ohraničenie vodovodnej siete aspoň 14000 kilometrov</w:t>
            </w:r>
          </w:p>
        </w:tc>
      </w:tr>
      <w:tr w:rsidR="00BF03AA" w:rsidRPr="00326E55" w14:paraId="3354221C" w14:textId="77777777">
        <w:trPr>
          <w:trHeight w:val="300"/>
        </w:trPr>
        <w:tc>
          <w:tcPr>
            <w:tcW w:w="1134" w:type="dxa"/>
            <w:shd w:val="clear" w:color="auto" w:fill="C6EFCE"/>
            <w:noWrap/>
            <w:vAlign w:val="center"/>
            <w:hideMark/>
          </w:tcPr>
          <w:p w14:paraId="3EF0839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33</w:t>
            </w:r>
          </w:p>
        </w:tc>
        <w:tc>
          <w:tcPr>
            <w:tcW w:w="1736" w:type="dxa"/>
            <w:shd w:val="clear" w:color="auto" w:fill="C6EFCE"/>
            <w:noWrap/>
            <w:vAlign w:val="center"/>
            <w:hideMark/>
          </w:tcPr>
          <w:p w14:paraId="2BF4ED95" w14:textId="439FD5F2"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4.3 Investície do odolnosti zavlažovacieho agrosystému pre lepšie hospodárenie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w:t>
            </w:r>
          </w:p>
        </w:tc>
        <w:tc>
          <w:tcPr>
            <w:tcW w:w="1261" w:type="dxa"/>
            <w:shd w:val="clear" w:color="auto" w:fill="C6EFCE"/>
            <w:noWrap/>
            <w:vAlign w:val="center"/>
            <w:hideMark/>
          </w:tcPr>
          <w:p w14:paraId="6E4B29A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hideMark/>
          </w:tcPr>
          <w:p w14:paraId="548A7C55" w14:textId="6F73C58B"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Pridelenie finančných prostriedkov na všetky projekty zamerané na odolnosť </w:t>
            </w:r>
            <w:r w:rsidRPr="00326E55">
              <w:rPr>
                <w:rFonts w:ascii="Times New Roman" w:hAnsi="Times New Roman"/>
                <w:noProof/>
                <w:spacing w:val="-6"/>
                <w:lang w:val="sk-SK"/>
              </w:rPr>
              <w:t>zavlažovacieho agrosystému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lepšieho hospodárenia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w:t>
            </w:r>
          </w:p>
        </w:tc>
        <w:tc>
          <w:tcPr>
            <w:tcW w:w="1264" w:type="dxa"/>
            <w:shd w:val="clear" w:color="auto" w:fill="C6EFCE"/>
            <w:noWrap/>
            <w:vAlign w:val="center"/>
            <w:hideMark/>
          </w:tcPr>
          <w:p w14:paraId="5FD0A26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Uverejnenie dekrétu (vyhlášok).</w:t>
            </w:r>
          </w:p>
        </w:tc>
        <w:tc>
          <w:tcPr>
            <w:tcW w:w="1055" w:type="dxa"/>
            <w:shd w:val="clear" w:color="auto" w:fill="C6EFCE"/>
            <w:noWrap/>
            <w:vAlign w:val="center"/>
            <w:hideMark/>
          </w:tcPr>
          <w:p w14:paraId="61F3BF0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hideMark/>
          </w:tcPr>
          <w:p w14:paraId="5EF47FC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0" w:type="dxa"/>
            <w:shd w:val="clear" w:color="auto" w:fill="C6EFCE"/>
            <w:noWrap/>
            <w:vAlign w:val="center"/>
            <w:hideMark/>
          </w:tcPr>
          <w:p w14:paraId="64D6E86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239DD17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7878ADB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544" w:type="dxa"/>
            <w:shd w:val="clear" w:color="auto" w:fill="C6EFCE"/>
            <w:noWrap/>
            <w:vAlign w:val="center"/>
            <w:hideMark/>
          </w:tcPr>
          <w:p w14:paraId="48AD6B99" w14:textId="7E12FBE2" w:rsidR="00BF03AA" w:rsidRPr="00326E55" w:rsidRDefault="00FB452D">
            <w:pPr>
              <w:pStyle w:val="P68B1DB1-Normal11"/>
              <w:autoSpaceDE w:val="0"/>
              <w:autoSpaceDN w:val="0"/>
              <w:spacing w:line="276" w:lineRule="auto"/>
              <w:rPr>
                <w:rFonts w:ascii="Times New Roman" w:hAnsi="Times New Roman"/>
                <w:noProof/>
                <w:spacing w:val="-6"/>
                <w:szCs w:val="20"/>
                <w:lang w:val="sk-SK"/>
              </w:rPr>
            </w:pPr>
            <w:r w:rsidRPr="00326E55">
              <w:rPr>
                <w:rFonts w:ascii="Times New Roman" w:hAnsi="Times New Roman"/>
                <w:noProof/>
                <w:spacing w:val="-6"/>
                <w:lang w:val="sk-SK"/>
              </w:rPr>
              <w:t>Uverejnenie dekrétu (vyhlášok)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udelením (pridelením) finančných prostriedkov na </w:t>
            </w:r>
            <w:r w:rsidRPr="00326E55">
              <w:rPr>
                <w:rFonts w:ascii="Times New Roman" w:hAnsi="Times New Roman"/>
                <w:noProof/>
                <w:spacing w:val="-6"/>
                <w:lang w:val="sk-SK"/>
              </w:rPr>
              <w:t>projekty zamerané na intervencie týkajúce sa sietí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zavlažovacích systémov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súvisiaceho systému digitalizácie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w:t>
            </w:r>
          </w:p>
          <w:p w14:paraId="40059AE2" w14:textId="77777777" w:rsidR="00BF03AA" w:rsidRPr="00326E55" w:rsidRDefault="00FB452D">
            <w:pPr>
              <w:pStyle w:val="P68B1DB1-Normal11"/>
              <w:autoSpaceDE w:val="0"/>
              <w:autoSpaceDN w:val="0"/>
              <w:spacing w:line="276" w:lineRule="auto"/>
              <w:rPr>
                <w:rFonts w:ascii="Times New Roman" w:hAnsi="Times New Roman"/>
                <w:noProof/>
                <w:spacing w:val="-6"/>
                <w:szCs w:val="20"/>
                <w:lang w:val="sk-SK"/>
              </w:rPr>
            </w:pPr>
            <w:r w:rsidRPr="00326E55">
              <w:rPr>
                <w:rFonts w:ascii="Times New Roman" w:hAnsi="Times New Roman"/>
                <w:noProof/>
                <w:spacing w:val="-6"/>
                <w:lang w:val="sk-SK"/>
              </w:rPr>
              <w:t>Rozsah pôsobnosti zmlúv je takýto:</w:t>
            </w:r>
          </w:p>
          <w:p w14:paraId="3213A2D3" w14:textId="59547233" w:rsidR="00BF03AA" w:rsidRPr="00326E55" w:rsidRDefault="00FB452D">
            <w:pPr>
              <w:pStyle w:val="P68B1DB1-ListParagraph82"/>
              <w:numPr>
                <w:ilvl w:val="0"/>
                <w:numId w:val="33"/>
              </w:numPr>
              <w:autoSpaceDE w:val="0"/>
              <w:autoSpaceDN w:val="0"/>
              <w:spacing w:after="0" w:line="276" w:lineRule="auto"/>
              <w:jc w:val="both"/>
              <w:rPr>
                <w:rFonts w:ascii="Times New Roman" w:hAnsi="Times New Roman"/>
                <w:noProof/>
                <w:color w:val="006100"/>
                <w:spacing w:val="-6"/>
                <w:szCs w:val="20"/>
                <w:lang w:val="sk-SK"/>
              </w:rPr>
            </w:pPr>
            <w:r w:rsidRPr="00326E55">
              <w:rPr>
                <w:rFonts w:ascii="Times New Roman" w:hAnsi="Times New Roman"/>
                <w:noProof/>
                <w:color w:val="006100"/>
                <w:spacing w:val="-6"/>
                <w:lang w:val="sk-SK"/>
              </w:rPr>
              <w:t>Podporovať meranie</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monitorovanie využívania</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kolektívnych sieťach (inštaláciou meračov</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systémov diaľkového ovládania) vrátane</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prechodu od samozásobovania</w:t>
            </w:r>
            <w:r w:rsidR="00326E55" w:rsidRPr="00326E55">
              <w:rPr>
                <w:rFonts w:ascii="Times New Roman" w:hAnsi="Times New Roman"/>
                <w:noProof/>
                <w:color w:val="006100"/>
                <w:spacing w:val="-6"/>
                <w:lang w:val="sk-SK"/>
              </w:rPr>
              <w:t xml:space="preserve"> k </w:t>
            </w:r>
            <w:r w:rsidRPr="00326E55">
              <w:rPr>
                <w:rFonts w:ascii="Times New Roman" w:hAnsi="Times New Roman"/>
                <w:noProof/>
                <w:color w:val="006100"/>
                <w:spacing w:val="-6"/>
                <w:lang w:val="sk-SK"/>
              </w:rPr>
              <w:t>kolektívnemu využívaniu ako predpoklad dokončenia zavedenia cenovej politiky</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oblasti vody založenej na objeme vody na efektívne využívanie vodných zdrojov</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poľnohospodárstve</w:t>
            </w:r>
            <w:r w:rsidR="00326E55" w:rsidRPr="00326E55">
              <w:rPr>
                <w:rFonts w:ascii="Times New Roman" w:hAnsi="Times New Roman"/>
                <w:noProof/>
                <w:color w:val="006100"/>
                <w:spacing w:val="-6"/>
                <w:lang w:val="sk-SK"/>
              </w:rPr>
              <w:t xml:space="preserve"> a v </w:t>
            </w:r>
            <w:r w:rsidRPr="00326E55">
              <w:rPr>
                <w:rFonts w:ascii="Times New Roman" w:hAnsi="Times New Roman"/>
                <w:noProof/>
                <w:color w:val="006100"/>
                <w:spacing w:val="-6"/>
                <w:lang w:val="sk-SK"/>
              </w:rPr>
              <w:t>dôsled</w:t>
            </w:r>
            <w:r w:rsidRPr="00326E55">
              <w:rPr>
                <w:rFonts w:ascii="Times New Roman" w:hAnsi="Times New Roman"/>
                <w:noProof/>
                <w:color w:val="006100"/>
                <w:spacing w:val="-6"/>
                <w:lang w:val="sk-SK"/>
              </w:rPr>
              <w:t>ku toho stimulovať zníženie nezákonného odberu vody vo vidieckych oblastiach.</w:t>
            </w:r>
          </w:p>
          <w:p w14:paraId="6344BA1B" w14:textId="4B444E95" w:rsidR="00326E55" w:rsidRPr="00326E55" w:rsidRDefault="00FB452D">
            <w:pPr>
              <w:pStyle w:val="P68B1DB1-ListParagraph15"/>
              <w:numPr>
                <w:ilvl w:val="0"/>
                <w:numId w:val="33"/>
              </w:numPr>
              <w:autoSpaceDE w:val="0"/>
              <w:autoSpaceDN w:val="0"/>
              <w:spacing w:after="0" w:line="276" w:lineRule="auto"/>
              <w:jc w:val="both"/>
              <w:rPr>
                <w:rFonts w:ascii="Times New Roman" w:hAnsi="Times New Roman"/>
                <w:noProof/>
                <w:spacing w:val="-6"/>
                <w:lang w:val="sk-SK"/>
              </w:rPr>
            </w:pPr>
            <w:r w:rsidRPr="00326E55">
              <w:rPr>
                <w:rFonts w:ascii="Times New Roman" w:hAnsi="Times New Roman"/>
                <w:noProof/>
                <w:spacing w:val="-6"/>
                <w:lang w:val="sk-SK"/>
              </w:rPr>
              <w:t>Investície do zavlažovania by mali byť zamerané na zefektívnenie existujúceho zavlažovania, aj keď je dotknutý vodný útvar</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dobrom stave</w:t>
            </w:r>
            <w:r w:rsidR="00326E55" w:rsidRPr="00326E55">
              <w:rPr>
                <w:rFonts w:ascii="Times New Roman" w:hAnsi="Times New Roman"/>
                <w:noProof/>
                <w:spacing w:val="-6"/>
                <w:lang w:val="sk-SK"/>
              </w:rPr>
              <w:t>.</w:t>
            </w:r>
          </w:p>
          <w:p w14:paraId="3F699C7C" w14:textId="1F0A2546" w:rsidR="00BF03AA" w:rsidRPr="00326E55" w:rsidRDefault="00BF03AA">
            <w:pPr>
              <w:pStyle w:val="ListParagraph"/>
              <w:rPr>
                <w:rFonts w:ascii="Times New Roman" w:hAnsi="Times New Roman"/>
                <w:noProof/>
                <w:color w:val="006100"/>
                <w:spacing w:val="-6"/>
                <w:sz w:val="20"/>
                <w:lang w:val="sk-SK"/>
              </w:rPr>
            </w:pPr>
          </w:p>
          <w:p w14:paraId="51A5120B" w14:textId="2E55F588" w:rsidR="00BF03AA" w:rsidRPr="00326E55" w:rsidRDefault="00FB452D">
            <w:pPr>
              <w:pStyle w:val="P68B1DB1-Normal11"/>
              <w:autoSpaceDE w:val="0"/>
              <w:autoSpaceDN w:val="0"/>
              <w:spacing w:line="276" w:lineRule="auto"/>
              <w:rPr>
                <w:rFonts w:ascii="Times New Roman" w:hAnsi="Times New Roman"/>
                <w:noProof/>
                <w:spacing w:val="-6"/>
                <w:szCs w:val="20"/>
                <w:lang w:val="sk-SK"/>
              </w:rPr>
            </w:pPr>
            <w:r w:rsidRPr="00326E55">
              <w:rPr>
                <w:rFonts w:ascii="Times New Roman" w:hAnsi="Times New Roman"/>
                <w:noProof/>
                <w:spacing w:val="-6"/>
                <w:lang w:val="sk-SK"/>
              </w:rPr>
              <w:t xml:space="preserve">Očakáva sa, že toto opatrenie výrazne </w:t>
            </w:r>
            <w:r w:rsidRPr="00326E55">
              <w:rPr>
                <w:rFonts w:ascii="Times New Roman" w:hAnsi="Times New Roman"/>
                <w:noProof/>
                <w:spacing w:val="-6"/>
                <w:lang w:val="sk-SK"/>
              </w:rPr>
              <w:t>nenaruší environmentálne ciele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zmysle článku 17 nariadenia (EÚ) 2020/852, pričom sa zohľadní opis opatrenia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zmierňujúce kroky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pláne podpory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 usmernením „výrazne nenarušiť“.</w:t>
            </w:r>
          </w:p>
          <w:p w14:paraId="692F8EB6" w14:textId="03AE5813" w:rsidR="00326E55" w:rsidRPr="00326E55" w:rsidRDefault="00FB452D">
            <w:pPr>
              <w:pStyle w:val="P68B1DB1-Normal11"/>
              <w:autoSpaceDE w:val="0"/>
              <w:autoSpaceDN w:val="0"/>
              <w:spacing w:line="276" w:lineRule="auto"/>
              <w:rPr>
                <w:rFonts w:ascii="Times New Roman" w:hAnsi="Times New Roman"/>
                <w:noProof/>
                <w:spacing w:val="-6"/>
                <w:lang w:val="sk-SK"/>
              </w:rPr>
            </w:pPr>
            <w:r w:rsidRPr="00326E55">
              <w:rPr>
                <w:rFonts w:ascii="Times New Roman" w:hAnsi="Times New Roman"/>
                <w:noProof/>
                <w:spacing w:val="-6"/>
                <w:lang w:val="sk-SK"/>
              </w:rPr>
              <w:t>(2021/C58/01). Pri každej č</w:t>
            </w:r>
            <w:r w:rsidRPr="00326E55">
              <w:rPr>
                <w:rFonts w:ascii="Times New Roman" w:hAnsi="Times New Roman"/>
                <w:noProof/>
                <w:spacing w:val="-6"/>
                <w:lang w:val="sk-SK"/>
              </w:rPr>
              <w:t>iastkovej investícii sa zabezpečí najmä úplný súlad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požiadavkami práva EÚ vrátane rámcovej smernice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vode pred začatím stavebných prác, počas nich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 ich začatí</w:t>
            </w:r>
            <w:r w:rsidR="00326E55" w:rsidRPr="00326E55">
              <w:rPr>
                <w:rFonts w:ascii="Times New Roman" w:hAnsi="Times New Roman"/>
                <w:noProof/>
                <w:spacing w:val="-6"/>
                <w:lang w:val="sk-SK"/>
              </w:rPr>
              <w:t>.</w:t>
            </w:r>
          </w:p>
          <w:p w14:paraId="7F387101" w14:textId="04190FBF" w:rsidR="00BF03AA" w:rsidRPr="00326E55" w:rsidRDefault="00FB452D">
            <w:pPr>
              <w:pStyle w:val="P68B1DB1-Normal11"/>
              <w:autoSpaceDE w:val="0"/>
              <w:autoSpaceDN w:val="0"/>
              <w:spacing w:line="276" w:lineRule="auto"/>
              <w:rPr>
                <w:rFonts w:ascii="Times New Roman" w:hAnsi="Times New Roman"/>
                <w:noProof/>
                <w:spacing w:val="-6"/>
                <w:szCs w:val="20"/>
                <w:lang w:val="sk-SK"/>
              </w:rPr>
            </w:pPr>
            <w:r w:rsidRPr="00326E55">
              <w:rPr>
                <w:rFonts w:ascii="Times New Roman" w:hAnsi="Times New Roman"/>
                <w:noProof/>
                <w:spacing w:val="-6"/>
                <w:lang w:val="sk-SK"/>
              </w:rPr>
              <w:t>Okrem toho intervencie, ak sa uplatňujú podľa vnútroštátneho práva, podliehajú posudzovan</w:t>
            </w:r>
            <w:r w:rsidRPr="00326E55">
              <w:rPr>
                <w:rFonts w:ascii="Times New Roman" w:hAnsi="Times New Roman"/>
                <w:noProof/>
                <w:spacing w:val="-6"/>
                <w:lang w:val="sk-SK"/>
              </w:rPr>
              <w:t>iu vplyvov na životné prostredie (EIA) podľa smernice 2011/92/EÚ, ako aj príslušným posúdeniam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kontexte smernice 2000/60/ES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smernice 92/43/EHS vrátane vykonávania požadovaných zmierňujúcich opatrení.</w:t>
            </w:r>
          </w:p>
        </w:tc>
      </w:tr>
      <w:tr w:rsidR="00BF03AA" w:rsidRPr="00326E55" w14:paraId="31D6B18D" w14:textId="77777777">
        <w:trPr>
          <w:trHeight w:val="300"/>
        </w:trPr>
        <w:tc>
          <w:tcPr>
            <w:tcW w:w="1134" w:type="dxa"/>
            <w:shd w:val="clear" w:color="auto" w:fill="C6EFCE"/>
            <w:noWrap/>
            <w:vAlign w:val="center"/>
            <w:hideMark/>
          </w:tcPr>
          <w:p w14:paraId="3DAD51A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34</w:t>
            </w:r>
          </w:p>
        </w:tc>
        <w:tc>
          <w:tcPr>
            <w:tcW w:w="1736" w:type="dxa"/>
            <w:shd w:val="clear" w:color="auto" w:fill="C6EFCE"/>
            <w:noWrap/>
            <w:vAlign w:val="center"/>
            <w:hideMark/>
          </w:tcPr>
          <w:p w14:paraId="3D2175F0" w14:textId="0B2FAF3F"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4.3 Investície do odolnosti </w:t>
            </w:r>
            <w:r w:rsidRPr="00326E55">
              <w:rPr>
                <w:rFonts w:ascii="Times New Roman" w:hAnsi="Times New Roman"/>
                <w:noProof/>
                <w:spacing w:val="-6"/>
                <w:lang w:val="sk-SK"/>
              </w:rPr>
              <w:t>zavlažovacieho agrosystému pre lepšie hospodárenie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w:t>
            </w:r>
          </w:p>
        </w:tc>
        <w:tc>
          <w:tcPr>
            <w:tcW w:w="1261" w:type="dxa"/>
            <w:shd w:val="clear" w:color="auto" w:fill="C6EFCE"/>
            <w:noWrap/>
            <w:vAlign w:val="center"/>
            <w:hideMark/>
          </w:tcPr>
          <w:p w14:paraId="47B659F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39A65A82" w14:textId="49B13B7D"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odolnosti zavlažovacieho agrosystému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lepšieho hospodárenia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 T1</w:t>
            </w:r>
          </w:p>
        </w:tc>
        <w:tc>
          <w:tcPr>
            <w:tcW w:w="1264" w:type="dxa"/>
            <w:shd w:val="clear" w:color="auto" w:fill="C6EFCE"/>
            <w:noWrap/>
            <w:vAlign w:val="center"/>
            <w:hideMark/>
          </w:tcPr>
          <w:p w14:paraId="3DEAF7C8"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7A30833A"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32274487"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000" w:type="dxa"/>
            <w:shd w:val="clear" w:color="auto" w:fill="C6EFCE"/>
            <w:noWrap/>
            <w:vAlign w:val="center"/>
            <w:hideMark/>
          </w:tcPr>
          <w:p w14:paraId="277CBDA5"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40</w:t>
            </w:r>
          </w:p>
        </w:tc>
        <w:tc>
          <w:tcPr>
            <w:tcW w:w="809" w:type="dxa"/>
            <w:shd w:val="clear" w:color="auto" w:fill="C6EFCE"/>
            <w:noWrap/>
            <w:vAlign w:val="center"/>
            <w:hideMark/>
          </w:tcPr>
          <w:p w14:paraId="77842B2B"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247914B9"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shd w:val="clear" w:color="auto" w:fill="C6EFCE"/>
            <w:noWrap/>
            <w:vAlign w:val="center"/>
            <w:hideMark/>
          </w:tcPr>
          <w:p w14:paraId="541CB9AC" w14:textId="0F218823"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Najmenej 40 zdrojov stiahnutia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trhu (uvedených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databáze SIGRIAN) spojených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koncesiou na vodu (concessione di derivazione)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kapacitou prietoku najmenej 100 l/s musí byť vybavených meračmi.</w:t>
            </w:r>
          </w:p>
          <w:p w14:paraId="6D0BEBB9" w14:textId="4FA85818"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Zásahy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celkovej efektívnosti siete zahŕňajú aj inštaláciu:</w:t>
            </w:r>
          </w:p>
          <w:p w14:paraId="7D5F1C27" w14:textId="77777777" w:rsidR="00BF03AA" w:rsidRPr="00326E55" w:rsidRDefault="00FB452D">
            <w:pPr>
              <w:pStyle w:val="P68B1DB1-ListParagraph15"/>
              <w:numPr>
                <w:ilvl w:val="0"/>
                <w:numId w:val="34"/>
              </w:numPr>
              <w:spacing w:after="0" w:line="276" w:lineRule="auto"/>
              <w:jc w:val="both"/>
              <w:rPr>
                <w:rFonts w:ascii="Times New Roman" w:hAnsi="Times New Roman"/>
                <w:noProof/>
                <w:spacing w:val="-6"/>
                <w:szCs w:val="20"/>
                <w:lang w:val="sk-SK"/>
              </w:rPr>
            </w:pPr>
            <w:r w:rsidRPr="00326E55">
              <w:rPr>
                <w:rFonts w:ascii="Times New Roman" w:hAnsi="Times New Roman"/>
                <w:noProof/>
                <w:spacing w:val="-6"/>
                <w:szCs w:val="20"/>
                <w:lang w:val="sk-SK"/>
              </w:rPr>
              <w:t>30</w:t>
            </w:r>
            <w:r w:rsidRPr="00326E55">
              <w:rPr>
                <w:rFonts w:ascii="Times New Roman" w:hAnsi="Times New Roman"/>
                <w:noProof/>
                <w:spacing w:val="-6"/>
                <w:lang w:val="sk-SK"/>
              </w:rPr>
              <w:t>0 metrov tretej úrov</w:t>
            </w:r>
            <w:r w:rsidRPr="00326E55">
              <w:rPr>
                <w:rFonts w:ascii="Times New Roman" w:hAnsi="Times New Roman"/>
                <w:noProof/>
                <w:spacing w:val="-6"/>
                <w:lang w:val="sk-SK"/>
              </w:rPr>
              <w:t>ne;</w:t>
            </w:r>
          </w:p>
          <w:p w14:paraId="44C7FF6D" w14:textId="77777777" w:rsidR="00BF03AA" w:rsidRPr="00326E55" w:rsidRDefault="00FB452D">
            <w:pPr>
              <w:pStyle w:val="P68B1DB1-ListParagraph15"/>
              <w:numPr>
                <w:ilvl w:val="0"/>
                <w:numId w:val="34"/>
              </w:numPr>
              <w:spacing w:after="0" w:line="276" w:lineRule="auto"/>
              <w:jc w:val="both"/>
              <w:rPr>
                <w:rFonts w:ascii="Times New Roman" w:hAnsi="Times New Roman"/>
                <w:noProof/>
                <w:spacing w:val="-6"/>
                <w:szCs w:val="20"/>
                <w:lang w:val="sk-SK"/>
              </w:rPr>
            </w:pPr>
            <w:r w:rsidRPr="00326E55">
              <w:rPr>
                <w:rFonts w:ascii="Times New Roman" w:hAnsi="Times New Roman"/>
                <w:noProof/>
                <w:spacing w:val="-6"/>
                <w:szCs w:val="20"/>
                <w:lang w:val="sk-SK"/>
              </w:rPr>
              <w:t>10000</w:t>
            </w:r>
            <w:r w:rsidRPr="00326E55">
              <w:rPr>
                <w:rFonts w:ascii="Times New Roman" w:hAnsi="Times New Roman"/>
                <w:noProof/>
                <w:spacing w:val="-6"/>
                <w:lang w:val="sk-SK"/>
              </w:rPr>
              <w:t xml:space="preserve">  metrov štvrtej úrovne;</w:t>
            </w:r>
          </w:p>
          <w:p w14:paraId="479ECACB" w14:textId="04AF1A5E" w:rsidR="00BF03AA" w:rsidRPr="00326E55" w:rsidRDefault="00FB452D">
            <w:pPr>
              <w:pStyle w:val="P68B1DB1-ListParagraph15"/>
              <w:numPr>
                <w:ilvl w:val="0"/>
                <w:numId w:val="34"/>
              </w:numPr>
              <w:spacing w:after="0" w:line="276" w:lineRule="auto"/>
              <w:jc w:val="both"/>
              <w:rPr>
                <w:rFonts w:ascii="Times New Roman" w:hAnsi="Times New Roman"/>
                <w:noProof/>
                <w:spacing w:val="-6"/>
                <w:szCs w:val="20"/>
                <w:lang w:val="sk-SK"/>
              </w:rPr>
            </w:pPr>
            <w:r w:rsidRPr="00326E55">
              <w:rPr>
                <w:rFonts w:ascii="Times New Roman" w:hAnsi="Times New Roman"/>
                <w:noProof/>
                <w:spacing w:val="-6"/>
                <w:lang w:val="sk-SK"/>
              </w:rPr>
              <w:t>Digitalizácia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zlepšenia sietí.</w:t>
            </w:r>
          </w:p>
        </w:tc>
      </w:tr>
      <w:tr w:rsidR="00BF03AA" w:rsidRPr="00326E55" w14:paraId="7DB41ACE" w14:textId="77777777">
        <w:trPr>
          <w:trHeight w:val="300"/>
        </w:trPr>
        <w:tc>
          <w:tcPr>
            <w:tcW w:w="1134" w:type="dxa"/>
            <w:shd w:val="clear" w:color="auto" w:fill="C6EFCE"/>
            <w:noWrap/>
            <w:vAlign w:val="center"/>
            <w:hideMark/>
          </w:tcPr>
          <w:p w14:paraId="146645F7"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34bis</w:t>
            </w:r>
          </w:p>
        </w:tc>
        <w:tc>
          <w:tcPr>
            <w:tcW w:w="1736" w:type="dxa"/>
            <w:shd w:val="clear" w:color="auto" w:fill="C6EFCE"/>
            <w:noWrap/>
            <w:vAlign w:val="center"/>
            <w:hideMark/>
          </w:tcPr>
          <w:p w14:paraId="3296E31B" w14:textId="08F0598C"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4.3 Investície do odolnosti zavlažovacieho agrosystému pre lepšie hospodárenie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w:t>
            </w:r>
          </w:p>
        </w:tc>
        <w:tc>
          <w:tcPr>
            <w:tcW w:w="1261" w:type="dxa"/>
            <w:shd w:val="clear" w:color="auto" w:fill="C6EFCE"/>
            <w:noWrap/>
            <w:vAlign w:val="center"/>
            <w:hideMark/>
          </w:tcPr>
          <w:p w14:paraId="61935C7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6D505E3C" w14:textId="5DAB3BEE"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Intervencie zamerané na odolnosť zavlažovacieho agrosystému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lepšieho hospodárenia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 T1</w:t>
            </w:r>
            <w:r w:rsidRPr="00326E55">
              <w:rPr>
                <w:rFonts w:ascii="Times New Roman" w:hAnsi="Times New Roman"/>
                <w:noProof/>
                <w:spacing w:val="-6"/>
                <w:szCs w:val="20"/>
                <w:lang w:val="sk-SK"/>
              </w:rPr>
              <w:t>.2</w:t>
            </w:r>
          </w:p>
        </w:tc>
        <w:tc>
          <w:tcPr>
            <w:tcW w:w="1264" w:type="dxa"/>
            <w:shd w:val="clear" w:color="auto" w:fill="C6EFCE"/>
            <w:noWrap/>
            <w:vAlign w:val="center"/>
            <w:hideMark/>
          </w:tcPr>
          <w:p w14:paraId="3F3C056E"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7CA91A82"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7E6AED5A"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40</w:t>
            </w:r>
          </w:p>
        </w:tc>
        <w:tc>
          <w:tcPr>
            <w:tcW w:w="1000" w:type="dxa"/>
            <w:shd w:val="clear" w:color="auto" w:fill="C6EFCE"/>
            <w:noWrap/>
            <w:vAlign w:val="center"/>
            <w:hideMark/>
          </w:tcPr>
          <w:p w14:paraId="672086E9"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105</w:t>
            </w:r>
          </w:p>
        </w:tc>
        <w:tc>
          <w:tcPr>
            <w:tcW w:w="809" w:type="dxa"/>
            <w:shd w:val="clear" w:color="auto" w:fill="C6EFCE"/>
            <w:noWrap/>
            <w:vAlign w:val="center"/>
            <w:hideMark/>
          </w:tcPr>
          <w:p w14:paraId="65E4842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70" w:type="dxa"/>
            <w:shd w:val="clear" w:color="auto" w:fill="C6EFCE"/>
            <w:noWrap/>
            <w:vAlign w:val="center"/>
            <w:hideMark/>
          </w:tcPr>
          <w:p w14:paraId="0AAF323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shd w:val="clear" w:color="auto" w:fill="C6EFCE"/>
            <w:noWrap/>
            <w:vAlign w:val="center"/>
            <w:hideMark/>
          </w:tcPr>
          <w:p w14:paraId="7E259A6D" w14:textId="345AE5D2"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Najmenej 105 zdrojov na stiahnutie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trhu (uvedených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databáze SIGRIAN) spojených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koncesiou na vodu (concessione di derivazione)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kapacitou prietoku najmenej</w:t>
            </w:r>
            <w:r w:rsidRPr="00326E55">
              <w:rPr>
                <w:rFonts w:ascii="Times New Roman" w:hAnsi="Times New Roman"/>
                <w:noProof/>
                <w:spacing w:val="-6"/>
                <w:lang w:val="sk-SK"/>
              </w:rPr>
              <w:t xml:space="preserve"> 100 l/s musí byť vybavených meračmi.</w:t>
            </w:r>
          </w:p>
          <w:p w14:paraId="7D14FEC9" w14:textId="4491BB42" w:rsidR="00326E55" w:rsidRPr="00326E55" w:rsidRDefault="00FB452D">
            <w:pPr>
              <w:pStyle w:val="P68B1DB1-Normal12"/>
              <w:spacing w:after="0" w:line="276" w:lineRule="auto"/>
              <w:jc w:val="both"/>
              <w:rPr>
                <w:rFonts w:ascii="Times New Roman" w:hAnsi="Times New Roman"/>
                <w:noProof/>
                <w:spacing w:val="-6"/>
                <w:lang w:val="sk-SK"/>
              </w:rPr>
            </w:pPr>
            <w:r w:rsidRPr="00326E55">
              <w:rPr>
                <w:rFonts w:ascii="Times New Roman" w:hAnsi="Times New Roman"/>
                <w:noProof/>
                <w:spacing w:val="-6"/>
                <w:lang w:val="sk-SK"/>
              </w:rPr>
              <w:t>Intervencie zamerané na celkovú efektívnosť siete využívajú najmenej 422407 hektárov zavlažovanej plochy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zahŕňajú</w:t>
            </w:r>
            <w:r w:rsidR="00326E55" w:rsidRPr="00326E55">
              <w:rPr>
                <w:rFonts w:ascii="Times New Roman" w:hAnsi="Times New Roman"/>
                <w:noProof/>
                <w:spacing w:val="-6"/>
                <w:lang w:val="sk-SK"/>
              </w:rPr>
              <w:t>:</w:t>
            </w:r>
          </w:p>
          <w:p w14:paraId="03A247E1" w14:textId="6C2C5DBD" w:rsidR="00BF03AA" w:rsidRPr="00326E55" w:rsidRDefault="00FB452D">
            <w:pPr>
              <w:pStyle w:val="P68B1DB1-ListParagraph13"/>
              <w:numPr>
                <w:ilvl w:val="0"/>
                <w:numId w:val="35"/>
              </w:numPr>
              <w:spacing w:after="0" w:line="276" w:lineRule="auto"/>
              <w:jc w:val="both"/>
              <w:rPr>
                <w:rFonts w:ascii="Times New Roman" w:hAnsi="Times New Roman"/>
                <w:noProof/>
                <w:spacing w:val="-6"/>
                <w:lang w:val="sk-SK"/>
              </w:rPr>
            </w:pPr>
            <w:r w:rsidRPr="00326E55">
              <w:rPr>
                <w:rFonts w:ascii="Times New Roman" w:hAnsi="Times New Roman"/>
                <w:noProof/>
                <w:spacing w:val="-6"/>
                <w:lang w:val="sk-SK"/>
              </w:rPr>
              <w:t>Inštalácia 750 metrov tretej úrovne;</w:t>
            </w:r>
          </w:p>
          <w:p w14:paraId="03AC3505" w14:textId="77777777" w:rsidR="00BF03AA" w:rsidRPr="00326E55" w:rsidRDefault="00FB452D">
            <w:pPr>
              <w:pStyle w:val="P68B1DB1-ListParagraph13"/>
              <w:numPr>
                <w:ilvl w:val="0"/>
                <w:numId w:val="35"/>
              </w:numPr>
              <w:spacing w:after="0" w:line="276" w:lineRule="auto"/>
              <w:jc w:val="both"/>
              <w:rPr>
                <w:rFonts w:ascii="Times New Roman" w:hAnsi="Times New Roman"/>
                <w:noProof/>
                <w:spacing w:val="-6"/>
                <w:lang w:val="sk-SK"/>
              </w:rPr>
            </w:pPr>
            <w:r w:rsidRPr="00326E55">
              <w:rPr>
                <w:rFonts w:ascii="Times New Roman" w:hAnsi="Times New Roman"/>
                <w:noProof/>
                <w:spacing w:val="-6"/>
                <w:lang w:val="sk-SK"/>
              </w:rPr>
              <w:t>Inštalácia 25000 metrov štvrtej úrovne;</w:t>
            </w:r>
          </w:p>
          <w:p w14:paraId="007AAFBA" w14:textId="44AFC2D5" w:rsidR="00BF03AA" w:rsidRPr="00326E55" w:rsidRDefault="00FB452D">
            <w:pPr>
              <w:pStyle w:val="P68B1DB1-ListParagraph13"/>
              <w:numPr>
                <w:ilvl w:val="0"/>
                <w:numId w:val="35"/>
              </w:numPr>
              <w:spacing w:after="0" w:line="276" w:lineRule="auto"/>
              <w:jc w:val="both"/>
              <w:rPr>
                <w:rFonts w:ascii="Times New Roman" w:hAnsi="Times New Roman"/>
                <w:noProof/>
                <w:spacing w:val="-6"/>
                <w:lang w:val="sk-SK"/>
              </w:rPr>
            </w:pPr>
            <w:r w:rsidRPr="00326E55">
              <w:rPr>
                <w:rFonts w:ascii="Times New Roman" w:hAnsi="Times New Roman"/>
                <w:noProof/>
                <w:spacing w:val="-6"/>
                <w:lang w:val="sk-SK"/>
              </w:rPr>
              <w:t>Digitalizácia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w:t>
            </w:r>
            <w:r w:rsidRPr="00326E55">
              <w:rPr>
                <w:rFonts w:ascii="Times New Roman" w:hAnsi="Times New Roman"/>
                <w:noProof/>
                <w:spacing w:val="-6"/>
                <w:lang w:val="sk-SK"/>
              </w:rPr>
              <w:t>a sietí.</w:t>
            </w:r>
          </w:p>
        </w:tc>
      </w:tr>
      <w:tr w:rsidR="00BF03AA" w:rsidRPr="00326E55" w14:paraId="6B9E5A7A" w14:textId="77777777">
        <w:trPr>
          <w:trHeight w:val="300"/>
        </w:trPr>
        <w:tc>
          <w:tcPr>
            <w:tcW w:w="1134" w:type="dxa"/>
            <w:shd w:val="clear" w:color="auto" w:fill="C6EFCE"/>
            <w:noWrap/>
            <w:vAlign w:val="center"/>
          </w:tcPr>
          <w:p w14:paraId="01753F6F" w14:textId="4334586A"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M2C4 – 35</w:t>
            </w:r>
          </w:p>
        </w:tc>
        <w:tc>
          <w:tcPr>
            <w:tcW w:w="1736" w:type="dxa"/>
            <w:shd w:val="clear" w:color="auto" w:fill="C6EFCE"/>
            <w:noWrap/>
            <w:vAlign w:val="center"/>
          </w:tcPr>
          <w:p w14:paraId="0A0F483D" w14:textId="287D8DDF"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Investícia 4.3 Investície do odolnosti zavlažovacieho agrosystému pre lepšie hospodárenie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w:t>
            </w:r>
          </w:p>
        </w:tc>
        <w:tc>
          <w:tcPr>
            <w:tcW w:w="1261" w:type="dxa"/>
            <w:shd w:val="clear" w:color="auto" w:fill="C6EFCE"/>
            <w:noWrap/>
            <w:vAlign w:val="center"/>
          </w:tcPr>
          <w:p w14:paraId="07530782"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65" w:type="dxa"/>
            <w:shd w:val="clear" w:color="auto" w:fill="C6EFCE"/>
            <w:noWrap/>
            <w:vAlign w:val="center"/>
          </w:tcPr>
          <w:p w14:paraId="1753BFD0" w14:textId="646D1F46"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Intervencie zamerané na odolnosť zavlažovacieho agrosystému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záujme lepšieho hospodárenia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vodnými zdrojmi T2</w:t>
            </w:r>
          </w:p>
        </w:tc>
        <w:tc>
          <w:tcPr>
            <w:tcW w:w="1264" w:type="dxa"/>
            <w:shd w:val="clear" w:color="auto" w:fill="C6EFCE"/>
            <w:noWrap/>
            <w:vAlign w:val="center"/>
          </w:tcPr>
          <w:p w14:paraId="02F24587"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55" w:type="dxa"/>
            <w:shd w:val="clear" w:color="auto" w:fill="C6EFCE"/>
            <w:noWrap/>
            <w:vAlign w:val="center"/>
          </w:tcPr>
          <w:p w14:paraId="2361F54B" w14:textId="77777777" w:rsidR="00BF03AA" w:rsidRPr="00326E55" w:rsidRDefault="00FB452D">
            <w:pPr>
              <w:pStyle w:val="P68B1DB1-Normal12"/>
              <w:spacing w:line="276" w:lineRule="auto"/>
              <w:jc w:val="center"/>
              <w:rPr>
                <w:rFonts w:ascii="Times New Roman" w:eastAsia="Arial Narrow" w:hAnsi="Times New Roman" w:cs="Arial Narrow"/>
                <w:noProof/>
                <w:spacing w:val="-6"/>
                <w:lang w:val="sk-SK"/>
              </w:rPr>
            </w:pPr>
            <w:r w:rsidRPr="00326E55">
              <w:rPr>
                <w:rFonts w:ascii="Times New Roman" w:hAnsi="Times New Roman"/>
                <w:noProof/>
                <w:spacing w:val="-6"/>
                <w:lang w:val="sk-SK"/>
              </w:rPr>
              <w:t>Hektárov</w:t>
            </w:r>
          </w:p>
        </w:tc>
        <w:tc>
          <w:tcPr>
            <w:tcW w:w="946" w:type="dxa"/>
            <w:shd w:val="clear" w:color="auto" w:fill="C6EFCE"/>
            <w:noWrap/>
            <w:vAlign w:val="center"/>
          </w:tcPr>
          <w:p w14:paraId="000C04A6"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000" w:type="dxa"/>
            <w:shd w:val="clear" w:color="auto" w:fill="C6EFCE"/>
            <w:noWrap/>
            <w:vAlign w:val="center"/>
          </w:tcPr>
          <w:p w14:paraId="681AFE3A"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96 390</w:t>
            </w:r>
          </w:p>
        </w:tc>
        <w:tc>
          <w:tcPr>
            <w:tcW w:w="809" w:type="dxa"/>
            <w:shd w:val="clear" w:color="auto" w:fill="C6EFCE"/>
            <w:noWrap/>
            <w:vAlign w:val="center"/>
          </w:tcPr>
          <w:p w14:paraId="6E97D5D1"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70" w:type="dxa"/>
            <w:shd w:val="clear" w:color="auto" w:fill="C6EFCE"/>
            <w:noWrap/>
            <w:vAlign w:val="center"/>
          </w:tcPr>
          <w:p w14:paraId="51F2A185" w14:textId="77777777"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2024</w:t>
            </w:r>
          </w:p>
        </w:tc>
        <w:tc>
          <w:tcPr>
            <w:tcW w:w="3544" w:type="dxa"/>
            <w:shd w:val="clear" w:color="auto" w:fill="C6EFCE"/>
            <w:noWrap/>
            <w:vAlign w:val="center"/>
          </w:tcPr>
          <w:p w14:paraId="642B490D" w14:textId="6EBE2D09"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Aspoň 96390 hektárov zavlažovanej plochy využíva efektívne využívanie zavlažovacích zdrojov.</w:t>
            </w:r>
          </w:p>
        </w:tc>
      </w:tr>
      <w:tr w:rsidR="00BF03AA" w:rsidRPr="00326E55" w14:paraId="4A4956BD" w14:textId="77777777">
        <w:trPr>
          <w:trHeight w:val="300"/>
        </w:trPr>
        <w:tc>
          <w:tcPr>
            <w:tcW w:w="1134" w:type="dxa"/>
            <w:shd w:val="clear" w:color="auto" w:fill="C6EFCE"/>
            <w:noWrap/>
            <w:vAlign w:val="center"/>
            <w:hideMark/>
          </w:tcPr>
          <w:p w14:paraId="3501E398" w14:textId="586DA716"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36</w:t>
            </w:r>
          </w:p>
        </w:tc>
        <w:tc>
          <w:tcPr>
            <w:tcW w:w="1736" w:type="dxa"/>
            <w:shd w:val="clear" w:color="auto" w:fill="C6EFCE"/>
            <w:noWrap/>
            <w:vAlign w:val="center"/>
            <w:hideMark/>
          </w:tcPr>
          <w:p w14:paraId="24852001" w14:textId="0BF00E9E"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4.4 Investície do kanalizácie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čistenia</w:t>
            </w:r>
          </w:p>
        </w:tc>
        <w:tc>
          <w:tcPr>
            <w:tcW w:w="1261" w:type="dxa"/>
            <w:shd w:val="clear" w:color="auto" w:fill="C6EFCE"/>
            <w:noWrap/>
            <w:vAlign w:val="center"/>
            <w:hideMark/>
          </w:tcPr>
          <w:p w14:paraId="22297B6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65" w:type="dxa"/>
            <w:shd w:val="clear" w:color="auto" w:fill="C6EFCE"/>
            <w:noWrap/>
            <w:vAlign w:val="center"/>
            <w:hideMark/>
          </w:tcPr>
          <w:p w14:paraId="2C705C10" w14:textId="690BE5D4"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Pridelenie finančných prostriedkov na projekty </w:t>
            </w:r>
            <w:r w:rsidRPr="00326E55">
              <w:rPr>
                <w:rFonts w:ascii="Times New Roman" w:hAnsi="Times New Roman"/>
                <w:noProof/>
                <w:spacing w:val="-6"/>
                <w:lang w:val="sk-SK"/>
              </w:rPr>
              <w:t>kanalizácie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čistenia odpadových vôd</w:t>
            </w:r>
          </w:p>
        </w:tc>
        <w:tc>
          <w:tcPr>
            <w:tcW w:w="1264" w:type="dxa"/>
            <w:shd w:val="clear" w:color="auto" w:fill="C6EFCE"/>
            <w:noWrap/>
            <w:vAlign w:val="center"/>
            <w:hideMark/>
          </w:tcPr>
          <w:p w14:paraId="6D88A162" w14:textId="77777777" w:rsidR="00BF03AA" w:rsidRPr="00326E55" w:rsidRDefault="00FB452D">
            <w:pPr>
              <w:pStyle w:val="P68B1DB1-Normal11"/>
              <w:spacing w:line="276" w:lineRule="auto"/>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Uverejnenie dekrétu</w:t>
            </w:r>
          </w:p>
        </w:tc>
        <w:tc>
          <w:tcPr>
            <w:tcW w:w="1055" w:type="dxa"/>
            <w:shd w:val="clear" w:color="auto" w:fill="C6EFCE"/>
            <w:noWrap/>
            <w:vAlign w:val="center"/>
            <w:hideMark/>
          </w:tcPr>
          <w:p w14:paraId="2DA4290F"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6" w:type="dxa"/>
            <w:shd w:val="clear" w:color="auto" w:fill="C6EFCE"/>
            <w:noWrap/>
            <w:vAlign w:val="center"/>
            <w:hideMark/>
          </w:tcPr>
          <w:p w14:paraId="0DC7F30D"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000" w:type="dxa"/>
            <w:shd w:val="clear" w:color="auto" w:fill="C6EFCE"/>
            <w:noWrap/>
            <w:vAlign w:val="center"/>
            <w:hideMark/>
          </w:tcPr>
          <w:p w14:paraId="4AC401F4"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09" w:type="dxa"/>
            <w:shd w:val="clear" w:color="auto" w:fill="C6EFCE"/>
            <w:noWrap/>
            <w:vAlign w:val="center"/>
            <w:hideMark/>
          </w:tcPr>
          <w:p w14:paraId="5C8BCB6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70" w:type="dxa"/>
            <w:shd w:val="clear" w:color="auto" w:fill="C6EFCE"/>
            <w:noWrap/>
            <w:vAlign w:val="center"/>
            <w:hideMark/>
          </w:tcPr>
          <w:p w14:paraId="7A0604A1"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544" w:type="dxa"/>
            <w:shd w:val="clear" w:color="auto" w:fill="C6EFCE"/>
            <w:noWrap/>
            <w:vAlign w:val="center"/>
            <w:hideMark/>
          </w:tcPr>
          <w:p w14:paraId="1670914B" w14:textId="4443BA1C" w:rsidR="00326E55" w:rsidRPr="00326E55" w:rsidRDefault="00FB452D">
            <w:pPr>
              <w:pStyle w:val="P68B1DB1-Normal11"/>
              <w:spacing w:line="276" w:lineRule="auto"/>
              <w:rPr>
                <w:rFonts w:ascii="Times New Roman" w:hAnsi="Times New Roman"/>
                <w:noProof/>
                <w:spacing w:val="-6"/>
                <w:lang w:val="sk-SK"/>
              </w:rPr>
            </w:pPr>
            <w:r w:rsidRPr="00326E55">
              <w:rPr>
                <w:rFonts w:ascii="Times New Roman" w:hAnsi="Times New Roman"/>
                <w:noProof/>
                <w:spacing w:val="-6"/>
                <w:lang w:val="sk-SK"/>
              </w:rPr>
              <w:t>Uverejnenie rozhodnutia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udelením (pridelením) finančných prostriedkov na návrhy projektov</w:t>
            </w:r>
            <w:r w:rsidR="00326E55" w:rsidRPr="00326E55">
              <w:rPr>
                <w:rFonts w:ascii="Times New Roman" w:hAnsi="Times New Roman"/>
                <w:noProof/>
                <w:spacing w:val="-6"/>
                <w:lang w:val="sk-SK"/>
              </w:rPr>
              <w:t>.</w:t>
            </w:r>
          </w:p>
          <w:p w14:paraId="32A1839F" w14:textId="6082D6A0" w:rsidR="00BF03AA" w:rsidRPr="00326E55" w:rsidRDefault="00FB452D">
            <w:pPr>
              <w:pStyle w:val="P68B1DB1-Normal11"/>
              <w:spacing w:line="276" w:lineRule="auto"/>
              <w:rPr>
                <w:rFonts w:ascii="Times New Roman" w:hAnsi="Times New Roman"/>
                <w:noProof/>
                <w:spacing w:val="-6"/>
                <w:szCs w:val="20"/>
                <w:lang w:val="sk-SK"/>
              </w:rPr>
            </w:pPr>
            <w:r w:rsidRPr="00326E55">
              <w:rPr>
                <w:rFonts w:ascii="Times New Roman" w:hAnsi="Times New Roman"/>
                <w:noProof/>
                <w:spacing w:val="-6"/>
                <w:lang w:val="sk-SK"/>
              </w:rPr>
              <w:t>Intervencie musia:</w:t>
            </w:r>
          </w:p>
          <w:p w14:paraId="7943462C" w14:textId="7277D6D7" w:rsidR="00BF03AA" w:rsidRPr="00326E55" w:rsidRDefault="00FB452D">
            <w:pPr>
              <w:pStyle w:val="P68B1DB1-ListParagraph15"/>
              <w:numPr>
                <w:ilvl w:val="0"/>
                <w:numId w:val="27"/>
              </w:numPr>
              <w:spacing w:after="0" w:line="276" w:lineRule="auto"/>
              <w:ind w:left="468"/>
              <w:rPr>
                <w:rFonts w:ascii="Times New Roman" w:hAnsi="Times New Roman"/>
                <w:noProof/>
                <w:spacing w:val="-6"/>
                <w:szCs w:val="20"/>
                <w:lang w:val="sk-SK"/>
              </w:rPr>
            </w:pPr>
            <w:r w:rsidRPr="00326E55">
              <w:rPr>
                <w:rFonts w:ascii="Times New Roman" w:hAnsi="Times New Roman"/>
                <w:noProof/>
                <w:spacing w:val="-6"/>
                <w:lang w:val="sk-SK"/>
              </w:rPr>
              <w:t xml:space="preserve">Zefektívniť čistenie </w:t>
            </w:r>
            <w:r w:rsidRPr="00326E55">
              <w:rPr>
                <w:rFonts w:ascii="Times New Roman" w:hAnsi="Times New Roman"/>
                <w:noProof/>
                <w:spacing w:val="-6"/>
                <w:lang w:val="sk-SK"/>
              </w:rPr>
              <w:t>odpadových vôd vypúšťaných do morských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vnútrozemských vôd,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prostredníctvom technologických inovácií;</w:t>
            </w:r>
          </w:p>
          <w:p w14:paraId="24E7F6E7" w14:textId="30560FA1" w:rsidR="00BF03AA" w:rsidRPr="00326E55" w:rsidRDefault="00FB452D">
            <w:pPr>
              <w:pStyle w:val="P68B1DB1-ListParagraph15"/>
              <w:numPr>
                <w:ilvl w:val="0"/>
                <w:numId w:val="27"/>
              </w:numPr>
              <w:spacing w:after="0" w:line="276" w:lineRule="auto"/>
              <w:ind w:left="468"/>
              <w:rPr>
                <w:rFonts w:ascii="Times New Roman" w:hAnsi="Times New Roman"/>
                <w:noProof/>
                <w:spacing w:val="-6"/>
                <w:szCs w:val="20"/>
                <w:lang w:val="sk-SK"/>
              </w:rPr>
            </w:pPr>
            <w:r w:rsidRPr="00326E55">
              <w:rPr>
                <w:rFonts w:ascii="Times New Roman" w:hAnsi="Times New Roman"/>
                <w:noProof/>
                <w:spacing w:val="-6"/>
                <w:lang w:val="sk-SK"/>
              </w:rPr>
              <w:t>Tam, kde je to možné, transformovať niektoré čistiarne na „zelené továrne“, ktoré opätovne využívajú vyčistenú odpadovú vodu na zavlažovanie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w:t>
            </w:r>
            <w:r w:rsidRPr="00326E55">
              <w:rPr>
                <w:rFonts w:ascii="Times New Roman" w:hAnsi="Times New Roman"/>
                <w:noProof/>
                <w:spacing w:val="-6"/>
                <w:lang w:val="sk-SK"/>
              </w:rPr>
              <w:t>iemyselné účely.</w:t>
            </w:r>
          </w:p>
          <w:p w14:paraId="71F7CB90" w14:textId="15BDB0E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Toto opatrenie nesmie výrazne narušiť plnenie environmentálnych cieľov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zmysle článku 17 nariadenia (EÚ) 2020/852, pričom sa zohľadňuje opis opatrenia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zmierňujúce kroky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pláne podpory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technickým </w:t>
            </w:r>
            <w:r w:rsidRPr="00326E55">
              <w:rPr>
                <w:rFonts w:ascii="Times New Roman" w:hAnsi="Times New Roman"/>
                <w:noProof/>
                <w:spacing w:val="-6"/>
                <w:lang w:val="sk-SK"/>
              </w:rPr>
              <w:t>usmernením týkajúcim sa zásady „výrazne nenarušiť“ (2021/C58/01). Najmä spaľovanie kalu nie je oprávnené.</w:t>
            </w:r>
          </w:p>
        </w:tc>
      </w:tr>
      <w:tr w:rsidR="00BF03AA" w:rsidRPr="00326E55" w14:paraId="58C8F37F" w14:textId="77777777">
        <w:trPr>
          <w:trHeight w:val="300"/>
        </w:trPr>
        <w:tc>
          <w:tcPr>
            <w:tcW w:w="1134" w:type="dxa"/>
            <w:shd w:val="clear" w:color="auto" w:fill="C6EFCE"/>
            <w:noWrap/>
            <w:vAlign w:val="center"/>
            <w:hideMark/>
          </w:tcPr>
          <w:p w14:paraId="7A915B36"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M2C4 – 38</w:t>
            </w:r>
          </w:p>
        </w:tc>
        <w:tc>
          <w:tcPr>
            <w:tcW w:w="1736" w:type="dxa"/>
            <w:shd w:val="clear" w:color="auto" w:fill="C6EFCE"/>
            <w:noWrap/>
            <w:vAlign w:val="center"/>
            <w:hideMark/>
          </w:tcPr>
          <w:p w14:paraId="35651C8E" w14:textId="1DEA2BBB"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Investícia 4.4 Investície do kanalizácie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čistenia</w:t>
            </w:r>
          </w:p>
        </w:tc>
        <w:tc>
          <w:tcPr>
            <w:tcW w:w="1261" w:type="dxa"/>
            <w:shd w:val="clear" w:color="auto" w:fill="C6EFCE"/>
            <w:noWrap/>
            <w:vAlign w:val="center"/>
            <w:hideMark/>
          </w:tcPr>
          <w:p w14:paraId="030549D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65" w:type="dxa"/>
            <w:shd w:val="clear" w:color="auto" w:fill="C6EFCE"/>
            <w:noWrap/>
            <w:vAlign w:val="center"/>
            <w:hideMark/>
          </w:tcPr>
          <w:p w14:paraId="7CEE2679" w14:textId="7A87E854"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Populačný koeficient využívajúci intervencie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kanalizácie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čistenia</w:t>
            </w:r>
          </w:p>
        </w:tc>
        <w:tc>
          <w:tcPr>
            <w:tcW w:w="1264" w:type="dxa"/>
            <w:shd w:val="clear" w:color="auto" w:fill="C6EFCE"/>
            <w:noWrap/>
            <w:vAlign w:val="center"/>
            <w:hideMark/>
          </w:tcPr>
          <w:p w14:paraId="5746F5B5"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5" w:type="dxa"/>
            <w:shd w:val="clear" w:color="auto" w:fill="C6EFCE"/>
            <w:noWrap/>
            <w:vAlign w:val="center"/>
            <w:hideMark/>
          </w:tcPr>
          <w:p w14:paraId="584CF400"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6" w:type="dxa"/>
            <w:shd w:val="clear" w:color="auto" w:fill="C6EFCE"/>
            <w:noWrap/>
            <w:vAlign w:val="center"/>
            <w:hideMark/>
          </w:tcPr>
          <w:p w14:paraId="1B397646" w14:textId="78F771A5"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p>
        </w:tc>
        <w:tc>
          <w:tcPr>
            <w:tcW w:w="1000" w:type="dxa"/>
            <w:shd w:val="clear" w:color="auto" w:fill="C6EFCE"/>
            <w:noWrap/>
            <w:vAlign w:val="center"/>
            <w:hideMark/>
          </w:tcPr>
          <w:p w14:paraId="067B1FD8" w14:textId="56F37B08" w:rsidR="00BF03AA" w:rsidRPr="00326E55" w:rsidRDefault="00FB452D">
            <w:pPr>
              <w:pStyle w:val="P68B1DB1-Normal12"/>
              <w:spacing w:line="276" w:lineRule="auto"/>
              <w:jc w:val="center"/>
              <w:rPr>
                <w:rFonts w:ascii="Times New Roman" w:hAnsi="Times New Roman"/>
                <w:noProof/>
                <w:spacing w:val="-6"/>
                <w:lang w:val="sk-SK"/>
              </w:rPr>
            </w:pPr>
            <w:r w:rsidRPr="00326E55">
              <w:rPr>
                <w:rFonts w:ascii="Times New Roman" w:hAnsi="Times New Roman"/>
                <w:noProof/>
                <w:spacing w:val="-6"/>
                <w:lang w:val="sk-SK"/>
              </w:rPr>
              <w:t>3 750 000</w:t>
            </w:r>
          </w:p>
        </w:tc>
        <w:tc>
          <w:tcPr>
            <w:tcW w:w="809" w:type="dxa"/>
            <w:shd w:val="clear" w:color="auto" w:fill="C6EFCE"/>
            <w:noWrap/>
            <w:vAlign w:val="center"/>
            <w:hideMark/>
          </w:tcPr>
          <w:p w14:paraId="3C814EBA"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70" w:type="dxa"/>
            <w:shd w:val="clear" w:color="auto" w:fill="C6EFCE"/>
            <w:noWrap/>
            <w:vAlign w:val="center"/>
            <w:hideMark/>
          </w:tcPr>
          <w:p w14:paraId="47B60452" w14:textId="77777777" w:rsidR="00BF03AA" w:rsidRPr="00326E55" w:rsidRDefault="00FB452D">
            <w:pPr>
              <w:pStyle w:val="P68B1DB1-Normal11"/>
              <w:spacing w:line="276" w:lineRule="auto"/>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shd w:val="clear" w:color="auto" w:fill="C6EFCE"/>
            <w:noWrap/>
            <w:vAlign w:val="center"/>
            <w:hideMark/>
          </w:tcPr>
          <w:p w14:paraId="2CD093F5" w14:textId="5FCF6BF4"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ukončení prác vydané pre zásahy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kanalizácie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čistenia komunálnych odpadových vôd</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aglomeráciách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populačným koeficientom najmenej 3750000 (PE),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ktorých najmenej 1209000 PE sa nachád</w:t>
            </w:r>
            <w:r w:rsidRPr="00326E55">
              <w:rPr>
                <w:rFonts w:ascii="Times New Roman" w:hAnsi="Times New Roman"/>
                <w:noProof/>
                <w:spacing w:val="-6"/>
                <w:lang w:val="sk-SK"/>
              </w:rPr>
              <w:t>za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aglomeráciách, na ktoré sa vzťahuje postup</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nesplnenia povinnosti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nedodržiavaním smernice Rady 91/271/EHS, potvrdené správou nezávislého inžiniera</w:t>
            </w:r>
          </w:p>
        </w:tc>
      </w:tr>
      <w:tr w:rsidR="00BF03AA" w:rsidRPr="00326E55" w14:paraId="72AFE769" w14:textId="77777777">
        <w:trPr>
          <w:trHeight w:val="300"/>
        </w:trPr>
        <w:tc>
          <w:tcPr>
            <w:tcW w:w="1134" w:type="dxa"/>
            <w:shd w:val="clear" w:color="auto" w:fill="C6EFCE"/>
            <w:noWrap/>
            <w:vAlign w:val="center"/>
          </w:tcPr>
          <w:p w14:paraId="303232A5" w14:textId="12051E9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M2C4 – 39</w:t>
            </w:r>
          </w:p>
        </w:tc>
        <w:tc>
          <w:tcPr>
            <w:tcW w:w="1736" w:type="dxa"/>
            <w:shd w:val="clear" w:color="auto" w:fill="C6EFCE"/>
            <w:noWrap/>
            <w:vAlign w:val="center"/>
          </w:tcPr>
          <w:p w14:paraId="10CD9FD0"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Investícia 4.5 </w:t>
            </w:r>
            <w:r w:rsidRPr="00326E55">
              <w:rPr>
                <w:rFonts w:ascii="Times New Roman" w:hAnsi="Times New Roman"/>
                <w:noProof/>
                <w:spacing w:val="-6"/>
                <w:lang w:val="sk-SK"/>
              </w:rPr>
              <w:br/>
              <w:t xml:space="preserve">Grantová schéma na investície do vodohospodárskej </w:t>
            </w:r>
            <w:r w:rsidRPr="00326E55">
              <w:rPr>
                <w:rFonts w:ascii="Times New Roman" w:hAnsi="Times New Roman"/>
                <w:noProof/>
                <w:spacing w:val="-6"/>
                <w:lang w:val="sk-SK"/>
              </w:rPr>
              <w:t>infraštruktúry</w:t>
            </w:r>
          </w:p>
        </w:tc>
        <w:tc>
          <w:tcPr>
            <w:tcW w:w="1261" w:type="dxa"/>
            <w:shd w:val="clear" w:color="auto" w:fill="C6EFCE"/>
            <w:noWrap/>
            <w:vAlign w:val="center"/>
          </w:tcPr>
          <w:p w14:paraId="3B78A70F"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M</w:t>
            </w:r>
          </w:p>
        </w:tc>
        <w:tc>
          <w:tcPr>
            <w:tcW w:w="1365" w:type="dxa"/>
            <w:shd w:val="clear" w:color="auto" w:fill="C6EFCE"/>
            <w:noWrap/>
            <w:vAlign w:val="center"/>
          </w:tcPr>
          <w:p w14:paraId="1EADC2A4"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Vykonávacia dohoda</w:t>
            </w:r>
          </w:p>
        </w:tc>
        <w:tc>
          <w:tcPr>
            <w:tcW w:w="1264" w:type="dxa"/>
            <w:shd w:val="clear" w:color="auto" w:fill="C6EFCE"/>
            <w:noWrap/>
            <w:vAlign w:val="center"/>
          </w:tcPr>
          <w:p w14:paraId="0B10DF67"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c>
          <w:tcPr>
            <w:tcW w:w="1055" w:type="dxa"/>
            <w:shd w:val="clear" w:color="auto" w:fill="C6EFCE"/>
            <w:noWrap/>
            <w:vAlign w:val="center"/>
          </w:tcPr>
          <w:p w14:paraId="21573362"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46" w:type="dxa"/>
            <w:shd w:val="clear" w:color="auto" w:fill="C6EFCE"/>
            <w:noWrap/>
            <w:vAlign w:val="center"/>
          </w:tcPr>
          <w:p w14:paraId="295AFC96"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00" w:type="dxa"/>
            <w:shd w:val="clear" w:color="auto" w:fill="C6EFCE"/>
            <w:noWrap/>
            <w:vAlign w:val="center"/>
          </w:tcPr>
          <w:p w14:paraId="2298D2FF"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09" w:type="dxa"/>
            <w:shd w:val="clear" w:color="auto" w:fill="C6EFCE"/>
            <w:noWrap/>
            <w:vAlign w:val="center"/>
          </w:tcPr>
          <w:p w14:paraId="5BE34592" w14:textId="5E76EB3A"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70" w:type="dxa"/>
            <w:shd w:val="clear" w:color="auto" w:fill="C6EFCE"/>
            <w:noWrap/>
            <w:vAlign w:val="center"/>
          </w:tcPr>
          <w:p w14:paraId="38F0D013" w14:textId="0094653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544" w:type="dxa"/>
            <w:shd w:val="clear" w:color="auto" w:fill="C6EFCE"/>
            <w:noWrap/>
          </w:tcPr>
          <w:p w14:paraId="096B412C" w14:textId="77777777"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r>
      <w:tr w:rsidR="00BF03AA" w:rsidRPr="00326E55" w14:paraId="6229C269" w14:textId="77777777">
        <w:trPr>
          <w:trHeight w:val="300"/>
        </w:trPr>
        <w:tc>
          <w:tcPr>
            <w:tcW w:w="1134" w:type="dxa"/>
            <w:shd w:val="clear" w:color="auto" w:fill="C6EFCE"/>
            <w:noWrap/>
            <w:vAlign w:val="center"/>
          </w:tcPr>
          <w:p w14:paraId="614D8A59" w14:textId="1EDF46AA"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M2C4 – 40</w:t>
            </w:r>
          </w:p>
        </w:tc>
        <w:tc>
          <w:tcPr>
            <w:tcW w:w="1736" w:type="dxa"/>
            <w:shd w:val="clear" w:color="auto" w:fill="C6EFCE"/>
            <w:noWrap/>
            <w:vAlign w:val="center"/>
          </w:tcPr>
          <w:p w14:paraId="76C1650D" w14:textId="4D58067D"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 xml:space="preserve">Investícia 4.5 </w:t>
            </w:r>
            <w:r w:rsidRPr="00326E55">
              <w:rPr>
                <w:rFonts w:ascii="Times New Roman" w:hAnsi="Times New Roman"/>
                <w:noProof/>
                <w:spacing w:val="-6"/>
                <w:lang w:val="sk-SK"/>
              </w:rPr>
              <w:br/>
              <w:t xml:space="preserve">Grantová schéma na investície do vodohospodárskej </w:t>
            </w:r>
            <w:r w:rsidRPr="00326E55">
              <w:rPr>
                <w:rFonts w:ascii="Times New Roman" w:hAnsi="Times New Roman"/>
                <w:noProof/>
                <w:spacing w:val="-6"/>
                <w:lang w:val="sk-SK"/>
              </w:rPr>
              <w:t>infraštruktúry</w:t>
            </w:r>
          </w:p>
        </w:tc>
        <w:tc>
          <w:tcPr>
            <w:tcW w:w="1261" w:type="dxa"/>
            <w:shd w:val="clear" w:color="auto" w:fill="C6EFCE"/>
            <w:noWrap/>
            <w:vAlign w:val="center"/>
          </w:tcPr>
          <w:p w14:paraId="744E9310"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T</w:t>
            </w:r>
          </w:p>
        </w:tc>
        <w:tc>
          <w:tcPr>
            <w:tcW w:w="1365" w:type="dxa"/>
            <w:shd w:val="clear" w:color="auto" w:fill="C6EFCE"/>
            <w:noWrap/>
            <w:vAlign w:val="center"/>
          </w:tcPr>
          <w:p w14:paraId="056CCA06" w14:textId="07BEEAC6"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dokončenie investície</w:t>
            </w:r>
          </w:p>
        </w:tc>
        <w:tc>
          <w:tcPr>
            <w:tcW w:w="1264" w:type="dxa"/>
            <w:shd w:val="clear" w:color="auto" w:fill="C6EFCE"/>
            <w:noWrap/>
            <w:vAlign w:val="center"/>
          </w:tcPr>
          <w:p w14:paraId="398EE960"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55" w:type="dxa"/>
            <w:shd w:val="clear" w:color="auto" w:fill="C6EFCE"/>
            <w:noWrap/>
          </w:tcPr>
          <w:p w14:paraId="3A9BCD42"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Percentuálny podiel (%)</w:t>
            </w:r>
          </w:p>
        </w:tc>
        <w:tc>
          <w:tcPr>
            <w:tcW w:w="946" w:type="dxa"/>
            <w:shd w:val="clear" w:color="auto" w:fill="C6EFCE"/>
            <w:noWrap/>
          </w:tcPr>
          <w:p w14:paraId="061E3E76" w14:textId="07C961DA"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0</w:t>
            </w:r>
            <w:r w:rsidR="00326E55" w:rsidRPr="00326E55">
              <w:rPr>
                <w:rFonts w:ascii="Times New Roman" w:hAnsi="Times New Roman"/>
                <w:noProof/>
                <w:spacing w:val="-6"/>
                <w:lang w:val="sk-SK"/>
              </w:rPr>
              <w:t> %</w:t>
            </w:r>
          </w:p>
        </w:tc>
        <w:tc>
          <w:tcPr>
            <w:tcW w:w="1000" w:type="dxa"/>
            <w:shd w:val="clear" w:color="auto" w:fill="C6EFCE"/>
            <w:noWrap/>
          </w:tcPr>
          <w:p w14:paraId="514EF468" w14:textId="5E7850DB"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100</w:t>
            </w:r>
            <w:r w:rsidR="00326E55" w:rsidRPr="00326E55">
              <w:rPr>
                <w:rFonts w:ascii="Times New Roman" w:hAnsi="Times New Roman"/>
                <w:noProof/>
                <w:spacing w:val="-6"/>
                <w:lang w:val="sk-SK"/>
              </w:rPr>
              <w:t> %</w:t>
            </w:r>
          </w:p>
        </w:tc>
        <w:tc>
          <w:tcPr>
            <w:tcW w:w="809" w:type="dxa"/>
            <w:shd w:val="clear" w:color="auto" w:fill="C6EFCE"/>
            <w:noWrap/>
          </w:tcPr>
          <w:p w14:paraId="5D0314D1"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70" w:type="dxa"/>
            <w:shd w:val="clear" w:color="auto" w:fill="C6EFCE"/>
            <w:noWrap/>
          </w:tcPr>
          <w:p w14:paraId="5A428A5D" w14:textId="77777777" w:rsidR="00BF03AA" w:rsidRPr="00326E55" w:rsidRDefault="00FB452D">
            <w:pPr>
              <w:pStyle w:val="P68B1DB1-Normal11"/>
              <w:spacing w:line="276" w:lineRule="auto"/>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544" w:type="dxa"/>
            <w:shd w:val="clear" w:color="auto" w:fill="C6EFCE"/>
            <w:noWrap/>
          </w:tcPr>
          <w:p w14:paraId="45C2F5F7" w14:textId="6D4FC941"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Spoločnosť Invitalia S.p.A. musí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uzavrieť zákonné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grante na sumu </w:t>
            </w:r>
            <w:r w:rsidRPr="00326E55">
              <w:rPr>
                <w:rFonts w:ascii="Times New Roman" w:hAnsi="Times New Roman"/>
                <w:noProof/>
                <w:spacing w:val="-6"/>
                <w:lang w:val="sk-SK"/>
              </w:rPr>
              <w:t>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do schémy (s prihliadnutím na poplatky za správu). Aspoň 40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tohto financovania prispeje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plneniu cieľov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pomocou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6362D8F3" w14:textId="5433CEF9" w:rsidR="00BF03AA" w:rsidRPr="00326E55" w:rsidRDefault="00FB452D">
            <w:pPr>
              <w:pStyle w:val="P68B1DB1-Normal12"/>
              <w:spacing w:line="276" w:lineRule="auto"/>
              <w:rPr>
                <w:rFonts w:ascii="Times New Roman" w:hAnsi="Times New Roman"/>
                <w:noProof/>
                <w:spacing w:val="-6"/>
                <w:lang w:val="sk-SK"/>
              </w:rPr>
            </w:pPr>
            <w:r w:rsidRPr="00326E55">
              <w:rPr>
                <w:rFonts w:ascii="Times New Roman" w:hAnsi="Times New Roman"/>
                <w:noProof/>
                <w:spacing w:val="-6"/>
                <w:lang w:val="sk-SK"/>
              </w:rPr>
              <w:t>Taliansko prevedie 1 200 000 000 EUR na nástroj Invitalia S.p.A.</w:t>
            </w:r>
          </w:p>
        </w:tc>
      </w:tr>
    </w:tbl>
    <w:p w14:paraId="771411B4" w14:textId="77777777" w:rsidR="00BF03AA" w:rsidRPr="00326E55" w:rsidRDefault="00BF03AA">
      <w:pPr>
        <w:rPr>
          <w:rFonts w:ascii="Times New Roman" w:hAnsi="Times New Roman"/>
          <w:noProof/>
          <w:spacing w:val="-6"/>
          <w:lang w:val="sk-SK"/>
        </w:rPr>
      </w:pPr>
    </w:p>
    <w:p w14:paraId="752DDF9B" w14:textId="77777777" w:rsidR="00BF03AA" w:rsidRPr="00326E55" w:rsidRDefault="00FB452D">
      <w:pPr>
        <w:pStyle w:val="P68B1DB1-Heading23"/>
        <w:ind w:left="1080"/>
        <w:rPr>
          <w:noProof/>
          <w:spacing w:val="-6"/>
          <w:lang w:val="sk-SK"/>
        </w:rPr>
      </w:pPr>
      <w:r w:rsidRPr="00326E55">
        <w:rPr>
          <w:noProof/>
          <w:spacing w:val="-6"/>
          <w:lang w:val="sk-SK"/>
        </w:rPr>
        <w:t>H. ÚLOHA 3 ZLOŽKA 1: Udržateľná dopravná infraštruktúra</w:t>
      </w:r>
    </w:p>
    <w:p w14:paraId="7BE8374A" w14:textId="77777777" w:rsidR="00BF03AA" w:rsidRPr="00326E55" w:rsidRDefault="00BF03AA">
      <w:pPr>
        <w:spacing w:before="120" w:after="120"/>
        <w:jc w:val="both"/>
        <w:rPr>
          <w:rFonts w:ascii="Times New Roman" w:eastAsia="Times New Roman" w:hAnsi="Times New Roman" w:cs="Times New Roman"/>
          <w:noProof/>
          <w:color w:val="000000" w:themeColor="text1"/>
          <w:spacing w:val="-6"/>
          <w:lang w:val="sk-SK"/>
        </w:rPr>
      </w:pPr>
    </w:p>
    <w:p w14:paraId="169E0700" w14:textId="0ED127AA" w:rsidR="00BF03AA" w:rsidRPr="00326E55" w:rsidRDefault="00FB452D">
      <w:pPr>
        <w:pStyle w:val="P68B1DB1-Heading39"/>
        <w:ind w:left="850" w:hanging="850"/>
        <w:rPr>
          <w:b/>
          <w:bCs/>
          <w:i/>
          <w:iCs/>
          <w:noProof/>
          <w:color w:val="156082" w:themeColor="accent1"/>
          <w:spacing w:val="-6"/>
          <w:u w:val="single"/>
          <w:lang w:val="sk-SK"/>
        </w:rPr>
      </w:pPr>
      <w:r w:rsidRPr="00326E55">
        <w:rPr>
          <w:b/>
          <w:noProof/>
          <w:spacing w:val="-6"/>
          <w:u w:val="single"/>
          <w:lang w:val="sk-SK"/>
        </w:rPr>
        <w:t xml:space="preserve">H.1.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nenávratnej finančnej podpory</w:t>
      </w:r>
    </w:p>
    <w:p w14:paraId="477F3AE1" w14:textId="77777777" w:rsidR="00BF03AA" w:rsidRPr="00326E55" w:rsidRDefault="00FB452D">
      <w:pPr>
        <w:pStyle w:val="P68B1DB1-Normal28"/>
        <w:spacing w:before="120" w:after="120"/>
        <w:jc w:val="both"/>
        <w:rPr>
          <w:noProof/>
          <w:spacing w:val="-6"/>
          <w:lang w:val="sk-SK"/>
        </w:rPr>
      </w:pPr>
      <w:r w:rsidRPr="00326E55">
        <w:rPr>
          <w:noProof/>
          <w:spacing w:val="-6"/>
          <w:lang w:val="sk-SK"/>
        </w:rPr>
        <w:t>NEUVEDENÉ</w:t>
      </w:r>
    </w:p>
    <w:p w14:paraId="7702A632" w14:textId="2707580E"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H.2.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p w14:paraId="3BAED1E9" w14:textId="77777777" w:rsidR="00BF03AA" w:rsidRPr="00326E55" w:rsidRDefault="00FB452D">
      <w:pPr>
        <w:pStyle w:val="P68B1DB1-Normal26"/>
        <w:spacing w:before="120" w:after="120"/>
        <w:jc w:val="both"/>
        <w:rPr>
          <w:noProof/>
          <w:spacing w:val="-6"/>
          <w:lang w:val="sk-SK"/>
        </w:rPr>
      </w:pPr>
      <w:r w:rsidRPr="00326E55">
        <w:rPr>
          <w:noProof/>
          <w:spacing w:val="-6"/>
          <w:lang w:val="sk-SK"/>
        </w:rPr>
        <w:t>NEUVEDENÉ</w:t>
      </w:r>
    </w:p>
    <w:p w14:paraId="3CB7BA53"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726CF9">
          <w:headerReference w:type="even" r:id="rId134"/>
          <w:headerReference w:type="default" r:id="rId135"/>
          <w:footerReference w:type="even" r:id="rId136"/>
          <w:footerReference w:type="default" r:id="rId137"/>
          <w:headerReference w:type="first" r:id="rId138"/>
          <w:footerReference w:type="first" r:id="rId139"/>
          <w:pgSz w:w="16838" w:h="11906" w:orient="landscape"/>
          <w:pgMar w:top="1440" w:right="1440" w:bottom="1440" w:left="1440" w:header="708" w:footer="708" w:gutter="0"/>
          <w:cols w:space="708"/>
          <w:docGrid w:linePitch="360"/>
        </w:sectPr>
      </w:pPr>
    </w:p>
    <w:p w14:paraId="4643A0E3" w14:textId="77777777" w:rsidR="00326E55" w:rsidRPr="00326E55" w:rsidRDefault="00FB452D">
      <w:pPr>
        <w:pStyle w:val="P68B1DB1-Heading39"/>
        <w:ind w:left="850" w:hanging="850"/>
        <w:rPr>
          <w:b/>
          <w:noProof/>
          <w:spacing w:val="-6"/>
          <w:u w:val="single"/>
          <w:lang w:val="sk-SK"/>
        </w:rPr>
      </w:pPr>
      <w:r w:rsidRPr="00326E55">
        <w:rPr>
          <w:b/>
          <w:noProof/>
          <w:spacing w:val="-6"/>
          <w:u w:val="single"/>
          <w:lang w:val="sk-SK"/>
        </w:rPr>
        <w:t xml:space="preserve">H.3.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4C104255" w14:textId="0B57E6F3" w:rsidR="00BF03AA" w:rsidRPr="00326E55" w:rsidRDefault="00FB452D">
      <w:pPr>
        <w:pStyle w:val="P68B1DB1-Normal7"/>
        <w:spacing w:before="120" w:after="120"/>
        <w:jc w:val="both"/>
        <w:rPr>
          <w:noProof/>
          <w:spacing w:val="-6"/>
          <w:lang w:val="sk-SK"/>
        </w:rPr>
      </w:pPr>
      <w:r w:rsidRPr="00326E55">
        <w:rPr>
          <w:noProof/>
          <w:spacing w:val="-6"/>
          <w:lang w:val="sk-SK"/>
        </w:rPr>
        <w:t xml:space="preserve">Investície do tejto </w:t>
      </w:r>
      <w:r w:rsidRPr="00326E55">
        <w:rPr>
          <w:noProof/>
          <w:spacing w:val="-6"/>
          <w:lang w:val="sk-SK"/>
        </w:rPr>
        <w:t>zložky podporujú zavádzanie železničnej infraštruktúry (vysokorýchlostné, nákladné, regionálne železnice, Európsky systém riadenia železničnej dopravy). Sprevádzajú ich reformy na urýchlenie investícií do železničnej infraštruktúry</w:t>
      </w:r>
      <w:r w:rsidR="00326E55" w:rsidRPr="00326E55">
        <w:rPr>
          <w:noProof/>
          <w:spacing w:val="-6"/>
          <w:lang w:val="sk-SK"/>
        </w:rPr>
        <w:t xml:space="preserve"> a </w:t>
      </w:r>
      <w:r w:rsidRPr="00326E55">
        <w:rPr>
          <w:noProof/>
          <w:spacing w:val="-6"/>
          <w:lang w:val="sk-SK"/>
        </w:rPr>
        <w:t>zlepšenie kvality cest</w:t>
      </w:r>
      <w:r w:rsidRPr="00326E55">
        <w:rPr>
          <w:noProof/>
          <w:spacing w:val="-6"/>
          <w:lang w:val="sk-SK"/>
        </w:rPr>
        <w:t>nej infraštruktúry. Zložka reformy podnikateľského prostredia obsahuje opatrenie, ktoré vytvára dodatočné stimuly pre regióny, aby uchádzali</w:t>
      </w:r>
      <w:r w:rsidR="00326E55" w:rsidRPr="00326E55">
        <w:rPr>
          <w:noProof/>
          <w:spacing w:val="-6"/>
          <w:lang w:val="sk-SK"/>
        </w:rPr>
        <w:t xml:space="preserve"> o </w:t>
      </w:r>
      <w:r w:rsidRPr="00326E55">
        <w:rPr>
          <w:noProof/>
          <w:spacing w:val="-6"/>
          <w:lang w:val="sk-SK"/>
        </w:rPr>
        <w:t>svoje regionálne zmluvy</w:t>
      </w:r>
      <w:r w:rsidR="00326E55" w:rsidRPr="00326E55">
        <w:rPr>
          <w:noProof/>
          <w:spacing w:val="-6"/>
          <w:lang w:val="sk-SK"/>
        </w:rPr>
        <w:t xml:space="preserve"> o </w:t>
      </w:r>
      <w:r w:rsidRPr="00326E55">
        <w:rPr>
          <w:noProof/>
          <w:spacing w:val="-6"/>
          <w:lang w:val="sk-SK"/>
        </w:rPr>
        <w:t>službách vo verejnom záujme</w:t>
      </w:r>
      <w:r w:rsidR="00326E55" w:rsidRPr="00326E55">
        <w:rPr>
          <w:noProof/>
          <w:spacing w:val="-6"/>
          <w:lang w:val="sk-SK"/>
        </w:rPr>
        <w:t xml:space="preserve"> v </w:t>
      </w:r>
      <w:r w:rsidRPr="00326E55">
        <w:rPr>
          <w:noProof/>
          <w:spacing w:val="-6"/>
          <w:lang w:val="sk-SK"/>
        </w:rPr>
        <w:t>oblasti železničnej dopravy. Tento komponent obsahuje opa</w:t>
      </w:r>
      <w:r w:rsidRPr="00326E55">
        <w:rPr>
          <w:noProof/>
          <w:spacing w:val="-6"/>
          <w:lang w:val="sk-SK"/>
        </w:rPr>
        <w:t>trenia na rozvoj používania vodíka</w:t>
      </w:r>
      <w:r w:rsidR="00326E55" w:rsidRPr="00326E55">
        <w:rPr>
          <w:noProof/>
          <w:spacing w:val="-6"/>
          <w:lang w:val="sk-SK"/>
        </w:rPr>
        <w:t xml:space="preserve"> v </w:t>
      </w:r>
      <w:r w:rsidRPr="00326E55">
        <w:rPr>
          <w:noProof/>
          <w:spacing w:val="-6"/>
          <w:lang w:val="sk-SK"/>
        </w:rPr>
        <w:t>železniciach.</w:t>
      </w:r>
    </w:p>
    <w:p w14:paraId="26CD8B06" w14:textId="716A51CE" w:rsidR="00BF03AA" w:rsidRPr="00326E55" w:rsidRDefault="00FB452D">
      <w:pPr>
        <w:pStyle w:val="P68B1DB1-Normal7"/>
        <w:spacing w:before="120" w:after="120"/>
        <w:jc w:val="both"/>
        <w:rPr>
          <w:noProof/>
          <w:spacing w:val="-6"/>
          <w:lang w:val="sk-SK"/>
        </w:rPr>
      </w:pPr>
      <w:r w:rsidRPr="00326E55">
        <w:rPr>
          <w:noProof/>
          <w:spacing w:val="-6"/>
          <w:lang w:val="sk-SK"/>
        </w:rPr>
        <w:t>Tento komponent podporuje riešenie odporúčania pre danú krajinu</w:t>
      </w:r>
      <w:r w:rsidR="00326E55" w:rsidRPr="00326E55">
        <w:rPr>
          <w:noProof/>
          <w:spacing w:val="-6"/>
          <w:lang w:val="sk-SK"/>
        </w:rPr>
        <w:t xml:space="preserve"> z </w:t>
      </w:r>
      <w:r w:rsidRPr="00326E55">
        <w:rPr>
          <w:noProof/>
          <w:spacing w:val="-6"/>
          <w:lang w:val="sk-SK"/>
        </w:rPr>
        <w:t>roku 2019,</w:t>
      </w:r>
      <w:r w:rsidR="00326E55" w:rsidRPr="00326E55">
        <w:rPr>
          <w:noProof/>
          <w:spacing w:val="-6"/>
          <w:lang w:val="sk-SK"/>
        </w:rPr>
        <w:t xml:space="preserve"> v </w:t>
      </w:r>
      <w:r w:rsidRPr="00326E55">
        <w:rPr>
          <w:noProof/>
          <w:spacing w:val="-6"/>
          <w:lang w:val="sk-SK"/>
        </w:rPr>
        <w:t>ktorom sa Taliansko naliehavo vyzýva, aby „zameralo hospodársku politiku súvisiacu</w:t>
      </w:r>
      <w:r w:rsidR="00326E55" w:rsidRPr="00326E55">
        <w:rPr>
          <w:noProof/>
          <w:spacing w:val="-6"/>
          <w:lang w:val="sk-SK"/>
        </w:rPr>
        <w:t xml:space="preserve"> s </w:t>
      </w:r>
      <w:r w:rsidRPr="00326E55">
        <w:rPr>
          <w:noProof/>
          <w:spacing w:val="-6"/>
          <w:lang w:val="sk-SK"/>
        </w:rPr>
        <w:t>investíciami na [...] kvalitu infraštrukt</w:t>
      </w:r>
      <w:r w:rsidRPr="00326E55">
        <w:rPr>
          <w:noProof/>
          <w:spacing w:val="-6"/>
          <w:lang w:val="sk-SK"/>
        </w:rPr>
        <w:t>úry</w:t>
      </w:r>
      <w:r w:rsidR="00326E55" w:rsidRPr="00326E55">
        <w:rPr>
          <w:noProof/>
          <w:spacing w:val="-6"/>
          <w:lang w:val="sk-SK"/>
        </w:rPr>
        <w:t xml:space="preserve"> s </w:t>
      </w:r>
      <w:r w:rsidRPr="00326E55">
        <w:rPr>
          <w:noProof/>
          <w:spacing w:val="-6"/>
          <w:lang w:val="sk-SK"/>
        </w:rPr>
        <w:t>prihliadnutím na regionálne rozdiely“</w:t>
      </w:r>
      <w:r w:rsidR="00326E55" w:rsidRPr="00326E55">
        <w:rPr>
          <w:noProof/>
          <w:spacing w:val="-6"/>
          <w:lang w:val="sk-SK"/>
        </w:rPr>
        <w:t xml:space="preserve"> a </w:t>
      </w:r>
      <w:r w:rsidRPr="00326E55">
        <w:rPr>
          <w:noProof/>
          <w:spacing w:val="-6"/>
          <w:lang w:val="sk-SK"/>
        </w:rPr>
        <w:t>odporúčanie pre danú krajinu na rok 2020</w:t>
      </w:r>
      <w:r w:rsidR="00326E55" w:rsidRPr="00326E55">
        <w:rPr>
          <w:noProof/>
          <w:spacing w:val="-6"/>
          <w:lang w:val="sk-SK"/>
        </w:rPr>
        <w:t xml:space="preserve"> s </w:t>
      </w:r>
      <w:r w:rsidRPr="00326E55">
        <w:rPr>
          <w:noProof/>
          <w:spacing w:val="-6"/>
          <w:lang w:val="sk-SK"/>
        </w:rPr>
        <w:t>názvom „Zaťažiť pripravené verejné investičné projekty“</w:t>
      </w:r>
      <w:r w:rsidR="00326E55" w:rsidRPr="00326E55">
        <w:rPr>
          <w:noProof/>
          <w:spacing w:val="-6"/>
          <w:lang w:val="sk-SK"/>
        </w:rPr>
        <w:t xml:space="preserve"> a </w:t>
      </w:r>
      <w:r w:rsidRPr="00326E55">
        <w:rPr>
          <w:noProof/>
          <w:spacing w:val="-6"/>
          <w:lang w:val="sk-SK"/>
        </w:rPr>
        <w:t>„zamerať investície na zelenú</w:t>
      </w:r>
      <w:r w:rsidR="00326E55" w:rsidRPr="00326E55">
        <w:rPr>
          <w:noProof/>
          <w:spacing w:val="-6"/>
          <w:lang w:val="sk-SK"/>
        </w:rPr>
        <w:t xml:space="preserve"> a </w:t>
      </w:r>
      <w:r w:rsidRPr="00326E55">
        <w:rPr>
          <w:noProof/>
          <w:spacing w:val="-6"/>
          <w:lang w:val="sk-SK"/>
        </w:rPr>
        <w:t>digitálnu transformáciu, najmä na čistú</w:t>
      </w:r>
      <w:r w:rsidR="00326E55" w:rsidRPr="00326E55">
        <w:rPr>
          <w:noProof/>
          <w:spacing w:val="-6"/>
          <w:lang w:val="sk-SK"/>
        </w:rPr>
        <w:t xml:space="preserve"> a </w:t>
      </w:r>
      <w:r w:rsidRPr="00326E55">
        <w:rPr>
          <w:noProof/>
          <w:spacing w:val="-6"/>
          <w:lang w:val="sk-SK"/>
        </w:rPr>
        <w:t>efektívnu výrobu</w:t>
      </w:r>
      <w:r w:rsidR="00326E55" w:rsidRPr="00326E55">
        <w:rPr>
          <w:noProof/>
          <w:spacing w:val="-6"/>
          <w:lang w:val="sk-SK"/>
        </w:rPr>
        <w:t xml:space="preserve"> a </w:t>
      </w:r>
      <w:r w:rsidRPr="00326E55">
        <w:rPr>
          <w:noProof/>
          <w:spacing w:val="-6"/>
          <w:lang w:val="sk-SK"/>
        </w:rPr>
        <w:t>využívanie energ</w:t>
      </w:r>
      <w:r w:rsidRPr="00326E55">
        <w:rPr>
          <w:noProof/>
          <w:spacing w:val="-6"/>
          <w:lang w:val="sk-SK"/>
        </w:rPr>
        <w:t>ie, výskum</w:t>
      </w:r>
      <w:r w:rsidR="00326E55" w:rsidRPr="00326E55">
        <w:rPr>
          <w:noProof/>
          <w:spacing w:val="-6"/>
          <w:lang w:val="sk-SK"/>
        </w:rPr>
        <w:t xml:space="preserve"> a </w:t>
      </w:r>
      <w:r w:rsidRPr="00326E55">
        <w:rPr>
          <w:noProof/>
          <w:spacing w:val="-6"/>
          <w:lang w:val="sk-SK"/>
        </w:rPr>
        <w:t>inovácie, udržateľnú verejnú dopravu, nakladanie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vodné hospodárstvo, ako aj posilnenú digitálnu infraštruktúru na zabezpečenie poskytovania základných služieb“.</w:t>
      </w:r>
    </w:p>
    <w:p w14:paraId="63AE4807" w14:textId="3670723A" w:rsidR="00326E55" w:rsidRPr="00326E55" w:rsidRDefault="00FB452D">
      <w:pPr>
        <w:pStyle w:val="P68B1DB1-Normal7"/>
        <w:spacing w:before="120" w:after="120"/>
        <w:jc w:val="both"/>
        <w:rPr>
          <w:noProof/>
          <w:spacing w:val="-6"/>
          <w:lang w:val="sk-SK"/>
        </w:rPr>
      </w:pPr>
      <w:r w:rsidRPr="00326E55">
        <w:rPr>
          <w:noProof/>
          <w:spacing w:val="-6"/>
          <w:lang w:val="sk-SK"/>
        </w:rPr>
        <w:t>Očakáva sa, že žiadne opatrenie</w:t>
      </w:r>
      <w:r w:rsidR="00326E55" w:rsidRPr="00326E55">
        <w:rPr>
          <w:noProof/>
          <w:spacing w:val="-6"/>
          <w:lang w:val="sk-SK"/>
        </w:rPr>
        <w:t xml:space="preserve"> v </w:t>
      </w:r>
      <w:r w:rsidRPr="00326E55">
        <w:rPr>
          <w:noProof/>
          <w:spacing w:val="-6"/>
          <w:lang w:val="sk-SK"/>
        </w:rPr>
        <w:t>tomto komponente výrazne nenaruší en</w:t>
      </w:r>
      <w:r w:rsidRPr="00326E55">
        <w:rPr>
          <w:noProof/>
          <w:spacing w:val="-6"/>
          <w:lang w:val="sk-SK"/>
        </w:rPr>
        <w:t>vironmentálne ciele</w:t>
      </w:r>
      <w:r w:rsidR="00326E55" w:rsidRPr="00326E55">
        <w:rPr>
          <w:noProof/>
          <w:spacing w:val="-6"/>
          <w:lang w:val="sk-SK"/>
        </w:rPr>
        <w:t xml:space="preserve"> v </w:t>
      </w:r>
      <w:r w:rsidRPr="00326E55">
        <w:rPr>
          <w:noProof/>
          <w:spacing w:val="-6"/>
          <w:lang w:val="sk-SK"/>
        </w:rPr>
        <w:t>zmysle článku 17 nariadenia Európskeho parlamentu</w:t>
      </w:r>
      <w:r w:rsidR="00326E55" w:rsidRPr="00326E55">
        <w:rPr>
          <w:noProof/>
          <w:spacing w:val="-6"/>
          <w:lang w:val="sk-SK"/>
        </w:rPr>
        <w:t xml:space="preserve"> a </w:t>
      </w:r>
      <w:r w:rsidRPr="00326E55">
        <w:rPr>
          <w:noProof/>
          <w:spacing w:val="-6"/>
          <w:lang w:val="sk-SK"/>
        </w:rPr>
        <w:t>Rady (EÚ) 2020/852, berúc do úvahy opis opatrení</w:t>
      </w:r>
      <w:r w:rsidR="00326E55" w:rsidRPr="00326E55">
        <w:rPr>
          <w:noProof/>
          <w:spacing w:val="-6"/>
          <w:lang w:val="sk-SK"/>
        </w:rPr>
        <w:t xml:space="preserve"> a </w:t>
      </w:r>
      <w:r w:rsidRPr="00326E55">
        <w:rPr>
          <w:noProof/>
          <w:spacing w:val="-6"/>
          <w:lang w:val="sk-SK"/>
        </w:rPr>
        <w:t>zmierňujúce kroky stanovené</w:t>
      </w:r>
      <w:r w:rsidR="00326E55" w:rsidRPr="00326E55">
        <w:rPr>
          <w:noProof/>
          <w:spacing w:val="-6"/>
          <w:lang w:val="sk-SK"/>
        </w:rPr>
        <w:t xml:space="preserve"> v </w:t>
      </w:r>
      <w:r w:rsidRPr="00326E55">
        <w:rPr>
          <w:noProof/>
          <w:spacing w:val="-6"/>
          <w:lang w:val="sk-SK"/>
        </w:rPr>
        <w:t>pláne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v </w:t>
      </w:r>
      <w:r w:rsidRPr="00326E55">
        <w:rPr>
          <w:noProof/>
          <w:spacing w:val="-6"/>
          <w:lang w:val="sk-SK"/>
        </w:rPr>
        <w:t>súlade so zásadou technického usmernia týkajúceho sa uplatňovania zásady „</w:t>
      </w:r>
      <w:r w:rsidRPr="00326E55">
        <w:rPr>
          <w:noProof/>
          <w:spacing w:val="-6"/>
          <w:lang w:val="sk-SK"/>
        </w:rPr>
        <w:t>výrazne nenarušiť“ (DNHS) (2021/C58/01)</w:t>
      </w:r>
      <w:r w:rsidR="00326E55" w:rsidRPr="00326E55">
        <w:rPr>
          <w:noProof/>
          <w:spacing w:val="-6"/>
          <w:lang w:val="sk-SK"/>
        </w:rPr>
        <w:t>.</w:t>
      </w:r>
    </w:p>
    <w:p w14:paraId="657395A6" w14:textId="618772BE" w:rsidR="00BF03AA" w:rsidRPr="00326E55" w:rsidRDefault="00FB452D">
      <w:pPr>
        <w:pStyle w:val="P68B1DB1-Normal5"/>
        <w:spacing w:before="120" w:after="120"/>
        <w:jc w:val="both"/>
        <w:rPr>
          <w:bCs/>
          <w:noProof/>
          <w:spacing w:val="-6"/>
          <w:lang w:val="sk-SK"/>
        </w:rPr>
      </w:pPr>
      <w:r w:rsidRPr="00326E55">
        <w:rPr>
          <w:noProof/>
          <w:spacing w:val="-6"/>
          <w:lang w:val="sk-SK"/>
        </w:rPr>
        <w:t>Reforma 1.1 – Urýchlenie procesu schvaľovania zmluvy medzi ministerstvom infraštruktúry</w:t>
      </w:r>
      <w:r w:rsidR="00326E55" w:rsidRPr="00326E55">
        <w:rPr>
          <w:noProof/>
          <w:spacing w:val="-6"/>
          <w:lang w:val="sk-SK"/>
        </w:rPr>
        <w:t xml:space="preserve"> a </w:t>
      </w:r>
      <w:r w:rsidRPr="00326E55">
        <w:rPr>
          <w:noProof/>
          <w:spacing w:val="-6"/>
          <w:lang w:val="sk-SK"/>
        </w:rPr>
        <w:t>dopravy (MIT)</w:t>
      </w:r>
      <w:r w:rsidR="00326E55" w:rsidRPr="00326E55">
        <w:rPr>
          <w:noProof/>
          <w:spacing w:val="-6"/>
          <w:lang w:val="sk-SK"/>
        </w:rPr>
        <w:t xml:space="preserve"> a </w:t>
      </w:r>
      <w:r w:rsidRPr="00326E55">
        <w:rPr>
          <w:noProof/>
          <w:spacing w:val="-6"/>
          <w:lang w:val="sk-SK"/>
        </w:rPr>
        <w:t xml:space="preserve">manažérom železničnej infraštruktúry </w:t>
      </w:r>
      <w:r w:rsidRPr="00326E55">
        <w:rPr>
          <w:i/>
          <w:noProof/>
          <w:spacing w:val="-6"/>
          <w:lang w:val="sk-SK"/>
        </w:rPr>
        <w:t>Rete Ferroviaria Italiana</w:t>
      </w:r>
    </w:p>
    <w:p w14:paraId="1E40FFC9" w14:textId="59A962AF" w:rsidR="00BF03AA" w:rsidRPr="00326E55" w:rsidRDefault="00FB452D">
      <w:pPr>
        <w:pStyle w:val="P68B1DB1-Normal7"/>
        <w:spacing w:before="120" w:after="120"/>
        <w:jc w:val="both"/>
        <w:rPr>
          <w:noProof/>
          <w:spacing w:val="-6"/>
          <w:lang w:val="sk-SK"/>
        </w:rPr>
      </w:pPr>
      <w:r w:rsidRPr="00326E55">
        <w:rPr>
          <w:noProof/>
          <w:spacing w:val="-6"/>
          <w:lang w:val="sk-SK"/>
        </w:rPr>
        <w:t>Táto reforma spočíva</w:t>
      </w:r>
      <w:r w:rsidR="00326E55" w:rsidRPr="00326E55">
        <w:rPr>
          <w:noProof/>
          <w:spacing w:val="-6"/>
          <w:lang w:val="sk-SK"/>
        </w:rPr>
        <w:t xml:space="preserve"> v </w:t>
      </w:r>
      <w:r w:rsidRPr="00326E55">
        <w:rPr>
          <w:noProof/>
          <w:spacing w:val="-6"/>
          <w:lang w:val="sk-SK"/>
        </w:rPr>
        <w:t>zrušení požiadavky, aby</w:t>
      </w:r>
      <w:r w:rsidRPr="00326E55">
        <w:rPr>
          <w:noProof/>
          <w:spacing w:val="-6"/>
          <w:lang w:val="sk-SK"/>
        </w:rPr>
        <w:t xml:space="preserve"> parlamentné komisie vyjadrili stanovisko</w:t>
      </w:r>
      <w:r w:rsidR="00326E55" w:rsidRPr="00326E55">
        <w:rPr>
          <w:noProof/>
          <w:spacing w:val="-6"/>
          <w:lang w:val="sk-SK"/>
        </w:rPr>
        <w:t xml:space="preserve"> k </w:t>
      </w:r>
      <w:r w:rsidRPr="00326E55">
        <w:rPr>
          <w:noProof/>
          <w:spacing w:val="-6"/>
          <w:lang w:val="sk-SK"/>
        </w:rPr>
        <w:t xml:space="preserve">zoznamu investícií kontratti </w:t>
      </w:r>
      <w:r w:rsidRPr="00326E55">
        <w:rPr>
          <w:i/>
          <w:noProof/>
          <w:spacing w:val="-6"/>
          <w:lang w:val="sk-SK"/>
        </w:rPr>
        <w:t>di Programma (CdP)</w:t>
      </w:r>
      <w:r w:rsidRPr="00326E55">
        <w:rPr>
          <w:noProof/>
          <w:spacing w:val="-6"/>
          <w:lang w:val="sk-SK"/>
        </w:rPr>
        <w:t xml:space="preserve"> manažéra železničnej infraštruktúry </w:t>
      </w:r>
      <w:r w:rsidRPr="00326E55">
        <w:rPr>
          <w:i/>
          <w:noProof/>
          <w:spacing w:val="-6"/>
          <w:lang w:val="sk-SK"/>
        </w:rPr>
        <w:t>Rete Ferroviaria Italiana</w:t>
      </w:r>
      <w:r w:rsidRPr="00326E55">
        <w:rPr>
          <w:noProof/>
          <w:spacing w:val="-6"/>
          <w:lang w:val="sk-SK"/>
        </w:rPr>
        <w:t>. Parlamentné komisie vyjadria stanovisko</w:t>
      </w:r>
      <w:r w:rsidR="00326E55" w:rsidRPr="00326E55">
        <w:rPr>
          <w:noProof/>
          <w:spacing w:val="-6"/>
          <w:lang w:val="sk-SK"/>
        </w:rPr>
        <w:t xml:space="preserve"> k </w:t>
      </w:r>
      <w:r w:rsidRPr="00326E55">
        <w:rPr>
          <w:noProof/>
          <w:spacing w:val="-6"/>
          <w:lang w:val="sk-SK"/>
        </w:rPr>
        <w:t>strategickému investičnému programu.</w:t>
      </w:r>
    </w:p>
    <w:p w14:paraId="3EA18CE0" w14:textId="77777777" w:rsidR="00BF03AA" w:rsidRPr="00326E55" w:rsidRDefault="00FB452D">
      <w:pPr>
        <w:pStyle w:val="P68B1DB1-Normal5"/>
        <w:spacing w:before="120" w:after="120"/>
        <w:jc w:val="both"/>
        <w:rPr>
          <w:bCs/>
          <w:noProof/>
          <w:spacing w:val="-6"/>
          <w:lang w:val="sk-SK"/>
        </w:rPr>
      </w:pPr>
      <w:r w:rsidRPr="00326E55">
        <w:rPr>
          <w:noProof/>
          <w:spacing w:val="-6"/>
          <w:lang w:val="sk-SK"/>
        </w:rPr>
        <w:t>Reforma 1.2 – Urýchlen</w:t>
      </w:r>
      <w:r w:rsidRPr="00326E55">
        <w:rPr>
          <w:noProof/>
          <w:spacing w:val="-6"/>
          <w:lang w:val="sk-SK"/>
        </w:rPr>
        <w:t>ie procesu schvaľovania projektov</w:t>
      </w:r>
    </w:p>
    <w:p w14:paraId="56A63275" w14:textId="080E5022" w:rsidR="00BF03AA" w:rsidRPr="00326E55" w:rsidRDefault="00FB452D">
      <w:pPr>
        <w:pStyle w:val="P68B1DB1-Normal7"/>
        <w:spacing w:before="120" w:after="120"/>
        <w:jc w:val="both"/>
        <w:rPr>
          <w:noProof/>
          <w:spacing w:val="-6"/>
          <w:lang w:val="sk-SK"/>
        </w:rPr>
      </w:pPr>
      <w:r w:rsidRPr="00326E55">
        <w:rPr>
          <w:noProof/>
          <w:spacing w:val="-6"/>
          <w:lang w:val="sk-SK"/>
        </w:rPr>
        <w:t>Táto reforma spočíva</w:t>
      </w:r>
      <w:r w:rsidR="00326E55" w:rsidRPr="00326E55">
        <w:rPr>
          <w:noProof/>
          <w:spacing w:val="-6"/>
          <w:lang w:val="sk-SK"/>
        </w:rPr>
        <w:t xml:space="preserve"> v </w:t>
      </w:r>
      <w:r w:rsidRPr="00326E55">
        <w:rPr>
          <w:noProof/>
          <w:spacing w:val="-6"/>
          <w:lang w:val="sk-SK"/>
        </w:rPr>
        <w:t>prijatí právnych predpisov umožňujúcich predvídať uvedenie miesta prác</w:t>
      </w:r>
      <w:r w:rsidR="00326E55" w:rsidRPr="00326E55">
        <w:rPr>
          <w:noProof/>
          <w:spacing w:val="-6"/>
          <w:lang w:val="sk-SK"/>
        </w:rPr>
        <w:t xml:space="preserve"> v </w:t>
      </w:r>
      <w:r w:rsidRPr="00326E55">
        <w:rPr>
          <w:noProof/>
          <w:spacing w:val="-6"/>
          <w:lang w:val="sk-SK"/>
        </w:rPr>
        <w:t>čase „projektu ekonomickej technickej uskutočniteľnosti“ (PFTE) namiesto čakania na konečnú fázu návrhu projektu. Dodatočné po</w:t>
      </w:r>
      <w:r w:rsidRPr="00326E55">
        <w:rPr>
          <w:noProof/>
          <w:spacing w:val="-6"/>
          <w:lang w:val="sk-SK"/>
        </w:rPr>
        <w:t>volenia, ktoré nemožno získať na PFTE, by sa získali</w:t>
      </w:r>
      <w:r w:rsidR="00326E55" w:rsidRPr="00326E55">
        <w:rPr>
          <w:noProof/>
          <w:spacing w:val="-6"/>
          <w:lang w:val="sk-SK"/>
        </w:rPr>
        <w:t xml:space="preserve"> v </w:t>
      </w:r>
      <w:r w:rsidRPr="00326E55">
        <w:rPr>
          <w:noProof/>
          <w:spacing w:val="-6"/>
          <w:lang w:val="sk-SK"/>
        </w:rPr>
        <w:t xml:space="preserve">ďalších fázach návrhu projektu bez toho, aby sa zvolala „Conferenza dei Servizi“ ako výnimka zo zákona </w:t>
      </w:r>
      <w:r w:rsidR="00326E55" w:rsidRPr="00326E55">
        <w:rPr>
          <w:noProof/>
          <w:spacing w:val="-6"/>
          <w:lang w:val="sk-SK"/>
        </w:rPr>
        <w:t>č. </w:t>
      </w:r>
      <w:r w:rsidRPr="00326E55">
        <w:rPr>
          <w:noProof/>
          <w:spacing w:val="-6"/>
          <w:lang w:val="sk-SK"/>
        </w:rPr>
        <w:t>241/1990. Týmito zmenami sa skráti čas schvaľovania projektov</w:t>
      </w:r>
      <w:r w:rsidR="00326E55" w:rsidRPr="00326E55">
        <w:rPr>
          <w:noProof/>
          <w:spacing w:val="-6"/>
          <w:lang w:val="sk-SK"/>
        </w:rPr>
        <w:t xml:space="preserve"> z </w:t>
      </w:r>
      <w:r w:rsidRPr="00326E55">
        <w:rPr>
          <w:noProof/>
          <w:spacing w:val="-6"/>
          <w:lang w:val="sk-SK"/>
        </w:rPr>
        <w:t>11 na 6 mesiacov.</w:t>
      </w:r>
    </w:p>
    <w:p w14:paraId="40EA9E7A" w14:textId="500D3F39" w:rsidR="00BF03AA" w:rsidRPr="00326E55" w:rsidRDefault="00FB452D">
      <w:pPr>
        <w:pStyle w:val="P68B1DB1-Normal5"/>
        <w:spacing w:before="120" w:after="120" w:line="276" w:lineRule="auto"/>
        <w:jc w:val="both"/>
        <w:rPr>
          <w:noProof/>
          <w:spacing w:val="-6"/>
          <w:lang w:val="sk-SK"/>
        </w:rPr>
      </w:pPr>
      <w:r w:rsidRPr="00326E55">
        <w:rPr>
          <w:noProof/>
          <w:spacing w:val="-6"/>
          <w:lang w:val="sk-SK"/>
        </w:rPr>
        <w:t>Reforma 1.3 –</w:t>
      </w:r>
      <w:r w:rsidRPr="00326E55">
        <w:rPr>
          <w:noProof/>
          <w:spacing w:val="-6"/>
          <w:lang w:val="sk-SK"/>
        </w:rPr>
        <w:t xml:space="preserve"> Podpora efektívnosti železničnej infraštruktúry</w:t>
      </w:r>
      <w:r w:rsidR="00326E55" w:rsidRPr="00326E55">
        <w:rPr>
          <w:noProof/>
          <w:spacing w:val="-6"/>
          <w:lang w:val="sk-SK"/>
        </w:rPr>
        <w:t xml:space="preserve"> v </w:t>
      </w:r>
      <w:r w:rsidRPr="00326E55">
        <w:rPr>
          <w:noProof/>
          <w:spacing w:val="-6"/>
          <w:lang w:val="sk-SK"/>
        </w:rPr>
        <w:t>Taliansku</w:t>
      </w:r>
    </w:p>
    <w:p w14:paraId="03CE7E59" w14:textId="789CCF22" w:rsidR="00BF03AA" w:rsidRPr="00326E55" w:rsidRDefault="00FB452D">
      <w:pPr>
        <w:pStyle w:val="paragraph"/>
        <w:spacing w:before="0" w:beforeAutospacing="0" w:after="0" w:afterAutospacing="0" w:line="276" w:lineRule="auto"/>
        <w:jc w:val="both"/>
        <w:textAlignment w:val="baseline"/>
        <w:rPr>
          <w:rFonts w:eastAsiaTheme="minorEastAsia"/>
          <w:noProof/>
          <w:spacing w:val="-6"/>
          <w:lang w:val="sk-SK"/>
        </w:rPr>
      </w:pPr>
      <w:r w:rsidRPr="00326E55">
        <w:rPr>
          <w:rStyle w:val="normaltextrun"/>
          <w:rFonts w:eastAsiaTheme="majorEastAsia"/>
          <w:noProof/>
          <w:spacing w:val="-6"/>
          <w:lang w:val="sk-SK"/>
        </w:rPr>
        <w:t>Cieľom tejto reformy je podporiť zvýšenie hospodárskej súťaže na trhoch regionálnej</w:t>
      </w:r>
      <w:r w:rsidR="00326E55" w:rsidRPr="00326E55">
        <w:rPr>
          <w:rStyle w:val="normaltextrun"/>
          <w:rFonts w:eastAsiaTheme="majorEastAsia"/>
          <w:noProof/>
          <w:spacing w:val="-6"/>
          <w:lang w:val="sk-SK"/>
        </w:rPr>
        <w:t xml:space="preserve"> a </w:t>
      </w:r>
      <w:r w:rsidRPr="00326E55">
        <w:rPr>
          <w:rStyle w:val="normaltextrun"/>
          <w:rFonts w:eastAsiaTheme="majorEastAsia"/>
          <w:noProof/>
          <w:spacing w:val="-6"/>
          <w:lang w:val="sk-SK"/>
        </w:rPr>
        <w:t xml:space="preserve">medzimestskej železničnej dopravy, zlepšiť plánovanie infraštruktúry </w:t>
      </w:r>
      <w:r w:rsidRPr="00326E55">
        <w:rPr>
          <w:noProof/>
          <w:spacing w:val="-6"/>
          <w:lang w:val="sk-SK"/>
        </w:rPr>
        <w:t>železničných tratí</w:t>
      </w:r>
      <w:r w:rsidR="00326E55" w:rsidRPr="00326E55">
        <w:rPr>
          <w:noProof/>
          <w:spacing w:val="-6"/>
          <w:lang w:val="sk-SK"/>
        </w:rPr>
        <w:t xml:space="preserve"> a </w:t>
      </w:r>
      <w:r w:rsidRPr="00326E55">
        <w:rPr>
          <w:noProof/>
          <w:spacing w:val="-6"/>
          <w:lang w:val="sk-SK"/>
        </w:rPr>
        <w:t>sietí</w:t>
      </w:r>
      <w:r w:rsidR="00326E55" w:rsidRPr="00326E55">
        <w:rPr>
          <w:noProof/>
          <w:spacing w:val="-6"/>
          <w:lang w:val="sk-SK"/>
        </w:rPr>
        <w:t xml:space="preserve"> a </w:t>
      </w:r>
      <w:r w:rsidRPr="00326E55">
        <w:rPr>
          <w:rStyle w:val="normaltextrun"/>
          <w:rFonts w:eastAsiaTheme="majorEastAsia"/>
          <w:noProof/>
          <w:spacing w:val="-6"/>
          <w:lang w:val="sk-SK"/>
        </w:rPr>
        <w:t>zaviesť mer</w:t>
      </w:r>
      <w:r w:rsidRPr="00326E55">
        <w:rPr>
          <w:rStyle w:val="normaltextrun"/>
          <w:rFonts w:eastAsiaTheme="majorEastAsia"/>
          <w:noProof/>
          <w:spacing w:val="-6"/>
          <w:lang w:val="sk-SK"/>
        </w:rPr>
        <w:t xml:space="preserve">anie výkonnosti riadenia železničnej </w:t>
      </w:r>
      <w:r w:rsidRPr="00326E55">
        <w:rPr>
          <w:noProof/>
          <w:spacing w:val="-6"/>
          <w:lang w:val="sk-SK"/>
        </w:rPr>
        <w:t>infraštruktúry</w:t>
      </w:r>
      <w:r w:rsidR="00326E55" w:rsidRPr="00326E55">
        <w:rPr>
          <w:noProof/>
          <w:spacing w:val="-6"/>
          <w:lang w:val="sk-SK"/>
        </w:rPr>
        <w:t xml:space="preserve"> a </w:t>
      </w:r>
      <w:r w:rsidRPr="00326E55">
        <w:rPr>
          <w:rStyle w:val="normaltextrun"/>
          <w:rFonts w:eastAsiaTheme="majorEastAsia"/>
          <w:noProof/>
          <w:spacing w:val="-6"/>
          <w:lang w:val="sk-SK"/>
        </w:rPr>
        <w:t>investícií.</w:t>
      </w:r>
      <w:r w:rsidRPr="00326E55">
        <w:rPr>
          <w:rStyle w:val="eop"/>
          <w:noProof/>
          <w:spacing w:val="-6"/>
          <w:lang w:val="sk-SK"/>
        </w:rPr>
        <w:t xml:space="preserve"> Reforma pozostáva</w:t>
      </w:r>
      <w:r w:rsidR="00326E55" w:rsidRPr="00326E55">
        <w:rPr>
          <w:rStyle w:val="eop"/>
          <w:noProof/>
          <w:spacing w:val="-6"/>
          <w:lang w:val="sk-SK"/>
        </w:rPr>
        <w:t xml:space="preserve"> z </w:t>
      </w:r>
      <w:r w:rsidRPr="00326E55">
        <w:rPr>
          <w:noProof/>
          <w:spacing w:val="-6"/>
          <w:lang w:val="sk-SK"/>
        </w:rPr>
        <w:t>prijatia primárnych</w:t>
      </w:r>
      <w:r w:rsidR="00326E55" w:rsidRPr="00326E55">
        <w:rPr>
          <w:noProof/>
          <w:spacing w:val="-6"/>
          <w:lang w:val="sk-SK"/>
        </w:rPr>
        <w:t xml:space="preserve"> a </w:t>
      </w:r>
      <w:r w:rsidRPr="00326E55">
        <w:rPr>
          <w:noProof/>
          <w:spacing w:val="-6"/>
          <w:lang w:val="sk-SK"/>
        </w:rPr>
        <w:t>sekundárnych právnych predpisov, ako aj</w:t>
      </w:r>
      <w:r w:rsidR="00326E55" w:rsidRPr="00326E55">
        <w:rPr>
          <w:noProof/>
          <w:spacing w:val="-6"/>
          <w:lang w:val="sk-SK"/>
        </w:rPr>
        <w:t xml:space="preserve"> z </w:t>
      </w:r>
      <w:r w:rsidRPr="00326E55">
        <w:rPr>
          <w:noProof/>
          <w:spacing w:val="-6"/>
          <w:lang w:val="sk-SK"/>
        </w:rPr>
        <w:t>prijatia právnych aktov</w:t>
      </w:r>
      <w:r w:rsidR="00326E55" w:rsidRPr="00326E55">
        <w:rPr>
          <w:noProof/>
          <w:spacing w:val="-6"/>
          <w:lang w:val="sk-SK"/>
        </w:rPr>
        <w:t xml:space="preserve"> o </w:t>
      </w:r>
      <w:r w:rsidRPr="00326E55">
        <w:rPr>
          <w:noProof/>
          <w:spacing w:val="-6"/>
          <w:lang w:val="sk-SK"/>
        </w:rPr>
        <w:t>spoločnosti pre železničné koľajové vozidlá (ROSCO).</w:t>
      </w:r>
    </w:p>
    <w:p w14:paraId="23D1CF83" w14:textId="0AC0268B" w:rsidR="00BF03AA" w:rsidRPr="00326E55" w:rsidRDefault="00FB452D">
      <w:pPr>
        <w:pStyle w:val="P68B1DB1-Normal5"/>
        <w:spacing w:before="120" w:after="120"/>
        <w:jc w:val="both"/>
        <w:rPr>
          <w:noProof/>
          <w:spacing w:val="-6"/>
          <w:lang w:val="sk-SK"/>
        </w:rPr>
      </w:pPr>
      <w:r w:rsidRPr="00326E55">
        <w:rPr>
          <w:noProof/>
          <w:spacing w:val="-6"/>
          <w:lang w:val="sk-SK"/>
        </w:rPr>
        <w:t>Investícia 1.1 – Vysokorých</w:t>
      </w:r>
      <w:r w:rsidRPr="00326E55">
        <w:rPr>
          <w:noProof/>
          <w:spacing w:val="-6"/>
          <w:lang w:val="sk-SK"/>
        </w:rPr>
        <w:t>lostné železničné spojenia na juhu pre osobnú</w:t>
      </w:r>
      <w:r w:rsidR="00326E55" w:rsidRPr="00326E55">
        <w:rPr>
          <w:noProof/>
          <w:spacing w:val="-6"/>
          <w:lang w:val="sk-SK"/>
        </w:rPr>
        <w:t xml:space="preserve"> a </w:t>
      </w:r>
      <w:r w:rsidRPr="00326E55">
        <w:rPr>
          <w:noProof/>
          <w:spacing w:val="-6"/>
          <w:lang w:val="sk-SK"/>
        </w:rPr>
        <w:t>nákladnú dopravu</w:t>
      </w:r>
    </w:p>
    <w:p w14:paraId="2907F7B8" w14:textId="6EE2FDA5" w:rsidR="00326E55" w:rsidRPr="00326E55" w:rsidRDefault="00FB452D">
      <w:pPr>
        <w:pStyle w:val="P68B1DB1-Normal7"/>
        <w:spacing w:before="120" w:after="120"/>
        <w:jc w:val="both"/>
        <w:rPr>
          <w:noProof/>
          <w:spacing w:val="-6"/>
          <w:lang w:val="sk-SK"/>
        </w:rPr>
      </w:pPr>
      <w:r w:rsidRPr="00326E55">
        <w:rPr>
          <w:noProof/>
          <w:spacing w:val="-6"/>
          <w:lang w:val="sk-SK"/>
        </w:rPr>
        <w:t>Cieľom tejto investície je rozšíriť taliansku železničnú infraštruktúru. Táto investícia pozostáva</w:t>
      </w:r>
      <w:r w:rsidR="00326E55" w:rsidRPr="00326E55">
        <w:rPr>
          <w:noProof/>
          <w:spacing w:val="-6"/>
          <w:lang w:val="sk-SK"/>
        </w:rPr>
        <w:t xml:space="preserve"> z </w:t>
      </w:r>
      <w:r w:rsidRPr="00326E55">
        <w:rPr>
          <w:noProof/>
          <w:spacing w:val="-6"/>
          <w:lang w:val="sk-SK"/>
        </w:rPr>
        <w:t>výstavby 114 km vysokorýchlostnej železničnej infraštruktúry pre osobnú</w:t>
      </w:r>
      <w:r w:rsidR="00326E55" w:rsidRPr="00326E55">
        <w:rPr>
          <w:noProof/>
          <w:spacing w:val="-6"/>
          <w:lang w:val="sk-SK"/>
        </w:rPr>
        <w:t xml:space="preserve"> a </w:t>
      </w:r>
      <w:r w:rsidRPr="00326E55">
        <w:rPr>
          <w:noProof/>
          <w:spacing w:val="-6"/>
          <w:lang w:val="sk-SK"/>
        </w:rPr>
        <w:t>nákladnú dopravu</w:t>
      </w:r>
      <w:r w:rsidRPr="00326E55">
        <w:rPr>
          <w:noProof/>
          <w:spacing w:val="-6"/>
          <w:lang w:val="sk-SK"/>
        </w:rPr>
        <w:t xml:space="preserve"> na tratiach Napoli – Bari, Salerno – Reggio Calabria</w:t>
      </w:r>
      <w:r w:rsidR="00326E55" w:rsidRPr="00326E55">
        <w:rPr>
          <w:noProof/>
          <w:spacing w:val="-6"/>
          <w:lang w:val="sk-SK"/>
        </w:rPr>
        <w:t xml:space="preserve"> a </w:t>
      </w:r>
      <w:r w:rsidRPr="00326E55">
        <w:rPr>
          <w:noProof/>
          <w:spacing w:val="-6"/>
          <w:lang w:val="sk-SK"/>
        </w:rPr>
        <w:t>Palermo – Catania</w:t>
      </w:r>
      <w:r w:rsidR="00326E55" w:rsidRPr="00326E55">
        <w:rPr>
          <w:noProof/>
          <w:spacing w:val="-6"/>
          <w:lang w:val="sk-SK"/>
        </w:rPr>
        <w:t>.</w:t>
      </w:r>
    </w:p>
    <w:p w14:paraId="3953E1D7" w14:textId="300E20AA" w:rsidR="00BF03AA" w:rsidRPr="00326E55" w:rsidRDefault="00FB452D">
      <w:pPr>
        <w:pStyle w:val="P68B1DB1-Normal5"/>
        <w:spacing w:before="120" w:after="120"/>
        <w:jc w:val="both"/>
        <w:rPr>
          <w:noProof/>
          <w:spacing w:val="-6"/>
          <w:lang w:val="sk-SK"/>
        </w:rPr>
      </w:pPr>
      <w:r w:rsidRPr="00326E55">
        <w:rPr>
          <w:noProof/>
          <w:spacing w:val="-6"/>
          <w:lang w:val="sk-SK"/>
        </w:rPr>
        <w:t>Investícia 1.2 – Vysokorýchlostné trate na severe spájajúce zvyšok Európy</w:t>
      </w:r>
    </w:p>
    <w:p w14:paraId="593284FD" w14:textId="78A9BCAB" w:rsidR="00326E55" w:rsidRPr="00326E55" w:rsidRDefault="00FB452D">
      <w:pPr>
        <w:pStyle w:val="P68B1DB1-Normal7"/>
        <w:spacing w:before="120" w:after="120"/>
        <w:jc w:val="both"/>
        <w:rPr>
          <w:noProof/>
          <w:spacing w:val="-6"/>
          <w:lang w:val="sk-SK"/>
        </w:rPr>
      </w:pPr>
      <w:r w:rsidRPr="00326E55">
        <w:rPr>
          <w:noProof/>
          <w:spacing w:val="-6"/>
          <w:lang w:val="sk-SK"/>
        </w:rPr>
        <w:t>Cieľom tejto investície je rozšíriť taliansku železničnú infraštruktúru. Táto investícia pozostáva</w:t>
      </w:r>
      <w:r w:rsidR="00326E55" w:rsidRPr="00326E55">
        <w:rPr>
          <w:noProof/>
          <w:spacing w:val="-6"/>
          <w:lang w:val="sk-SK"/>
        </w:rPr>
        <w:t xml:space="preserve"> z </w:t>
      </w:r>
      <w:r w:rsidRPr="00326E55">
        <w:rPr>
          <w:noProof/>
          <w:spacing w:val="-6"/>
          <w:lang w:val="sk-SK"/>
        </w:rPr>
        <w:t>výstav</w:t>
      </w:r>
      <w:r w:rsidRPr="00326E55">
        <w:rPr>
          <w:noProof/>
          <w:spacing w:val="-6"/>
          <w:lang w:val="sk-SK"/>
        </w:rPr>
        <w:t>by 158 km vysokorýchlostnej železničnej infraštruktúry pre osobnú</w:t>
      </w:r>
      <w:r w:rsidR="00326E55" w:rsidRPr="00326E55">
        <w:rPr>
          <w:noProof/>
          <w:spacing w:val="-6"/>
          <w:lang w:val="sk-SK"/>
        </w:rPr>
        <w:t xml:space="preserve"> a </w:t>
      </w:r>
      <w:r w:rsidRPr="00326E55">
        <w:rPr>
          <w:noProof/>
          <w:spacing w:val="-6"/>
          <w:lang w:val="sk-SK"/>
        </w:rPr>
        <w:t>nákladnú dopravu na tratiach Brescia – Verona – Vicenza – Padova, Ligúria – Alpi</w:t>
      </w:r>
      <w:r w:rsidR="00326E55" w:rsidRPr="00326E55">
        <w:rPr>
          <w:noProof/>
          <w:spacing w:val="-6"/>
          <w:lang w:val="sk-SK"/>
        </w:rPr>
        <w:t>.</w:t>
      </w:r>
    </w:p>
    <w:p w14:paraId="7D1F2BF7" w14:textId="31B71F24" w:rsidR="00BF03AA" w:rsidRPr="00326E55" w:rsidRDefault="00FB452D">
      <w:pPr>
        <w:pStyle w:val="P68B1DB1-Normal7"/>
        <w:rPr>
          <w:b/>
          <w:noProof/>
          <w:spacing w:val="-6"/>
          <w:lang w:val="sk-SK"/>
        </w:rPr>
      </w:pPr>
      <w:r w:rsidRPr="00326E55">
        <w:rPr>
          <w:noProof/>
          <w:spacing w:val="-6"/>
          <w:lang w:val="sk-SK"/>
        </w:rPr>
        <w:br w:type="page"/>
      </w:r>
    </w:p>
    <w:p w14:paraId="7817E237" w14:textId="629805B0" w:rsidR="00BF03AA" w:rsidRPr="00326E55" w:rsidRDefault="00FB452D">
      <w:pPr>
        <w:pStyle w:val="P68B1DB1-Normal5"/>
        <w:spacing w:before="120" w:after="120"/>
        <w:jc w:val="both"/>
        <w:rPr>
          <w:noProof/>
          <w:spacing w:val="-6"/>
          <w:lang w:val="sk-SK"/>
        </w:rPr>
      </w:pPr>
      <w:r w:rsidRPr="00326E55">
        <w:rPr>
          <w:noProof/>
          <w:spacing w:val="-6"/>
          <w:lang w:val="sk-SK"/>
        </w:rPr>
        <w:t>Investícia 1.3 – Diagonálne spojenia</w:t>
      </w:r>
    </w:p>
    <w:p w14:paraId="570302E7" w14:textId="58B4AFDC" w:rsidR="00326E55" w:rsidRPr="00326E55" w:rsidRDefault="00FB452D">
      <w:pPr>
        <w:pStyle w:val="P68B1DB1-Normal7"/>
        <w:spacing w:before="120" w:after="120"/>
        <w:jc w:val="both"/>
        <w:rPr>
          <w:noProof/>
          <w:spacing w:val="-6"/>
          <w:lang w:val="sk-SK"/>
        </w:rPr>
      </w:pPr>
      <w:r w:rsidRPr="00326E55">
        <w:rPr>
          <w:noProof/>
          <w:spacing w:val="-6"/>
          <w:lang w:val="sk-SK"/>
        </w:rPr>
        <w:t>Cieľom tejto investície je rozšíriť taliansku železničnú infraštruk</w:t>
      </w:r>
      <w:r w:rsidRPr="00326E55">
        <w:rPr>
          <w:noProof/>
          <w:spacing w:val="-6"/>
          <w:lang w:val="sk-SK"/>
        </w:rPr>
        <w:t>túru. Táto investícia pozostáva</w:t>
      </w:r>
      <w:r w:rsidR="00326E55" w:rsidRPr="00326E55">
        <w:rPr>
          <w:noProof/>
          <w:spacing w:val="-6"/>
          <w:lang w:val="sk-SK"/>
        </w:rPr>
        <w:t xml:space="preserve"> z </w:t>
      </w:r>
      <w:r w:rsidRPr="00326E55">
        <w:rPr>
          <w:noProof/>
          <w:spacing w:val="-6"/>
          <w:lang w:val="sk-SK"/>
        </w:rPr>
        <w:t>výstavby 15 km vysokorýchlostných železníc pre osobnú</w:t>
      </w:r>
      <w:r w:rsidR="00326E55" w:rsidRPr="00326E55">
        <w:rPr>
          <w:noProof/>
          <w:spacing w:val="-6"/>
          <w:lang w:val="sk-SK"/>
        </w:rPr>
        <w:t xml:space="preserve"> a </w:t>
      </w:r>
      <w:r w:rsidRPr="00326E55">
        <w:rPr>
          <w:noProof/>
          <w:spacing w:val="-6"/>
          <w:lang w:val="sk-SK"/>
        </w:rPr>
        <w:t>nákladnú dopravu na tratiach Orte – Falconara</w:t>
      </w:r>
      <w:r w:rsidR="00326E55" w:rsidRPr="00326E55">
        <w:rPr>
          <w:noProof/>
          <w:spacing w:val="-6"/>
          <w:lang w:val="sk-SK"/>
        </w:rPr>
        <w:t xml:space="preserve"> a </w:t>
      </w:r>
      <w:r w:rsidRPr="00326E55">
        <w:rPr>
          <w:noProof/>
          <w:spacing w:val="-6"/>
          <w:lang w:val="sk-SK"/>
        </w:rPr>
        <w:t>Taranto-Metaponto – Potenza – Battipaglia</w:t>
      </w:r>
      <w:r w:rsidR="00326E55" w:rsidRPr="00326E55">
        <w:rPr>
          <w:noProof/>
          <w:spacing w:val="-6"/>
          <w:lang w:val="sk-SK"/>
        </w:rPr>
        <w:t>.</w:t>
      </w:r>
    </w:p>
    <w:p w14:paraId="226082FF" w14:textId="0224C0BF" w:rsidR="00BF03AA" w:rsidRPr="00326E55" w:rsidRDefault="00FB452D">
      <w:pPr>
        <w:pStyle w:val="P68B1DB1-Normal5"/>
        <w:spacing w:before="120" w:after="120"/>
        <w:jc w:val="both"/>
        <w:rPr>
          <w:noProof/>
          <w:spacing w:val="-6"/>
          <w:lang w:val="sk-SK"/>
        </w:rPr>
      </w:pPr>
      <w:r w:rsidRPr="00326E55">
        <w:rPr>
          <w:noProof/>
          <w:spacing w:val="-6"/>
          <w:lang w:val="sk-SK"/>
        </w:rPr>
        <w:t>Investícia 1.4 – Európsky systém riadenia železničnej dopravy (ERTMS)</w:t>
      </w:r>
    </w:p>
    <w:p w14:paraId="16422355" w14:textId="6560CD70" w:rsidR="00BF03AA" w:rsidRPr="00326E55" w:rsidRDefault="00FB452D">
      <w:pPr>
        <w:pStyle w:val="P68B1DB1-Normal7"/>
        <w:spacing w:before="120" w:after="120"/>
        <w:jc w:val="both"/>
        <w:rPr>
          <w:noProof/>
          <w:spacing w:val="-6"/>
          <w:lang w:val="sk-SK"/>
        </w:rPr>
      </w:pPr>
      <w:r w:rsidRPr="00326E55">
        <w:rPr>
          <w:noProof/>
          <w:spacing w:val="-6"/>
          <w:lang w:val="sk-SK"/>
        </w:rPr>
        <w:t>Cieľo</w:t>
      </w:r>
      <w:r w:rsidRPr="00326E55">
        <w:rPr>
          <w:noProof/>
          <w:spacing w:val="-6"/>
          <w:lang w:val="sk-SK"/>
        </w:rPr>
        <w:t>m tejto investície je prispieť</w:t>
      </w:r>
      <w:r w:rsidR="00326E55" w:rsidRPr="00326E55">
        <w:rPr>
          <w:noProof/>
          <w:spacing w:val="-6"/>
          <w:lang w:val="sk-SK"/>
        </w:rPr>
        <w:t xml:space="preserve"> k </w:t>
      </w:r>
      <w:r w:rsidRPr="00326E55">
        <w:rPr>
          <w:noProof/>
          <w:spacing w:val="-6"/>
          <w:lang w:val="sk-SK"/>
        </w:rPr>
        <w:t>prispôsobeniu talianskej železničnej infraštruktúry európskym normám interoperability. Táto investícia pozostáva</w:t>
      </w:r>
      <w:r w:rsidR="00326E55" w:rsidRPr="00326E55">
        <w:rPr>
          <w:noProof/>
          <w:spacing w:val="-6"/>
          <w:lang w:val="sk-SK"/>
        </w:rPr>
        <w:t xml:space="preserve"> z </w:t>
      </w:r>
      <w:r w:rsidRPr="00326E55">
        <w:rPr>
          <w:noProof/>
          <w:spacing w:val="-6"/>
          <w:lang w:val="sk-SK"/>
        </w:rPr>
        <w:t>vybavenia 2 785 km železničných tratí Európskym systémom riadenia železničnej dopravy (ERTMS) na úrovni infr</w:t>
      </w:r>
      <w:r w:rsidRPr="00326E55">
        <w:rPr>
          <w:noProof/>
          <w:spacing w:val="-6"/>
          <w:lang w:val="sk-SK"/>
        </w:rPr>
        <w:t>aštruktúry</w:t>
      </w:r>
      <w:r w:rsidR="00326E55" w:rsidRPr="00326E55">
        <w:rPr>
          <w:noProof/>
          <w:spacing w:val="-6"/>
          <w:lang w:val="sk-SK"/>
        </w:rPr>
        <w:t xml:space="preserve"> a </w:t>
      </w:r>
      <w:r w:rsidRPr="00326E55">
        <w:rPr>
          <w:noProof/>
          <w:spacing w:val="-6"/>
          <w:lang w:val="sk-SK"/>
        </w:rPr>
        <w:t>technológií</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talianskym plánom zavádzania ERTMS oznámeným Európskej komisii. .</w:t>
      </w:r>
    </w:p>
    <w:p w14:paraId="02522E54"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1.8 – Modernizácia železničných staníc [riadenie</w:t>
      </w:r>
      <w:r w:rsidRPr="00326E55">
        <w:rPr>
          <w:i/>
          <w:noProof/>
          <w:spacing w:val="-6"/>
          <w:lang w:val="sk-SK"/>
        </w:rPr>
        <w:t>Rete Ferroviaria Italiana (RFI)</w:t>
      </w:r>
      <w:r w:rsidRPr="00326E55">
        <w:rPr>
          <w:noProof/>
          <w:spacing w:val="-6"/>
          <w:lang w:val="sk-SK"/>
        </w:rPr>
        <w:t>]; na juhu)</w:t>
      </w:r>
    </w:p>
    <w:p w14:paraId="02DD1A29" w14:textId="62F0E62C"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zabezpečiť prístupnosť že</w:t>
      </w:r>
      <w:r w:rsidRPr="00326E55">
        <w:rPr>
          <w:noProof/>
          <w:spacing w:val="-6"/>
          <w:lang w:val="sk-SK"/>
        </w:rPr>
        <w:t>lezničných staníc pre osoby so zdravotným postihnutím</w:t>
      </w:r>
      <w:r w:rsidR="00326E55" w:rsidRPr="00326E55">
        <w:rPr>
          <w:noProof/>
          <w:spacing w:val="-6"/>
          <w:lang w:val="sk-SK"/>
        </w:rPr>
        <w:t xml:space="preserve"> a </w:t>
      </w:r>
      <w:r w:rsidRPr="00326E55">
        <w:rPr>
          <w:noProof/>
          <w:spacing w:val="-6"/>
          <w:lang w:val="sk-SK"/>
        </w:rPr>
        <w:t>osoby so zníženou pohyblivosťou. Táto investícia pozostáva</w:t>
      </w:r>
      <w:r w:rsidR="00326E55" w:rsidRPr="00326E55">
        <w:rPr>
          <w:noProof/>
          <w:spacing w:val="-6"/>
          <w:lang w:val="sk-SK"/>
        </w:rPr>
        <w:t xml:space="preserve"> z </w:t>
      </w:r>
      <w:r w:rsidRPr="00326E55">
        <w:rPr>
          <w:noProof/>
          <w:spacing w:val="-6"/>
          <w:lang w:val="sk-SK"/>
        </w:rPr>
        <w:t>modernizácie 38 železničných staníc.</w:t>
      </w:r>
    </w:p>
    <w:p w14:paraId="7741523C" w14:textId="79EBF12E" w:rsidR="00BF03AA" w:rsidRPr="00326E55" w:rsidRDefault="00FB452D">
      <w:pPr>
        <w:pStyle w:val="P68B1DB1-Normal5"/>
        <w:spacing w:before="120" w:after="120"/>
        <w:jc w:val="both"/>
        <w:rPr>
          <w:noProof/>
          <w:spacing w:val="-6"/>
          <w:lang w:val="sk-SK"/>
        </w:rPr>
      </w:pPr>
      <w:r w:rsidRPr="00326E55">
        <w:rPr>
          <w:noProof/>
          <w:spacing w:val="-6"/>
          <w:lang w:val="sk-SK"/>
        </w:rPr>
        <w:t>Investícia 1.10 – Posilnenie metropolitných uzlov</w:t>
      </w:r>
      <w:r w:rsidR="00326E55" w:rsidRPr="00326E55">
        <w:rPr>
          <w:noProof/>
          <w:spacing w:val="-6"/>
          <w:lang w:val="sk-SK"/>
        </w:rPr>
        <w:t xml:space="preserve"> a </w:t>
      </w:r>
      <w:r w:rsidRPr="00326E55">
        <w:rPr>
          <w:noProof/>
          <w:spacing w:val="-6"/>
          <w:lang w:val="sk-SK"/>
        </w:rPr>
        <w:t>regionálnych železničných tratí</w:t>
      </w:r>
    </w:p>
    <w:p w14:paraId="0F7881B0" w14:textId="1D4CC854" w:rsidR="00326E55" w:rsidRPr="00326E55" w:rsidRDefault="00FB452D">
      <w:pPr>
        <w:pStyle w:val="P68B1DB1-Normal7"/>
        <w:spacing w:before="120" w:after="120"/>
        <w:jc w:val="both"/>
        <w:rPr>
          <w:noProof/>
          <w:spacing w:val="-6"/>
          <w:lang w:val="sk-SK"/>
        </w:rPr>
      </w:pPr>
      <w:r w:rsidRPr="00326E55">
        <w:rPr>
          <w:noProof/>
          <w:spacing w:val="-6"/>
          <w:lang w:val="sk-SK"/>
        </w:rPr>
        <w:t>Cieľom tejto inves</w:t>
      </w:r>
      <w:r w:rsidRPr="00326E55">
        <w:rPr>
          <w:noProof/>
          <w:spacing w:val="-6"/>
          <w:lang w:val="sk-SK"/>
        </w:rPr>
        <w:t>tície je zlepšiť kvalitu talianskych medziregionálnych</w:t>
      </w:r>
      <w:r w:rsidR="00326E55" w:rsidRPr="00326E55">
        <w:rPr>
          <w:noProof/>
          <w:spacing w:val="-6"/>
          <w:lang w:val="sk-SK"/>
        </w:rPr>
        <w:t xml:space="preserve"> a </w:t>
      </w:r>
      <w:r w:rsidRPr="00326E55">
        <w:rPr>
          <w:noProof/>
          <w:spacing w:val="-6"/>
          <w:lang w:val="sk-SK"/>
        </w:rPr>
        <w:t>regionálnych železničných tratí. Táto investícia pozostáva</w:t>
      </w:r>
      <w:r w:rsidR="00326E55" w:rsidRPr="00326E55">
        <w:rPr>
          <w:noProof/>
          <w:spacing w:val="-6"/>
          <w:lang w:val="sk-SK"/>
        </w:rPr>
        <w:t xml:space="preserve"> z </w:t>
      </w:r>
      <w:r w:rsidRPr="00326E55">
        <w:rPr>
          <w:noProof/>
          <w:spacing w:val="-6"/>
          <w:lang w:val="sk-SK"/>
        </w:rPr>
        <w:t>modernizácie najmenej 3 309 km železničných tratí vrátane 1 162 km na juhu. Projekty, ktoré patria do tohto opatrenia, môžu získať podporu</w:t>
      </w:r>
      <w:r w:rsidR="00326E55" w:rsidRPr="00326E55">
        <w:rPr>
          <w:noProof/>
          <w:spacing w:val="-6"/>
          <w:lang w:val="sk-SK"/>
        </w:rPr>
        <w:t xml:space="preserve"> z </w:t>
      </w:r>
      <w:r w:rsidRPr="00326E55">
        <w:rPr>
          <w:noProof/>
          <w:spacing w:val="-6"/>
          <w:lang w:val="sk-SK"/>
        </w:rPr>
        <w:t>iných európskych programov</w:t>
      </w:r>
      <w:r w:rsidR="00326E55" w:rsidRPr="00326E55">
        <w:rPr>
          <w:noProof/>
          <w:spacing w:val="-6"/>
          <w:lang w:val="sk-SK"/>
        </w:rPr>
        <w:t>.</w:t>
      </w:r>
    </w:p>
    <w:p w14:paraId="3EC299FD" w14:textId="2AD0C1FD" w:rsidR="00BF03AA" w:rsidRPr="00326E55" w:rsidRDefault="00FB452D">
      <w:pPr>
        <w:pStyle w:val="P68B1DB1-Normal5"/>
        <w:spacing w:before="120" w:after="120"/>
        <w:jc w:val="both"/>
        <w:rPr>
          <w:bCs/>
          <w:noProof/>
          <w:spacing w:val="-6"/>
          <w:lang w:val="sk-SK"/>
        </w:rPr>
      </w:pPr>
      <w:r w:rsidRPr="00326E55">
        <w:rPr>
          <w:noProof/>
          <w:spacing w:val="-6"/>
          <w:lang w:val="sk-SK"/>
        </w:rPr>
        <w:t>Reforma 2.1 – Prijatie „Usmernení pre klasifikáciu</w:t>
      </w:r>
      <w:r w:rsidR="00326E55" w:rsidRPr="00326E55">
        <w:rPr>
          <w:noProof/>
          <w:spacing w:val="-6"/>
          <w:lang w:val="sk-SK"/>
        </w:rPr>
        <w:t xml:space="preserve"> a </w:t>
      </w:r>
      <w:r w:rsidRPr="00326E55">
        <w:rPr>
          <w:noProof/>
          <w:spacing w:val="-6"/>
          <w:lang w:val="sk-SK"/>
        </w:rPr>
        <w:t>riadenie rizík, hodnotenie bezpečnosti</w:t>
      </w:r>
      <w:r w:rsidR="00326E55" w:rsidRPr="00326E55">
        <w:rPr>
          <w:noProof/>
          <w:spacing w:val="-6"/>
          <w:lang w:val="sk-SK"/>
        </w:rPr>
        <w:t xml:space="preserve"> a </w:t>
      </w:r>
      <w:r w:rsidRPr="00326E55">
        <w:rPr>
          <w:noProof/>
          <w:spacing w:val="-6"/>
          <w:lang w:val="sk-SK"/>
        </w:rPr>
        <w:t>monitorovanie existujúcich mostov“</w:t>
      </w:r>
    </w:p>
    <w:p w14:paraId="4A9A450B" w14:textId="0C025360" w:rsidR="00BF03AA" w:rsidRPr="00326E55" w:rsidRDefault="00FB452D">
      <w:pPr>
        <w:pStyle w:val="P68B1DB1-Normal7"/>
        <w:spacing w:before="120" w:after="120"/>
        <w:jc w:val="both"/>
        <w:rPr>
          <w:noProof/>
          <w:spacing w:val="-6"/>
          <w:lang w:val="sk-SK"/>
        </w:rPr>
      </w:pPr>
      <w:r w:rsidRPr="00326E55">
        <w:rPr>
          <w:noProof/>
          <w:spacing w:val="-6"/>
          <w:lang w:val="sk-SK"/>
        </w:rPr>
        <w:t>Táto reforma pozostáva</w:t>
      </w:r>
      <w:r w:rsidR="00326E55" w:rsidRPr="00326E55">
        <w:rPr>
          <w:noProof/>
          <w:spacing w:val="-6"/>
          <w:lang w:val="sk-SK"/>
        </w:rPr>
        <w:t xml:space="preserve"> z </w:t>
      </w:r>
      <w:r w:rsidRPr="00326E55">
        <w:rPr>
          <w:noProof/>
          <w:spacing w:val="-6"/>
          <w:lang w:val="sk-SK"/>
        </w:rPr>
        <w:t>prijatia usmernení pre klasifikáciu</w:t>
      </w:r>
      <w:r w:rsidR="00326E55" w:rsidRPr="00326E55">
        <w:rPr>
          <w:noProof/>
          <w:spacing w:val="-6"/>
          <w:lang w:val="sk-SK"/>
        </w:rPr>
        <w:t xml:space="preserve"> a </w:t>
      </w:r>
      <w:r w:rsidRPr="00326E55">
        <w:rPr>
          <w:noProof/>
          <w:spacing w:val="-6"/>
          <w:lang w:val="sk-SK"/>
        </w:rPr>
        <w:t>riadenie rizík, hodnotenie bezpeč</w:t>
      </w:r>
      <w:r w:rsidRPr="00326E55">
        <w:rPr>
          <w:noProof/>
          <w:spacing w:val="-6"/>
          <w:lang w:val="sk-SK"/>
        </w:rPr>
        <w:t>nosti</w:t>
      </w:r>
      <w:r w:rsidR="00326E55" w:rsidRPr="00326E55">
        <w:rPr>
          <w:noProof/>
          <w:spacing w:val="-6"/>
          <w:lang w:val="sk-SK"/>
        </w:rPr>
        <w:t xml:space="preserve"> a </w:t>
      </w:r>
      <w:r w:rsidRPr="00326E55">
        <w:rPr>
          <w:noProof/>
          <w:spacing w:val="-6"/>
          <w:lang w:val="sk-SK"/>
        </w:rPr>
        <w:t>monitorovanie existujúcich mostov. Prijatie „usmernení“, ktoré umožnia uplatňovanie spoločných noriem</w:t>
      </w:r>
      <w:r w:rsidR="00326E55" w:rsidRPr="00326E55">
        <w:rPr>
          <w:noProof/>
          <w:spacing w:val="-6"/>
          <w:lang w:val="sk-SK"/>
        </w:rPr>
        <w:t xml:space="preserve"> a </w:t>
      </w:r>
      <w:r w:rsidRPr="00326E55">
        <w:rPr>
          <w:noProof/>
          <w:spacing w:val="-6"/>
          <w:lang w:val="sk-SK"/>
        </w:rPr>
        <w:t>metodík na celej vnútroštátnej cestnej sieti.</w:t>
      </w:r>
    </w:p>
    <w:p w14:paraId="1B579170" w14:textId="0BFBEF9C" w:rsidR="00BF03AA" w:rsidRPr="00326E55" w:rsidRDefault="00FB452D">
      <w:pPr>
        <w:pStyle w:val="P68B1DB1-Normal5"/>
        <w:spacing w:before="120" w:after="120"/>
        <w:jc w:val="both"/>
        <w:rPr>
          <w:bCs/>
          <w:noProof/>
          <w:spacing w:val="-6"/>
          <w:lang w:val="sk-SK"/>
        </w:rPr>
      </w:pPr>
      <w:r w:rsidRPr="00326E55">
        <w:rPr>
          <w:noProof/>
          <w:spacing w:val="-6"/>
          <w:lang w:val="sk-SK"/>
        </w:rPr>
        <w:t>Reforma 2.2 – Prevod majetku mostov</w:t>
      </w:r>
      <w:r w:rsidR="00326E55" w:rsidRPr="00326E55">
        <w:rPr>
          <w:noProof/>
          <w:spacing w:val="-6"/>
          <w:lang w:val="sk-SK"/>
        </w:rPr>
        <w:t xml:space="preserve"> a </w:t>
      </w:r>
      <w:r w:rsidRPr="00326E55">
        <w:rPr>
          <w:noProof/>
          <w:spacing w:val="-6"/>
          <w:lang w:val="sk-SK"/>
        </w:rPr>
        <w:t>viaduktov</w:t>
      </w:r>
      <w:r w:rsidR="00326E55" w:rsidRPr="00326E55">
        <w:rPr>
          <w:noProof/>
          <w:spacing w:val="-6"/>
          <w:lang w:val="sk-SK"/>
        </w:rPr>
        <w:t xml:space="preserve"> z </w:t>
      </w:r>
      <w:r w:rsidRPr="00326E55">
        <w:rPr>
          <w:noProof/>
          <w:spacing w:val="-6"/>
          <w:lang w:val="sk-SK"/>
        </w:rPr>
        <w:t>ciest nižšej úrovne na cesty</w:t>
      </w:r>
      <w:r w:rsidR="00326E55" w:rsidRPr="00326E55">
        <w:rPr>
          <w:noProof/>
          <w:spacing w:val="-6"/>
          <w:lang w:val="sk-SK"/>
        </w:rPr>
        <w:t xml:space="preserve"> s </w:t>
      </w:r>
      <w:r w:rsidRPr="00326E55">
        <w:rPr>
          <w:noProof/>
          <w:spacing w:val="-6"/>
          <w:lang w:val="sk-SK"/>
        </w:rPr>
        <w:t>vyšším hodnotením</w:t>
      </w:r>
    </w:p>
    <w:p w14:paraId="5365E6DA" w14:textId="143CA639" w:rsidR="00BF03AA" w:rsidRPr="00326E55" w:rsidRDefault="00FB452D">
      <w:pPr>
        <w:pStyle w:val="P68B1DB1-Normal7"/>
        <w:spacing w:before="120" w:after="120" w:line="300" w:lineRule="atLeast"/>
        <w:jc w:val="both"/>
        <w:rPr>
          <w:noProof/>
          <w:spacing w:val="-6"/>
          <w:lang w:val="sk-SK"/>
        </w:rPr>
      </w:pPr>
      <w:r w:rsidRPr="00326E55">
        <w:rPr>
          <w:noProof/>
          <w:spacing w:val="-6"/>
          <w:lang w:val="sk-SK"/>
        </w:rPr>
        <w:t>Táto reforma pozostáva</w:t>
      </w:r>
      <w:r w:rsidR="00326E55" w:rsidRPr="00326E55">
        <w:rPr>
          <w:noProof/>
          <w:spacing w:val="-6"/>
          <w:lang w:val="sk-SK"/>
        </w:rPr>
        <w:t xml:space="preserve"> z </w:t>
      </w:r>
      <w:r w:rsidRPr="00326E55">
        <w:rPr>
          <w:noProof/>
          <w:spacing w:val="-6"/>
          <w:lang w:val="sk-SK"/>
        </w:rPr>
        <w:t>prevodu vlastníctva mostov, viaduktov</w:t>
      </w:r>
      <w:r w:rsidR="00326E55" w:rsidRPr="00326E55">
        <w:rPr>
          <w:noProof/>
          <w:spacing w:val="-6"/>
          <w:lang w:val="sk-SK"/>
        </w:rPr>
        <w:t xml:space="preserve"> a </w:t>
      </w:r>
      <w:r w:rsidRPr="00326E55">
        <w:rPr>
          <w:noProof/>
          <w:spacing w:val="-6"/>
          <w:lang w:val="sk-SK"/>
        </w:rPr>
        <w:t>prejazdov</w:t>
      </w:r>
      <w:r w:rsidR="00326E55" w:rsidRPr="00326E55">
        <w:rPr>
          <w:noProof/>
          <w:spacing w:val="-6"/>
          <w:lang w:val="sk-SK"/>
        </w:rPr>
        <w:t xml:space="preserve"> z </w:t>
      </w:r>
      <w:r w:rsidRPr="00326E55">
        <w:rPr>
          <w:noProof/>
          <w:spacing w:val="-6"/>
          <w:lang w:val="sk-SK"/>
        </w:rPr>
        <w:t>ciest nižšieho typu na cesty vyššieho typu (diaľnice</w:t>
      </w:r>
      <w:r w:rsidR="00326E55" w:rsidRPr="00326E55">
        <w:rPr>
          <w:noProof/>
          <w:spacing w:val="-6"/>
          <w:lang w:val="sk-SK"/>
        </w:rPr>
        <w:t xml:space="preserve"> a </w:t>
      </w:r>
      <w:r w:rsidRPr="00326E55">
        <w:rPr>
          <w:noProof/>
          <w:spacing w:val="-6"/>
          <w:lang w:val="sk-SK"/>
        </w:rPr>
        <w:t>hlavné predmestské cesty), čo umožní zvýšenie celkovej bezpečnosti cestnej siete, keďže mosty, viadukty</w:t>
      </w:r>
      <w:r w:rsidR="00326E55" w:rsidRPr="00326E55">
        <w:rPr>
          <w:noProof/>
          <w:spacing w:val="-6"/>
          <w:lang w:val="sk-SK"/>
        </w:rPr>
        <w:t xml:space="preserve"> a </w:t>
      </w:r>
      <w:r w:rsidRPr="00326E55">
        <w:rPr>
          <w:noProof/>
          <w:spacing w:val="-6"/>
          <w:lang w:val="sk-SK"/>
        </w:rPr>
        <w:t>prejazdy udržiava</w:t>
      </w:r>
      <w:r w:rsidRPr="00326E55">
        <w:rPr>
          <w:noProof/>
          <w:spacing w:val="-6"/>
          <w:lang w:val="sk-SK"/>
        </w:rPr>
        <w:t xml:space="preserve"> ANAS a/alebo koncesionári diaľnic, ktorí majú lepšie kapacity plánovania</w:t>
      </w:r>
      <w:r w:rsidR="00326E55" w:rsidRPr="00326E55">
        <w:rPr>
          <w:noProof/>
          <w:spacing w:val="-6"/>
          <w:lang w:val="sk-SK"/>
        </w:rPr>
        <w:t xml:space="preserve"> a </w:t>
      </w:r>
      <w:r w:rsidRPr="00326E55">
        <w:rPr>
          <w:noProof/>
          <w:spacing w:val="-6"/>
          <w:lang w:val="sk-SK"/>
        </w:rPr>
        <w:t>údržby ako jednotlivé obce alebo provincie.</w:t>
      </w:r>
    </w:p>
    <w:p w14:paraId="09733262" w14:textId="77777777" w:rsidR="00BF03AA" w:rsidRPr="00326E55" w:rsidRDefault="00BF03AA">
      <w:pPr>
        <w:spacing w:before="120" w:after="120" w:line="300" w:lineRule="atLeast"/>
        <w:jc w:val="both"/>
        <w:rPr>
          <w:rFonts w:ascii="Times New Roman" w:hAnsi="Times New Roman" w:cs="Times New Roman"/>
          <w:noProof/>
          <w:spacing w:val="-6"/>
          <w:lang w:val="sk-SK"/>
        </w:rPr>
        <w:sectPr w:rsidR="00BF03AA" w:rsidRPr="00326E55" w:rsidSect="005F11B9">
          <w:headerReference w:type="even" r:id="rId140"/>
          <w:headerReference w:type="default" r:id="rId141"/>
          <w:footerReference w:type="even" r:id="rId142"/>
          <w:footerReference w:type="default" r:id="rId143"/>
          <w:headerReference w:type="first" r:id="rId144"/>
          <w:footerReference w:type="first" r:id="rId145"/>
          <w:pgSz w:w="11907" w:h="16839"/>
          <w:pgMar w:top="1134" w:right="1134" w:bottom="1134" w:left="1134" w:header="567" w:footer="567" w:gutter="0"/>
          <w:cols w:space="720"/>
          <w:docGrid w:linePitch="360"/>
        </w:sectPr>
      </w:pPr>
    </w:p>
    <w:p w14:paraId="23609206" w14:textId="3AFF2A3D"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H.4.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 xml:space="preserve">úverom </w:t>
      </w:r>
    </w:p>
    <w:tbl>
      <w:tblPr>
        <w:tblW w:w="1528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512"/>
        <w:gridCol w:w="1235"/>
        <w:gridCol w:w="1373"/>
        <w:gridCol w:w="1504"/>
        <w:gridCol w:w="966"/>
        <w:gridCol w:w="1101"/>
        <w:gridCol w:w="832"/>
        <w:gridCol w:w="829"/>
        <w:gridCol w:w="829"/>
        <w:gridCol w:w="4005"/>
      </w:tblGrid>
      <w:tr w:rsidR="00BF03AA" w:rsidRPr="00326E55" w14:paraId="6A5A54A1" w14:textId="77777777">
        <w:trPr>
          <w:trHeight w:val="939"/>
          <w:tblHeader/>
          <w:jc w:val="right"/>
        </w:trPr>
        <w:tc>
          <w:tcPr>
            <w:tcW w:w="1095" w:type="dxa"/>
            <w:vMerge w:val="restart"/>
            <w:shd w:val="clear" w:color="auto" w:fill="BDD7EE"/>
            <w:vAlign w:val="center"/>
            <w:hideMark/>
          </w:tcPr>
          <w:p w14:paraId="4ACEC16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číslo Číslo</w:t>
            </w:r>
          </w:p>
        </w:tc>
        <w:tc>
          <w:tcPr>
            <w:tcW w:w="1512" w:type="dxa"/>
            <w:vMerge w:val="restart"/>
            <w:shd w:val="clear" w:color="auto" w:fill="BDD7EE"/>
            <w:vAlign w:val="center"/>
            <w:hideMark/>
          </w:tcPr>
          <w:p w14:paraId="78DE625C"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235" w:type="dxa"/>
            <w:vMerge w:val="restart"/>
            <w:shd w:val="clear" w:color="auto" w:fill="BDD7EE"/>
            <w:vAlign w:val="center"/>
            <w:hideMark/>
          </w:tcPr>
          <w:p w14:paraId="06704A6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373" w:type="dxa"/>
            <w:vMerge w:val="restart"/>
            <w:shd w:val="clear" w:color="auto" w:fill="BDD7EE"/>
            <w:vAlign w:val="center"/>
            <w:hideMark/>
          </w:tcPr>
          <w:p w14:paraId="1CE20E88"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504" w:type="dxa"/>
            <w:vMerge w:val="restart"/>
            <w:shd w:val="clear" w:color="auto" w:fill="BDD7EE"/>
            <w:vAlign w:val="center"/>
            <w:hideMark/>
          </w:tcPr>
          <w:p w14:paraId="27544017"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2899" w:type="dxa"/>
            <w:gridSpan w:val="3"/>
            <w:shd w:val="clear" w:color="auto" w:fill="BDD7EE"/>
            <w:vAlign w:val="center"/>
            <w:hideMark/>
          </w:tcPr>
          <w:p w14:paraId="662B6D2C"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658" w:type="dxa"/>
            <w:gridSpan w:val="2"/>
            <w:shd w:val="clear" w:color="auto" w:fill="BDD7EE"/>
            <w:vAlign w:val="center"/>
            <w:hideMark/>
          </w:tcPr>
          <w:p w14:paraId="2B08216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4005" w:type="dxa"/>
            <w:vMerge w:val="restart"/>
            <w:shd w:val="clear" w:color="auto" w:fill="BDD7EE"/>
            <w:vAlign w:val="center"/>
            <w:hideMark/>
          </w:tcPr>
          <w:p w14:paraId="71F54B65" w14:textId="3C57FCDE"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2013418F" w14:textId="77777777">
        <w:trPr>
          <w:trHeight w:val="598"/>
          <w:tblHeader/>
          <w:jc w:val="right"/>
        </w:trPr>
        <w:tc>
          <w:tcPr>
            <w:tcW w:w="1095" w:type="dxa"/>
            <w:vMerge/>
            <w:vAlign w:val="center"/>
            <w:hideMark/>
          </w:tcPr>
          <w:p w14:paraId="266D96E8" w14:textId="77777777" w:rsidR="00BF03AA" w:rsidRPr="00326E55" w:rsidRDefault="00BF03AA">
            <w:pPr>
              <w:jc w:val="center"/>
              <w:rPr>
                <w:rFonts w:ascii="Times New Roman" w:hAnsi="Times New Roman"/>
                <w:b/>
                <w:bCs/>
                <w:noProof/>
                <w:spacing w:val="-6"/>
                <w:sz w:val="20"/>
                <w:szCs w:val="20"/>
                <w:lang w:val="sk-SK"/>
              </w:rPr>
            </w:pPr>
          </w:p>
        </w:tc>
        <w:tc>
          <w:tcPr>
            <w:tcW w:w="1512" w:type="dxa"/>
            <w:vMerge/>
            <w:vAlign w:val="center"/>
            <w:hideMark/>
          </w:tcPr>
          <w:p w14:paraId="554303C5" w14:textId="77777777" w:rsidR="00BF03AA" w:rsidRPr="00326E55" w:rsidRDefault="00BF03AA">
            <w:pPr>
              <w:jc w:val="center"/>
              <w:rPr>
                <w:rFonts w:ascii="Times New Roman" w:hAnsi="Times New Roman"/>
                <w:b/>
                <w:bCs/>
                <w:noProof/>
                <w:spacing w:val="-6"/>
                <w:sz w:val="20"/>
                <w:szCs w:val="20"/>
                <w:lang w:val="sk-SK"/>
              </w:rPr>
            </w:pPr>
          </w:p>
        </w:tc>
        <w:tc>
          <w:tcPr>
            <w:tcW w:w="1235" w:type="dxa"/>
            <w:vMerge/>
            <w:vAlign w:val="center"/>
            <w:hideMark/>
          </w:tcPr>
          <w:p w14:paraId="06F46CF8" w14:textId="77777777" w:rsidR="00BF03AA" w:rsidRPr="00326E55" w:rsidRDefault="00BF03AA">
            <w:pPr>
              <w:jc w:val="center"/>
              <w:rPr>
                <w:rFonts w:ascii="Times New Roman" w:hAnsi="Times New Roman"/>
                <w:b/>
                <w:bCs/>
                <w:noProof/>
                <w:spacing w:val="-6"/>
                <w:sz w:val="20"/>
                <w:szCs w:val="20"/>
                <w:lang w:val="sk-SK"/>
              </w:rPr>
            </w:pPr>
          </w:p>
        </w:tc>
        <w:tc>
          <w:tcPr>
            <w:tcW w:w="1373" w:type="dxa"/>
            <w:vMerge/>
            <w:vAlign w:val="center"/>
            <w:hideMark/>
          </w:tcPr>
          <w:p w14:paraId="6A0515BF" w14:textId="77777777" w:rsidR="00BF03AA" w:rsidRPr="00326E55" w:rsidRDefault="00BF03AA">
            <w:pPr>
              <w:jc w:val="center"/>
              <w:rPr>
                <w:rFonts w:ascii="Times New Roman" w:hAnsi="Times New Roman"/>
                <w:b/>
                <w:bCs/>
                <w:noProof/>
                <w:spacing w:val="-6"/>
                <w:sz w:val="20"/>
                <w:szCs w:val="20"/>
                <w:lang w:val="sk-SK"/>
              </w:rPr>
            </w:pPr>
          </w:p>
        </w:tc>
        <w:tc>
          <w:tcPr>
            <w:tcW w:w="1504" w:type="dxa"/>
            <w:vMerge/>
            <w:vAlign w:val="center"/>
            <w:hideMark/>
          </w:tcPr>
          <w:p w14:paraId="60202E4E" w14:textId="77777777" w:rsidR="00BF03AA" w:rsidRPr="00326E55" w:rsidRDefault="00BF03AA">
            <w:pPr>
              <w:jc w:val="center"/>
              <w:rPr>
                <w:rFonts w:ascii="Times New Roman" w:hAnsi="Times New Roman"/>
                <w:b/>
                <w:bCs/>
                <w:noProof/>
                <w:spacing w:val="-6"/>
                <w:sz w:val="20"/>
                <w:szCs w:val="20"/>
                <w:lang w:val="sk-SK"/>
              </w:rPr>
            </w:pPr>
          </w:p>
        </w:tc>
        <w:tc>
          <w:tcPr>
            <w:tcW w:w="966" w:type="dxa"/>
            <w:shd w:val="clear" w:color="auto" w:fill="BDD7EE"/>
            <w:vAlign w:val="center"/>
            <w:hideMark/>
          </w:tcPr>
          <w:p w14:paraId="4D9D5215"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101" w:type="dxa"/>
            <w:shd w:val="clear" w:color="auto" w:fill="BDD7EE"/>
            <w:vAlign w:val="center"/>
            <w:hideMark/>
          </w:tcPr>
          <w:p w14:paraId="2762D11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832" w:type="dxa"/>
            <w:shd w:val="clear" w:color="auto" w:fill="BDD7EE"/>
            <w:vAlign w:val="center"/>
            <w:hideMark/>
          </w:tcPr>
          <w:p w14:paraId="14FD051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829" w:type="dxa"/>
            <w:shd w:val="clear" w:color="auto" w:fill="BDD7EE"/>
            <w:vAlign w:val="center"/>
            <w:hideMark/>
          </w:tcPr>
          <w:p w14:paraId="49B884F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829" w:type="dxa"/>
            <w:shd w:val="clear" w:color="auto" w:fill="BDD7EE"/>
            <w:vAlign w:val="center"/>
            <w:hideMark/>
          </w:tcPr>
          <w:p w14:paraId="46D0DFA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4005" w:type="dxa"/>
            <w:vMerge/>
            <w:vAlign w:val="center"/>
            <w:hideMark/>
          </w:tcPr>
          <w:p w14:paraId="561FE14E" w14:textId="77777777" w:rsidR="00BF03AA" w:rsidRPr="00326E55" w:rsidRDefault="00BF03AA">
            <w:pPr>
              <w:jc w:val="center"/>
              <w:rPr>
                <w:rFonts w:ascii="Times New Roman" w:hAnsi="Times New Roman"/>
                <w:b/>
                <w:bCs/>
                <w:noProof/>
                <w:spacing w:val="-6"/>
                <w:sz w:val="20"/>
                <w:szCs w:val="20"/>
                <w:lang w:val="sk-SK"/>
              </w:rPr>
            </w:pPr>
          </w:p>
        </w:tc>
      </w:tr>
      <w:tr w:rsidR="00BF03AA" w:rsidRPr="00326E55" w14:paraId="084A348F" w14:textId="77777777">
        <w:trPr>
          <w:trHeight w:val="2818"/>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C6C4B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5A267" w14:textId="2CDFEA4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1.1 – Zrýchlenie procesu schvaľovania zmluvy medzi ministerstvom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žiadosťou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informácie</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E4484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56CD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legislatívnej zmeny postupu schvaľovania programu</w:t>
            </w:r>
            <w:r w:rsidRPr="00326E55">
              <w:rPr>
                <w:rFonts w:ascii="Times New Roman" w:hAnsi="Times New Roman"/>
                <w:noProof/>
                <w:spacing w:val="-6"/>
                <w:lang w:val="sk-SK"/>
              </w:rPr>
              <w:t xml:space="preserve"> Contratti di (CdP)</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1D2B8D" w14:textId="196C4B4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legislatívnej zmeny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procese schvaľovania Contratti di Programma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1CA9F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B08E1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47044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7B28E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DCDFF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89BDFB" w14:textId="77777777" w:rsidR="00BF03AA" w:rsidRPr="00326E55" w:rsidRDefault="00FB452D">
            <w:pPr>
              <w:pStyle w:val="P68B1DB1-ListParagraph15"/>
              <w:ind w:left="40"/>
              <w:rPr>
                <w:rFonts w:ascii="Times New Roman" w:hAnsi="Times New Roman"/>
                <w:noProof/>
                <w:spacing w:val="-6"/>
                <w:szCs w:val="20"/>
                <w:lang w:val="sk-SK"/>
              </w:rPr>
            </w:pPr>
            <w:r w:rsidRPr="00326E55">
              <w:rPr>
                <w:rFonts w:ascii="Times New Roman" w:hAnsi="Times New Roman"/>
                <w:noProof/>
                <w:spacing w:val="-6"/>
                <w:lang w:val="sk-SK"/>
              </w:rPr>
              <w:t>Legislatívnou zmenou sa skráti čas</w:t>
            </w:r>
            <w:r w:rsidRPr="00326E55">
              <w:rPr>
                <w:rFonts w:ascii="Times New Roman" w:hAnsi="Times New Roman"/>
                <w:noProof/>
                <w:spacing w:val="-6"/>
                <w:lang w:val="sk-SK"/>
              </w:rPr>
              <w:t xml:space="preserve"> schvaľovania kontratti di Programma (CdP) manažéra železničnej infraštruktúry </w:t>
            </w:r>
            <w:r w:rsidRPr="00326E55">
              <w:rPr>
                <w:rFonts w:ascii="Times New Roman" w:hAnsi="Times New Roman"/>
                <w:i/>
                <w:noProof/>
                <w:spacing w:val="-6"/>
                <w:lang w:val="sk-SK"/>
              </w:rPr>
              <w:t>Rete Ferroviaria Italiana</w:t>
            </w:r>
            <w:r w:rsidRPr="00326E55">
              <w:rPr>
                <w:rFonts w:ascii="Times New Roman" w:hAnsi="Times New Roman"/>
                <w:noProof/>
                <w:spacing w:val="-6"/>
                <w:lang w:val="sk-SK"/>
              </w:rPr>
              <w:t>.</w:t>
            </w:r>
          </w:p>
        </w:tc>
      </w:tr>
      <w:tr w:rsidR="00BF03AA" w:rsidRPr="00326E55" w14:paraId="2AC90816" w14:textId="77777777">
        <w:trPr>
          <w:trHeight w:val="3100"/>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CEF46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375A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1.2 – Urýchlenie procesu schvaľovania projektov</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44634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A160B3" w14:textId="42954ED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regulačnej zmeny, ktorou sa skracuje čas schvaľovania </w:t>
            </w:r>
            <w:r w:rsidRPr="00326E55">
              <w:rPr>
                <w:rFonts w:ascii="Times New Roman" w:hAnsi="Times New Roman"/>
                <w:noProof/>
                <w:spacing w:val="-6"/>
                <w:lang w:val="sk-SK"/>
              </w:rPr>
              <w:t>projektov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11 na šesť mesiacov</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1079EED" w14:textId="6341CE6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regulačnej zmeny, ktorou sa skracuje doba povolenia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11 na šesť mesiacov.</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68B32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DBCD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1ECC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95661D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F562F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E30F27" w14:textId="647FA1BD" w:rsidR="00BF03AA" w:rsidRPr="00326E55" w:rsidRDefault="00FB452D">
            <w:pPr>
              <w:pStyle w:val="P68B1DB1-Normal11"/>
              <w:spacing w:before="100" w:beforeAutospacing="1" w:after="165"/>
              <w:rPr>
                <w:rFonts w:ascii="Times New Roman" w:hAnsi="Times New Roman"/>
                <w:noProof/>
                <w:spacing w:val="-6"/>
                <w:szCs w:val="20"/>
                <w:lang w:val="sk-SK"/>
              </w:rPr>
            </w:pPr>
            <w:r w:rsidRPr="00326E55">
              <w:rPr>
                <w:rFonts w:ascii="Times New Roman" w:hAnsi="Times New Roman"/>
                <w:noProof/>
                <w:spacing w:val="-6"/>
                <w:lang w:val="sk-SK"/>
              </w:rPr>
              <w:t>Regulačná zmena skráti čas schvaľo</w:t>
            </w:r>
            <w:r w:rsidRPr="00326E55">
              <w:rPr>
                <w:rFonts w:ascii="Times New Roman" w:hAnsi="Times New Roman"/>
                <w:noProof/>
                <w:spacing w:val="-6"/>
                <w:lang w:val="sk-SK"/>
              </w:rPr>
              <w:t>vania projektov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11 na šesť mesiacov.</w:t>
            </w:r>
          </w:p>
        </w:tc>
      </w:tr>
      <w:tr w:rsidR="00BF03AA" w:rsidRPr="00326E55" w14:paraId="3A237A41"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4801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3</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676BA6" w14:textId="6D95D11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 Vysokorýchlostné železničné spojenia na juhu pre osobnú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nákladnú dopravu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99967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2D76C5" w14:textId="6F6CCDF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Zadanie zákazky na výstavbu vysokorýchlostnej železničnej trate na tratiach Napoli-Bari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Palermo – Catania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323803" w14:textId="240AE54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výstavbu vysokorýchlostných železníc na tratiach Napoli-Bari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Palermo – Catania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9B99C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766C36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6320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1D0B60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E45D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D17C49" w14:textId="1C7F2C3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výstavbu vysokorýchlostn</w:t>
            </w:r>
            <w:r w:rsidRPr="00326E55">
              <w:rPr>
                <w:rFonts w:ascii="Times New Roman" w:hAnsi="Times New Roman"/>
                <w:noProof/>
                <w:spacing w:val="-6"/>
                <w:lang w:val="sk-SK"/>
              </w:rPr>
              <w:t>ej železničnej trate na tratiach Napoli-Bari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Palermo – Catania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plnom 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pravidlami verejného obstarávania</w:t>
            </w:r>
          </w:p>
          <w:p w14:paraId="1499AC8D"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Zmluva (zákazky) sa vzťahuje na tieto časti týchto riadkov:</w:t>
            </w:r>
          </w:p>
          <w:p w14:paraId="667D6141"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Trať Napoli – Bari: Orsara – Bovino</w:t>
            </w:r>
          </w:p>
          <w:p w14:paraId="7308F81E" w14:textId="2625C40C"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Linka Palermo – Katánia: Catenanuova – Ditta</w:t>
            </w:r>
            <w:r w:rsidRPr="00326E55">
              <w:rPr>
                <w:rFonts w:ascii="Times New Roman" w:hAnsi="Times New Roman"/>
                <w:noProof/>
                <w:spacing w:val="-6"/>
                <w:lang w:val="sk-SK"/>
              </w:rPr>
              <w:t>ino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Dittaino – Enna</w:t>
            </w:r>
          </w:p>
        </w:tc>
      </w:tr>
      <w:tr w:rsidR="00BF03AA" w:rsidRPr="00326E55" w14:paraId="2BEC294A"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15E40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4</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DAE220" w14:textId="2A0FEE9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 Vysokorýchlostné železničné spojenia na juhu pre osobnú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nákladnú dopravu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21B4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289C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Zadanie zákazky na výstavbu vysokorýchlostnej železničnej trate na tratiach Salerno Reggio Calabria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F5D3C4" w14:textId="70E6E185" w:rsidR="00BF03AA" w:rsidRPr="00326E55" w:rsidRDefault="00FB452D">
            <w:pPr>
              <w:pStyle w:val="P68B1DB1-Normal14"/>
              <w:jc w:val="center"/>
              <w:rPr>
                <w:rFonts w:ascii="Times New Roman" w:hAnsi="Times New Roman"/>
                <w:noProof/>
                <w:color w:val="006100"/>
                <w:spacing w:val="-6"/>
                <w:szCs w:val="20"/>
                <w:lang w:val="sk-SK"/>
              </w:rPr>
            </w:pPr>
            <w:r w:rsidRPr="00326E55">
              <w:rPr>
                <w:rFonts w:ascii="Times New Roman" w:hAnsi="Times New Roman"/>
                <w:noProof/>
                <w:color w:val="006100"/>
                <w:spacing w:val="-6"/>
                <w:lang w:val="sk-SK"/>
              </w:rPr>
              <w:t>Oznámenie</w:t>
            </w:r>
            <w:r w:rsidR="00326E55" w:rsidRPr="00326E55">
              <w:rPr>
                <w:rFonts w:ascii="Times New Roman" w:hAnsi="Times New Roman"/>
                <w:noProof/>
                <w:color w:val="006100"/>
                <w:spacing w:val="-6"/>
                <w:lang w:val="sk-SK"/>
              </w:rPr>
              <w:t xml:space="preserve"> o </w:t>
            </w:r>
            <w:r w:rsidRPr="00326E55">
              <w:rPr>
                <w:rFonts w:ascii="Times New Roman" w:hAnsi="Times New Roman"/>
                <w:noProof/>
                <w:color w:val="006100"/>
                <w:spacing w:val="-6"/>
                <w:lang w:val="sk-SK"/>
              </w:rPr>
              <w:t xml:space="preserve">zadaní  </w:t>
            </w:r>
            <w:r w:rsidRPr="00326E55">
              <w:rPr>
                <w:rFonts w:ascii="Times New Roman" w:hAnsi="Times New Roman"/>
                <w:noProof/>
                <w:color w:val="006100"/>
                <w:spacing w:val="-6"/>
                <w:lang w:val="sk-SK"/>
              </w:rPr>
              <w:t>multidisciplinárnej zákazky na výstavbu vysokorýchlostnej železničnej trate na trati Salerno-Reggio Calabria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9C9D44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E18B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C3A3C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56DE3D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CAF9A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D7BB15" w14:textId="4D3FD392"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multidisciplinárnej zákazky na výstavbu vysokorýchlostnej železničnej trate </w:t>
            </w:r>
            <w:r w:rsidRPr="00326E55">
              <w:rPr>
                <w:rFonts w:ascii="Times New Roman" w:hAnsi="Times New Roman"/>
                <w:noProof/>
                <w:spacing w:val="-6"/>
                <w:lang w:val="sk-SK"/>
              </w:rPr>
              <w:t>na trati Salerno Reggio Calabria.</w:t>
            </w:r>
          </w:p>
          <w:p w14:paraId="4B30D870"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Zmluva sa vzťahuje na tieto časti tohto riadku: Battipaglia – Romagnano</w:t>
            </w:r>
          </w:p>
        </w:tc>
      </w:tr>
      <w:tr w:rsidR="00BF03AA" w:rsidRPr="00326E55" w14:paraId="6CE22D6D"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F8C53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M3C1 – 5</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B38854" w14:textId="327F4A60"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1.1 – Vysokorýchlostné železničné spojenia na juhu pre osobnú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nákladnú dopravu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81F02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E803AE" w14:textId="53EFCB01"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Vysokorýchlostná železnica na tratiach </w:t>
            </w:r>
            <w:r w:rsidRPr="00326E55">
              <w:rPr>
                <w:rFonts w:ascii="Times New Roman" w:hAnsi="Times New Roman"/>
                <w:noProof/>
                <w:spacing w:val="-6"/>
                <w:lang w:val="sk-SK"/>
              </w:rPr>
              <w:t>Napoli-Bari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Palermo – Catania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E2046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097B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Km</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5A659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F8E8B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41</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05773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BA9F8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2025</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6696F" w14:textId="45DE326D"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ukončení prác na výstavbe 41 km vysokorýchlostných železníc na tratiach Napoli-Bari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Palermo – Catania.</w:t>
            </w:r>
          </w:p>
          <w:p w14:paraId="62EB2F2C" w14:textId="7820C9A1" w:rsidR="00326E55"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41 km musí byť postavených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segmentoch</w:t>
            </w:r>
            <w:r w:rsidR="00326E55" w:rsidRPr="00326E55">
              <w:rPr>
                <w:rFonts w:ascii="Times New Roman" w:hAnsi="Times New Roman"/>
                <w:noProof/>
                <w:spacing w:val="-6"/>
                <w:lang w:val="sk-SK"/>
              </w:rPr>
              <w:t>:</w:t>
            </w:r>
          </w:p>
          <w:p w14:paraId="7C46347A" w14:textId="0682CC7B"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Bicocca-Catenanuova</w:t>
            </w:r>
            <w:r w:rsidRPr="00326E55">
              <w:rPr>
                <w:rFonts w:ascii="Times New Roman" w:hAnsi="Times New Roman"/>
                <w:noProof/>
                <w:spacing w:val="-6"/>
                <w:lang w:val="sk-SK"/>
              </w:rPr>
              <w:t xml:space="preserve"> (trasa Palerma – Katánia), na ktorej sa práce začali po 30. septembri 2023.</w:t>
            </w:r>
          </w:p>
          <w:p w14:paraId="2C583823" w14:textId="77777777"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Cancello – Frasso (trasa Napoli – Bari), na ktorej sa práce začali po 30. septembri 2023.</w:t>
            </w:r>
          </w:p>
          <w:p w14:paraId="4F6E6E75" w14:textId="77777777"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Napoli – Cancello (divízia Napoli – Bari), na ktorej sa práce začali po 30. septembri 202</w:t>
            </w:r>
            <w:r w:rsidRPr="00326E55">
              <w:rPr>
                <w:rFonts w:ascii="Times New Roman" w:hAnsi="Times New Roman"/>
                <w:noProof/>
                <w:spacing w:val="-6"/>
                <w:lang w:val="sk-SK"/>
              </w:rPr>
              <w:t>3.</w:t>
            </w:r>
          </w:p>
          <w:p w14:paraId="5A904CE1" w14:textId="6B14BC7B"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Pri posudzovaní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schvaľovaní každého príslušného projektu/investície sa dodržiavajú všetky pravidlá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postupy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6 ods. 3</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článku 6 ods. 4 smernice EÚ 92/43/EHS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dodržiavajú sa vnútroštátne usmernenia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posudzovaniu vplyvu uverejnené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Úradnej vestníku Talianskej republiky </w:t>
            </w:r>
            <w:r w:rsidR="00326E55" w:rsidRPr="00326E55">
              <w:rPr>
                <w:rFonts w:ascii="Times New Roman" w:hAnsi="Times New Roman"/>
                <w:noProof/>
                <w:spacing w:val="-6"/>
                <w:lang w:val="sk-SK"/>
              </w:rPr>
              <w:t>č. </w:t>
            </w:r>
            <w:r w:rsidRPr="00326E55">
              <w:rPr>
                <w:rFonts w:ascii="Times New Roman" w:hAnsi="Times New Roman"/>
                <w:noProof/>
                <w:spacing w:val="-6"/>
                <w:lang w:val="sk-SK"/>
              </w:rPr>
              <w:t>303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28</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2019.</w:t>
            </w:r>
          </w:p>
        </w:tc>
      </w:tr>
      <w:tr w:rsidR="00BF03AA" w:rsidRPr="00326E55" w14:paraId="0A8C93D0"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598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6</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FC64B" w14:textId="570FD73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 Vysokorýchlostné železničné spojenia na juhu pre osobnú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nákladnú dopravu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971F1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9061C9" w14:textId="00B6969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Vysokorýchlostná železnica na tratiach Napoli – Bari, Salerno-Reggio Calabria, </w:t>
            </w:r>
            <w:r w:rsidRPr="00326E55">
              <w:rPr>
                <w:rFonts w:ascii="Times New Roman" w:hAnsi="Times New Roman"/>
                <w:noProof/>
                <w:spacing w:val="-6"/>
                <w:lang w:val="sk-SK"/>
              </w:rPr>
              <w:t>Palermo – Catania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04513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C3B64" w14:textId="77777777" w:rsidR="00BF03AA" w:rsidRPr="00326E55" w:rsidRDefault="00FB452D">
            <w:pPr>
              <w:pStyle w:val="P68B1DB1-Normal11"/>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Km</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F3C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41</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882E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114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2DD1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27A66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276CFF" w14:textId="7F57F9BC"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metodikou WBS – na výstavbu 114 km vysokorýchlostných železníc na tratiach Napoli – Bari, Salerno – Reggio Calabria, Palermo – Catania.</w:t>
            </w:r>
          </w:p>
          <w:p w14:paraId="438D5997" w14:textId="77777777"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Orientačné rozdelenie je takéto:</w:t>
            </w:r>
          </w:p>
          <w:p w14:paraId="20B2BF5D" w14:textId="0B099EA5"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Trať Napoli – Bari (12 km),</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w:t>
            </w:r>
          </w:p>
          <w:p w14:paraId="04640D88"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lang w:val="sk-SK"/>
              </w:rPr>
            </w:pPr>
            <w:r w:rsidRPr="00326E55">
              <w:rPr>
                <w:rFonts w:ascii="Times New Roman" w:hAnsi="Times New Roman"/>
                <w:noProof/>
                <w:spacing w:val="-6"/>
                <w:lang w:val="sk-SK"/>
              </w:rPr>
              <w:t>Apice-Hirpinia (12 km)</w:t>
            </w:r>
          </w:p>
          <w:p w14:paraId="0D67DD78"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lang w:val="sk-SK"/>
              </w:rPr>
            </w:pPr>
            <w:r w:rsidRPr="00326E55">
              <w:rPr>
                <w:rFonts w:ascii="Times New Roman" w:hAnsi="Times New Roman"/>
                <w:noProof/>
                <w:spacing w:val="-6"/>
                <w:lang w:val="sk-SK"/>
              </w:rPr>
              <w:t>Frasso-Telese (11 km)</w:t>
            </w:r>
          </w:p>
          <w:p w14:paraId="64A80DDF"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lang w:val="sk-SK"/>
              </w:rPr>
            </w:pPr>
            <w:r w:rsidRPr="00326E55">
              <w:rPr>
                <w:rFonts w:ascii="Times New Roman" w:hAnsi="Times New Roman"/>
                <w:noProof/>
                <w:spacing w:val="-6"/>
                <w:lang w:val="sk-SK"/>
              </w:rPr>
              <w:t>Telese-Vitulano (19 km)</w:t>
            </w:r>
          </w:p>
          <w:p w14:paraId="1E291694" w14:textId="2B028DF6"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Salerno – Reggio Calabria (14,7 km),</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w:t>
            </w:r>
          </w:p>
          <w:p w14:paraId="2953FB31"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szCs w:val="20"/>
                <w:lang w:val="sk-SK"/>
              </w:rPr>
            </w:pPr>
            <w:r w:rsidRPr="00326E55">
              <w:rPr>
                <w:rFonts w:ascii="Times New Roman" w:hAnsi="Times New Roman"/>
                <w:noProof/>
                <w:spacing w:val="-6"/>
                <w:lang w:val="sk-SK"/>
              </w:rPr>
              <w:t>Battipaglia-Romagnano (14,7 km)</w:t>
            </w:r>
          </w:p>
          <w:p w14:paraId="15D84EF6" w14:textId="3362E13A"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Trať Palermo – Catania, 16,5 km,</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w:t>
            </w:r>
          </w:p>
          <w:p w14:paraId="2659E3C6"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szCs w:val="20"/>
                <w:lang w:val="sk-SK"/>
              </w:rPr>
            </w:pPr>
            <w:r w:rsidRPr="00326E55">
              <w:rPr>
                <w:rFonts w:ascii="Times New Roman" w:hAnsi="Times New Roman"/>
                <w:noProof/>
                <w:spacing w:val="-6"/>
                <w:lang w:val="sk-SK"/>
              </w:rPr>
              <w:t>Dittanio – Enna (2 km)</w:t>
            </w:r>
          </w:p>
          <w:p w14:paraId="6183E371"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lang w:val="sk-SK"/>
              </w:rPr>
            </w:pPr>
            <w:r w:rsidRPr="00326E55">
              <w:rPr>
                <w:rFonts w:ascii="Times New Roman" w:hAnsi="Times New Roman"/>
                <w:noProof/>
                <w:spacing w:val="-6"/>
                <w:lang w:val="sk-SK"/>
              </w:rPr>
              <w:t>Giampilieri-Fiumefreddo (7,5 km)</w:t>
            </w:r>
          </w:p>
          <w:p w14:paraId="1BB94EF4"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lang w:val="sk-SK"/>
              </w:rPr>
            </w:pPr>
            <w:r w:rsidRPr="00326E55">
              <w:rPr>
                <w:rFonts w:ascii="Times New Roman" w:hAnsi="Times New Roman"/>
                <w:noProof/>
                <w:spacing w:val="-6"/>
                <w:lang w:val="sk-SK"/>
              </w:rPr>
              <w:t>Ogliastrillo-Castelbuono (7 km)</w:t>
            </w:r>
          </w:p>
          <w:p w14:paraId="2F16A582" w14:textId="77777777" w:rsidR="00BF03AA" w:rsidRPr="00326E55" w:rsidRDefault="00BF03AA">
            <w:pPr>
              <w:pStyle w:val="ListParagraph"/>
              <w:ind w:left="360"/>
              <w:rPr>
                <w:rFonts w:ascii="Times New Roman" w:hAnsi="Times New Roman"/>
                <w:noProof/>
                <w:color w:val="006100"/>
                <w:spacing w:val="-6"/>
                <w:sz w:val="20"/>
                <w:lang w:val="sk-SK"/>
              </w:rPr>
            </w:pPr>
          </w:p>
          <w:p w14:paraId="12D82EEA" w14:textId="45CF1A70"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Pri posudzovaní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schvaľovaní každého príslušného projektu/investície sa dodržiavajú všetky pravidlá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postupy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6 ods. 3</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článku 6 ods. 4 smernice </w:t>
            </w:r>
            <w:r w:rsidRPr="00326E55">
              <w:rPr>
                <w:rFonts w:ascii="Times New Roman" w:hAnsi="Times New Roman"/>
                <w:noProof/>
                <w:spacing w:val="-6"/>
                <w:lang w:val="sk-SK"/>
              </w:rPr>
              <w:t>EÚ 92/43/EHS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dodržiavajú sa vnútroštátne usmernenia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posudzovaniu vplyvu uverejnené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Úradnej vestníku Talianskej republiky </w:t>
            </w:r>
            <w:r w:rsidR="00326E55" w:rsidRPr="00326E55">
              <w:rPr>
                <w:rFonts w:ascii="Times New Roman" w:hAnsi="Times New Roman"/>
                <w:noProof/>
                <w:spacing w:val="-6"/>
                <w:lang w:val="sk-SK"/>
              </w:rPr>
              <w:t>č. </w:t>
            </w:r>
            <w:r w:rsidRPr="00326E55">
              <w:rPr>
                <w:rFonts w:ascii="Times New Roman" w:hAnsi="Times New Roman"/>
                <w:noProof/>
                <w:spacing w:val="-6"/>
                <w:lang w:val="sk-SK"/>
              </w:rPr>
              <w:t>303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28</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2019.</w:t>
            </w:r>
          </w:p>
        </w:tc>
      </w:tr>
      <w:tr w:rsidR="00BF03AA" w:rsidRPr="00326E55" w14:paraId="502927D3"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0F4D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9</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A134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1.2 – Vysokorýchlostné trate na severe spájajúce zvyšok Európy</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2648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88CA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Vysokorýchlostná železnica na tratiach Brescia – Verona – Vicenza – Padova; Ligúria-Alpi.</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8C02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E172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F4CD9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7FD41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158</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7BBE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0BF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F9D882" w14:textId="45641CA1"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metodikou WBS – na výstavbu 158 km vysokorýchlostných železníc na trati</w:t>
            </w:r>
            <w:r w:rsidRPr="00326E55">
              <w:rPr>
                <w:rFonts w:ascii="Times New Roman" w:hAnsi="Times New Roman"/>
                <w:noProof/>
                <w:spacing w:val="-6"/>
                <w:lang w:val="sk-SK"/>
              </w:rPr>
              <w:t>ach Brescia – Verona – Vicenza – Padova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Liguria-Alpi.</w:t>
            </w:r>
          </w:p>
          <w:p w14:paraId="60F3DB4D" w14:textId="77777777"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Orientačné rozdelenie je takéto:</w:t>
            </w:r>
          </w:p>
          <w:p w14:paraId="0630FE48"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szCs w:val="20"/>
                <w:lang w:val="sk-SK"/>
              </w:rPr>
            </w:pPr>
            <w:r w:rsidRPr="00326E55">
              <w:rPr>
                <w:rFonts w:ascii="Times New Roman" w:hAnsi="Times New Roman"/>
                <w:noProof/>
                <w:spacing w:val="-6"/>
                <w:lang w:val="sk-SK"/>
              </w:rPr>
              <w:t>Brescia-Verona (48 km)</w:t>
            </w:r>
          </w:p>
          <w:p w14:paraId="2097B373"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szCs w:val="20"/>
                <w:lang w:val="sk-SK"/>
              </w:rPr>
            </w:pPr>
            <w:r w:rsidRPr="00326E55">
              <w:rPr>
                <w:rFonts w:ascii="Times New Roman" w:hAnsi="Times New Roman"/>
                <w:noProof/>
                <w:spacing w:val="-6"/>
                <w:lang w:val="sk-SK"/>
              </w:rPr>
              <w:t>Verona-Bivio-Vicenza (44 km)</w:t>
            </w:r>
          </w:p>
          <w:p w14:paraId="76CC0B74"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szCs w:val="20"/>
                <w:lang w:val="sk-SK"/>
              </w:rPr>
            </w:pPr>
            <w:r w:rsidRPr="00326E55">
              <w:rPr>
                <w:rFonts w:ascii="Times New Roman" w:hAnsi="Times New Roman"/>
                <w:noProof/>
                <w:spacing w:val="-6"/>
                <w:lang w:val="sk-SK"/>
              </w:rPr>
              <w:t>Uzol Janov (17 km)</w:t>
            </w:r>
          </w:p>
          <w:p w14:paraId="0CE068B0"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lang w:val="sk-SK"/>
              </w:rPr>
            </w:pPr>
            <w:r w:rsidRPr="00326E55">
              <w:rPr>
                <w:rFonts w:ascii="Times New Roman" w:hAnsi="Times New Roman"/>
                <w:noProof/>
                <w:spacing w:val="-6"/>
                <w:lang w:val="sk-SK"/>
              </w:rPr>
              <w:t>Tretí prechod Giovi (35,3 km)</w:t>
            </w:r>
          </w:p>
          <w:p w14:paraId="181CF20B"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lang w:val="sk-SK"/>
              </w:rPr>
            </w:pPr>
            <w:r w:rsidRPr="00326E55">
              <w:rPr>
                <w:rFonts w:ascii="Times New Roman" w:hAnsi="Times New Roman"/>
                <w:noProof/>
                <w:spacing w:val="-6"/>
                <w:lang w:val="sk-SK"/>
              </w:rPr>
              <w:t>Rho-Parabiago (4 km)</w:t>
            </w:r>
          </w:p>
          <w:p w14:paraId="297E5C20"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szCs w:val="20"/>
                <w:lang w:val="sk-SK"/>
              </w:rPr>
            </w:pPr>
            <w:r w:rsidRPr="00326E55">
              <w:rPr>
                <w:rFonts w:ascii="Times New Roman" w:hAnsi="Times New Roman"/>
                <w:noProof/>
                <w:spacing w:val="-6"/>
                <w:lang w:val="sk-SK"/>
              </w:rPr>
              <w:t>Pavia-Milano-Rogoredo (10,3 km)</w:t>
            </w:r>
          </w:p>
          <w:p w14:paraId="6FA10014" w14:textId="7681F36D"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Pri posudzova</w:t>
            </w:r>
            <w:r w:rsidRPr="00326E55">
              <w:rPr>
                <w:rFonts w:ascii="Times New Roman" w:hAnsi="Times New Roman"/>
                <w:noProof/>
                <w:spacing w:val="-6"/>
                <w:lang w:val="sk-SK"/>
              </w:rPr>
              <w:t>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schvaľovaní každého príslušného projektu/investície sa dodržiavajú všetky pravidlá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postupy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6 ods. 3</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článku 6 ods. 4 smernice EÚ 92/43/EHS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dodržiavajú sa vnútroštátne usmernenia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posudzovaniu vplyvu uverejnené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Úradnej vestní</w:t>
            </w:r>
            <w:r w:rsidRPr="00326E55">
              <w:rPr>
                <w:rFonts w:ascii="Times New Roman" w:hAnsi="Times New Roman"/>
                <w:noProof/>
                <w:spacing w:val="-6"/>
                <w:lang w:val="sk-SK"/>
              </w:rPr>
              <w:t xml:space="preserve">ku Talianskej republiky </w:t>
            </w:r>
            <w:r w:rsidR="00326E55" w:rsidRPr="00326E55">
              <w:rPr>
                <w:rFonts w:ascii="Times New Roman" w:hAnsi="Times New Roman"/>
                <w:noProof/>
                <w:spacing w:val="-6"/>
                <w:lang w:val="sk-SK"/>
              </w:rPr>
              <w:t>č. </w:t>
            </w:r>
            <w:r w:rsidRPr="00326E55">
              <w:rPr>
                <w:rFonts w:ascii="Times New Roman" w:hAnsi="Times New Roman"/>
                <w:noProof/>
                <w:spacing w:val="-6"/>
                <w:lang w:val="sk-SK"/>
              </w:rPr>
              <w:t>303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28</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2019.</w:t>
            </w:r>
          </w:p>
          <w:p w14:paraId="0E8CF1E9" w14:textId="5CAE052F"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segment Rho-Parabiago (4 km), všetky zmierňujúce opatrenia identifikované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EIA sa začlenia do projektu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budú sa dodržiavať vo fázach výstavby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prevádzky infraštruktúry.</w:t>
            </w:r>
          </w:p>
        </w:tc>
      </w:tr>
      <w:tr w:rsidR="00BF03AA" w:rsidRPr="00326E55" w14:paraId="77058459" w14:textId="77777777">
        <w:trPr>
          <w:trHeight w:val="341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99B9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10</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0418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1.3 – Diagonálne spojenia</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1A824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04F7C5" w14:textId="624EF8B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Zadanie zákazky na vybudovanie spojení na tratiach Orte – Falconara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Taranto – Metaponto – Potenza – Battipaglia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A224E6" w14:textId="22529C7E" w:rsidR="00BF03AA" w:rsidRPr="00326E55" w:rsidRDefault="00FB452D">
            <w:pPr>
              <w:pStyle w:val="P68B1DB1-Normal14"/>
              <w:jc w:val="center"/>
              <w:rPr>
                <w:rFonts w:ascii="Times New Roman" w:hAnsi="Times New Roman"/>
                <w:noProof/>
                <w:color w:val="006100"/>
                <w:spacing w:val="-6"/>
                <w:szCs w:val="20"/>
                <w:lang w:val="sk-SK"/>
              </w:rPr>
            </w:pPr>
            <w:r w:rsidRPr="00326E55">
              <w:rPr>
                <w:rFonts w:ascii="Times New Roman" w:hAnsi="Times New Roman"/>
                <w:noProof/>
                <w:color w:val="006100"/>
                <w:spacing w:val="-6"/>
                <w:lang w:val="sk-SK"/>
              </w:rPr>
              <w:t>Oznámenie</w:t>
            </w:r>
            <w:r w:rsidR="00326E55" w:rsidRPr="00326E55">
              <w:rPr>
                <w:rFonts w:ascii="Times New Roman" w:hAnsi="Times New Roman"/>
                <w:noProof/>
                <w:color w:val="006100"/>
                <w:spacing w:val="-6"/>
                <w:lang w:val="sk-SK"/>
              </w:rPr>
              <w:t xml:space="preserve"> o </w:t>
            </w:r>
            <w:r w:rsidRPr="00326E55">
              <w:rPr>
                <w:rFonts w:ascii="Times New Roman" w:hAnsi="Times New Roman"/>
                <w:noProof/>
                <w:color w:val="006100"/>
                <w:spacing w:val="-6"/>
                <w:lang w:val="sk-SK"/>
              </w:rPr>
              <w:t>zadaní</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multidisciplinárnej zákazky na výstavbu vysokorýchlostnej železničnej</w:t>
            </w:r>
            <w:r w:rsidRPr="00326E55">
              <w:rPr>
                <w:rFonts w:ascii="Times New Roman" w:hAnsi="Times New Roman"/>
                <w:noProof/>
                <w:color w:val="006100"/>
                <w:spacing w:val="-6"/>
                <w:lang w:val="sk-SK"/>
              </w:rPr>
              <w:t xml:space="preserve"> trate na tratiach Orte – Falconara</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Taranto – Metaponto – Potenza – Battipaglia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6E475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B3F93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CDC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417D4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F5E3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7D3206" w14:textId="7A9BFB93"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multidisciplinárnej zákazky na vybudovanie spojení na tratiach Orte – Falconara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Taranto – Metaponto – Po</w:t>
            </w:r>
            <w:r w:rsidRPr="00326E55">
              <w:rPr>
                <w:rFonts w:ascii="Times New Roman" w:hAnsi="Times New Roman"/>
                <w:noProof/>
                <w:spacing w:val="-6"/>
                <w:lang w:val="sk-SK"/>
              </w:rPr>
              <w:t>tenza – Battipaglia.</w:t>
            </w:r>
          </w:p>
          <w:p w14:paraId="3400E5EF" w14:textId="77777777"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Zmluva (zákazky) sa vzťahuje na tieto riadky</w:t>
            </w:r>
            <w:r w:rsidR="00326E55" w:rsidRPr="00326E55">
              <w:rPr>
                <w:rFonts w:ascii="Times New Roman" w:hAnsi="Times New Roman"/>
                <w:noProof/>
                <w:spacing w:val="-6"/>
                <w:lang w:val="sk-SK"/>
              </w:rPr>
              <w:t>:</w:t>
            </w:r>
          </w:p>
          <w:p w14:paraId="1E3ACB87" w14:textId="737D966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Orte-Falconara</w:t>
            </w:r>
          </w:p>
          <w:p w14:paraId="509ECC04"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Taranto – Metaponto-Potenza-Battipaglia</w:t>
            </w:r>
          </w:p>
        </w:tc>
      </w:tr>
      <w:tr w:rsidR="00BF03AA" w:rsidRPr="00326E55" w14:paraId="2FE0D3B7"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B354C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11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909B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1.3 – Diagonálne spojenia</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86E27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AA40E" w14:textId="5833922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Vysokorýchlostná železnica na tratiach Orte – Falconara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Taranto – Metaponto – </w:t>
            </w:r>
            <w:r w:rsidRPr="00326E55">
              <w:rPr>
                <w:rFonts w:ascii="Times New Roman" w:hAnsi="Times New Roman"/>
                <w:noProof/>
                <w:spacing w:val="-6"/>
                <w:lang w:val="sk-SK"/>
              </w:rPr>
              <w:t>Potenza – Battipaglia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64891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EC60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2C74C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891C1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15</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836E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2E7EB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F89F2" w14:textId="6FC0AFA8"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metodikou WBS – na výstavbu 15 km vysokorýchlostných železníc na tratiach Orte – Falconara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Taranto – Metaponto – Potenza – Battipaglia.</w:t>
            </w:r>
          </w:p>
          <w:p w14:paraId="3C1BD87D"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Orientačné rozdelenie je takéto:</w:t>
            </w:r>
          </w:p>
          <w:p w14:paraId="134D0981"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szCs w:val="20"/>
                <w:lang w:val="sk-SK"/>
              </w:rPr>
            </w:pPr>
            <w:r w:rsidRPr="00326E55">
              <w:rPr>
                <w:rFonts w:ascii="Times New Roman" w:hAnsi="Times New Roman"/>
                <w:noProof/>
                <w:spacing w:val="-6"/>
                <w:lang w:val="sk-SK"/>
              </w:rPr>
              <w:t>Orte-Falconara (12,3 km)</w:t>
            </w:r>
          </w:p>
          <w:p w14:paraId="0D726864" w14:textId="77777777" w:rsidR="00BF03AA" w:rsidRPr="00326E55" w:rsidRDefault="00FB452D">
            <w:pPr>
              <w:pStyle w:val="P68B1DB1-ListParagraph15"/>
              <w:numPr>
                <w:ilvl w:val="0"/>
                <w:numId w:val="36"/>
              </w:numPr>
              <w:spacing w:before="120" w:after="120" w:line="240" w:lineRule="auto"/>
              <w:ind w:left="502"/>
              <w:jc w:val="both"/>
              <w:rPr>
                <w:rFonts w:ascii="Times New Roman" w:hAnsi="Times New Roman"/>
                <w:noProof/>
                <w:spacing w:val="-6"/>
                <w:szCs w:val="20"/>
                <w:lang w:val="sk-SK"/>
              </w:rPr>
            </w:pPr>
            <w:r w:rsidRPr="00326E55">
              <w:rPr>
                <w:rFonts w:ascii="Times New Roman" w:hAnsi="Times New Roman"/>
                <w:noProof/>
                <w:spacing w:val="-6"/>
                <w:lang w:val="sk-SK"/>
              </w:rPr>
              <w:t>Taranto-Metaponto-Potenza-Battipaglia (2,8 km)</w:t>
            </w:r>
          </w:p>
          <w:p w14:paraId="791B8596" w14:textId="1A4785FB"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Pri posudzovaní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schvaľovaní každého príslušného projektu/investície sa dodržiavajú všetky pravidlá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postupy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6 ods. 3</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článku 6 o</w:t>
            </w:r>
            <w:r w:rsidRPr="00326E55">
              <w:rPr>
                <w:rFonts w:ascii="Times New Roman" w:hAnsi="Times New Roman"/>
                <w:noProof/>
                <w:spacing w:val="-6"/>
                <w:lang w:val="sk-SK"/>
              </w:rPr>
              <w:t>ds. 4 smernice EÚ 92/43/EHS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dodržiavajú sa vnútroštátne usmernenia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posudzovaniu vplyvu uverejnené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Úradnej vestníku Talianskej republiky </w:t>
            </w:r>
            <w:r w:rsidR="00326E55" w:rsidRPr="00326E55">
              <w:rPr>
                <w:rFonts w:ascii="Times New Roman" w:hAnsi="Times New Roman"/>
                <w:noProof/>
                <w:spacing w:val="-6"/>
                <w:lang w:val="sk-SK"/>
              </w:rPr>
              <w:t>č. </w:t>
            </w:r>
            <w:r w:rsidRPr="00326E55">
              <w:rPr>
                <w:rFonts w:ascii="Times New Roman" w:hAnsi="Times New Roman"/>
                <w:noProof/>
                <w:spacing w:val="-6"/>
                <w:lang w:val="sk-SK"/>
              </w:rPr>
              <w:t>303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28</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2019.</w:t>
            </w:r>
          </w:p>
        </w:tc>
      </w:tr>
      <w:tr w:rsidR="00BF03AA" w:rsidRPr="00326E55" w14:paraId="5587325C" w14:textId="77777777">
        <w:trPr>
          <w:trHeight w:val="2415"/>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26CFA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12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F8E7A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1.4 – Zavedenie Európskeho systému riadenia železničnej dopravy </w:t>
            </w:r>
            <w:r w:rsidRPr="00326E55">
              <w:rPr>
                <w:rFonts w:ascii="Times New Roman" w:hAnsi="Times New Roman"/>
                <w:noProof/>
                <w:spacing w:val="-6"/>
                <w:lang w:val="sk-SK"/>
              </w:rPr>
              <w:t>(ERTMS)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C9F8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E1DDF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Zadávanie zákaziek na Európsky systém riadenia železničnej dopravy</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0DC664" w14:textId="6E8E800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zavedenie Európskeho systému riadenia železničnej dopravy</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80CCD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3FE84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BF4CF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F7FFF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3599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3175F7" w14:textId="63186FA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zavedenie Európskeho systému riadenia železničnej dopravy (ERTMS)</w:t>
            </w:r>
          </w:p>
        </w:tc>
      </w:tr>
      <w:tr w:rsidR="00BF03AA" w:rsidRPr="00326E55" w14:paraId="700CE8AA"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3E50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14</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958C0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 – Zavedenie Európskeho systému riadenia železničnej dopravy (ERTMS)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294CD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4E62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 2 785 km železničných tratí vybavených Európskym systémom riadenia železničnej dopravy</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AF877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EBE95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62BE9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 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66B7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2 785</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C682F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99F39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2225B2" w14:textId="4EDA59D0"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sa vydávajú na 2 785 km železníc vybavených Európskym systémom riadenia železničnej dopravy na </w:t>
            </w:r>
            <w:r w:rsidRPr="00326E55">
              <w:rPr>
                <w:rFonts w:ascii="Times New Roman" w:hAnsi="Times New Roman"/>
                <w:noProof/>
                <w:spacing w:val="-6"/>
                <w:lang w:val="sk-SK"/>
              </w:rPr>
              <w:t>úrovni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technológií.</w:t>
            </w:r>
          </w:p>
        </w:tc>
      </w:tr>
      <w:tr w:rsidR="00BF03AA" w:rsidRPr="00326E55" w14:paraId="1E441630"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6BB2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15</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637CF" w14:textId="0994F53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1.5 – Posilnenie metropolitných uzlov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kľúčových vnútroštátnych prepojení</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17D0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B8B2F3" w14:textId="5E14D67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700 km modernizovaných traťových úsekov postavených na metropolitných uzloch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kľúčových vnútroštátnych spojeniach</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613F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28654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18B3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6889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700</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2A0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56A8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94B72E" w14:textId="5B466A1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Aspoň 700 km modernizovaných traťových úsekov postavených na metropolitných uzloch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kľúčových vnútroštátnych spojeniach pripravených na fázu schvaľovania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prevádzky.</w:t>
            </w:r>
          </w:p>
        </w:tc>
      </w:tr>
      <w:tr w:rsidR="00BF03AA" w:rsidRPr="00326E55" w14:paraId="746206F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EF03A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17</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B3D9D" w14:textId="1ADE22C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1.7 – Modernizácia, </w:t>
            </w:r>
            <w:r w:rsidRPr="00326E55">
              <w:rPr>
                <w:rFonts w:ascii="Times New Roman" w:hAnsi="Times New Roman"/>
                <w:noProof/>
                <w:spacing w:val="-6"/>
                <w:lang w:val="sk-SK"/>
              </w:rPr>
              <w:t>elektrifikácia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odolnosť železníc na juhu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2768C1" w14:textId="77777777" w:rsidR="00BF03AA" w:rsidRPr="00326E55" w:rsidRDefault="00BF03AA">
            <w:pPr>
              <w:jc w:val="center"/>
              <w:rPr>
                <w:rFonts w:ascii="Times New Roman" w:hAnsi="Times New Roman"/>
                <w:noProof/>
                <w:color w:val="006100"/>
                <w:spacing w:val="-6"/>
                <w:sz w:val="20"/>
                <w:szCs w:val="20"/>
                <w:lang w:val="sk-SK"/>
              </w:rPr>
            </w:pPr>
          </w:p>
          <w:p w14:paraId="7BEAA13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Cieľ </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375A13" w14:textId="5527398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172 km dokončených prác 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odolnosťou železníc na juhu, ktoré sú pripravené na fázu povoľovania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prevádzky.</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87736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64056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30DE7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D474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172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97345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FD1F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2D536" w14:textId="35A464F1" w:rsidR="00326E55"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 xml:space="preserve">Dokončenie prác na dĺžke najmenej 172 km </w:t>
            </w:r>
            <w:r w:rsidRPr="00326E55">
              <w:rPr>
                <w:rFonts w:ascii="Times New Roman" w:hAnsi="Times New Roman"/>
                <w:noProof/>
                <w:spacing w:val="-6"/>
                <w:lang w:val="sk-SK"/>
              </w:rPr>
              <w:t>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odolnosťou južných železníc pripravených na fázu povoľovania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prevádzky</w:t>
            </w:r>
            <w:r w:rsidR="00326E55" w:rsidRPr="00326E55">
              <w:rPr>
                <w:rFonts w:ascii="Times New Roman" w:hAnsi="Times New Roman"/>
                <w:noProof/>
                <w:spacing w:val="-6"/>
                <w:lang w:val="sk-SK"/>
              </w:rPr>
              <w:t>.</w:t>
            </w:r>
          </w:p>
          <w:p w14:paraId="1E373814" w14:textId="53B33AC7" w:rsidR="00BF03AA"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172 km sa vzťahuje na tieto trate:</w:t>
            </w:r>
          </w:p>
          <w:p w14:paraId="476F0D37" w14:textId="77777777" w:rsidR="00BF03AA" w:rsidRPr="00326E55" w:rsidRDefault="00FB452D">
            <w:pPr>
              <w:pStyle w:val="P68B1DB1-Normal83"/>
              <w:spacing w:before="120" w:after="120"/>
              <w:rPr>
                <w:rFonts w:ascii="Times New Roman" w:hAnsi="Times New Roman"/>
                <w:noProof/>
                <w:spacing w:val="-6"/>
                <w:sz w:val="20"/>
                <w:szCs w:val="20"/>
                <w:lang w:val="sk-SK"/>
              </w:rPr>
            </w:pPr>
            <w:r w:rsidRPr="00326E55">
              <w:rPr>
                <w:rFonts w:ascii="Times New Roman" w:hAnsi="Times New Roman"/>
                <w:noProof/>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spacing w:val="-6"/>
                <w:sz w:val="20"/>
                <w:lang w:val="sk-SK"/>
              </w:rPr>
              <w:t>Paola- Reggio Calabria;</w:t>
            </w:r>
          </w:p>
          <w:p w14:paraId="0A5AC86E" w14:textId="77777777" w:rsidR="00BF03AA" w:rsidRPr="00326E55" w:rsidRDefault="00FB452D">
            <w:pPr>
              <w:pStyle w:val="P68B1DB1-Normal83"/>
              <w:spacing w:before="120" w:after="120"/>
              <w:rPr>
                <w:rFonts w:ascii="Times New Roman" w:hAnsi="Times New Roman"/>
                <w:noProof/>
                <w:spacing w:val="-6"/>
                <w:sz w:val="20"/>
                <w:szCs w:val="20"/>
                <w:lang w:val="sk-SK"/>
              </w:rPr>
            </w:pPr>
            <w:r w:rsidRPr="00326E55">
              <w:rPr>
                <w:rFonts w:ascii="Times New Roman" w:hAnsi="Times New Roman"/>
                <w:noProof/>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spacing w:val="-6"/>
                <w:sz w:val="20"/>
                <w:lang w:val="sk-SK"/>
              </w:rPr>
              <w:t>Lentini Diramazione-Gela;</w:t>
            </w:r>
          </w:p>
          <w:p w14:paraId="57C7E872" w14:textId="77777777" w:rsidR="00BF03AA" w:rsidRPr="00326E55" w:rsidRDefault="00FB452D">
            <w:pPr>
              <w:pStyle w:val="P68B1DB1-Normal83"/>
              <w:spacing w:before="120" w:after="120"/>
              <w:rPr>
                <w:rFonts w:ascii="Times New Roman" w:hAnsi="Times New Roman"/>
                <w:noProof/>
                <w:spacing w:val="-6"/>
                <w:sz w:val="20"/>
                <w:szCs w:val="20"/>
                <w:lang w:val="sk-SK"/>
              </w:rPr>
            </w:pPr>
            <w:r w:rsidRPr="00326E55">
              <w:rPr>
                <w:rFonts w:ascii="Times New Roman" w:hAnsi="Times New Roman"/>
                <w:noProof/>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spacing w:val="-6"/>
                <w:sz w:val="20"/>
                <w:lang w:val="sk-SK"/>
              </w:rPr>
              <w:t>Messina – Catania – Siracusa;</w:t>
            </w:r>
          </w:p>
          <w:p w14:paraId="2B2D3801" w14:textId="77777777" w:rsidR="00BF03AA" w:rsidRPr="00326E55" w:rsidRDefault="00FB452D">
            <w:pPr>
              <w:pStyle w:val="P68B1DB1-Normal83"/>
              <w:spacing w:before="120" w:after="120"/>
              <w:rPr>
                <w:rFonts w:ascii="Times New Roman" w:hAnsi="Times New Roman"/>
                <w:noProof/>
                <w:spacing w:val="-6"/>
                <w:sz w:val="20"/>
                <w:szCs w:val="20"/>
                <w:lang w:val="sk-SK"/>
              </w:rPr>
            </w:pPr>
            <w:r w:rsidRPr="00326E55">
              <w:rPr>
                <w:rFonts w:ascii="Times New Roman" w:hAnsi="Times New Roman"/>
                <w:noProof/>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spacing w:val="-6"/>
                <w:sz w:val="20"/>
                <w:lang w:val="sk-SK"/>
              </w:rPr>
              <w:t>Caserta – Battipaglia;</w:t>
            </w:r>
          </w:p>
          <w:p w14:paraId="00CA48FF" w14:textId="551A93AB" w:rsidR="00BF03AA" w:rsidRPr="00326E55" w:rsidRDefault="00FB452D">
            <w:pPr>
              <w:pStyle w:val="P68B1DB1-Normal83"/>
              <w:spacing w:before="120" w:after="120"/>
              <w:rPr>
                <w:rFonts w:ascii="Times New Roman" w:hAnsi="Times New Roman"/>
                <w:noProof/>
                <w:spacing w:val="-6"/>
                <w:sz w:val="20"/>
                <w:szCs w:val="20"/>
                <w:lang w:val="sk-SK"/>
              </w:rPr>
            </w:pPr>
            <w:r w:rsidRPr="00326E55">
              <w:rPr>
                <w:rFonts w:ascii="Times New Roman" w:hAnsi="Times New Roman"/>
                <w:noProof/>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spacing w:val="-6"/>
                <w:sz w:val="20"/>
                <w:lang w:val="sk-SK"/>
              </w:rPr>
              <w:t>Rómovia – Napoli;</w:t>
            </w:r>
            <w:r w:rsidR="00326E55" w:rsidRPr="00326E55">
              <w:rPr>
                <w:rFonts w:ascii="Times New Roman" w:hAnsi="Times New Roman"/>
                <w:noProof/>
                <w:spacing w:val="-6"/>
                <w:sz w:val="20"/>
                <w:lang w:val="sk-SK"/>
              </w:rPr>
              <w:t xml:space="preserve"> a </w:t>
            </w:r>
            <w:r w:rsidRPr="00326E55">
              <w:rPr>
                <w:rFonts w:ascii="Times New Roman" w:hAnsi="Times New Roman"/>
                <w:noProof/>
                <w:spacing w:val="-6"/>
                <w:sz w:val="20"/>
                <w:lang w:val="sk-SK"/>
              </w:rPr>
              <w:t>zároveň</w:t>
            </w:r>
          </w:p>
          <w:p w14:paraId="6B5F0ED0" w14:textId="77777777" w:rsidR="00BF03AA" w:rsidRPr="00326E55" w:rsidRDefault="00FB452D">
            <w:pPr>
              <w:pStyle w:val="P68B1DB1-Normal83"/>
              <w:spacing w:before="120" w:after="120"/>
              <w:rPr>
                <w:rFonts w:ascii="Times New Roman" w:hAnsi="Times New Roman"/>
                <w:noProof/>
                <w:spacing w:val="-6"/>
                <w:sz w:val="20"/>
                <w:szCs w:val="20"/>
                <w:lang w:val="sk-SK"/>
              </w:rPr>
            </w:pPr>
            <w:r w:rsidRPr="00326E55">
              <w:rPr>
                <w:rFonts w:ascii="Times New Roman" w:hAnsi="Times New Roman"/>
                <w:noProof/>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spacing w:val="-6"/>
                <w:sz w:val="20"/>
                <w:lang w:val="sk-SK"/>
              </w:rPr>
              <w:t>Bari – Brindisi.</w:t>
            </w:r>
          </w:p>
          <w:p w14:paraId="38C839E6" w14:textId="4C2707CC"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Cieľ sa dosiahne prostredníctvom CLP (t. j. „Codice Locale Progetto“), ktoré nie sú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iných fondov EÚ ako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r>
      <w:tr w:rsidR="00BF03AA" w:rsidRPr="00326E55" w14:paraId="27255734"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3215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19</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12727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1.8 – Modernizácia železničných staníc </w:t>
            </w:r>
            <w:r w:rsidRPr="00326E55">
              <w:rPr>
                <w:rFonts w:ascii="Times New Roman" w:hAnsi="Times New Roman"/>
                <w:noProof/>
                <w:spacing w:val="-6"/>
                <w:lang w:val="sk-SK"/>
              </w:rPr>
              <w:t>(riadenie RFI; na juhu)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BD850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A498C3" w14:textId="3F861B8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Modernizované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prístupné železničné stanice</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852E0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44B84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5EA34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A9F38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10</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F0E9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4BC99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0CC2A" w14:textId="21E17CD3"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Desať železničných staníc je modernizovaných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prístupných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nariadením Komisie </w:t>
            </w:r>
            <w:r w:rsidR="00326E55" w:rsidRPr="00326E55">
              <w:rPr>
                <w:rFonts w:ascii="Times New Roman" w:hAnsi="Times New Roman"/>
                <w:noProof/>
                <w:spacing w:val="-6"/>
                <w:lang w:val="sk-SK"/>
              </w:rPr>
              <w:t>č. </w:t>
            </w:r>
            <w:r w:rsidRPr="00326E55">
              <w:rPr>
                <w:rFonts w:ascii="Times New Roman" w:hAnsi="Times New Roman"/>
                <w:noProof/>
                <w:spacing w:val="-6"/>
                <w:lang w:val="sk-SK"/>
              </w:rPr>
              <w:t>1300/2014.</w:t>
            </w:r>
          </w:p>
        </w:tc>
      </w:tr>
      <w:tr w:rsidR="00BF03AA" w:rsidRPr="00326E55" w14:paraId="5B43724B"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8F279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20</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F244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1.8 – </w:t>
            </w:r>
            <w:r w:rsidRPr="00326E55">
              <w:rPr>
                <w:rFonts w:ascii="Times New Roman" w:hAnsi="Times New Roman"/>
                <w:noProof/>
                <w:spacing w:val="-6"/>
                <w:lang w:val="sk-SK"/>
              </w:rPr>
              <w:t>Modernizácia železničných staníc (riadenie RFI; na juhu)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4E74E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E7B0F6" w14:textId="5DB3E51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Modernizované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prístupné železničné stanice</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7CAE8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41214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57F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39B8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38</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11962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B949E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54FB8F" w14:textId="1C075144" w:rsidR="00BF03AA" w:rsidRPr="00326E55" w:rsidRDefault="00FB452D">
            <w:pPr>
              <w:pStyle w:val="P68B1DB1-Normal11"/>
              <w:spacing w:before="120"/>
              <w:jc w:val="both"/>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modernizácii 38 železničných staníc</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regiónoch Abruzzo, Basilicata </w:t>
            </w:r>
            <w:r w:rsidRPr="00326E55">
              <w:rPr>
                <w:rFonts w:ascii="Times New Roman" w:hAnsi="Times New Roman"/>
                <w:noProof/>
                <w:spacing w:val="-6"/>
                <w:lang w:val="sk-SK"/>
              </w:rPr>
              <w:t>Campania, Kalábria, Molise, Apúlia, Sicília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Sardegna.</w:t>
            </w:r>
          </w:p>
        </w:tc>
      </w:tr>
      <w:tr w:rsidR="00BF03AA" w:rsidRPr="00326E55" w14:paraId="4CF7952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847CD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21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220A" w14:textId="2538A64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2.1 – Vykonávanie nedávneho „zjednodušenia zákonného dekrétu“ (zmeneného na zákon </w:t>
            </w:r>
            <w:r w:rsidR="00326E55" w:rsidRPr="00326E55">
              <w:rPr>
                <w:rFonts w:ascii="Times New Roman" w:hAnsi="Times New Roman"/>
                <w:noProof/>
                <w:spacing w:val="-6"/>
                <w:lang w:val="sk-SK"/>
              </w:rPr>
              <w:t>č. </w:t>
            </w:r>
            <w:r w:rsidRPr="00326E55">
              <w:rPr>
                <w:rFonts w:ascii="Times New Roman" w:hAnsi="Times New Roman"/>
                <w:noProof/>
                <w:spacing w:val="-6"/>
                <w:lang w:val="sk-SK"/>
              </w:rPr>
              <w:t>120</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11</w:t>
            </w:r>
            <w:r w:rsidR="00326E55" w:rsidRPr="00326E55">
              <w:rPr>
                <w:rFonts w:ascii="Times New Roman" w:hAnsi="Times New Roman"/>
                <w:noProof/>
                <w:spacing w:val="-6"/>
                <w:lang w:val="sk-SK"/>
              </w:rPr>
              <w:t>. septembra</w:t>
            </w:r>
            <w:r w:rsidRPr="00326E55">
              <w:rPr>
                <w:rFonts w:ascii="Times New Roman" w:hAnsi="Times New Roman"/>
                <w:noProof/>
                <w:spacing w:val="-6"/>
                <w:lang w:val="sk-SK"/>
              </w:rPr>
              <w:t xml:space="preserve"> 2020) vydaním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 „Usmernení pre klasifikáciu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riadenie </w:t>
            </w:r>
            <w:r w:rsidRPr="00326E55">
              <w:rPr>
                <w:rFonts w:ascii="Times New Roman" w:hAnsi="Times New Roman"/>
                <w:noProof/>
                <w:spacing w:val="-6"/>
                <w:lang w:val="sk-SK"/>
              </w:rPr>
              <w:t>rizík, hodnotenie bezpečnosti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monitorovanie existujúcich mostov“</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E7916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11578" w14:textId="25D98F9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„Usmernení pre klasifikáciu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riadenie rizík, hodnotenie bezpečnosti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monitorovanie existujúcich mostov“</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6197B3" w14:textId="30DD280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účinnosti dekrétu, </w:t>
            </w:r>
            <w:r w:rsidRPr="00326E55">
              <w:rPr>
                <w:rFonts w:ascii="Times New Roman" w:hAnsi="Times New Roman"/>
                <w:noProof/>
                <w:spacing w:val="-6"/>
                <w:lang w:val="sk-SK"/>
              </w:rPr>
              <w:t>ktorým sa prijímajú „Usmernenia pre klasifikáciu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riadenie rizík, hodnotenie bezpečnosti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monitorovanie existujúcich mostov“</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5989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BB24A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791D8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6F03E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F6C8A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BBC67" w14:textId="315CD52E" w:rsidR="00BF03AA" w:rsidRPr="00326E55" w:rsidRDefault="00FB452D">
            <w:pPr>
              <w:pStyle w:val="P68B1DB1-Normal14"/>
              <w:spacing w:before="120" w:after="120"/>
              <w:rPr>
                <w:rFonts w:ascii="Times New Roman" w:hAnsi="Times New Roman"/>
                <w:noProof/>
                <w:color w:val="006100"/>
                <w:spacing w:val="-6"/>
                <w:szCs w:val="20"/>
                <w:lang w:val="sk-SK"/>
              </w:rPr>
            </w:pPr>
            <w:r w:rsidRPr="00326E55">
              <w:rPr>
                <w:rFonts w:ascii="Times New Roman" w:hAnsi="Times New Roman"/>
                <w:noProof/>
                <w:color w:val="006100"/>
                <w:spacing w:val="-6"/>
                <w:lang w:val="sk-SK"/>
              </w:rPr>
              <w:t>V usmerneniach sa stanovia spoločné normy</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metodiky pre celú vnútroštátnu ces</w:t>
            </w:r>
            <w:r w:rsidRPr="00326E55">
              <w:rPr>
                <w:rFonts w:ascii="Times New Roman" w:hAnsi="Times New Roman"/>
                <w:noProof/>
                <w:color w:val="006100"/>
                <w:spacing w:val="-6"/>
                <w:lang w:val="sk-SK"/>
              </w:rPr>
              <w:t>tnú sieť na klasifikáciu</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riadenie rizík, hodnotenie bezpečnosti</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monitorovanie existujúcich mostov.</w:t>
            </w:r>
          </w:p>
        </w:tc>
      </w:tr>
      <w:tr w:rsidR="00BF03AA" w:rsidRPr="00326E55" w14:paraId="3064014F"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2F6C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22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620DCE" w14:textId="1333921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2.2 – Prevod majetku mostov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viaduktov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ciest nižšej úrovne na cesty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vyšším hodnotením</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B865A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1E037" w14:textId="0074BD0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Previesť vlastníctvo mostov, </w:t>
            </w:r>
            <w:r w:rsidRPr="00326E55">
              <w:rPr>
                <w:rFonts w:ascii="Times New Roman" w:hAnsi="Times New Roman"/>
                <w:noProof/>
                <w:spacing w:val="-6"/>
                <w:lang w:val="sk-SK"/>
              </w:rPr>
              <w:t>viaduktov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prejazdov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ciest nižšej úrovne na tie, ktoré 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poradí vyššie (diaľnice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hlavné štátne cesty)</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35833" w14:textId="7671B8B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príslušnom právnom akte,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odkazuje na nadobudnutie účinnosti prevodu vlastníctva mostov, viaduktov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prejazdov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 xml:space="preserve">ciest </w:t>
            </w:r>
            <w:r w:rsidRPr="00326E55">
              <w:rPr>
                <w:rFonts w:ascii="Times New Roman" w:hAnsi="Times New Roman"/>
                <w:noProof/>
                <w:spacing w:val="-6"/>
                <w:lang w:val="sk-SK"/>
              </w:rPr>
              <w:t>nižšej úrovne na cesty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vyšším hodnotením (diaľnice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hlavné štátne cesty)</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7B7B8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3F1CE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46D2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1BA4F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947BF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54DBD" w14:textId="54BAEEE0"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 xml:space="preserve">Prevod vlastníctva umeleckých diel sa musí uskutočniť do šiestich mesiacov od nadobudnutia účinnosti 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120/20. Očakáva sa</w:t>
            </w:r>
            <w:r w:rsidRPr="00326E55">
              <w:rPr>
                <w:rFonts w:ascii="Times New Roman" w:hAnsi="Times New Roman"/>
                <w:noProof/>
                <w:spacing w:val="-6"/>
                <w:lang w:val="sk-SK"/>
              </w:rPr>
              <w:t xml:space="preserve">, že bude dokončená podľa pravidiel Codice della Strada (legislatívny dekrét </w:t>
            </w:r>
            <w:r w:rsidR="00326E55" w:rsidRPr="00326E55">
              <w:rPr>
                <w:rFonts w:ascii="Times New Roman" w:hAnsi="Times New Roman"/>
                <w:noProof/>
                <w:spacing w:val="-6"/>
                <w:lang w:val="sk-SK"/>
              </w:rPr>
              <w:t>č. </w:t>
            </w:r>
            <w:r w:rsidRPr="00326E55">
              <w:rPr>
                <w:rFonts w:ascii="Times New Roman" w:hAnsi="Times New Roman"/>
                <w:noProof/>
                <w:spacing w:val="-6"/>
                <w:lang w:val="sk-SK"/>
              </w:rPr>
              <w:t>285/1992)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jeho nariadení (prezidentský dekrét </w:t>
            </w:r>
            <w:r w:rsidR="00326E55" w:rsidRPr="00326E55">
              <w:rPr>
                <w:rFonts w:ascii="Times New Roman" w:hAnsi="Times New Roman"/>
                <w:noProof/>
                <w:spacing w:val="-6"/>
                <w:lang w:val="sk-SK"/>
              </w:rPr>
              <w:t>č. </w:t>
            </w:r>
            <w:r w:rsidRPr="00326E55">
              <w:rPr>
                <w:rFonts w:ascii="Times New Roman" w:hAnsi="Times New Roman"/>
                <w:noProof/>
                <w:spacing w:val="-6"/>
                <w:lang w:val="sk-SK"/>
              </w:rPr>
              <w:t>495/92),</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stanovujú ustanovenia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 vlastníctva medzi subjektmi vlastniacimi cestnú premávku.</w:t>
            </w:r>
          </w:p>
        </w:tc>
      </w:tr>
      <w:tr w:rsidR="00BF03AA" w:rsidRPr="00326E55" w14:paraId="4D2447A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305B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M3C1 – 26</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E138A" w14:textId="2D743FE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Reforma 1.3 – Podpora efektívnosti železničnej infraštruktúry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B096D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975367" w14:textId="6CC515D2"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Nadobudnutie účinnosti právnych predpisov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iných právnych aktov</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0F77E" w14:textId="23284D0C"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Právne predpisy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iné právne akty</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936F1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AC3A5"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D03A3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6A02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4A02E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5E4DDB" w14:textId="670481AD"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Nadobudnutie účinnosti</w:t>
            </w:r>
            <w:r w:rsidRPr="00326E55">
              <w:rPr>
                <w:rFonts w:ascii="Times New Roman" w:hAnsi="Times New Roman"/>
                <w:noProof/>
                <w:spacing w:val="-6"/>
                <w:lang w:val="sk-SK"/>
              </w:rPr>
              <w:t xml:space="preserve"> právnych predpisov</w:t>
            </w:r>
            <w:r w:rsidR="00326E55" w:rsidRPr="00326E55">
              <w:rPr>
                <w:rFonts w:ascii="Times New Roman" w:hAnsi="Times New Roman"/>
                <w:noProof/>
                <w:spacing w:val="-6"/>
                <w:lang w:val="sk-SK"/>
              </w:rPr>
              <w:t xml:space="preserve"> a v </w:t>
            </w:r>
            <w:r w:rsidRPr="00326E55">
              <w:rPr>
                <w:rFonts w:ascii="Times New Roman" w:hAnsi="Times New Roman"/>
                <w:noProof/>
                <w:spacing w:val="-6"/>
                <w:lang w:val="sk-SK"/>
              </w:rPr>
              <w:t>prípade potreby iných právnych aktov, ako sa uvádza ďalej.</w:t>
            </w:r>
          </w:p>
          <w:p w14:paraId="0C5F2B3F" w14:textId="31EB2022"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u w:val="single"/>
                <w:lang w:val="sk-SK"/>
              </w:rPr>
              <w:t>Časť 1 – Účinnosť</w:t>
            </w:r>
            <w:r w:rsidR="00326E55" w:rsidRPr="00326E55">
              <w:rPr>
                <w:rFonts w:ascii="Times New Roman" w:hAnsi="Times New Roman"/>
                <w:noProof/>
                <w:spacing w:val="-6"/>
                <w:u w:val="single"/>
                <w:lang w:val="sk-SK"/>
              </w:rPr>
              <w:t xml:space="preserve"> a </w:t>
            </w:r>
            <w:r w:rsidRPr="00326E55">
              <w:rPr>
                <w:rFonts w:ascii="Times New Roman" w:hAnsi="Times New Roman"/>
                <w:noProof/>
                <w:spacing w:val="-6"/>
                <w:u w:val="single"/>
                <w:lang w:val="sk-SK"/>
              </w:rPr>
              <w:t>výkonnosť verejných investícií</w:t>
            </w:r>
            <w:r w:rsidR="00326E55" w:rsidRPr="00326E55">
              <w:rPr>
                <w:rFonts w:ascii="Times New Roman" w:hAnsi="Times New Roman"/>
                <w:noProof/>
                <w:spacing w:val="-6"/>
                <w:lang w:val="sk-SK"/>
              </w:rPr>
              <w:t>:</w:t>
            </w:r>
          </w:p>
          <w:p w14:paraId="2268F532" w14:textId="494657ED"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V právnych predpisoch sa predpokladá, že ministerstvo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dopravy prijme viacročný strategický dokument, </w:t>
            </w:r>
            <w:r w:rsidRPr="00326E55">
              <w:rPr>
                <w:rFonts w:ascii="Times New Roman" w:hAnsi="Times New Roman"/>
                <w:noProof/>
                <w:spacing w:val="-6"/>
                <w:lang w:val="sk-SK"/>
              </w:rPr>
              <w:t>ktorým sa bude riadiť viacročné plánovanie infraštruktúry Talianska na obdobie najmenej 10 rokov. Dokument podporuje multimodálnu dopravu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plne integruje priemyselné potreby podnikového sektora do plánovania infraštruktúry (napríklad uprednostňovaním inve</w:t>
            </w:r>
            <w:r w:rsidRPr="00326E55">
              <w:rPr>
                <w:rFonts w:ascii="Times New Roman" w:hAnsi="Times New Roman"/>
                <w:noProof/>
                <w:spacing w:val="-6"/>
                <w:lang w:val="sk-SK"/>
              </w:rPr>
              <w:t>stícií, ktoré spájajú kľúčové priemyselné oblasti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logistické uzly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dopravnou sieťou).</w:t>
            </w:r>
          </w:p>
          <w:p w14:paraId="49B09B90" w14:textId="77777777"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Reformou sa zabezpečuje preskúmanie dokumentov týkajúcich sa plánovania infraštruktúry. Konkrétnejšie, právne predpisy</w:t>
            </w:r>
            <w:r w:rsidR="00326E55" w:rsidRPr="00326E55">
              <w:rPr>
                <w:rFonts w:ascii="Times New Roman" w:hAnsi="Times New Roman"/>
                <w:noProof/>
                <w:spacing w:val="-6"/>
                <w:lang w:val="sk-SK"/>
              </w:rPr>
              <w:t>:</w:t>
            </w:r>
          </w:p>
          <w:p w14:paraId="3F1B7774" w14:textId="2EE48BA1" w:rsidR="00BF03AA" w:rsidRPr="00326E55" w:rsidRDefault="00FB452D">
            <w:pPr>
              <w:pStyle w:val="P68B1DB1-ListParagraph13"/>
              <w:numPr>
                <w:ilvl w:val="1"/>
                <w:numId w:val="36"/>
              </w:numPr>
              <w:spacing w:before="120" w:after="120" w:line="240" w:lineRule="auto"/>
              <w:ind w:left="360"/>
              <w:jc w:val="both"/>
              <w:rPr>
                <w:rFonts w:ascii="Times New Roman" w:hAnsi="Times New Roman"/>
                <w:noProof/>
                <w:spacing w:val="-6"/>
                <w:lang w:val="sk-SK"/>
              </w:rPr>
            </w:pPr>
            <w:r w:rsidRPr="00326E55">
              <w:rPr>
                <w:rFonts w:ascii="Times New Roman" w:hAnsi="Times New Roman"/>
                <w:noProof/>
                <w:spacing w:val="-6"/>
                <w:lang w:val="sk-SK"/>
              </w:rPr>
              <w:t>Zabezpečiť, aby program Contratto di, stratégia</w:t>
            </w:r>
            <w:r w:rsidRPr="00326E55">
              <w:rPr>
                <w:rFonts w:ascii="Times New Roman" w:hAnsi="Times New Roman"/>
                <w:noProof/>
                <w:spacing w:val="-6"/>
                <w:lang w:val="sk-SK"/>
              </w:rPr>
              <w:t xml:space="preserve"> rozvoja železničnej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podnikateľský plán manažéra infraštruktúry boli vypracované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viacročného strategického dokumentu ministerstva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smernicou 34/2012/EÚ.</w:t>
            </w:r>
          </w:p>
          <w:p w14:paraId="1BC27F86" w14:textId="7920CEB8" w:rsidR="00BF03AA" w:rsidRPr="00326E55" w:rsidRDefault="00FB452D">
            <w:pPr>
              <w:pStyle w:val="P68B1DB1-ListParagraph13"/>
              <w:numPr>
                <w:ilvl w:val="1"/>
                <w:numId w:val="36"/>
              </w:numPr>
              <w:spacing w:before="120" w:after="120" w:line="240" w:lineRule="auto"/>
              <w:ind w:left="360"/>
              <w:jc w:val="both"/>
              <w:rPr>
                <w:rFonts w:ascii="Times New Roman" w:hAnsi="Times New Roman"/>
                <w:noProof/>
                <w:spacing w:val="-6"/>
                <w:lang w:val="sk-SK"/>
              </w:rPr>
            </w:pPr>
            <w:r w:rsidRPr="00326E55">
              <w:rPr>
                <w:rFonts w:ascii="Times New Roman" w:hAnsi="Times New Roman"/>
                <w:noProof/>
                <w:spacing w:val="-6"/>
                <w:lang w:val="sk-SK"/>
              </w:rPr>
              <w:t>Zaviesť ako súčasť schvaľ</w:t>
            </w:r>
            <w:r w:rsidRPr="00326E55">
              <w:rPr>
                <w:rFonts w:ascii="Times New Roman" w:hAnsi="Times New Roman"/>
                <w:noProof/>
                <w:spacing w:val="-6"/>
                <w:lang w:val="sk-SK"/>
              </w:rPr>
              <w:t>ovacieho procesu Contratto di Programma stanovisko – podľa vnútroštátneho práva – regulačného orgánu (Autorità di regolazione dei trasporti, ART)</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strategickému dokumentu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mobilite (Documento strategico della mobilità ferroviaria di passeggeri e merci) (</w:t>
            </w:r>
            <w:r w:rsidRPr="00326E55">
              <w:rPr>
                <w:rFonts w:ascii="Times New Roman" w:hAnsi="Times New Roman"/>
                <w:noProof/>
                <w:spacing w:val="-6"/>
                <w:lang w:val="sk-SK"/>
              </w:rPr>
              <w:t>ako sa vymedzuje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talianskom zákone </w:t>
            </w:r>
            <w:r w:rsidR="00326E55" w:rsidRPr="00326E55">
              <w:rPr>
                <w:rFonts w:ascii="Times New Roman" w:hAnsi="Times New Roman"/>
                <w:noProof/>
                <w:spacing w:val="-6"/>
                <w:lang w:val="sk-SK"/>
              </w:rPr>
              <w:t>č. </w:t>
            </w:r>
            <w:r w:rsidRPr="00326E55">
              <w:rPr>
                <w:rFonts w:ascii="Times New Roman" w:hAnsi="Times New Roman"/>
                <w:noProof/>
                <w:spacing w:val="-6"/>
                <w:lang w:val="sk-SK"/>
              </w:rPr>
              <w:t>233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roku 2021 – článok 5 čiarka 1, lett. 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stanovisku sa posúdi aj súlad plánovaných investícií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potrebami trhu získanými prostredníctvom koordinačných mechanizmov uvedených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7e smernice 2012/34/EÚ.</w:t>
            </w:r>
          </w:p>
          <w:p w14:paraId="0FA2FE1E" w14:textId="39CE6A5D" w:rsidR="00BF03AA" w:rsidRPr="00326E55" w:rsidRDefault="00FB452D">
            <w:pPr>
              <w:pStyle w:val="P68B1DB1-ListParagraph13"/>
              <w:numPr>
                <w:ilvl w:val="1"/>
                <w:numId w:val="36"/>
              </w:numPr>
              <w:spacing w:before="120" w:after="120" w:line="240" w:lineRule="auto"/>
              <w:ind w:left="360"/>
              <w:jc w:val="both"/>
              <w:rPr>
                <w:rFonts w:ascii="Times New Roman" w:hAnsi="Times New Roman"/>
                <w:noProof/>
                <w:spacing w:val="-6"/>
                <w:lang w:val="sk-SK"/>
              </w:rPr>
            </w:pPr>
            <w:r w:rsidRPr="00326E55">
              <w:rPr>
                <w:rFonts w:ascii="Times New Roman" w:hAnsi="Times New Roman"/>
                <w:noProof/>
                <w:spacing w:val="-6"/>
                <w:lang w:val="sk-SK"/>
              </w:rPr>
              <w:t>Za</w:t>
            </w:r>
            <w:r w:rsidRPr="00326E55">
              <w:rPr>
                <w:rFonts w:ascii="Times New Roman" w:hAnsi="Times New Roman"/>
                <w:noProof/>
                <w:spacing w:val="-6"/>
                <w:lang w:val="sk-SK"/>
              </w:rPr>
              <w:t>viesť pre nový program Contratto di Program systém míľnikov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zodpovedajúcich lehôt, ako aj ukazovatele výkonnosti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kritériá kvality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implementovať program Contratto di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merať jeho účinné výsledky. Ukazovatele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kritériá kvality sa stano</w:t>
            </w:r>
            <w:r w:rsidRPr="00326E55">
              <w:rPr>
                <w:rFonts w:ascii="Times New Roman" w:hAnsi="Times New Roman"/>
                <w:noProof/>
                <w:spacing w:val="-6"/>
                <w:lang w:val="sk-SK"/>
              </w:rPr>
              <w:t>via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prílohou</w:t>
            </w:r>
            <w:r w:rsidR="00326E55" w:rsidRPr="00326E55">
              <w:rPr>
                <w:rFonts w:ascii="Times New Roman" w:hAnsi="Times New Roman"/>
                <w:noProof/>
                <w:spacing w:val="-6"/>
                <w:lang w:val="sk-SK"/>
              </w:rPr>
              <w:t xml:space="preserve"> V k </w:t>
            </w:r>
            <w:r w:rsidRPr="00326E55">
              <w:rPr>
                <w:rFonts w:ascii="Times New Roman" w:hAnsi="Times New Roman"/>
                <w:noProof/>
                <w:spacing w:val="-6"/>
                <w:lang w:val="sk-SK"/>
              </w:rPr>
              <w:t>smernici 2012/34/EÚ. Systém identifikácie bonusov pre manažérov spoločnosti Rete Ferroviaria Italiana (RFI) musí byť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článkom 7 ods. 4 smernice 2012/34/EÚ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musí zohľadňovať dosiahnutie míľnikov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výsledky dos</w:t>
            </w:r>
            <w:r w:rsidRPr="00326E55">
              <w:rPr>
                <w:rFonts w:ascii="Times New Roman" w:hAnsi="Times New Roman"/>
                <w:noProof/>
                <w:spacing w:val="-6"/>
                <w:lang w:val="sk-SK"/>
              </w:rPr>
              <w:t>iahnuté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ukazovateľmi výkonnosti zahrnutými do programu Contratto di.</w:t>
            </w:r>
          </w:p>
          <w:p w14:paraId="655055E4" w14:textId="4A1795A9" w:rsidR="00326E55" w:rsidRPr="00326E55" w:rsidRDefault="00FB452D">
            <w:pPr>
              <w:pStyle w:val="P68B1DB1-ListParagraph13"/>
              <w:numPr>
                <w:ilvl w:val="1"/>
                <w:numId w:val="36"/>
              </w:numPr>
              <w:spacing w:before="120" w:after="120" w:line="240" w:lineRule="auto"/>
              <w:ind w:left="360"/>
              <w:jc w:val="both"/>
              <w:rPr>
                <w:rFonts w:ascii="Times New Roman" w:hAnsi="Times New Roman"/>
                <w:noProof/>
                <w:spacing w:val="-6"/>
                <w:lang w:val="sk-SK"/>
              </w:rPr>
            </w:pPr>
            <w:r w:rsidRPr="00326E55">
              <w:rPr>
                <w:rFonts w:ascii="Times New Roman" w:hAnsi="Times New Roman"/>
                <w:noProof/>
                <w:spacing w:val="-6"/>
                <w:lang w:val="sk-SK"/>
              </w:rPr>
              <w:t>Splnomocniť regulačný orgán (ART), aby po dohode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ministerstvom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 určil ukazovatele výkonnosti, ktoré sa pripoja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programu Contratto di Programma</w:t>
            </w:r>
            <w:r w:rsidR="00326E55" w:rsidRPr="00326E55">
              <w:rPr>
                <w:rFonts w:ascii="Times New Roman" w:hAnsi="Times New Roman"/>
                <w:noProof/>
                <w:spacing w:val="-6"/>
                <w:lang w:val="sk-SK"/>
              </w:rPr>
              <w:t>.</w:t>
            </w:r>
          </w:p>
          <w:p w14:paraId="1ACA5D9F" w14:textId="77B483FC" w:rsidR="00BF03AA" w:rsidRPr="00326E55" w:rsidRDefault="00FB452D">
            <w:pPr>
              <w:pStyle w:val="P68B1DB1-ListParagraph13"/>
              <w:numPr>
                <w:ilvl w:val="1"/>
                <w:numId w:val="36"/>
              </w:numPr>
              <w:spacing w:before="120" w:after="120" w:line="240" w:lineRule="auto"/>
              <w:ind w:left="360"/>
              <w:jc w:val="both"/>
              <w:rPr>
                <w:rFonts w:ascii="Times New Roman" w:hAnsi="Times New Roman"/>
                <w:noProof/>
                <w:spacing w:val="-6"/>
                <w:lang w:val="sk-SK"/>
              </w:rPr>
            </w:pPr>
            <w:r w:rsidRPr="00326E55">
              <w:rPr>
                <w:rFonts w:ascii="Times New Roman" w:hAnsi="Times New Roman"/>
                <w:noProof/>
                <w:spacing w:val="-6"/>
                <w:lang w:val="sk-SK"/>
              </w:rPr>
              <w:t>Splnomocniť regulačný orgán (ART) na monitorovanie dosahovania míľnikov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plnenia ukazovateľov výkonnosti obsiahnutých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programe Contratto di</w:t>
            </w:r>
          </w:p>
          <w:p w14:paraId="3FB4541B" w14:textId="7CC0414D" w:rsidR="00326E55" w:rsidRPr="00326E55" w:rsidRDefault="00FB452D">
            <w:pPr>
              <w:pStyle w:val="P68B1DB1-ListParagraph13"/>
              <w:numPr>
                <w:ilvl w:val="1"/>
                <w:numId w:val="36"/>
              </w:numPr>
              <w:spacing w:before="120" w:after="120" w:line="240" w:lineRule="auto"/>
              <w:ind w:left="360"/>
              <w:jc w:val="both"/>
              <w:rPr>
                <w:rFonts w:ascii="Times New Roman" w:hAnsi="Times New Roman"/>
                <w:noProof/>
                <w:spacing w:val="-6"/>
                <w:lang w:val="sk-SK"/>
              </w:rPr>
            </w:pPr>
            <w:r w:rsidRPr="00326E55">
              <w:rPr>
                <w:rFonts w:ascii="Times New Roman" w:hAnsi="Times New Roman"/>
                <w:noProof/>
                <w:spacing w:val="-6"/>
                <w:lang w:val="sk-SK"/>
              </w:rPr>
              <w:t>Požadovať od ministerstva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 aby vykonalo hĺbkovú analýzu nákladov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prínosov veľ</w:t>
            </w:r>
            <w:r w:rsidRPr="00326E55">
              <w:rPr>
                <w:rFonts w:ascii="Times New Roman" w:hAnsi="Times New Roman"/>
                <w:noProof/>
                <w:spacing w:val="-6"/>
                <w:lang w:val="sk-SK"/>
              </w:rPr>
              <w:t>kých investícií (investície presahujúce 50 miliónov EUR) zahrnutých do programu Contratto di. Jednotkové náklady použité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analýze sa porovnávajú</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medzinárodnými referenčnými hodnotami pre rôzne kategórie investícií do infraštruktúry do železničnej infraš</w:t>
            </w:r>
            <w:r w:rsidRPr="00326E55">
              <w:rPr>
                <w:rFonts w:ascii="Times New Roman" w:hAnsi="Times New Roman"/>
                <w:noProof/>
                <w:spacing w:val="-6"/>
                <w:lang w:val="sk-SK"/>
              </w:rPr>
              <w:t>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usmerneniami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analýze nákladov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prínosov. Výsledky analýzy sú otvorené na konzultáciu so zainteresovanými stranami pred prijatím zmluvných dohôd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 ich prijatí sa uverejnia</w:t>
            </w:r>
            <w:r w:rsidR="00326E55" w:rsidRPr="00326E55">
              <w:rPr>
                <w:rFonts w:ascii="Times New Roman" w:hAnsi="Times New Roman"/>
                <w:noProof/>
                <w:spacing w:val="-6"/>
                <w:lang w:val="sk-SK"/>
              </w:rPr>
              <w:t>.</w:t>
            </w:r>
          </w:p>
          <w:p w14:paraId="36EDFA74" w14:textId="2C42FAB5" w:rsidR="00BF03AA" w:rsidRPr="00326E55" w:rsidRDefault="00FB452D">
            <w:pPr>
              <w:pStyle w:val="P68B1DB1-ListParagraph13"/>
              <w:numPr>
                <w:ilvl w:val="1"/>
                <w:numId w:val="36"/>
              </w:numPr>
              <w:spacing w:before="120" w:after="120" w:line="240" w:lineRule="auto"/>
              <w:ind w:left="360"/>
              <w:jc w:val="both"/>
              <w:rPr>
                <w:rFonts w:ascii="Times New Roman" w:hAnsi="Times New Roman"/>
                <w:noProof/>
                <w:spacing w:val="-6"/>
                <w:lang w:val="sk-SK"/>
              </w:rPr>
            </w:pPr>
            <w:r w:rsidRPr="00326E55">
              <w:rPr>
                <w:rFonts w:ascii="Times New Roman" w:hAnsi="Times New Roman"/>
                <w:noProof/>
                <w:spacing w:val="-6"/>
                <w:lang w:val="sk-SK"/>
              </w:rPr>
              <w:t xml:space="preserve">Zabezpečiť prijatie </w:t>
            </w:r>
            <w:r w:rsidRPr="00326E55">
              <w:rPr>
                <w:rFonts w:ascii="Times New Roman" w:hAnsi="Times New Roman"/>
                <w:noProof/>
                <w:spacing w:val="-6"/>
                <w:lang w:val="sk-SK"/>
              </w:rPr>
              <w:t xml:space="preserve">programu </w:t>
            </w:r>
            <w:r w:rsidRPr="00326E55">
              <w:rPr>
                <w:rFonts w:ascii="Times New Roman" w:hAnsi="Times New Roman"/>
                <w:i/>
                <w:noProof/>
                <w:spacing w:val="-6"/>
                <w:lang w:val="sk-SK"/>
              </w:rPr>
              <w:t>„Contratto di Programma“</w:t>
            </w:r>
            <w:r w:rsidRPr="00326E55">
              <w:rPr>
                <w:rFonts w:ascii="Times New Roman" w:hAnsi="Times New Roman"/>
                <w:noProof/>
                <w:spacing w:val="-6"/>
                <w:lang w:val="sk-SK"/>
              </w:rPr>
              <w:t xml:space="preserve"> (vrátane analýzy nákladov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prínosov, míľnikov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ukazovateľov výkonnosti).</w:t>
            </w:r>
          </w:p>
          <w:p w14:paraId="73832F8C" w14:textId="77777777"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u w:val="single"/>
                <w:lang w:val="sk-SK"/>
              </w:rPr>
              <w:t>Časť 2 – Hospodárska súťaž</w:t>
            </w:r>
            <w:r w:rsidR="00326E55" w:rsidRPr="00326E55">
              <w:rPr>
                <w:rFonts w:ascii="Times New Roman" w:hAnsi="Times New Roman"/>
                <w:noProof/>
                <w:spacing w:val="-6"/>
                <w:lang w:val="sk-SK"/>
              </w:rPr>
              <w:t>:</w:t>
            </w:r>
          </w:p>
          <w:p w14:paraId="46146923" w14:textId="6EC0E048"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Právnymi predpismi sa na podporu ambícií reformy posilnia právomoci regulačného orgánu,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službách vo verejnom záujme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železničnom sektore. Takéto právomoci musia byť prinajmenšom rovnocenné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právomocami vymedzenými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56 ods. 9 smernice 2012/34/EÚ. Článok je oprávnený monitorovať rozsah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zadávanie (pri priamom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internom zadávaní záka</w:t>
            </w:r>
            <w:r w:rsidRPr="00326E55">
              <w:rPr>
                <w:rFonts w:ascii="Times New Roman" w:hAnsi="Times New Roman"/>
                <w:noProof/>
                <w:spacing w:val="-6"/>
                <w:lang w:val="sk-SK"/>
              </w:rPr>
              <w:t>ziek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zadávaní zákaziek interným prevádzkovateľom)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službách vo verejnom záujme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železničnom sektore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vydávať</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nim stanoviská,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určenie optimálneho rozmeru efektívnych častí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regionálnych hraníc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medzi nimi</w:t>
            </w:r>
            <w:r w:rsidR="00326E55" w:rsidRPr="00326E55">
              <w:rPr>
                <w:rFonts w:ascii="Times New Roman" w:hAnsi="Times New Roman"/>
                <w:noProof/>
                <w:spacing w:val="-6"/>
                <w:lang w:val="sk-SK"/>
              </w:rPr>
              <w:t>.</w:t>
            </w:r>
          </w:p>
          <w:p w14:paraId="209E63F9" w14:textId="41E93E2E"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 xml:space="preserve">Právnymi </w:t>
            </w:r>
            <w:r w:rsidRPr="00326E55">
              <w:rPr>
                <w:rFonts w:ascii="Times New Roman" w:hAnsi="Times New Roman"/>
                <w:noProof/>
                <w:spacing w:val="-6"/>
                <w:lang w:val="sk-SK"/>
              </w:rPr>
              <w:t xml:space="preserve">predpismi sa rozširuje uplatňovanie článku 9 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118/2022 (zákon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hospodárskej súťaži) vrátane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regulačnými aktmi ART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článku 27 ods. 2 písm. c) zákonného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50</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24</w:t>
            </w:r>
            <w:r w:rsidR="00326E55" w:rsidRPr="00326E55">
              <w:rPr>
                <w:rFonts w:ascii="Times New Roman" w:hAnsi="Times New Roman"/>
                <w:noProof/>
                <w:spacing w:val="-6"/>
                <w:lang w:val="sk-SK"/>
              </w:rPr>
              <w:t>. apríla</w:t>
            </w:r>
            <w:r w:rsidRPr="00326E55">
              <w:rPr>
                <w:rFonts w:ascii="Times New Roman" w:hAnsi="Times New Roman"/>
                <w:noProof/>
                <w:spacing w:val="-6"/>
                <w:lang w:val="sk-SK"/>
              </w:rPr>
              <w:t xml:space="preserve"> 2017 na všetky priame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interné zadania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zadania interným</w:t>
            </w:r>
            <w:r w:rsidRPr="00326E55">
              <w:rPr>
                <w:rFonts w:ascii="Times New Roman" w:hAnsi="Times New Roman"/>
                <w:noProof/>
                <w:spacing w:val="-6"/>
                <w:lang w:val="sk-SK"/>
              </w:rPr>
              <w:t xml:space="preserve"> poskytovateľom podľa nariadenia 1370/2007.</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medzimestských služieb</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priameho alebo interného zadávania zákaziek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zadania interným poskytovateľom podľa nariadenia 1370/2007 sa právnymi predpismi rozširujú zásady uvedené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článkoch 17, 30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31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201/2022. Každé rozhodnutie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predĺžení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záväzkoch vyplývajúcich zo služieb vo verejnom záujme, ktoré je riadne odôvodnené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nariadením 1370/2007, podlieha zásadám povinností transparentnosti pri zadávaní zák</w:t>
            </w:r>
            <w:r w:rsidRPr="00326E55">
              <w:rPr>
                <w:rFonts w:ascii="Times New Roman" w:hAnsi="Times New Roman"/>
                <w:noProof/>
                <w:spacing w:val="-6"/>
                <w:lang w:val="sk-SK"/>
              </w:rPr>
              <w:t>aziek</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podniku uvedeným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článku 31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201/2022.</w:t>
            </w:r>
          </w:p>
          <w:p w14:paraId="776E093E" w14:textId="15977951"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V právnych predpisoch sa predpokladá začiatok verejnej súťaže na medzimestskú verejnú zákazku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službách vo verejnom záujme. Ponuka musí obsahovať nové vymedzenie jej </w:t>
            </w:r>
            <w:r w:rsidRPr="00326E55">
              <w:rPr>
                <w:rFonts w:ascii="Times New Roman" w:hAnsi="Times New Roman"/>
                <w:noProof/>
                <w:spacing w:val="-6"/>
                <w:lang w:val="sk-SK"/>
              </w:rPr>
              <w:t>rozsahu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metodikou, ktorú stanovil železničný regulačný orgán na základe testu trhu, ako sa vysvetľuje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oddiele 2.2.3 výkladových usmernení Komisie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nariadeniu </w:t>
            </w:r>
            <w:r w:rsidR="00326E55" w:rsidRPr="00326E55">
              <w:rPr>
                <w:rFonts w:ascii="Times New Roman" w:hAnsi="Times New Roman"/>
                <w:noProof/>
                <w:spacing w:val="-6"/>
                <w:lang w:val="sk-SK"/>
              </w:rPr>
              <w:t>č. </w:t>
            </w:r>
            <w:r w:rsidRPr="00326E55">
              <w:rPr>
                <w:rFonts w:ascii="Times New Roman" w:hAnsi="Times New Roman"/>
                <w:noProof/>
                <w:spacing w:val="-6"/>
                <w:lang w:val="sk-SK"/>
              </w:rPr>
              <w:t>1370/20073. Zmluva sa rozdelí na vhodné súťažné časti, ak sa to považuje za vhodn</w:t>
            </w:r>
            <w:r w:rsidRPr="00326E55">
              <w:rPr>
                <w:rFonts w:ascii="Times New Roman" w:hAnsi="Times New Roman"/>
                <w:noProof/>
                <w:spacing w:val="-6"/>
                <w:lang w:val="sk-SK"/>
              </w:rPr>
              <w:t>é na základe príslušných kritérií uvedených regulačným orgánom (ART).</w:t>
            </w:r>
          </w:p>
          <w:p w14:paraId="11A7818B" w14:textId="5D335536"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V prípade regionálnych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medzimestských služieb sa právnymi predpismi zabezpečí, aby železničné koľajové vozidlá štátneho/regionálneho majetku boli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dispozícii prichádzajúcim prevádzkov</w:t>
            </w:r>
            <w:r w:rsidRPr="00326E55">
              <w:rPr>
                <w:rFonts w:ascii="Times New Roman" w:hAnsi="Times New Roman"/>
                <w:noProof/>
                <w:spacing w:val="-6"/>
                <w:lang w:val="sk-SK"/>
              </w:rPr>
              <w:t>ateľom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záväzkoch vyplývajúcich zo služieb vo verejnom záujme vybraným na základe verejných súťaží vždy, keď prichádzajúci prevádzkovatelia takéto železničné koľajové vozidlá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služby údržby neposkytujú. Právne predpisy zabezpečia, aby boli všetky i</w:t>
            </w:r>
            <w:r w:rsidRPr="00326E55">
              <w:rPr>
                <w:rFonts w:ascii="Times New Roman" w:hAnsi="Times New Roman"/>
                <w:noProof/>
                <w:spacing w:val="-6"/>
                <w:lang w:val="sk-SK"/>
              </w:rPr>
              <w:t>nformácie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stave údržby železničných koľajových vozidiel dostupné potenciálnym uchádzačom bez asymetrie informácií za transparentných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nediskriminačných podmienok. Právne predpisy podporujú vyňatie čiastkových šarží</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existujúcich zmlúv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ich verejnú súť</w:t>
            </w:r>
            <w:r w:rsidRPr="00326E55">
              <w:rPr>
                <w:rFonts w:ascii="Times New Roman" w:hAnsi="Times New Roman"/>
                <w:noProof/>
                <w:spacing w:val="-6"/>
                <w:lang w:val="sk-SK"/>
              </w:rPr>
              <w:t>až (v čo najväčšej možnej miere na základe existujúcich ustanovení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prebiehajúcich zmluvách)</w:t>
            </w:r>
            <w:r w:rsidR="00326E55" w:rsidRPr="00326E55">
              <w:rPr>
                <w:rFonts w:ascii="Times New Roman" w:hAnsi="Times New Roman"/>
                <w:noProof/>
                <w:spacing w:val="-6"/>
                <w:lang w:val="sk-SK"/>
              </w:rPr>
              <w:t>.</w:t>
            </w:r>
          </w:p>
          <w:p w14:paraId="774B06B7" w14:textId="21BBFC4E"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Reforma okrem toho pozostáva aj</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opatrení na budovanie kapacít, ktorými sa posilňujú administratívne kapacity vnútroštátnych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regionálnych orgánov. Akciou na </w:t>
            </w:r>
            <w:r w:rsidRPr="00326E55">
              <w:rPr>
                <w:rFonts w:ascii="Times New Roman" w:hAnsi="Times New Roman"/>
                <w:noProof/>
                <w:spacing w:val="-6"/>
                <w:lang w:val="sk-SK"/>
              </w:rPr>
              <w:t>budovanie kapacít sa zriadi ad hoc administratívna jednotka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ministerstva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podporiť hodnotenie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analýzu koncesií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vykonať analýzu nákladov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prínosov veľkých investícií do infraštruktúry. Táto administratívna jedno</w:t>
            </w:r>
            <w:r w:rsidRPr="00326E55">
              <w:rPr>
                <w:rFonts w:ascii="Times New Roman" w:hAnsi="Times New Roman"/>
                <w:noProof/>
                <w:spacing w:val="-6"/>
                <w:lang w:val="sk-SK"/>
              </w:rPr>
              <w:t>tka má vysoko odborný personál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je podporovaná externými nezávislými expertmi. Okrem toho činnosti zamerané na budovanie kapacít zahŕňajú sériu kurzov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spolupráci so SNA</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akreditovanými orgánmi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zvýšiť úroveň špecializovanej odbornej prípravy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sektorovej odbornej prípravy zamestnancov zmluvných staníc, ktoré sa opierajú aj</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nástroje odbornej prípravy zavedené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reformy verejnej správy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(napr. syllabus.gov.it).</w:t>
            </w:r>
          </w:p>
          <w:p w14:paraId="144D90DF"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Splnenie míľnika si vyžaduje aj:</w:t>
            </w:r>
          </w:p>
          <w:p w14:paraId="7EBB6E2F" w14:textId="5B5ED03C" w:rsidR="00BF03AA" w:rsidRPr="00326E55" w:rsidRDefault="00FB452D">
            <w:pPr>
              <w:pStyle w:val="P68B1DB1-ListParagraph15"/>
              <w:numPr>
                <w:ilvl w:val="0"/>
                <w:numId w:val="86"/>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Začatie činnosti bud</w:t>
            </w:r>
            <w:r w:rsidRPr="00326E55">
              <w:rPr>
                <w:rFonts w:ascii="Times New Roman" w:hAnsi="Times New Roman"/>
                <w:noProof/>
                <w:spacing w:val="-6"/>
                <w:lang w:val="sk-SK"/>
              </w:rPr>
              <w:t>ovania kapacít pre vnútroštátne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regionálne orgány, ako sa vyžaduje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opise opatrenia.</w:t>
            </w:r>
          </w:p>
          <w:p w14:paraId="777F0399" w14:textId="18BA941A" w:rsidR="00BF03AA" w:rsidRPr="00326E55" w:rsidRDefault="00FB452D">
            <w:pPr>
              <w:pStyle w:val="P68B1DB1-ListParagraph13"/>
              <w:numPr>
                <w:ilvl w:val="0"/>
                <w:numId w:val="86"/>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Uverejnenie medzimestskej ponuky (ponúk)</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databáze verejného obstarávania Komisie TED.</w:t>
            </w:r>
          </w:p>
          <w:p w14:paraId="5EB9EE9B" w14:textId="77777777" w:rsidR="00BF03AA" w:rsidRPr="00326E55" w:rsidRDefault="00BF03AA">
            <w:pPr>
              <w:pStyle w:val="ListParagraph"/>
              <w:spacing w:before="120" w:after="120" w:line="240" w:lineRule="auto"/>
              <w:ind w:left="360"/>
              <w:jc w:val="both"/>
              <w:rPr>
                <w:rFonts w:ascii="Times New Roman" w:hAnsi="Times New Roman"/>
                <w:noProof/>
                <w:color w:val="006100"/>
                <w:spacing w:val="-6"/>
                <w:sz w:val="20"/>
                <w:szCs w:val="20"/>
                <w:lang w:val="sk-SK"/>
              </w:rPr>
            </w:pPr>
          </w:p>
          <w:p w14:paraId="673431D5" w14:textId="77777777" w:rsidR="00326E55" w:rsidRPr="00326E55" w:rsidRDefault="00FB452D">
            <w:pPr>
              <w:pStyle w:val="P68B1DB1-Normal84"/>
              <w:spacing w:line="257" w:lineRule="auto"/>
              <w:jc w:val="both"/>
              <w:rPr>
                <w:rFonts w:ascii="Times New Roman" w:hAnsi="Times New Roman"/>
                <w:noProof/>
                <w:spacing w:val="-6"/>
                <w:lang w:val="sk-SK"/>
              </w:rPr>
            </w:pPr>
            <w:r w:rsidRPr="00326E55">
              <w:rPr>
                <w:rFonts w:ascii="Times New Roman" w:hAnsi="Times New Roman"/>
                <w:noProof/>
                <w:spacing w:val="-6"/>
                <w:u w:val="single"/>
                <w:lang w:val="sk-SK"/>
              </w:rPr>
              <w:t>Časť 3 – ROSCO (železničná spoločnosť)</w:t>
            </w:r>
          </w:p>
          <w:p w14:paraId="08FA23EE" w14:textId="5187F0F8" w:rsidR="00BF03AA" w:rsidRPr="00326E55" w:rsidRDefault="00FB452D">
            <w:pPr>
              <w:pStyle w:val="P68B1DB1-Normal84"/>
              <w:spacing w:line="257" w:lineRule="auto"/>
              <w:jc w:val="both"/>
              <w:rPr>
                <w:rFonts w:ascii="Times New Roman" w:hAnsi="Times New Roman"/>
                <w:noProof/>
                <w:spacing w:val="-6"/>
                <w:lang w:val="sk-SK"/>
              </w:rPr>
            </w:pPr>
            <w:r w:rsidRPr="00326E55">
              <w:rPr>
                <w:rFonts w:ascii="Times New Roman" w:hAnsi="Times New Roman"/>
                <w:noProof/>
                <w:spacing w:val="-6"/>
                <w:lang w:val="sk-SK"/>
              </w:rPr>
              <w:t>Právnymi predpismi sa zriadi nový trvalý</w:t>
            </w:r>
            <w:r w:rsidRPr="00326E55">
              <w:rPr>
                <w:rFonts w:ascii="Times New Roman" w:hAnsi="Times New Roman"/>
                <w:noProof/>
                <w:spacing w:val="-6"/>
                <w:lang w:val="sk-SK"/>
              </w:rPr>
              <w:t xml:space="preserve"> subjekt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úplnom vlastníctve štátu (Rolling Stock Company – ROSCO) vo forme akciovej spoločnosti (società per azioni).</w:t>
            </w:r>
          </w:p>
          <w:p w14:paraId="7F410965" w14:textId="77777777" w:rsidR="00BF03AA" w:rsidRPr="00326E55" w:rsidRDefault="00BF03AA">
            <w:pPr>
              <w:spacing w:line="257" w:lineRule="auto"/>
              <w:jc w:val="both"/>
              <w:rPr>
                <w:rFonts w:ascii="Times New Roman" w:eastAsia="Arial Narrow" w:hAnsi="Times New Roman" w:cs="Arial Narrow"/>
                <w:noProof/>
                <w:color w:val="006100"/>
                <w:spacing w:val="-6"/>
                <w:sz w:val="20"/>
                <w:szCs w:val="20"/>
                <w:lang w:val="sk-SK"/>
              </w:rPr>
            </w:pPr>
          </w:p>
          <w:p w14:paraId="7D1260C6" w14:textId="4EA1529B" w:rsidR="00BF03AA" w:rsidRPr="00326E55" w:rsidRDefault="00FB452D">
            <w:pPr>
              <w:pStyle w:val="P68B1DB1-Normal84"/>
              <w:spacing w:line="257" w:lineRule="auto"/>
              <w:jc w:val="both"/>
              <w:rPr>
                <w:rFonts w:ascii="Times New Roman" w:hAnsi="Times New Roman"/>
                <w:noProof/>
                <w:spacing w:val="-6"/>
                <w:lang w:val="sk-SK"/>
              </w:rPr>
            </w:pPr>
            <w:r w:rsidRPr="00326E55">
              <w:rPr>
                <w:rFonts w:ascii="Times New Roman" w:hAnsi="Times New Roman"/>
                <w:noProof/>
                <w:spacing w:val="-6"/>
                <w:lang w:val="sk-SK"/>
              </w:rPr>
              <w:t>V právnych predpisoch sa jasne stanoví poslanie, mandát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právomoci takejto spoločnosti, ktorými sa zabezpečí, aby železničné koľajové </w:t>
            </w:r>
            <w:r w:rsidRPr="00326E55">
              <w:rPr>
                <w:rFonts w:ascii="Times New Roman" w:hAnsi="Times New Roman"/>
                <w:noProof/>
                <w:spacing w:val="-6"/>
                <w:lang w:val="sk-SK"/>
              </w:rPr>
              <w:t>vozidlá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služby údržby boli dostupné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dostatočnom objeme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 spravodlivých rovnakých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nediskriminačných podmienok pre prichádzajúcich prevádzkovateľov záväzkov vyplývajúcich zo služieb vo verejnom záujme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zvýšiť hospodársku súťaž</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verejn</w:t>
            </w:r>
            <w:r w:rsidRPr="00326E55">
              <w:rPr>
                <w:rFonts w:ascii="Times New Roman" w:hAnsi="Times New Roman"/>
                <w:noProof/>
                <w:spacing w:val="-6"/>
                <w:lang w:val="sk-SK"/>
              </w:rPr>
              <w:t>ých súťaží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súťažeschopnosť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poskytovaní služieb.</w:t>
            </w:r>
          </w:p>
          <w:p w14:paraId="45177A26" w14:textId="0BD640C3" w:rsidR="00BF03AA" w:rsidRPr="00326E55" w:rsidRDefault="00FB452D">
            <w:pPr>
              <w:pStyle w:val="P68B1DB1-Normal84"/>
              <w:spacing w:line="257" w:lineRule="auto"/>
              <w:jc w:val="both"/>
              <w:rPr>
                <w:rFonts w:ascii="Times New Roman" w:hAnsi="Times New Roman"/>
                <w:noProof/>
                <w:spacing w:val="-6"/>
                <w:lang w:val="sk-SK"/>
              </w:rPr>
            </w:pPr>
            <w:r w:rsidRPr="00326E55">
              <w:rPr>
                <w:rFonts w:ascii="Times New Roman" w:hAnsi="Times New Roman"/>
                <w:noProof/>
                <w:spacing w:val="-6"/>
                <w:lang w:val="sk-SK"/>
              </w:rPr>
              <w:t>Právne predpisy stanovia, že počiatočné imanie takejto spoločnosti sa rovná 1 000 000 EUR. Právne predpisy tiež povolia takejto spoločnosti zriadiť účelový fond („Patrimonio destinato“) na nákup nov</w:t>
            </w:r>
            <w:r w:rsidRPr="00326E55">
              <w:rPr>
                <w:rFonts w:ascii="Times New Roman" w:hAnsi="Times New Roman"/>
                <w:noProof/>
                <w:spacing w:val="-6"/>
                <w:lang w:val="sk-SK"/>
              </w:rPr>
              <w:t>ých železničných koľajových vozidiel pre regionálnu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medzimestskú službu za počiatočnú trhovú hodnotu rovnajúcu sa najmenej 1 168 000 000 EUR. Takýto účelovo vytvorený fond je samostatný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oddelený pre všetky zámery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účely od aktív spoločnosti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 ostat</w:t>
            </w:r>
            <w:r w:rsidRPr="00326E55">
              <w:rPr>
                <w:rFonts w:ascii="Times New Roman" w:hAnsi="Times New Roman"/>
                <w:noProof/>
                <w:spacing w:val="-6"/>
                <w:lang w:val="sk-SK"/>
              </w:rPr>
              <w:t>ných oddelených aktív zriadených tým istým fondom. Veritelia spoločnosti alebo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ich záujme nemôžu podať žalobu proti fondu na osobitné účely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podobne veritelia fondu na osobitné účely ani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ich záujme nemôžu podať žalobu proti majetku spoločnosti. Právne</w:t>
            </w:r>
            <w:r w:rsidRPr="00326E55">
              <w:rPr>
                <w:rFonts w:ascii="Times New Roman" w:hAnsi="Times New Roman"/>
                <w:noProof/>
                <w:spacing w:val="-6"/>
                <w:lang w:val="sk-SK"/>
              </w:rPr>
              <w:t xml:space="preserve"> predpisy tiež povoľujú spoločnosti previesť do fondu na osobitné účely akékoľvek vlaky vo vlastníctve štátu, ktoré má spoločnosť nadobudnúť, vrátane všetkých medzimestských vlakov obstaraných prostredníctvom cieľov M2C2 – 35a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M7 – 31.</w:t>
            </w:r>
          </w:p>
          <w:p w14:paraId="30B5E523" w14:textId="68950AF6" w:rsidR="00BF03AA" w:rsidRPr="00326E55" w:rsidRDefault="00FB452D">
            <w:pPr>
              <w:pStyle w:val="P68B1DB1-Normal84"/>
              <w:rPr>
                <w:rFonts w:ascii="Times New Roman" w:hAnsi="Times New Roman"/>
                <w:noProof/>
                <w:spacing w:val="-6"/>
                <w:lang w:val="sk-SK"/>
              </w:rPr>
            </w:pPr>
            <w:r w:rsidRPr="00326E55">
              <w:rPr>
                <w:rFonts w:ascii="Times New Roman" w:hAnsi="Times New Roman"/>
                <w:noProof/>
                <w:spacing w:val="-6"/>
                <w:lang w:val="sk-SK"/>
              </w:rPr>
              <w:t xml:space="preserve">V právnych </w:t>
            </w:r>
            <w:r w:rsidRPr="00326E55">
              <w:rPr>
                <w:rFonts w:ascii="Times New Roman" w:hAnsi="Times New Roman"/>
                <w:noProof/>
                <w:spacing w:val="-6"/>
                <w:lang w:val="sk-SK"/>
              </w:rPr>
              <w:t>predpisoch sa stanoví, že spoločnosť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čase svojho založenia nepreberá žiadne už existujúce dlhy alebo záväzky iných štátom vlastnených podnikov. 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právnych predpisoch stanovuje, že zverejnenie sa uskutoční namiesto všetkých právnych požiadavie</w:t>
            </w:r>
            <w:r w:rsidRPr="00326E55">
              <w:rPr>
                <w:rFonts w:ascii="Times New Roman" w:hAnsi="Times New Roman"/>
                <w:noProof/>
                <w:spacing w:val="-6"/>
                <w:lang w:val="sk-SK"/>
              </w:rPr>
              <w:t>k na založenie spoločnosti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že od toho istého dátumu je spoločnosť zodpovedná za svoje záväzky vlastnými aktívami.</w:t>
            </w:r>
          </w:p>
        </w:tc>
      </w:tr>
      <w:tr w:rsidR="00BF03AA" w:rsidRPr="00326E55" w14:paraId="45C49559"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DEC17F" w14:textId="1BD0A8EB"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M3C1 – 27</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B1CC1A" w14:textId="56B8E7BA"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Reforma 1.3 – Podpora efektívnosti železničnej infraštruktúry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FC64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77567" w14:textId="67932051"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Finančný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podnikateľský plán pre ROSCO, štatút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prevod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aktív.</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7FCCCD" w14:textId="3CAE66E9"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Poskytovanie finančného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podnikateľského plánu, uverejnenie štatútu,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aktív </w:t>
            </w:r>
          </w:p>
        </w:tc>
        <w:tc>
          <w:tcPr>
            <w:tcW w:w="966" w:type="dxa"/>
            <w:tcBorders>
              <w:top w:val="single" w:sz="4" w:space="0" w:color="auto"/>
              <w:left w:val="single" w:sz="4" w:space="0" w:color="auto"/>
              <w:bottom w:val="single" w:sz="4" w:space="0" w:color="auto"/>
              <w:right w:val="single" w:sz="4" w:space="0" w:color="auto"/>
            </w:tcBorders>
            <w:shd w:val="clear" w:color="auto" w:fill="C6EFCE"/>
            <w:noWrap/>
          </w:tcPr>
          <w:p w14:paraId="09E0D34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01" w:type="dxa"/>
            <w:tcBorders>
              <w:top w:val="single" w:sz="4" w:space="0" w:color="auto"/>
              <w:left w:val="single" w:sz="4" w:space="0" w:color="auto"/>
              <w:bottom w:val="single" w:sz="4" w:space="0" w:color="auto"/>
              <w:right w:val="single" w:sz="4" w:space="0" w:color="auto"/>
            </w:tcBorders>
            <w:shd w:val="clear" w:color="auto" w:fill="C6EFCE"/>
            <w:noWrap/>
          </w:tcPr>
          <w:p w14:paraId="111524F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32" w:type="dxa"/>
            <w:tcBorders>
              <w:top w:val="single" w:sz="4" w:space="0" w:color="auto"/>
              <w:left w:val="single" w:sz="4" w:space="0" w:color="auto"/>
              <w:bottom w:val="single" w:sz="4" w:space="0" w:color="auto"/>
              <w:right w:val="single" w:sz="4" w:space="0" w:color="auto"/>
            </w:tcBorders>
            <w:shd w:val="clear" w:color="auto" w:fill="C6EFCE"/>
            <w:noWrap/>
          </w:tcPr>
          <w:p w14:paraId="733865C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A5972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38F0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tcPr>
          <w:p w14:paraId="39B1CDD0" w14:textId="3C63F0FA" w:rsidR="00BF03AA" w:rsidRPr="00326E55" w:rsidRDefault="00FB452D">
            <w:pPr>
              <w:pStyle w:val="P68B1DB1-Normal85"/>
              <w:spacing w:line="240" w:lineRule="auto"/>
              <w:jc w:val="both"/>
              <w:rPr>
                <w:rFonts w:ascii="Times New Roman" w:hAnsi="Times New Roman"/>
                <w:noProof/>
                <w:color w:val="196B24" w:themeColor="accent3"/>
                <w:spacing w:val="-6"/>
                <w:lang w:val="sk-SK"/>
              </w:rPr>
            </w:pPr>
            <w:r w:rsidRPr="00326E55">
              <w:rPr>
                <w:rFonts w:ascii="Times New Roman" w:hAnsi="Times New Roman"/>
                <w:noProof/>
                <w:color w:val="006100"/>
                <w:spacing w:val="-6"/>
                <w:lang w:val="sk-SK"/>
              </w:rPr>
              <w:t>Uverejnenie</w:t>
            </w:r>
            <w:r w:rsidR="00326E55" w:rsidRPr="00326E55">
              <w:rPr>
                <w:rFonts w:ascii="Times New Roman" w:hAnsi="Times New Roman"/>
                <w:noProof/>
                <w:color w:val="006100"/>
                <w:spacing w:val="-6"/>
                <w:lang w:val="sk-SK"/>
              </w:rPr>
              <w:t xml:space="preserve"> a </w:t>
            </w:r>
            <w:r w:rsidRPr="00326E55">
              <w:rPr>
                <w:rFonts w:ascii="Times New Roman" w:hAnsi="Times New Roman"/>
                <w:noProof/>
                <w:color w:val="006100"/>
                <w:spacing w:val="-6"/>
                <w:lang w:val="sk-SK"/>
              </w:rPr>
              <w:t>schválenie</w:t>
            </w:r>
            <w:r w:rsidRPr="00326E55">
              <w:rPr>
                <w:rFonts w:ascii="Times New Roman" w:hAnsi="Times New Roman"/>
                <w:noProof/>
                <w:color w:val="196B24" w:themeColor="accent3"/>
                <w:spacing w:val="-6"/>
                <w:lang w:val="sk-SK"/>
              </w:rPr>
              <w:t>článku</w:t>
            </w:r>
            <w:r w:rsidR="00326E55" w:rsidRPr="00326E55">
              <w:rPr>
                <w:rFonts w:ascii="Times New Roman" w:hAnsi="Times New Roman"/>
                <w:noProof/>
                <w:color w:val="196B24" w:themeColor="accent3"/>
                <w:spacing w:val="-6"/>
                <w:lang w:val="sk-SK"/>
              </w:rPr>
              <w:t xml:space="preserve"> o </w:t>
            </w:r>
            <w:r w:rsidRPr="00326E55">
              <w:rPr>
                <w:rFonts w:ascii="Times New Roman" w:hAnsi="Times New Roman"/>
                <w:noProof/>
                <w:color w:val="196B24" w:themeColor="accent3"/>
                <w:spacing w:val="-6"/>
                <w:lang w:val="sk-SK"/>
              </w:rPr>
              <w:t>založení</w:t>
            </w:r>
            <w:r w:rsidR="00326E55" w:rsidRPr="00326E55">
              <w:rPr>
                <w:rFonts w:ascii="Times New Roman" w:hAnsi="Times New Roman"/>
                <w:noProof/>
                <w:color w:val="196B24" w:themeColor="accent3"/>
                <w:spacing w:val="-6"/>
                <w:lang w:val="sk-SK"/>
              </w:rPr>
              <w:t xml:space="preserve"> a </w:t>
            </w:r>
            <w:r w:rsidRPr="00326E55">
              <w:rPr>
                <w:rFonts w:ascii="Times New Roman" w:hAnsi="Times New Roman"/>
                <w:noProof/>
                <w:color w:val="196B24" w:themeColor="accent3"/>
                <w:spacing w:val="-6"/>
                <w:lang w:val="sk-SK"/>
              </w:rPr>
              <w:t>podnikovej charty (štatútu)</w:t>
            </w:r>
            <w:r w:rsidRPr="00326E55">
              <w:rPr>
                <w:rFonts w:ascii="Times New Roman" w:hAnsi="Times New Roman"/>
                <w:noProof/>
                <w:color w:val="196B24" w:themeColor="accent3"/>
                <w:spacing w:val="-6"/>
                <w:lang w:val="sk-SK"/>
              </w:rPr>
              <w:t xml:space="preserve"> ROSCO ministerstvom infraštruktúry</w:t>
            </w:r>
            <w:r w:rsidR="00326E55" w:rsidRPr="00326E55">
              <w:rPr>
                <w:rFonts w:ascii="Times New Roman" w:hAnsi="Times New Roman"/>
                <w:noProof/>
                <w:color w:val="196B24" w:themeColor="accent3"/>
                <w:spacing w:val="-6"/>
                <w:lang w:val="sk-SK"/>
              </w:rPr>
              <w:t xml:space="preserve"> a </w:t>
            </w:r>
            <w:r w:rsidRPr="00326E55">
              <w:rPr>
                <w:rFonts w:ascii="Times New Roman" w:hAnsi="Times New Roman"/>
                <w:noProof/>
                <w:color w:val="196B24" w:themeColor="accent3"/>
                <w:spacing w:val="-6"/>
                <w:lang w:val="sk-SK"/>
              </w:rPr>
              <w:t>dopravy,</w:t>
            </w:r>
            <w:r w:rsidR="00326E55" w:rsidRPr="00326E55">
              <w:rPr>
                <w:rFonts w:ascii="Times New Roman" w:hAnsi="Times New Roman"/>
                <w:noProof/>
                <w:color w:val="196B24" w:themeColor="accent3"/>
                <w:spacing w:val="-6"/>
                <w:lang w:val="sk-SK"/>
              </w:rPr>
              <w:t xml:space="preserve"> v </w:t>
            </w:r>
            <w:r w:rsidRPr="00326E55">
              <w:rPr>
                <w:rFonts w:ascii="Times New Roman" w:hAnsi="Times New Roman"/>
                <w:noProof/>
                <w:color w:val="196B24" w:themeColor="accent3"/>
                <w:spacing w:val="-6"/>
                <w:lang w:val="sk-SK"/>
              </w:rPr>
              <w:t>ktorej sa uvádza:</w:t>
            </w:r>
          </w:p>
          <w:p w14:paraId="75318418" w14:textId="074C6E8E" w:rsidR="00BF03AA" w:rsidRPr="00326E55" w:rsidRDefault="00FB452D">
            <w:pPr>
              <w:pStyle w:val="P68B1DB1-ListParagraph86"/>
              <w:numPr>
                <w:ilvl w:val="0"/>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presný rozsah činností spoločnosti vrátane toho, že pôsobí výlučne ako subjekt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mene ústrednej štátnej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miestnych orgánov (t. j. orgánov verejnej dopravy)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službác</w:t>
            </w:r>
            <w:r w:rsidRPr="00326E55">
              <w:rPr>
                <w:rFonts w:ascii="Times New Roman" w:hAnsi="Times New Roman"/>
                <w:noProof/>
                <w:spacing w:val="-6"/>
                <w:lang w:val="sk-SK"/>
              </w:rPr>
              <w:t>h vo verejnom záujme na trhu železničnej dopravy (regionálna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medzimestská služba),</w:t>
            </w:r>
          </w:p>
          <w:p w14:paraId="07A57D44" w14:textId="3B4F2B15" w:rsidR="00BF03AA" w:rsidRPr="00326E55" w:rsidRDefault="00FB452D">
            <w:pPr>
              <w:pStyle w:val="P68B1DB1-ListParagraph86"/>
              <w:numPr>
                <w:ilvl w:val="0"/>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že spoločnosť poskytne železničné koľajové vozidlá len ústrednej štátnej správe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miestnym orgánom (t. j. orgánom verejnej dopravy), ktoré otvárajú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službách vo ve</w:t>
            </w:r>
            <w:r w:rsidRPr="00326E55">
              <w:rPr>
                <w:rFonts w:ascii="Times New Roman" w:hAnsi="Times New Roman"/>
                <w:noProof/>
                <w:spacing w:val="-6"/>
                <w:lang w:val="sk-SK"/>
              </w:rPr>
              <w:t>rejnom záujme hospodárskej súťaži,</w:t>
            </w:r>
          </w:p>
          <w:p w14:paraId="72C34695" w14:textId="2E888C97" w:rsidR="00BF03AA" w:rsidRPr="00326E55" w:rsidRDefault="00FB452D">
            <w:pPr>
              <w:pStyle w:val="P68B1DB1-ListParagraph86"/>
              <w:numPr>
                <w:ilvl w:val="0"/>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že oprávnené železničné koľajové vozidlá, ktoré má obstarávať spoločnosť, musia mať nulové emisie prostredníctvom intervenčného poľa 72a prílohy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musia byť zluči</w:t>
            </w:r>
            <w:r w:rsidRPr="00326E55">
              <w:rPr>
                <w:rFonts w:ascii="Times New Roman" w:hAnsi="Times New Roman"/>
                <w:noProof/>
                <w:spacing w:val="-6"/>
                <w:lang w:val="sk-SK"/>
              </w:rPr>
              <w:t>teľné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normami ERTMS,</w:t>
            </w:r>
          </w:p>
          <w:p w14:paraId="4877BAC3" w14:textId="41CECE4A" w:rsidR="00BF03AA" w:rsidRPr="00326E55" w:rsidRDefault="00FB452D">
            <w:pPr>
              <w:pStyle w:val="P68B1DB1-ListParagraph86"/>
              <w:numPr>
                <w:ilvl w:val="0"/>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že aspoň 90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príjmov spoločnosti sa bude generovať prostredníctvom železničných koľajových vozidiel zlučiteľných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intervenčnou oblasťou 72a prílohy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3444B5C3" w14:textId="7670CD3D" w:rsidR="00BF03AA" w:rsidRPr="00326E55" w:rsidRDefault="00FB452D">
            <w:pPr>
              <w:pStyle w:val="P68B1DB1-ListParagraph86"/>
              <w:numPr>
                <w:ilvl w:val="0"/>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členovia predstavenstva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štatutárnych orgánov spoločnosti:</w:t>
            </w:r>
          </w:p>
          <w:p w14:paraId="4AFDDB65" w14:textId="74A9E7A1" w:rsidR="00BF03AA" w:rsidRPr="00326E55" w:rsidRDefault="00FB452D">
            <w:pPr>
              <w:pStyle w:val="P68B1DB1-ListParagraph86"/>
              <w:numPr>
                <w:ilvl w:val="1"/>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byť vybraní spomedzi jednotlivcov, ktorí spĺňajú požiadavky bezúhonnosti, profesionality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nezávislosti stanovené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ustanoveniach uplatniteľných na kótované spoločnosti;</w:t>
            </w:r>
          </w:p>
          <w:p w14:paraId="07D69E91" w14:textId="2B587579" w:rsidR="00BF03AA" w:rsidRPr="00326E55" w:rsidRDefault="00FB452D">
            <w:pPr>
              <w:pStyle w:val="P68B1DB1-ListParagraph86"/>
              <w:numPr>
                <w:ilvl w:val="1"/>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mať potrebnú právomoc, kompetencie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objektivitu </w:t>
            </w:r>
            <w:r w:rsidRPr="00326E55">
              <w:rPr>
                <w:rFonts w:ascii="Times New Roman" w:hAnsi="Times New Roman"/>
                <w:noProof/>
                <w:spacing w:val="-6"/>
                <w:lang w:val="sk-SK"/>
              </w:rPr>
              <w:t>na vykonávanie svojich funkcií strategického usmerňovania, dohľadu nad riadením rizík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monitorovania riadenia,</w:t>
            </w:r>
          </w:p>
          <w:p w14:paraId="4F8DD13B" w14:textId="2C368151" w:rsidR="00BF03AA" w:rsidRPr="00326E55" w:rsidRDefault="00FB452D">
            <w:pPr>
              <w:pStyle w:val="P68B1DB1-ListParagraph86"/>
              <w:numPr>
                <w:ilvl w:val="1"/>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konať</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integritou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podporovať jej integritu,</w:t>
            </w:r>
          </w:p>
          <w:p w14:paraId="0EA092E3" w14:textId="77777777" w:rsidR="00BF03AA" w:rsidRPr="00326E55" w:rsidRDefault="00FB452D">
            <w:pPr>
              <w:pStyle w:val="P68B1DB1-ListParagraph86"/>
              <w:numPr>
                <w:ilvl w:val="1"/>
                <w:numId w:val="8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byť braní na zodpovednosť za svoje konanie.</w:t>
            </w:r>
          </w:p>
          <w:p w14:paraId="412FC8C2" w14:textId="77777777" w:rsidR="00BF03AA" w:rsidRPr="00326E55" w:rsidRDefault="00FB452D">
            <w:pPr>
              <w:pStyle w:val="P68B1DB1-Normal87"/>
              <w:spacing w:after="0" w:line="240" w:lineRule="auto"/>
              <w:ind w:right="57"/>
              <w:jc w:val="both"/>
              <w:rPr>
                <w:rFonts w:ascii="Times New Roman" w:hAnsi="Times New Roman"/>
                <w:noProof/>
                <w:spacing w:val="-6"/>
                <w:lang w:val="sk-SK"/>
              </w:rPr>
            </w:pPr>
            <w:r w:rsidRPr="00326E55">
              <w:rPr>
                <w:rFonts w:ascii="Times New Roman" w:hAnsi="Times New Roman"/>
                <w:noProof/>
                <w:spacing w:val="-6"/>
                <w:lang w:val="sk-SK"/>
              </w:rPr>
              <w:t xml:space="preserve">V štatúte sa stanovia aj obmedzenia pre členov </w:t>
            </w:r>
            <w:r w:rsidRPr="00326E55">
              <w:rPr>
                <w:rFonts w:ascii="Times New Roman" w:hAnsi="Times New Roman"/>
                <w:noProof/>
                <w:spacing w:val="-6"/>
                <w:lang w:val="sk-SK"/>
              </w:rPr>
              <w:t>predstavenstva spoločnosti pri hľadaní alebo prijatí zamestnania od účastníkov trhu, ako aj jasné pravidlá predchádzania konfliktom záujmov.</w:t>
            </w:r>
          </w:p>
          <w:p w14:paraId="6135A074" w14:textId="77777777" w:rsidR="00BF03AA" w:rsidRPr="00326E55" w:rsidRDefault="00BF03AA">
            <w:pPr>
              <w:spacing w:after="0" w:line="240" w:lineRule="auto"/>
              <w:ind w:right="57"/>
              <w:jc w:val="both"/>
              <w:rPr>
                <w:rFonts w:ascii="Times New Roman" w:hAnsi="Times New Roman"/>
                <w:noProof/>
                <w:color w:val="196B24" w:themeColor="accent3"/>
                <w:spacing w:val="-6"/>
                <w:sz w:val="20"/>
                <w:szCs w:val="20"/>
                <w:lang w:val="sk-SK"/>
              </w:rPr>
            </w:pPr>
          </w:p>
          <w:p w14:paraId="61596425" w14:textId="409E84E6" w:rsidR="00BF03AA" w:rsidRPr="00326E55" w:rsidRDefault="00FB452D">
            <w:pPr>
              <w:pStyle w:val="P68B1DB1-Normal87"/>
              <w:spacing w:after="0" w:line="240" w:lineRule="auto"/>
              <w:ind w:right="57"/>
              <w:jc w:val="both"/>
              <w:rPr>
                <w:rFonts w:ascii="Times New Roman" w:hAnsi="Times New Roman"/>
                <w:noProof/>
                <w:spacing w:val="-6"/>
                <w:lang w:val="sk-SK"/>
              </w:rPr>
            </w:pPr>
            <w:r w:rsidRPr="00326E55">
              <w:rPr>
                <w:rFonts w:ascii="Times New Roman" w:hAnsi="Times New Roman"/>
                <w:noProof/>
                <w:spacing w:val="-6"/>
                <w:lang w:val="sk-SK"/>
              </w:rPr>
              <w:t>2. schválenie podnikateľského plánu ministerstva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dopravy po dohode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ministerstvom 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financií na obdobie 2026 – 2029, vymedzeného technickým výborom ad hoc, ktorého súčasťou je podrobný opis:</w:t>
            </w:r>
          </w:p>
          <w:p w14:paraId="42C63196" w14:textId="77777777" w:rsidR="00326E55" w:rsidRPr="00326E55" w:rsidRDefault="00FB452D">
            <w:pPr>
              <w:pStyle w:val="P68B1DB1-ListParagraph86"/>
              <w:numPr>
                <w:ilvl w:val="0"/>
                <w:numId w:val="88"/>
              </w:numPr>
              <w:spacing w:before="120" w:after="0" w:line="240" w:lineRule="auto"/>
              <w:ind w:right="57"/>
              <w:jc w:val="both"/>
              <w:rPr>
                <w:rFonts w:ascii="Times New Roman" w:hAnsi="Times New Roman"/>
                <w:noProof/>
                <w:spacing w:val="-6"/>
                <w:lang w:val="sk-SK"/>
              </w:rPr>
            </w:pPr>
            <w:r w:rsidRPr="00326E55">
              <w:rPr>
                <w:rFonts w:ascii="Times New Roman" w:hAnsi="Times New Roman"/>
                <w:noProof/>
                <w:spacing w:val="-6"/>
                <w:lang w:val="sk-SK"/>
              </w:rPr>
              <w:t>smery strategického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operačného rozvoja spoločnosti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prihliadnutím na jej štatutárne poslanie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ciele,</w:t>
            </w:r>
          </w:p>
          <w:p w14:paraId="39262A08" w14:textId="5868AD1E" w:rsidR="00BF03AA" w:rsidRPr="00326E55" w:rsidRDefault="00FB452D">
            <w:pPr>
              <w:pStyle w:val="P68B1DB1-ListParagraph86"/>
              <w:numPr>
                <w:ilvl w:val="0"/>
                <w:numId w:val="88"/>
              </w:numPr>
              <w:spacing w:before="120" w:after="0" w:line="240" w:lineRule="auto"/>
              <w:ind w:right="57"/>
              <w:jc w:val="both"/>
              <w:rPr>
                <w:rFonts w:ascii="Times New Roman" w:hAnsi="Times New Roman"/>
                <w:noProof/>
                <w:spacing w:val="-6"/>
                <w:lang w:val="sk-SK"/>
              </w:rPr>
            </w:pPr>
            <w:r w:rsidRPr="00326E55">
              <w:rPr>
                <w:rFonts w:ascii="Times New Roman" w:hAnsi="Times New Roman"/>
                <w:noProof/>
                <w:spacing w:val="-6"/>
                <w:lang w:val="sk-SK"/>
              </w:rPr>
              <w:t>charakteristiky činností, ktoré sa majú vyk</w:t>
            </w:r>
            <w:r w:rsidRPr="00326E55">
              <w:rPr>
                <w:rFonts w:ascii="Times New Roman" w:hAnsi="Times New Roman"/>
                <w:noProof/>
                <w:spacing w:val="-6"/>
                <w:lang w:val="sk-SK"/>
              </w:rPr>
              <w:t>onávať,</w:t>
            </w:r>
          </w:p>
          <w:p w14:paraId="0827459C" w14:textId="79C02262" w:rsidR="00BF03AA" w:rsidRPr="00326E55" w:rsidRDefault="00FB452D">
            <w:pPr>
              <w:pStyle w:val="P68B1DB1-ListParagraph86"/>
              <w:numPr>
                <w:ilvl w:val="0"/>
                <w:numId w:val="88"/>
              </w:numPr>
              <w:spacing w:before="120" w:after="0" w:line="240" w:lineRule="auto"/>
              <w:ind w:right="57"/>
              <w:jc w:val="both"/>
              <w:rPr>
                <w:rFonts w:ascii="Times New Roman" w:hAnsi="Times New Roman"/>
                <w:noProof/>
                <w:spacing w:val="-6"/>
                <w:lang w:val="sk-SK"/>
              </w:rPr>
            </w:pPr>
            <w:r w:rsidRPr="00326E55">
              <w:rPr>
                <w:rFonts w:ascii="Times New Roman" w:hAnsi="Times New Roman"/>
                <w:noProof/>
                <w:spacing w:val="-6"/>
                <w:lang w:val="sk-SK"/>
              </w:rPr>
              <w:t>aspoň</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odkazom na každý</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prvých troch finančných rokov, profily kapitálovej primeranosti, plánované investície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súvisiace finančné krytie, najmä nad rámec počiatočných zdrojov poskytnutých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65A616D6" w14:textId="344D22DE" w:rsidR="00BF03AA" w:rsidRPr="00326E55" w:rsidRDefault="00FB452D">
            <w:pPr>
              <w:pStyle w:val="P68B1DB1-ListParagraph86"/>
              <w:numPr>
                <w:ilvl w:val="0"/>
                <w:numId w:val="88"/>
              </w:numPr>
              <w:spacing w:before="120" w:after="0" w:line="240" w:lineRule="auto"/>
              <w:ind w:right="57"/>
              <w:jc w:val="both"/>
              <w:rPr>
                <w:rFonts w:ascii="Times New Roman" w:hAnsi="Times New Roman"/>
                <w:noProof/>
                <w:spacing w:val="-6"/>
                <w:lang w:val="sk-SK"/>
              </w:rPr>
            </w:pPr>
            <w:r w:rsidRPr="00326E55">
              <w:rPr>
                <w:rFonts w:ascii="Times New Roman" w:hAnsi="Times New Roman"/>
                <w:noProof/>
                <w:spacing w:val="-6"/>
                <w:lang w:val="sk-SK"/>
              </w:rPr>
              <w:t>správa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ria</w:t>
            </w:r>
            <w:r w:rsidRPr="00326E55">
              <w:rPr>
                <w:rFonts w:ascii="Times New Roman" w:hAnsi="Times New Roman"/>
                <w:noProof/>
                <w:spacing w:val="-6"/>
                <w:lang w:val="sk-SK"/>
              </w:rPr>
              <w:t>denie spoločnosti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organizačná štruktúra.</w:t>
            </w:r>
          </w:p>
          <w:p w14:paraId="2FC6ED2E" w14:textId="77777777" w:rsidR="00BF03AA" w:rsidRPr="00326E55" w:rsidRDefault="00BF03AA">
            <w:pPr>
              <w:pStyle w:val="ListParagraph"/>
              <w:spacing w:after="0"/>
              <w:ind w:left="57" w:right="57" w:hanging="283"/>
              <w:rPr>
                <w:rFonts w:ascii="Times New Roman" w:hAnsi="Times New Roman"/>
                <w:noProof/>
                <w:color w:val="196B24" w:themeColor="accent3"/>
                <w:spacing w:val="-6"/>
                <w:sz w:val="20"/>
                <w:szCs w:val="20"/>
                <w:lang w:val="sk-SK"/>
              </w:rPr>
            </w:pPr>
          </w:p>
          <w:p w14:paraId="1D6AD86D" w14:textId="2FF07F45" w:rsidR="00326E55" w:rsidRPr="00326E55" w:rsidRDefault="00FB452D">
            <w:pPr>
              <w:pStyle w:val="P68B1DB1-Normal87"/>
              <w:spacing w:after="0" w:line="240" w:lineRule="auto"/>
              <w:ind w:right="57"/>
              <w:jc w:val="both"/>
              <w:rPr>
                <w:rFonts w:ascii="Times New Roman" w:hAnsi="Times New Roman"/>
                <w:noProof/>
                <w:spacing w:val="-6"/>
                <w:lang w:val="sk-SK"/>
              </w:rPr>
            </w:pPr>
            <w:r w:rsidRPr="00326E55">
              <w:rPr>
                <w:rFonts w:ascii="Times New Roman" w:hAnsi="Times New Roman"/>
                <w:noProof/>
                <w:spacing w:val="-6"/>
                <w:lang w:val="sk-SK"/>
              </w:rPr>
              <w:t>3. Prevod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aktív</w:t>
            </w:r>
            <w:r w:rsidR="00326E55" w:rsidRPr="00326E55">
              <w:rPr>
                <w:rFonts w:ascii="Times New Roman" w:hAnsi="Times New Roman"/>
                <w:noProof/>
                <w:spacing w:val="-6"/>
                <w:lang w:val="sk-SK"/>
              </w:rPr>
              <w:t>:</w:t>
            </w:r>
          </w:p>
          <w:p w14:paraId="0FD3CE9E" w14:textId="0AC407C5" w:rsidR="00BF03AA" w:rsidRPr="00326E55" w:rsidRDefault="00BF03AA">
            <w:pPr>
              <w:spacing w:after="0" w:line="240" w:lineRule="auto"/>
              <w:ind w:right="57"/>
              <w:jc w:val="both"/>
              <w:rPr>
                <w:rFonts w:ascii="Times New Roman" w:eastAsia="Arial Narrow" w:hAnsi="Times New Roman" w:cs="Arial Narrow"/>
                <w:noProof/>
                <w:color w:val="196B24" w:themeColor="accent3"/>
                <w:spacing w:val="-6"/>
                <w:sz w:val="20"/>
                <w:szCs w:val="20"/>
                <w:lang w:val="sk-SK"/>
              </w:rPr>
            </w:pPr>
          </w:p>
          <w:p w14:paraId="4BAA3D51" w14:textId="572EA30F" w:rsidR="00BF03AA" w:rsidRPr="00326E55" w:rsidRDefault="00FB452D">
            <w:pPr>
              <w:pStyle w:val="P68B1DB1-Normal88"/>
              <w:spacing w:line="240" w:lineRule="auto"/>
              <w:jc w:val="both"/>
              <w:rPr>
                <w:rFonts w:ascii="Times New Roman" w:hAnsi="Times New Roman"/>
                <w:noProof/>
                <w:spacing w:val="-6"/>
                <w:lang w:val="sk-SK"/>
              </w:rPr>
            </w:pPr>
            <w:r w:rsidRPr="00326E55">
              <w:rPr>
                <w:rFonts w:ascii="Times New Roman" w:hAnsi="Times New Roman"/>
                <w:noProof/>
                <w:spacing w:val="-6"/>
                <w:lang w:val="sk-SK"/>
              </w:rPr>
              <w:t>Na bankový účet ROSCO sa predloží potvrdenie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 (t. j. potvrdenie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prijatí príspevku) vo výške najmenej 1 200 000 000 EUR.</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prostriedkov poskytnutých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rámci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i) sa od ROSCO vyžaduje, aby poskytla odôvodnenie vybranej oblasti intervencie pre každý podporovaný projekt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opisom projektu na účely výpočtu príspevku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od ROSCO sa takisto vyžaduje, aby člen</w:t>
            </w:r>
            <w:r w:rsidRPr="00326E55">
              <w:rPr>
                <w:rFonts w:ascii="Times New Roman" w:hAnsi="Times New Roman"/>
                <w:noProof/>
                <w:spacing w:val="-6"/>
                <w:lang w:val="sk-SK"/>
              </w:rPr>
              <w:t>skému štátu predložila polročnú správu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vykonávaní každého projektu/činnosti.</w:t>
            </w:r>
          </w:p>
          <w:p w14:paraId="5CFF35EC" w14:textId="1450293C" w:rsidR="00BF03AA" w:rsidRPr="00326E55" w:rsidRDefault="00FB452D">
            <w:pPr>
              <w:pStyle w:val="P68B1DB1-Normal88"/>
              <w:spacing w:line="240" w:lineRule="auto"/>
              <w:jc w:val="both"/>
              <w:rPr>
                <w:rFonts w:ascii="Times New Roman" w:hAnsi="Times New Roman"/>
                <w:noProof/>
                <w:color w:val="006100"/>
                <w:spacing w:val="-6"/>
                <w:lang w:val="sk-SK"/>
              </w:rPr>
            </w:pPr>
            <w:r w:rsidRPr="00326E55">
              <w:rPr>
                <w:rFonts w:ascii="Times New Roman" w:hAnsi="Times New Roman"/>
                <w:noProof/>
                <w:spacing w:val="-6"/>
                <w:lang w:val="sk-SK"/>
              </w:rPr>
              <w:t>Medzi ROSCO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príslušným ministerstvom sa podpíše kúpna zmluva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nákladmi na prevod majetku aspoň všetkých medzimestských vlakov obstaraných prostredníctvom cieľov M2C2</w:t>
            </w:r>
            <w:r w:rsidRPr="00326E55">
              <w:rPr>
                <w:rFonts w:ascii="Times New Roman" w:hAnsi="Times New Roman"/>
                <w:noProof/>
                <w:spacing w:val="-6"/>
                <w:lang w:val="sk-SK"/>
              </w:rPr>
              <w:t xml:space="preserve"> – 35a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M7 – 31.</w:t>
            </w:r>
          </w:p>
        </w:tc>
      </w:tr>
      <w:tr w:rsidR="00BF03AA" w:rsidRPr="00326E55" w14:paraId="733AD5B2"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A23F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M3C1 – 28</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67954E" w14:textId="61B8F582" w:rsidR="00BF03AA" w:rsidRPr="00326E55" w:rsidRDefault="00FB452D">
            <w:pPr>
              <w:pStyle w:val="P68B1DB1-Normal11"/>
              <w:jc w:val="center"/>
              <w:rPr>
                <w:rFonts w:ascii="Times New Roman" w:hAnsi="Times New Roman"/>
                <w:noProof/>
                <w:color w:val="FF0000"/>
                <w:spacing w:val="-6"/>
                <w:szCs w:val="20"/>
                <w:lang w:val="sk-SK"/>
              </w:rPr>
            </w:pPr>
            <w:r w:rsidRPr="00326E55">
              <w:rPr>
                <w:rFonts w:ascii="Times New Roman" w:hAnsi="Times New Roman"/>
                <w:noProof/>
                <w:spacing w:val="-6"/>
                <w:lang w:val="sk-SK"/>
              </w:rPr>
              <w:t>Investícia 1.10 Posilnenie metropolitných uzlov, medziregionálnych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regionálnych železničných tratí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D7BC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60F168" w14:textId="18DEA454" w:rsidR="00BF03AA" w:rsidRPr="00326E55" w:rsidRDefault="00FB452D">
            <w:pPr>
              <w:pStyle w:val="P68B1DB1-Normal11"/>
              <w:jc w:val="center"/>
              <w:rPr>
                <w:rFonts w:ascii="Times New Roman" w:hAnsi="Times New Roman"/>
                <w:noProof/>
                <w:color w:val="FF0000"/>
                <w:spacing w:val="-6"/>
                <w:szCs w:val="20"/>
                <w:lang w:val="sk-SK"/>
              </w:rPr>
            </w:pPr>
            <w:r w:rsidRPr="00326E55">
              <w:rPr>
                <w:rFonts w:ascii="Times New Roman" w:hAnsi="Times New Roman"/>
                <w:noProof/>
                <w:spacing w:val="-6"/>
                <w:lang w:val="sk-SK"/>
              </w:rPr>
              <w:t xml:space="preserve">3 309 km modernizovaných úsekov trate vybudovaných </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9E52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7979E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6D0F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872</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A533D" w14:textId="3052F7B1"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3 309</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8330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F9CA7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9F36E" w14:textId="1A7939D4" w:rsidR="00BF03AA" w:rsidRPr="00326E55" w:rsidRDefault="00FB452D">
            <w:pPr>
              <w:pStyle w:val="P68B1DB1-Normal11"/>
              <w:spacing w:after="0" w:line="278" w:lineRule="auto"/>
              <w:rPr>
                <w:rFonts w:ascii="Times New Roman" w:hAnsi="Times New Roman"/>
                <w:noProof/>
                <w:spacing w:val="-6"/>
                <w:lang w:val="sk-SK"/>
              </w:rPr>
            </w:pPr>
            <w:r w:rsidRPr="00326E55">
              <w:rPr>
                <w:rFonts w:ascii="Times New Roman" w:hAnsi="Times New Roman"/>
                <w:noProof/>
                <w:spacing w:val="-6"/>
                <w:lang w:val="sk-SK"/>
              </w:rPr>
              <w:t>Vydávajú sa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modernizácii najmenej 3 309 km regionálnych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miestnych železničných tratí. Najmenej 11,7 km železničných prác –</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metodikou WBS – 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modernizáciou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elektrifikáciou sa môže vzťahovať na tieto trate:</w:t>
            </w:r>
            <w:r w:rsidRPr="00326E55">
              <w:rPr>
                <w:rFonts w:ascii="Times New Roman" w:hAnsi="Times New Roman"/>
                <w:noProof/>
                <w:spacing w:val="-6"/>
                <w:lang w:val="sk-SK"/>
              </w:rPr>
              <w:br/>
              <w:t xml:space="preserve">Región Apúlia </w:t>
            </w:r>
            <w:r w:rsidRPr="00326E55">
              <w:rPr>
                <w:rFonts w:ascii="Times New Roman" w:hAnsi="Times New Roman"/>
                <w:noProof/>
                <w:spacing w:val="-6"/>
                <w:lang w:val="sk-SK"/>
              </w:rPr>
              <w:br/>
            </w:r>
            <w:r w:rsidRPr="00326E55">
              <w:rPr>
                <w:rFonts w:ascii="Times New Roman" w:hAnsi="Times New Roman"/>
                <w:noProof/>
                <w:spacing w:val="-6"/>
                <w:lang w:val="sk-SK"/>
              </w:rPr>
              <w:t>— Prepojenia Brindisi (vrátane intermodálneho centra),</w:t>
            </w:r>
            <w:r w:rsidRPr="00326E55">
              <w:rPr>
                <w:rFonts w:ascii="Times New Roman" w:hAnsi="Times New Roman"/>
                <w:noProof/>
                <w:spacing w:val="-6"/>
                <w:lang w:val="sk-SK"/>
              </w:rPr>
              <w:br/>
              <w:t xml:space="preserve">Región Kampánia </w:t>
            </w:r>
            <w:r w:rsidRPr="00326E55">
              <w:rPr>
                <w:rFonts w:ascii="Times New Roman" w:hAnsi="Times New Roman"/>
                <w:noProof/>
                <w:spacing w:val="-6"/>
                <w:lang w:val="sk-SK"/>
              </w:rPr>
              <w:br/>
              <w:t xml:space="preserve">— Salerno Arechi – Aeroporto Pontecagnano </w:t>
            </w:r>
            <w:r w:rsidRPr="00326E55">
              <w:rPr>
                <w:rFonts w:ascii="Times New Roman" w:hAnsi="Times New Roman"/>
                <w:noProof/>
                <w:spacing w:val="-6"/>
                <w:lang w:val="sk-SK"/>
              </w:rPr>
              <w:br/>
              <w:t xml:space="preserve">Región Kalábria </w:t>
            </w:r>
            <w:r w:rsidRPr="00326E55">
              <w:rPr>
                <w:rFonts w:ascii="Times New Roman" w:hAnsi="Times New Roman"/>
                <w:noProof/>
                <w:spacing w:val="-6"/>
                <w:lang w:val="sk-SK"/>
              </w:rPr>
              <w:br/>
              <w:t xml:space="preserve">— Bretella di Sibari </w:t>
            </w:r>
            <w:r w:rsidRPr="00326E55">
              <w:rPr>
                <w:rFonts w:ascii="Times New Roman" w:hAnsi="Times New Roman"/>
                <w:noProof/>
                <w:spacing w:val="-6"/>
                <w:lang w:val="sk-SK"/>
              </w:rPr>
              <w:br/>
              <w:t xml:space="preserve">Región Basilicata </w:t>
            </w:r>
            <w:r w:rsidRPr="00326E55">
              <w:rPr>
                <w:rFonts w:ascii="Times New Roman" w:hAnsi="Times New Roman"/>
                <w:noProof/>
                <w:spacing w:val="-6"/>
                <w:lang w:val="sk-SK"/>
              </w:rPr>
              <w:br/>
              <w:t xml:space="preserve">— Ferrandina-Matera </w:t>
            </w:r>
            <w:r w:rsidRPr="00326E55">
              <w:rPr>
                <w:rFonts w:ascii="Times New Roman" w:hAnsi="Times New Roman"/>
                <w:noProof/>
                <w:spacing w:val="-6"/>
                <w:lang w:val="sk-SK"/>
              </w:rPr>
              <w:br/>
              <w:t xml:space="preserve">Región Sicília </w:t>
            </w:r>
            <w:r w:rsidRPr="00326E55">
              <w:rPr>
                <w:rFonts w:ascii="Times New Roman" w:hAnsi="Times New Roman"/>
                <w:noProof/>
                <w:spacing w:val="-6"/>
                <w:lang w:val="sk-SK"/>
              </w:rPr>
              <w:br/>
              <w:t xml:space="preserve">— Odkaz na prístav Augusta </w:t>
            </w:r>
            <w:r w:rsidRPr="00326E55">
              <w:rPr>
                <w:rFonts w:ascii="Times New Roman" w:hAnsi="Times New Roman"/>
                <w:noProof/>
                <w:spacing w:val="-6"/>
                <w:lang w:val="sk-SK"/>
              </w:rPr>
              <w:br/>
              <w:t xml:space="preserve">Región Sardegna </w:t>
            </w:r>
            <w:r w:rsidRPr="00326E55">
              <w:rPr>
                <w:rFonts w:ascii="Times New Roman" w:hAnsi="Times New Roman"/>
                <w:noProof/>
                <w:spacing w:val="-6"/>
                <w:lang w:val="sk-SK"/>
              </w:rPr>
              <w:br/>
              <w:t>—</w:t>
            </w:r>
            <w:r w:rsidRPr="00326E55">
              <w:rPr>
                <w:rFonts w:ascii="Times New Roman" w:hAnsi="Times New Roman"/>
                <w:noProof/>
                <w:spacing w:val="-6"/>
                <w:lang w:val="sk-SK"/>
              </w:rPr>
              <w:t xml:space="preserve"> Železničné spojenie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letiskom Olbia </w:t>
            </w:r>
            <w:r w:rsidRPr="00326E55">
              <w:rPr>
                <w:rFonts w:ascii="Times New Roman" w:hAnsi="Times New Roman"/>
                <w:noProof/>
                <w:spacing w:val="-6"/>
                <w:lang w:val="sk-SK"/>
              </w:rPr>
              <w:br/>
              <w:t xml:space="preserve">— Zdvojenie koľaje Decimomannu-Villamassargia </w:t>
            </w:r>
            <w:r w:rsidRPr="00326E55">
              <w:rPr>
                <w:rFonts w:ascii="Times New Roman" w:hAnsi="Times New Roman"/>
                <w:noProof/>
                <w:spacing w:val="-6"/>
                <w:lang w:val="sk-SK"/>
              </w:rPr>
              <w:br/>
              <w:t>Najmenej 528 km zásahov do odolnosti sa vzťahuje na tieto trate: </w:t>
            </w:r>
            <w:r w:rsidRPr="00326E55">
              <w:rPr>
                <w:rFonts w:ascii="Times New Roman" w:hAnsi="Times New Roman"/>
                <w:noProof/>
                <w:spacing w:val="-6"/>
                <w:lang w:val="sk-SK"/>
              </w:rPr>
              <w:br/>
              <w:t>Región Kampánia, Basilicata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Kalábria:</w:t>
            </w:r>
            <w:r w:rsidRPr="00326E55">
              <w:rPr>
                <w:rFonts w:ascii="Times New Roman" w:hAnsi="Times New Roman"/>
                <w:noProof/>
                <w:spacing w:val="-6"/>
                <w:lang w:val="sk-SK"/>
              </w:rPr>
              <w:br/>
              <w:t>— Rómovia – Napoli (AV,via Cassino, cez Formiu);</w:t>
            </w:r>
            <w:r w:rsidRPr="00326E55">
              <w:rPr>
                <w:rFonts w:ascii="Times New Roman" w:hAnsi="Times New Roman"/>
                <w:noProof/>
                <w:spacing w:val="-6"/>
                <w:lang w:val="sk-SK"/>
              </w:rPr>
              <w:br/>
              <w:t>— Aversa – Case</w:t>
            </w:r>
            <w:r w:rsidRPr="00326E55">
              <w:rPr>
                <w:rFonts w:ascii="Times New Roman" w:hAnsi="Times New Roman"/>
                <w:noProof/>
                <w:spacing w:val="-6"/>
                <w:lang w:val="sk-SK"/>
              </w:rPr>
              <w:t>rta,</w:t>
            </w:r>
            <w:r w:rsidRPr="00326E55">
              <w:rPr>
                <w:rFonts w:ascii="Times New Roman" w:hAnsi="Times New Roman"/>
                <w:noProof/>
                <w:spacing w:val="-6"/>
                <w:lang w:val="sk-SK"/>
              </w:rPr>
              <w:br/>
              <w:t>— Villa Literno – Napoli Gianturco; </w:t>
            </w:r>
            <w:r w:rsidRPr="00326E55">
              <w:rPr>
                <w:rFonts w:ascii="Times New Roman" w:hAnsi="Times New Roman"/>
                <w:noProof/>
                <w:spacing w:val="-6"/>
                <w:lang w:val="sk-SK"/>
              </w:rPr>
              <w:br/>
              <w:t>— Napoli – Salerno LMV Napoli – Salerno Storica;</w:t>
            </w:r>
            <w:r w:rsidRPr="00326E55">
              <w:rPr>
                <w:rFonts w:ascii="Times New Roman" w:hAnsi="Times New Roman"/>
                <w:noProof/>
                <w:spacing w:val="-6"/>
                <w:lang w:val="sk-SK"/>
              </w:rPr>
              <w:br/>
              <w:t>— Nocera Inferiore – Salerno;</w:t>
            </w:r>
            <w:r w:rsidRPr="00326E55">
              <w:rPr>
                <w:rFonts w:ascii="Times New Roman" w:hAnsi="Times New Roman"/>
                <w:noProof/>
                <w:spacing w:val="-6"/>
                <w:lang w:val="sk-SK"/>
              </w:rPr>
              <w:br/>
              <w:t>— Battipaglia – Paola; </w:t>
            </w:r>
            <w:r w:rsidRPr="00326E55">
              <w:rPr>
                <w:rFonts w:ascii="Times New Roman" w:hAnsi="Times New Roman"/>
                <w:noProof/>
                <w:spacing w:val="-6"/>
                <w:lang w:val="sk-SK"/>
              </w:rPr>
              <w:br/>
              <w:t>— Battipaglia – Potenza; </w:t>
            </w:r>
            <w:r w:rsidRPr="00326E55">
              <w:rPr>
                <w:rFonts w:ascii="Times New Roman" w:hAnsi="Times New Roman"/>
                <w:noProof/>
                <w:spacing w:val="-6"/>
                <w:lang w:val="sk-SK"/>
              </w:rPr>
              <w:br/>
              <w:t>— Caserta – Battipaglia, Caserta – Foggia; Catanzaro – Reggio Calabria;</w:t>
            </w:r>
            <w:r w:rsidRPr="00326E55">
              <w:rPr>
                <w:rFonts w:ascii="Times New Roman" w:hAnsi="Times New Roman"/>
                <w:noProof/>
                <w:spacing w:val="-6"/>
                <w:lang w:val="sk-SK"/>
              </w:rPr>
              <w:br/>
              <w:t>— Paola – Reg</w:t>
            </w:r>
            <w:r w:rsidRPr="00326E55">
              <w:rPr>
                <w:rFonts w:ascii="Times New Roman" w:hAnsi="Times New Roman"/>
                <w:noProof/>
                <w:spacing w:val="-6"/>
                <w:lang w:val="sk-SK"/>
              </w:rPr>
              <w:t>gio Calabria,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zároveň </w:t>
            </w:r>
            <w:r w:rsidRPr="00326E55">
              <w:rPr>
                <w:rFonts w:ascii="Times New Roman" w:hAnsi="Times New Roman"/>
                <w:noProof/>
                <w:spacing w:val="-6"/>
                <w:lang w:val="sk-SK"/>
              </w:rPr>
              <w:br/>
              <w:t>Paola – Cosenza – Sibari. </w:t>
            </w:r>
            <w:r w:rsidRPr="00326E55">
              <w:rPr>
                <w:rFonts w:ascii="Times New Roman" w:hAnsi="Times New Roman"/>
                <w:noProof/>
                <w:spacing w:val="-6"/>
                <w:lang w:val="sk-SK"/>
              </w:rPr>
              <w:br/>
              <w:t>Región Molise:</w:t>
            </w:r>
            <w:r w:rsidRPr="00326E55">
              <w:rPr>
                <w:rFonts w:ascii="Times New Roman" w:hAnsi="Times New Roman"/>
                <w:noProof/>
                <w:spacing w:val="-6"/>
                <w:lang w:val="sk-SK"/>
              </w:rPr>
              <w:br/>
              <w:t>— Termoli – Campobasso. </w:t>
            </w:r>
            <w:r w:rsidRPr="00326E55">
              <w:rPr>
                <w:rFonts w:ascii="Times New Roman" w:hAnsi="Times New Roman"/>
                <w:noProof/>
                <w:spacing w:val="-6"/>
                <w:lang w:val="sk-SK"/>
              </w:rPr>
              <w:br/>
              <w:t>Región Apúlia:</w:t>
            </w:r>
            <w:r w:rsidRPr="00326E55">
              <w:rPr>
                <w:rFonts w:ascii="Times New Roman" w:hAnsi="Times New Roman"/>
                <w:noProof/>
                <w:spacing w:val="-6"/>
                <w:lang w:val="sk-SK"/>
              </w:rPr>
              <w:br/>
              <w:t>— Bari-Taranto; </w:t>
            </w:r>
            <w:r w:rsidRPr="00326E55">
              <w:rPr>
                <w:rFonts w:ascii="Times New Roman" w:hAnsi="Times New Roman"/>
                <w:noProof/>
                <w:spacing w:val="-6"/>
                <w:lang w:val="sk-SK"/>
              </w:rPr>
              <w:br/>
              <w:t>— Taranto – Brindisi; </w:t>
            </w:r>
            <w:r w:rsidRPr="00326E55">
              <w:rPr>
                <w:rFonts w:ascii="Times New Roman" w:hAnsi="Times New Roman"/>
                <w:noProof/>
                <w:spacing w:val="-6"/>
                <w:lang w:val="sk-SK"/>
              </w:rPr>
              <w:br/>
              <w:t>— Barletta-Spinazzola.</w:t>
            </w:r>
            <w:r w:rsidRPr="00326E55">
              <w:rPr>
                <w:rFonts w:ascii="Times New Roman" w:hAnsi="Times New Roman"/>
                <w:noProof/>
                <w:spacing w:val="-6"/>
                <w:lang w:val="sk-SK"/>
              </w:rPr>
              <w:br/>
              <w:t>Región Sicília:</w:t>
            </w:r>
            <w:r w:rsidRPr="00326E55">
              <w:rPr>
                <w:rFonts w:ascii="Times New Roman" w:hAnsi="Times New Roman"/>
                <w:noProof/>
                <w:spacing w:val="-6"/>
                <w:lang w:val="sk-SK"/>
              </w:rPr>
              <w:br/>
              <w:t>— Fiumetorto – Agrigento;</w:t>
            </w:r>
            <w:r w:rsidRPr="00326E55">
              <w:rPr>
                <w:rFonts w:ascii="Times New Roman" w:hAnsi="Times New Roman"/>
                <w:noProof/>
                <w:spacing w:val="-6"/>
                <w:lang w:val="sk-SK"/>
              </w:rPr>
              <w:br/>
              <w:t>— Lercara dir. – Bicocca;</w:t>
            </w:r>
            <w:r w:rsidRPr="00326E55">
              <w:rPr>
                <w:rFonts w:ascii="Times New Roman" w:hAnsi="Times New Roman"/>
                <w:noProof/>
                <w:spacing w:val="-6"/>
                <w:lang w:val="sk-SK"/>
              </w:rPr>
              <w:br/>
              <w:t>— Messina – Catani</w:t>
            </w:r>
            <w:r w:rsidRPr="00326E55">
              <w:rPr>
                <w:rFonts w:ascii="Times New Roman" w:hAnsi="Times New Roman"/>
                <w:noProof/>
                <w:spacing w:val="-6"/>
                <w:lang w:val="sk-SK"/>
              </w:rPr>
              <w:t>a – Siracusa;</w:t>
            </w:r>
            <w:r w:rsidRPr="00326E55">
              <w:rPr>
                <w:rFonts w:ascii="Times New Roman" w:hAnsi="Times New Roman"/>
                <w:noProof/>
                <w:spacing w:val="-6"/>
                <w:lang w:val="sk-SK"/>
              </w:rPr>
              <w:br/>
              <w:t>— Palermo – Messina; </w:t>
            </w:r>
            <w:r w:rsidRPr="00326E55">
              <w:rPr>
                <w:rFonts w:ascii="Times New Roman" w:hAnsi="Times New Roman"/>
                <w:noProof/>
                <w:spacing w:val="-6"/>
                <w:lang w:val="sk-SK"/>
              </w:rPr>
              <w:br/>
              <w:t>— Caltanissetta Xirbi – Canicattì – Aragona;</w:t>
            </w:r>
          </w:p>
          <w:p w14:paraId="425C8A85" w14:textId="63BBC80C"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 Canicattì – Siracusa.</w:t>
            </w:r>
            <w:r w:rsidRPr="00326E55">
              <w:rPr>
                <w:rFonts w:ascii="Times New Roman" w:hAnsi="Times New Roman"/>
                <w:noProof/>
                <w:spacing w:val="-6"/>
                <w:lang w:val="sk-SK"/>
              </w:rPr>
              <w:br/>
              <w:t>Cieľ sa dosiahne prostredníctvom CLP (t. j. „Codice Locale Progetto“), ktoré nie sú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iných fondov EÚ ako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w:t>
            </w:r>
            <w:r w:rsidRPr="00326E55">
              <w:rPr>
                <w:rFonts w:ascii="Times New Roman" w:hAnsi="Times New Roman"/>
                <w:noProof/>
                <w:spacing w:val="-6"/>
                <w:lang w:val="sk-SK"/>
              </w:rPr>
              <w:t>olnosti.</w:t>
            </w:r>
          </w:p>
        </w:tc>
      </w:tr>
    </w:tbl>
    <w:p w14:paraId="33251583" w14:textId="77777777" w:rsidR="00BF03AA" w:rsidRPr="00326E55" w:rsidRDefault="00BF03AA">
      <w:pPr>
        <w:tabs>
          <w:tab w:val="left" w:pos="4252"/>
        </w:tabs>
        <w:rPr>
          <w:rFonts w:ascii="Times New Roman" w:hAnsi="Times New Roman"/>
          <w:i/>
          <w:noProof/>
          <w:spacing w:val="-6"/>
          <w:lang w:val="sk-SK"/>
        </w:rPr>
      </w:pPr>
    </w:p>
    <w:p w14:paraId="30B70235" w14:textId="77777777" w:rsidR="00BF03AA" w:rsidRPr="00326E55" w:rsidRDefault="00BF03AA">
      <w:pPr>
        <w:spacing w:before="120" w:after="120"/>
        <w:jc w:val="both"/>
        <w:rPr>
          <w:rFonts w:ascii="Times New Roman" w:hAnsi="Times New Roman"/>
          <w:b/>
          <w:bCs/>
          <w:noProof/>
          <w:spacing w:val="-6"/>
          <w:u w:val="single"/>
          <w:lang w:val="sk-SK"/>
        </w:rPr>
        <w:sectPr w:rsidR="00BF03AA" w:rsidRPr="00326E55" w:rsidSect="005F11B9">
          <w:headerReference w:type="even" r:id="rId146"/>
          <w:headerReference w:type="default" r:id="rId147"/>
          <w:footerReference w:type="even" r:id="rId148"/>
          <w:footerReference w:type="default" r:id="rId149"/>
          <w:headerReference w:type="first" r:id="rId150"/>
          <w:footerReference w:type="first" r:id="rId151"/>
          <w:pgSz w:w="16838" w:h="11907" w:orient="landscape" w:code="9"/>
          <w:pgMar w:top="1134" w:right="1134" w:bottom="1134" w:left="1134" w:header="567" w:footer="567" w:gutter="0"/>
          <w:cols w:space="720"/>
          <w:docGrid w:linePitch="360"/>
        </w:sectPr>
      </w:pPr>
    </w:p>
    <w:p w14:paraId="77DC66E5" w14:textId="60637D78" w:rsidR="00BF03AA" w:rsidRPr="00326E55" w:rsidRDefault="00FB452D">
      <w:pPr>
        <w:pStyle w:val="P68B1DB1-Heading23"/>
        <w:ind w:left="1080"/>
        <w:rPr>
          <w:noProof/>
          <w:spacing w:val="-6"/>
          <w:lang w:val="sk-SK"/>
        </w:rPr>
      </w:pPr>
      <w:r w:rsidRPr="00326E55">
        <w:rPr>
          <w:noProof/>
          <w:spacing w:val="-6"/>
          <w:lang w:val="sk-SK"/>
        </w:rPr>
        <w:t>I. ZAMESTNANOSŤ 3 COMPONENT 2 – Intermodalita</w:t>
      </w:r>
      <w:r w:rsidR="00326E55" w:rsidRPr="00326E55">
        <w:rPr>
          <w:noProof/>
          <w:spacing w:val="-6"/>
          <w:lang w:val="sk-SK"/>
        </w:rPr>
        <w:t xml:space="preserve"> a </w:t>
      </w:r>
      <w:r w:rsidRPr="00326E55">
        <w:rPr>
          <w:noProof/>
          <w:spacing w:val="-6"/>
          <w:lang w:val="sk-SK"/>
        </w:rPr>
        <w:t>integrovaná logistika</w:t>
      </w:r>
    </w:p>
    <w:p w14:paraId="5D644F82" w14:textId="2935973E" w:rsidR="00BF03AA" w:rsidRPr="00326E55" w:rsidRDefault="00FB452D">
      <w:pPr>
        <w:pStyle w:val="P68B1DB1-Normal7"/>
        <w:tabs>
          <w:tab w:val="left" w:pos="1134"/>
        </w:tabs>
        <w:spacing w:before="120" w:after="120"/>
        <w:jc w:val="both"/>
        <w:rPr>
          <w:rFonts w:eastAsia="Calibri"/>
          <w:iCs/>
          <w:noProof/>
          <w:spacing w:val="-6"/>
          <w:lang w:val="sk-SK"/>
        </w:rPr>
      </w:pPr>
      <w:r w:rsidRPr="00326E55">
        <w:rPr>
          <w:noProof/>
          <w:spacing w:val="-6"/>
          <w:lang w:val="sk-SK"/>
        </w:rPr>
        <w:t>Cieľom tohto komponentu talianskeho plánu obnovy</w:t>
      </w:r>
      <w:r w:rsidR="00326E55" w:rsidRPr="00326E55">
        <w:rPr>
          <w:noProof/>
          <w:spacing w:val="-6"/>
          <w:lang w:val="sk-SK"/>
        </w:rPr>
        <w:t xml:space="preserve"> a </w:t>
      </w:r>
      <w:r w:rsidRPr="00326E55">
        <w:rPr>
          <w:noProof/>
          <w:spacing w:val="-6"/>
          <w:lang w:val="sk-SK"/>
        </w:rPr>
        <w:t>odolnosti je zvýšiť efektívnosť</w:t>
      </w:r>
      <w:r w:rsidR="00326E55" w:rsidRPr="00326E55">
        <w:rPr>
          <w:noProof/>
          <w:spacing w:val="-6"/>
          <w:lang w:val="sk-SK"/>
        </w:rPr>
        <w:t xml:space="preserve"> a </w:t>
      </w:r>
      <w:r w:rsidRPr="00326E55">
        <w:rPr>
          <w:noProof/>
          <w:spacing w:val="-6"/>
          <w:lang w:val="sk-SK"/>
        </w:rPr>
        <w:t xml:space="preserve">konkurencieschopnosť </w:t>
      </w:r>
      <w:r w:rsidRPr="00326E55">
        <w:rPr>
          <w:noProof/>
          <w:spacing w:val="-6"/>
          <w:lang w:val="sk-SK"/>
        </w:rPr>
        <w:t>talianskych prístavov, zvýšiť ich energetickú efektívnosť</w:t>
      </w:r>
      <w:r w:rsidR="00326E55" w:rsidRPr="00326E55">
        <w:rPr>
          <w:noProof/>
          <w:spacing w:val="-6"/>
          <w:lang w:val="sk-SK"/>
        </w:rPr>
        <w:t xml:space="preserve"> a </w:t>
      </w:r>
      <w:r w:rsidRPr="00326E55">
        <w:rPr>
          <w:noProof/>
          <w:spacing w:val="-6"/>
          <w:lang w:val="sk-SK"/>
        </w:rPr>
        <w:t>lepšiu integráciu do logistického reťazca. Jeho cieľom je aj digitalizácia systému manažmentu letovej prevádzky.</w:t>
      </w:r>
    </w:p>
    <w:p w14:paraId="6C4B12DA" w14:textId="1FF0334F" w:rsidR="00BF03AA" w:rsidRPr="00326E55" w:rsidRDefault="00FB452D">
      <w:pPr>
        <w:pStyle w:val="P68B1DB1-Normal7"/>
        <w:tabs>
          <w:tab w:val="left" w:pos="1134"/>
        </w:tabs>
        <w:spacing w:before="120" w:after="120"/>
        <w:jc w:val="both"/>
        <w:rPr>
          <w:rFonts w:eastAsia="Calibri"/>
          <w:iCs/>
          <w:noProof/>
          <w:spacing w:val="-6"/>
          <w:lang w:val="sk-SK"/>
        </w:rPr>
      </w:pPr>
      <w:r w:rsidRPr="00326E55">
        <w:rPr>
          <w:noProof/>
          <w:spacing w:val="-6"/>
          <w:lang w:val="sk-SK"/>
        </w:rPr>
        <w:t>Na tento účel zahŕňa na jednej strane dôležité reformy na zjednodušenie procesov, a</w:t>
      </w:r>
      <w:r w:rsidRPr="00326E55">
        <w:rPr>
          <w:noProof/>
          <w:spacing w:val="-6"/>
          <w:lang w:val="sk-SK"/>
        </w:rPr>
        <w:t>ktualizáciu plánovania prístavov</w:t>
      </w:r>
      <w:r w:rsidR="00326E55" w:rsidRPr="00326E55">
        <w:rPr>
          <w:noProof/>
          <w:spacing w:val="-6"/>
          <w:lang w:val="sk-SK"/>
        </w:rPr>
        <w:t xml:space="preserve"> a </w:t>
      </w:r>
      <w:r w:rsidRPr="00326E55">
        <w:rPr>
          <w:noProof/>
          <w:spacing w:val="-6"/>
          <w:lang w:val="sk-SK"/>
        </w:rPr>
        <w:t>zvýšenie konkurencieschopnosti koncesií</w:t>
      </w:r>
      <w:r w:rsidR="00326E55" w:rsidRPr="00326E55">
        <w:rPr>
          <w:noProof/>
          <w:spacing w:val="-6"/>
          <w:lang w:val="sk-SK"/>
        </w:rPr>
        <w:t xml:space="preserve"> v </w:t>
      </w:r>
      <w:r w:rsidRPr="00326E55">
        <w:rPr>
          <w:noProof/>
          <w:spacing w:val="-6"/>
          <w:lang w:val="sk-SK"/>
        </w:rPr>
        <w:t>talianskych prístavoch. Na druhej strane niektoré investície určené na zabezpečenie intermodality so širokými líniami európskej komunikácie, rozvoj prepojení</w:t>
      </w:r>
      <w:r w:rsidR="00326E55" w:rsidRPr="00326E55">
        <w:rPr>
          <w:noProof/>
          <w:spacing w:val="-6"/>
          <w:lang w:val="sk-SK"/>
        </w:rPr>
        <w:t xml:space="preserve"> s </w:t>
      </w:r>
      <w:r w:rsidRPr="00326E55">
        <w:rPr>
          <w:noProof/>
          <w:spacing w:val="-6"/>
          <w:lang w:val="sk-SK"/>
        </w:rPr>
        <w:t>oceánskym</w:t>
      </w:r>
      <w:r w:rsidR="00326E55" w:rsidRPr="00326E55">
        <w:rPr>
          <w:noProof/>
          <w:spacing w:val="-6"/>
          <w:lang w:val="sk-SK"/>
        </w:rPr>
        <w:t xml:space="preserve"> a </w:t>
      </w:r>
      <w:r w:rsidRPr="00326E55">
        <w:rPr>
          <w:noProof/>
          <w:spacing w:val="-6"/>
          <w:lang w:val="sk-SK"/>
        </w:rPr>
        <w:t>medzist</w:t>
      </w:r>
      <w:r w:rsidRPr="00326E55">
        <w:rPr>
          <w:noProof/>
          <w:spacing w:val="-6"/>
          <w:lang w:val="sk-SK"/>
        </w:rPr>
        <w:t>redozemským obchodovaním, zvýšenie dynamiky</w:t>
      </w:r>
      <w:r w:rsidR="00326E55" w:rsidRPr="00326E55">
        <w:rPr>
          <w:noProof/>
          <w:spacing w:val="-6"/>
          <w:lang w:val="sk-SK"/>
        </w:rPr>
        <w:t xml:space="preserve"> a </w:t>
      </w:r>
      <w:r w:rsidRPr="00326E55">
        <w:rPr>
          <w:noProof/>
          <w:spacing w:val="-6"/>
          <w:lang w:val="sk-SK"/>
        </w:rPr>
        <w:t>konkurencieschopnosti talianskeho prístavného systému,</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s </w:t>
      </w:r>
      <w:r w:rsidRPr="00326E55">
        <w:rPr>
          <w:noProof/>
          <w:spacing w:val="-6"/>
          <w:lang w:val="sk-SK"/>
        </w:rPr>
        <w:t>cieľom znížiť emisie skleníkových plynov. Očakáva sa, že investície spojené</w:t>
      </w:r>
      <w:r w:rsidR="00326E55" w:rsidRPr="00326E55">
        <w:rPr>
          <w:noProof/>
          <w:spacing w:val="-6"/>
          <w:lang w:val="sk-SK"/>
        </w:rPr>
        <w:t xml:space="preserve"> s </w:t>
      </w:r>
      <w:r w:rsidRPr="00326E55">
        <w:rPr>
          <w:noProof/>
          <w:spacing w:val="-6"/>
          <w:lang w:val="sk-SK"/>
        </w:rPr>
        <w:t>touto zložkou podstatne zvýšia objem osobnej</w:t>
      </w:r>
      <w:r w:rsidR="00326E55" w:rsidRPr="00326E55">
        <w:rPr>
          <w:noProof/>
          <w:spacing w:val="-6"/>
          <w:lang w:val="sk-SK"/>
        </w:rPr>
        <w:t xml:space="preserve"> a </w:t>
      </w:r>
      <w:r w:rsidRPr="00326E55">
        <w:rPr>
          <w:noProof/>
          <w:spacing w:val="-6"/>
          <w:lang w:val="sk-SK"/>
        </w:rPr>
        <w:t>nákladnej dopravy</w:t>
      </w:r>
      <w:r w:rsidR="00326E55" w:rsidRPr="00326E55">
        <w:rPr>
          <w:noProof/>
          <w:spacing w:val="-6"/>
          <w:lang w:val="sk-SK"/>
        </w:rPr>
        <w:t xml:space="preserve"> v </w:t>
      </w:r>
      <w:r w:rsidRPr="00326E55">
        <w:rPr>
          <w:noProof/>
          <w:spacing w:val="-6"/>
          <w:lang w:val="sk-SK"/>
        </w:rPr>
        <w:t>talianskych prístavoch, čo bude mať pozitívny vplyv na stimulujúce hospodárske činnosti</w:t>
      </w:r>
      <w:r w:rsidR="00326E55" w:rsidRPr="00326E55">
        <w:rPr>
          <w:noProof/>
          <w:spacing w:val="-6"/>
          <w:lang w:val="sk-SK"/>
        </w:rPr>
        <w:t xml:space="preserve"> v </w:t>
      </w:r>
      <w:r w:rsidRPr="00326E55">
        <w:rPr>
          <w:noProof/>
          <w:spacing w:val="-6"/>
          <w:lang w:val="sk-SK"/>
        </w:rPr>
        <w:t>príslušných oblastiach</w:t>
      </w:r>
      <w:r w:rsidR="00326E55" w:rsidRPr="00326E55">
        <w:rPr>
          <w:noProof/>
          <w:spacing w:val="-6"/>
          <w:lang w:val="sk-SK"/>
        </w:rPr>
        <w:t xml:space="preserve"> a </w:t>
      </w:r>
      <w:r w:rsidRPr="00326E55">
        <w:rPr>
          <w:noProof/>
          <w:spacing w:val="-6"/>
          <w:lang w:val="sk-SK"/>
        </w:rPr>
        <w:t>na národné hospodárstvo ako celok.</w:t>
      </w:r>
    </w:p>
    <w:p w14:paraId="7D0758CB" w14:textId="103CA00E" w:rsidR="00326E55" w:rsidRPr="00326E55" w:rsidRDefault="00FB452D">
      <w:pPr>
        <w:pStyle w:val="P68B1DB1-Normal7"/>
        <w:tabs>
          <w:tab w:val="left" w:pos="1134"/>
        </w:tabs>
        <w:spacing w:before="120" w:after="120"/>
        <w:jc w:val="both"/>
        <w:rPr>
          <w:noProof/>
          <w:spacing w:val="-6"/>
          <w:lang w:val="sk-SK"/>
        </w:rPr>
      </w:pPr>
      <w:r w:rsidRPr="00326E55">
        <w:rPr>
          <w:noProof/>
          <w:spacing w:val="-6"/>
          <w:lang w:val="sk-SK"/>
        </w:rPr>
        <w:t>Na druhej strane sa tento komponent týka digitalizácie logistických systémov vrátane letiskových systémov.</w:t>
      </w:r>
      <w:r w:rsidRPr="00326E55">
        <w:rPr>
          <w:noProof/>
          <w:spacing w:val="-6"/>
          <w:lang w:val="sk-SK"/>
        </w:rPr>
        <w:t xml:space="preserve"> Očakáva sa, že tieto odvetvia sa stanú konkurencieschopnejšími využívaním inovačných technologických riešení na zefektívnenie systému</w:t>
      </w:r>
      <w:r w:rsidR="00326E55" w:rsidRPr="00326E55">
        <w:rPr>
          <w:noProof/>
          <w:spacing w:val="-6"/>
          <w:lang w:val="sk-SK"/>
        </w:rPr>
        <w:t xml:space="preserve"> a </w:t>
      </w:r>
      <w:r w:rsidRPr="00326E55">
        <w:rPr>
          <w:noProof/>
          <w:spacing w:val="-6"/>
          <w:lang w:val="sk-SK"/>
        </w:rPr>
        <w:t>tiež na zníženie ich vplyvu na životné prostredie</w:t>
      </w:r>
      <w:r w:rsidR="00326E55" w:rsidRPr="00326E55">
        <w:rPr>
          <w:noProof/>
          <w:spacing w:val="-6"/>
          <w:lang w:val="sk-SK"/>
        </w:rPr>
        <w:t>.</w:t>
      </w:r>
    </w:p>
    <w:p w14:paraId="22FCFFA1" w14:textId="05B4ECC3" w:rsidR="00BF03AA" w:rsidRPr="00326E55" w:rsidRDefault="00FB452D">
      <w:pPr>
        <w:pStyle w:val="P68B1DB1-Normal7"/>
        <w:spacing w:before="120" w:after="120"/>
        <w:jc w:val="both"/>
        <w:rPr>
          <w:noProof/>
          <w:spacing w:val="-6"/>
          <w:lang w:val="sk-SK"/>
        </w:rPr>
      </w:pPr>
      <w:r w:rsidRPr="00326E55">
        <w:rPr>
          <w:noProof/>
          <w:spacing w:val="-6"/>
          <w:lang w:val="sk-SK"/>
        </w:rPr>
        <w:t>Tento komponent sa zaoberá odporúčaním pre danú krajinu</w:t>
      </w:r>
      <w:r w:rsidR="00326E55" w:rsidRPr="00326E55">
        <w:rPr>
          <w:noProof/>
          <w:spacing w:val="-6"/>
          <w:lang w:val="sk-SK"/>
        </w:rPr>
        <w:t xml:space="preserve"> z </w:t>
      </w:r>
      <w:r w:rsidRPr="00326E55">
        <w:rPr>
          <w:noProof/>
          <w:spacing w:val="-6"/>
          <w:lang w:val="sk-SK"/>
        </w:rPr>
        <w:t>roku 2019,</w:t>
      </w:r>
      <w:r w:rsidR="00326E55" w:rsidRPr="00326E55">
        <w:rPr>
          <w:noProof/>
          <w:spacing w:val="-6"/>
          <w:lang w:val="sk-SK"/>
        </w:rPr>
        <w:t xml:space="preserve"> v </w:t>
      </w:r>
      <w:r w:rsidRPr="00326E55">
        <w:rPr>
          <w:noProof/>
          <w:spacing w:val="-6"/>
          <w:lang w:val="sk-SK"/>
        </w:rPr>
        <w:t>ktorom sa Taliansko vyzýva, aby „zameralo hospodársku politiku súvisiacu</w:t>
      </w:r>
      <w:r w:rsidR="00326E55" w:rsidRPr="00326E55">
        <w:rPr>
          <w:noProof/>
          <w:spacing w:val="-6"/>
          <w:lang w:val="sk-SK"/>
        </w:rPr>
        <w:t xml:space="preserve"> s </w:t>
      </w:r>
      <w:r w:rsidRPr="00326E55">
        <w:rPr>
          <w:noProof/>
          <w:spacing w:val="-6"/>
          <w:lang w:val="sk-SK"/>
        </w:rPr>
        <w:t>investíciami na kvalitu infraštruktúry“,</w:t>
      </w:r>
      <w:r w:rsidR="00326E55" w:rsidRPr="00326E55">
        <w:rPr>
          <w:noProof/>
          <w:spacing w:val="-6"/>
          <w:lang w:val="sk-SK"/>
        </w:rPr>
        <w:t xml:space="preserve"> a </w:t>
      </w:r>
      <w:r w:rsidRPr="00326E55">
        <w:rPr>
          <w:noProof/>
          <w:spacing w:val="-6"/>
          <w:lang w:val="sk-SK"/>
        </w:rPr>
        <w:t>odporúčaním pre danú krajinu na rok 2020,</w:t>
      </w:r>
      <w:r w:rsidR="00326E55" w:rsidRPr="00326E55">
        <w:rPr>
          <w:noProof/>
          <w:spacing w:val="-6"/>
          <w:lang w:val="sk-SK"/>
        </w:rPr>
        <w:t xml:space="preserve"> v </w:t>
      </w:r>
      <w:r w:rsidRPr="00326E55">
        <w:rPr>
          <w:noProof/>
          <w:spacing w:val="-6"/>
          <w:lang w:val="sk-SK"/>
        </w:rPr>
        <w:t>ktorom sa odporúča „zamerať investície na zelenú</w:t>
      </w:r>
      <w:r w:rsidR="00326E55" w:rsidRPr="00326E55">
        <w:rPr>
          <w:noProof/>
          <w:spacing w:val="-6"/>
          <w:lang w:val="sk-SK"/>
        </w:rPr>
        <w:t xml:space="preserve"> a </w:t>
      </w:r>
      <w:r w:rsidRPr="00326E55">
        <w:rPr>
          <w:noProof/>
          <w:spacing w:val="-6"/>
          <w:lang w:val="sk-SK"/>
        </w:rPr>
        <w:t>digitálnu transformáciu, najmä na čistú</w:t>
      </w:r>
      <w:r w:rsidR="00326E55" w:rsidRPr="00326E55">
        <w:rPr>
          <w:noProof/>
          <w:spacing w:val="-6"/>
          <w:lang w:val="sk-SK"/>
        </w:rPr>
        <w:t xml:space="preserve"> a </w:t>
      </w:r>
      <w:r w:rsidRPr="00326E55">
        <w:rPr>
          <w:noProof/>
          <w:spacing w:val="-6"/>
          <w:lang w:val="sk-SK"/>
        </w:rPr>
        <w:t>efektívnu výrobu</w:t>
      </w:r>
      <w:r w:rsidR="00326E55" w:rsidRPr="00326E55">
        <w:rPr>
          <w:noProof/>
          <w:spacing w:val="-6"/>
          <w:lang w:val="sk-SK"/>
        </w:rPr>
        <w:t xml:space="preserve"> a </w:t>
      </w:r>
      <w:r w:rsidRPr="00326E55">
        <w:rPr>
          <w:noProof/>
          <w:spacing w:val="-6"/>
          <w:lang w:val="sk-SK"/>
        </w:rPr>
        <w:t>využívanie energie, výskum</w:t>
      </w:r>
      <w:r w:rsidR="00326E55" w:rsidRPr="00326E55">
        <w:rPr>
          <w:noProof/>
          <w:spacing w:val="-6"/>
          <w:lang w:val="sk-SK"/>
        </w:rPr>
        <w:t xml:space="preserve"> a </w:t>
      </w:r>
      <w:r w:rsidRPr="00326E55">
        <w:rPr>
          <w:noProof/>
          <w:spacing w:val="-6"/>
          <w:lang w:val="sk-SK"/>
        </w:rPr>
        <w:t>inovácie, udržateľnú verejnú dopravu, odpadové</w:t>
      </w:r>
      <w:r w:rsidR="00326E55" w:rsidRPr="00326E55">
        <w:rPr>
          <w:noProof/>
          <w:spacing w:val="-6"/>
          <w:lang w:val="sk-SK"/>
        </w:rPr>
        <w:t xml:space="preserve"> a </w:t>
      </w:r>
      <w:r w:rsidRPr="00326E55">
        <w:rPr>
          <w:noProof/>
          <w:spacing w:val="-6"/>
          <w:lang w:val="sk-SK"/>
        </w:rPr>
        <w:t>vodné hospodárstvo, ako aj posilnenú digitálnu infraštruktúru na zabezpečenie poskytovania základných služieb“.</w:t>
      </w:r>
    </w:p>
    <w:p w14:paraId="5EE788DF" w14:textId="02C3126A" w:rsidR="00BF03AA" w:rsidRPr="00326E55" w:rsidRDefault="00FB452D">
      <w:pPr>
        <w:pStyle w:val="P68B1DB1-Normal7"/>
        <w:spacing w:before="120" w:after="120"/>
        <w:jc w:val="both"/>
        <w:rPr>
          <w:noProof/>
          <w:spacing w:val="-6"/>
          <w:lang w:val="sk-SK"/>
        </w:rPr>
      </w:pPr>
      <w:r w:rsidRPr="00326E55">
        <w:rPr>
          <w:noProof/>
          <w:spacing w:val="-6"/>
          <w:lang w:val="sk-SK"/>
        </w:rPr>
        <w:t>Očakáva sa, že žiadne opatrenie</w:t>
      </w:r>
      <w:r w:rsidR="00326E55" w:rsidRPr="00326E55">
        <w:rPr>
          <w:noProof/>
          <w:spacing w:val="-6"/>
          <w:lang w:val="sk-SK"/>
        </w:rPr>
        <w:t xml:space="preserve"> v </w:t>
      </w:r>
      <w:r w:rsidRPr="00326E55">
        <w:rPr>
          <w:noProof/>
          <w:spacing w:val="-6"/>
          <w:lang w:val="sk-SK"/>
        </w:rPr>
        <w:t>tomto kompo</w:t>
      </w:r>
      <w:r w:rsidRPr="00326E55">
        <w:rPr>
          <w:noProof/>
          <w:spacing w:val="-6"/>
          <w:lang w:val="sk-SK"/>
        </w:rPr>
        <w:t>nente výrazne nenaruší environmentálne ciele</w:t>
      </w:r>
      <w:r w:rsidR="00326E55" w:rsidRPr="00326E55">
        <w:rPr>
          <w:noProof/>
          <w:spacing w:val="-6"/>
          <w:lang w:val="sk-SK"/>
        </w:rPr>
        <w:t xml:space="preserve"> v </w:t>
      </w:r>
      <w:r w:rsidRPr="00326E55">
        <w:rPr>
          <w:noProof/>
          <w:spacing w:val="-6"/>
          <w:lang w:val="sk-SK"/>
        </w:rPr>
        <w:t>zmysle článku 17 nariadenia Európskeho parlamentu</w:t>
      </w:r>
      <w:r w:rsidR="00326E55" w:rsidRPr="00326E55">
        <w:rPr>
          <w:noProof/>
          <w:spacing w:val="-6"/>
          <w:lang w:val="sk-SK"/>
        </w:rPr>
        <w:t xml:space="preserve"> a </w:t>
      </w:r>
      <w:r w:rsidRPr="00326E55">
        <w:rPr>
          <w:noProof/>
          <w:spacing w:val="-6"/>
          <w:lang w:val="sk-SK"/>
        </w:rPr>
        <w:t>Rady (EÚ) 2020/852, berúc do úvahy opis opatrení</w:t>
      </w:r>
      <w:r w:rsidR="00326E55" w:rsidRPr="00326E55">
        <w:rPr>
          <w:noProof/>
          <w:spacing w:val="-6"/>
          <w:lang w:val="sk-SK"/>
        </w:rPr>
        <w:t xml:space="preserve"> a </w:t>
      </w:r>
      <w:r w:rsidRPr="00326E55">
        <w:rPr>
          <w:noProof/>
          <w:spacing w:val="-6"/>
          <w:lang w:val="sk-SK"/>
        </w:rPr>
        <w:t>zmierňujúce kroky stanovené</w:t>
      </w:r>
      <w:r w:rsidR="00326E55" w:rsidRPr="00326E55">
        <w:rPr>
          <w:noProof/>
          <w:spacing w:val="-6"/>
          <w:lang w:val="sk-SK"/>
        </w:rPr>
        <w:t xml:space="preserve"> v </w:t>
      </w:r>
      <w:r w:rsidRPr="00326E55">
        <w:rPr>
          <w:noProof/>
          <w:spacing w:val="-6"/>
          <w:lang w:val="sk-SK"/>
        </w:rPr>
        <w:t>pláne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v </w:t>
      </w:r>
      <w:r w:rsidRPr="00326E55">
        <w:rPr>
          <w:noProof/>
          <w:spacing w:val="-6"/>
          <w:lang w:val="sk-SK"/>
        </w:rPr>
        <w:t>súlade so zásadou technického usmernia týkajúceho</w:t>
      </w:r>
      <w:r w:rsidRPr="00326E55">
        <w:rPr>
          <w:noProof/>
          <w:spacing w:val="-6"/>
          <w:lang w:val="sk-SK"/>
        </w:rPr>
        <w:t xml:space="preserve"> sa uplatňovania zásady „výrazne nenarušiť“ (DNHS) (2021/C58/01).</w:t>
      </w:r>
    </w:p>
    <w:p w14:paraId="737AB47E" w14:textId="4DB61449" w:rsidR="00BF03AA" w:rsidRPr="00326E55" w:rsidRDefault="00FB452D">
      <w:pPr>
        <w:pStyle w:val="P68B1DB1-Heading359"/>
        <w:ind w:left="850" w:hanging="850"/>
        <w:rPr>
          <w:b/>
          <w:bCs/>
          <w:i/>
          <w:iCs/>
          <w:noProof/>
          <w:color w:val="156082" w:themeColor="accent1"/>
          <w:spacing w:val="-6"/>
          <w:u w:val="single"/>
          <w:lang w:val="sk-SK"/>
        </w:rPr>
      </w:pPr>
      <w:r w:rsidRPr="00326E55">
        <w:rPr>
          <w:b/>
          <w:noProof/>
          <w:spacing w:val="-6"/>
          <w:u w:val="single"/>
          <w:lang w:val="sk-SK"/>
        </w:rPr>
        <w:t xml:space="preserve">I.1.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nenávratnej finančnej podpory</w:t>
      </w:r>
    </w:p>
    <w:p w14:paraId="456B2BAD" w14:textId="77777777" w:rsidR="00BF03AA" w:rsidRPr="00326E55" w:rsidRDefault="00FB452D">
      <w:pPr>
        <w:pStyle w:val="P68B1DB1-Normal5"/>
        <w:spacing w:before="120" w:after="120" w:line="257" w:lineRule="auto"/>
        <w:jc w:val="both"/>
        <w:rPr>
          <w:bCs/>
          <w:noProof/>
          <w:spacing w:val="-6"/>
          <w:lang w:val="sk-SK"/>
        </w:rPr>
      </w:pPr>
      <w:r w:rsidRPr="00326E55">
        <w:rPr>
          <w:noProof/>
          <w:spacing w:val="-6"/>
          <w:lang w:val="sk-SK"/>
        </w:rPr>
        <w:t>Reforma 1.1 – Zjednodušenie postupov pre proces strategického plánovania</w:t>
      </w:r>
    </w:p>
    <w:p w14:paraId="3B7766E3" w14:textId="47DB6EE0" w:rsidR="00BF03AA" w:rsidRPr="00326E55" w:rsidRDefault="00FB452D">
      <w:pPr>
        <w:pStyle w:val="P68B1DB1-Normal7"/>
        <w:spacing w:before="120" w:after="120" w:line="257" w:lineRule="auto"/>
        <w:jc w:val="both"/>
        <w:rPr>
          <w:bCs/>
          <w:noProof/>
          <w:spacing w:val="-6"/>
          <w:lang w:val="sk-SK"/>
        </w:rPr>
      </w:pPr>
      <w:r w:rsidRPr="00326E55">
        <w:rPr>
          <w:noProof/>
          <w:spacing w:val="-6"/>
          <w:lang w:val="sk-SK"/>
        </w:rPr>
        <w:t>Toto opatrenie predpokladá aktualizáciu plánov</w:t>
      </w:r>
      <w:r w:rsidRPr="00326E55">
        <w:rPr>
          <w:noProof/>
          <w:spacing w:val="-6"/>
          <w:lang w:val="sk-SK"/>
        </w:rPr>
        <w:t>ania prístavov</w:t>
      </w:r>
      <w:r w:rsidR="00326E55" w:rsidRPr="00326E55">
        <w:rPr>
          <w:noProof/>
          <w:spacing w:val="-6"/>
          <w:lang w:val="sk-SK"/>
        </w:rPr>
        <w:t xml:space="preserve"> s </w:t>
      </w:r>
      <w:r w:rsidRPr="00326E55">
        <w:rPr>
          <w:noProof/>
          <w:spacing w:val="-6"/>
          <w:lang w:val="sk-SK"/>
        </w:rPr>
        <w:t>cieľom zabezpečiť strategickú víziu talianskeho prístavného systému. Reformou sa regulujú minimálne i) rozvojové ciele orgánov prístavného systému; II) určené</w:t>
      </w:r>
      <w:r w:rsidR="00326E55" w:rsidRPr="00326E55">
        <w:rPr>
          <w:noProof/>
          <w:spacing w:val="-6"/>
          <w:lang w:val="sk-SK"/>
        </w:rPr>
        <w:t xml:space="preserve"> a </w:t>
      </w:r>
      <w:r w:rsidRPr="00326E55">
        <w:rPr>
          <w:noProof/>
          <w:spacing w:val="-6"/>
          <w:lang w:val="sk-SK"/>
        </w:rPr>
        <w:t>načrtnuté oblasti určené výlučne na funkcie prístavu</w:t>
      </w:r>
      <w:r w:rsidR="00326E55" w:rsidRPr="00326E55">
        <w:rPr>
          <w:noProof/>
          <w:spacing w:val="-6"/>
          <w:lang w:val="sk-SK"/>
        </w:rPr>
        <w:t xml:space="preserve"> a </w:t>
      </w:r>
      <w:r w:rsidRPr="00326E55">
        <w:rPr>
          <w:noProof/>
          <w:spacing w:val="-6"/>
          <w:lang w:val="sk-SK"/>
        </w:rPr>
        <w:t xml:space="preserve">zadného prístavu, iii) </w:t>
      </w:r>
      <w:r w:rsidRPr="00326E55">
        <w:rPr>
          <w:noProof/>
          <w:spacing w:val="-6"/>
          <w:lang w:val="sk-SK"/>
        </w:rPr>
        <w:t>na poslednom úseku infraštruktúrnych spojení ciest</w:t>
      </w:r>
      <w:r w:rsidR="00326E55" w:rsidRPr="00326E55">
        <w:rPr>
          <w:noProof/>
          <w:spacing w:val="-6"/>
          <w:lang w:val="sk-SK"/>
        </w:rPr>
        <w:t xml:space="preserve"> a </w:t>
      </w:r>
      <w:r w:rsidRPr="00326E55">
        <w:rPr>
          <w:noProof/>
          <w:spacing w:val="-6"/>
          <w:lang w:val="sk-SK"/>
        </w:rPr>
        <w:t>železníc</w:t>
      </w:r>
      <w:r w:rsidR="00326E55" w:rsidRPr="00326E55">
        <w:rPr>
          <w:noProof/>
          <w:spacing w:val="-6"/>
          <w:lang w:val="sk-SK"/>
        </w:rPr>
        <w:t xml:space="preserve"> s </w:t>
      </w:r>
      <w:r w:rsidRPr="00326E55">
        <w:rPr>
          <w:noProof/>
          <w:spacing w:val="-6"/>
          <w:lang w:val="sk-SK"/>
        </w:rPr>
        <w:t>prístavmi, iv) kritériá, ktoré sa dodržiavajú pri určovaní obsahu plánovania</w:t>
      </w:r>
      <w:r w:rsidR="00326E55" w:rsidRPr="00326E55">
        <w:rPr>
          <w:noProof/>
          <w:spacing w:val="-6"/>
          <w:lang w:val="sk-SK"/>
        </w:rPr>
        <w:t xml:space="preserve"> a </w:t>
      </w:r>
      <w:r w:rsidRPr="00326E55">
        <w:rPr>
          <w:noProof/>
          <w:spacing w:val="-6"/>
          <w:lang w:val="sk-SK"/>
        </w:rPr>
        <w:t>v) musia jednoznačne identifikovať usmernenia, pravidlá</w:t>
      </w:r>
      <w:r w:rsidR="00326E55" w:rsidRPr="00326E55">
        <w:rPr>
          <w:noProof/>
          <w:spacing w:val="-6"/>
          <w:lang w:val="sk-SK"/>
        </w:rPr>
        <w:t xml:space="preserve"> a </w:t>
      </w:r>
      <w:r w:rsidRPr="00326E55">
        <w:rPr>
          <w:noProof/>
          <w:spacing w:val="-6"/>
          <w:lang w:val="sk-SK"/>
        </w:rPr>
        <w:t>postupy na prípravu prístavných regulačných plánov.</w:t>
      </w:r>
    </w:p>
    <w:p w14:paraId="23044643" w14:textId="77777777" w:rsidR="00326E55" w:rsidRPr="00326E55" w:rsidRDefault="00FB452D">
      <w:pPr>
        <w:pStyle w:val="P68B1DB1-Normal5"/>
        <w:spacing w:before="120" w:after="120" w:line="257" w:lineRule="auto"/>
        <w:jc w:val="both"/>
        <w:rPr>
          <w:noProof/>
          <w:spacing w:val="-6"/>
          <w:lang w:val="sk-SK"/>
        </w:rPr>
      </w:pPr>
      <w:r w:rsidRPr="00326E55">
        <w:rPr>
          <w:noProof/>
          <w:spacing w:val="-6"/>
          <w:lang w:val="sk-SK"/>
        </w:rPr>
        <w:t>Ref</w:t>
      </w:r>
      <w:r w:rsidRPr="00326E55">
        <w:rPr>
          <w:noProof/>
          <w:spacing w:val="-6"/>
          <w:lang w:val="sk-SK"/>
        </w:rPr>
        <w:t>orma 1.2 – Konkurenčné udeľovanie koncesií</w:t>
      </w:r>
      <w:r w:rsidR="00326E55" w:rsidRPr="00326E55">
        <w:rPr>
          <w:noProof/>
          <w:spacing w:val="-6"/>
          <w:lang w:val="sk-SK"/>
        </w:rPr>
        <w:t xml:space="preserve"> v </w:t>
      </w:r>
      <w:r w:rsidRPr="00326E55">
        <w:rPr>
          <w:noProof/>
          <w:spacing w:val="-6"/>
          <w:lang w:val="sk-SK"/>
        </w:rPr>
        <w:t>talianskych prístavoch</w:t>
      </w:r>
    </w:p>
    <w:p w14:paraId="5F5CF24F" w14:textId="4F163BE3"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Cieľom tohto opatrenia je vymedziť podmienky týkajúce sa trvania koncesie, právomocí orgánov udeľujúcich koncesie</w:t>
      </w:r>
      <w:r w:rsidR="00326E55" w:rsidRPr="00326E55">
        <w:rPr>
          <w:noProof/>
          <w:spacing w:val="-6"/>
          <w:lang w:val="sk-SK"/>
        </w:rPr>
        <w:t xml:space="preserve"> v </w:t>
      </w:r>
      <w:r w:rsidRPr="00326E55">
        <w:rPr>
          <w:noProof/>
          <w:spacing w:val="-6"/>
          <w:lang w:val="sk-SK"/>
        </w:rPr>
        <w:t>oblasti dohľadu</w:t>
      </w:r>
      <w:r w:rsidR="00326E55" w:rsidRPr="00326E55">
        <w:rPr>
          <w:noProof/>
          <w:spacing w:val="-6"/>
          <w:lang w:val="sk-SK"/>
        </w:rPr>
        <w:t xml:space="preserve"> a </w:t>
      </w:r>
      <w:r w:rsidRPr="00326E55">
        <w:rPr>
          <w:noProof/>
          <w:spacing w:val="-6"/>
          <w:lang w:val="sk-SK"/>
        </w:rPr>
        <w:t>kontroly, postupov obnovy, prevodu zariadení na nového</w:t>
      </w:r>
      <w:r w:rsidRPr="00326E55">
        <w:rPr>
          <w:noProof/>
          <w:spacing w:val="-6"/>
          <w:lang w:val="sk-SK"/>
        </w:rPr>
        <w:t xml:space="preserve"> koncesionára na konci koncesie</w:t>
      </w:r>
      <w:r w:rsidR="00326E55" w:rsidRPr="00326E55">
        <w:rPr>
          <w:noProof/>
          <w:spacing w:val="-6"/>
          <w:lang w:val="sk-SK"/>
        </w:rPr>
        <w:t xml:space="preserve"> a </w:t>
      </w:r>
      <w:r w:rsidRPr="00326E55">
        <w:rPr>
          <w:noProof/>
          <w:spacing w:val="-6"/>
          <w:lang w:val="sk-SK"/>
        </w:rPr>
        <w:t>určenia minimálnych limitov poplatkov účtovaných koncesionárom.</w:t>
      </w:r>
    </w:p>
    <w:p w14:paraId="0BC8BB5C" w14:textId="77777777" w:rsidR="00BF03AA" w:rsidRPr="00326E55" w:rsidRDefault="00BF03AA">
      <w:pPr>
        <w:spacing w:before="120" w:after="120"/>
        <w:jc w:val="both"/>
        <w:rPr>
          <w:rFonts w:ascii="Times New Roman" w:eastAsia="Calibri" w:hAnsi="Times New Roman" w:cs="Times New Roman"/>
          <w:noProof/>
          <w:spacing w:val="-6"/>
          <w:lang w:val="sk-SK"/>
        </w:rPr>
      </w:pPr>
    </w:p>
    <w:p w14:paraId="369EF365" w14:textId="77777777" w:rsidR="00326E55" w:rsidRPr="00326E55" w:rsidRDefault="00FB452D">
      <w:pPr>
        <w:pStyle w:val="P68B1DB1-Normal5"/>
        <w:spacing w:before="120" w:after="120"/>
        <w:jc w:val="both"/>
        <w:rPr>
          <w:noProof/>
          <w:spacing w:val="-6"/>
          <w:lang w:val="sk-SK"/>
        </w:rPr>
      </w:pPr>
      <w:r w:rsidRPr="00326E55">
        <w:rPr>
          <w:noProof/>
          <w:spacing w:val="-6"/>
          <w:lang w:val="sk-SK"/>
        </w:rPr>
        <w:t>Reforma 1.3 – Zjednodušenie postupov povoľovania žehlenia za studena</w:t>
      </w:r>
      <w:r w:rsidR="00326E55" w:rsidRPr="00326E55">
        <w:rPr>
          <w:noProof/>
          <w:spacing w:val="-6"/>
          <w:lang w:val="sk-SK"/>
        </w:rPr>
        <w:t xml:space="preserve"> v </w:t>
      </w:r>
      <w:r w:rsidRPr="00326E55">
        <w:rPr>
          <w:noProof/>
          <w:spacing w:val="-6"/>
          <w:lang w:val="sk-SK"/>
        </w:rPr>
        <w:t>talianskych prístavoch</w:t>
      </w:r>
    </w:p>
    <w:p w14:paraId="5BDCF156" w14:textId="76084729"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Očakáva sa, že týmto opatrením sa zjednoduší</w:t>
      </w:r>
      <w:r w:rsidR="00326E55" w:rsidRPr="00326E55">
        <w:rPr>
          <w:noProof/>
          <w:spacing w:val="-6"/>
          <w:lang w:val="sk-SK"/>
        </w:rPr>
        <w:t xml:space="preserve"> a </w:t>
      </w:r>
      <w:r w:rsidRPr="00326E55">
        <w:rPr>
          <w:noProof/>
          <w:spacing w:val="-6"/>
          <w:lang w:val="sk-SK"/>
        </w:rPr>
        <w:t>zredukuje povoľo</w:t>
      </w:r>
      <w:r w:rsidRPr="00326E55">
        <w:rPr>
          <w:noProof/>
          <w:spacing w:val="-6"/>
          <w:lang w:val="sk-SK"/>
        </w:rPr>
        <w:t>vacie konanie týkajúce sa výstavby národných elektrární na prenos elektrickej energie na pohon distribučných sústav na zásobovanie lodí elektrickou energiou (</w:t>
      </w:r>
      <w:r w:rsidRPr="00326E55">
        <w:rPr>
          <w:i/>
          <w:noProof/>
          <w:spacing w:val="-6"/>
          <w:lang w:val="sk-SK"/>
        </w:rPr>
        <w:t>žehlenie za studena</w:t>
      </w:r>
      <w:r w:rsidRPr="00326E55">
        <w:rPr>
          <w:noProof/>
          <w:spacing w:val="-6"/>
          <w:lang w:val="sk-SK"/>
        </w:rPr>
        <w:t>).</w:t>
      </w:r>
    </w:p>
    <w:p w14:paraId="27EED18C" w14:textId="78361939" w:rsidR="00326E55" w:rsidRPr="00326E55" w:rsidRDefault="00FB452D">
      <w:pPr>
        <w:pStyle w:val="P68B1DB1-Normal7"/>
        <w:spacing w:before="120" w:after="120"/>
        <w:jc w:val="both"/>
        <w:rPr>
          <w:noProof/>
          <w:spacing w:val="-6"/>
          <w:lang w:val="sk-SK"/>
        </w:rPr>
      </w:pPr>
      <w:r w:rsidRPr="00326E55">
        <w:rPr>
          <w:noProof/>
          <w:spacing w:val="-6"/>
          <w:lang w:val="sk-SK"/>
        </w:rPr>
        <w:t>Ministerstvo infraštruktúry</w:t>
      </w:r>
      <w:r w:rsidR="00326E55" w:rsidRPr="00326E55">
        <w:rPr>
          <w:noProof/>
          <w:spacing w:val="-6"/>
          <w:lang w:val="sk-SK"/>
        </w:rPr>
        <w:t xml:space="preserve"> a </w:t>
      </w:r>
      <w:r w:rsidRPr="00326E55">
        <w:rPr>
          <w:noProof/>
          <w:spacing w:val="-6"/>
          <w:lang w:val="sk-SK"/>
        </w:rPr>
        <w:t xml:space="preserve">dopravy predloží návrh na zefektívnenie </w:t>
      </w:r>
      <w:r w:rsidRPr="00326E55">
        <w:rPr>
          <w:noProof/>
          <w:spacing w:val="-6"/>
          <w:lang w:val="sk-SK"/>
        </w:rPr>
        <w:t>povoľovacieho procesu. Navrhuje sa najmä, aby územné úrady, ktoré podávajú správy ministerstvu hospodárskeho rozvoja, vyhodnotili projekty žehlenia za studena, ktoré by mohli</w:t>
      </w:r>
      <w:r w:rsidR="00326E55" w:rsidRPr="00326E55">
        <w:rPr>
          <w:noProof/>
          <w:spacing w:val="-6"/>
          <w:lang w:val="sk-SK"/>
        </w:rPr>
        <w:t xml:space="preserve"> v </w:t>
      </w:r>
      <w:r w:rsidRPr="00326E55">
        <w:rPr>
          <w:noProof/>
          <w:spacing w:val="-6"/>
          <w:lang w:val="sk-SK"/>
        </w:rPr>
        <w:t>kratšom čase projekty študovať</w:t>
      </w:r>
      <w:r w:rsidR="00326E55" w:rsidRPr="00326E55">
        <w:rPr>
          <w:noProof/>
          <w:spacing w:val="-6"/>
          <w:lang w:val="sk-SK"/>
        </w:rPr>
        <w:t xml:space="preserve"> a </w:t>
      </w:r>
      <w:r w:rsidRPr="00326E55">
        <w:rPr>
          <w:noProof/>
          <w:spacing w:val="-6"/>
          <w:lang w:val="sk-SK"/>
        </w:rPr>
        <w:t>následne ich schváliť. Okrem toho sa predpokla</w:t>
      </w:r>
      <w:r w:rsidRPr="00326E55">
        <w:rPr>
          <w:noProof/>
          <w:spacing w:val="-6"/>
          <w:lang w:val="sk-SK"/>
        </w:rPr>
        <w:t>dá regulačný zásah</w:t>
      </w:r>
      <w:r w:rsidR="00326E55" w:rsidRPr="00326E55">
        <w:rPr>
          <w:noProof/>
          <w:spacing w:val="-6"/>
          <w:lang w:val="sk-SK"/>
        </w:rPr>
        <w:t xml:space="preserve"> s </w:t>
      </w:r>
      <w:r w:rsidRPr="00326E55">
        <w:rPr>
          <w:noProof/>
          <w:spacing w:val="-6"/>
          <w:lang w:val="sk-SK"/>
        </w:rPr>
        <w:t>cieľom určiť jednotný postup schvaľovania projektov, ktoré zahŕňajú napätie vyššie ako 132 kV</w:t>
      </w:r>
      <w:r w:rsidR="00326E55" w:rsidRPr="00326E55">
        <w:rPr>
          <w:noProof/>
          <w:spacing w:val="-6"/>
          <w:lang w:val="sk-SK"/>
        </w:rPr>
        <w:t xml:space="preserve"> a </w:t>
      </w:r>
      <w:r w:rsidRPr="00326E55">
        <w:rPr>
          <w:noProof/>
          <w:spacing w:val="-6"/>
          <w:lang w:val="sk-SK"/>
        </w:rPr>
        <w:t>zvyšok,</w:t>
      </w:r>
      <w:r w:rsidR="00326E55" w:rsidRPr="00326E55">
        <w:rPr>
          <w:noProof/>
          <w:spacing w:val="-6"/>
          <w:lang w:val="sk-SK"/>
        </w:rPr>
        <w:t xml:space="preserve"> s </w:t>
      </w:r>
      <w:r w:rsidRPr="00326E55">
        <w:rPr>
          <w:noProof/>
          <w:spacing w:val="-6"/>
          <w:lang w:val="sk-SK"/>
        </w:rPr>
        <w:t>cieľom využiť synergie procesu</w:t>
      </w:r>
      <w:r w:rsidR="00326E55" w:rsidRPr="00326E55">
        <w:rPr>
          <w:noProof/>
          <w:spacing w:val="-6"/>
          <w:lang w:val="sk-SK"/>
        </w:rPr>
        <w:t>.</w:t>
      </w:r>
    </w:p>
    <w:p w14:paraId="52B87AFB" w14:textId="1DE65245"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Reforma 2.1: Zavedenie centrálneho elektronického priečinka pre colníctvo („Sportello Unico Dogan</w:t>
      </w:r>
      <w:r w:rsidRPr="00326E55">
        <w:rPr>
          <w:noProof/>
          <w:spacing w:val="-6"/>
          <w:lang w:val="sk-SK"/>
        </w:rPr>
        <w:t>ale“)</w:t>
      </w:r>
    </w:p>
    <w:p w14:paraId="0A52D7C9" w14:textId="1AD5A8C7" w:rsidR="00BF03AA" w:rsidRPr="00326E55" w:rsidRDefault="00FB452D">
      <w:pPr>
        <w:pStyle w:val="P68B1DB1-Normal7"/>
        <w:spacing w:before="120" w:after="120"/>
        <w:jc w:val="both"/>
        <w:rPr>
          <w:noProof/>
          <w:spacing w:val="-6"/>
          <w:lang w:val="sk-SK"/>
        </w:rPr>
      </w:pPr>
      <w:r w:rsidRPr="00326E55">
        <w:rPr>
          <w:noProof/>
          <w:spacing w:val="-6"/>
          <w:lang w:val="sk-SK"/>
        </w:rPr>
        <w:t>Cieľom je vytvoriť špecializovaný portál pre jednotné kontaktné miesto, ktorý umožní interoperabilitu</w:t>
      </w:r>
      <w:r w:rsidR="00326E55" w:rsidRPr="00326E55">
        <w:rPr>
          <w:noProof/>
          <w:spacing w:val="-6"/>
          <w:lang w:val="sk-SK"/>
        </w:rPr>
        <w:t xml:space="preserve"> s </w:t>
      </w:r>
      <w:r w:rsidRPr="00326E55">
        <w:rPr>
          <w:noProof/>
          <w:spacing w:val="-6"/>
          <w:lang w:val="sk-SK"/>
        </w:rPr>
        <w:t>vnútroštátnymi databázami</w:t>
      </w:r>
      <w:r w:rsidR="00326E55" w:rsidRPr="00326E55">
        <w:rPr>
          <w:noProof/>
          <w:spacing w:val="-6"/>
          <w:lang w:val="sk-SK"/>
        </w:rPr>
        <w:t xml:space="preserve"> a </w:t>
      </w:r>
      <w:r w:rsidRPr="00326E55">
        <w:rPr>
          <w:noProof/>
          <w:spacing w:val="-6"/>
          <w:lang w:val="sk-SK"/>
        </w:rPr>
        <w:t>koordináciu kontrolných činností colných orgánov.</w:t>
      </w:r>
    </w:p>
    <w:p w14:paraId="272D0360" w14:textId="77777777" w:rsidR="00BF03AA" w:rsidRPr="00326E55" w:rsidRDefault="00FB452D">
      <w:pPr>
        <w:pStyle w:val="P68B1DB1-Normal5"/>
        <w:spacing w:before="120" w:after="120"/>
        <w:jc w:val="both"/>
        <w:rPr>
          <w:bCs/>
          <w:noProof/>
          <w:spacing w:val="-6"/>
          <w:lang w:val="sk-SK"/>
        </w:rPr>
      </w:pPr>
      <w:r w:rsidRPr="00326E55">
        <w:rPr>
          <w:noProof/>
          <w:spacing w:val="-6"/>
          <w:lang w:val="sk-SK"/>
        </w:rPr>
        <w:t>Investícia 2.1: Digitalizácia logistického reťazca</w:t>
      </w:r>
    </w:p>
    <w:p w14:paraId="04E74D0D" w14:textId="5BD3B2FE" w:rsidR="00BF03AA" w:rsidRPr="00326E55" w:rsidRDefault="00FB452D">
      <w:pPr>
        <w:pStyle w:val="P68B1DB1-Normal7"/>
        <w:spacing w:before="120" w:after="120"/>
        <w:jc w:val="both"/>
        <w:rPr>
          <w:noProof/>
          <w:spacing w:val="-6"/>
          <w:lang w:val="sk-SK"/>
        </w:rPr>
      </w:pPr>
      <w:r w:rsidRPr="00326E55">
        <w:rPr>
          <w:noProof/>
          <w:spacing w:val="-6"/>
          <w:lang w:val="sk-SK"/>
        </w:rPr>
        <w:t>Cieľom tejto inve</w:t>
      </w:r>
      <w:r w:rsidRPr="00326E55">
        <w:rPr>
          <w:noProof/>
          <w:spacing w:val="-6"/>
          <w:lang w:val="sk-SK"/>
        </w:rPr>
        <w:t>stície je zvýšiť konkurencieschopnosť národnej logistiky zjednodušením postupov, procesov</w:t>
      </w:r>
      <w:r w:rsidR="00326E55" w:rsidRPr="00326E55">
        <w:rPr>
          <w:noProof/>
          <w:spacing w:val="-6"/>
          <w:lang w:val="sk-SK"/>
        </w:rPr>
        <w:t xml:space="preserve"> a </w:t>
      </w:r>
      <w:r w:rsidRPr="00326E55">
        <w:rPr>
          <w:noProof/>
          <w:spacing w:val="-6"/>
          <w:lang w:val="sk-SK"/>
        </w:rPr>
        <w:t>kontrol</w:t>
      </w:r>
      <w:r w:rsidR="00326E55" w:rsidRPr="00326E55">
        <w:rPr>
          <w:noProof/>
          <w:spacing w:val="-6"/>
          <w:lang w:val="sk-SK"/>
        </w:rPr>
        <w:t xml:space="preserve"> a </w:t>
      </w:r>
      <w:r w:rsidRPr="00326E55">
        <w:rPr>
          <w:noProof/>
          <w:spacing w:val="-6"/>
          <w:lang w:val="sk-SK"/>
        </w:rPr>
        <w:t>zameraním sa na dematerializáciu dokumentov</w:t>
      </w:r>
      <w:r w:rsidR="00326E55" w:rsidRPr="00326E55">
        <w:rPr>
          <w:noProof/>
          <w:spacing w:val="-6"/>
          <w:lang w:val="sk-SK"/>
        </w:rPr>
        <w:t xml:space="preserve"> a </w:t>
      </w:r>
      <w:r w:rsidRPr="00326E55">
        <w:rPr>
          <w:noProof/>
          <w:spacing w:val="-6"/>
          <w:lang w:val="sk-SK"/>
        </w:rPr>
        <w:t>výmenu údajov</w:t>
      </w:r>
      <w:r w:rsidR="00326E55" w:rsidRPr="00326E55">
        <w:rPr>
          <w:noProof/>
          <w:spacing w:val="-6"/>
          <w:lang w:val="sk-SK"/>
        </w:rPr>
        <w:t xml:space="preserve"> a </w:t>
      </w:r>
      <w:r w:rsidRPr="00326E55">
        <w:rPr>
          <w:noProof/>
          <w:spacing w:val="-6"/>
          <w:lang w:val="sk-SK"/>
        </w:rPr>
        <w:t>informácií. Táto investícia pozostáva</w:t>
      </w:r>
      <w:r w:rsidR="00326E55" w:rsidRPr="00326E55">
        <w:rPr>
          <w:noProof/>
          <w:spacing w:val="-6"/>
          <w:lang w:val="sk-SK"/>
        </w:rPr>
        <w:t xml:space="preserve"> z </w:t>
      </w:r>
      <w:r w:rsidRPr="00326E55">
        <w:rPr>
          <w:noProof/>
          <w:spacing w:val="-6"/>
          <w:lang w:val="sk-SK"/>
        </w:rPr>
        <w:t>vytvorenia interoperabilného digitálneho systému med</w:t>
      </w:r>
      <w:r w:rsidRPr="00326E55">
        <w:rPr>
          <w:noProof/>
          <w:spacing w:val="-6"/>
          <w:lang w:val="sk-SK"/>
        </w:rPr>
        <w:t>zi verejnými</w:t>
      </w:r>
      <w:r w:rsidR="00326E55" w:rsidRPr="00326E55">
        <w:rPr>
          <w:noProof/>
          <w:spacing w:val="-6"/>
          <w:lang w:val="sk-SK"/>
        </w:rPr>
        <w:t xml:space="preserve"> a </w:t>
      </w:r>
      <w:r w:rsidRPr="00326E55">
        <w:rPr>
          <w:noProof/>
          <w:spacing w:val="-6"/>
          <w:lang w:val="sk-SK"/>
        </w:rPr>
        <w:t>súkromnými subjektmi</w:t>
      </w:r>
      <w:r w:rsidR="00326E55" w:rsidRPr="00326E55">
        <w:rPr>
          <w:noProof/>
          <w:spacing w:val="-6"/>
          <w:lang w:val="sk-SK"/>
        </w:rPr>
        <w:t xml:space="preserve"> v </w:t>
      </w:r>
      <w:r w:rsidRPr="00326E55">
        <w:rPr>
          <w:noProof/>
          <w:spacing w:val="-6"/>
          <w:lang w:val="sk-SK"/>
        </w:rPr>
        <w:t>oblasti nákladnej dopravy</w:t>
      </w:r>
      <w:r w:rsidR="00326E55" w:rsidRPr="00326E55">
        <w:rPr>
          <w:noProof/>
          <w:spacing w:val="-6"/>
          <w:lang w:val="sk-SK"/>
        </w:rPr>
        <w:t xml:space="preserve"> a </w:t>
      </w:r>
      <w:r w:rsidRPr="00326E55">
        <w:rPr>
          <w:noProof/>
          <w:spacing w:val="-6"/>
          <w:lang w:val="sk-SK"/>
        </w:rPr>
        <w:t>logistiky.</w:t>
      </w:r>
    </w:p>
    <w:p w14:paraId="388390AA" w14:textId="77777777" w:rsidR="00BF03AA" w:rsidRPr="00326E55" w:rsidRDefault="00FB452D">
      <w:pPr>
        <w:pStyle w:val="P68B1DB1-Normal5"/>
        <w:rPr>
          <w:bCs/>
          <w:noProof/>
          <w:spacing w:val="-6"/>
          <w:lang w:val="sk-SK"/>
        </w:rPr>
      </w:pPr>
      <w:r w:rsidRPr="00326E55">
        <w:rPr>
          <w:noProof/>
          <w:spacing w:val="-6"/>
          <w:lang w:val="sk-SK"/>
        </w:rPr>
        <w:t>Investícia 2.2: Digitalizácia manažmentu letovej prevádzky.</w:t>
      </w:r>
    </w:p>
    <w:p w14:paraId="2A51924A" w14:textId="0963CA7C"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Cieľom tejto investície je vyvinúť nové nástroje na digitalizáciu leteckých informácií</w:t>
      </w:r>
      <w:r w:rsidR="00326E55" w:rsidRPr="00326E55">
        <w:rPr>
          <w:noProof/>
          <w:spacing w:val="-6"/>
          <w:lang w:val="sk-SK"/>
        </w:rPr>
        <w:t xml:space="preserve"> a </w:t>
      </w:r>
      <w:r w:rsidRPr="00326E55">
        <w:rPr>
          <w:noProof/>
          <w:spacing w:val="-6"/>
          <w:lang w:val="sk-SK"/>
        </w:rPr>
        <w:t>zaviesť bezpilotné letecké pla</w:t>
      </w:r>
      <w:r w:rsidRPr="00326E55">
        <w:rPr>
          <w:noProof/>
          <w:spacing w:val="-6"/>
          <w:lang w:val="sk-SK"/>
        </w:rPr>
        <w:t>tformy</w:t>
      </w:r>
      <w:r w:rsidR="00326E55" w:rsidRPr="00326E55">
        <w:rPr>
          <w:noProof/>
          <w:spacing w:val="-6"/>
          <w:lang w:val="sk-SK"/>
        </w:rPr>
        <w:t xml:space="preserve"> a </w:t>
      </w:r>
      <w:r w:rsidRPr="00326E55">
        <w:rPr>
          <w:noProof/>
          <w:spacing w:val="-6"/>
          <w:lang w:val="sk-SK"/>
        </w:rPr>
        <w:t>služby. Investícia pozostáva</w:t>
      </w:r>
      <w:r w:rsidR="00326E55" w:rsidRPr="00326E55">
        <w:rPr>
          <w:noProof/>
          <w:spacing w:val="-6"/>
          <w:lang w:val="sk-SK"/>
        </w:rPr>
        <w:t xml:space="preserve"> z </w:t>
      </w:r>
      <w:r w:rsidRPr="00326E55">
        <w:rPr>
          <w:noProof/>
          <w:spacing w:val="-6"/>
          <w:lang w:val="sk-SK"/>
        </w:rPr>
        <w:t>vývoja</w:t>
      </w:r>
      <w:r w:rsidR="00326E55" w:rsidRPr="00326E55">
        <w:rPr>
          <w:noProof/>
          <w:spacing w:val="-6"/>
          <w:lang w:val="sk-SK"/>
        </w:rPr>
        <w:t xml:space="preserve"> a </w:t>
      </w:r>
      <w:r w:rsidRPr="00326E55">
        <w:rPr>
          <w:noProof/>
          <w:spacing w:val="-6"/>
          <w:lang w:val="sk-SK"/>
        </w:rPr>
        <w:t>prepojenia systému riadenia bezpilotnej dopravy (UTMS), digitalizácie leteckých informácií</w:t>
      </w:r>
      <w:r w:rsidR="00326E55" w:rsidRPr="00326E55">
        <w:rPr>
          <w:noProof/>
          <w:spacing w:val="-6"/>
          <w:lang w:val="sk-SK"/>
        </w:rPr>
        <w:t xml:space="preserve"> a </w:t>
      </w:r>
      <w:r w:rsidRPr="00326E55">
        <w:rPr>
          <w:noProof/>
          <w:spacing w:val="-6"/>
          <w:lang w:val="sk-SK"/>
        </w:rPr>
        <w:t>vymedzenia nového modelu údržby.</w:t>
      </w:r>
    </w:p>
    <w:p w14:paraId="23A59891" w14:textId="77777777" w:rsidR="00326E55" w:rsidRPr="00326E55" w:rsidRDefault="00FB452D">
      <w:pPr>
        <w:pStyle w:val="paragraph"/>
        <w:spacing w:before="0" w:beforeAutospacing="0" w:after="0" w:afterAutospacing="0"/>
        <w:jc w:val="both"/>
        <w:textAlignment w:val="baseline"/>
        <w:rPr>
          <w:rStyle w:val="eop"/>
          <w:noProof/>
          <w:spacing w:val="-6"/>
          <w:lang w:val="sk-SK"/>
        </w:rPr>
      </w:pPr>
      <w:r w:rsidRPr="00326E55">
        <w:rPr>
          <w:rStyle w:val="normaltextrun"/>
          <w:b/>
          <w:noProof/>
          <w:spacing w:val="-6"/>
          <w:lang w:val="sk-SK"/>
        </w:rPr>
        <w:t>Investícia 2.3: Žehlenie za studena</w:t>
      </w:r>
    </w:p>
    <w:p w14:paraId="64CBB954" w14:textId="0AEC3B24" w:rsidR="00BF03AA" w:rsidRPr="00326E55" w:rsidRDefault="00FB452D">
      <w:pPr>
        <w:pStyle w:val="paragraph"/>
        <w:spacing w:line="278" w:lineRule="auto"/>
        <w:jc w:val="both"/>
        <w:rPr>
          <w:rStyle w:val="normaltextrun"/>
          <w:noProof/>
          <w:spacing w:val="-6"/>
          <w:sz w:val="22"/>
          <w:szCs w:val="22"/>
          <w:lang w:val="sk-SK"/>
        </w:rPr>
      </w:pPr>
      <w:r w:rsidRPr="00326E55">
        <w:rPr>
          <w:rStyle w:val="normaltextrun"/>
          <w:noProof/>
          <w:spacing w:val="-6"/>
          <w:sz w:val="22"/>
          <w:szCs w:val="22"/>
          <w:lang w:val="sk-SK"/>
        </w:rPr>
        <w:t>Cieľom tejto investície je znížiť emisie skle</w:t>
      </w:r>
      <w:r w:rsidRPr="00326E55">
        <w:rPr>
          <w:rStyle w:val="normaltextrun"/>
          <w:noProof/>
          <w:spacing w:val="-6"/>
          <w:sz w:val="22"/>
          <w:szCs w:val="22"/>
          <w:lang w:val="sk-SK"/>
        </w:rPr>
        <w:t>níkových plynov</w:t>
      </w:r>
      <w:r w:rsidR="00326E55" w:rsidRPr="00326E55">
        <w:rPr>
          <w:rStyle w:val="normaltextrun"/>
          <w:noProof/>
          <w:spacing w:val="-6"/>
          <w:sz w:val="22"/>
          <w:szCs w:val="22"/>
          <w:lang w:val="sk-SK"/>
        </w:rPr>
        <w:t xml:space="preserve"> v </w:t>
      </w:r>
      <w:r w:rsidRPr="00326E55">
        <w:rPr>
          <w:rStyle w:val="normaltextrun"/>
          <w:noProof/>
          <w:spacing w:val="-6"/>
          <w:sz w:val="22"/>
          <w:szCs w:val="22"/>
          <w:lang w:val="sk-SK"/>
        </w:rPr>
        <w:t>námornom odvetví. Táto investícia pozostáva</w:t>
      </w:r>
      <w:r w:rsidR="00326E55" w:rsidRPr="00326E55">
        <w:rPr>
          <w:rStyle w:val="normaltextrun"/>
          <w:noProof/>
          <w:spacing w:val="-6"/>
          <w:sz w:val="22"/>
          <w:szCs w:val="22"/>
          <w:lang w:val="sk-SK"/>
        </w:rPr>
        <w:t xml:space="preserve"> z </w:t>
      </w:r>
      <w:r w:rsidRPr="00326E55">
        <w:rPr>
          <w:rStyle w:val="normaltextrun"/>
          <w:noProof/>
          <w:spacing w:val="-6"/>
          <w:sz w:val="22"/>
          <w:szCs w:val="22"/>
          <w:lang w:val="sk-SK"/>
        </w:rPr>
        <w:t>vybudovania siete na dodávku elektrickej energie</w:t>
      </w:r>
      <w:r w:rsidR="00326E55" w:rsidRPr="00326E55">
        <w:rPr>
          <w:rStyle w:val="normaltextrun"/>
          <w:noProof/>
          <w:spacing w:val="-6"/>
          <w:sz w:val="22"/>
          <w:szCs w:val="22"/>
          <w:lang w:val="sk-SK"/>
        </w:rPr>
        <w:t xml:space="preserve"> v </w:t>
      </w:r>
      <w:r w:rsidRPr="00326E55">
        <w:rPr>
          <w:rStyle w:val="normaltextrun"/>
          <w:noProof/>
          <w:spacing w:val="-6"/>
          <w:sz w:val="22"/>
          <w:szCs w:val="22"/>
          <w:lang w:val="sk-SK"/>
        </w:rPr>
        <w:t>prístavných oblastiach (doky)</w:t>
      </w:r>
      <w:r w:rsidR="00326E55" w:rsidRPr="00326E55">
        <w:rPr>
          <w:rStyle w:val="normaltextrun"/>
          <w:noProof/>
          <w:spacing w:val="-6"/>
          <w:sz w:val="22"/>
          <w:szCs w:val="22"/>
          <w:lang w:val="sk-SK"/>
        </w:rPr>
        <w:t xml:space="preserve"> a </w:t>
      </w:r>
      <w:r w:rsidRPr="00326E55">
        <w:rPr>
          <w:rStyle w:val="normaltextrun"/>
          <w:noProof/>
          <w:spacing w:val="-6"/>
          <w:sz w:val="22"/>
          <w:szCs w:val="22"/>
          <w:lang w:val="sk-SK"/>
        </w:rPr>
        <w:t>súvisiacej infraštruktúry pripojenia</w:t>
      </w:r>
      <w:r w:rsidR="00326E55" w:rsidRPr="00326E55">
        <w:rPr>
          <w:rStyle w:val="normaltextrun"/>
          <w:noProof/>
          <w:spacing w:val="-6"/>
          <w:sz w:val="22"/>
          <w:szCs w:val="22"/>
          <w:lang w:val="sk-SK"/>
        </w:rPr>
        <w:t xml:space="preserve"> k </w:t>
      </w:r>
      <w:r w:rsidRPr="00326E55">
        <w:rPr>
          <w:rStyle w:val="normaltextrun"/>
          <w:noProof/>
          <w:spacing w:val="-6"/>
          <w:sz w:val="22"/>
          <w:szCs w:val="22"/>
          <w:lang w:val="sk-SK"/>
        </w:rPr>
        <w:t>vnútroštátnej prenosovej sústave.</w:t>
      </w:r>
    </w:p>
    <w:p w14:paraId="60536842" w14:textId="34B37CE9" w:rsidR="00BF03AA" w:rsidRPr="00326E55" w:rsidRDefault="00FB452D">
      <w:pPr>
        <w:pStyle w:val="paragraph"/>
        <w:spacing w:line="278" w:lineRule="auto"/>
        <w:jc w:val="both"/>
        <w:rPr>
          <w:rStyle w:val="eop"/>
          <w:noProof/>
          <w:spacing w:val="-6"/>
          <w:sz w:val="22"/>
          <w:szCs w:val="22"/>
          <w:lang w:val="sk-SK"/>
        </w:rPr>
        <w:sectPr w:rsidR="00BF03AA" w:rsidRPr="00326E55" w:rsidSect="005F11B9">
          <w:headerReference w:type="even" r:id="rId152"/>
          <w:headerReference w:type="default" r:id="rId153"/>
          <w:footerReference w:type="even" r:id="rId154"/>
          <w:footerReference w:type="default" r:id="rId155"/>
          <w:headerReference w:type="first" r:id="rId156"/>
          <w:footerReference w:type="first" r:id="rId157"/>
          <w:pgSz w:w="11907" w:h="16839"/>
          <w:pgMar w:top="1134" w:right="1134" w:bottom="1134" w:left="1134" w:header="567" w:footer="567" w:gutter="0"/>
          <w:cols w:space="720"/>
          <w:docGrid w:linePitch="360"/>
        </w:sectPr>
      </w:pPr>
      <w:r w:rsidRPr="00326E55">
        <w:rPr>
          <w:rStyle w:val="eop"/>
          <w:noProof/>
          <w:spacing w:val="-6"/>
          <w:sz w:val="22"/>
          <w:szCs w:val="22"/>
          <w:lang w:val="sk-SK"/>
        </w:rPr>
        <w:t xml:space="preserve"> </w:t>
      </w:r>
    </w:p>
    <w:p w14:paraId="7AD396BF" w14:textId="62EFF952"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I.2.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1228"/>
        <w:gridCol w:w="1052"/>
        <w:gridCol w:w="1259"/>
        <w:gridCol w:w="1370"/>
        <w:gridCol w:w="1292"/>
        <w:gridCol w:w="1292"/>
        <w:gridCol w:w="1292"/>
        <w:gridCol w:w="1262"/>
        <w:gridCol w:w="592"/>
        <w:gridCol w:w="3184"/>
      </w:tblGrid>
      <w:tr w:rsidR="00BF03AA" w:rsidRPr="00326E55" w14:paraId="13411E8B" w14:textId="77777777">
        <w:trPr>
          <w:trHeight w:val="927"/>
          <w:tblHeader/>
          <w:jc w:val="center"/>
        </w:trPr>
        <w:tc>
          <w:tcPr>
            <w:tcW w:w="1051" w:type="dxa"/>
            <w:vMerge w:val="restart"/>
            <w:shd w:val="clear" w:color="auto" w:fill="BDD7EE"/>
            <w:vAlign w:val="center"/>
            <w:hideMark/>
          </w:tcPr>
          <w:p w14:paraId="224B175F"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číslo Číslo</w:t>
            </w:r>
          </w:p>
        </w:tc>
        <w:tc>
          <w:tcPr>
            <w:tcW w:w="1345" w:type="dxa"/>
            <w:vMerge w:val="restart"/>
            <w:shd w:val="clear" w:color="auto" w:fill="BDD7EE"/>
            <w:vAlign w:val="center"/>
            <w:hideMark/>
          </w:tcPr>
          <w:p w14:paraId="35CC6643"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977" w:type="dxa"/>
            <w:vMerge w:val="restart"/>
            <w:shd w:val="clear" w:color="auto" w:fill="BDD7EE"/>
            <w:vAlign w:val="center"/>
            <w:hideMark/>
          </w:tcPr>
          <w:p w14:paraId="7D7BEE8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380" w:type="dxa"/>
            <w:vMerge w:val="restart"/>
            <w:shd w:val="clear" w:color="auto" w:fill="BDD7EE"/>
            <w:vAlign w:val="center"/>
            <w:hideMark/>
          </w:tcPr>
          <w:p w14:paraId="1679C6B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504" w:type="dxa"/>
            <w:vMerge w:val="restart"/>
            <w:shd w:val="clear" w:color="auto" w:fill="BDD7EE"/>
            <w:vAlign w:val="center"/>
            <w:hideMark/>
          </w:tcPr>
          <w:p w14:paraId="58C9646C"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2764" w:type="dxa"/>
            <w:gridSpan w:val="3"/>
            <w:shd w:val="clear" w:color="auto" w:fill="BDD7EE"/>
            <w:vAlign w:val="center"/>
            <w:hideMark/>
          </w:tcPr>
          <w:p w14:paraId="411E6C6F"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2012" w:type="dxa"/>
            <w:gridSpan w:val="2"/>
            <w:shd w:val="clear" w:color="auto" w:fill="BDD7EE"/>
            <w:vAlign w:val="center"/>
            <w:hideMark/>
          </w:tcPr>
          <w:p w14:paraId="4732B91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3528" w:type="dxa"/>
            <w:vMerge w:val="restart"/>
            <w:shd w:val="clear" w:color="auto" w:fill="BDD7EE"/>
            <w:vAlign w:val="center"/>
            <w:hideMark/>
          </w:tcPr>
          <w:p w14:paraId="7FF27360" w14:textId="506D1680"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2C38A6E9" w14:textId="77777777">
        <w:trPr>
          <w:trHeight w:val="1013"/>
          <w:jc w:val="center"/>
        </w:trPr>
        <w:tc>
          <w:tcPr>
            <w:tcW w:w="1051" w:type="dxa"/>
            <w:vMerge/>
            <w:vAlign w:val="center"/>
            <w:hideMark/>
          </w:tcPr>
          <w:p w14:paraId="443D66EE" w14:textId="77777777" w:rsidR="00BF03AA" w:rsidRPr="00326E55" w:rsidRDefault="00BF03AA">
            <w:pPr>
              <w:jc w:val="center"/>
              <w:rPr>
                <w:rFonts w:ascii="Times New Roman" w:hAnsi="Times New Roman"/>
                <w:b/>
                <w:bCs/>
                <w:noProof/>
                <w:spacing w:val="-6"/>
                <w:sz w:val="20"/>
                <w:szCs w:val="20"/>
                <w:lang w:val="sk-SK"/>
              </w:rPr>
            </w:pPr>
          </w:p>
        </w:tc>
        <w:tc>
          <w:tcPr>
            <w:tcW w:w="1345" w:type="dxa"/>
            <w:vMerge/>
            <w:vAlign w:val="center"/>
            <w:hideMark/>
          </w:tcPr>
          <w:p w14:paraId="02A2874A" w14:textId="77777777" w:rsidR="00BF03AA" w:rsidRPr="00326E55" w:rsidRDefault="00BF03AA">
            <w:pPr>
              <w:jc w:val="center"/>
              <w:rPr>
                <w:rFonts w:ascii="Times New Roman" w:hAnsi="Times New Roman"/>
                <w:b/>
                <w:bCs/>
                <w:noProof/>
                <w:spacing w:val="-6"/>
                <w:sz w:val="20"/>
                <w:szCs w:val="20"/>
                <w:lang w:val="sk-SK"/>
              </w:rPr>
            </w:pPr>
          </w:p>
        </w:tc>
        <w:tc>
          <w:tcPr>
            <w:tcW w:w="977" w:type="dxa"/>
            <w:vMerge/>
            <w:vAlign w:val="center"/>
            <w:hideMark/>
          </w:tcPr>
          <w:p w14:paraId="302CD8A8" w14:textId="77777777" w:rsidR="00BF03AA" w:rsidRPr="00326E55" w:rsidRDefault="00BF03AA">
            <w:pPr>
              <w:jc w:val="center"/>
              <w:rPr>
                <w:rFonts w:ascii="Times New Roman" w:hAnsi="Times New Roman"/>
                <w:b/>
                <w:bCs/>
                <w:noProof/>
                <w:spacing w:val="-6"/>
                <w:sz w:val="20"/>
                <w:szCs w:val="20"/>
                <w:lang w:val="sk-SK"/>
              </w:rPr>
            </w:pPr>
          </w:p>
        </w:tc>
        <w:tc>
          <w:tcPr>
            <w:tcW w:w="1380" w:type="dxa"/>
            <w:vMerge/>
            <w:vAlign w:val="center"/>
            <w:hideMark/>
          </w:tcPr>
          <w:p w14:paraId="43807668" w14:textId="77777777" w:rsidR="00BF03AA" w:rsidRPr="00326E55" w:rsidRDefault="00BF03AA">
            <w:pPr>
              <w:jc w:val="center"/>
              <w:rPr>
                <w:rFonts w:ascii="Times New Roman" w:hAnsi="Times New Roman"/>
                <w:b/>
                <w:bCs/>
                <w:noProof/>
                <w:spacing w:val="-6"/>
                <w:sz w:val="20"/>
                <w:szCs w:val="20"/>
                <w:lang w:val="sk-SK"/>
              </w:rPr>
            </w:pPr>
          </w:p>
        </w:tc>
        <w:tc>
          <w:tcPr>
            <w:tcW w:w="1504" w:type="dxa"/>
            <w:vMerge/>
            <w:vAlign w:val="center"/>
            <w:hideMark/>
          </w:tcPr>
          <w:p w14:paraId="324B484D" w14:textId="77777777" w:rsidR="00BF03AA" w:rsidRPr="00326E55" w:rsidRDefault="00BF03AA">
            <w:pPr>
              <w:jc w:val="center"/>
              <w:rPr>
                <w:rFonts w:ascii="Times New Roman" w:hAnsi="Times New Roman"/>
                <w:b/>
                <w:bCs/>
                <w:noProof/>
                <w:spacing w:val="-6"/>
                <w:sz w:val="20"/>
                <w:szCs w:val="20"/>
                <w:lang w:val="sk-SK"/>
              </w:rPr>
            </w:pPr>
          </w:p>
        </w:tc>
        <w:tc>
          <w:tcPr>
            <w:tcW w:w="1060" w:type="dxa"/>
            <w:shd w:val="clear" w:color="auto" w:fill="BDD7EE"/>
            <w:vAlign w:val="center"/>
            <w:hideMark/>
          </w:tcPr>
          <w:p w14:paraId="0D21879E"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942" w:type="dxa"/>
            <w:shd w:val="clear" w:color="auto" w:fill="BDD7EE"/>
            <w:vAlign w:val="center"/>
            <w:hideMark/>
          </w:tcPr>
          <w:p w14:paraId="5A5C837A"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762" w:type="dxa"/>
            <w:shd w:val="clear" w:color="auto" w:fill="BDD7EE"/>
            <w:vAlign w:val="center"/>
            <w:hideMark/>
          </w:tcPr>
          <w:p w14:paraId="2A2CB95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83" w:type="dxa"/>
            <w:shd w:val="clear" w:color="auto" w:fill="BDD7EE"/>
            <w:vAlign w:val="center"/>
            <w:hideMark/>
          </w:tcPr>
          <w:p w14:paraId="10CDEB5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629" w:type="dxa"/>
            <w:shd w:val="clear" w:color="auto" w:fill="BDD7EE"/>
            <w:vAlign w:val="center"/>
            <w:hideMark/>
          </w:tcPr>
          <w:p w14:paraId="46C906D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3528" w:type="dxa"/>
            <w:vMerge/>
            <w:vAlign w:val="center"/>
            <w:hideMark/>
          </w:tcPr>
          <w:p w14:paraId="291881CF" w14:textId="77777777" w:rsidR="00BF03AA" w:rsidRPr="00326E55" w:rsidRDefault="00BF03AA">
            <w:pPr>
              <w:rPr>
                <w:rFonts w:ascii="Times New Roman" w:hAnsi="Times New Roman"/>
                <w:b/>
                <w:bCs/>
                <w:noProof/>
                <w:spacing w:val="-6"/>
                <w:sz w:val="20"/>
                <w:szCs w:val="20"/>
                <w:lang w:val="sk-SK"/>
              </w:rPr>
            </w:pPr>
          </w:p>
        </w:tc>
      </w:tr>
      <w:tr w:rsidR="00BF03AA" w:rsidRPr="00326E55" w14:paraId="7AE8F155" w14:textId="77777777">
        <w:trPr>
          <w:trHeight w:val="309"/>
          <w:jc w:val="center"/>
        </w:trPr>
        <w:tc>
          <w:tcPr>
            <w:tcW w:w="1051" w:type="dxa"/>
            <w:shd w:val="clear" w:color="auto" w:fill="C6EFCE"/>
            <w:noWrap/>
            <w:vAlign w:val="center"/>
            <w:hideMark/>
          </w:tcPr>
          <w:p w14:paraId="146801C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M3C2 – 1</w:t>
            </w:r>
          </w:p>
        </w:tc>
        <w:tc>
          <w:tcPr>
            <w:tcW w:w="1345" w:type="dxa"/>
            <w:shd w:val="clear" w:color="auto" w:fill="C6EFCE"/>
            <w:noWrap/>
            <w:vAlign w:val="center"/>
          </w:tcPr>
          <w:p w14:paraId="7518ED8E" w14:textId="77777777" w:rsidR="00BF03AA" w:rsidRPr="00326E55" w:rsidRDefault="00FB452D">
            <w:pPr>
              <w:pStyle w:val="P68B1DB1-Normal11"/>
              <w:spacing w:line="257" w:lineRule="auto"/>
              <w:jc w:val="center"/>
              <w:rPr>
                <w:rFonts w:ascii="Times New Roman" w:hAnsi="Times New Roman"/>
                <w:noProof/>
                <w:spacing w:val="-6"/>
                <w:szCs w:val="20"/>
                <w:lang w:val="sk-SK"/>
              </w:rPr>
            </w:pPr>
            <w:r w:rsidRPr="00326E55">
              <w:rPr>
                <w:rFonts w:ascii="Times New Roman" w:hAnsi="Times New Roman"/>
                <w:noProof/>
                <w:spacing w:val="-6"/>
                <w:lang w:val="sk-SK"/>
              </w:rPr>
              <w:t>Reforma 1.1 – Zjednodušenie postupov pre proces strategického plánovania</w:t>
            </w:r>
          </w:p>
        </w:tc>
        <w:tc>
          <w:tcPr>
            <w:tcW w:w="977" w:type="dxa"/>
            <w:shd w:val="clear" w:color="auto" w:fill="C6EFCE"/>
            <w:noWrap/>
            <w:vAlign w:val="center"/>
          </w:tcPr>
          <w:p w14:paraId="585E5E9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80" w:type="dxa"/>
            <w:shd w:val="clear" w:color="auto" w:fill="C6EFCE"/>
            <w:noWrap/>
            <w:vAlign w:val="center"/>
          </w:tcPr>
          <w:p w14:paraId="37609AF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legislatívnych zmien týkajúcich sa zjednodušenia postupov pre proces strategického plánovania</w:t>
            </w:r>
          </w:p>
        </w:tc>
        <w:tc>
          <w:tcPr>
            <w:tcW w:w="1504" w:type="dxa"/>
            <w:shd w:val="clear" w:color="auto" w:fill="C6EFCE"/>
            <w:noWrap/>
            <w:vAlign w:val="center"/>
          </w:tcPr>
          <w:p w14:paraId="10256E64" w14:textId="516D30B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právnom akte (právnych aktoch),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legislatívnych zmien týkajúcich sa zjednodušenia po</w:t>
            </w:r>
            <w:r w:rsidRPr="00326E55">
              <w:rPr>
                <w:rFonts w:ascii="Times New Roman" w:hAnsi="Times New Roman"/>
                <w:noProof/>
                <w:spacing w:val="-6"/>
                <w:lang w:val="sk-SK"/>
              </w:rPr>
              <w:t>stupov pre proces strategického plánovania</w:t>
            </w:r>
          </w:p>
        </w:tc>
        <w:tc>
          <w:tcPr>
            <w:tcW w:w="1060" w:type="dxa"/>
            <w:shd w:val="clear" w:color="auto" w:fill="C6EFCE"/>
            <w:noWrap/>
            <w:vAlign w:val="center"/>
          </w:tcPr>
          <w:p w14:paraId="0708AD7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2" w:type="dxa"/>
            <w:shd w:val="clear" w:color="auto" w:fill="C6EFCE"/>
            <w:noWrap/>
            <w:vAlign w:val="center"/>
          </w:tcPr>
          <w:p w14:paraId="72F2D45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62" w:type="dxa"/>
            <w:shd w:val="clear" w:color="auto" w:fill="C6EFCE"/>
            <w:noWrap/>
            <w:vAlign w:val="center"/>
          </w:tcPr>
          <w:p w14:paraId="68C8027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83" w:type="dxa"/>
            <w:shd w:val="clear" w:color="auto" w:fill="C6EFCE"/>
            <w:noWrap/>
            <w:vAlign w:val="center"/>
          </w:tcPr>
          <w:p w14:paraId="5C135D6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9" w:type="dxa"/>
            <w:shd w:val="clear" w:color="auto" w:fill="C6EFCE"/>
            <w:noWrap/>
            <w:vAlign w:val="center"/>
          </w:tcPr>
          <w:p w14:paraId="6DF23D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528" w:type="dxa"/>
            <w:shd w:val="clear" w:color="auto" w:fill="C6EFCE"/>
            <w:noWrap/>
            <w:vAlign w:val="center"/>
          </w:tcPr>
          <w:p w14:paraId="0129CF11"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Revidovaný legislatívny rámec stanovuje, že:</w:t>
            </w:r>
          </w:p>
          <w:p w14:paraId="3BF97965" w14:textId="20968D1A"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Všetky prístavné orgány prijmú svoje systémové strategické plánovacie dokumenty (DPSS)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svoje prístavné regulačné </w:t>
            </w:r>
            <w:r w:rsidRPr="00326E55">
              <w:rPr>
                <w:rFonts w:ascii="Times New Roman" w:hAnsi="Times New Roman"/>
                <w:noProof/>
                <w:spacing w:val="-6"/>
                <w:lang w:val="sk-SK"/>
              </w:rPr>
              <w:t>plány (PRP), pričom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plnej miere zohľadnia reformu talianskych prístavných systémov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 xml:space="preserve">roku 2016 schválenú legislatívnym dekrétom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169 zo 4</w:t>
            </w:r>
            <w:r w:rsidR="00326E55" w:rsidRPr="00326E55">
              <w:rPr>
                <w:rFonts w:ascii="Times New Roman" w:hAnsi="Times New Roman"/>
                <w:noProof/>
                <w:spacing w:val="-6"/>
                <w:lang w:val="sk-SK"/>
              </w:rPr>
              <w:t>. augusta</w:t>
            </w:r>
            <w:r w:rsidRPr="00326E55">
              <w:rPr>
                <w:rFonts w:ascii="Times New Roman" w:hAnsi="Times New Roman"/>
                <w:noProof/>
                <w:spacing w:val="-6"/>
                <w:lang w:val="sk-SK"/>
              </w:rPr>
              <w:t xml:space="preserve"> 2016.</w:t>
            </w:r>
          </w:p>
          <w:p w14:paraId="6CB2F6B3"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DPSS upravuje minimálne tieto prvky:</w:t>
            </w:r>
          </w:p>
          <w:p w14:paraId="28AF229F" w14:textId="311CFF9B"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—Rozvoj cieľov orgánov prístavného systému,</w:t>
            </w:r>
          </w:p>
          <w:p w14:paraId="61CFEF52" w14:textId="43D10E00"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—Určené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načrtnut</w:t>
            </w:r>
            <w:r w:rsidRPr="00326E55">
              <w:rPr>
                <w:rFonts w:ascii="Times New Roman" w:hAnsi="Times New Roman"/>
                <w:noProof/>
                <w:spacing w:val="-6"/>
                <w:lang w:val="sk-SK"/>
              </w:rPr>
              <w:t>é oblasti určené výlučne pre funkcie prístavu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zadného prístavu,</w:t>
            </w:r>
          </w:p>
          <w:p w14:paraId="011D1A86" w14:textId="5EC7457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—Posledné infraštruktúrne spojenia cestnej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železničnej dopravy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prístavmi,</w:t>
            </w:r>
          </w:p>
          <w:p w14:paraId="548F3236"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—Kritériá, ktoré sa uplatňujú pri určovaní obsahu plánovania,</w:t>
            </w:r>
          </w:p>
          <w:p w14:paraId="14862FEA" w14:textId="6527E536"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—Vykonať jednoznačnú identifikáciu usmernení, prav</w:t>
            </w:r>
            <w:r w:rsidRPr="00326E55">
              <w:rPr>
                <w:rFonts w:ascii="Times New Roman" w:hAnsi="Times New Roman"/>
                <w:noProof/>
                <w:spacing w:val="-6"/>
                <w:lang w:val="sk-SK"/>
              </w:rPr>
              <w:t>idiel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postupov prípravy prístavných regulačných plánov.</w:t>
            </w:r>
          </w:p>
        </w:tc>
      </w:tr>
      <w:tr w:rsidR="00BF03AA" w:rsidRPr="00326E55" w14:paraId="20F02216" w14:textId="77777777">
        <w:trPr>
          <w:trHeight w:val="309"/>
          <w:jc w:val="center"/>
        </w:trPr>
        <w:tc>
          <w:tcPr>
            <w:tcW w:w="1051" w:type="dxa"/>
            <w:shd w:val="clear" w:color="auto" w:fill="C6EFCE"/>
            <w:noWrap/>
            <w:vAlign w:val="center"/>
          </w:tcPr>
          <w:p w14:paraId="557F351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M3C2 – 2</w:t>
            </w:r>
          </w:p>
        </w:tc>
        <w:tc>
          <w:tcPr>
            <w:tcW w:w="1345" w:type="dxa"/>
            <w:shd w:val="clear" w:color="auto" w:fill="C6EFCE"/>
            <w:noWrap/>
            <w:vAlign w:val="center"/>
          </w:tcPr>
          <w:p w14:paraId="0C24FD97" w14:textId="1E08A15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1.2 – Konkurenčné udeľovanie koncesií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talianskych prístavoch</w:t>
            </w:r>
          </w:p>
        </w:tc>
        <w:tc>
          <w:tcPr>
            <w:tcW w:w="977" w:type="dxa"/>
            <w:shd w:val="clear" w:color="auto" w:fill="C6EFCE"/>
            <w:noWrap/>
            <w:vAlign w:val="center"/>
          </w:tcPr>
          <w:p w14:paraId="022146D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80" w:type="dxa"/>
            <w:shd w:val="clear" w:color="auto" w:fill="C6EFCE"/>
            <w:noWrap/>
            <w:vAlign w:val="center"/>
          </w:tcPr>
          <w:p w14:paraId="51A7C720" w14:textId="1CA2E28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nariadenia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prístavných koncesiách</w:t>
            </w:r>
          </w:p>
        </w:tc>
        <w:tc>
          <w:tcPr>
            <w:tcW w:w="1504" w:type="dxa"/>
            <w:shd w:val="clear" w:color="auto" w:fill="C6EFCE"/>
            <w:noWrap/>
            <w:vAlign w:val="center"/>
          </w:tcPr>
          <w:p w14:paraId="2C8EFDBB" w14:textId="6541279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nariadenia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účinnosti </w:t>
            </w:r>
            <w:r w:rsidRPr="00326E55">
              <w:rPr>
                <w:rFonts w:ascii="Times New Roman" w:hAnsi="Times New Roman"/>
                <w:noProof/>
                <w:spacing w:val="-6"/>
                <w:lang w:val="sk-SK"/>
              </w:rPr>
              <w:t>nariadenia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prístavných koncesiách</w:t>
            </w:r>
          </w:p>
        </w:tc>
        <w:tc>
          <w:tcPr>
            <w:tcW w:w="1060" w:type="dxa"/>
            <w:shd w:val="clear" w:color="auto" w:fill="C6EFCE"/>
            <w:noWrap/>
            <w:vAlign w:val="center"/>
          </w:tcPr>
          <w:p w14:paraId="04A8B7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2" w:type="dxa"/>
            <w:shd w:val="clear" w:color="auto" w:fill="C6EFCE"/>
            <w:noWrap/>
            <w:vAlign w:val="center"/>
          </w:tcPr>
          <w:p w14:paraId="5781E44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62" w:type="dxa"/>
            <w:shd w:val="clear" w:color="auto" w:fill="C6EFCE"/>
            <w:noWrap/>
            <w:vAlign w:val="center"/>
          </w:tcPr>
          <w:p w14:paraId="2D1E564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83" w:type="dxa"/>
            <w:shd w:val="clear" w:color="auto" w:fill="C6EFCE"/>
            <w:noWrap/>
            <w:vAlign w:val="center"/>
          </w:tcPr>
          <w:p w14:paraId="7FDF976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9" w:type="dxa"/>
            <w:shd w:val="clear" w:color="auto" w:fill="C6EFCE"/>
            <w:noWrap/>
            <w:vAlign w:val="center"/>
          </w:tcPr>
          <w:p w14:paraId="3FC07FE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528" w:type="dxa"/>
            <w:shd w:val="clear" w:color="auto" w:fill="C6EFCE"/>
            <w:noWrap/>
            <w:vAlign w:val="center"/>
          </w:tcPr>
          <w:p w14:paraId="56F74BA2" w14:textId="02E6855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novom nariadení sa vymedzia rámcové podmienky udeľovania koncesií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prístavoch.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nariadení sa stanovia minimálne:</w:t>
            </w:r>
          </w:p>
          <w:p w14:paraId="681D5EB7"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—Podmienky týkajúce sa trvania koncesie,</w:t>
            </w:r>
          </w:p>
          <w:p w14:paraId="49C77CA7" w14:textId="4D64605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—Právomoci </w:t>
            </w:r>
            <w:r w:rsidRPr="00326E55">
              <w:rPr>
                <w:rFonts w:ascii="Times New Roman" w:hAnsi="Times New Roman"/>
                <w:noProof/>
                <w:spacing w:val="-6"/>
                <w:lang w:val="sk-SK"/>
              </w:rPr>
              <w:t>orgánov poskytujúcich pomoc</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dohľadu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kontroly,</w:t>
            </w:r>
          </w:p>
          <w:p w14:paraId="0505FB46"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Metódy obnovenia;</w:t>
            </w:r>
          </w:p>
          <w:p w14:paraId="51854F6C"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—Prevod zariadení na nového koncesionára po skončení platnosti koncesie,</w:t>
            </w:r>
          </w:p>
          <w:p w14:paraId="0244B569"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—Obmedzuje minimálne poplatky, ktoré majú zaplatiť nadobúdatelia licencie.</w:t>
            </w:r>
          </w:p>
        </w:tc>
      </w:tr>
      <w:tr w:rsidR="00BF03AA" w:rsidRPr="00326E55" w14:paraId="15B2BA0F" w14:textId="77777777">
        <w:trPr>
          <w:trHeight w:val="309"/>
          <w:jc w:val="center"/>
        </w:trPr>
        <w:tc>
          <w:tcPr>
            <w:tcW w:w="1051" w:type="dxa"/>
            <w:shd w:val="clear" w:color="auto" w:fill="C6EFCE"/>
            <w:noWrap/>
            <w:vAlign w:val="center"/>
          </w:tcPr>
          <w:p w14:paraId="37586E87"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M3C2 – 3 </w:t>
            </w:r>
          </w:p>
        </w:tc>
        <w:tc>
          <w:tcPr>
            <w:tcW w:w="1345" w:type="dxa"/>
            <w:shd w:val="clear" w:color="auto" w:fill="C6EFCE"/>
            <w:noWrap/>
            <w:vAlign w:val="center"/>
          </w:tcPr>
          <w:p w14:paraId="5694F4E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2.1 – </w:t>
            </w:r>
            <w:r w:rsidRPr="00326E55">
              <w:rPr>
                <w:rFonts w:ascii="Times New Roman" w:hAnsi="Times New Roman"/>
                <w:noProof/>
                <w:spacing w:val="-6"/>
                <w:lang w:val="sk-SK"/>
              </w:rPr>
              <w:t>Zavedenie centrálneho elektronického priečinka pre colníctvo („Sportello Unico Doganale“) </w:t>
            </w:r>
          </w:p>
        </w:tc>
        <w:tc>
          <w:tcPr>
            <w:tcW w:w="977" w:type="dxa"/>
            <w:shd w:val="clear" w:color="auto" w:fill="C6EFCE"/>
            <w:noWrap/>
            <w:vAlign w:val="center"/>
          </w:tcPr>
          <w:p w14:paraId="2B8517A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 </w:t>
            </w:r>
          </w:p>
        </w:tc>
        <w:tc>
          <w:tcPr>
            <w:tcW w:w="1380" w:type="dxa"/>
            <w:shd w:val="clear" w:color="auto" w:fill="C6EFCE"/>
            <w:noWrap/>
            <w:vAlign w:val="center"/>
          </w:tcPr>
          <w:p w14:paraId="3D611464" w14:textId="77777777" w:rsidR="00326E55" w:rsidRPr="00326E55" w:rsidRDefault="00FB452D">
            <w:pPr>
              <w:pStyle w:val="P68B1DB1-paragraph89"/>
              <w:spacing w:before="0" w:beforeAutospacing="0" w:after="0" w:afterAutospacing="0"/>
              <w:jc w:val="center"/>
              <w:textAlignment w:val="baseline"/>
              <w:rPr>
                <w:rFonts w:ascii="Times New Roman" w:hAnsi="Times New Roman"/>
                <w:noProof/>
                <w:spacing w:val="-6"/>
                <w:lang w:val="sk-SK"/>
              </w:rPr>
            </w:pPr>
            <w:r w:rsidRPr="00326E55">
              <w:rPr>
                <w:rFonts w:ascii="Times New Roman" w:hAnsi="Times New Roman"/>
                <w:noProof/>
                <w:spacing w:val="-6"/>
                <w:lang w:val="sk-SK"/>
              </w:rPr>
              <w:t>Nadobudnutie účinnosti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jednotnom colníctve</w:t>
            </w:r>
          </w:p>
          <w:p w14:paraId="4185369B" w14:textId="2904EF6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Pult (Sportello Unico Doganale) </w:t>
            </w:r>
          </w:p>
        </w:tc>
        <w:tc>
          <w:tcPr>
            <w:tcW w:w="1504" w:type="dxa"/>
            <w:shd w:val="clear" w:color="auto" w:fill="C6EFCE"/>
            <w:noWrap/>
            <w:vAlign w:val="center"/>
          </w:tcPr>
          <w:p w14:paraId="2E8CA017" w14:textId="6F05B34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jednotnom </w:t>
            </w:r>
            <w:r w:rsidRPr="00326E55">
              <w:rPr>
                <w:rFonts w:ascii="Times New Roman" w:hAnsi="Times New Roman"/>
                <w:noProof/>
                <w:spacing w:val="-6"/>
                <w:lang w:val="sk-SK"/>
              </w:rPr>
              <w:t>colnom úrade (Sportello Unico Doganale) </w:t>
            </w:r>
          </w:p>
        </w:tc>
        <w:tc>
          <w:tcPr>
            <w:tcW w:w="1060" w:type="dxa"/>
            <w:shd w:val="clear" w:color="auto" w:fill="C6EFCE"/>
            <w:noWrap/>
            <w:vAlign w:val="center"/>
          </w:tcPr>
          <w:p w14:paraId="63E66CA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 </w:t>
            </w:r>
          </w:p>
        </w:tc>
        <w:tc>
          <w:tcPr>
            <w:tcW w:w="942" w:type="dxa"/>
            <w:shd w:val="clear" w:color="auto" w:fill="C6EFCE"/>
            <w:noWrap/>
            <w:vAlign w:val="center"/>
          </w:tcPr>
          <w:p w14:paraId="19E2CB1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 </w:t>
            </w:r>
          </w:p>
        </w:tc>
        <w:tc>
          <w:tcPr>
            <w:tcW w:w="762" w:type="dxa"/>
            <w:shd w:val="clear" w:color="auto" w:fill="C6EFCE"/>
            <w:noWrap/>
            <w:vAlign w:val="center"/>
          </w:tcPr>
          <w:p w14:paraId="2C94E57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 </w:t>
            </w:r>
          </w:p>
        </w:tc>
        <w:tc>
          <w:tcPr>
            <w:tcW w:w="1383" w:type="dxa"/>
            <w:shd w:val="clear" w:color="auto" w:fill="C6EFCE"/>
            <w:noWrap/>
            <w:vAlign w:val="center"/>
          </w:tcPr>
          <w:p w14:paraId="673449C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ŠTVRTÝ ŠTVRŤROK </w:t>
            </w:r>
          </w:p>
        </w:tc>
        <w:tc>
          <w:tcPr>
            <w:tcW w:w="629" w:type="dxa"/>
            <w:shd w:val="clear" w:color="auto" w:fill="C6EFCE"/>
            <w:noWrap/>
            <w:vAlign w:val="center"/>
          </w:tcPr>
          <w:p w14:paraId="5BFFCDB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2021 </w:t>
            </w:r>
          </w:p>
        </w:tc>
        <w:tc>
          <w:tcPr>
            <w:tcW w:w="3528" w:type="dxa"/>
            <w:shd w:val="clear" w:color="auto" w:fill="C6EFCE"/>
            <w:noWrap/>
            <w:vAlign w:val="center"/>
          </w:tcPr>
          <w:p w14:paraId="7F8468BB" w14:textId="5AC6BD5A"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Vo vyhláške sa vymedzia metódy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špecifikácie jednotného colného oddelenia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nariadením (EÚ) </w:t>
            </w:r>
            <w:r w:rsidR="00326E55" w:rsidRPr="00326E55">
              <w:rPr>
                <w:rFonts w:ascii="Times New Roman" w:hAnsi="Times New Roman"/>
                <w:noProof/>
                <w:spacing w:val="-6"/>
                <w:lang w:val="sk-SK"/>
              </w:rPr>
              <w:t>č. </w:t>
            </w:r>
            <w:r w:rsidRPr="00326E55">
              <w:rPr>
                <w:rFonts w:ascii="Times New Roman" w:hAnsi="Times New Roman"/>
                <w:noProof/>
                <w:spacing w:val="-6"/>
                <w:lang w:val="sk-SK"/>
              </w:rPr>
              <w:t>1239/2019</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implementácii jednotnej európskej námornej</w:t>
            </w:r>
            <w:r w:rsidRPr="00326E55">
              <w:rPr>
                <w:rFonts w:ascii="Times New Roman" w:hAnsi="Times New Roman"/>
                <w:noProof/>
                <w:spacing w:val="-6"/>
                <w:lang w:val="sk-SK"/>
              </w:rPr>
              <w:t xml:space="preserve"> platformy</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nariadením Európskeho parlamentu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Rady (EÚ) 2020/1056</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15</w:t>
            </w:r>
            <w:r w:rsidR="00326E55" w:rsidRPr="00326E55">
              <w:rPr>
                <w:rFonts w:ascii="Times New Roman" w:hAnsi="Times New Roman"/>
                <w:noProof/>
                <w:spacing w:val="-6"/>
                <w:lang w:val="sk-SK"/>
              </w:rPr>
              <w:t>. júla</w:t>
            </w:r>
            <w:r w:rsidRPr="00326E55">
              <w:rPr>
                <w:rFonts w:ascii="Times New Roman" w:hAnsi="Times New Roman"/>
                <w:noProof/>
                <w:spacing w:val="-6"/>
                <w:lang w:val="sk-SK"/>
              </w:rPr>
              <w:t xml:space="preserve"> 2020</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elektronických údajoch</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nákladnej doprave (eFTI). </w:t>
            </w:r>
          </w:p>
        </w:tc>
      </w:tr>
      <w:tr w:rsidR="00BF03AA" w:rsidRPr="00326E55" w14:paraId="4BDF12FC" w14:textId="77777777">
        <w:trPr>
          <w:trHeight w:val="309"/>
          <w:jc w:val="center"/>
        </w:trPr>
        <w:tc>
          <w:tcPr>
            <w:tcW w:w="1051" w:type="dxa"/>
            <w:shd w:val="clear" w:color="auto" w:fill="C6EFCE"/>
            <w:noWrap/>
            <w:vAlign w:val="center"/>
          </w:tcPr>
          <w:p w14:paraId="0498892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M3C2 – 4</w:t>
            </w:r>
          </w:p>
        </w:tc>
        <w:tc>
          <w:tcPr>
            <w:tcW w:w="1345" w:type="dxa"/>
            <w:shd w:val="clear" w:color="auto" w:fill="C6EFCE"/>
            <w:noWrap/>
            <w:vAlign w:val="center"/>
          </w:tcPr>
          <w:p w14:paraId="6AD14286" w14:textId="4086A10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1.3 – Zjednodušenie povoľovacích postupov pre zariadenia na žehlenie za studena</w:t>
            </w:r>
          </w:p>
        </w:tc>
        <w:tc>
          <w:tcPr>
            <w:tcW w:w="977" w:type="dxa"/>
            <w:shd w:val="clear" w:color="auto" w:fill="C6EFCE"/>
            <w:noWrap/>
            <w:vAlign w:val="center"/>
          </w:tcPr>
          <w:p w14:paraId="78F20DD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80" w:type="dxa"/>
            <w:shd w:val="clear" w:color="auto" w:fill="C6EFCE"/>
            <w:noWrap/>
            <w:vAlign w:val="center"/>
          </w:tcPr>
          <w:p w14:paraId="790987A8" w14:textId="07DD04A2" w:rsidR="00BF03AA" w:rsidRPr="00326E55" w:rsidRDefault="00FB452D">
            <w:pPr>
              <w:pStyle w:val="P68B1DB1-Normal11"/>
              <w:spacing w:line="257" w:lineRule="auto"/>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zjednodušenia povoľovacích postupov pre zariadenia na žehlenie za studena</w:t>
            </w:r>
          </w:p>
        </w:tc>
        <w:tc>
          <w:tcPr>
            <w:tcW w:w="1504" w:type="dxa"/>
            <w:shd w:val="clear" w:color="auto" w:fill="C6EFCE"/>
            <w:noWrap/>
            <w:vAlign w:val="center"/>
          </w:tcPr>
          <w:p w14:paraId="7DA62BCB" w14:textId="7C4B442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Právne 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zjednodušenia povoľovacích postupov pre zariadenia na žehlenie za studena</w:t>
            </w:r>
          </w:p>
        </w:tc>
        <w:tc>
          <w:tcPr>
            <w:tcW w:w="1060" w:type="dxa"/>
            <w:shd w:val="clear" w:color="auto" w:fill="C6EFCE"/>
            <w:noWrap/>
            <w:vAlign w:val="center"/>
          </w:tcPr>
          <w:p w14:paraId="6AEAFD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2" w:type="dxa"/>
            <w:shd w:val="clear" w:color="auto" w:fill="C6EFCE"/>
            <w:noWrap/>
            <w:vAlign w:val="center"/>
          </w:tcPr>
          <w:p w14:paraId="53F9361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62" w:type="dxa"/>
            <w:shd w:val="clear" w:color="auto" w:fill="C6EFCE"/>
            <w:noWrap/>
            <w:vAlign w:val="center"/>
          </w:tcPr>
          <w:p w14:paraId="1A9C7CF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w:t>
            </w:r>
            <w:r w:rsidRPr="00326E55">
              <w:rPr>
                <w:rFonts w:ascii="Times New Roman" w:hAnsi="Times New Roman"/>
                <w:noProof/>
                <w:spacing w:val="-6"/>
                <w:lang w:val="sk-SK"/>
              </w:rPr>
              <w:t>VEDENÉ</w:t>
            </w:r>
          </w:p>
        </w:tc>
        <w:tc>
          <w:tcPr>
            <w:tcW w:w="1383" w:type="dxa"/>
            <w:shd w:val="clear" w:color="auto" w:fill="C6EFCE"/>
            <w:noWrap/>
            <w:vAlign w:val="center"/>
          </w:tcPr>
          <w:p w14:paraId="00724E6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29" w:type="dxa"/>
            <w:shd w:val="clear" w:color="auto" w:fill="C6EFCE"/>
            <w:noWrap/>
            <w:vAlign w:val="center"/>
          </w:tcPr>
          <w:p w14:paraId="3C36438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528" w:type="dxa"/>
            <w:shd w:val="clear" w:color="auto" w:fill="C6EFCE"/>
            <w:noWrap/>
            <w:vAlign w:val="center"/>
          </w:tcPr>
          <w:p w14:paraId="08CA16F3" w14:textId="41188854"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Zjednodušiť proces schvaľovania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skrátiť lehotu na udelenie povolenia na maximálne 12 mesiacov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výstavby infraštruktúry na prepravu energie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dodávať elektrinu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pevniny na lode počas fázy uväzovania (v p</w:t>
            </w:r>
            <w:r w:rsidRPr="00326E55">
              <w:rPr>
                <w:rFonts w:ascii="Times New Roman" w:hAnsi="Times New Roman"/>
                <w:noProof/>
                <w:spacing w:val="-6"/>
                <w:lang w:val="sk-SK"/>
              </w:rPr>
              <w:t>rípade zásahov, ktoré nepodliehajú environmentálnemu posudzovaniu)</w:t>
            </w:r>
          </w:p>
        </w:tc>
      </w:tr>
      <w:tr w:rsidR="00BF03AA" w:rsidRPr="00326E55" w14:paraId="567A3697" w14:textId="77777777">
        <w:trPr>
          <w:trHeight w:val="309"/>
          <w:jc w:val="center"/>
        </w:trPr>
        <w:tc>
          <w:tcPr>
            <w:tcW w:w="1051" w:type="dxa"/>
            <w:shd w:val="clear" w:color="auto" w:fill="C6EFCE"/>
            <w:noWrap/>
            <w:vAlign w:val="center"/>
          </w:tcPr>
          <w:p w14:paraId="47E83BE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M3C2 – 5</w:t>
            </w:r>
          </w:p>
        </w:tc>
        <w:tc>
          <w:tcPr>
            <w:tcW w:w="1345" w:type="dxa"/>
            <w:shd w:val="clear" w:color="auto" w:fill="C6EFCE"/>
            <w:noWrap/>
            <w:vAlign w:val="center"/>
          </w:tcPr>
          <w:p w14:paraId="334F6F34" w14:textId="4746138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2.1 – Digitalizácia logistického reťazca</w:t>
            </w:r>
          </w:p>
        </w:tc>
        <w:tc>
          <w:tcPr>
            <w:tcW w:w="977" w:type="dxa"/>
            <w:shd w:val="clear" w:color="auto" w:fill="C6EFCE"/>
            <w:noWrap/>
            <w:vAlign w:val="center"/>
          </w:tcPr>
          <w:p w14:paraId="0969E6A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80" w:type="dxa"/>
            <w:shd w:val="clear" w:color="auto" w:fill="C6EFCE"/>
            <w:noWrap/>
            <w:vAlign w:val="center"/>
          </w:tcPr>
          <w:p w14:paraId="3EC23018" w14:textId="77777777" w:rsidR="00BF03AA" w:rsidRPr="00326E55" w:rsidRDefault="00FB452D">
            <w:pPr>
              <w:pStyle w:val="P68B1DB1-Normal11"/>
              <w:spacing w:line="257" w:lineRule="auto"/>
              <w:jc w:val="center"/>
              <w:rPr>
                <w:rFonts w:ascii="Times New Roman" w:hAnsi="Times New Roman"/>
                <w:noProof/>
                <w:spacing w:val="-6"/>
                <w:szCs w:val="20"/>
                <w:lang w:val="sk-SK"/>
              </w:rPr>
            </w:pPr>
            <w:r w:rsidRPr="00326E55">
              <w:rPr>
                <w:rFonts w:ascii="Times New Roman" w:hAnsi="Times New Roman"/>
                <w:noProof/>
                <w:spacing w:val="-6"/>
                <w:lang w:val="sk-SK"/>
              </w:rPr>
              <w:t>Digitalizácia logistického reťazca</w:t>
            </w:r>
          </w:p>
        </w:tc>
        <w:tc>
          <w:tcPr>
            <w:tcW w:w="1504" w:type="dxa"/>
            <w:shd w:val="clear" w:color="auto" w:fill="C6EFCE"/>
            <w:noWrap/>
            <w:vAlign w:val="center"/>
          </w:tcPr>
          <w:p w14:paraId="3ABBCEA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60" w:type="dxa"/>
            <w:shd w:val="clear" w:color="auto" w:fill="C6EFCE"/>
            <w:noWrap/>
            <w:vAlign w:val="center"/>
          </w:tcPr>
          <w:p w14:paraId="51F2BC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42" w:type="dxa"/>
            <w:shd w:val="clear" w:color="auto" w:fill="C6EFCE"/>
            <w:noWrap/>
            <w:vAlign w:val="center"/>
          </w:tcPr>
          <w:p w14:paraId="6823FB3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762" w:type="dxa"/>
            <w:shd w:val="clear" w:color="auto" w:fill="C6EFCE"/>
            <w:noWrap/>
            <w:vAlign w:val="center"/>
          </w:tcPr>
          <w:p w14:paraId="476A0A7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12</w:t>
            </w:r>
          </w:p>
        </w:tc>
        <w:tc>
          <w:tcPr>
            <w:tcW w:w="1383" w:type="dxa"/>
            <w:shd w:val="clear" w:color="auto" w:fill="C6EFCE"/>
            <w:noWrap/>
            <w:vAlign w:val="center"/>
          </w:tcPr>
          <w:p w14:paraId="4A20064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29" w:type="dxa"/>
            <w:shd w:val="clear" w:color="auto" w:fill="C6EFCE"/>
            <w:noWrap/>
            <w:vAlign w:val="center"/>
          </w:tcPr>
          <w:p w14:paraId="499E324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28" w:type="dxa"/>
            <w:shd w:val="clear" w:color="auto" w:fill="C6EFCE"/>
            <w:noWrap/>
            <w:vAlign w:val="center"/>
          </w:tcPr>
          <w:p w14:paraId="54FBAF20" w14:textId="5A83EA7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Najmenej 12 zo 16 orgánov prístavného systému </w:t>
            </w:r>
            <w:r w:rsidRPr="00326E55">
              <w:rPr>
                <w:rFonts w:ascii="Times New Roman" w:hAnsi="Times New Roman"/>
                <w:noProof/>
                <w:spacing w:val="-6"/>
                <w:lang w:val="sk-SK"/>
              </w:rPr>
              <w:t>musí byť vybavených službami systémov prístavných spoločenstiev (PCS) interoperabilnými</w:t>
            </w:r>
            <w:r w:rsidR="00326E55" w:rsidRPr="00326E55">
              <w:rPr>
                <w:rFonts w:ascii="Times New Roman" w:hAnsi="Times New Roman"/>
                <w:noProof/>
                <w:spacing w:val="-6"/>
                <w:lang w:val="sk-SK"/>
              </w:rPr>
              <w:t xml:space="preserve"> s </w:t>
            </w:r>
            <w:r w:rsidRPr="00326E55">
              <w:rPr>
                <w:rFonts w:ascii="Times New Roman" w:hAnsi="Times New Roman"/>
                <w:i/>
                <w:noProof/>
                <w:spacing w:val="-6"/>
                <w:lang w:val="sk-SK"/>
              </w:rPr>
              <w:t>Comando Generale delle Capitanerie di Porto</w:t>
            </w:r>
            <w:r w:rsidRPr="00326E55">
              <w:rPr>
                <w:rFonts w:ascii="Times New Roman" w:hAnsi="Times New Roman"/>
                <w:noProof/>
                <w:spacing w:val="-6"/>
                <w:lang w:val="sk-SK"/>
              </w:rPr>
              <w:t xml:space="preserve"> a/alebo </w:t>
            </w:r>
            <w:r w:rsidRPr="00326E55">
              <w:rPr>
                <w:rFonts w:ascii="Times New Roman" w:hAnsi="Times New Roman"/>
                <w:i/>
                <w:noProof/>
                <w:spacing w:val="-6"/>
                <w:lang w:val="sk-SK"/>
              </w:rPr>
              <w:t>Agenzia delle Dogane e dei Monopoli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zlučiteľnými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novým PLN (Piattaforma Logistica Nazionale). Orgán prístavnéh</w:t>
            </w:r>
            <w:r w:rsidRPr="00326E55">
              <w:rPr>
                <w:rFonts w:ascii="Times New Roman" w:hAnsi="Times New Roman"/>
                <w:noProof/>
                <w:spacing w:val="-6"/>
                <w:lang w:val="sk-SK"/>
              </w:rPr>
              <w:t xml:space="preserve">o systému sa považuje za vybavený službami systémov prístavného spoločenstva (PCS), ak aspoň jeden prístav tohto orgánu prístavného systému bol vybavený systémami Port Community Systems (PCS). </w:t>
            </w:r>
          </w:p>
        </w:tc>
      </w:tr>
      <w:tr w:rsidR="00BF03AA" w:rsidRPr="00326E55" w14:paraId="1226E8CF" w14:textId="77777777">
        <w:trPr>
          <w:trHeight w:val="309"/>
          <w:jc w:val="center"/>
        </w:trPr>
        <w:tc>
          <w:tcPr>
            <w:tcW w:w="1051" w:type="dxa"/>
            <w:shd w:val="clear" w:color="auto" w:fill="C6EFCE"/>
            <w:noWrap/>
            <w:vAlign w:val="center"/>
          </w:tcPr>
          <w:p w14:paraId="298D2223"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M3C2 – 5bis</w:t>
            </w:r>
          </w:p>
        </w:tc>
        <w:tc>
          <w:tcPr>
            <w:tcW w:w="1345" w:type="dxa"/>
            <w:shd w:val="clear" w:color="auto" w:fill="C6EFCE"/>
            <w:noWrap/>
            <w:vAlign w:val="center"/>
          </w:tcPr>
          <w:p w14:paraId="2663660B" w14:textId="77777777" w:rsidR="00BF03AA" w:rsidRPr="00326E55" w:rsidRDefault="00FB452D">
            <w:pPr>
              <w:pStyle w:val="P68B1DB1-Normal12"/>
              <w:spacing w:line="257" w:lineRule="auto"/>
              <w:jc w:val="both"/>
              <w:rPr>
                <w:rFonts w:ascii="Times New Roman" w:hAnsi="Times New Roman"/>
                <w:noProof/>
                <w:spacing w:val="-6"/>
                <w:lang w:val="sk-SK"/>
              </w:rPr>
            </w:pPr>
            <w:r w:rsidRPr="00326E55">
              <w:rPr>
                <w:rFonts w:ascii="Times New Roman" w:hAnsi="Times New Roman"/>
                <w:noProof/>
                <w:spacing w:val="-6"/>
                <w:lang w:val="sk-SK"/>
              </w:rPr>
              <w:t xml:space="preserve">Investícia 2.1 – Digitalizácia logistického </w:t>
            </w:r>
            <w:r w:rsidRPr="00326E55">
              <w:rPr>
                <w:rFonts w:ascii="Times New Roman" w:hAnsi="Times New Roman"/>
                <w:noProof/>
                <w:spacing w:val="-6"/>
                <w:lang w:val="sk-SK"/>
              </w:rPr>
              <w:t>reťazca</w:t>
            </w:r>
          </w:p>
        </w:tc>
        <w:tc>
          <w:tcPr>
            <w:tcW w:w="977" w:type="dxa"/>
            <w:shd w:val="clear" w:color="auto" w:fill="C6EFCE"/>
            <w:noWrap/>
            <w:vAlign w:val="center"/>
          </w:tcPr>
          <w:p w14:paraId="4E4E78DB"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Cieľ</w:t>
            </w:r>
          </w:p>
        </w:tc>
        <w:tc>
          <w:tcPr>
            <w:tcW w:w="1380" w:type="dxa"/>
            <w:shd w:val="clear" w:color="auto" w:fill="C6EFCE"/>
            <w:noWrap/>
            <w:vAlign w:val="center"/>
          </w:tcPr>
          <w:p w14:paraId="337F40A0"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 xml:space="preserve">Digitalizácia logistického reťazca </w:t>
            </w:r>
          </w:p>
        </w:tc>
        <w:tc>
          <w:tcPr>
            <w:tcW w:w="1504" w:type="dxa"/>
            <w:shd w:val="clear" w:color="auto" w:fill="C6EFCE"/>
            <w:noWrap/>
            <w:vAlign w:val="center"/>
          </w:tcPr>
          <w:p w14:paraId="33DF1683"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NEUVEDENÉ</w:t>
            </w:r>
          </w:p>
        </w:tc>
        <w:tc>
          <w:tcPr>
            <w:tcW w:w="1060" w:type="dxa"/>
            <w:shd w:val="clear" w:color="auto" w:fill="C6EFCE"/>
            <w:noWrap/>
            <w:vAlign w:val="center"/>
          </w:tcPr>
          <w:p w14:paraId="106F7802"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Počet</w:t>
            </w:r>
          </w:p>
        </w:tc>
        <w:tc>
          <w:tcPr>
            <w:tcW w:w="942" w:type="dxa"/>
            <w:shd w:val="clear" w:color="auto" w:fill="C6EFCE"/>
            <w:noWrap/>
            <w:vAlign w:val="center"/>
          </w:tcPr>
          <w:p w14:paraId="1F5BA518"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0</w:t>
            </w:r>
          </w:p>
        </w:tc>
        <w:tc>
          <w:tcPr>
            <w:tcW w:w="762" w:type="dxa"/>
            <w:shd w:val="clear" w:color="auto" w:fill="C6EFCE"/>
            <w:noWrap/>
            <w:vAlign w:val="center"/>
          </w:tcPr>
          <w:p w14:paraId="19D93E52"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3</w:t>
            </w:r>
          </w:p>
        </w:tc>
        <w:tc>
          <w:tcPr>
            <w:tcW w:w="1383" w:type="dxa"/>
            <w:shd w:val="clear" w:color="auto" w:fill="C6EFCE"/>
            <w:noWrap/>
            <w:vAlign w:val="center"/>
          </w:tcPr>
          <w:p w14:paraId="3E3896E5"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DRUHÝ ŠTVRŤROK</w:t>
            </w:r>
          </w:p>
        </w:tc>
        <w:tc>
          <w:tcPr>
            <w:tcW w:w="629" w:type="dxa"/>
            <w:shd w:val="clear" w:color="auto" w:fill="C6EFCE"/>
            <w:noWrap/>
            <w:vAlign w:val="center"/>
          </w:tcPr>
          <w:p w14:paraId="1C01B77E" w14:textId="77777777" w:rsidR="00BF03AA" w:rsidRPr="00326E55" w:rsidRDefault="00FB452D">
            <w:pPr>
              <w:pStyle w:val="P68B1DB1-Normal11"/>
              <w:spacing w:line="257" w:lineRule="auto"/>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2026</w:t>
            </w:r>
          </w:p>
        </w:tc>
        <w:tc>
          <w:tcPr>
            <w:tcW w:w="3528" w:type="dxa"/>
            <w:shd w:val="clear" w:color="auto" w:fill="C6EFCE"/>
            <w:noWrap/>
            <w:vAlign w:val="center"/>
          </w:tcPr>
          <w:p w14:paraId="2E4F2734" w14:textId="77777777" w:rsidR="00326E55" w:rsidRPr="00326E55" w:rsidRDefault="00FB452D">
            <w:pPr>
              <w:pStyle w:val="P68B1DB1-Normal11"/>
              <w:spacing w:after="0" w:line="240" w:lineRule="auto"/>
              <w:jc w:val="both"/>
              <w:rPr>
                <w:rFonts w:ascii="Times New Roman" w:hAnsi="Times New Roman"/>
                <w:noProof/>
                <w:spacing w:val="-6"/>
                <w:lang w:val="sk-SK"/>
              </w:rPr>
            </w:pPr>
            <w:r w:rsidRPr="00326E55">
              <w:rPr>
                <w:rFonts w:ascii="Times New Roman" w:hAnsi="Times New Roman"/>
                <w:noProof/>
                <w:spacing w:val="-6"/>
                <w:lang w:val="sk-SK"/>
              </w:rPr>
              <w:t xml:space="preserve">Vykonajú </w:t>
            </w:r>
            <w:r w:rsidRPr="00326E55">
              <w:rPr>
                <w:rFonts w:ascii="Times New Roman" w:hAnsi="Times New Roman"/>
                <w:noProof/>
                <w:spacing w:val="-6"/>
                <w:szCs w:val="20"/>
                <w:lang w:val="sk-SK"/>
              </w:rPr>
              <w:t xml:space="preserve">sa tieto </w:t>
            </w:r>
            <w:r w:rsidRPr="00326E55">
              <w:rPr>
                <w:rFonts w:ascii="Times New Roman" w:hAnsi="Times New Roman"/>
                <w:noProof/>
                <w:spacing w:val="-6"/>
                <w:lang w:val="sk-SK"/>
              </w:rPr>
              <w:t>tri intervencie</w:t>
            </w:r>
            <w:r w:rsidR="00326E55" w:rsidRPr="00326E55">
              <w:rPr>
                <w:rFonts w:ascii="Times New Roman" w:hAnsi="Times New Roman"/>
                <w:noProof/>
                <w:spacing w:val="-6"/>
                <w:lang w:val="sk-SK"/>
              </w:rPr>
              <w:t>:</w:t>
            </w:r>
          </w:p>
          <w:p w14:paraId="7D6EE7C4" w14:textId="784C9DD0" w:rsidR="00BF03AA" w:rsidRPr="00326E55" w:rsidRDefault="00BF03AA">
            <w:pPr>
              <w:spacing w:after="0" w:line="240" w:lineRule="auto"/>
              <w:jc w:val="both"/>
              <w:rPr>
                <w:rFonts w:ascii="Times New Roman" w:hAnsi="Times New Roman"/>
                <w:noProof/>
                <w:color w:val="006100"/>
                <w:spacing w:val="-6"/>
                <w:sz w:val="20"/>
                <w:lang w:val="sk-SK"/>
              </w:rPr>
            </w:pPr>
          </w:p>
          <w:p w14:paraId="27921A6C" w14:textId="77777777" w:rsidR="00326E55" w:rsidRPr="00326E55" w:rsidRDefault="00FB452D">
            <w:pPr>
              <w:pStyle w:val="P68B1DB1-Normal11"/>
              <w:spacing w:after="0" w:line="240" w:lineRule="auto"/>
              <w:jc w:val="both"/>
              <w:rPr>
                <w:rFonts w:ascii="Times New Roman" w:hAnsi="Times New Roman"/>
                <w:noProof/>
                <w:spacing w:val="-6"/>
                <w:lang w:val="sk-SK"/>
              </w:rPr>
            </w:pPr>
            <w:r w:rsidRPr="00326E55">
              <w:rPr>
                <w:rFonts w:ascii="Times New Roman" w:hAnsi="Times New Roman"/>
                <w:noProof/>
                <w:spacing w:val="-6"/>
                <w:lang w:val="sk-SK"/>
              </w:rPr>
              <w:t>1. Log-IN Center: Zriadenie digitálnej platformy (Piattaforma Logistica Nazionale – PLN)</w:t>
            </w:r>
            <w:r w:rsidR="00326E55" w:rsidRPr="00326E55">
              <w:rPr>
                <w:rFonts w:ascii="Times New Roman" w:hAnsi="Times New Roman"/>
                <w:noProof/>
                <w:spacing w:val="-6"/>
                <w:lang w:val="sk-SK"/>
              </w:rPr>
              <w:t>.</w:t>
            </w:r>
          </w:p>
          <w:p w14:paraId="74FB010D" w14:textId="62887234" w:rsidR="00BF03AA" w:rsidRPr="00326E55" w:rsidRDefault="00BF03AA">
            <w:pPr>
              <w:pStyle w:val="ListParagraph"/>
              <w:spacing w:after="0"/>
              <w:rPr>
                <w:rFonts w:ascii="Times New Roman" w:eastAsia="Arial Narrow" w:hAnsi="Times New Roman" w:cs="Arial Narrow"/>
                <w:noProof/>
                <w:color w:val="006100"/>
                <w:spacing w:val="-6"/>
                <w:sz w:val="20"/>
                <w:szCs w:val="20"/>
                <w:lang w:val="sk-SK"/>
              </w:rPr>
            </w:pPr>
          </w:p>
          <w:p w14:paraId="6672904B" w14:textId="7046CD7C" w:rsidR="00326E55" w:rsidRPr="00326E55" w:rsidRDefault="00FB452D">
            <w:pPr>
              <w:pStyle w:val="P68B1DB1-Normal11"/>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2. sieť prístavov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nákladné dediny</w:t>
            </w:r>
            <w:r w:rsidR="00326E55" w:rsidRPr="00326E55">
              <w:rPr>
                <w:rFonts w:ascii="Times New Roman" w:hAnsi="Times New Roman"/>
                <w:noProof/>
                <w:spacing w:val="-6"/>
                <w:lang w:val="sk-SK"/>
              </w:rPr>
              <w:t>:</w:t>
            </w:r>
          </w:p>
          <w:p w14:paraId="0CF3E486" w14:textId="1E0C6068" w:rsidR="00BF03AA" w:rsidRPr="00326E55" w:rsidRDefault="00FB452D">
            <w:pPr>
              <w:pStyle w:val="P68B1DB1-Normal90"/>
              <w:spacing w:before="120" w:after="120"/>
              <w:ind w:left="197"/>
              <w:jc w:val="both"/>
              <w:rPr>
                <w:rFonts w:ascii="Times New Roman" w:eastAsia="Arial Narrow" w:hAnsi="Times New Roman" w:cs="Arial Narrow"/>
                <w:noProof/>
                <w:spacing w:val="-6"/>
                <w:sz w:val="20"/>
                <w:szCs w:val="20"/>
                <w:lang w:val="sk-SK"/>
              </w:rPr>
            </w:pPr>
            <w:r w:rsidRPr="00326E55">
              <w:rPr>
                <w:rFonts w:ascii="Times New Roman" w:hAnsi="Times New Roman"/>
                <w:noProof/>
                <w:spacing w:val="-6"/>
                <w:sz w:val="20"/>
                <w:lang w:val="sk-SK"/>
              </w:rPr>
              <w:t>Všetkých 16 orgánov prístavného systému musí mať služby PCS (Port Community System) kompatibilné</w:t>
            </w:r>
            <w:r w:rsidR="00326E55" w:rsidRPr="00326E55">
              <w:rPr>
                <w:rFonts w:ascii="Times New Roman" w:hAnsi="Times New Roman"/>
                <w:noProof/>
                <w:spacing w:val="-6"/>
                <w:sz w:val="20"/>
                <w:lang w:val="sk-SK"/>
              </w:rPr>
              <w:t xml:space="preserve"> s </w:t>
            </w:r>
            <w:r w:rsidRPr="00326E55">
              <w:rPr>
                <w:rFonts w:ascii="Times New Roman" w:hAnsi="Times New Roman"/>
                <w:noProof/>
                <w:spacing w:val="-6"/>
                <w:sz w:val="20"/>
                <w:lang w:val="sk-SK"/>
              </w:rPr>
              <w:t>Piattaforma Logistica Nazionale (PLN). Orgán prístavného systému sa považuje za vybavený službami systémov prístavného spoločenstva (PCS), ak aspoň jeden prí</w:t>
            </w:r>
            <w:r w:rsidRPr="00326E55">
              <w:rPr>
                <w:rFonts w:ascii="Times New Roman" w:hAnsi="Times New Roman"/>
                <w:noProof/>
                <w:spacing w:val="-6"/>
                <w:sz w:val="20"/>
                <w:lang w:val="sk-SK"/>
              </w:rPr>
              <w:t>stav tohto orgánu prístavného systému bol vybavený systémami Port Community Systems (PCS</w:t>
            </w:r>
            <w:r w:rsidRPr="00326E55">
              <w:rPr>
                <w:rFonts w:ascii="Times New Roman" w:hAnsi="Times New Roman"/>
                <w:noProof/>
                <w:spacing w:val="-6"/>
                <w:sz w:val="18"/>
                <w:lang w:val="sk-SK"/>
              </w:rPr>
              <w:t xml:space="preserve">). </w:t>
            </w:r>
            <w:r w:rsidRPr="00326E55">
              <w:rPr>
                <w:rFonts w:ascii="Times New Roman" w:hAnsi="Times New Roman"/>
                <w:noProof/>
                <w:spacing w:val="-6"/>
                <w:sz w:val="20"/>
                <w:lang w:val="sk-SK"/>
              </w:rPr>
              <w:t>Tieto služby PCS musia byť funkčné pre všetky hlavné prístavy, ako sa uvádza</w:t>
            </w:r>
            <w:r w:rsidR="00326E55" w:rsidRPr="00326E55">
              <w:rPr>
                <w:rFonts w:ascii="Times New Roman" w:hAnsi="Times New Roman"/>
                <w:noProof/>
                <w:spacing w:val="-6"/>
                <w:sz w:val="20"/>
                <w:lang w:val="sk-SK"/>
              </w:rPr>
              <w:t xml:space="preserve"> v </w:t>
            </w:r>
            <w:r w:rsidRPr="00326E55">
              <w:rPr>
                <w:rFonts w:ascii="Times New Roman" w:hAnsi="Times New Roman"/>
                <w:noProof/>
                <w:spacing w:val="-6"/>
                <w:sz w:val="20"/>
                <w:lang w:val="sk-SK"/>
              </w:rPr>
              <w:t>nariadení (EÚ) 1679/2024.</w:t>
            </w:r>
          </w:p>
          <w:p w14:paraId="0392A23B" w14:textId="6D8C3B05" w:rsidR="00BF03AA" w:rsidRPr="00326E55" w:rsidRDefault="00FB452D">
            <w:pPr>
              <w:pStyle w:val="P68B1DB1-Normal11"/>
              <w:spacing w:before="120" w:after="120"/>
              <w:ind w:left="197"/>
              <w:jc w:val="both"/>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 xml:space="preserve">Najmenej 12 vnútroštátnych dedín musí mať systém nákladných </w:t>
            </w:r>
            <w:r w:rsidRPr="00326E55">
              <w:rPr>
                <w:rFonts w:ascii="Times New Roman" w:hAnsi="Times New Roman"/>
                <w:noProof/>
                <w:spacing w:val="-6"/>
                <w:lang w:val="sk-SK"/>
              </w:rPr>
              <w:t>dedín (FVS) zlučiteľný</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PLN.</w:t>
            </w:r>
          </w:p>
          <w:p w14:paraId="0F5A316D" w14:textId="0CD547A1" w:rsidR="00BF03AA" w:rsidRPr="00326E55" w:rsidRDefault="00FB452D">
            <w:pPr>
              <w:pStyle w:val="P68B1DB1-Normal12"/>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3. Log-IN Business: prevod zdrojov najmenej 1194 podnikom na vývoj digitálnych systémov na podporu interoperability 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súladu eCMR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eFTI.</w:t>
            </w:r>
          </w:p>
        </w:tc>
      </w:tr>
      <w:tr w:rsidR="00BF03AA" w:rsidRPr="00326E55" w14:paraId="50A2195F" w14:textId="77777777">
        <w:trPr>
          <w:trHeight w:val="300"/>
          <w:jc w:val="center"/>
        </w:trPr>
        <w:tc>
          <w:tcPr>
            <w:tcW w:w="1051" w:type="dxa"/>
            <w:shd w:val="clear" w:color="auto" w:fill="C6EFCE"/>
            <w:noWrap/>
            <w:vAlign w:val="center"/>
          </w:tcPr>
          <w:p w14:paraId="79BE083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M3C2 – 6</w:t>
            </w:r>
          </w:p>
        </w:tc>
        <w:tc>
          <w:tcPr>
            <w:tcW w:w="1345" w:type="dxa"/>
            <w:shd w:val="clear" w:color="auto" w:fill="C6EFCE"/>
            <w:noWrap/>
            <w:vAlign w:val="center"/>
          </w:tcPr>
          <w:p w14:paraId="0A4F117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2.2: Digitalizácia manažmentu letovej prevádzky</w:t>
            </w:r>
          </w:p>
        </w:tc>
        <w:tc>
          <w:tcPr>
            <w:tcW w:w="977" w:type="dxa"/>
            <w:shd w:val="clear" w:color="auto" w:fill="C6EFCE"/>
            <w:noWrap/>
            <w:vAlign w:val="center"/>
          </w:tcPr>
          <w:p w14:paraId="165D94B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380" w:type="dxa"/>
            <w:shd w:val="clear" w:color="auto" w:fill="C6EFCE"/>
            <w:noWrap/>
            <w:vAlign w:val="center"/>
          </w:tcPr>
          <w:p w14:paraId="1F1FEB5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Digitalizácia manažmentu letovej prevádzky: uvedenie nových nástrojov do prevádzky</w:t>
            </w:r>
          </w:p>
        </w:tc>
        <w:tc>
          <w:tcPr>
            <w:tcW w:w="1504" w:type="dxa"/>
            <w:shd w:val="clear" w:color="auto" w:fill="C6EFCE"/>
            <w:noWrap/>
            <w:vAlign w:val="center"/>
          </w:tcPr>
          <w:p w14:paraId="2693D919" w14:textId="70B2FC2D"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Osvedčenia TOC, digitalizovaných leteckých informácií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UTMS</w:t>
            </w:r>
          </w:p>
        </w:tc>
        <w:tc>
          <w:tcPr>
            <w:tcW w:w="1060" w:type="dxa"/>
            <w:shd w:val="clear" w:color="auto" w:fill="C6EFCE"/>
            <w:noWrap/>
            <w:vAlign w:val="center"/>
          </w:tcPr>
          <w:p w14:paraId="10FC56E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42" w:type="dxa"/>
            <w:shd w:val="clear" w:color="auto" w:fill="C6EFCE"/>
            <w:noWrap/>
            <w:vAlign w:val="center"/>
          </w:tcPr>
          <w:p w14:paraId="3B9F501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NEUVEDENÉ </w:t>
            </w:r>
          </w:p>
        </w:tc>
        <w:tc>
          <w:tcPr>
            <w:tcW w:w="762" w:type="dxa"/>
            <w:shd w:val="clear" w:color="auto" w:fill="C6EFCE"/>
            <w:noWrap/>
            <w:vAlign w:val="center"/>
          </w:tcPr>
          <w:p w14:paraId="69D11ABC" w14:textId="77777777" w:rsidR="00BF03AA" w:rsidRPr="00326E55" w:rsidRDefault="00BF03AA">
            <w:pPr>
              <w:jc w:val="center"/>
              <w:rPr>
                <w:rFonts w:ascii="Times New Roman" w:hAnsi="Times New Roman"/>
                <w:noProof/>
                <w:color w:val="006100"/>
                <w:spacing w:val="-6"/>
                <w:sz w:val="20"/>
                <w:szCs w:val="20"/>
                <w:lang w:val="sk-SK"/>
              </w:rPr>
            </w:pPr>
          </w:p>
          <w:p w14:paraId="15FB92F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p w14:paraId="6F41BA16" w14:textId="77777777" w:rsidR="00BF03AA" w:rsidRPr="00326E55" w:rsidRDefault="00BF03AA">
            <w:pPr>
              <w:jc w:val="center"/>
              <w:rPr>
                <w:rFonts w:ascii="Times New Roman" w:hAnsi="Times New Roman"/>
                <w:noProof/>
                <w:color w:val="006100"/>
                <w:spacing w:val="-6"/>
                <w:sz w:val="20"/>
                <w:szCs w:val="20"/>
                <w:lang w:val="sk-SK"/>
              </w:rPr>
            </w:pPr>
          </w:p>
        </w:tc>
        <w:tc>
          <w:tcPr>
            <w:tcW w:w="1383" w:type="dxa"/>
            <w:shd w:val="clear" w:color="auto" w:fill="C6EFCE"/>
            <w:noWrap/>
            <w:vAlign w:val="center"/>
          </w:tcPr>
          <w:p w14:paraId="478CCC3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PRVÝ ŠTVRŤROK</w:t>
            </w:r>
          </w:p>
        </w:tc>
        <w:tc>
          <w:tcPr>
            <w:tcW w:w="629" w:type="dxa"/>
            <w:shd w:val="clear" w:color="auto" w:fill="C6EFCE"/>
            <w:noWrap/>
            <w:vAlign w:val="center"/>
          </w:tcPr>
          <w:p w14:paraId="7F8314F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528" w:type="dxa"/>
            <w:shd w:val="clear" w:color="auto" w:fill="C6EFCE"/>
            <w:noWrap/>
            <w:vAlign w:val="center"/>
          </w:tcPr>
          <w:p w14:paraId="7E999954" w14:textId="77777777"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Uvedenie týchto troch projektov do prevádzky</w:t>
            </w:r>
            <w:r w:rsidR="00326E55" w:rsidRPr="00326E55">
              <w:rPr>
                <w:rFonts w:ascii="Times New Roman" w:hAnsi="Times New Roman"/>
                <w:noProof/>
                <w:spacing w:val="-6"/>
                <w:lang w:val="sk-SK"/>
              </w:rPr>
              <w:t>:</w:t>
            </w:r>
          </w:p>
          <w:p w14:paraId="5D4D082C" w14:textId="77777777"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 xml:space="preserve">a) Centrum </w:t>
            </w:r>
            <w:r w:rsidRPr="00326E55">
              <w:rPr>
                <w:rFonts w:ascii="Times New Roman" w:hAnsi="Times New Roman"/>
                <w:noProof/>
                <w:spacing w:val="-6"/>
                <w:lang w:val="sk-SK"/>
              </w:rPr>
              <w:t>technickej prevádzky (TOC)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najmenej dva systémy manažmentu letovej prevádzky</w:t>
            </w:r>
          </w:p>
          <w:p w14:paraId="704298D5" w14:textId="77777777"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b) Digitalizované letecké informácie</w:t>
            </w:r>
          </w:p>
          <w:p w14:paraId="493D52E6" w14:textId="6F3F7399"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C) bezpilotný systém riadenia dopravy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konektivita (UTMS).</w:t>
            </w:r>
          </w:p>
        </w:tc>
      </w:tr>
      <w:tr w:rsidR="00BF03AA" w:rsidRPr="00326E55" w14:paraId="29FD4FAE" w14:textId="77777777">
        <w:trPr>
          <w:trHeight w:val="309"/>
          <w:jc w:val="center"/>
        </w:trPr>
        <w:tc>
          <w:tcPr>
            <w:tcW w:w="1051" w:type="dxa"/>
            <w:shd w:val="clear" w:color="auto" w:fill="C6EFCE"/>
            <w:noWrap/>
            <w:vAlign w:val="center"/>
          </w:tcPr>
          <w:p w14:paraId="75B426DA"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M3C2 – 7 </w:t>
            </w:r>
          </w:p>
        </w:tc>
        <w:tc>
          <w:tcPr>
            <w:tcW w:w="1345" w:type="dxa"/>
            <w:shd w:val="clear" w:color="auto" w:fill="C6EFCE"/>
            <w:noWrap/>
            <w:vAlign w:val="center"/>
          </w:tcPr>
          <w:p w14:paraId="1B437521"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Investícia 2.3: Žehlenie za studena </w:t>
            </w:r>
          </w:p>
        </w:tc>
        <w:tc>
          <w:tcPr>
            <w:tcW w:w="977" w:type="dxa"/>
            <w:shd w:val="clear" w:color="auto" w:fill="C6EFCE"/>
            <w:noWrap/>
            <w:vAlign w:val="center"/>
          </w:tcPr>
          <w:p w14:paraId="05F13740"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Míľnik </w:t>
            </w:r>
          </w:p>
        </w:tc>
        <w:tc>
          <w:tcPr>
            <w:tcW w:w="1380" w:type="dxa"/>
            <w:shd w:val="clear" w:color="auto" w:fill="C6EFCE"/>
            <w:noWrap/>
            <w:vAlign w:val="center"/>
          </w:tcPr>
          <w:p w14:paraId="11E157F0"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Zadávanie všetkých verejných zákaziek </w:t>
            </w:r>
          </w:p>
        </w:tc>
        <w:tc>
          <w:tcPr>
            <w:tcW w:w="1504" w:type="dxa"/>
            <w:shd w:val="clear" w:color="auto" w:fill="C6EFCE"/>
            <w:noWrap/>
            <w:vAlign w:val="center"/>
          </w:tcPr>
          <w:p w14:paraId="0CF742D2" w14:textId="789DB2DE"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szCs w:val="20"/>
                <w:lang w:val="sk-SK"/>
              </w:rPr>
              <w:t>Uverejnenie výzvy na predkladanie ponúk</w:t>
            </w:r>
            <w:r w:rsidR="00326E55" w:rsidRPr="00326E55">
              <w:rPr>
                <w:rStyle w:val="normaltextrun"/>
                <w:rFonts w:ascii="Times New Roman" w:hAnsi="Times New Roman"/>
                <w:noProof/>
                <w:color w:val="006100"/>
                <w:spacing w:val="-6"/>
                <w:sz w:val="20"/>
                <w:szCs w:val="20"/>
                <w:lang w:val="sk-SK"/>
              </w:rPr>
              <w:t xml:space="preserve"> a </w:t>
            </w:r>
            <w:r w:rsidRPr="00326E55">
              <w:rPr>
                <w:rStyle w:val="normaltextrun"/>
                <w:rFonts w:ascii="Times New Roman" w:hAnsi="Times New Roman"/>
                <w:noProof/>
                <w:color w:val="006100"/>
                <w:spacing w:val="-6"/>
                <w:sz w:val="20"/>
                <w:szCs w:val="20"/>
                <w:lang w:val="sk-SK"/>
              </w:rPr>
              <w:t xml:space="preserve">zadanie všetkých verejných zákaziek na výstavbu najmenej 15 zariadení na žehlenie za studena </w:t>
            </w:r>
          </w:p>
        </w:tc>
        <w:tc>
          <w:tcPr>
            <w:tcW w:w="1060" w:type="dxa"/>
            <w:shd w:val="clear" w:color="auto" w:fill="C6EFCE"/>
            <w:noWrap/>
            <w:vAlign w:val="center"/>
          </w:tcPr>
          <w:p w14:paraId="04CB2159"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NEUVEDENÉ </w:t>
            </w:r>
          </w:p>
        </w:tc>
        <w:tc>
          <w:tcPr>
            <w:tcW w:w="942" w:type="dxa"/>
            <w:shd w:val="clear" w:color="auto" w:fill="C6EFCE"/>
            <w:noWrap/>
            <w:vAlign w:val="center"/>
          </w:tcPr>
          <w:p w14:paraId="7FCB0980"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NEUVEDENÉ </w:t>
            </w:r>
          </w:p>
        </w:tc>
        <w:tc>
          <w:tcPr>
            <w:tcW w:w="762" w:type="dxa"/>
            <w:shd w:val="clear" w:color="auto" w:fill="C6EFCE"/>
            <w:noWrap/>
            <w:vAlign w:val="center"/>
          </w:tcPr>
          <w:p w14:paraId="2B388038"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NEUVEDENÉ </w:t>
            </w:r>
          </w:p>
        </w:tc>
        <w:tc>
          <w:tcPr>
            <w:tcW w:w="1383" w:type="dxa"/>
            <w:shd w:val="clear" w:color="auto" w:fill="C6EFCE"/>
            <w:noWrap/>
            <w:vAlign w:val="center"/>
          </w:tcPr>
          <w:p w14:paraId="319B9C9E"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TRETÍ ŠTVRŤROK </w:t>
            </w:r>
          </w:p>
        </w:tc>
        <w:tc>
          <w:tcPr>
            <w:tcW w:w="629" w:type="dxa"/>
            <w:shd w:val="clear" w:color="auto" w:fill="C6EFCE"/>
            <w:noWrap/>
            <w:vAlign w:val="center"/>
          </w:tcPr>
          <w:p w14:paraId="39D41CAF"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2024 </w:t>
            </w:r>
          </w:p>
        </w:tc>
        <w:tc>
          <w:tcPr>
            <w:tcW w:w="3528" w:type="dxa"/>
            <w:shd w:val="clear" w:color="auto" w:fill="C6EFCE"/>
            <w:noWrap/>
            <w:vAlign w:val="center"/>
          </w:tcPr>
          <w:p w14:paraId="195D43C3" w14:textId="456928E0" w:rsidR="00BF03AA" w:rsidRPr="00326E55" w:rsidRDefault="00FB452D">
            <w:pPr>
              <w:jc w:val="both"/>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szCs w:val="20"/>
                <w:lang w:val="sk-SK"/>
              </w:rPr>
              <w:t xml:space="preserve">Uverejnenie výzvy na </w:t>
            </w:r>
            <w:r w:rsidRPr="00326E55">
              <w:rPr>
                <w:rStyle w:val="normaltextrun"/>
                <w:rFonts w:ascii="Times New Roman" w:hAnsi="Times New Roman"/>
                <w:noProof/>
                <w:color w:val="006100"/>
                <w:spacing w:val="-6"/>
                <w:sz w:val="20"/>
                <w:szCs w:val="20"/>
                <w:lang w:val="sk-SK"/>
              </w:rPr>
              <w:t>predkladanie ponúk</w:t>
            </w:r>
            <w:r w:rsidR="00326E55" w:rsidRPr="00326E55">
              <w:rPr>
                <w:rStyle w:val="normaltextrun"/>
                <w:rFonts w:ascii="Times New Roman" w:hAnsi="Times New Roman"/>
                <w:noProof/>
                <w:color w:val="006100"/>
                <w:spacing w:val="-6"/>
                <w:sz w:val="20"/>
                <w:szCs w:val="20"/>
                <w:lang w:val="sk-SK"/>
              </w:rPr>
              <w:t xml:space="preserve"> a </w:t>
            </w:r>
            <w:r w:rsidRPr="00326E55">
              <w:rPr>
                <w:rStyle w:val="normaltextrun"/>
                <w:rFonts w:ascii="Times New Roman" w:hAnsi="Times New Roman"/>
                <w:noProof/>
                <w:color w:val="006100"/>
                <w:spacing w:val="-6"/>
                <w:sz w:val="20"/>
                <w:szCs w:val="20"/>
                <w:lang w:val="sk-SK"/>
              </w:rPr>
              <w:t>zadanie všetkých zákaziek na výstavbu najmenej 15 zariadení na žehlenie za studena, ktoré zabezpečujú elektrickú energiu</w:t>
            </w:r>
            <w:r w:rsidR="00326E55" w:rsidRPr="00326E55">
              <w:rPr>
                <w:rStyle w:val="normaltextrun"/>
                <w:rFonts w:ascii="Times New Roman" w:hAnsi="Times New Roman"/>
                <w:noProof/>
                <w:color w:val="006100"/>
                <w:spacing w:val="-6"/>
                <w:sz w:val="20"/>
                <w:szCs w:val="20"/>
                <w:lang w:val="sk-SK"/>
              </w:rPr>
              <w:t xml:space="preserve"> v </w:t>
            </w:r>
            <w:r w:rsidRPr="00326E55">
              <w:rPr>
                <w:rStyle w:val="normaltextrun"/>
                <w:rFonts w:ascii="Times New Roman" w:hAnsi="Times New Roman"/>
                <w:noProof/>
                <w:color w:val="006100"/>
                <w:spacing w:val="-6"/>
                <w:sz w:val="20"/>
                <w:szCs w:val="20"/>
                <w:lang w:val="sk-SK"/>
              </w:rPr>
              <w:t xml:space="preserve">najmenej 10 prístavoch. </w:t>
            </w:r>
          </w:p>
        </w:tc>
      </w:tr>
      <w:tr w:rsidR="00BF03AA" w:rsidRPr="00326E55" w14:paraId="22B38668" w14:textId="77777777">
        <w:trPr>
          <w:trHeight w:val="309"/>
          <w:jc w:val="center"/>
        </w:trPr>
        <w:tc>
          <w:tcPr>
            <w:tcW w:w="1051" w:type="dxa"/>
            <w:shd w:val="clear" w:color="auto" w:fill="C6EFCE"/>
            <w:noWrap/>
            <w:vAlign w:val="center"/>
          </w:tcPr>
          <w:p w14:paraId="75E696C2"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M3C2 – 12</w:t>
            </w:r>
          </w:p>
        </w:tc>
        <w:tc>
          <w:tcPr>
            <w:tcW w:w="1345" w:type="dxa"/>
            <w:shd w:val="clear" w:color="auto" w:fill="C6EFCE"/>
            <w:noWrap/>
            <w:vAlign w:val="center"/>
          </w:tcPr>
          <w:p w14:paraId="2A32746F"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Investícia 2.3: Žehlenie za studena </w:t>
            </w:r>
          </w:p>
        </w:tc>
        <w:tc>
          <w:tcPr>
            <w:tcW w:w="977" w:type="dxa"/>
            <w:shd w:val="clear" w:color="auto" w:fill="C6EFCE"/>
            <w:noWrap/>
            <w:vAlign w:val="center"/>
          </w:tcPr>
          <w:p w14:paraId="6CA985C9"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Cieľ </w:t>
            </w:r>
          </w:p>
        </w:tc>
        <w:tc>
          <w:tcPr>
            <w:tcW w:w="1380" w:type="dxa"/>
            <w:shd w:val="clear" w:color="auto" w:fill="C6EFCE"/>
            <w:noWrap/>
            <w:vAlign w:val="center"/>
          </w:tcPr>
          <w:p w14:paraId="3E7E6A74" w14:textId="5615175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Dokončenie prác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prijatie </w:t>
            </w:r>
            <w:r w:rsidRPr="00326E55">
              <w:rPr>
                <w:rFonts w:ascii="Times New Roman" w:hAnsi="Times New Roman"/>
                <w:noProof/>
                <w:spacing w:val="-6"/>
                <w:lang w:val="sk-SK"/>
              </w:rPr>
              <w:t>odhadov nákladov na pripojenie zo strany navrhovateľa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prípade infraštruktúr na žehlenie chladu. </w:t>
            </w:r>
          </w:p>
        </w:tc>
        <w:tc>
          <w:tcPr>
            <w:tcW w:w="1504" w:type="dxa"/>
            <w:shd w:val="clear" w:color="auto" w:fill="C6EFCE"/>
            <w:noWrap/>
            <w:vAlign w:val="center"/>
          </w:tcPr>
          <w:p w14:paraId="12C6B67D" w14:textId="77777777" w:rsidR="00BF03AA" w:rsidRPr="00326E55" w:rsidRDefault="00FB452D">
            <w:pPr>
              <w:jc w:val="center"/>
              <w:rPr>
                <w:rFonts w:ascii="Times New Roman" w:hAnsi="Times New Roman"/>
                <w:noProof/>
                <w:color w:val="006100"/>
                <w:spacing w:val="-6"/>
                <w:sz w:val="20"/>
                <w:szCs w:val="20"/>
                <w:lang w:val="sk-SK"/>
              </w:rPr>
            </w:pPr>
            <w:r w:rsidRPr="00326E55">
              <w:rPr>
                <w:rStyle w:val="eop"/>
                <w:rFonts w:ascii="Times New Roman" w:hAnsi="Times New Roman"/>
                <w:noProof/>
                <w:color w:val="006100"/>
                <w:spacing w:val="-6"/>
                <w:sz w:val="20"/>
                <w:lang w:val="sk-SK"/>
              </w:rPr>
              <w:t xml:space="preserve"> </w:t>
            </w:r>
          </w:p>
        </w:tc>
        <w:tc>
          <w:tcPr>
            <w:tcW w:w="1060" w:type="dxa"/>
            <w:shd w:val="clear" w:color="auto" w:fill="C6EFCE"/>
            <w:noWrap/>
            <w:vAlign w:val="center"/>
          </w:tcPr>
          <w:p w14:paraId="6C53A4C9"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Počet </w:t>
            </w:r>
          </w:p>
        </w:tc>
        <w:tc>
          <w:tcPr>
            <w:tcW w:w="942" w:type="dxa"/>
            <w:shd w:val="clear" w:color="auto" w:fill="C6EFCE"/>
            <w:noWrap/>
            <w:vAlign w:val="center"/>
          </w:tcPr>
          <w:p w14:paraId="5FE5A8E1"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0 </w:t>
            </w:r>
          </w:p>
        </w:tc>
        <w:tc>
          <w:tcPr>
            <w:tcW w:w="762" w:type="dxa"/>
            <w:shd w:val="clear" w:color="auto" w:fill="C6EFCE"/>
            <w:noWrap/>
            <w:vAlign w:val="center"/>
          </w:tcPr>
          <w:p w14:paraId="088CB54E"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15 </w:t>
            </w:r>
          </w:p>
        </w:tc>
        <w:tc>
          <w:tcPr>
            <w:tcW w:w="1383" w:type="dxa"/>
            <w:shd w:val="clear" w:color="auto" w:fill="C6EFCE"/>
            <w:noWrap/>
            <w:vAlign w:val="center"/>
          </w:tcPr>
          <w:p w14:paraId="19142497"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DRUHÝ ŠTVRŤROK</w:t>
            </w:r>
          </w:p>
        </w:tc>
        <w:tc>
          <w:tcPr>
            <w:tcW w:w="629" w:type="dxa"/>
            <w:shd w:val="clear" w:color="auto" w:fill="C6EFCE"/>
            <w:noWrap/>
            <w:vAlign w:val="center"/>
          </w:tcPr>
          <w:p w14:paraId="34CC71A0" w14:textId="77777777" w:rsidR="00BF03AA" w:rsidRPr="00326E55" w:rsidRDefault="00FB452D">
            <w:pPr>
              <w:jc w:val="center"/>
              <w:rPr>
                <w:rFonts w:ascii="Times New Roman" w:hAnsi="Times New Roman"/>
                <w:noProof/>
                <w:color w:val="006100"/>
                <w:spacing w:val="-6"/>
                <w:sz w:val="20"/>
                <w:szCs w:val="20"/>
                <w:lang w:val="sk-SK"/>
              </w:rPr>
            </w:pPr>
            <w:r w:rsidRPr="00326E55">
              <w:rPr>
                <w:rStyle w:val="normaltextrun"/>
                <w:rFonts w:ascii="Times New Roman" w:hAnsi="Times New Roman"/>
                <w:noProof/>
                <w:color w:val="006100"/>
                <w:spacing w:val="-6"/>
                <w:sz w:val="20"/>
                <w:lang w:val="sk-SK"/>
              </w:rPr>
              <w:t xml:space="preserve">2026 </w:t>
            </w:r>
          </w:p>
        </w:tc>
        <w:tc>
          <w:tcPr>
            <w:tcW w:w="3528" w:type="dxa"/>
            <w:shd w:val="clear" w:color="auto" w:fill="C6EFCE"/>
            <w:noWrap/>
            <w:vAlign w:val="center"/>
          </w:tcPr>
          <w:p w14:paraId="1DDF830F" w14:textId="4BB6903F"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akceptovanie odhadov nákladov na pripojenie zo strany developera pre najmenej 15 </w:t>
            </w:r>
            <w:r w:rsidRPr="00326E55">
              <w:rPr>
                <w:rFonts w:ascii="Times New Roman" w:hAnsi="Times New Roman"/>
                <w:noProof/>
                <w:spacing w:val="-6"/>
                <w:lang w:val="sk-SK"/>
              </w:rPr>
              <w:t>infraštruktúr na žehlenie za studena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10 prístavoch.</w:t>
            </w:r>
          </w:p>
        </w:tc>
      </w:tr>
    </w:tbl>
    <w:p w14:paraId="6B856018" w14:textId="77777777" w:rsidR="00BF03AA" w:rsidRPr="00326E55" w:rsidRDefault="00BF03AA">
      <w:pPr>
        <w:spacing w:before="120" w:after="120"/>
        <w:ind w:left="709"/>
        <w:jc w:val="both"/>
        <w:rPr>
          <w:rFonts w:ascii="Times New Roman" w:hAnsi="Times New Roman"/>
          <w:noProof/>
          <w:spacing w:val="-6"/>
          <w:lang w:val="sk-SK"/>
        </w:rPr>
      </w:pPr>
    </w:p>
    <w:p w14:paraId="76C45BB2"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even" r:id="rId158"/>
          <w:headerReference w:type="default" r:id="rId159"/>
          <w:footerReference w:type="even" r:id="rId160"/>
          <w:footerReference w:type="default" r:id="rId161"/>
          <w:headerReference w:type="first" r:id="rId162"/>
          <w:footerReference w:type="first" r:id="rId163"/>
          <w:pgSz w:w="16839" w:h="11907" w:orient="landscape"/>
          <w:pgMar w:top="1134" w:right="1134" w:bottom="1134" w:left="1134" w:header="567" w:footer="567" w:gutter="0"/>
          <w:cols w:space="720"/>
          <w:docGrid w:linePitch="360"/>
        </w:sectPr>
      </w:pPr>
    </w:p>
    <w:p w14:paraId="3FAC0375" w14:textId="77777777" w:rsidR="00326E55" w:rsidRPr="00326E55" w:rsidRDefault="00FB452D">
      <w:pPr>
        <w:pStyle w:val="P68B1DB1-Heading34"/>
        <w:ind w:left="850" w:hanging="850"/>
        <w:rPr>
          <w:b/>
          <w:noProof/>
          <w:spacing w:val="-6"/>
          <w:u w:val="single"/>
          <w:lang w:val="sk-SK"/>
        </w:rPr>
      </w:pPr>
      <w:r w:rsidRPr="00326E55">
        <w:rPr>
          <w:b/>
          <w:noProof/>
          <w:spacing w:val="-6"/>
          <w:u w:val="single"/>
          <w:lang w:val="sk-SK"/>
        </w:rPr>
        <w:t xml:space="preserve">I.3.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782F48C1" w14:textId="20C1A38C"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1.1: Zelené prístavy zásahy</w:t>
      </w:r>
      <w:r w:rsidR="00326E55" w:rsidRPr="00326E55">
        <w:rPr>
          <w:noProof/>
          <w:spacing w:val="-6"/>
          <w:lang w:val="sk-SK"/>
        </w:rPr>
        <w:t xml:space="preserve"> v </w:t>
      </w:r>
      <w:r w:rsidRPr="00326E55">
        <w:rPr>
          <w:noProof/>
          <w:spacing w:val="-6"/>
          <w:lang w:val="sk-SK"/>
        </w:rPr>
        <w:t>oblasti energie</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a </w:t>
      </w:r>
      <w:r w:rsidRPr="00326E55">
        <w:rPr>
          <w:noProof/>
          <w:spacing w:val="-6"/>
          <w:lang w:val="sk-SK"/>
        </w:rPr>
        <w:t>energetickej efektívnosti</w:t>
      </w:r>
      <w:r w:rsidR="00326E55" w:rsidRPr="00326E55">
        <w:rPr>
          <w:noProof/>
          <w:spacing w:val="-6"/>
          <w:lang w:val="sk-SK"/>
        </w:rPr>
        <w:t xml:space="preserve"> v </w:t>
      </w:r>
      <w:r w:rsidRPr="00326E55">
        <w:rPr>
          <w:noProof/>
          <w:spacing w:val="-6"/>
          <w:lang w:val="sk-SK"/>
        </w:rPr>
        <w:t>prístavoch</w:t>
      </w:r>
    </w:p>
    <w:p w14:paraId="490712E4" w14:textId="5111F263"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Cieľom tohto opatrenia je znížiť emisie skleníkových plynov</w:t>
      </w:r>
      <w:r w:rsidR="00326E55" w:rsidRPr="00326E55">
        <w:rPr>
          <w:noProof/>
          <w:spacing w:val="-6"/>
          <w:lang w:val="sk-SK"/>
        </w:rPr>
        <w:t xml:space="preserve"> a </w:t>
      </w:r>
      <w:r w:rsidRPr="00326E55">
        <w:rPr>
          <w:noProof/>
          <w:spacing w:val="-6"/>
          <w:lang w:val="sk-SK"/>
        </w:rPr>
        <w:t>zlepšiť kvalitu ovzdušia</w:t>
      </w:r>
      <w:r w:rsidR="00326E55" w:rsidRPr="00326E55">
        <w:rPr>
          <w:noProof/>
          <w:spacing w:val="-6"/>
          <w:lang w:val="sk-SK"/>
        </w:rPr>
        <w:t xml:space="preserve"> v </w:t>
      </w:r>
      <w:r w:rsidRPr="00326E55">
        <w:rPr>
          <w:noProof/>
          <w:spacing w:val="-6"/>
          <w:lang w:val="sk-SK"/>
        </w:rPr>
        <w:t>prístavoch</w:t>
      </w:r>
      <w:r w:rsidR="00326E55" w:rsidRPr="00326E55">
        <w:rPr>
          <w:noProof/>
          <w:spacing w:val="-6"/>
          <w:lang w:val="sk-SK"/>
        </w:rPr>
        <w:t xml:space="preserve"> a </w:t>
      </w:r>
      <w:r w:rsidRPr="00326E55">
        <w:rPr>
          <w:noProof/>
          <w:spacing w:val="-6"/>
          <w:lang w:val="sk-SK"/>
        </w:rPr>
        <w:t>prístavných mestách. Táto investícia pozostáva</w:t>
      </w:r>
      <w:r w:rsidR="00326E55" w:rsidRPr="00326E55">
        <w:rPr>
          <w:noProof/>
          <w:spacing w:val="-6"/>
          <w:lang w:val="sk-SK"/>
        </w:rPr>
        <w:t xml:space="preserve"> z </w:t>
      </w:r>
      <w:r w:rsidRPr="00326E55">
        <w:rPr>
          <w:noProof/>
          <w:spacing w:val="-6"/>
          <w:lang w:val="sk-SK"/>
        </w:rPr>
        <w:t>intervencií</w:t>
      </w:r>
      <w:r w:rsidR="00326E55" w:rsidRPr="00326E55">
        <w:rPr>
          <w:noProof/>
          <w:spacing w:val="-6"/>
          <w:lang w:val="sk-SK"/>
        </w:rPr>
        <w:t xml:space="preserve"> v </w:t>
      </w:r>
      <w:r w:rsidRPr="00326E55">
        <w:rPr>
          <w:noProof/>
          <w:spacing w:val="-6"/>
          <w:lang w:val="sk-SK"/>
        </w:rPr>
        <w:t>oblasti energetickej efektív</w:t>
      </w:r>
      <w:r w:rsidRPr="00326E55">
        <w:rPr>
          <w:noProof/>
          <w:spacing w:val="-6"/>
          <w:lang w:val="sk-SK"/>
        </w:rPr>
        <w:t>nosti, rozvoja energie</w:t>
      </w:r>
      <w:r w:rsidR="00326E55" w:rsidRPr="00326E55">
        <w:rPr>
          <w:noProof/>
          <w:spacing w:val="-6"/>
          <w:lang w:val="sk-SK"/>
        </w:rPr>
        <w:t xml:space="preserve"> z </w:t>
      </w:r>
      <w:r w:rsidRPr="00326E55">
        <w:rPr>
          <w:noProof/>
          <w:spacing w:val="-6"/>
          <w:lang w:val="sk-SK"/>
        </w:rPr>
        <w:t>obnoviteľných zdrojov, ako aj</w:t>
      </w:r>
      <w:r w:rsidR="00326E55" w:rsidRPr="00326E55">
        <w:rPr>
          <w:noProof/>
          <w:spacing w:val="-6"/>
          <w:lang w:val="sk-SK"/>
        </w:rPr>
        <w:t xml:space="preserve"> z </w:t>
      </w:r>
      <w:r w:rsidRPr="00326E55">
        <w:rPr>
          <w:noProof/>
          <w:spacing w:val="-6"/>
          <w:lang w:val="sk-SK"/>
        </w:rPr>
        <w:t>nákupu vozidiel</w:t>
      </w:r>
      <w:r w:rsidR="00326E55" w:rsidRPr="00326E55">
        <w:rPr>
          <w:noProof/>
          <w:spacing w:val="-6"/>
          <w:lang w:val="sk-SK"/>
        </w:rPr>
        <w:t xml:space="preserve"> a </w:t>
      </w:r>
      <w:r w:rsidRPr="00326E55">
        <w:rPr>
          <w:noProof/>
          <w:spacing w:val="-6"/>
          <w:lang w:val="sk-SK"/>
        </w:rPr>
        <w:t>služobných lodí</w:t>
      </w:r>
      <w:r w:rsidR="00326E55" w:rsidRPr="00326E55">
        <w:rPr>
          <w:noProof/>
          <w:spacing w:val="-6"/>
          <w:lang w:val="sk-SK"/>
        </w:rPr>
        <w:t xml:space="preserve"> s </w:t>
      </w:r>
      <w:r w:rsidRPr="00326E55">
        <w:rPr>
          <w:noProof/>
          <w:spacing w:val="-6"/>
          <w:lang w:val="sk-SK"/>
        </w:rPr>
        <w:t>nulovými emisiami alebo</w:t>
      </w:r>
      <w:r w:rsidR="00326E55" w:rsidRPr="00326E55">
        <w:rPr>
          <w:noProof/>
          <w:spacing w:val="-6"/>
          <w:lang w:val="sk-SK"/>
        </w:rPr>
        <w:t xml:space="preserve"> z </w:t>
      </w:r>
      <w:r w:rsidRPr="00326E55">
        <w:rPr>
          <w:noProof/>
          <w:spacing w:val="-6"/>
          <w:lang w:val="sk-SK"/>
        </w:rPr>
        <w:t>transformácie vozidiel</w:t>
      </w:r>
      <w:r w:rsidR="00326E55" w:rsidRPr="00326E55">
        <w:rPr>
          <w:noProof/>
          <w:spacing w:val="-6"/>
          <w:lang w:val="sk-SK"/>
        </w:rPr>
        <w:t xml:space="preserve"> a </w:t>
      </w:r>
      <w:r w:rsidRPr="00326E55">
        <w:rPr>
          <w:noProof/>
          <w:spacing w:val="-6"/>
          <w:lang w:val="sk-SK"/>
        </w:rPr>
        <w:t>služobných lodí na fosílne palivá na vozidlá</w:t>
      </w:r>
      <w:r w:rsidR="00326E55" w:rsidRPr="00326E55">
        <w:rPr>
          <w:noProof/>
          <w:spacing w:val="-6"/>
          <w:lang w:val="sk-SK"/>
        </w:rPr>
        <w:t xml:space="preserve"> s </w:t>
      </w:r>
      <w:r w:rsidRPr="00326E55">
        <w:rPr>
          <w:noProof/>
          <w:spacing w:val="-6"/>
          <w:lang w:val="sk-SK"/>
        </w:rPr>
        <w:t>nulovými emisiami.</w:t>
      </w:r>
    </w:p>
    <w:p w14:paraId="2F6C9B8E" w14:textId="3BBE1173" w:rsidR="00BF03AA" w:rsidRPr="00326E55" w:rsidRDefault="00FB452D">
      <w:pPr>
        <w:pStyle w:val="P68B1DB1-Normal5"/>
        <w:spacing w:before="120" w:after="120"/>
        <w:jc w:val="both"/>
        <w:rPr>
          <w:noProof/>
          <w:spacing w:val="-6"/>
          <w:lang w:val="sk-SK"/>
        </w:rPr>
      </w:pPr>
      <w:r w:rsidRPr="00326E55">
        <w:rPr>
          <w:noProof/>
          <w:spacing w:val="-6"/>
          <w:lang w:val="sk-SK"/>
        </w:rPr>
        <w:t>Reforma 2.2: Zriadenie národnej digitálnej log</w:t>
      </w:r>
      <w:r w:rsidRPr="00326E55">
        <w:rPr>
          <w:noProof/>
          <w:spacing w:val="-6"/>
          <w:lang w:val="sk-SK"/>
        </w:rPr>
        <w:t>istickej platformy</w:t>
      </w:r>
      <w:r w:rsidR="00326E55" w:rsidRPr="00326E55">
        <w:rPr>
          <w:noProof/>
          <w:spacing w:val="-6"/>
          <w:lang w:val="sk-SK"/>
        </w:rPr>
        <w:t xml:space="preserve"> s </w:t>
      </w:r>
      <w:r w:rsidRPr="00326E55">
        <w:rPr>
          <w:noProof/>
          <w:spacing w:val="-6"/>
          <w:lang w:val="sk-SK"/>
        </w:rPr>
        <w:t>cieľom zaviesť digitalizáciu služieb nákladnej a/alebo osobnej dopravy</w:t>
      </w:r>
    </w:p>
    <w:p w14:paraId="7962CFED" w14:textId="52DC3CE5" w:rsidR="00326E55" w:rsidRPr="00326E55" w:rsidRDefault="00FB452D">
      <w:pPr>
        <w:pStyle w:val="P68B1DB1-Normal7"/>
        <w:spacing w:before="120" w:after="120"/>
        <w:jc w:val="both"/>
        <w:rPr>
          <w:noProof/>
          <w:spacing w:val="-6"/>
          <w:lang w:val="sk-SK"/>
        </w:rPr>
      </w:pPr>
      <w:r w:rsidRPr="00326E55">
        <w:rPr>
          <w:noProof/>
          <w:spacing w:val="-6"/>
          <w:lang w:val="sk-SK"/>
        </w:rPr>
        <w:t>Cieľom reformy je zabezpečiť interoperabilitu systémov prístavných spoločenstiev jednotlivých orgánov prístavného systému</w:t>
      </w:r>
      <w:r w:rsidR="00326E55" w:rsidRPr="00326E55">
        <w:rPr>
          <w:noProof/>
          <w:spacing w:val="-6"/>
          <w:lang w:val="sk-SK"/>
        </w:rPr>
        <w:t xml:space="preserve"> s </w:t>
      </w:r>
      <w:r w:rsidRPr="00326E55">
        <w:rPr>
          <w:noProof/>
          <w:spacing w:val="-6"/>
          <w:lang w:val="sk-SK"/>
        </w:rPr>
        <w:t>národnou digitálnou logistickou platform</w:t>
      </w:r>
      <w:r w:rsidRPr="00326E55">
        <w:rPr>
          <w:noProof/>
          <w:spacing w:val="-6"/>
          <w:lang w:val="sk-SK"/>
        </w:rPr>
        <w:t>ou</w:t>
      </w:r>
      <w:r w:rsidR="00326E55" w:rsidRPr="00326E55">
        <w:rPr>
          <w:noProof/>
          <w:spacing w:val="-6"/>
          <w:lang w:val="sk-SK"/>
        </w:rPr>
        <w:t>.</w:t>
      </w:r>
    </w:p>
    <w:p w14:paraId="7498718C" w14:textId="222B7CE3" w:rsidR="00BF03AA" w:rsidRPr="00326E55" w:rsidRDefault="00BF03AA">
      <w:pPr>
        <w:spacing w:before="120" w:after="120"/>
        <w:jc w:val="both"/>
        <w:rPr>
          <w:rFonts w:ascii="Times New Roman" w:hAnsi="Times New Roman" w:cs="Times New Roman"/>
          <w:noProof/>
          <w:spacing w:val="-6"/>
          <w:lang w:val="sk-SK"/>
        </w:rPr>
        <w:sectPr w:rsidR="00BF03AA" w:rsidRPr="00326E55" w:rsidSect="005F11B9">
          <w:headerReference w:type="even" r:id="rId164"/>
          <w:headerReference w:type="default" r:id="rId165"/>
          <w:footerReference w:type="even" r:id="rId166"/>
          <w:footerReference w:type="default" r:id="rId167"/>
          <w:headerReference w:type="first" r:id="rId168"/>
          <w:footerReference w:type="first" r:id="rId169"/>
          <w:pgSz w:w="11907" w:h="16839"/>
          <w:pgMar w:top="1134" w:right="1134" w:bottom="1134" w:left="1134" w:header="567" w:footer="567" w:gutter="0"/>
          <w:cols w:space="720"/>
          <w:docGrid w:linePitch="360"/>
        </w:sectPr>
      </w:pPr>
    </w:p>
    <w:p w14:paraId="1748F555" w14:textId="18E3E3A0"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I.4.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 xml:space="preserve">úverom </w:t>
      </w:r>
    </w:p>
    <w:tbl>
      <w:tblPr>
        <w:tblW w:w="53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9"/>
        <w:gridCol w:w="1652"/>
        <w:gridCol w:w="1183"/>
        <w:gridCol w:w="1554"/>
        <w:gridCol w:w="1422"/>
        <w:gridCol w:w="1276"/>
        <w:gridCol w:w="1134"/>
        <w:gridCol w:w="851"/>
        <w:gridCol w:w="935"/>
        <w:gridCol w:w="721"/>
        <w:gridCol w:w="3456"/>
      </w:tblGrid>
      <w:tr w:rsidR="00BF03AA" w:rsidRPr="00326E55" w14:paraId="5BC67E1A" w14:textId="77777777">
        <w:trPr>
          <w:trHeight w:val="939"/>
          <w:tblHeader/>
          <w:jc w:val="center"/>
        </w:trPr>
        <w:tc>
          <w:tcPr>
            <w:tcW w:w="1079" w:type="dxa"/>
            <w:vMerge w:val="restart"/>
            <w:shd w:val="clear" w:color="auto" w:fill="BDD7EE"/>
            <w:vAlign w:val="center"/>
            <w:hideMark/>
          </w:tcPr>
          <w:p w14:paraId="64F87FE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652" w:type="dxa"/>
            <w:vMerge w:val="restart"/>
            <w:shd w:val="clear" w:color="auto" w:fill="BDD7EE"/>
            <w:vAlign w:val="center"/>
            <w:hideMark/>
          </w:tcPr>
          <w:p w14:paraId="2C4F28A5"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183" w:type="dxa"/>
            <w:vMerge w:val="restart"/>
            <w:shd w:val="clear" w:color="auto" w:fill="BDD7EE"/>
            <w:vAlign w:val="center"/>
            <w:hideMark/>
          </w:tcPr>
          <w:p w14:paraId="73D6FB1C" w14:textId="5C5ED20D"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554" w:type="dxa"/>
            <w:vMerge w:val="restart"/>
            <w:shd w:val="clear" w:color="auto" w:fill="BDD7EE"/>
            <w:vAlign w:val="center"/>
            <w:hideMark/>
          </w:tcPr>
          <w:p w14:paraId="196C51B8"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422" w:type="dxa"/>
            <w:vMerge w:val="restart"/>
            <w:shd w:val="clear" w:color="auto" w:fill="BDD7EE"/>
            <w:vAlign w:val="center"/>
            <w:hideMark/>
          </w:tcPr>
          <w:p w14:paraId="6B87ACB9"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 xml:space="preserve">Kvalitatívne </w:t>
            </w:r>
            <w:r w:rsidRPr="00326E55">
              <w:rPr>
                <w:rFonts w:ascii="Times New Roman" w:hAnsi="Times New Roman"/>
                <w:b/>
                <w:noProof/>
                <w:spacing w:val="-6"/>
                <w:sz w:val="20"/>
                <w:lang w:val="sk-SK"/>
              </w:rPr>
              <w:t>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261" w:type="dxa"/>
            <w:gridSpan w:val="3"/>
            <w:shd w:val="clear" w:color="auto" w:fill="BDD7EE"/>
            <w:vAlign w:val="center"/>
            <w:hideMark/>
          </w:tcPr>
          <w:p w14:paraId="4EFA2DD7"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656" w:type="dxa"/>
            <w:gridSpan w:val="2"/>
            <w:shd w:val="clear" w:color="auto" w:fill="BDD7EE"/>
            <w:vAlign w:val="center"/>
            <w:hideMark/>
          </w:tcPr>
          <w:p w14:paraId="6EBD7C0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 xml:space="preserve">Orientačný harmonogram dokončenia </w:t>
            </w:r>
          </w:p>
        </w:tc>
        <w:tc>
          <w:tcPr>
            <w:tcW w:w="3456" w:type="dxa"/>
            <w:vMerge w:val="restart"/>
            <w:shd w:val="clear" w:color="auto" w:fill="BDD7EE"/>
            <w:vAlign w:val="center"/>
            <w:hideMark/>
          </w:tcPr>
          <w:p w14:paraId="764BFA19" w14:textId="10FF0A3B"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376CB503" w14:textId="77777777">
        <w:trPr>
          <w:trHeight w:val="1027"/>
          <w:tblHeader/>
          <w:jc w:val="center"/>
        </w:trPr>
        <w:tc>
          <w:tcPr>
            <w:tcW w:w="1079" w:type="dxa"/>
            <w:vMerge/>
            <w:vAlign w:val="center"/>
            <w:hideMark/>
          </w:tcPr>
          <w:p w14:paraId="68E0905F" w14:textId="77777777" w:rsidR="00BF03AA" w:rsidRPr="00326E55" w:rsidRDefault="00BF03AA">
            <w:pPr>
              <w:rPr>
                <w:rFonts w:ascii="Times New Roman" w:hAnsi="Times New Roman"/>
                <w:b/>
                <w:bCs/>
                <w:noProof/>
                <w:spacing w:val="-6"/>
                <w:sz w:val="20"/>
                <w:szCs w:val="20"/>
                <w:lang w:val="sk-SK"/>
              </w:rPr>
            </w:pPr>
          </w:p>
        </w:tc>
        <w:tc>
          <w:tcPr>
            <w:tcW w:w="1652" w:type="dxa"/>
            <w:vMerge/>
            <w:vAlign w:val="center"/>
            <w:hideMark/>
          </w:tcPr>
          <w:p w14:paraId="0A0F800E" w14:textId="77777777" w:rsidR="00BF03AA" w:rsidRPr="00326E55" w:rsidRDefault="00BF03AA">
            <w:pPr>
              <w:rPr>
                <w:rFonts w:ascii="Times New Roman" w:hAnsi="Times New Roman"/>
                <w:b/>
                <w:bCs/>
                <w:noProof/>
                <w:spacing w:val="-6"/>
                <w:sz w:val="20"/>
                <w:szCs w:val="20"/>
                <w:lang w:val="sk-SK"/>
              </w:rPr>
            </w:pPr>
          </w:p>
        </w:tc>
        <w:tc>
          <w:tcPr>
            <w:tcW w:w="1183" w:type="dxa"/>
            <w:vMerge/>
            <w:vAlign w:val="center"/>
            <w:hideMark/>
          </w:tcPr>
          <w:p w14:paraId="0FB05003" w14:textId="77777777" w:rsidR="00BF03AA" w:rsidRPr="00326E55" w:rsidRDefault="00BF03AA">
            <w:pPr>
              <w:rPr>
                <w:rFonts w:ascii="Times New Roman" w:hAnsi="Times New Roman"/>
                <w:b/>
                <w:bCs/>
                <w:noProof/>
                <w:spacing w:val="-6"/>
                <w:sz w:val="20"/>
                <w:szCs w:val="20"/>
                <w:lang w:val="sk-SK"/>
              </w:rPr>
            </w:pPr>
          </w:p>
        </w:tc>
        <w:tc>
          <w:tcPr>
            <w:tcW w:w="1554" w:type="dxa"/>
            <w:vMerge/>
            <w:vAlign w:val="center"/>
            <w:hideMark/>
          </w:tcPr>
          <w:p w14:paraId="79FA3C08" w14:textId="77777777" w:rsidR="00BF03AA" w:rsidRPr="00326E55" w:rsidRDefault="00BF03AA">
            <w:pPr>
              <w:rPr>
                <w:rFonts w:ascii="Times New Roman" w:hAnsi="Times New Roman"/>
                <w:b/>
                <w:bCs/>
                <w:noProof/>
                <w:spacing w:val="-6"/>
                <w:sz w:val="20"/>
                <w:szCs w:val="20"/>
                <w:lang w:val="sk-SK"/>
              </w:rPr>
            </w:pPr>
          </w:p>
        </w:tc>
        <w:tc>
          <w:tcPr>
            <w:tcW w:w="1422" w:type="dxa"/>
            <w:vMerge/>
            <w:vAlign w:val="center"/>
            <w:hideMark/>
          </w:tcPr>
          <w:p w14:paraId="0FDE00E9" w14:textId="77777777" w:rsidR="00BF03AA" w:rsidRPr="00326E55" w:rsidRDefault="00BF03AA">
            <w:pPr>
              <w:rPr>
                <w:rFonts w:ascii="Times New Roman" w:hAnsi="Times New Roman"/>
                <w:b/>
                <w:bCs/>
                <w:noProof/>
                <w:spacing w:val="-6"/>
                <w:sz w:val="20"/>
                <w:szCs w:val="20"/>
                <w:lang w:val="sk-SK"/>
              </w:rPr>
            </w:pPr>
          </w:p>
        </w:tc>
        <w:tc>
          <w:tcPr>
            <w:tcW w:w="1276" w:type="dxa"/>
            <w:shd w:val="clear" w:color="auto" w:fill="BDD7EE"/>
            <w:vAlign w:val="center"/>
            <w:hideMark/>
          </w:tcPr>
          <w:p w14:paraId="52D5A3D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134" w:type="dxa"/>
            <w:shd w:val="clear" w:color="auto" w:fill="BDD7EE"/>
            <w:vAlign w:val="center"/>
            <w:hideMark/>
          </w:tcPr>
          <w:p w14:paraId="68FA531A"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 xml:space="preserve">Základná </w:t>
            </w:r>
          </w:p>
        </w:tc>
        <w:tc>
          <w:tcPr>
            <w:tcW w:w="851" w:type="dxa"/>
            <w:shd w:val="clear" w:color="auto" w:fill="BDD7EE"/>
            <w:vAlign w:val="center"/>
            <w:hideMark/>
          </w:tcPr>
          <w:p w14:paraId="665305E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 xml:space="preserve">Cieľ </w:t>
            </w:r>
          </w:p>
        </w:tc>
        <w:tc>
          <w:tcPr>
            <w:tcW w:w="935" w:type="dxa"/>
            <w:shd w:val="clear" w:color="auto" w:fill="BDD7EE"/>
            <w:vAlign w:val="center"/>
            <w:hideMark/>
          </w:tcPr>
          <w:p w14:paraId="1A16599E"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21" w:type="dxa"/>
            <w:shd w:val="clear" w:color="auto" w:fill="BDD7EE"/>
            <w:vAlign w:val="center"/>
            <w:hideMark/>
          </w:tcPr>
          <w:p w14:paraId="6678CF0C"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3456" w:type="dxa"/>
            <w:vMerge/>
            <w:vAlign w:val="center"/>
            <w:hideMark/>
          </w:tcPr>
          <w:p w14:paraId="43ABF898" w14:textId="77777777" w:rsidR="00BF03AA" w:rsidRPr="00326E55" w:rsidRDefault="00BF03AA">
            <w:pPr>
              <w:rPr>
                <w:rFonts w:ascii="Times New Roman" w:hAnsi="Times New Roman"/>
                <w:b/>
                <w:bCs/>
                <w:noProof/>
                <w:spacing w:val="-6"/>
                <w:sz w:val="20"/>
                <w:szCs w:val="20"/>
                <w:lang w:val="sk-SK"/>
              </w:rPr>
            </w:pPr>
          </w:p>
        </w:tc>
      </w:tr>
      <w:tr w:rsidR="00BF03AA" w:rsidRPr="00326E55" w14:paraId="28F5039F" w14:textId="77777777">
        <w:trPr>
          <w:trHeight w:val="313"/>
          <w:jc w:val="center"/>
        </w:trPr>
        <w:tc>
          <w:tcPr>
            <w:tcW w:w="1079" w:type="dxa"/>
            <w:shd w:val="clear" w:color="auto" w:fill="C6EFCE"/>
            <w:noWrap/>
            <w:vAlign w:val="center"/>
          </w:tcPr>
          <w:p w14:paraId="60690D1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M3C2 – 8</w:t>
            </w:r>
          </w:p>
        </w:tc>
        <w:tc>
          <w:tcPr>
            <w:tcW w:w="1652" w:type="dxa"/>
            <w:shd w:val="clear" w:color="auto" w:fill="C6EFCE"/>
            <w:noWrap/>
            <w:vAlign w:val="center"/>
          </w:tcPr>
          <w:p w14:paraId="3928968E" w14:textId="3E506A9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Zelené prístavy zásahy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energetickej efektívnosti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prístavoch</w:t>
            </w:r>
          </w:p>
        </w:tc>
        <w:tc>
          <w:tcPr>
            <w:tcW w:w="1183" w:type="dxa"/>
            <w:shd w:val="clear" w:color="auto" w:fill="C6EFCE"/>
            <w:noWrap/>
            <w:vAlign w:val="center"/>
          </w:tcPr>
          <w:p w14:paraId="6524A5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4" w:type="dxa"/>
            <w:shd w:val="clear" w:color="auto" w:fill="C6EFCE"/>
            <w:noWrap/>
            <w:vAlign w:val="center"/>
          </w:tcPr>
          <w:p w14:paraId="49FEFF0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Zelené prístavy prideľovanie prác</w:t>
            </w:r>
          </w:p>
        </w:tc>
        <w:tc>
          <w:tcPr>
            <w:tcW w:w="1422" w:type="dxa"/>
            <w:shd w:val="clear" w:color="auto" w:fill="C6EFCE"/>
            <w:noWrap/>
            <w:vAlign w:val="center"/>
          </w:tcPr>
          <w:p w14:paraId="568A2E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0E37C26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34" w:type="dxa"/>
            <w:shd w:val="clear" w:color="auto" w:fill="C6EFCE"/>
            <w:noWrap/>
            <w:vAlign w:val="center"/>
          </w:tcPr>
          <w:p w14:paraId="0C2882C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51" w:type="dxa"/>
            <w:shd w:val="clear" w:color="auto" w:fill="C6EFCE"/>
            <w:noWrap/>
            <w:vAlign w:val="center"/>
          </w:tcPr>
          <w:p w14:paraId="092E55C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w:t>
            </w:r>
          </w:p>
        </w:tc>
        <w:tc>
          <w:tcPr>
            <w:tcW w:w="935" w:type="dxa"/>
            <w:shd w:val="clear" w:color="auto" w:fill="C6EFCE"/>
            <w:noWrap/>
            <w:vAlign w:val="center"/>
          </w:tcPr>
          <w:p w14:paraId="519D775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21" w:type="dxa"/>
            <w:shd w:val="clear" w:color="auto" w:fill="C6EFCE"/>
            <w:noWrap/>
            <w:vAlign w:val="center"/>
          </w:tcPr>
          <w:p w14:paraId="20F7A8A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456" w:type="dxa"/>
            <w:shd w:val="clear" w:color="auto" w:fill="C6EFCE"/>
            <w:noWrap/>
            <w:vAlign w:val="center"/>
          </w:tcPr>
          <w:p w14:paraId="11A07D70" w14:textId="77777777" w:rsidR="00326E55"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Pridelenie prác najmenej siedmim orgánom prístavného systému. Výberové konanie na pridelenie prác zahŕňa</w:t>
            </w:r>
            <w:r w:rsidR="00326E55" w:rsidRPr="00326E55">
              <w:rPr>
                <w:rFonts w:ascii="Times New Roman" w:hAnsi="Times New Roman"/>
                <w:noProof/>
                <w:spacing w:val="-6"/>
                <w:lang w:val="sk-SK"/>
              </w:rPr>
              <w:t>:</w:t>
            </w:r>
          </w:p>
          <w:p w14:paraId="2FCA6243" w14:textId="630E58CB"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 xml:space="preserve">a) </w:t>
            </w:r>
            <w:r w:rsidRPr="00326E55">
              <w:rPr>
                <w:rFonts w:ascii="Times New Roman" w:hAnsi="Times New Roman"/>
                <w:noProof/>
                <w:spacing w:val="-6"/>
                <w:lang w:val="sk-SK"/>
              </w:rPr>
              <w:t>Kritériá oprávnenosti, ktorými sa zabezpečuje, aby práce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p w14:paraId="02286515" w14:textId="11C68A94"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b) záväzo</w:t>
            </w:r>
            <w:r w:rsidRPr="00326E55">
              <w:rPr>
                <w:rFonts w:ascii="Times New Roman" w:hAnsi="Times New Roman"/>
                <w:noProof/>
                <w:spacing w:val="-6"/>
                <w:lang w:val="sk-SK"/>
              </w:rPr>
              <w:t>k, že príspevok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podľa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musí predstavovať aspoň 79</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investície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62BA87B5" w14:textId="11FC44EB"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C) záväzok podávať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vyk</w:t>
            </w:r>
            <w:r w:rsidRPr="00326E55">
              <w:rPr>
                <w:rFonts w:ascii="Times New Roman" w:hAnsi="Times New Roman"/>
                <w:noProof/>
                <w:spacing w:val="-6"/>
                <w:lang w:val="sk-SK"/>
              </w:rPr>
              <w:t>onávaní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polovici trvania schémy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ukončení schémy.</w:t>
            </w:r>
          </w:p>
        </w:tc>
      </w:tr>
      <w:tr w:rsidR="00BF03AA" w:rsidRPr="00326E55" w14:paraId="28316CBC" w14:textId="77777777">
        <w:trPr>
          <w:trHeight w:val="313"/>
          <w:jc w:val="center"/>
        </w:trPr>
        <w:tc>
          <w:tcPr>
            <w:tcW w:w="1079" w:type="dxa"/>
            <w:shd w:val="clear" w:color="auto" w:fill="C6EFCE"/>
            <w:noWrap/>
            <w:vAlign w:val="center"/>
          </w:tcPr>
          <w:p w14:paraId="5A98C59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M3C2 – 9 </w:t>
            </w:r>
          </w:p>
        </w:tc>
        <w:tc>
          <w:tcPr>
            <w:tcW w:w="1652" w:type="dxa"/>
            <w:shd w:val="clear" w:color="auto" w:fill="C6EFCE"/>
            <w:noWrap/>
            <w:vAlign w:val="center"/>
          </w:tcPr>
          <w:p w14:paraId="31E077F0" w14:textId="3126A18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Zelené prístavy zásahy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energetickej efektívnosti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prístavoch </w:t>
            </w:r>
          </w:p>
        </w:tc>
        <w:tc>
          <w:tcPr>
            <w:tcW w:w="1183" w:type="dxa"/>
            <w:shd w:val="clear" w:color="auto" w:fill="C6EFCE"/>
            <w:noWrap/>
            <w:vAlign w:val="center"/>
          </w:tcPr>
          <w:p w14:paraId="0B65FC5F" w14:textId="0430E95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4" w:type="dxa"/>
            <w:shd w:val="clear" w:color="auto" w:fill="C6EFCE"/>
            <w:noWrap/>
            <w:vAlign w:val="center"/>
          </w:tcPr>
          <w:p w14:paraId="628F753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Zelené prístavy dokončenie prác </w:t>
            </w:r>
          </w:p>
        </w:tc>
        <w:tc>
          <w:tcPr>
            <w:tcW w:w="1422" w:type="dxa"/>
            <w:shd w:val="clear" w:color="auto" w:fill="C6EFCE"/>
            <w:noWrap/>
            <w:vAlign w:val="center"/>
          </w:tcPr>
          <w:p w14:paraId="3491B63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550875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34" w:type="dxa"/>
            <w:shd w:val="clear" w:color="auto" w:fill="C6EFCE"/>
            <w:noWrap/>
            <w:vAlign w:val="center"/>
          </w:tcPr>
          <w:p w14:paraId="408B1D4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51" w:type="dxa"/>
            <w:shd w:val="clear" w:color="auto" w:fill="C6EFCE"/>
            <w:noWrap/>
            <w:vAlign w:val="center"/>
          </w:tcPr>
          <w:p w14:paraId="33EF9C0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75</w:t>
            </w:r>
          </w:p>
        </w:tc>
        <w:tc>
          <w:tcPr>
            <w:tcW w:w="935" w:type="dxa"/>
            <w:shd w:val="clear" w:color="auto" w:fill="C6EFCE"/>
            <w:noWrap/>
            <w:vAlign w:val="center"/>
          </w:tcPr>
          <w:p w14:paraId="0A4204A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 </w:t>
            </w:r>
          </w:p>
        </w:tc>
        <w:tc>
          <w:tcPr>
            <w:tcW w:w="721" w:type="dxa"/>
            <w:shd w:val="clear" w:color="auto" w:fill="C6EFCE"/>
            <w:noWrap/>
            <w:vAlign w:val="center"/>
          </w:tcPr>
          <w:p w14:paraId="21B9260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2026 </w:t>
            </w:r>
          </w:p>
        </w:tc>
        <w:tc>
          <w:tcPr>
            <w:tcW w:w="3456" w:type="dxa"/>
            <w:shd w:val="clear" w:color="auto" w:fill="C6EFCE"/>
            <w:noWrap/>
            <w:vAlign w:val="center"/>
          </w:tcPr>
          <w:p w14:paraId="56F5A114" w14:textId="3820A5EE"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Dodanie tovaru, prác</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služieb 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najmenej 75 projektmi pre prístavné orgány.</w:t>
            </w:r>
          </w:p>
        </w:tc>
      </w:tr>
      <w:tr w:rsidR="00BF03AA" w:rsidRPr="00326E55" w14:paraId="13A940EF" w14:textId="77777777">
        <w:trPr>
          <w:trHeight w:val="313"/>
          <w:jc w:val="center"/>
        </w:trPr>
        <w:tc>
          <w:tcPr>
            <w:tcW w:w="1079" w:type="dxa"/>
            <w:shd w:val="clear" w:color="auto" w:fill="C6EFCE"/>
            <w:noWrap/>
            <w:vAlign w:val="center"/>
          </w:tcPr>
          <w:p w14:paraId="0B25346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M3C2 – 10</w:t>
            </w:r>
          </w:p>
        </w:tc>
        <w:tc>
          <w:tcPr>
            <w:tcW w:w="1652" w:type="dxa"/>
            <w:shd w:val="clear" w:color="auto" w:fill="C6EFCE"/>
            <w:noWrap/>
            <w:vAlign w:val="center"/>
          </w:tcPr>
          <w:p w14:paraId="2D59020E" w14:textId="4539EFF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2.2: Zriadenie národnej digitálnej logistickej platformy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zaviesť digitalizáciu služieb nákladnej a/alebo osobnej </w:t>
            </w:r>
            <w:r w:rsidRPr="00326E55">
              <w:rPr>
                <w:rFonts w:ascii="Times New Roman" w:hAnsi="Times New Roman"/>
                <w:noProof/>
                <w:spacing w:val="-6"/>
                <w:lang w:val="sk-SK"/>
              </w:rPr>
              <w:t>dopravy</w:t>
            </w:r>
          </w:p>
        </w:tc>
        <w:tc>
          <w:tcPr>
            <w:tcW w:w="1183" w:type="dxa"/>
            <w:shd w:val="clear" w:color="auto" w:fill="C6EFCE"/>
            <w:noWrap/>
            <w:vAlign w:val="center"/>
          </w:tcPr>
          <w:p w14:paraId="4AB09F5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4" w:type="dxa"/>
            <w:shd w:val="clear" w:color="auto" w:fill="C6EFCE"/>
            <w:noWrap/>
            <w:vAlign w:val="center"/>
          </w:tcPr>
          <w:p w14:paraId="74DE892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Národná platforma digitálnej logistiky </w:t>
            </w:r>
          </w:p>
        </w:tc>
        <w:tc>
          <w:tcPr>
            <w:tcW w:w="1422" w:type="dxa"/>
            <w:shd w:val="clear" w:color="auto" w:fill="C6EFCE"/>
            <w:noWrap/>
            <w:vAlign w:val="center"/>
          </w:tcPr>
          <w:p w14:paraId="18416DC0" w14:textId="4E48945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právnom akte,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ktorom sa uvádza nadobudnutie účinnosti právneho aktu  </w:t>
            </w:r>
          </w:p>
        </w:tc>
        <w:tc>
          <w:tcPr>
            <w:tcW w:w="1276" w:type="dxa"/>
            <w:shd w:val="clear" w:color="auto" w:fill="C6EFCE"/>
            <w:noWrap/>
            <w:vAlign w:val="center"/>
          </w:tcPr>
          <w:p w14:paraId="211C0F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4C8C916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1" w:type="dxa"/>
            <w:shd w:val="clear" w:color="auto" w:fill="C6EFCE"/>
            <w:noWrap/>
            <w:vAlign w:val="center"/>
          </w:tcPr>
          <w:p w14:paraId="47B2CA5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35" w:type="dxa"/>
            <w:shd w:val="clear" w:color="auto" w:fill="C6EFCE"/>
            <w:noWrap/>
            <w:vAlign w:val="center"/>
          </w:tcPr>
          <w:p w14:paraId="31099F6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59363CC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456" w:type="dxa"/>
            <w:shd w:val="clear" w:color="auto" w:fill="C6EFCE"/>
            <w:noWrap/>
            <w:vAlign w:val="center"/>
          </w:tcPr>
          <w:p w14:paraId="10C60412" w14:textId="338D3856"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právneho aktu, ktorým sa zabezpečí </w:t>
            </w:r>
            <w:r w:rsidRPr="00326E55">
              <w:rPr>
                <w:rFonts w:ascii="Times New Roman" w:hAnsi="Times New Roman"/>
                <w:noProof/>
                <w:spacing w:val="-6"/>
                <w:lang w:val="sk-SK"/>
              </w:rPr>
              <w:t>interoperabilita systémov prístavných komunít</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národnou digitálnou logistickou platformou.</w:t>
            </w:r>
          </w:p>
          <w:p w14:paraId="1796EA5A" w14:textId="27A1E2EA" w:rsidR="00BF03AA" w:rsidRPr="00326E55" w:rsidRDefault="00FB452D">
            <w:pPr>
              <w:pStyle w:val="P68B1DB1-Normal11"/>
              <w:jc w:val="both"/>
              <w:rPr>
                <w:rFonts w:ascii="Times New Roman" w:hAnsi="Times New Roman"/>
                <w:noProof/>
                <w:spacing w:val="-6"/>
                <w:szCs w:val="20"/>
                <w:lang w:val="sk-SK"/>
              </w:rPr>
            </w:pPr>
            <w:r w:rsidRPr="00326E55">
              <w:rPr>
                <w:rFonts w:ascii="Times New Roman" w:hAnsi="Times New Roman"/>
                <w:noProof/>
                <w:spacing w:val="-6"/>
                <w:lang w:val="sk-SK"/>
              </w:rPr>
              <w:t>Okrem toho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právnom akte stanoví, že orgány prístavného systému sú vybavené štandardnými službami PCS (prístavný komunitný systém), ktoré sú interoperabilné so </w:t>
            </w:r>
            <w:r w:rsidRPr="00326E55">
              <w:rPr>
                <w:rFonts w:ascii="Times New Roman" w:hAnsi="Times New Roman"/>
                <w:noProof/>
                <w:spacing w:val="-6"/>
                <w:lang w:val="sk-SK"/>
              </w:rPr>
              <w:t>zainteresovanými orgánmi verejnej správy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zlučiteľné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nariadením EÚ </w:t>
            </w:r>
            <w:r w:rsidR="00326E55" w:rsidRPr="00326E55">
              <w:rPr>
                <w:rFonts w:ascii="Times New Roman" w:hAnsi="Times New Roman"/>
                <w:noProof/>
                <w:spacing w:val="-6"/>
                <w:lang w:val="sk-SK"/>
              </w:rPr>
              <w:t>č. </w:t>
            </w:r>
            <w:r w:rsidRPr="00326E55">
              <w:rPr>
                <w:rFonts w:ascii="Times New Roman" w:hAnsi="Times New Roman"/>
                <w:noProof/>
                <w:spacing w:val="-6"/>
                <w:lang w:val="sk-SK"/>
              </w:rPr>
              <w:t>1056/2020</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národnou digitálnou logistickou platformou.</w:t>
            </w:r>
          </w:p>
        </w:tc>
      </w:tr>
    </w:tbl>
    <w:p w14:paraId="60D0AB25" w14:textId="77777777" w:rsidR="00BF03AA" w:rsidRPr="00326E55" w:rsidRDefault="00BF03AA">
      <w:pPr>
        <w:rPr>
          <w:rFonts w:ascii="Times New Roman" w:hAnsi="Times New Roman"/>
          <w:noProof/>
          <w:spacing w:val="-6"/>
          <w:lang w:val="sk-SK"/>
        </w:rPr>
        <w:sectPr w:rsidR="00BF03AA" w:rsidRPr="00326E55" w:rsidSect="00564077">
          <w:headerReference w:type="even" r:id="rId170"/>
          <w:headerReference w:type="default" r:id="rId171"/>
          <w:footerReference w:type="even" r:id="rId172"/>
          <w:footerReference w:type="default" r:id="rId173"/>
          <w:headerReference w:type="first" r:id="rId174"/>
          <w:footerReference w:type="first" r:id="rId175"/>
          <w:pgSz w:w="16838" w:h="11906" w:orient="landscape"/>
          <w:pgMar w:top="1440" w:right="1440" w:bottom="1440" w:left="1440" w:header="708" w:footer="708" w:gutter="0"/>
          <w:cols w:space="708"/>
          <w:docGrid w:linePitch="360"/>
        </w:sectPr>
      </w:pPr>
    </w:p>
    <w:p w14:paraId="02360BBD" w14:textId="77777777" w:rsidR="00326E55" w:rsidRPr="00326E55" w:rsidRDefault="00FB452D">
      <w:pPr>
        <w:pStyle w:val="P68B1DB1-Heading291"/>
        <w:rPr>
          <w:rFonts w:ascii="Times New Roman" w:hAnsi="Times New Roman" w:cs="Times New Roman"/>
          <w:noProof/>
          <w:spacing w:val="-6"/>
          <w:lang w:val="sk-SK"/>
        </w:rPr>
      </w:pPr>
      <w:r w:rsidRPr="00326E55">
        <w:rPr>
          <w:rFonts w:ascii="Times New Roman" w:eastAsia="Times New Roman" w:hAnsi="Times New Roman" w:cs="Times New Roman"/>
          <w:b/>
          <w:noProof/>
          <w:color w:val="auto"/>
          <w:spacing w:val="-6"/>
          <w:lang w:val="sk-SK"/>
        </w:rPr>
        <w:t xml:space="preserve">J. ÚLOHA 4 ZLOŽKA 1: Posilnenie poskytovania vzdelávacích služieb: </w:t>
      </w:r>
      <w:r w:rsidRPr="00326E55">
        <w:rPr>
          <w:rFonts w:ascii="Times New Roman" w:eastAsia="Times New Roman" w:hAnsi="Times New Roman" w:cs="Times New Roman"/>
          <w:b/>
          <w:noProof/>
          <w:color w:val="auto"/>
          <w:spacing w:val="-6"/>
          <w:lang w:val="sk-SK"/>
        </w:rPr>
        <w:t>od škôlok až po univerzity</w:t>
      </w:r>
    </w:p>
    <w:p w14:paraId="43A053AA" w14:textId="3E08DCF8" w:rsidR="00BF03AA" w:rsidRPr="00326E55" w:rsidRDefault="00FB452D">
      <w:pPr>
        <w:pStyle w:val="P68B1DB1-Normal7"/>
        <w:spacing w:before="120" w:after="120"/>
        <w:jc w:val="both"/>
        <w:rPr>
          <w:noProof/>
          <w:spacing w:val="-6"/>
          <w:lang w:val="sk-SK"/>
        </w:rPr>
      </w:pPr>
      <w:r w:rsidRPr="00326E55">
        <w:rPr>
          <w:noProof/>
          <w:spacing w:val="-6"/>
          <w:lang w:val="sk-SK"/>
        </w:rPr>
        <w:t>Tento komponent talianskeho plánu obnovy</w:t>
      </w:r>
      <w:r w:rsidR="00326E55" w:rsidRPr="00326E55">
        <w:rPr>
          <w:noProof/>
          <w:spacing w:val="-6"/>
          <w:lang w:val="sk-SK"/>
        </w:rPr>
        <w:t xml:space="preserve"> a </w:t>
      </w:r>
      <w:r w:rsidRPr="00326E55">
        <w:rPr>
          <w:noProof/>
          <w:spacing w:val="-6"/>
          <w:lang w:val="sk-SK"/>
        </w:rPr>
        <w:t>odolnosti zahŕňa štyri oblasti intervencie: I) zlepšenie kvality</w:t>
      </w:r>
      <w:r w:rsidR="00326E55" w:rsidRPr="00326E55">
        <w:rPr>
          <w:noProof/>
          <w:spacing w:val="-6"/>
          <w:lang w:val="sk-SK"/>
        </w:rPr>
        <w:t xml:space="preserve"> a </w:t>
      </w:r>
      <w:r w:rsidRPr="00326E55">
        <w:rPr>
          <w:noProof/>
          <w:spacing w:val="-6"/>
          <w:lang w:val="sk-SK"/>
        </w:rPr>
        <w:t>kvantitatívne rozšírenie služieb vzdelávania</w:t>
      </w:r>
      <w:r w:rsidR="00326E55" w:rsidRPr="00326E55">
        <w:rPr>
          <w:noProof/>
          <w:spacing w:val="-6"/>
          <w:lang w:val="sk-SK"/>
        </w:rPr>
        <w:t xml:space="preserve"> a </w:t>
      </w:r>
      <w:r w:rsidRPr="00326E55">
        <w:rPr>
          <w:noProof/>
          <w:spacing w:val="-6"/>
          <w:lang w:val="sk-SK"/>
        </w:rPr>
        <w:t>odbornej prípravy –</w:t>
      </w:r>
      <w:r w:rsidR="00326E55" w:rsidRPr="00326E55">
        <w:rPr>
          <w:noProof/>
          <w:spacing w:val="-6"/>
          <w:lang w:val="sk-SK"/>
        </w:rPr>
        <w:t xml:space="preserve"> z </w:t>
      </w:r>
      <w:r w:rsidRPr="00326E55">
        <w:rPr>
          <w:noProof/>
          <w:spacing w:val="-6"/>
          <w:lang w:val="sk-SK"/>
        </w:rPr>
        <w:t>materských škôl na univerzity; II) reforma učiteľs</w:t>
      </w:r>
      <w:r w:rsidRPr="00326E55">
        <w:rPr>
          <w:noProof/>
          <w:spacing w:val="-6"/>
          <w:lang w:val="sk-SK"/>
        </w:rPr>
        <w:t>kého povolania, najmä pokiaľ ide</w:t>
      </w:r>
      <w:r w:rsidR="00326E55" w:rsidRPr="00326E55">
        <w:rPr>
          <w:noProof/>
          <w:spacing w:val="-6"/>
          <w:lang w:val="sk-SK"/>
        </w:rPr>
        <w:t xml:space="preserve"> o </w:t>
      </w:r>
      <w:r w:rsidRPr="00326E55">
        <w:rPr>
          <w:noProof/>
          <w:spacing w:val="-6"/>
          <w:lang w:val="sk-SK"/>
        </w:rPr>
        <w:t>postupy prijímania</w:t>
      </w:r>
      <w:r w:rsidR="00326E55" w:rsidRPr="00326E55">
        <w:rPr>
          <w:noProof/>
          <w:spacing w:val="-6"/>
          <w:lang w:val="sk-SK"/>
        </w:rPr>
        <w:t xml:space="preserve"> a </w:t>
      </w:r>
      <w:r w:rsidRPr="00326E55">
        <w:rPr>
          <w:noProof/>
          <w:spacing w:val="-6"/>
          <w:lang w:val="sk-SK"/>
        </w:rPr>
        <w:t>odbornej prípravy,</w:t>
      </w:r>
      <w:r w:rsidR="00326E55" w:rsidRPr="00326E55">
        <w:rPr>
          <w:noProof/>
          <w:spacing w:val="-6"/>
          <w:lang w:val="sk-SK"/>
        </w:rPr>
        <w:t xml:space="preserve"> s </w:t>
      </w:r>
      <w:r w:rsidRPr="00326E55">
        <w:rPr>
          <w:noProof/>
          <w:spacing w:val="-6"/>
          <w:lang w:val="sk-SK"/>
        </w:rPr>
        <w:t>rozsahom zvyšovania zručností pedagogických zamestnancov</w:t>
      </w:r>
      <w:r w:rsidR="00326E55" w:rsidRPr="00326E55">
        <w:rPr>
          <w:noProof/>
          <w:spacing w:val="-6"/>
          <w:lang w:val="sk-SK"/>
        </w:rPr>
        <w:t xml:space="preserve"> a </w:t>
      </w:r>
      <w:r w:rsidRPr="00326E55">
        <w:rPr>
          <w:noProof/>
          <w:spacing w:val="-6"/>
          <w:lang w:val="sk-SK"/>
        </w:rPr>
        <w:t>riešenia územného nesúladu; III) zvyšovanie úrovne zručností</w:t>
      </w:r>
      <w:r w:rsidR="00326E55" w:rsidRPr="00326E55">
        <w:rPr>
          <w:noProof/>
          <w:spacing w:val="-6"/>
          <w:lang w:val="sk-SK"/>
        </w:rPr>
        <w:t xml:space="preserve"> a </w:t>
      </w:r>
      <w:r w:rsidRPr="00326E55">
        <w:rPr>
          <w:noProof/>
          <w:spacing w:val="-6"/>
          <w:lang w:val="sk-SK"/>
        </w:rPr>
        <w:t>modernizácia infraštruktúry</w:t>
      </w:r>
      <w:r w:rsidR="00326E55" w:rsidRPr="00326E55">
        <w:rPr>
          <w:noProof/>
          <w:spacing w:val="-6"/>
          <w:lang w:val="sk-SK"/>
        </w:rPr>
        <w:t xml:space="preserve"> s </w:t>
      </w:r>
      <w:r w:rsidRPr="00326E55">
        <w:rPr>
          <w:noProof/>
          <w:spacing w:val="-6"/>
          <w:lang w:val="sk-SK"/>
        </w:rPr>
        <w:t>cieľom zlepšiť digitálnu, v</w:t>
      </w:r>
      <w:r w:rsidRPr="00326E55">
        <w:rPr>
          <w:noProof/>
          <w:spacing w:val="-6"/>
          <w:lang w:val="sk-SK"/>
        </w:rPr>
        <w:t>edeckú, technologickú, inžiniersku</w:t>
      </w:r>
      <w:r w:rsidR="00326E55" w:rsidRPr="00326E55">
        <w:rPr>
          <w:noProof/>
          <w:spacing w:val="-6"/>
          <w:lang w:val="sk-SK"/>
        </w:rPr>
        <w:t xml:space="preserve"> a </w:t>
      </w:r>
      <w:r w:rsidRPr="00326E55">
        <w:rPr>
          <w:noProof/>
          <w:spacing w:val="-6"/>
          <w:lang w:val="sk-SK"/>
        </w:rPr>
        <w:t>matematiku (STEM)</w:t>
      </w:r>
      <w:r w:rsidR="00326E55" w:rsidRPr="00326E55">
        <w:rPr>
          <w:noProof/>
          <w:spacing w:val="-6"/>
          <w:lang w:val="sk-SK"/>
        </w:rPr>
        <w:t xml:space="preserve"> a </w:t>
      </w:r>
      <w:r w:rsidRPr="00326E55">
        <w:rPr>
          <w:noProof/>
          <w:spacing w:val="-6"/>
          <w:lang w:val="sk-SK"/>
        </w:rPr>
        <w:t>výučbu viacjazyčnosti</w:t>
      </w:r>
      <w:r w:rsidR="00326E55" w:rsidRPr="00326E55">
        <w:rPr>
          <w:noProof/>
          <w:spacing w:val="-6"/>
          <w:lang w:val="sk-SK"/>
        </w:rPr>
        <w:t xml:space="preserve"> a </w:t>
      </w:r>
      <w:r w:rsidRPr="00326E55">
        <w:rPr>
          <w:noProof/>
          <w:spacing w:val="-6"/>
          <w:lang w:val="sk-SK"/>
        </w:rPr>
        <w:t>zároveň zlepšiť bezpečnosť</w:t>
      </w:r>
      <w:r w:rsidR="00326E55" w:rsidRPr="00326E55">
        <w:rPr>
          <w:noProof/>
          <w:spacing w:val="-6"/>
          <w:lang w:val="sk-SK"/>
        </w:rPr>
        <w:t xml:space="preserve"> a </w:t>
      </w:r>
      <w:r w:rsidRPr="00326E55">
        <w:rPr>
          <w:noProof/>
          <w:spacing w:val="-6"/>
          <w:lang w:val="sk-SK"/>
        </w:rPr>
        <w:t>energetickú efektívnosť školských budov; IV) Reforma skupín titulov, umožnenie diplomov</w:t>
      </w:r>
      <w:r w:rsidR="00326E55" w:rsidRPr="00326E55">
        <w:rPr>
          <w:noProof/>
          <w:spacing w:val="-6"/>
          <w:lang w:val="sk-SK"/>
        </w:rPr>
        <w:t xml:space="preserve"> a </w:t>
      </w:r>
      <w:r w:rsidRPr="00326E55">
        <w:rPr>
          <w:noProof/>
          <w:spacing w:val="-6"/>
          <w:lang w:val="sk-SK"/>
        </w:rPr>
        <w:t>doktorandských programov</w:t>
      </w:r>
      <w:r w:rsidR="00326E55" w:rsidRPr="00326E55">
        <w:rPr>
          <w:noProof/>
          <w:spacing w:val="-6"/>
          <w:lang w:val="sk-SK"/>
        </w:rPr>
        <w:t xml:space="preserve"> s </w:t>
      </w:r>
      <w:r w:rsidRPr="00326E55">
        <w:rPr>
          <w:noProof/>
          <w:spacing w:val="-6"/>
          <w:lang w:val="sk-SK"/>
        </w:rPr>
        <w:t>cieľom podporiť aplikovaný vý</w:t>
      </w:r>
      <w:r w:rsidRPr="00326E55">
        <w:rPr>
          <w:noProof/>
          <w:spacing w:val="-6"/>
          <w:lang w:val="sk-SK"/>
        </w:rPr>
        <w:t>skum</w:t>
      </w:r>
      <w:r w:rsidR="00326E55" w:rsidRPr="00326E55">
        <w:rPr>
          <w:noProof/>
          <w:spacing w:val="-6"/>
          <w:lang w:val="sk-SK"/>
        </w:rPr>
        <w:t xml:space="preserve"> a </w:t>
      </w:r>
      <w:r w:rsidRPr="00326E55">
        <w:rPr>
          <w:noProof/>
          <w:spacing w:val="-6"/>
          <w:lang w:val="sk-SK"/>
        </w:rPr>
        <w:t>rozšíriť počet doktorandských štipendií. Opatrenia</w:t>
      </w:r>
      <w:r w:rsidR="00326E55" w:rsidRPr="00326E55">
        <w:rPr>
          <w:noProof/>
          <w:spacing w:val="-6"/>
          <w:lang w:val="sk-SK"/>
        </w:rPr>
        <w:t xml:space="preserve"> v </w:t>
      </w:r>
      <w:r w:rsidRPr="00326E55">
        <w:rPr>
          <w:noProof/>
          <w:spacing w:val="-6"/>
          <w:lang w:val="sk-SK"/>
        </w:rPr>
        <w:t>rámci tohto komponentu sú zamerané na riešenie nedostatkov talianskeho systému vzdelávania, odbornej prípravy</w:t>
      </w:r>
      <w:r w:rsidR="00326E55" w:rsidRPr="00326E55">
        <w:rPr>
          <w:noProof/>
          <w:spacing w:val="-6"/>
          <w:lang w:val="sk-SK"/>
        </w:rPr>
        <w:t xml:space="preserve"> a </w:t>
      </w:r>
      <w:r w:rsidRPr="00326E55">
        <w:rPr>
          <w:noProof/>
          <w:spacing w:val="-6"/>
          <w:lang w:val="sk-SK"/>
        </w:rPr>
        <w:t>výskumu</w:t>
      </w:r>
      <w:r w:rsidR="00326E55" w:rsidRPr="00326E55">
        <w:rPr>
          <w:noProof/>
          <w:spacing w:val="-6"/>
          <w:lang w:val="sk-SK"/>
        </w:rPr>
        <w:t xml:space="preserve"> s </w:t>
      </w:r>
      <w:r w:rsidRPr="00326E55">
        <w:rPr>
          <w:noProof/>
          <w:spacing w:val="-6"/>
          <w:lang w:val="sk-SK"/>
        </w:rPr>
        <w:t>cieľom zlepšiť výsledky vzdelávania</w:t>
      </w:r>
      <w:r w:rsidR="00326E55" w:rsidRPr="00326E55">
        <w:rPr>
          <w:noProof/>
          <w:spacing w:val="-6"/>
          <w:lang w:val="sk-SK"/>
        </w:rPr>
        <w:t xml:space="preserve"> a </w:t>
      </w:r>
      <w:r w:rsidRPr="00326E55">
        <w:rPr>
          <w:noProof/>
          <w:spacing w:val="-6"/>
          <w:lang w:val="sk-SK"/>
        </w:rPr>
        <w:t>zamestnateľnosť talianskych š</w:t>
      </w:r>
      <w:r w:rsidRPr="00326E55">
        <w:rPr>
          <w:noProof/>
          <w:spacing w:val="-6"/>
          <w:lang w:val="sk-SK"/>
        </w:rPr>
        <w:t>tudentov. 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rámci tohto komponentu prispejú</w:t>
      </w:r>
      <w:r w:rsidR="00326E55" w:rsidRPr="00326E55">
        <w:rPr>
          <w:noProof/>
          <w:spacing w:val="-6"/>
          <w:lang w:val="sk-SK"/>
        </w:rPr>
        <w:t xml:space="preserve"> k </w:t>
      </w:r>
      <w:r w:rsidRPr="00326E55">
        <w:rPr>
          <w:noProof/>
          <w:spacing w:val="-6"/>
          <w:lang w:val="sk-SK"/>
        </w:rPr>
        <w:t>riešeniu odporúčaní pre jednotlivé krajiny adresovaných Taliansku</w:t>
      </w:r>
      <w:r w:rsidR="00326E55" w:rsidRPr="00326E55">
        <w:rPr>
          <w:noProof/>
          <w:spacing w:val="-6"/>
          <w:lang w:val="sk-SK"/>
        </w:rPr>
        <w:t xml:space="preserve"> v </w:t>
      </w:r>
      <w:r w:rsidRPr="00326E55">
        <w:rPr>
          <w:noProof/>
          <w:spacing w:val="-6"/>
          <w:lang w:val="sk-SK"/>
        </w:rPr>
        <w:t>rokoch 2020</w:t>
      </w:r>
      <w:r w:rsidR="00326E55" w:rsidRPr="00326E55">
        <w:rPr>
          <w:noProof/>
          <w:spacing w:val="-6"/>
          <w:lang w:val="sk-SK"/>
        </w:rPr>
        <w:t xml:space="preserve"> a </w:t>
      </w:r>
      <w:r w:rsidRPr="00326E55">
        <w:rPr>
          <w:noProof/>
          <w:spacing w:val="-6"/>
          <w:lang w:val="sk-SK"/>
        </w:rPr>
        <w:t>2019</w:t>
      </w:r>
      <w:r w:rsidR="00326E55" w:rsidRPr="00326E55">
        <w:rPr>
          <w:noProof/>
          <w:spacing w:val="-6"/>
          <w:lang w:val="sk-SK"/>
        </w:rPr>
        <w:t xml:space="preserve"> o </w:t>
      </w:r>
      <w:r w:rsidRPr="00326E55">
        <w:rPr>
          <w:noProof/>
          <w:spacing w:val="-6"/>
          <w:lang w:val="sk-SK"/>
        </w:rPr>
        <w:t>potrebe „podporovať účasť žien na trhu práce prostredníctvom komplexnej stratégie,</w:t>
      </w:r>
      <w:r w:rsidR="00326E55" w:rsidRPr="00326E55">
        <w:rPr>
          <w:noProof/>
          <w:spacing w:val="-6"/>
          <w:lang w:val="sk-SK"/>
        </w:rPr>
        <w:t xml:space="preserve"> a </w:t>
      </w:r>
      <w:r w:rsidRPr="00326E55">
        <w:rPr>
          <w:noProof/>
          <w:spacing w:val="-6"/>
          <w:lang w:val="sk-SK"/>
        </w:rPr>
        <w:t>to aj prostredn</w:t>
      </w:r>
      <w:r w:rsidRPr="00326E55">
        <w:rPr>
          <w:noProof/>
          <w:spacing w:val="-6"/>
          <w:lang w:val="sk-SK"/>
        </w:rPr>
        <w:t>íctvom prístupu ku kvalitnej starostlivosti</w:t>
      </w:r>
      <w:r w:rsidR="00326E55" w:rsidRPr="00326E55">
        <w:rPr>
          <w:noProof/>
          <w:spacing w:val="-6"/>
          <w:lang w:val="sk-SK"/>
        </w:rPr>
        <w:t xml:space="preserve"> o </w:t>
      </w:r>
      <w:r w:rsidRPr="00326E55">
        <w:rPr>
          <w:noProof/>
          <w:spacing w:val="-6"/>
          <w:lang w:val="sk-SK"/>
        </w:rPr>
        <w:t xml:space="preserve">deti“ (odporúčanie pre jednotlivé krajiny </w:t>
      </w:r>
      <w:r w:rsidR="00326E55" w:rsidRPr="00326E55">
        <w:rPr>
          <w:noProof/>
          <w:spacing w:val="-6"/>
          <w:lang w:val="sk-SK"/>
        </w:rPr>
        <w:t>č. </w:t>
      </w:r>
      <w:r w:rsidRPr="00326E55">
        <w:rPr>
          <w:noProof/>
          <w:spacing w:val="-6"/>
          <w:lang w:val="sk-SK"/>
        </w:rPr>
        <w:t>2, 2019)</w:t>
      </w:r>
      <w:r w:rsidR="00326E55" w:rsidRPr="00326E55">
        <w:rPr>
          <w:noProof/>
          <w:spacing w:val="-6"/>
          <w:lang w:val="sk-SK"/>
        </w:rPr>
        <w:t xml:space="preserve"> s </w:t>
      </w:r>
      <w:r w:rsidRPr="00326E55">
        <w:rPr>
          <w:noProof/>
          <w:spacing w:val="-6"/>
          <w:lang w:val="sk-SK"/>
        </w:rPr>
        <w:t>cieľom „zlepšiť výsledky vzdelávania,</w:t>
      </w:r>
      <w:r w:rsidR="00326E55" w:rsidRPr="00326E55">
        <w:rPr>
          <w:noProof/>
          <w:spacing w:val="-6"/>
          <w:lang w:val="sk-SK"/>
        </w:rPr>
        <w:t xml:space="preserve"> a </w:t>
      </w:r>
      <w:r w:rsidRPr="00326E55">
        <w:rPr>
          <w:noProof/>
          <w:spacing w:val="-6"/>
          <w:lang w:val="sk-SK"/>
        </w:rPr>
        <w:t>to aj prostredníctvom primeraných</w:t>
      </w:r>
      <w:r w:rsidR="00326E55" w:rsidRPr="00326E55">
        <w:rPr>
          <w:noProof/>
          <w:spacing w:val="-6"/>
          <w:lang w:val="sk-SK"/>
        </w:rPr>
        <w:t xml:space="preserve"> a </w:t>
      </w:r>
      <w:r w:rsidRPr="00326E55">
        <w:rPr>
          <w:noProof/>
          <w:spacing w:val="-6"/>
          <w:lang w:val="sk-SK"/>
        </w:rPr>
        <w:t>cielených investícií</w:t>
      </w:r>
      <w:r w:rsidR="00326E55" w:rsidRPr="00326E55">
        <w:rPr>
          <w:noProof/>
          <w:spacing w:val="-6"/>
          <w:lang w:val="sk-SK"/>
        </w:rPr>
        <w:t xml:space="preserve"> a </w:t>
      </w:r>
      <w:r w:rsidRPr="00326E55">
        <w:rPr>
          <w:noProof/>
          <w:spacing w:val="-6"/>
          <w:lang w:val="sk-SK"/>
        </w:rPr>
        <w:t>podpory zvyšovania úrovne zručností,</w:t>
      </w:r>
      <w:r w:rsidR="00326E55" w:rsidRPr="00326E55">
        <w:rPr>
          <w:noProof/>
          <w:spacing w:val="-6"/>
          <w:lang w:val="sk-SK"/>
        </w:rPr>
        <w:t xml:space="preserve"> a </w:t>
      </w:r>
      <w:r w:rsidRPr="00326E55">
        <w:rPr>
          <w:noProof/>
          <w:spacing w:val="-6"/>
          <w:lang w:val="sk-SK"/>
        </w:rPr>
        <w:t>to aj posilnením</w:t>
      </w:r>
      <w:r w:rsidRPr="00326E55">
        <w:rPr>
          <w:noProof/>
          <w:spacing w:val="-6"/>
          <w:lang w:val="sk-SK"/>
        </w:rPr>
        <w:t xml:space="preserve"> digitálnych zručností“ (odporúčanie pre jednotlivé krajiny </w:t>
      </w:r>
      <w:r w:rsidR="00326E55" w:rsidRPr="00326E55">
        <w:rPr>
          <w:noProof/>
          <w:spacing w:val="-6"/>
          <w:lang w:val="sk-SK"/>
        </w:rPr>
        <w:t>č. </w:t>
      </w:r>
      <w:r w:rsidRPr="00326E55">
        <w:rPr>
          <w:noProof/>
          <w:spacing w:val="-6"/>
          <w:lang w:val="sk-SK"/>
        </w:rPr>
        <w:t>2, 2019), „podporovať výskum</w:t>
      </w:r>
      <w:r w:rsidR="00326E55" w:rsidRPr="00326E55">
        <w:rPr>
          <w:noProof/>
          <w:spacing w:val="-6"/>
          <w:lang w:val="sk-SK"/>
        </w:rPr>
        <w:t xml:space="preserve"> a </w:t>
      </w:r>
      <w:r w:rsidRPr="00326E55">
        <w:rPr>
          <w:noProof/>
          <w:spacing w:val="-6"/>
          <w:lang w:val="sk-SK"/>
        </w:rPr>
        <w:t xml:space="preserve">inovácie“ (odporúčanie pre jednotlivé krajiny </w:t>
      </w:r>
      <w:r w:rsidR="00326E55" w:rsidRPr="00326E55">
        <w:rPr>
          <w:noProof/>
          <w:spacing w:val="-6"/>
          <w:lang w:val="sk-SK"/>
        </w:rPr>
        <w:t>č. </w:t>
      </w:r>
      <w:r w:rsidRPr="00326E55">
        <w:rPr>
          <w:noProof/>
          <w:spacing w:val="-6"/>
          <w:lang w:val="sk-SK"/>
        </w:rPr>
        <w:t>3, 2019), „posilniť dištančné vzdelávanie</w:t>
      </w:r>
      <w:r w:rsidR="00326E55" w:rsidRPr="00326E55">
        <w:rPr>
          <w:noProof/>
          <w:spacing w:val="-6"/>
          <w:lang w:val="sk-SK"/>
        </w:rPr>
        <w:t xml:space="preserve"> a </w:t>
      </w:r>
      <w:r w:rsidRPr="00326E55">
        <w:rPr>
          <w:noProof/>
          <w:spacing w:val="-6"/>
          <w:lang w:val="sk-SK"/>
        </w:rPr>
        <w:t xml:space="preserve">zručnosti vrátane digitálnych“ (odporúčanie pre jednotlivé krajiny </w:t>
      </w:r>
      <w:r w:rsidR="00326E55" w:rsidRPr="00326E55">
        <w:rPr>
          <w:noProof/>
          <w:spacing w:val="-6"/>
          <w:lang w:val="sk-SK"/>
        </w:rPr>
        <w:t>č. </w:t>
      </w:r>
      <w:r w:rsidRPr="00326E55">
        <w:rPr>
          <w:noProof/>
          <w:spacing w:val="-6"/>
          <w:lang w:val="sk-SK"/>
        </w:rPr>
        <w:t>2, 2020)</w:t>
      </w:r>
      <w:r w:rsidR="00326E55" w:rsidRPr="00326E55">
        <w:rPr>
          <w:noProof/>
          <w:spacing w:val="-6"/>
          <w:lang w:val="sk-SK"/>
        </w:rPr>
        <w:t xml:space="preserve"> a </w:t>
      </w:r>
      <w:r w:rsidRPr="00326E55">
        <w:rPr>
          <w:noProof/>
          <w:spacing w:val="-6"/>
          <w:lang w:val="sk-SK"/>
        </w:rPr>
        <w:t>„zamerať investície na výskum</w:t>
      </w:r>
      <w:r w:rsidR="00326E55" w:rsidRPr="00326E55">
        <w:rPr>
          <w:noProof/>
          <w:spacing w:val="-6"/>
          <w:lang w:val="sk-SK"/>
        </w:rPr>
        <w:t xml:space="preserve"> a </w:t>
      </w:r>
      <w:r w:rsidRPr="00326E55">
        <w:rPr>
          <w:noProof/>
          <w:spacing w:val="-6"/>
          <w:lang w:val="sk-SK"/>
        </w:rPr>
        <w:t xml:space="preserve">inovácie“ (odporúčanie pre danú krajinu </w:t>
      </w:r>
      <w:r w:rsidR="00326E55" w:rsidRPr="00326E55">
        <w:rPr>
          <w:noProof/>
          <w:spacing w:val="-6"/>
          <w:lang w:val="sk-SK"/>
        </w:rPr>
        <w:t>č. </w:t>
      </w:r>
      <w:r w:rsidRPr="00326E55">
        <w:rPr>
          <w:noProof/>
          <w:spacing w:val="-6"/>
          <w:lang w:val="sk-SK"/>
        </w:rPr>
        <w:t>3, 2020).</w:t>
      </w:r>
    </w:p>
    <w:p w14:paraId="78B66A56" w14:textId="6256E77C" w:rsidR="00BF03AA" w:rsidRPr="00326E55" w:rsidRDefault="00FB452D">
      <w:pPr>
        <w:pStyle w:val="P68B1DB1-Heading368"/>
        <w:ind w:left="850" w:hanging="850"/>
        <w:rPr>
          <w:noProof/>
          <w:spacing w:val="-6"/>
          <w:lang w:val="sk-SK"/>
        </w:rPr>
      </w:pPr>
      <w:r w:rsidRPr="00326E55">
        <w:rPr>
          <w:noProof/>
          <w:spacing w:val="-6"/>
          <w:lang w:val="sk-SK"/>
        </w:rPr>
        <w:t xml:space="preserve">J.1. </w:t>
      </w:r>
      <w:r w:rsidRPr="00326E55">
        <w:rPr>
          <w:noProof/>
          <w:spacing w:val="-6"/>
          <w:lang w:val="sk-SK"/>
        </w:rPr>
        <w:tab/>
        <w:t>Opis reforiem</w:t>
      </w:r>
      <w:r w:rsidR="00326E55" w:rsidRPr="00326E55">
        <w:rPr>
          <w:noProof/>
          <w:spacing w:val="-6"/>
          <w:lang w:val="sk-SK"/>
        </w:rPr>
        <w:t xml:space="preserve"> a </w:t>
      </w:r>
      <w:r w:rsidRPr="00326E55">
        <w:rPr>
          <w:noProof/>
          <w:spacing w:val="-6"/>
          <w:lang w:val="sk-SK"/>
        </w:rPr>
        <w:t>investícií</w:t>
      </w:r>
      <w:r w:rsidR="00326E55" w:rsidRPr="00326E55">
        <w:rPr>
          <w:noProof/>
          <w:spacing w:val="-6"/>
          <w:lang w:val="sk-SK"/>
        </w:rPr>
        <w:t xml:space="preserve"> v </w:t>
      </w:r>
      <w:r w:rsidRPr="00326E55">
        <w:rPr>
          <w:noProof/>
          <w:spacing w:val="-6"/>
          <w:lang w:val="sk-SK"/>
        </w:rPr>
        <w:t>rámci nenávratnej finančnej podpory</w:t>
      </w:r>
    </w:p>
    <w:p w14:paraId="091A4D52" w14:textId="2A69AAF0" w:rsidR="00BF03AA" w:rsidRPr="00326E55" w:rsidRDefault="00FB452D">
      <w:pPr>
        <w:pStyle w:val="P68B1DB1-Normal5"/>
        <w:spacing w:before="120" w:after="120"/>
        <w:jc w:val="both"/>
        <w:rPr>
          <w:noProof/>
          <w:spacing w:val="-6"/>
          <w:lang w:val="sk-SK"/>
        </w:rPr>
      </w:pPr>
      <w:r w:rsidRPr="00326E55">
        <w:rPr>
          <w:noProof/>
          <w:spacing w:val="-6"/>
          <w:lang w:val="sk-SK"/>
        </w:rPr>
        <w:t>Investícia 1.1: Plán pre materské školy</w:t>
      </w:r>
      <w:r w:rsidR="00326E55" w:rsidRPr="00326E55">
        <w:rPr>
          <w:noProof/>
          <w:spacing w:val="-6"/>
          <w:lang w:val="sk-SK"/>
        </w:rPr>
        <w:t xml:space="preserve"> a </w:t>
      </w:r>
      <w:r w:rsidRPr="00326E55">
        <w:rPr>
          <w:noProof/>
          <w:spacing w:val="-6"/>
          <w:lang w:val="sk-SK"/>
        </w:rPr>
        <w:t>predškolské zariadenia</w:t>
      </w:r>
      <w:r w:rsidR="00326E55" w:rsidRPr="00326E55">
        <w:rPr>
          <w:noProof/>
          <w:spacing w:val="-6"/>
          <w:lang w:val="sk-SK"/>
        </w:rPr>
        <w:t xml:space="preserve"> a </w:t>
      </w:r>
      <w:r w:rsidRPr="00326E55">
        <w:rPr>
          <w:noProof/>
          <w:spacing w:val="-6"/>
          <w:lang w:val="sk-SK"/>
        </w:rPr>
        <w:t>služby vzdelávania</w:t>
      </w:r>
      <w:r w:rsidR="00326E55" w:rsidRPr="00326E55">
        <w:rPr>
          <w:noProof/>
          <w:spacing w:val="-6"/>
          <w:lang w:val="sk-SK"/>
        </w:rPr>
        <w:t xml:space="preserve"> a </w:t>
      </w:r>
      <w:r w:rsidRPr="00326E55">
        <w:rPr>
          <w:noProof/>
          <w:spacing w:val="-6"/>
          <w:lang w:val="sk-SK"/>
        </w:rPr>
        <w:t>starostlivosti</w:t>
      </w:r>
      <w:r w:rsidR="00326E55" w:rsidRPr="00326E55">
        <w:rPr>
          <w:noProof/>
          <w:spacing w:val="-6"/>
          <w:lang w:val="sk-SK"/>
        </w:rPr>
        <w:t xml:space="preserve"> v </w:t>
      </w:r>
      <w:r w:rsidRPr="00326E55">
        <w:rPr>
          <w:noProof/>
          <w:spacing w:val="-6"/>
          <w:lang w:val="sk-SK"/>
        </w:rPr>
        <w:t>ranom detstve</w:t>
      </w:r>
    </w:p>
    <w:p w14:paraId="511501CE" w14:textId="20E2E242"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rozšíriť</w:t>
      </w:r>
      <w:r w:rsidR="00326E55" w:rsidRPr="00326E55">
        <w:rPr>
          <w:noProof/>
          <w:spacing w:val="-6"/>
          <w:lang w:val="sk-SK"/>
        </w:rPr>
        <w:t xml:space="preserve"> a </w:t>
      </w:r>
      <w:r w:rsidRPr="00326E55">
        <w:rPr>
          <w:noProof/>
          <w:spacing w:val="-6"/>
          <w:lang w:val="sk-SK"/>
        </w:rPr>
        <w:t>zlepšiť vzdelávacie zariadenia pre deti vo veku 0 – 6 rokov. Investícia pozostáva</w:t>
      </w:r>
      <w:r w:rsidR="00326E55" w:rsidRPr="00326E55">
        <w:rPr>
          <w:noProof/>
          <w:spacing w:val="-6"/>
          <w:lang w:val="sk-SK"/>
        </w:rPr>
        <w:t xml:space="preserve"> z </w:t>
      </w:r>
      <w:r w:rsidRPr="00326E55">
        <w:rPr>
          <w:noProof/>
          <w:spacing w:val="-6"/>
          <w:lang w:val="sk-SK"/>
        </w:rPr>
        <w:t>výstavby, prestavby</w:t>
      </w:r>
      <w:r w:rsidR="00326E55" w:rsidRPr="00326E55">
        <w:rPr>
          <w:noProof/>
          <w:spacing w:val="-6"/>
          <w:lang w:val="sk-SK"/>
        </w:rPr>
        <w:t xml:space="preserve"> a </w:t>
      </w:r>
      <w:r w:rsidRPr="00326E55">
        <w:rPr>
          <w:noProof/>
          <w:spacing w:val="-6"/>
          <w:lang w:val="sk-SK"/>
        </w:rPr>
        <w:t>renovácie miest starostlivosti</w:t>
      </w:r>
      <w:r w:rsidR="00326E55" w:rsidRPr="00326E55">
        <w:rPr>
          <w:noProof/>
          <w:spacing w:val="-6"/>
          <w:lang w:val="sk-SK"/>
        </w:rPr>
        <w:t xml:space="preserve"> o </w:t>
      </w:r>
      <w:r w:rsidRPr="00326E55">
        <w:rPr>
          <w:noProof/>
          <w:spacing w:val="-6"/>
          <w:lang w:val="sk-SK"/>
        </w:rPr>
        <w:t>deti</w:t>
      </w:r>
      <w:r w:rsidR="00326E55" w:rsidRPr="00326E55">
        <w:rPr>
          <w:noProof/>
          <w:spacing w:val="-6"/>
          <w:lang w:val="sk-SK"/>
        </w:rPr>
        <w:t xml:space="preserve"> v </w:t>
      </w:r>
      <w:r w:rsidRPr="00326E55">
        <w:rPr>
          <w:noProof/>
          <w:spacing w:val="-6"/>
          <w:lang w:val="sk-SK"/>
        </w:rPr>
        <w:t>jasliach</w:t>
      </w:r>
      <w:r w:rsidR="00326E55" w:rsidRPr="00326E55">
        <w:rPr>
          <w:noProof/>
          <w:spacing w:val="-6"/>
          <w:lang w:val="sk-SK"/>
        </w:rPr>
        <w:t xml:space="preserve"> a </w:t>
      </w:r>
      <w:r w:rsidRPr="00326E55">
        <w:rPr>
          <w:noProof/>
          <w:spacing w:val="-6"/>
          <w:lang w:val="sk-SK"/>
        </w:rPr>
        <w:t>predškolských zariadeniach.</w:t>
      </w:r>
    </w:p>
    <w:p w14:paraId="6031CF6D" w14:textId="77777777" w:rsidR="00BF03AA" w:rsidRPr="00326E55" w:rsidRDefault="00FB452D">
      <w:pPr>
        <w:pStyle w:val="P68B1DB1-Normal5"/>
        <w:spacing w:before="120" w:after="120"/>
        <w:jc w:val="both"/>
        <w:rPr>
          <w:noProof/>
          <w:spacing w:val="-6"/>
          <w:lang w:val="sk-SK"/>
        </w:rPr>
      </w:pPr>
      <w:r w:rsidRPr="00326E55">
        <w:rPr>
          <w:noProof/>
          <w:spacing w:val="-6"/>
          <w:lang w:val="sk-SK"/>
        </w:rPr>
        <w:t>In</w:t>
      </w:r>
      <w:r w:rsidRPr="00326E55">
        <w:rPr>
          <w:noProof/>
          <w:spacing w:val="-6"/>
          <w:lang w:val="sk-SK"/>
        </w:rPr>
        <w:t>vestícia 1.2: Plán na predĺženie pracovného času na plný úväzok</w:t>
      </w:r>
    </w:p>
    <w:p w14:paraId="71EF6A27" w14:textId="6B9065E1"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umožniť školským zariadeniam predĺžiť školské hodiny renováciou alebo budovaním vhodných infraštruktúr. Investícia pozostáva</w:t>
      </w:r>
      <w:r w:rsidR="00326E55" w:rsidRPr="00326E55">
        <w:rPr>
          <w:noProof/>
          <w:spacing w:val="-6"/>
          <w:lang w:val="sk-SK"/>
        </w:rPr>
        <w:t xml:space="preserve"> z </w:t>
      </w:r>
      <w:r w:rsidRPr="00326E55">
        <w:rPr>
          <w:noProof/>
          <w:spacing w:val="-6"/>
          <w:lang w:val="sk-SK"/>
        </w:rPr>
        <w:t>výstavby alebo výstavby jedální</w:t>
      </w:r>
      <w:r w:rsidR="00326E55" w:rsidRPr="00326E55">
        <w:rPr>
          <w:noProof/>
          <w:spacing w:val="-6"/>
          <w:lang w:val="sk-SK"/>
        </w:rPr>
        <w:t xml:space="preserve"> v </w:t>
      </w:r>
      <w:r w:rsidRPr="00326E55">
        <w:rPr>
          <w:noProof/>
          <w:spacing w:val="-6"/>
          <w:lang w:val="sk-SK"/>
        </w:rPr>
        <w:t>škols</w:t>
      </w:r>
      <w:r w:rsidRPr="00326E55">
        <w:rPr>
          <w:noProof/>
          <w:spacing w:val="-6"/>
          <w:lang w:val="sk-SK"/>
        </w:rPr>
        <w:t>kých zariadeniach.</w:t>
      </w:r>
    </w:p>
    <w:p w14:paraId="065A21A1"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1.3: Plán na posilnenie školskej športovej infraštruktúry</w:t>
      </w:r>
    </w:p>
    <w:p w14:paraId="60C2D8EF" w14:textId="3D888AD9"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podporovať športové aktivity</w:t>
      </w:r>
      <w:r w:rsidR="00326E55" w:rsidRPr="00326E55">
        <w:rPr>
          <w:noProof/>
          <w:spacing w:val="-6"/>
          <w:lang w:val="sk-SK"/>
        </w:rPr>
        <w:t xml:space="preserve"> v </w:t>
      </w:r>
      <w:r w:rsidRPr="00326E55">
        <w:rPr>
          <w:noProof/>
          <w:spacing w:val="-6"/>
          <w:lang w:val="sk-SK"/>
        </w:rPr>
        <w:t>školách. Toto opatrenie spočíva</w:t>
      </w:r>
      <w:r w:rsidR="00326E55" w:rsidRPr="00326E55">
        <w:rPr>
          <w:noProof/>
          <w:spacing w:val="-6"/>
          <w:lang w:val="sk-SK"/>
        </w:rPr>
        <w:t xml:space="preserve"> v </w:t>
      </w:r>
      <w:r w:rsidRPr="00326E55">
        <w:rPr>
          <w:noProof/>
          <w:spacing w:val="-6"/>
          <w:lang w:val="sk-SK"/>
        </w:rPr>
        <w:t>renovácii</w:t>
      </w:r>
      <w:r w:rsidR="00326E55" w:rsidRPr="00326E55">
        <w:rPr>
          <w:noProof/>
          <w:spacing w:val="-6"/>
          <w:lang w:val="sk-SK"/>
        </w:rPr>
        <w:t xml:space="preserve"> a </w:t>
      </w:r>
      <w:r w:rsidRPr="00326E55">
        <w:rPr>
          <w:noProof/>
          <w:spacing w:val="-6"/>
          <w:lang w:val="sk-SK"/>
        </w:rPr>
        <w:t>výstavbe športových zariadení</w:t>
      </w:r>
      <w:r w:rsidR="00326E55" w:rsidRPr="00326E55">
        <w:rPr>
          <w:noProof/>
          <w:spacing w:val="-6"/>
          <w:lang w:val="sk-SK"/>
        </w:rPr>
        <w:t xml:space="preserve"> a </w:t>
      </w:r>
      <w:r w:rsidRPr="00326E55">
        <w:rPr>
          <w:noProof/>
          <w:spacing w:val="-6"/>
          <w:lang w:val="sk-SK"/>
        </w:rPr>
        <w:t>telocviční pre školu.</w:t>
      </w:r>
    </w:p>
    <w:p w14:paraId="282F869A" w14:textId="1FA453A0" w:rsidR="00BF03AA" w:rsidRPr="00326E55" w:rsidRDefault="00FB452D">
      <w:pPr>
        <w:pStyle w:val="P68B1DB1-Normal5"/>
        <w:spacing w:before="120" w:after="120"/>
        <w:rPr>
          <w:noProof/>
          <w:spacing w:val="-6"/>
          <w:lang w:val="sk-SK"/>
        </w:rPr>
      </w:pPr>
      <w:r w:rsidRPr="00326E55">
        <w:rPr>
          <w:noProof/>
          <w:spacing w:val="-6"/>
          <w:lang w:val="sk-SK"/>
        </w:rPr>
        <w:t xml:space="preserve">Investícia </w:t>
      </w:r>
      <w:r w:rsidRPr="00326E55">
        <w:rPr>
          <w:noProof/>
          <w:spacing w:val="-6"/>
          <w:lang w:val="sk-SK"/>
        </w:rPr>
        <w:t>1.4: Mimoriadna intervencia zameraná na zníženie územných rozdielov</w:t>
      </w:r>
      <w:r w:rsidR="00326E55" w:rsidRPr="00326E55">
        <w:rPr>
          <w:noProof/>
          <w:spacing w:val="-6"/>
          <w:lang w:val="sk-SK"/>
        </w:rPr>
        <w:t xml:space="preserve"> v </w:t>
      </w:r>
      <w:r w:rsidRPr="00326E55">
        <w:rPr>
          <w:noProof/>
          <w:spacing w:val="-6"/>
          <w:lang w:val="sk-SK"/>
        </w:rPr>
        <w:t>I</w:t>
      </w:r>
      <w:r w:rsidR="00326E55" w:rsidRPr="00326E55">
        <w:rPr>
          <w:noProof/>
          <w:spacing w:val="-6"/>
          <w:lang w:val="sk-SK"/>
        </w:rPr>
        <w:t xml:space="preserve"> a </w:t>
      </w:r>
      <w:r w:rsidRPr="00326E55">
        <w:rPr>
          <w:noProof/>
          <w:spacing w:val="-6"/>
          <w:lang w:val="sk-SK"/>
        </w:rPr>
        <w:t>II cykloch stredných škôl</w:t>
      </w:r>
      <w:r w:rsidR="00326E55" w:rsidRPr="00326E55">
        <w:rPr>
          <w:noProof/>
          <w:spacing w:val="-6"/>
          <w:lang w:val="sk-SK"/>
        </w:rPr>
        <w:t xml:space="preserve"> a </w:t>
      </w:r>
      <w:r w:rsidRPr="00326E55">
        <w:rPr>
          <w:noProof/>
          <w:spacing w:val="-6"/>
          <w:lang w:val="sk-SK"/>
        </w:rPr>
        <w:t>na riešenie problému predčasného ukončenia školskej dochádzky</w:t>
      </w:r>
    </w:p>
    <w:p w14:paraId="4AC8CC8B" w14:textId="495C7018" w:rsidR="00BF03AA" w:rsidRPr="00326E55" w:rsidRDefault="00FB452D">
      <w:pPr>
        <w:pStyle w:val="P68B1DB1-Normal7"/>
        <w:spacing w:before="120" w:after="120"/>
        <w:jc w:val="both"/>
        <w:rPr>
          <w:noProof/>
          <w:spacing w:val="-6"/>
          <w:lang w:val="sk-SK"/>
        </w:rPr>
      </w:pPr>
      <w:r w:rsidRPr="00326E55">
        <w:rPr>
          <w:noProof/>
          <w:spacing w:val="-6"/>
          <w:lang w:val="sk-SK"/>
        </w:rPr>
        <w:t>Cieľom opatrenia je riešiť existujúce nedostatky</w:t>
      </w:r>
      <w:r w:rsidR="00326E55" w:rsidRPr="00326E55">
        <w:rPr>
          <w:noProof/>
          <w:spacing w:val="-6"/>
          <w:lang w:val="sk-SK"/>
        </w:rPr>
        <w:t xml:space="preserve"> v </w:t>
      </w:r>
      <w:r w:rsidRPr="00326E55">
        <w:rPr>
          <w:noProof/>
          <w:spacing w:val="-6"/>
          <w:lang w:val="sk-SK"/>
        </w:rPr>
        <w:t>základných zručnostiach študentov. Invest</w:t>
      </w:r>
      <w:r w:rsidRPr="00326E55">
        <w:rPr>
          <w:noProof/>
          <w:spacing w:val="-6"/>
          <w:lang w:val="sk-SK"/>
        </w:rPr>
        <w:t>ícia pozostáva</w:t>
      </w:r>
      <w:r w:rsidR="00326E55" w:rsidRPr="00326E55">
        <w:rPr>
          <w:noProof/>
          <w:spacing w:val="-6"/>
          <w:lang w:val="sk-SK"/>
        </w:rPr>
        <w:t xml:space="preserve"> z </w:t>
      </w:r>
      <w:r w:rsidRPr="00326E55">
        <w:rPr>
          <w:noProof/>
          <w:spacing w:val="-6"/>
          <w:lang w:val="sk-SK"/>
        </w:rPr>
        <w:t>presadzovania mentorských činností</w:t>
      </w:r>
      <w:r w:rsidR="00326E55" w:rsidRPr="00326E55">
        <w:rPr>
          <w:noProof/>
          <w:spacing w:val="-6"/>
          <w:lang w:val="sk-SK"/>
        </w:rPr>
        <w:t xml:space="preserve"> a </w:t>
      </w:r>
      <w:r w:rsidRPr="00326E55">
        <w:rPr>
          <w:noProof/>
          <w:spacing w:val="-6"/>
          <w:lang w:val="sk-SK"/>
        </w:rPr>
        <w:t>činností odbornej prípravy pre študentov, ktorým hrozí predčasné ukončenie školskej dochádzky,</w:t>
      </w:r>
      <w:r w:rsidR="00326E55" w:rsidRPr="00326E55">
        <w:rPr>
          <w:noProof/>
          <w:spacing w:val="-6"/>
          <w:lang w:val="sk-SK"/>
        </w:rPr>
        <w:t xml:space="preserve"> a </w:t>
      </w:r>
      <w:r w:rsidRPr="00326E55">
        <w:rPr>
          <w:noProof/>
          <w:spacing w:val="-6"/>
          <w:lang w:val="sk-SK"/>
        </w:rPr>
        <w:t>mladých ľudí, ktorí už predčasne ukončili školskú dochádzku,</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s </w:t>
      </w:r>
      <w:r w:rsidRPr="00326E55">
        <w:rPr>
          <w:noProof/>
          <w:spacing w:val="-6"/>
          <w:lang w:val="sk-SK"/>
        </w:rPr>
        <w:t>podporou národného digitálneho por</w:t>
      </w:r>
      <w:r w:rsidRPr="00326E55">
        <w:rPr>
          <w:noProof/>
          <w:spacing w:val="-6"/>
          <w:lang w:val="sk-SK"/>
        </w:rPr>
        <w:t>tálu.</w:t>
      </w:r>
    </w:p>
    <w:p w14:paraId="3207E3EB" w14:textId="77777777" w:rsidR="00BF03AA" w:rsidRPr="00326E55" w:rsidRDefault="00FB452D">
      <w:pPr>
        <w:pStyle w:val="P68B1DB1-Normal7"/>
        <w:rPr>
          <w:b/>
          <w:bCs/>
          <w:noProof/>
          <w:spacing w:val="-6"/>
          <w:lang w:val="sk-SK"/>
        </w:rPr>
      </w:pPr>
      <w:r w:rsidRPr="00326E55">
        <w:rPr>
          <w:noProof/>
          <w:spacing w:val="-6"/>
          <w:lang w:val="sk-SK"/>
        </w:rPr>
        <w:br w:type="page"/>
      </w:r>
    </w:p>
    <w:p w14:paraId="145BCD09" w14:textId="4A28EFAA" w:rsidR="00BF03AA" w:rsidRPr="00326E55" w:rsidRDefault="00FB452D">
      <w:pPr>
        <w:pStyle w:val="P68B1DB1-Normal5"/>
        <w:spacing w:before="120" w:after="120"/>
        <w:jc w:val="both"/>
        <w:rPr>
          <w:noProof/>
          <w:spacing w:val="-6"/>
          <w:lang w:val="sk-SK"/>
        </w:rPr>
      </w:pPr>
      <w:r w:rsidRPr="00326E55">
        <w:rPr>
          <w:noProof/>
          <w:spacing w:val="-6"/>
          <w:lang w:val="sk-SK"/>
        </w:rPr>
        <w:t>Reforma 1.1: Reforma technických</w:t>
      </w:r>
      <w:r w:rsidR="00326E55" w:rsidRPr="00326E55">
        <w:rPr>
          <w:noProof/>
          <w:spacing w:val="-6"/>
          <w:lang w:val="sk-SK"/>
        </w:rPr>
        <w:t xml:space="preserve"> a </w:t>
      </w:r>
      <w:r w:rsidRPr="00326E55">
        <w:rPr>
          <w:noProof/>
          <w:spacing w:val="-6"/>
          <w:lang w:val="sk-SK"/>
        </w:rPr>
        <w:t>odborných inštitútov</w:t>
      </w:r>
    </w:p>
    <w:p w14:paraId="20D59243" w14:textId="2F3CB3EC" w:rsidR="00BF03AA" w:rsidRPr="00326E55" w:rsidRDefault="00FB452D">
      <w:pPr>
        <w:pStyle w:val="P68B1DB1-Normal7"/>
        <w:spacing w:before="120" w:after="120"/>
        <w:jc w:val="both"/>
        <w:rPr>
          <w:noProof/>
          <w:spacing w:val="-6"/>
          <w:lang w:val="sk-SK"/>
        </w:rPr>
      </w:pPr>
      <w:r w:rsidRPr="00326E55">
        <w:rPr>
          <w:noProof/>
          <w:spacing w:val="-6"/>
          <w:lang w:val="sk-SK"/>
        </w:rPr>
        <w:t>Cieľom reformy je zosúladiť učebné osnovy technických</w:t>
      </w:r>
      <w:r w:rsidR="00326E55" w:rsidRPr="00326E55">
        <w:rPr>
          <w:noProof/>
          <w:spacing w:val="-6"/>
          <w:lang w:val="sk-SK"/>
        </w:rPr>
        <w:t xml:space="preserve"> a </w:t>
      </w:r>
      <w:r w:rsidRPr="00326E55">
        <w:rPr>
          <w:noProof/>
          <w:spacing w:val="-6"/>
          <w:lang w:val="sk-SK"/>
        </w:rPr>
        <w:t>odborných inštitútov</w:t>
      </w:r>
      <w:r w:rsidR="00326E55" w:rsidRPr="00326E55">
        <w:rPr>
          <w:noProof/>
          <w:spacing w:val="-6"/>
          <w:lang w:val="sk-SK"/>
        </w:rPr>
        <w:t xml:space="preserve"> s </w:t>
      </w:r>
      <w:r w:rsidRPr="00326E55">
        <w:rPr>
          <w:noProof/>
          <w:spacing w:val="-6"/>
          <w:lang w:val="sk-SK"/>
        </w:rPr>
        <w:t>kompetenciami, ktoré potrebuje taliansky výrobný systém,</w:t>
      </w:r>
      <w:r w:rsidR="00326E55" w:rsidRPr="00326E55">
        <w:rPr>
          <w:noProof/>
          <w:spacing w:val="-6"/>
          <w:lang w:val="sk-SK"/>
        </w:rPr>
        <w:t xml:space="preserve"> a </w:t>
      </w:r>
      <w:r w:rsidRPr="00326E55">
        <w:rPr>
          <w:noProof/>
          <w:spacing w:val="-6"/>
          <w:lang w:val="sk-SK"/>
        </w:rPr>
        <w:t>to aj na miestnej úrovni. Reformou sa predovšetkým zab</w:t>
      </w:r>
      <w:r w:rsidRPr="00326E55">
        <w:rPr>
          <w:noProof/>
          <w:spacing w:val="-6"/>
          <w:lang w:val="sk-SK"/>
        </w:rPr>
        <w:t>ezpečí súlad technického</w:t>
      </w:r>
      <w:r w:rsidR="00326E55" w:rsidRPr="00326E55">
        <w:rPr>
          <w:noProof/>
          <w:spacing w:val="-6"/>
          <w:lang w:val="sk-SK"/>
        </w:rPr>
        <w:t xml:space="preserve"> a </w:t>
      </w:r>
      <w:r w:rsidRPr="00326E55">
        <w:rPr>
          <w:noProof/>
          <w:spacing w:val="-6"/>
          <w:lang w:val="sk-SK"/>
        </w:rPr>
        <w:t>odborného vzdelávania</w:t>
      </w:r>
      <w:r w:rsidR="00326E55" w:rsidRPr="00326E55">
        <w:rPr>
          <w:noProof/>
          <w:spacing w:val="-6"/>
          <w:lang w:val="sk-SK"/>
        </w:rPr>
        <w:t xml:space="preserve"> s </w:t>
      </w:r>
      <w:r w:rsidRPr="00326E55">
        <w:rPr>
          <w:noProof/>
          <w:spacing w:val="-6"/>
          <w:lang w:val="sk-SK"/>
        </w:rPr>
        <w:t>Priemyslom 4.0</w:t>
      </w:r>
      <w:r w:rsidR="00326E55" w:rsidRPr="00326E55">
        <w:rPr>
          <w:noProof/>
          <w:spacing w:val="-6"/>
          <w:lang w:val="sk-SK"/>
        </w:rPr>
        <w:t xml:space="preserve"> a </w:t>
      </w:r>
      <w:r w:rsidRPr="00326E55">
        <w:rPr>
          <w:noProof/>
          <w:spacing w:val="-6"/>
          <w:lang w:val="sk-SK"/>
        </w:rPr>
        <w:t>využívanie digitálnych inovácií.</w:t>
      </w:r>
    </w:p>
    <w:p w14:paraId="3C58CC76" w14:textId="77777777" w:rsidR="00BF03AA" w:rsidRPr="00326E55" w:rsidRDefault="00FB452D">
      <w:pPr>
        <w:pStyle w:val="P68B1DB1-Normal5"/>
        <w:spacing w:before="120" w:after="120"/>
        <w:jc w:val="both"/>
        <w:rPr>
          <w:noProof/>
          <w:spacing w:val="-6"/>
          <w:lang w:val="sk-SK"/>
        </w:rPr>
      </w:pPr>
      <w:r w:rsidRPr="00326E55">
        <w:rPr>
          <w:noProof/>
          <w:spacing w:val="-6"/>
          <w:lang w:val="sk-SK"/>
        </w:rPr>
        <w:t>Reforma 1.2: Reforma terciárneho odborného vzdelávania (ITS)</w:t>
      </w:r>
    </w:p>
    <w:p w14:paraId="3CAFE93E" w14:textId="152434EF" w:rsidR="00326E55" w:rsidRPr="00326E55" w:rsidRDefault="00FB452D">
      <w:pPr>
        <w:pStyle w:val="P68B1DB1-Normal7"/>
        <w:spacing w:before="120" w:after="120"/>
        <w:jc w:val="both"/>
        <w:rPr>
          <w:noProof/>
          <w:spacing w:val="-6"/>
          <w:lang w:val="sk-SK"/>
        </w:rPr>
      </w:pPr>
      <w:r w:rsidRPr="00326E55">
        <w:rPr>
          <w:noProof/>
          <w:spacing w:val="-6"/>
          <w:lang w:val="sk-SK"/>
        </w:rPr>
        <w:t>Cieľom reformy je posilniť systém terciárneho odborného vzdelávania zjednodušením riadenia IDS</w:t>
      </w:r>
      <w:r w:rsidR="00326E55" w:rsidRPr="00326E55">
        <w:rPr>
          <w:noProof/>
          <w:spacing w:val="-6"/>
          <w:lang w:val="sk-SK"/>
        </w:rPr>
        <w:t xml:space="preserve"> s </w:t>
      </w:r>
      <w:r w:rsidRPr="00326E55">
        <w:rPr>
          <w:noProof/>
          <w:spacing w:val="-6"/>
          <w:lang w:val="sk-SK"/>
        </w:rPr>
        <w:t>cieľom zvýšiť počet inštitútov</w:t>
      </w:r>
      <w:r w:rsidR="00326E55" w:rsidRPr="00326E55">
        <w:rPr>
          <w:noProof/>
          <w:spacing w:val="-6"/>
          <w:lang w:val="sk-SK"/>
        </w:rPr>
        <w:t xml:space="preserve"> a </w:t>
      </w:r>
      <w:r w:rsidRPr="00326E55">
        <w:rPr>
          <w:noProof/>
          <w:spacing w:val="-6"/>
          <w:lang w:val="sk-SK"/>
        </w:rPr>
        <w:t>zápisov</w:t>
      </w:r>
      <w:r w:rsidR="00326E55" w:rsidRPr="00326E55">
        <w:rPr>
          <w:noProof/>
          <w:spacing w:val="-6"/>
          <w:lang w:val="sk-SK"/>
        </w:rPr>
        <w:t xml:space="preserve"> s </w:t>
      </w:r>
      <w:r w:rsidRPr="00326E55">
        <w:rPr>
          <w:noProof/>
          <w:spacing w:val="-6"/>
          <w:lang w:val="sk-SK"/>
        </w:rPr>
        <w:t>ohľadom na miestne územie. Očakáva sa, že reforma preklene nesúlad medzi ponukou pracovnej sily</w:t>
      </w:r>
      <w:r w:rsidR="00326E55" w:rsidRPr="00326E55">
        <w:rPr>
          <w:noProof/>
          <w:spacing w:val="-6"/>
          <w:lang w:val="sk-SK"/>
        </w:rPr>
        <w:t xml:space="preserve"> a </w:t>
      </w:r>
      <w:r w:rsidRPr="00326E55">
        <w:rPr>
          <w:noProof/>
          <w:spacing w:val="-6"/>
          <w:lang w:val="sk-SK"/>
        </w:rPr>
        <w:t>dopytom po nej</w:t>
      </w:r>
      <w:r w:rsidR="00326E55" w:rsidRPr="00326E55">
        <w:rPr>
          <w:noProof/>
          <w:spacing w:val="-6"/>
          <w:lang w:val="sk-SK"/>
        </w:rPr>
        <w:t>.</w:t>
      </w:r>
    </w:p>
    <w:p w14:paraId="220B6232" w14:textId="460B5B07" w:rsidR="00BF03AA" w:rsidRPr="00326E55" w:rsidRDefault="00FB452D">
      <w:pPr>
        <w:pStyle w:val="P68B1DB1-Normal5"/>
        <w:spacing w:before="120" w:after="120"/>
        <w:jc w:val="both"/>
        <w:rPr>
          <w:noProof/>
          <w:spacing w:val="-6"/>
          <w:lang w:val="sk-SK"/>
        </w:rPr>
      </w:pPr>
      <w:r w:rsidRPr="00326E55">
        <w:rPr>
          <w:noProof/>
          <w:spacing w:val="-6"/>
          <w:lang w:val="sk-SK"/>
        </w:rPr>
        <w:t>Investícia 1.5: Rozvoj systému terciárneho odborného vzdelávania (ITS)</w:t>
      </w:r>
    </w:p>
    <w:p w14:paraId="19B48E89" w14:textId="5234C035" w:rsidR="00326E55" w:rsidRPr="00326E55" w:rsidRDefault="00FB452D">
      <w:pPr>
        <w:pStyle w:val="P68B1DB1-Normal7"/>
        <w:spacing w:before="120" w:after="120"/>
        <w:jc w:val="both"/>
        <w:rPr>
          <w:noProof/>
          <w:spacing w:val="-6"/>
          <w:lang w:val="sk-SK"/>
        </w:rPr>
      </w:pPr>
      <w:r w:rsidRPr="00326E55">
        <w:rPr>
          <w:noProof/>
          <w:spacing w:val="-6"/>
          <w:lang w:val="sk-SK"/>
        </w:rPr>
        <w:t>Cieľom tohto opatrenia</w:t>
      </w:r>
      <w:r w:rsidRPr="00326E55">
        <w:rPr>
          <w:noProof/>
          <w:spacing w:val="-6"/>
          <w:lang w:val="sk-SK"/>
        </w:rPr>
        <w:t xml:space="preserve"> je posilniť úlohu inštitúcií odborného vzdelávania (ITS)</w:t>
      </w:r>
      <w:r w:rsidR="00326E55" w:rsidRPr="00326E55">
        <w:rPr>
          <w:noProof/>
          <w:spacing w:val="-6"/>
          <w:lang w:val="sk-SK"/>
        </w:rPr>
        <w:t xml:space="preserve"> v </w:t>
      </w:r>
      <w:r w:rsidRPr="00326E55">
        <w:rPr>
          <w:noProof/>
          <w:spacing w:val="-6"/>
          <w:lang w:val="sk-SK"/>
        </w:rPr>
        <w:t>talianskom vzdelávacom systéme. Investícia pozostáva</w:t>
      </w:r>
      <w:r w:rsidR="00326E55" w:rsidRPr="00326E55">
        <w:rPr>
          <w:noProof/>
          <w:spacing w:val="-6"/>
          <w:lang w:val="sk-SK"/>
        </w:rPr>
        <w:t xml:space="preserve"> z </w:t>
      </w:r>
      <w:r w:rsidRPr="00326E55">
        <w:rPr>
          <w:noProof/>
          <w:spacing w:val="-6"/>
          <w:lang w:val="sk-SK"/>
        </w:rPr>
        <w:t>rozšírenia zápisu študentov do IDS</w:t>
      </w:r>
      <w:r w:rsidR="00326E55" w:rsidRPr="00326E55">
        <w:rPr>
          <w:noProof/>
          <w:spacing w:val="-6"/>
          <w:lang w:val="sk-SK"/>
        </w:rPr>
        <w:t xml:space="preserve"> a </w:t>
      </w:r>
      <w:r w:rsidRPr="00326E55">
        <w:rPr>
          <w:noProof/>
          <w:spacing w:val="-6"/>
          <w:lang w:val="sk-SK"/>
        </w:rPr>
        <w:t>zo zvýšenia zapojenia podnikov do vzdelávania prostredníctvom spustenia národnej digitálnej platformy, k</w:t>
      </w:r>
      <w:r w:rsidRPr="00326E55">
        <w:rPr>
          <w:noProof/>
          <w:spacing w:val="-6"/>
          <w:lang w:val="sk-SK"/>
        </w:rPr>
        <w:t>torá lepšie prepája odbornú prípravu</w:t>
      </w:r>
      <w:r w:rsidR="00326E55" w:rsidRPr="00326E55">
        <w:rPr>
          <w:noProof/>
          <w:spacing w:val="-6"/>
          <w:lang w:val="sk-SK"/>
        </w:rPr>
        <w:t xml:space="preserve"> s </w:t>
      </w:r>
      <w:r w:rsidRPr="00326E55">
        <w:rPr>
          <w:noProof/>
          <w:spacing w:val="-6"/>
          <w:lang w:val="sk-SK"/>
        </w:rPr>
        <w:t>trhom práce</w:t>
      </w:r>
      <w:r w:rsidR="00326E55" w:rsidRPr="00326E55">
        <w:rPr>
          <w:noProof/>
          <w:spacing w:val="-6"/>
          <w:lang w:val="sk-SK"/>
        </w:rPr>
        <w:t>.</w:t>
      </w:r>
    </w:p>
    <w:p w14:paraId="581CA1B1" w14:textId="4393D739" w:rsidR="00BF03AA" w:rsidRPr="00326E55" w:rsidRDefault="00FB452D">
      <w:pPr>
        <w:pStyle w:val="P68B1DB1-Normal5"/>
        <w:spacing w:before="120" w:after="120"/>
        <w:jc w:val="both"/>
        <w:rPr>
          <w:noProof/>
          <w:spacing w:val="-6"/>
          <w:lang w:val="sk-SK"/>
        </w:rPr>
      </w:pPr>
      <w:r w:rsidRPr="00326E55">
        <w:rPr>
          <w:noProof/>
          <w:spacing w:val="-6"/>
          <w:lang w:val="sk-SK"/>
        </w:rPr>
        <w:t>Reforma 1.3: Reorganizácia školského systému</w:t>
      </w:r>
    </w:p>
    <w:p w14:paraId="385BA373" w14:textId="77777777" w:rsidR="00326E55" w:rsidRPr="00326E55" w:rsidRDefault="00FB452D">
      <w:pPr>
        <w:pStyle w:val="P68B1DB1-Normal7"/>
        <w:spacing w:before="120" w:after="120"/>
        <w:jc w:val="both"/>
        <w:rPr>
          <w:noProof/>
          <w:spacing w:val="-6"/>
          <w:lang w:val="sk-SK"/>
        </w:rPr>
      </w:pPr>
      <w:r w:rsidRPr="00326E55">
        <w:rPr>
          <w:noProof/>
          <w:spacing w:val="-6"/>
          <w:lang w:val="sk-SK"/>
        </w:rPr>
        <w:t>Cieľ reformy je dvojaký</w:t>
      </w:r>
      <w:r w:rsidR="00326E55" w:rsidRPr="00326E55">
        <w:rPr>
          <w:noProof/>
          <w:spacing w:val="-6"/>
          <w:lang w:val="sk-SK"/>
        </w:rPr>
        <w:t>:</w:t>
      </w:r>
    </w:p>
    <w:p w14:paraId="532DC7ED" w14:textId="63366207" w:rsidR="00326E55" w:rsidRPr="00326E55" w:rsidRDefault="00FB452D">
      <w:pPr>
        <w:pStyle w:val="P68B1DB1-ListParagraph37"/>
        <w:numPr>
          <w:ilvl w:val="0"/>
          <w:numId w:val="49"/>
        </w:numPr>
        <w:spacing w:before="120" w:after="120" w:line="240" w:lineRule="auto"/>
        <w:ind w:left="360"/>
        <w:jc w:val="both"/>
        <w:rPr>
          <w:noProof/>
          <w:spacing w:val="-6"/>
          <w:lang w:val="sk-SK"/>
        </w:rPr>
      </w:pPr>
      <w:r w:rsidRPr="00326E55">
        <w:rPr>
          <w:noProof/>
          <w:spacing w:val="-6"/>
          <w:lang w:val="sk-SK"/>
        </w:rPr>
        <w:t>Úprava počtu žiakov podľa triedy</w:t>
      </w:r>
      <w:r w:rsidR="00326E55" w:rsidRPr="00326E55">
        <w:rPr>
          <w:noProof/>
          <w:spacing w:val="-6"/>
          <w:lang w:val="sk-SK"/>
        </w:rPr>
        <w:t>.</w:t>
      </w:r>
    </w:p>
    <w:p w14:paraId="77A16E54" w14:textId="13226CDF" w:rsidR="00BF03AA" w:rsidRPr="00326E55" w:rsidRDefault="00FB452D">
      <w:pPr>
        <w:spacing w:before="120"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Počet pedagogických zamestnancov sa stanoví na rovnakej úrovni ako</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 xml:space="preserve">školskom roku 2020/2021 </w:t>
      </w:r>
      <w:r w:rsidRPr="00326E55">
        <w:rPr>
          <w:rFonts w:ascii="Times New Roman" w:hAnsi="Times New Roman" w:cs="Times New Roman"/>
          <w:noProof/>
          <w:spacing w:val="-6"/>
          <w:lang w:val="sk-SK"/>
        </w:rPr>
        <w:t>vzhľadom na pokles populácie</w:t>
      </w:r>
      <w:r w:rsidR="00326E55" w:rsidRPr="00326E55">
        <w:rPr>
          <w:rFonts w:ascii="Times New Roman" w:hAnsi="Times New Roman" w:cs="Times New Roman"/>
          <w:noProof/>
          <w:spacing w:val="-6"/>
          <w:lang w:val="sk-SK"/>
        </w:rPr>
        <w:t xml:space="preserve"> a s </w:t>
      </w:r>
      <w:r w:rsidRPr="00326E55">
        <w:rPr>
          <w:rFonts w:ascii="Times New Roman" w:hAnsi="Times New Roman" w:cs="Times New Roman"/>
          <w:noProof/>
          <w:spacing w:val="-6"/>
          <w:lang w:val="sk-SK"/>
        </w:rPr>
        <w:t>cieľom znížiť počet žiakov</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každej triede</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postupne zlepšovať pomer medzi počtom žiakov</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počtom učiteľov na spoločných pozíciách. Realizácia intervencie nesmie zvýšiť počet budov, ktoré sú</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dispozícii. Iniciatíva venuje</w:t>
      </w:r>
      <w:r w:rsidRPr="00326E55">
        <w:rPr>
          <w:rFonts w:ascii="Times New Roman" w:hAnsi="Times New Roman" w:cs="Times New Roman"/>
          <w:noProof/>
          <w:spacing w:val="-6"/>
          <w:lang w:val="sk-SK"/>
        </w:rPr>
        <w:t xml:space="preserve"> individuálnu pozornosť jednotlivým žiakom, najmä najzraniteľnejším</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určite žiakom so zdravotným postihnutím. Očakáva sa, že zlepšenie pomeru žiakov</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učiteľov bude prínosom pre kvalitu výučby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dostupnosť zdrojov pre školské budovy. Preskúmanie pravidiel</w:t>
      </w:r>
      <w:r w:rsidRPr="00326E55">
        <w:rPr>
          <w:rFonts w:ascii="Times New Roman" w:hAnsi="Times New Roman" w:cs="Times New Roman"/>
          <w:noProof/>
          <w:spacing w:val="-6"/>
          <w:lang w:val="sk-SK"/>
        </w:rPr>
        <w:t xml:space="preserve"> týkajúcich sa</w:t>
      </w:r>
      <w:r w:rsidRPr="00326E55">
        <w:rPr>
          <w:rFonts w:ascii="Times New Roman" w:hAnsi="Times New Roman"/>
          <w:noProof/>
          <w:spacing w:val="-6"/>
          <w:lang w:val="sk-SK"/>
        </w:rPr>
        <w:t xml:space="preserve"> </w:t>
      </w:r>
      <w:r w:rsidRPr="00326E55">
        <w:rPr>
          <w:rFonts w:ascii="Times New Roman" w:hAnsi="Times New Roman" w:cs="Times New Roman"/>
          <w:noProof/>
          <w:spacing w:val="-6"/>
          <w:lang w:val="sk-SK"/>
        </w:rPr>
        <w:t>veľkosti školských budov.</w:t>
      </w:r>
      <w:r w:rsidRPr="00326E55">
        <w:rPr>
          <w:rFonts w:ascii="Times New Roman" w:hAnsi="Times New Roman"/>
          <w:noProof/>
          <w:spacing w:val="-6"/>
          <w:lang w:val="sk-SK"/>
        </w:rPr>
        <w:t xml:space="preserve"> </w:t>
      </w:r>
      <w:r w:rsidRPr="00326E55">
        <w:rPr>
          <w:rFonts w:ascii="Times New Roman" w:hAnsi="Times New Roman" w:cs="Times New Roman"/>
          <w:noProof/>
          <w:spacing w:val="-6"/>
          <w:lang w:val="sk-SK"/>
        </w:rPr>
        <w:t>Regionálne školské obyvateľstvo sa prijme ako „účinný parameter“ na identifikáciu vzdelávacích inštitúcií</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riaditeľom</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hlavou,</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nie počtom obyvateľov jednotlivej školy, ako sa stanovuje</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 xml:space="preserve">platných právnych </w:t>
      </w:r>
      <w:r w:rsidRPr="00326E55">
        <w:rPr>
          <w:rFonts w:ascii="Times New Roman" w:hAnsi="Times New Roman" w:cs="Times New Roman"/>
          <w:noProof/>
          <w:spacing w:val="-6"/>
          <w:lang w:val="sk-SK"/>
        </w:rPr>
        <w:t>predpisoch.</w:t>
      </w:r>
    </w:p>
    <w:p w14:paraId="69704A1C" w14:textId="77777777" w:rsidR="00326E55" w:rsidRPr="00326E55" w:rsidRDefault="00FB452D">
      <w:pPr>
        <w:spacing w:before="120" w:after="120"/>
        <w:jc w:val="both"/>
        <w:rPr>
          <w:rFonts w:ascii="Times New Roman" w:hAnsi="Times New Roman"/>
          <w:noProof/>
          <w:spacing w:val="-6"/>
          <w:lang w:val="sk-SK"/>
        </w:rPr>
      </w:pPr>
      <w:r w:rsidRPr="00326E55">
        <w:rPr>
          <w:rFonts w:ascii="Times New Roman" w:hAnsi="Times New Roman" w:cs="Times New Roman"/>
          <w:b/>
          <w:noProof/>
          <w:spacing w:val="-6"/>
          <w:lang w:val="sk-SK"/>
        </w:rPr>
        <w:t>Reforma 1.4: Reforma systému „Orientácie“</w:t>
      </w:r>
    </w:p>
    <w:p w14:paraId="412A05CB" w14:textId="6E6D129F" w:rsidR="00326E55" w:rsidRPr="00326E55" w:rsidRDefault="00FB452D">
      <w:pPr>
        <w:spacing w:before="120"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Cieľom reformy je zaviesť orientačné moduly (aspoň 30 hodín ročne) pre štvrtú</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piatu triedu vyššieho stredoškolského vzdelávania. Hlavným cieľom je podporiť študentov pri informovanom výbere medzi pokr</w:t>
      </w:r>
      <w:r w:rsidRPr="00326E55">
        <w:rPr>
          <w:rFonts w:ascii="Times New Roman" w:hAnsi="Times New Roman" w:cs="Times New Roman"/>
          <w:noProof/>
          <w:spacing w:val="-6"/>
          <w:lang w:val="sk-SK"/>
        </w:rPr>
        <w:t>ačovaním</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štúdiu alebo ďalším odborným vzdelávaním (IDS) pred ich začlenením do trhu práce.</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reforme sa predpokladá aj vytvorenie platformy digitálnej orientácie súvisiacej</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ponukou terciárneho vzdelávania univerzít</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inštitútov odborného vzdelávania (I</w:t>
      </w:r>
      <w:r w:rsidRPr="00326E55">
        <w:rPr>
          <w:rFonts w:ascii="Times New Roman" w:hAnsi="Times New Roman" w:cs="Times New Roman"/>
          <w:noProof/>
          <w:spacing w:val="-6"/>
          <w:lang w:val="sk-SK"/>
        </w:rPr>
        <w:t>TS)</w:t>
      </w:r>
      <w:r w:rsidR="00326E55" w:rsidRPr="00326E55">
        <w:rPr>
          <w:rFonts w:ascii="Times New Roman" w:hAnsi="Times New Roman" w:cs="Times New Roman"/>
          <w:noProof/>
          <w:spacing w:val="-6"/>
          <w:lang w:val="sk-SK"/>
        </w:rPr>
        <w:t>.</w:t>
      </w:r>
    </w:p>
    <w:p w14:paraId="5F4869F3" w14:textId="77777777" w:rsidR="00326E55" w:rsidRPr="00326E55" w:rsidRDefault="00FB452D">
      <w:pPr>
        <w:spacing w:before="120" w:after="120"/>
        <w:rPr>
          <w:rFonts w:ascii="Times New Roman" w:hAnsi="Times New Roman"/>
          <w:noProof/>
          <w:spacing w:val="-6"/>
          <w:lang w:val="sk-SK"/>
        </w:rPr>
      </w:pPr>
      <w:r w:rsidRPr="00326E55">
        <w:rPr>
          <w:rFonts w:ascii="Times New Roman" w:hAnsi="Times New Roman" w:cs="Times New Roman"/>
          <w:b/>
          <w:noProof/>
          <w:spacing w:val="-6"/>
          <w:lang w:val="sk-SK"/>
        </w:rPr>
        <w:t>Investícia 1.6: Aktívna orientácia pri prechode medzi školou</w:t>
      </w:r>
      <w:r w:rsidR="00326E55" w:rsidRPr="00326E55">
        <w:rPr>
          <w:rFonts w:ascii="Times New Roman" w:hAnsi="Times New Roman" w:cs="Times New Roman"/>
          <w:b/>
          <w:noProof/>
          <w:spacing w:val="-6"/>
          <w:lang w:val="sk-SK"/>
        </w:rPr>
        <w:t xml:space="preserve"> a </w:t>
      </w:r>
      <w:r w:rsidRPr="00326E55">
        <w:rPr>
          <w:rFonts w:ascii="Times New Roman" w:hAnsi="Times New Roman" w:cs="Times New Roman"/>
          <w:b/>
          <w:noProof/>
          <w:spacing w:val="-6"/>
          <w:lang w:val="sk-SK"/>
        </w:rPr>
        <w:t>univerzitou</w:t>
      </w:r>
    </w:p>
    <w:p w14:paraId="52075BCF" w14:textId="13D7F7C1" w:rsidR="00326E55" w:rsidRPr="00326E55" w:rsidRDefault="00FB452D">
      <w:pPr>
        <w:pStyle w:val="P68B1DB1-Normal7"/>
        <w:spacing w:before="120" w:after="120"/>
        <w:rPr>
          <w:noProof/>
          <w:spacing w:val="-6"/>
          <w:lang w:val="sk-SK"/>
        </w:rPr>
      </w:pPr>
      <w:r w:rsidRPr="00326E55">
        <w:rPr>
          <w:noProof/>
          <w:spacing w:val="-6"/>
          <w:lang w:val="sk-SK"/>
        </w:rPr>
        <w:t>Cieľom tohto opatrenia je uľahčiť</w:t>
      </w:r>
      <w:r w:rsidR="00326E55" w:rsidRPr="00326E55">
        <w:rPr>
          <w:noProof/>
          <w:spacing w:val="-6"/>
          <w:lang w:val="sk-SK"/>
        </w:rPr>
        <w:t xml:space="preserve"> a </w:t>
      </w:r>
      <w:r w:rsidRPr="00326E55">
        <w:rPr>
          <w:noProof/>
          <w:spacing w:val="-6"/>
          <w:lang w:val="sk-SK"/>
        </w:rPr>
        <w:t>podporiť prechod</w:t>
      </w:r>
      <w:r w:rsidR="00326E55" w:rsidRPr="00326E55">
        <w:rPr>
          <w:noProof/>
          <w:spacing w:val="-6"/>
          <w:lang w:val="sk-SK"/>
        </w:rPr>
        <w:t xml:space="preserve"> z </w:t>
      </w:r>
      <w:r w:rsidRPr="00326E55">
        <w:rPr>
          <w:noProof/>
          <w:spacing w:val="-6"/>
          <w:lang w:val="sk-SK"/>
        </w:rPr>
        <w:t>vyššej strednej školy na univerzitu</w:t>
      </w:r>
      <w:r w:rsidR="00326E55" w:rsidRPr="00326E55">
        <w:rPr>
          <w:noProof/>
          <w:spacing w:val="-6"/>
          <w:lang w:val="sk-SK"/>
        </w:rPr>
        <w:t xml:space="preserve"> a </w:t>
      </w:r>
      <w:r w:rsidRPr="00326E55">
        <w:rPr>
          <w:noProof/>
          <w:spacing w:val="-6"/>
          <w:lang w:val="sk-SK"/>
        </w:rPr>
        <w:t>znížiť mieru predčasného ukončenia školskej dochádzky. Toto opatrenie spočíva</w:t>
      </w:r>
      <w:r w:rsidR="00326E55" w:rsidRPr="00326E55">
        <w:rPr>
          <w:noProof/>
          <w:spacing w:val="-6"/>
          <w:lang w:val="sk-SK"/>
        </w:rPr>
        <w:t xml:space="preserve"> v </w:t>
      </w:r>
      <w:r w:rsidRPr="00326E55">
        <w:rPr>
          <w:noProof/>
          <w:spacing w:val="-6"/>
          <w:lang w:val="sk-SK"/>
        </w:rPr>
        <w:t>pos</w:t>
      </w:r>
      <w:r w:rsidRPr="00326E55">
        <w:rPr>
          <w:noProof/>
          <w:spacing w:val="-6"/>
          <w:lang w:val="sk-SK"/>
        </w:rPr>
        <w:t>kytovaní orientačných kurzov všetkým študentom na vyšších stredných školách</w:t>
      </w:r>
      <w:r w:rsidR="00326E55" w:rsidRPr="00326E55">
        <w:rPr>
          <w:noProof/>
          <w:spacing w:val="-6"/>
          <w:lang w:val="sk-SK"/>
        </w:rPr>
        <w:t xml:space="preserve"> s </w:t>
      </w:r>
      <w:r w:rsidRPr="00326E55">
        <w:rPr>
          <w:noProof/>
          <w:spacing w:val="-6"/>
          <w:lang w:val="sk-SK"/>
        </w:rPr>
        <w:t>cieľom podporiť ich pri výbere terciárneho vzdelávania</w:t>
      </w:r>
      <w:r w:rsidR="00326E55" w:rsidRPr="00326E55">
        <w:rPr>
          <w:noProof/>
          <w:spacing w:val="-6"/>
          <w:lang w:val="sk-SK"/>
        </w:rPr>
        <w:t>.</w:t>
      </w:r>
    </w:p>
    <w:p w14:paraId="6890F404" w14:textId="77777777" w:rsidR="00326E55" w:rsidRPr="00326E55" w:rsidRDefault="00FB452D">
      <w:pPr>
        <w:spacing w:before="120" w:after="120"/>
        <w:rPr>
          <w:rFonts w:ascii="Times New Roman" w:hAnsi="Times New Roman"/>
          <w:noProof/>
          <w:spacing w:val="-6"/>
          <w:lang w:val="sk-SK"/>
        </w:rPr>
      </w:pPr>
      <w:r w:rsidRPr="00326E55">
        <w:rPr>
          <w:rFonts w:ascii="Times New Roman" w:hAnsi="Times New Roman" w:cs="Times New Roman"/>
          <w:b/>
          <w:noProof/>
          <w:spacing w:val="-6"/>
          <w:lang w:val="sk-SK"/>
        </w:rPr>
        <w:t>Investícia 1.7: Štipendiá na prístup na univerzitu</w:t>
      </w:r>
    </w:p>
    <w:p w14:paraId="386CA30A" w14:textId="78156A03" w:rsidR="00326E55" w:rsidRPr="00326E55" w:rsidRDefault="00FB452D">
      <w:pPr>
        <w:spacing w:before="120" w:after="120"/>
        <w:rPr>
          <w:rFonts w:ascii="Times New Roman" w:hAnsi="Times New Roman" w:cs="Times New Roman"/>
          <w:noProof/>
          <w:spacing w:val="-6"/>
          <w:lang w:val="sk-SK"/>
        </w:rPr>
      </w:pPr>
      <w:r w:rsidRPr="00326E55">
        <w:rPr>
          <w:rFonts w:ascii="Times New Roman" w:hAnsi="Times New Roman" w:cs="Times New Roman"/>
          <w:noProof/>
          <w:spacing w:val="-6"/>
          <w:lang w:val="sk-SK"/>
        </w:rPr>
        <w:t>Cieľom tohto opatrenia je posilniť rovnosť</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prístupe</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 xml:space="preserve">terciárnemu </w:t>
      </w:r>
      <w:r w:rsidRPr="00326E55">
        <w:rPr>
          <w:rFonts w:ascii="Times New Roman" w:hAnsi="Times New Roman" w:cs="Times New Roman"/>
          <w:noProof/>
          <w:spacing w:val="-6"/>
          <w:lang w:val="sk-SK"/>
        </w:rPr>
        <w:t>vzdelávaniu podporou študentov</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sociálno-ekonomických ťažkostiach. Opatrenie spočíva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zvýšení počtu štipendií poskytovaných vysokoškolským študentom</w:t>
      </w:r>
      <w:r w:rsidR="00326E55" w:rsidRPr="00326E55">
        <w:rPr>
          <w:rFonts w:ascii="Times New Roman" w:hAnsi="Times New Roman" w:cs="Times New Roman"/>
          <w:noProof/>
          <w:spacing w:val="-6"/>
          <w:lang w:val="sk-SK"/>
        </w:rPr>
        <w:t>.</w:t>
      </w:r>
    </w:p>
    <w:p w14:paraId="1C0B3B5D" w14:textId="77777777" w:rsidR="00326E55" w:rsidRPr="00326E55" w:rsidRDefault="00FB452D">
      <w:pPr>
        <w:spacing w:before="120" w:after="120"/>
        <w:jc w:val="both"/>
        <w:rPr>
          <w:rFonts w:ascii="Times New Roman" w:hAnsi="Times New Roman"/>
          <w:noProof/>
          <w:spacing w:val="-6"/>
          <w:lang w:val="sk-SK"/>
        </w:rPr>
      </w:pPr>
      <w:r w:rsidRPr="00326E55">
        <w:rPr>
          <w:rFonts w:ascii="Times New Roman" w:hAnsi="Times New Roman" w:cs="Times New Roman"/>
          <w:b/>
          <w:noProof/>
          <w:spacing w:val="-6"/>
          <w:lang w:val="sk-SK"/>
        </w:rPr>
        <w:t>Reforma 1.5: Reformy univerzitných skupín</w:t>
      </w:r>
    </w:p>
    <w:p w14:paraId="2BFDE85C" w14:textId="1BEE3245" w:rsidR="00326E55" w:rsidRPr="00326E55" w:rsidRDefault="00FB452D">
      <w:pPr>
        <w:spacing w:before="120" w:after="120"/>
        <w:jc w:val="both"/>
        <w:rPr>
          <w:rFonts w:ascii="Times New Roman" w:hAnsi="Times New Roman" w:cs="Times New Roman"/>
          <w:noProof/>
          <w:color w:val="006100"/>
          <w:spacing w:val="-6"/>
          <w:lang w:val="sk-SK"/>
        </w:rPr>
      </w:pPr>
      <w:r w:rsidRPr="00326E55">
        <w:rPr>
          <w:rFonts w:ascii="Times New Roman" w:hAnsi="Times New Roman" w:cs="Times New Roman"/>
          <w:noProof/>
          <w:spacing w:val="-6"/>
          <w:lang w:val="sk-SK"/>
        </w:rPr>
        <w:t>Reforma predpokladá aktualizáciu univerzitných učebných osnov,</w:t>
      </w:r>
      <w:r w:rsidRPr="00326E55">
        <w:rPr>
          <w:rFonts w:ascii="Times New Roman" w:hAnsi="Times New Roman" w:cs="Times New Roman"/>
          <w:noProof/>
          <w:spacing w:val="-6"/>
          <w:lang w:val="sk-SK"/>
        </w:rPr>
        <w:t xml:space="preserve"> čím sa znížia existujúce pevné hranice, ktoré výrazne obmedzujú možnosť vytvárania interdisciplinárnych ciest. Očakáva sa tiež, že reformou sa rozšíri možnosť realizácie programov odbornej prípravy zavedením inovačných študijných tried zameraných na zames</w:t>
      </w:r>
      <w:r w:rsidRPr="00326E55">
        <w:rPr>
          <w:rFonts w:ascii="Times New Roman" w:hAnsi="Times New Roman" w:cs="Times New Roman"/>
          <w:noProof/>
          <w:spacing w:val="-6"/>
          <w:lang w:val="sk-SK"/>
        </w:rPr>
        <w:t>tnanie</w:t>
      </w:r>
      <w:r w:rsidR="00326E55" w:rsidRPr="00326E55">
        <w:rPr>
          <w:rFonts w:ascii="Times New Roman" w:hAnsi="Times New Roman" w:cs="Times New Roman"/>
          <w:noProof/>
          <w:color w:val="006100"/>
          <w:spacing w:val="-6"/>
          <w:lang w:val="sk-SK"/>
        </w:rPr>
        <w:t>.</w:t>
      </w:r>
    </w:p>
    <w:p w14:paraId="3E281110" w14:textId="77777777" w:rsidR="00326E55" w:rsidRPr="00326E55" w:rsidRDefault="00FB452D">
      <w:pPr>
        <w:pStyle w:val="P68B1DB1-Normal5"/>
        <w:spacing w:before="120" w:after="120"/>
        <w:jc w:val="both"/>
        <w:rPr>
          <w:noProof/>
          <w:spacing w:val="-6"/>
          <w:lang w:val="sk-SK"/>
        </w:rPr>
      </w:pPr>
      <w:r w:rsidRPr="00326E55">
        <w:rPr>
          <w:noProof/>
          <w:spacing w:val="-6"/>
          <w:lang w:val="sk-SK"/>
        </w:rPr>
        <w:t>Reforma 1.6: Umožnenie reformy univerzitného titulu</w:t>
      </w:r>
    </w:p>
    <w:p w14:paraId="7BB39C60" w14:textId="75F11E65" w:rsidR="00326E55" w:rsidRPr="00326E55" w:rsidRDefault="00FB452D">
      <w:pPr>
        <w:pStyle w:val="P68B1DB1-Normal7"/>
        <w:spacing w:before="120" w:after="120"/>
        <w:jc w:val="both"/>
        <w:rPr>
          <w:noProof/>
          <w:spacing w:val="-6"/>
          <w:lang w:val="sk-SK"/>
        </w:rPr>
      </w:pPr>
      <w:r w:rsidRPr="00326E55">
        <w:rPr>
          <w:noProof/>
          <w:spacing w:val="-6"/>
          <w:lang w:val="sk-SK"/>
        </w:rPr>
        <w:t>Reforma predpokladá zjednodušenie postupu prístupu</w:t>
      </w:r>
      <w:r w:rsidR="00326E55" w:rsidRPr="00326E55">
        <w:rPr>
          <w:noProof/>
          <w:spacing w:val="-6"/>
          <w:lang w:val="sk-SK"/>
        </w:rPr>
        <w:t xml:space="preserve"> k </w:t>
      </w:r>
      <w:r w:rsidRPr="00326E55">
        <w:rPr>
          <w:noProof/>
          <w:spacing w:val="-6"/>
          <w:lang w:val="sk-SK"/>
        </w:rPr>
        <w:t>povolaniam, ktoré si vyžadujú zápis do profesijných príkazov prostredníctvom špecializovanej odbornej skúšky. Opatrenie prispeje</w:t>
      </w:r>
      <w:r w:rsidR="00326E55" w:rsidRPr="00326E55">
        <w:rPr>
          <w:noProof/>
          <w:spacing w:val="-6"/>
          <w:lang w:val="sk-SK"/>
        </w:rPr>
        <w:t xml:space="preserve"> k </w:t>
      </w:r>
      <w:r w:rsidRPr="00326E55">
        <w:rPr>
          <w:noProof/>
          <w:spacing w:val="-6"/>
          <w:lang w:val="sk-SK"/>
        </w:rPr>
        <w:t>harmonizácii</w:t>
      </w:r>
      <w:r w:rsidRPr="00326E55">
        <w:rPr>
          <w:noProof/>
          <w:spacing w:val="-6"/>
          <w:lang w:val="sk-SK"/>
        </w:rPr>
        <w:t xml:space="preserve"> záverečnej vnútroštátnej skúšky každého stupňa so zodpovedajúcou skúškou</w:t>
      </w:r>
      <w:r w:rsidR="00326E55" w:rsidRPr="00326E55">
        <w:rPr>
          <w:noProof/>
          <w:spacing w:val="-6"/>
          <w:lang w:val="sk-SK"/>
        </w:rPr>
        <w:t xml:space="preserve"> z </w:t>
      </w:r>
      <w:r w:rsidRPr="00326E55">
        <w:rPr>
          <w:noProof/>
          <w:spacing w:val="-6"/>
          <w:lang w:val="sk-SK"/>
        </w:rPr>
        <w:t>profesijného poriadku, čím sa stanovia všeobecné</w:t>
      </w:r>
      <w:r w:rsidR="00326E55" w:rsidRPr="00326E55">
        <w:rPr>
          <w:noProof/>
          <w:spacing w:val="-6"/>
          <w:lang w:val="sk-SK"/>
        </w:rPr>
        <w:t xml:space="preserve"> a </w:t>
      </w:r>
      <w:r w:rsidRPr="00326E55">
        <w:rPr>
          <w:noProof/>
          <w:spacing w:val="-6"/>
          <w:lang w:val="sk-SK"/>
        </w:rPr>
        <w:t>jasné pravidlá</w:t>
      </w:r>
      <w:r w:rsidR="00326E55" w:rsidRPr="00326E55">
        <w:rPr>
          <w:noProof/>
          <w:spacing w:val="-6"/>
          <w:lang w:val="sk-SK"/>
        </w:rPr>
        <w:t xml:space="preserve"> a </w:t>
      </w:r>
      <w:r w:rsidRPr="00326E55">
        <w:rPr>
          <w:noProof/>
          <w:spacing w:val="-6"/>
          <w:lang w:val="sk-SK"/>
        </w:rPr>
        <w:t>nahradenie</w:t>
      </w:r>
      <w:r w:rsidR="00326E55" w:rsidRPr="00326E55">
        <w:rPr>
          <w:noProof/>
          <w:spacing w:val="-6"/>
          <w:lang w:val="sk-SK"/>
        </w:rPr>
        <w:t>.</w:t>
      </w:r>
    </w:p>
    <w:p w14:paraId="41AAAFC2" w14:textId="77777777" w:rsidR="00326E55" w:rsidRPr="00326E55" w:rsidRDefault="00FB452D">
      <w:pPr>
        <w:spacing w:before="120" w:after="120"/>
        <w:jc w:val="both"/>
        <w:rPr>
          <w:rFonts w:ascii="Times New Roman" w:hAnsi="Times New Roman"/>
          <w:noProof/>
          <w:spacing w:val="-6"/>
          <w:lang w:val="sk-SK"/>
        </w:rPr>
      </w:pPr>
      <w:r w:rsidRPr="00326E55">
        <w:rPr>
          <w:rFonts w:ascii="Times New Roman" w:hAnsi="Times New Roman" w:cs="Times New Roman"/>
          <w:b/>
          <w:noProof/>
          <w:spacing w:val="-6"/>
          <w:lang w:val="sk-SK"/>
        </w:rPr>
        <w:t>Reforma 2.1: Nábor učiteľov</w:t>
      </w:r>
    </w:p>
    <w:p w14:paraId="29118FF4" w14:textId="22235CC5" w:rsidR="00326E55" w:rsidRPr="00326E55" w:rsidRDefault="00FB452D">
      <w:pPr>
        <w:spacing w:before="120"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Cieľom tejto reformy je zlepšiť výsledky vzdelávania zlepšením kvalifiká</w:t>
      </w:r>
      <w:r w:rsidRPr="00326E55">
        <w:rPr>
          <w:rFonts w:ascii="Times New Roman" w:hAnsi="Times New Roman" w:cs="Times New Roman"/>
          <w:noProof/>
          <w:spacing w:val="-6"/>
          <w:lang w:val="sk-SK"/>
        </w:rPr>
        <w:t>cie učiteľov, ich náboru, kariéry, odbornej prípravy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systémov hodnotenia. Toto opatrenie pozostáva</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náboru učiteľov</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reformovaného systému prijímania zamestnancov</w:t>
      </w:r>
      <w:r w:rsidR="00326E55" w:rsidRPr="00326E55">
        <w:rPr>
          <w:rFonts w:ascii="Times New Roman" w:hAnsi="Times New Roman" w:cs="Times New Roman"/>
          <w:noProof/>
          <w:spacing w:val="-6"/>
          <w:lang w:val="sk-SK"/>
        </w:rPr>
        <w:t>.</w:t>
      </w:r>
    </w:p>
    <w:p w14:paraId="543367E0" w14:textId="77777777" w:rsidR="00326E55" w:rsidRPr="00326E55" w:rsidRDefault="00FB452D">
      <w:pPr>
        <w:spacing w:before="120" w:after="120"/>
        <w:jc w:val="both"/>
        <w:rPr>
          <w:rFonts w:ascii="Times New Roman" w:hAnsi="Times New Roman"/>
          <w:noProof/>
          <w:spacing w:val="-6"/>
          <w:lang w:val="sk-SK"/>
        </w:rPr>
      </w:pPr>
      <w:r w:rsidRPr="00326E55">
        <w:rPr>
          <w:rFonts w:ascii="Times New Roman" w:hAnsi="Times New Roman" w:cs="Times New Roman"/>
          <w:b/>
          <w:noProof/>
          <w:spacing w:val="-6"/>
          <w:lang w:val="sk-SK"/>
        </w:rPr>
        <w:t>Reforma 2.2: Terciárne pokročilé školy</w:t>
      </w:r>
      <w:r w:rsidR="00326E55" w:rsidRPr="00326E55">
        <w:rPr>
          <w:rFonts w:ascii="Times New Roman" w:hAnsi="Times New Roman" w:cs="Times New Roman"/>
          <w:b/>
          <w:noProof/>
          <w:spacing w:val="-6"/>
          <w:lang w:val="sk-SK"/>
        </w:rPr>
        <w:t xml:space="preserve"> a </w:t>
      </w:r>
      <w:r w:rsidRPr="00326E55">
        <w:rPr>
          <w:rFonts w:ascii="Times New Roman" w:hAnsi="Times New Roman" w:cs="Times New Roman"/>
          <w:b/>
          <w:noProof/>
          <w:spacing w:val="-6"/>
          <w:lang w:val="sk-SK"/>
        </w:rPr>
        <w:t>povinná odborná príprava vedúcich pracovn</w:t>
      </w:r>
      <w:r w:rsidRPr="00326E55">
        <w:rPr>
          <w:rFonts w:ascii="Times New Roman" w:hAnsi="Times New Roman" w:cs="Times New Roman"/>
          <w:b/>
          <w:noProof/>
          <w:spacing w:val="-6"/>
          <w:lang w:val="sk-SK"/>
        </w:rPr>
        <w:t>íkov škôl, učiteľov, administratívnych</w:t>
      </w:r>
      <w:r w:rsidR="00326E55" w:rsidRPr="00326E55">
        <w:rPr>
          <w:rFonts w:ascii="Times New Roman" w:hAnsi="Times New Roman" w:cs="Times New Roman"/>
          <w:b/>
          <w:noProof/>
          <w:spacing w:val="-6"/>
          <w:lang w:val="sk-SK"/>
        </w:rPr>
        <w:t xml:space="preserve"> a </w:t>
      </w:r>
      <w:r w:rsidRPr="00326E55">
        <w:rPr>
          <w:rFonts w:ascii="Times New Roman" w:hAnsi="Times New Roman" w:cs="Times New Roman"/>
          <w:b/>
          <w:noProof/>
          <w:spacing w:val="-6"/>
          <w:lang w:val="sk-SK"/>
        </w:rPr>
        <w:t>technických pracovníkov</w:t>
      </w:r>
    </w:p>
    <w:p w14:paraId="3DF02019" w14:textId="4C25762D" w:rsidR="00BF03AA" w:rsidRPr="00326E55" w:rsidRDefault="00FB452D">
      <w:pPr>
        <w:pStyle w:val="P68B1DB1-Normal7"/>
        <w:spacing w:before="120" w:after="120"/>
        <w:jc w:val="both"/>
        <w:rPr>
          <w:noProof/>
          <w:spacing w:val="-6"/>
          <w:lang w:val="sk-SK"/>
        </w:rPr>
      </w:pPr>
      <w:r w:rsidRPr="00326E55">
        <w:rPr>
          <w:noProof/>
          <w:spacing w:val="-6"/>
          <w:lang w:val="sk-SK"/>
        </w:rPr>
        <w:t>Cieľom reformy je vybudovať kvalitný systém odbornej prípravy pre zamestnancov škôl na účely kontinuálneho profesijného</w:t>
      </w:r>
      <w:r w:rsidR="00326E55" w:rsidRPr="00326E55">
        <w:rPr>
          <w:noProof/>
          <w:spacing w:val="-6"/>
          <w:lang w:val="sk-SK"/>
        </w:rPr>
        <w:t xml:space="preserve"> a </w:t>
      </w:r>
      <w:r w:rsidRPr="00326E55">
        <w:rPr>
          <w:noProof/>
          <w:spacing w:val="-6"/>
          <w:lang w:val="sk-SK"/>
        </w:rPr>
        <w:t>kariérneho rastu. Predpokladá sa</w:t>
      </w:r>
      <w:r w:rsidR="00326E55" w:rsidRPr="00326E55">
        <w:rPr>
          <w:noProof/>
          <w:spacing w:val="-6"/>
          <w:lang w:val="sk-SK"/>
        </w:rPr>
        <w:t xml:space="preserve"> v </w:t>
      </w:r>
      <w:r w:rsidRPr="00326E55">
        <w:rPr>
          <w:noProof/>
          <w:spacing w:val="-6"/>
          <w:lang w:val="sk-SK"/>
        </w:rPr>
        <w:t>ňom zriadenie kvalifikovaného orgá</w:t>
      </w:r>
      <w:r w:rsidRPr="00326E55">
        <w:rPr>
          <w:noProof/>
          <w:spacing w:val="-6"/>
          <w:lang w:val="sk-SK"/>
        </w:rPr>
        <w:t>nu zodpovedného za vydávanie usmernení</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európskymi normami</w:t>
      </w:r>
      <w:r w:rsidR="00326E55" w:rsidRPr="00326E55">
        <w:rPr>
          <w:noProof/>
          <w:spacing w:val="-6"/>
          <w:lang w:val="sk-SK"/>
        </w:rPr>
        <w:t xml:space="preserve"> a </w:t>
      </w:r>
      <w:r w:rsidRPr="00326E55">
        <w:rPr>
          <w:noProof/>
          <w:spacing w:val="-6"/>
          <w:lang w:val="sk-SK"/>
        </w:rPr>
        <w:t>za výber</w:t>
      </w:r>
      <w:r w:rsidR="00326E55" w:rsidRPr="00326E55">
        <w:rPr>
          <w:noProof/>
          <w:spacing w:val="-6"/>
          <w:lang w:val="sk-SK"/>
        </w:rPr>
        <w:t xml:space="preserve"> a </w:t>
      </w:r>
      <w:r w:rsidRPr="00326E55">
        <w:rPr>
          <w:noProof/>
          <w:spacing w:val="-6"/>
          <w:lang w:val="sk-SK"/>
        </w:rPr>
        <w:t>koordináciu iniciatív</w:t>
      </w:r>
      <w:r w:rsidR="00326E55" w:rsidRPr="00326E55">
        <w:rPr>
          <w:noProof/>
          <w:spacing w:val="-6"/>
          <w:lang w:val="sk-SK"/>
        </w:rPr>
        <w:t xml:space="preserve"> v </w:t>
      </w:r>
      <w:r w:rsidRPr="00326E55">
        <w:rPr>
          <w:noProof/>
          <w:spacing w:val="-6"/>
          <w:lang w:val="sk-SK"/>
        </w:rPr>
        <w:t>oblasti odbornej prípravy, prípadne ich prepojenie</w:t>
      </w:r>
      <w:r w:rsidR="00326E55" w:rsidRPr="00326E55">
        <w:rPr>
          <w:noProof/>
          <w:spacing w:val="-6"/>
          <w:lang w:val="sk-SK"/>
        </w:rPr>
        <w:t xml:space="preserve"> s </w:t>
      </w:r>
      <w:r w:rsidRPr="00326E55">
        <w:rPr>
          <w:noProof/>
          <w:spacing w:val="-6"/>
          <w:lang w:val="sk-SK"/>
        </w:rPr>
        <w:t>kariérnym postupom, ako sa stanovuje</w:t>
      </w:r>
      <w:r w:rsidR="00326E55" w:rsidRPr="00326E55">
        <w:rPr>
          <w:noProof/>
          <w:spacing w:val="-6"/>
          <w:lang w:val="sk-SK"/>
        </w:rPr>
        <w:t xml:space="preserve"> v </w:t>
      </w:r>
      <w:r w:rsidRPr="00326E55">
        <w:rPr>
          <w:noProof/>
          <w:spacing w:val="-6"/>
          <w:lang w:val="sk-SK"/>
        </w:rPr>
        <w:t xml:space="preserve">reforme prijímania zamestnancov – reforme 2.1: Nábor </w:t>
      </w:r>
      <w:r w:rsidRPr="00326E55">
        <w:rPr>
          <w:noProof/>
          <w:spacing w:val="-6"/>
          <w:lang w:val="sk-SK"/>
        </w:rPr>
        <w:t>učiteľov zahrnutý do plánu.</w:t>
      </w:r>
    </w:p>
    <w:p w14:paraId="47C4C772" w14:textId="77777777" w:rsidR="00326E55" w:rsidRPr="00326E55" w:rsidRDefault="00FB452D">
      <w:pPr>
        <w:pStyle w:val="P68B1DB1-Normal5"/>
        <w:spacing w:before="120" w:after="120"/>
        <w:jc w:val="both"/>
        <w:rPr>
          <w:noProof/>
          <w:spacing w:val="-6"/>
          <w:lang w:val="sk-SK"/>
        </w:rPr>
      </w:pPr>
      <w:r w:rsidRPr="00326E55">
        <w:rPr>
          <w:noProof/>
          <w:spacing w:val="-6"/>
          <w:lang w:val="sk-SK"/>
        </w:rPr>
        <w:t>Investícia 2.1: Integrovaná digitálna výučba</w:t>
      </w:r>
      <w:r w:rsidR="00326E55" w:rsidRPr="00326E55">
        <w:rPr>
          <w:noProof/>
          <w:spacing w:val="-6"/>
          <w:lang w:val="sk-SK"/>
        </w:rPr>
        <w:t xml:space="preserve"> a </w:t>
      </w:r>
      <w:r w:rsidRPr="00326E55">
        <w:rPr>
          <w:noProof/>
          <w:spacing w:val="-6"/>
          <w:lang w:val="sk-SK"/>
        </w:rPr>
        <w:t>odborná príprava</w:t>
      </w:r>
      <w:r w:rsidR="00326E55" w:rsidRPr="00326E55">
        <w:rPr>
          <w:noProof/>
          <w:spacing w:val="-6"/>
          <w:lang w:val="sk-SK"/>
        </w:rPr>
        <w:t xml:space="preserve"> v </w:t>
      </w:r>
      <w:r w:rsidRPr="00326E55">
        <w:rPr>
          <w:noProof/>
          <w:spacing w:val="-6"/>
          <w:lang w:val="sk-SK"/>
        </w:rPr>
        <w:t>oblasti digitálnej transformácie zamestnancov škôl</w:t>
      </w:r>
    </w:p>
    <w:p w14:paraId="213157AC" w14:textId="5324D9CF" w:rsidR="00326E55" w:rsidRPr="00326E55" w:rsidRDefault="00FB452D">
      <w:pPr>
        <w:spacing w:before="120"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Cieľom tohto opatrenia je vytvoriť stály systém na podporu digitálnych pedagogických zručností zamestnancov škô</w:t>
      </w:r>
      <w:r w:rsidRPr="00326E55">
        <w:rPr>
          <w:rFonts w:ascii="Times New Roman" w:hAnsi="Times New Roman" w:cs="Times New Roman"/>
          <w:noProof/>
          <w:spacing w:val="-6"/>
          <w:lang w:val="sk-SK"/>
        </w:rPr>
        <w:t>l. Investícia pozostáva</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odbornej prípravy vedúcich pracovníkov škôl, učiteľov</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administratívnych pracovníkov</w:t>
      </w:r>
      <w:r w:rsidR="00326E55" w:rsidRPr="00326E55">
        <w:rPr>
          <w:rFonts w:ascii="Times New Roman" w:hAnsi="Times New Roman" w:cs="Times New Roman"/>
          <w:noProof/>
          <w:spacing w:val="-6"/>
          <w:lang w:val="sk-SK"/>
        </w:rPr>
        <w:t>.</w:t>
      </w:r>
    </w:p>
    <w:p w14:paraId="7EE46C67" w14:textId="77777777" w:rsidR="00326E55" w:rsidRPr="00326E55" w:rsidRDefault="00FB452D">
      <w:pPr>
        <w:spacing w:before="120" w:after="120"/>
        <w:jc w:val="both"/>
        <w:rPr>
          <w:rFonts w:ascii="Times New Roman" w:hAnsi="Times New Roman"/>
          <w:noProof/>
          <w:spacing w:val="-6"/>
          <w:lang w:val="sk-SK"/>
        </w:rPr>
      </w:pPr>
      <w:r w:rsidRPr="00326E55">
        <w:rPr>
          <w:rFonts w:ascii="Times New Roman" w:hAnsi="Times New Roman" w:cs="Times New Roman"/>
          <w:b/>
          <w:noProof/>
          <w:spacing w:val="-6"/>
          <w:lang w:val="sk-SK"/>
        </w:rPr>
        <w:t>Investícia 3.1: Nové zručnosti</w:t>
      </w:r>
      <w:r w:rsidR="00326E55" w:rsidRPr="00326E55">
        <w:rPr>
          <w:rFonts w:ascii="Times New Roman" w:hAnsi="Times New Roman" w:cs="Times New Roman"/>
          <w:b/>
          <w:noProof/>
          <w:spacing w:val="-6"/>
          <w:lang w:val="sk-SK"/>
        </w:rPr>
        <w:t xml:space="preserve"> a </w:t>
      </w:r>
      <w:r w:rsidRPr="00326E55">
        <w:rPr>
          <w:rFonts w:ascii="Times New Roman" w:hAnsi="Times New Roman" w:cs="Times New Roman"/>
          <w:b/>
          <w:noProof/>
          <w:spacing w:val="-6"/>
          <w:lang w:val="sk-SK"/>
        </w:rPr>
        <w:t>nové jazyky</w:t>
      </w:r>
    </w:p>
    <w:p w14:paraId="3593073B" w14:textId="632433CF" w:rsidR="00326E55" w:rsidRPr="00326E55" w:rsidRDefault="00FB452D">
      <w:pPr>
        <w:spacing w:before="120" w:after="120"/>
        <w:jc w:val="both"/>
        <w:rPr>
          <w:rFonts w:ascii="Times New Roman" w:eastAsia="Times New Roman" w:hAnsi="Times New Roman" w:cs="Times New Roman"/>
          <w:noProof/>
          <w:color w:val="000000" w:themeColor="text1"/>
          <w:spacing w:val="-6"/>
          <w:lang w:val="sk-SK"/>
        </w:rPr>
      </w:pPr>
      <w:r w:rsidRPr="00326E55">
        <w:rPr>
          <w:rFonts w:ascii="Times New Roman" w:hAnsi="Times New Roman" w:cs="Times New Roman"/>
          <w:noProof/>
          <w:spacing w:val="-6"/>
          <w:lang w:val="sk-SK"/>
        </w:rPr>
        <w:t>Cieľom tohto opatrenia je posilniť viacjazyčné zručnosti, zručnosti</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oblasti STEM, digitálne</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inovačné zručnosti na všetkých úrovniach škôl. Opatrenie pozostáva</w:t>
      </w:r>
      <w:r w:rsidR="00326E55" w:rsidRPr="00326E55">
        <w:rPr>
          <w:rFonts w:ascii="Times New Roman" w:hAnsi="Times New Roman" w:cs="Times New Roman"/>
          <w:noProof/>
          <w:spacing w:val="-6"/>
          <w:lang w:val="sk-SK"/>
        </w:rPr>
        <w:t xml:space="preserve"> z </w:t>
      </w:r>
      <w:r w:rsidRPr="00326E55">
        <w:rPr>
          <w:rFonts w:ascii="Times New Roman" w:eastAsia="Times New Roman" w:hAnsi="Times New Roman" w:cs="Times New Roman"/>
          <w:noProof/>
          <w:color w:val="000000" w:themeColor="text1"/>
          <w:spacing w:val="-6"/>
          <w:lang w:val="sk-SK"/>
        </w:rPr>
        <w:t>aktivácie interdisciplinárnych usmerňovacích projektov STEM</w:t>
      </w:r>
      <w:r w:rsidR="00326E55" w:rsidRPr="00326E55">
        <w:rPr>
          <w:rFonts w:ascii="Times New Roman" w:eastAsia="Times New Roman" w:hAnsi="Times New Roman" w:cs="Times New Roman"/>
          <w:noProof/>
          <w:color w:val="000000" w:themeColor="text1"/>
          <w:spacing w:val="-6"/>
          <w:lang w:val="sk-SK"/>
        </w:rPr>
        <w:t xml:space="preserve"> v </w:t>
      </w:r>
      <w:r w:rsidRPr="00326E55">
        <w:rPr>
          <w:rFonts w:ascii="Times New Roman" w:eastAsia="Times New Roman" w:hAnsi="Times New Roman" w:cs="Times New Roman"/>
          <w:noProof/>
          <w:color w:val="000000" w:themeColor="text1"/>
          <w:spacing w:val="-6"/>
          <w:lang w:val="sk-SK"/>
        </w:rPr>
        <w:t>školách</w:t>
      </w:r>
      <w:r w:rsidR="00326E55" w:rsidRPr="00326E55">
        <w:rPr>
          <w:rFonts w:ascii="Times New Roman" w:eastAsia="Times New Roman" w:hAnsi="Times New Roman" w:cs="Times New Roman"/>
          <w:noProof/>
          <w:color w:val="000000" w:themeColor="text1"/>
          <w:spacing w:val="-6"/>
          <w:lang w:val="sk-SK"/>
        </w:rPr>
        <w:t xml:space="preserve"> a </w:t>
      </w:r>
      <w:r w:rsidRPr="00326E55">
        <w:rPr>
          <w:rFonts w:ascii="Times New Roman" w:eastAsia="Times New Roman" w:hAnsi="Times New Roman" w:cs="Times New Roman"/>
          <w:noProof/>
          <w:color w:val="000000" w:themeColor="text1"/>
          <w:spacing w:val="-6"/>
          <w:lang w:val="sk-SK"/>
        </w:rPr>
        <w:t>rozšírenia programu Erasmus+</w:t>
      </w:r>
      <w:r w:rsidR="00326E55" w:rsidRPr="00326E55">
        <w:rPr>
          <w:rFonts w:ascii="Times New Roman" w:eastAsia="Times New Roman" w:hAnsi="Times New Roman" w:cs="Times New Roman"/>
          <w:noProof/>
          <w:color w:val="000000" w:themeColor="text1"/>
          <w:spacing w:val="-6"/>
          <w:lang w:val="sk-SK"/>
        </w:rPr>
        <w:t>.</w:t>
      </w:r>
    </w:p>
    <w:p w14:paraId="5DFF145D" w14:textId="7384B198" w:rsidR="00BF03AA" w:rsidRPr="00326E55" w:rsidRDefault="00FB452D">
      <w:pPr>
        <w:pStyle w:val="P68B1DB1-Normal5"/>
        <w:spacing w:before="120" w:after="120"/>
        <w:jc w:val="both"/>
        <w:rPr>
          <w:noProof/>
          <w:spacing w:val="-6"/>
          <w:lang w:val="sk-SK"/>
        </w:rPr>
      </w:pPr>
      <w:r w:rsidRPr="00326E55">
        <w:rPr>
          <w:noProof/>
          <w:spacing w:val="-6"/>
          <w:lang w:val="sk-SK"/>
        </w:rPr>
        <w:t>Investícia 3.2: Škola 4.0: inovačné školy, elektroinštalácie, nové triedy</w:t>
      </w:r>
      <w:r w:rsidR="00326E55" w:rsidRPr="00326E55">
        <w:rPr>
          <w:noProof/>
          <w:spacing w:val="-6"/>
          <w:lang w:val="sk-SK"/>
        </w:rPr>
        <w:t xml:space="preserve"> a </w:t>
      </w:r>
      <w:r w:rsidRPr="00326E55">
        <w:rPr>
          <w:noProof/>
          <w:spacing w:val="-6"/>
          <w:lang w:val="sk-SK"/>
        </w:rPr>
        <w:t>semináre</w:t>
      </w:r>
    </w:p>
    <w:p w14:paraId="1DBD0C21" w14:textId="7BF8CDA4"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transformovať školské zariadenia tak, aby umožňovali digitálne vzdelávanie. Toto opatrenie spočíva</w:t>
      </w:r>
      <w:r w:rsidR="00326E55" w:rsidRPr="00326E55">
        <w:rPr>
          <w:noProof/>
          <w:spacing w:val="-6"/>
          <w:lang w:val="sk-SK"/>
        </w:rPr>
        <w:t xml:space="preserve"> v </w:t>
      </w:r>
      <w:r w:rsidRPr="00326E55">
        <w:rPr>
          <w:noProof/>
          <w:spacing w:val="-6"/>
          <w:lang w:val="sk-SK"/>
        </w:rPr>
        <w:t>vybavení aspoň 8000 základných</w:t>
      </w:r>
      <w:r w:rsidR="00326E55" w:rsidRPr="00326E55">
        <w:rPr>
          <w:noProof/>
          <w:spacing w:val="-6"/>
          <w:lang w:val="sk-SK"/>
        </w:rPr>
        <w:t xml:space="preserve"> a </w:t>
      </w:r>
      <w:r w:rsidRPr="00326E55">
        <w:rPr>
          <w:noProof/>
          <w:spacing w:val="-6"/>
          <w:lang w:val="sk-SK"/>
        </w:rPr>
        <w:t>stredných škôl digitálnymi nástrojmi, ktoré pokrývajú aspoň 100000 tried.</w:t>
      </w:r>
    </w:p>
    <w:p w14:paraId="78870761" w14:textId="035551FE" w:rsidR="00BF03AA" w:rsidRPr="00326E55" w:rsidRDefault="00FB452D">
      <w:pPr>
        <w:pStyle w:val="P68B1DB1-Normal5"/>
        <w:spacing w:before="120" w:after="120"/>
        <w:jc w:val="both"/>
        <w:rPr>
          <w:noProof/>
          <w:spacing w:val="-6"/>
          <w:lang w:val="sk-SK"/>
        </w:rPr>
      </w:pPr>
      <w:r w:rsidRPr="00326E55">
        <w:rPr>
          <w:noProof/>
          <w:spacing w:val="-6"/>
          <w:lang w:val="sk-SK"/>
        </w:rPr>
        <w:t xml:space="preserve">Investícia 3.3: </w:t>
      </w:r>
      <w:r w:rsidRPr="00326E55">
        <w:rPr>
          <w:noProof/>
          <w:spacing w:val="-6"/>
          <w:lang w:val="sk-SK"/>
        </w:rPr>
        <w:t>Bezpečnosť školských budov</w:t>
      </w:r>
      <w:r w:rsidR="00326E55" w:rsidRPr="00326E55">
        <w:rPr>
          <w:noProof/>
          <w:spacing w:val="-6"/>
          <w:lang w:val="sk-SK"/>
        </w:rPr>
        <w:t xml:space="preserve"> a </w:t>
      </w:r>
      <w:r w:rsidRPr="00326E55">
        <w:rPr>
          <w:noProof/>
          <w:spacing w:val="-6"/>
          <w:lang w:val="sk-SK"/>
        </w:rPr>
        <w:t>plán štrukturálnej obnovy</w:t>
      </w:r>
    </w:p>
    <w:p w14:paraId="166D3BBF" w14:textId="799F8E85" w:rsidR="00BF03AA" w:rsidRPr="00326E55" w:rsidRDefault="00FB452D">
      <w:pPr>
        <w:pStyle w:val="P68B1DB1-Normal7"/>
        <w:spacing w:before="120" w:after="120"/>
        <w:jc w:val="both"/>
        <w:rPr>
          <w:noProof/>
          <w:spacing w:val="-6"/>
          <w:lang w:val="sk-SK"/>
        </w:rPr>
      </w:pPr>
      <w:r w:rsidRPr="00326E55">
        <w:rPr>
          <w:noProof/>
          <w:spacing w:val="-6"/>
          <w:lang w:val="sk-SK"/>
        </w:rPr>
        <w:t>Cieľom opatrenia je zvýšiť bezpečnosť</w:t>
      </w:r>
      <w:r w:rsidR="00326E55" w:rsidRPr="00326E55">
        <w:rPr>
          <w:noProof/>
          <w:spacing w:val="-6"/>
          <w:lang w:val="sk-SK"/>
        </w:rPr>
        <w:t xml:space="preserve"> a </w:t>
      </w:r>
      <w:r w:rsidRPr="00326E55">
        <w:rPr>
          <w:noProof/>
          <w:spacing w:val="-6"/>
          <w:lang w:val="sk-SK"/>
        </w:rPr>
        <w:t>energetickú hospodárnosť školských budov. Toto opatrenie pozostáva</w:t>
      </w:r>
      <w:r w:rsidR="00326E55" w:rsidRPr="00326E55">
        <w:rPr>
          <w:noProof/>
          <w:spacing w:val="-6"/>
          <w:lang w:val="sk-SK"/>
        </w:rPr>
        <w:t xml:space="preserve"> z </w:t>
      </w:r>
      <w:r w:rsidRPr="00326E55">
        <w:rPr>
          <w:noProof/>
          <w:spacing w:val="-6"/>
          <w:lang w:val="sk-SK"/>
        </w:rPr>
        <w:t>renovačných</w:t>
      </w:r>
      <w:r w:rsidR="00326E55" w:rsidRPr="00326E55">
        <w:rPr>
          <w:noProof/>
          <w:spacing w:val="-6"/>
          <w:lang w:val="sk-SK"/>
        </w:rPr>
        <w:t xml:space="preserve"> a </w:t>
      </w:r>
      <w:r w:rsidRPr="00326E55">
        <w:rPr>
          <w:noProof/>
          <w:spacing w:val="-6"/>
          <w:lang w:val="sk-SK"/>
        </w:rPr>
        <w:t>rekonštrukčných prác na školských budovách.</w:t>
      </w:r>
    </w:p>
    <w:p w14:paraId="646F21C3" w14:textId="144B824B" w:rsidR="00BF03AA" w:rsidRPr="00326E55" w:rsidRDefault="00FB452D">
      <w:pPr>
        <w:pStyle w:val="P68B1DB1-Normal5"/>
        <w:spacing w:before="120" w:after="120"/>
        <w:jc w:val="both"/>
        <w:rPr>
          <w:noProof/>
          <w:spacing w:val="-6"/>
          <w:lang w:val="sk-SK"/>
        </w:rPr>
      </w:pPr>
      <w:r w:rsidRPr="00326E55">
        <w:rPr>
          <w:noProof/>
          <w:spacing w:val="-6"/>
          <w:lang w:val="sk-SK"/>
        </w:rPr>
        <w:t>Investícia 3.4: Výučba</w:t>
      </w:r>
      <w:r w:rsidR="00326E55" w:rsidRPr="00326E55">
        <w:rPr>
          <w:noProof/>
          <w:spacing w:val="-6"/>
          <w:lang w:val="sk-SK"/>
        </w:rPr>
        <w:t xml:space="preserve"> a </w:t>
      </w:r>
      <w:r w:rsidRPr="00326E55">
        <w:rPr>
          <w:noProof/>
          <w:spacing w:val="-6"/>
          <w:lang w:val="sk-SK"/>
        </w:rPr>
        <w:t>pokročilé</w:t>
      </w:r>
      <w:r w:rsidRPr="00326E55">
        <w:rPr>
          <w:noProof/>
          <w:spacing w:val="-6"/>
          <w:lang w:val="sk-SK"/>
        </w:rPr>
        <w:t xml:space="preserve"> univerzitné zručnosti</w:t>
      </w:r>
    </w:p>
    <w:p w14:paraId="166F13E1" w14:textId="63175872"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kvalifikovať</w:t>
      </w:r>
      <w:r w:rsidR="00326E55" w:rsidRPr="00326E55">
        <w:rPr>
          <w:noProof/>
          <w:spacing w:val="-6"/>
          <w:lang w:val="sk-SK"/>
        </w:rPr>
        <w:t xml:space="preserve"> a </w:t>
      </w:r>
      <w:r w:rsidRPr="00326E55">
        <w:rPr>
          <w:noProof/>
          <w:spacing w:val="-6"/>
          <w:lang w:val="sk-SK"/>
        </w:rPr>
        <w:t>inovovať univerzitné programy vrátane doktorandského štúdia, posilniť digitálne zručnosti</w:t>
      </w:r>
      <w:r w:rsidR="00326E55" w:rsidRPr="00326E55">
        <w:rPr>
          <w:noProof/>
          <w:spacing w:val="-6"/>
          <w:lang w:val="sk-SK"/>
        </w:rPr>
        <w:t xml:space="preserve"> a </w:t>
      </w:r>
      <w:r w:rsidRPr="00326E55">
        <w:rPr>
          <w:noProof/>
          <w:spacing w:val="-6"/>
          <w:lang w:val="sk-SK"/>
        </w:rPr>
        <w:t>posilniť globálnu angažovanosť vysokoškolského vzdelávania. Investícia spočíva</w:t>
      </w:r>
      <w:r w:rsidR="00326E55" w:rsidRPr="00326E55">
        <w:rPr>
          <w:noProof/>
          <w:spacing w:val="-6"/>
          <w:lang w:val="sk-SK"/>
        </w:rPr>
        <w:t xml:space="preserve"> v </w:t>
      </w:r>
      <w:r w:rsidRPr="00326E55">
        <w:rPr>
          <w:noProof/>
          <w:spacing w:val="-6"/>
          <w:lang w:val="sk-SK"/>
        </w:rPr>
        <w:t>udeľovaní doktorand</w:t>
      </w:r>
      <w:r w:rsidRPr="00326E55">
        <w:rPr>
          <w:noProof/>
          <w:spacing w:val="-6"/>
          <w:lang w:val="sk-SK"/>
        </w:rPr>
        <w:t>ských štipendií, vytváraní sietí inštitúcií vysokoškolského vzdelávania, zriaďovaní centier digitálneho vzdelávania</w:t>
      </w:r>
      <w:r w:rsidR="00326E55" w:rsidRPr="00326E55">
        <w:rPr>
          <w:noProof/>
          <w:spacing w:val="-6"/>
          <w:lang w:val="sk-SK"/>
        </w:rPr>
        <w:t xml:space="preserve"> a </w:t>
      </w:r>
      <w:r w:rsidRPr="00326E55">
        <w:rPr>
          <w:noProof/>
          <w:spacing w:val="-6"/>
          <w:lang w:val="sk-SK"/>
        </w:rPr>
        <w:t>posilňovaní medzinárodnej spolupráce</w:t>
      </w:r>
      <w:r w:rsidR="00326E55" w:rsidRPr="00326E55">
        <w:rPr>
          <w:noProof/>
          <w:spacing w:val="-6"/>
          <w:lang w:val="sk-SK"/>
        </w:rPr>
        <w:t xml:space="preserve"> a </w:t>
      </w:r>
      <w:r w:rsidRPr="00326E55">
        <w:rPr>
          <w:noProof/>
          <w:spacing w:val="-6"/>
          <w:lang w:val="sk-SK"/>
        </w:rPr>
        <w:t>projektov.</w:t>
      </w:r>
    </w:p>
    <w:p w14:paraId="07553583" w14:textId="77777777" w:rsidR="00326E55" w:rsidRPr="00326E55" w:rsidRDefault="00FB452D">
      <w:pPr>
        <w:pStyle w:val="P68B1DB1-Normal5"/>
        <w:spacing w:before="120" w:after="120"/>
        <w:jc w:val="both"/>
        <w:rPr>
          <w:noProof/>
          <w:spacing w:val="-6"/>
          <w:lang w:val="sk-SK"/>
        </w:rPr>
      </w:pPr>
      <w:r w:rsidRPr="00326E55">
        <w:rPr>
          <w:noProof/>
          <w:spacing w:val="-6"/>
          <w:lang w:val="sk-SK"/>
        </w:rPr>
        <w:t>Reforma 4.1: Ph.D. Reforma programov</w:t>
      </w:r>
    </w:p>
    <w:p w14:paraId="29D47C5F" w14:textId="1C1FB451" w:rsidR="00BF03AA" w:rsidRPr="00326E55" w:rsidRDefault="00FB452D">
      <w:pPr>
        <w:pStyle w:val="P68B1DB1-Normal7"/>
        <w:spacing w:before="120" w:after="120"/>
        <w:jc w:val="both"/>
        <w:rPr>
          <w:noProof/>
          <w:spacing w:val="-6"/>
          <w:lang w:val="sk-SK"/>
        </w:rPr>
      </w:pPr>
      <w:r w:rsidRPr="00326E55">
        <w:rPr>
          <w:noProof/>
          <w:spacing w:val="-6"/>
          <w:lang w:val="sk-SK"/>
        </w:rPr>
        <w:t>Cieľom reformy je aktualizovať nariadenie</w:t>
      </w:r>
      <w:r w:rsidR="00326E55" w:rsidRPr="00326E55">
        <w:rPr>
          <w:noProof/>
          <w:spacing w:val="-6"/>
          <w:lang w:val="sk-SK"/>
        </w:rPr>
        <w:t xml:space="preserve"> o </w:t>
      </w:r>
      <w:r w:rsidRPr="00326E55">
        <w:rPr>
          <w:noProof/>
          <w:spacing w:val="-6"/>
          <w:lang w:val="sk-SK"/>
        </w:rPr>
        <w:t>doktora</w:t>
      </w:r>
      <w:r w:rsidRPr="00326E55">
        <w:rPr>
          <w:noProof/>
          <w:spacing w:val="-6"/>
          <w:lang w:val="sk-SK"/>
        </w:rPr>
        <w:t>ndských programoch, zjednodušiť postupy zapojenia spoločností, výskumných centier do doktorandských programov</w:t>
      </w:r>
      <w:r w:rsidR="00326E55" w:rsidRPr="00326E55">
        <w:rPr>
          <w:noProof/>
          <w:spacing w:val="-6"/>
          <w:lang w:val="sk-SK"/>
        </w:rPr>
        <w:t xml:space="preserve"> a </w:t>
      </w:r>
      <w:r w:rsidRPr="00326E55">
        <w:rPr>
          <w:noProof/>
          <w:spacing w:val="-6"/>
          <w:lang w:val="sk-SK"/>
        </w:rPr>
        <w:t>posilniť aplikovaný výskum. Navrhovaná reforma zahŕňa všetky investície súvisiace</w:t>
      </w:r>
      <w:r w:rsidR="00326E55" w:rsidRPr="00326E55">
        <w:rPr>
          <w:noProof/>
          <w:spacing w:val="-6"/>
          <w:lang w:val="sk-SK"/>
        </w:rPr>
        <w:t xml:space="preserve"> s </w:t>
      </w:r>
      <w:r w:rsidRPr="00326E55">
        <w:rPr>
          <w:noProof/>
          <w:spacing w:val="-6"/>
          <w:lang w:val="sk-SK"/>
        </w:rPr>
        <w:t>doktorandskými programami</w:t>
      </w:r>
      <w:r w:rsidR="00326E55" w:rsidRPr="00326E55">
        <w:rPr>
          <w:noProof/>
          <w:spacing w:val="-6"/>
          <w:lang w:val="sk-SK"/>
        </w:rPr>
        <w:t xml:space="preserve"> v </w:t>
      </w:r>
      <w:r w:rsidRPr="00326E55">
        <w:rPr>
          <w:noProof/>
          <w:spacing w:val="-6"/>
          <w:lang w:val="sk-SK"/>
        </w:rPr>
        <w:t>cieľovej oblasti „Vzdelávanie</w:t>
      </w:r>
      <w:r w:rsidR="00326E55" w:rsidRPr="00326E55">
        <w:rPr>
          <w:noProof/>
          <w:spacing w:val="-6"/>
          <w:lang w:val="sk-SK"/>
        </w:rPr>
        <w:t xml:space="preserve"> a </w:t>
      </w:r>
      <w:r w:rsidRPr="00326E55">
        <w:rPr>
          <w:noProof/>
          <w:spacing w:val="-6"/>
          <w:lang w:val="sk-SK"/>
        </w:rPr>
        <w:t>výskum“.</w:t>
      </w:r>
    </w:p>
    <w:p w14:paraId="75C78F1D" w14:textId="77777777" w:rsidR="00326E55" w:rsidRPr="00326E55" w:rsidRDefault="00FB452D">
      <w:pPr>
        <w:pStyle w:val="P68B1DB1-Normal5"/>
        <w:spacing w:before="120" w:after="120"/>
        <w:jc w:val="both"/>
        <w:rPr>
          <w:noProof/>
          <w:spacing w:val="-6"/>
          <w:lang w:val="sk-SK"/>
        </w:rPr>
      </w:pPr>
      <w:r w:rsidRPr="00326E55">
        <w:rPr>
          <w:noProof/>
          <w:spacing w:val="-6"/>
          <w:lang w:val="sk-SK"/>
        </w:rPr>
        <w:t>Investícia 4.1: Rozšírenie počtu</w:t>
      </w:r>
      <w:r w:rsidR="00326E55" w:rsidRPr="00326E55">
        <w:rPr>
          <w:noProof/>
          <w:spacing w:val="-6"/>
          <w:lang w:val="sk-SK"/>
        </w:rPr>
        <w:t xml:space="preserve"> a </w:t>
      </w:r>
      <w:r w:rsidRPr="00326E55">
        <w:rPr>
          <w:noProof/>
          <w:spacing w:val="-6"/>
          <w:lang w:val="sk-SK"/>
        </w:rPr>
        <w:t>kariérnych príležitostí doktorandského štúdia (výskum, verejná správa</w:t>
      </w:r>
      <w:r w:rsidR="00326E55" w:rsidRPr="00326E55">
        <w:rPr>
          <w:noProof/>
          <w:spacing w:val="-6"/>
          <w:lang w:val="sk-SK"/>
        </w:rPr>
        <w:t xml:space="preserve"> a </w:t>
      </w:r>
      <w:r w:rsidRPr="00326E55">
        <w:rPr>
          <w:noProof/>
          <w:spacing w:val="-6"/>
          <w:lang w:val="sk-SK"/>
        </w:rPr>
        <w:t>kultúrne dedičstvo)</w:t>
      </w:r>
    </w:p>
    <w:p w14:paraId="67B6AA15" w14:textId="6AF28AE6" w:rsidR="00BF03AA" w:rsidRPr="00326E55" w:rsidRDefault="00FB452D">
      <w:pPr>
        <w:spacing w:before="120"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Cieľom opatrenia je zvýšiť objem ľudského kapitálu určeného na činnosti zamerané na výskum, verejnú správu</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kultúrne de</w:t>
      </w:r>
      <w:r w:rsidRPr="00326E55">
        <w:rPr>
          <w:rFonts w:ascii="Times New Roman" w:hAnsi="Times New Roman" w:cs="Times New Roman"/>
          <w:noProof/>
          <w:spacing w:val="-6"/>
          <w:lang w:val="sk-SK"/>
        </w:rPr>
        <w:t>dičstvo.</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investície sa predpokladá, že univerzity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inštitúcie AFAM poskytnú študentom aspoň</w:t>
      </w:r>
      <w:r w:rsidRPr="00326E55">
        <w:rPr>
          <w:rFonts w:ascii="Times New Roman" w:hAnsi="Times New Roman"/>
          <w:noProof/>
          <w:color w:val="006100"/>
          <w:spacing w:val="-6"/>
          <w:sz w:val="20"/>
          <w:szCs w:val="20"/>
          <w:lang w:val="sk-SK"/>
        </w:rPr>
        <w:t xml:space="preserve"> </w:t>
      </w:r>
      <w:r w:rsidRPr="00326E55">
        <w:rPr>
          <w:rFonts w:ascii="Times New Roman" w:hAnsi="Times New Roman" w:cs="Times New Roman"/>
          <w:noProof/>
          <w:spacing w:val="-6"/>
          <w:lang w:val="sk-SK"/>
        </w:rPr>
        <w:t>3600 všeobecných doktorandských štipendií, najmenej</w:t>
      </w:r>
      <w:r w:rsidRPr="00326E55">
        <w:rPr>
          <w:rFonts w:ascii="Times New Roman" w:hAnsi="Times New Roman"/>
          <w:noProof/>
          <w:color w:val="006100"/>
          <w:spacing w:val="-6"/>
          <w:sz w:val="20"/>
          <w:szCs w:val="20"/>
          <w:lang w:val="sk-SK"/>
        </w:rPr>
        <w:t xml:space="preserve"> </w:t>
      </w:r>
      <w:r w:rsidRPr="00326E55">
        <w:rPr>
          <w:rFonts w:ascii="Times New Roman" w:hAnsi="Times New Roman" w:cs="Times New Roman"/>
          <w:noProof/>
          <w:spacing w:val="-6"/>
          <w:lang w:val="sk-SK"/>
        </w:rPr>
        <w:t>3000 doktorandských štipendií</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oblasti verejnej správy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 xml:space="preserve">najmenej 600 nových doktorandských štipendií </w:t>
      </w:r>
      <w:r w:rsidRPr="00326E55">
        <w:rPr>
          <w:rFonts w:ascii="Times New Roman" w:hAnsi="Times New Roman" w:cs="Times New Roman"/>
          <w:noProof/>
          <w:spacing w:val="-6"/>
          <w:lang w:val="sk-SK"/>
        </w:rPr>
        <w:t>venovaných kultúrnemu dedičstvu.</w:t>
      </w:r>
    </w:p>
    <w:p w14:paraId="303E3A6B" w14:textId="77777777" w:rsidR="00BF03AA" w:rsidRPr="00326E55" w:rsidRDefault="00BF03AA">
      <w:pPr>
        <w:spacing w:before="120" w:after="120"/>
        <w:jc w:val="both"/>
        <w:rPr>
          <w:rFonts w:ascii="Times New Roman" w:hAnsi="Times New Roman" w:cs="Times New Roman"/>
          <w:noProof/>
          <w:spacing w:val="-6"/>
          <w:lang w:val="sk-SK"/>
        </w:rPr>
        <w:sectPr w:rsidR="00BF03AA" w:rsidRPr="00326E55" w:rsidSect="005F11B9">
          <w:headerReference w:type="default" r:id="rId176"/>
          <w:footerReference w:type="default" r:id="rId177"/>
          <w:pgSz w:w="11906" w:h="16838"/>
          <w:pgMar w:top="1440" w:right="1440" w:bottom="1440" w:left="1440" w:header="708" w:footer="708" w:gutter="0"/>
          <w:cols w:space="708"/>
          <w:docGrid w:linePitch="360"/>
        </w:sectPr>
      </w:pPr>
    </w:p>
    <w:p w14:paraId="5E53E3DA" w14:textId="70E1A5EA" w:rsidR="00BF03AA" w:rsidRPr="00326E55" w:rsidRDefault="00FB452D">
      <w:pPr>
        <w:pStyle w:val="P68B1DB1-Heading39"/>
        <w:ind w:left="850" w:hanging="850"/>
        <w:rPr>
          <w:b/>
          <w:i/>
          <w:noProof/>
          <w:spacing w:val="-6"/>
          <w:u w:val="single"/>
          <w:lang w:val="sk-SK"/>
        </w:rPr>
      </w:pPr>
      <w:r w:rsidRPr="00326E55">
        <w:rPr>
          <w:b/>
          <w:noProof/>
          <w:spacing w:val="-6"/>
          <w:u w:val="single"/>
          <w:lang w:val="sk-SK"/>
        </w:rPr>
        <w:t xml:space="preserve">J.2.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83"/>
        <w:gridCol w:w="998"/>
        <w:gridCol w:w="1736"/>
        <w:gridCol w:w="1560"/>
        <w:gridCol w:w="1588"/>
        <w:gridCol w:w="1052"/>
        <w:gridCol w:w="955"/>
        <w:gridCol w:w="825"/>
        <w:gridCol w:w="630"/>
        <w:gridCol w:w="2550"/>
      </w:tblGrid>
      <w:tr w:rsidR="00BF03AA" w:rsidRPr="00326E55" w14:paraId="248C2A94" w14:textId="77777777">
        <w:trPr>
          <w:trHeight w:val="300"/>
          <w:tblHeader/>
        </w:trPr>
        <w:tc>
          <w:tcPr>
            <w:tcW w:w="1101" w:type="dxa"/>
            <w:vMerge w:val="restart"/>
            <w:shd w:val="clear" w:color="auto" w:fill="BDD7EE"/>
            <w:vAlign w:val="center"/>
            <w:hideMark/>
          </w:tcPr>
          <w:p w14:paraId="5358F8E3"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883" w:type="dxa"/>
            <w:vMerge w:val="restart"/>
            <w:shd w:val="clear" w:color="auto" w:fill="BDD7EE"/>
            <w:vAlign w:val="center"/>
            <w:hideMark/>
          </w:tcPr>
          <w:p w14:paraId="1750FC6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998" w:type="dxa"/>
            <w:vMerge w:val="restart"/>
            <w:shd w:val="clear" w:color="auto" w:fill="BDD7EE"/>
            <w:vAlign w:val="center"/>
            <w:hideMark/>
          </w:tcPr>
          <w:p w14:paraId="18EEB58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w:t>
            </w:r>
            <w:r w:rsidRPr="00326E55">
              <w:rPr>
                <w:rFonts w:ascii="Times New Roman" w:hAnsi="Times New Roman"/>
                <w:noProof/>
                <w:spacing w:val="-6"/>
                <w:lang w:val="sk-SK"/>
              </w:rPr>
              <w:t>nik/cieľ</w:t>
            </w:r>
          </w:p>
        </w:tc>
        <w:tc>
          <w:tcPr>
            <w:tcW w:w="1736" w:type="dxa"/>
            <w:vMerge w:val="restart"/>
            <w:shd w:val="clear" w:color="auto" w:fill="BDD7EE"/>
            <w:vAlign w:val="center"/>
            <w:hideMark/>
          </w:tcPr>
          <w:p w14:paraId="18B70743"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560" w:type="dxa"/>
            <w:vMerge w:val="restart"/>
            <w:shd w:val="clear" w:color="auto" w:fill="BDD7EE"/>
            <w:vAlign w:val="center"/>
            <w:hideMark/>
          </w:tcPr>
          <w:p w14:paraId="409E5B8C"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595" w:type="dxa"/>
            <w:gridSpan w:val="3"/>
            <w:shd w:val="clear" w:color="auto" w:fill="BDD7EE"/>
            <w:vAlign w:val="center"/>
            <w:hideMark/>
          </w:tcPr>
          <w:p w14:paraId="162AEB45"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455" w:type="dxa"/>
            <w:gridSpan w:val="2"/>
            <w:shd w:val="clear" w:color="auto" w:fill="BDD7EE"/>
            <w:vAlign w:val="center"/>
            <w:hideMark/>
          </w:tcPr>
          <w:p w14:paraId="07906EA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2550" w:type="dxa"/>
            <w:vMerge w:val="restart"/>
            <w:shd w:val="clear" w:color="auto" w:fill="BDD7EE"/>
            <w:vAlign w:val="center"/>
            <w:hideMark/>
          </w:tcPr>
          <w:p w14:paraId="4AF14260" w14:textId="6D9FEAE1"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38EDA02F" w14:textId="77777777">
        <w:trPr>
          <w:trHeight w:val="300"/>
          <w:tblHeader/>
        </w:trPr>
        <w:tc>
          <w:tcPr>
            <w:tcW w:w="1101" w:type="dxa"/>
            <w:vMerge/>
            <w:vAlign w:val="center"/>
            <w:hideMark/>
          </w:tcPr>
          <w:p w14:paraId="304A311B" w14:textId="77777777" w:rsidR="00BF03AA" w:rsidRPr="00326E55" w:rsidRDefault="00BF03AA">
            <w:pPr>
              <w:jc w:val="center"/>
              <w:rPr>
                <w:rFonts w:ascii="Times New Roman" w:hAnsi="Times New Roman"/>
                <w:b/>
                <w:noProof/>
                <w:spacing w:val="-6"/>
                <w:sz w:val="20"/>
                <w:szCs w:val="20"/>
                <w:lang w:val="sk-SK"/>
              </w:rPr>
            </w:pPr>
          </w:p>
        </w:tc>
        <w:tc>
          <w:tcPr>
            <w:tcW w:w="1883" w:type="dxa"/>
            <w:vMerge/>
            <w:vAlign w:val="center"/>
            <w:hideMark/>
          </w:tcPr>
          <w:p w14:paraId="294A9B46" w14:textId="77777777" w:rsidR="00BF03AA" w:rsidRPr="00326E55" w:rsidRDefault="00BF03AA">
            <w:pPr>
              <w:jc w:val="center"/>
              <w:rPr>
                <w:rFonts w:ascii="Times New Roman" w:hAnsi="Times New Roman"/>
                <w:b/>
                <w:noProof/>
                <w:spacing w:val="-6"/>
                <w:sz w:val="20"/>
                <w:szCs w:val="20"/>
                <w:lang w:val="sk-SK"/>
              </w:rPr>
            </w:pPr>
          </w:p>
        </w:tc>
        <w:tc>
          <w:tcPr>
            <w:tcW w:w="998" w:type="dxa"/>
            <w:vMerge/>
            <w:vAlign w:val="center"/>
            <w:hideMark/>
          </w:tcPr>
          <w:p w14:paraId="2E338454" w14:textId="77777777" w:rsidR="00BF03AA" w:rsidRPr="00326E55" w:rsidRDefault="00BF03AA">
            <w:pPr>
              <w:jc w:val="center"/>
              <w:rPr>
                <w:rFonts w:ascii="Times New Roman" w:hAnsi="Times New Roman"/>
                <w:b/>
                <w:noProof/>
                <w:spacing w:val="-6"/>
                <w:sz w:val="20"/>
                <w:szCs w:val="20"/>
                <w:lang w:val="sk-SK"/>
              </w:rPr>
            </w:pPr>
          </w:p>
        </w:tc>
        <w:tc>
          <w:tcPr>
            <w:tcW w:w="1736" w:type="dxa"/>
            <w:vMerge/>
            <w:vAlign w:val="center"/>
            <w:hideMark/>
          </w:tcPr>
          <w:p w14:paraId="09685154" w14:textId="77777777" w:rsidR="00BF03AA" w:rsidRPr="00326E55" w:rsidRDefault="00BF03AA">
            <w:pPr>
              <w:jc w:val="center"/>
              <w:rPr>
                <w:rFonts w:ascii="Times New Roman" w:hAnsi="Times New Roman"/>
                <w:b/>
                <w:noProof/>
                <w:spacing w:val="-6"/>
                <w:sz w:val="20"/>
                <w:szCs w:val="20"/>
                <w:lang w:val="sk-SK"/>
              </w:rPr>
            </w:pPr>
          </w:p>
        </w:tc>
        <w:tc>
          <w:tcPr>
            <w:tcW w:w="1560" w:type="dxa"/>
            <w:vMerge/>
            <w:vAlign w:val="center"/>
            <w:hideMark/>
          </w:tcPr>
          <w:p w14:paraId="0204A995" w14:textId="77777777" w:rsidR="00BF03AA" w:rsidRPr="00326E55" w:rsidRDefault="00BF03AA">
            <w:pPr>
              <w:jc w:val="center"/>
              <w:rPr>
                <w:rFonts w:ascii="Times New Roman" w:hAnsi="Times New Roman"/>
                <w:b/>
                <w:noProof/>
                <w:spacing w:val="-6"/>
                <w:sz w:val="20"/>
                <w:szCs w:val="20"/>
                <w:lang w:val="sk-SK"/>
              </w:rPr>
            </w:pPr>
          </w:p>
        </w:tc>
        <w:tc>
          <w:tcPr>
            <w:tcW w:w="1588" w:type="dxa"/>
            <w:shd w:val="clear" w:color="auto" w:fill="BDD7EE"/>
            <w:vAlign w:val="center"/>
            <w:hideMark/>
          </w:tcPr>
          <w:p w14:paraId="07EA771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052" w:type="dxa"/>
            <w:shd w:val="clear" w:color="auto" w:fill="BDD7EE"/>
            <w:vAlign w:val="center"/>
            <w:hideMark/>
          </w:tcPr>
          <w:p w14:paraId="48E7B5E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955" w:type="dxa"/>
            <w:shd w:val="clear" w:color="auto" w:fill="BDD7EE"/>
            <w:vAlign w:val="center"/>
            <w:hideMark/>
          </w:tcPr>
          <w:p w14:paraId="7C394142"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825" w:type="dxa"/>
            <w:shd w:val="clear" w:color="auto" w:fill="BDD7EE"/>
            <w:vAlign w:val="center"/>
            <w:hideMark/>
          </w:tcPr>
          <w:p w14:paraId="3B896B4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630" w:type="dxa"/>
            <w:shd w:val="clear" w:color="auto" w:fill="BDD7EE"/>
            <w:vAlign w:val="center"/>
            <w:hideMark/>
          </w:tcPr>
          <w:p w14:paraId="21E6393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550" w:type="dxa"/>
            <w:vMerge/>
            <w:vAlign w:val="center"/>
            <w:hideMark/>
          </w:tcPr>
          <w:p w14:paraId="182E07CA" w14:textId="77777777" w:rsidR="00BF03AA" w:rsidRPr="00326E55" w:rsidRDefault="00BF03AA">
            <w:pPr>
              <w:rPr>
                <w:rFonts w:ascii="Times New Roman" w:hAnsi="Times New Roman"/>
                <w:b/>
                <w:noProof/>
                <w:spacing w:val="-6"/>
                <w:sz w:val="20"/>
                <w:szCs w:val="20"/>
                <w:lang w:val="sk-SK"/>
              </w:rPr>
            </w:pPr>
          </w:p>
        </w:tc>
      </w:tr>
      <w:tr w:rsidR="00BF03AA" w:rsidRPr="00326E55" w14:paraId="22F4824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26EFB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1</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C6DB4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1.5: Reforma </w:t>
            </w:r>
            <w:r w:rsidRPr="00326E55">
              <w:rPr>
                <w:rFonts w:ascii="Times New Roman" w:hAnsi="Times New Roman"/>
                <w:noProof/>
                <w:spacing w:val="-6"/>
                <w:lang w:val="sk-SK"/>
              </w:rPr>
              <w:t>univerzitných skupín; Reforma 1.6: Umožnenie reformy univerzitných titulov; Reforma 4.1: Ph.D. Reforma programov</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ED71B8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487AC9" w14:textId="71DBC37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reforiem systému terciárneho vzdelávania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zlepšiť výsledky vzdelávania (primárne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oblastiach: a) umožnenie vysokoškolských titulov; b) skupiny univerzitných titulov; C) reforma doktorandských programov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9B624F" w14:textId="1F31B1A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reforiem</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17631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42376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53A15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6242C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A9A06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7B0826" w14:textId="7F130F47"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 xml:space="preserve">Reformy zahŕňajú aspoň tieto kľúčové prvky: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I) iniciatívy na reformu skupín univerzitných titulov, ktorými sa zavedie vyšší stupeň flexibility</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 xml:space="preserve">cieľom uspokojiť vyvíjajúci sa dopyt po zručnostiach na trhu práce;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 xml:space="preserve">II) iniciatívy na reformu umožňujúceho </w:t>
            </w:r>
            <w:r w:rsidRPr="00326E55">
              <w:rPr>
                <w:rFonts w:ascii="Times New Roman" w:hAnsi="Times New Roman"/>
                <w:noProof/>
                <w:color w:val="006100"/>
                <w:spacing w:val="-6"/>
                <w:sz w:val="20"/>
                <w:lang w:val="sk-SK"/>
              </w:rPr>
              <w:t>vysokoškolské vzdelanie</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zjednodušiť</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urýchliť prístup</w:t>
            </w:r>
            <w:r w:rsidR="00326E55" w:rsidRPr="00326E55">
              <w:rPr>
                <w:rFonts w:ascii="Times New Roman" w:hAnsi="Times New Roman"/>
                <w:noProof/>
                <w:color w:val="006100"/>
                <w:spacing w:val="-6"/>
                <w:sz w:val="20"/>
                <w:lang w:val="sk-SK"/>
              </w:rPr>
              <w:t xml:space="preserve"> k </w:t>
            </w:r>
            <w:r w:rsidRPr="00326E55">
              <w:rPr>
                <w:rFonts w:ascii="Times New Roman" w:hAnsi="Times New Roman"/>
                <w:noProof/>
                <w:color w:val="006100"/>
                <w:spacing w:val="-6"/>
                <w:sz w:val="20"/>
                <w:lang w:val="sk-SK"/>
              </w:rPr>
              <w:t>povolaniam;</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III) iniciatívy na reformu programov PHD</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lepšie zapojiť firmy</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podporiť aplikovaný výskum;</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Opatrenia na reformu systému terciárneho odborného vzdelávania vrátane po</w:t>
            </w:r>
            <w:r w:rsidRPr="00326E55">
              <w:rPr>
                <w:rFonts w:ascii="Times New Roman" w:hAnsi="Times New Roman"/>
                <w:noProof/>
                <w:color w:val="006100"/>
                <w:spacing w:val="-6"/>
                <w:sz w:val="20"/>
                <w:lang w:val="sk-SK"/>
              </w:rPr>
              <w:t>silnenia prepojení</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možných zmien</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odbornými titulmi (lauree professionalizzanti)</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uspokojiť dopyt trhu práce po technických kompetenciách</w:t>
            </w:r>
          </w:p>
        </w:tc>
      </w:tr>
      <w:tr w:rsidR="00BF03AA" w:rsidRPr="00326E55" w14:paraId="4CEAB316"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5D98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E792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1.7: Štipendiá na prístup na univerzitu</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F9512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AC8C3" w14:textId="788E1C4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ministerských </w:t>
            </w:r>
            <w:r w:rsidRPr="00326E55">
              <w:rPr>
                <w:rFonts w:ascii="Times New Roman" w:hAnsi="Times New Roman"/>
                <w:noProof/>
                <w:spacing w:val="-6"/>
                <w:lang w:val="sk-SK"/>
              </w:rPr>
              <w:t>vyhlášok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reforme štipendií na zlepšenie prístupu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terciárnemu vzdelávaniu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4D640" w14:textId="37B4FD3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reformy</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C474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47CD6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9FDB5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AF245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115E2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556AB0" w14:textId="69ADD24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Ministerskými vyhláškami prijatými ministerstvom univerzít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reforme štipendií sa zlepší prístup talentovaných študentov so sociálno-ekonomickými ťažkosťami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terciárnemu vzdelávaniu, zvýši sa výška štipendií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počet príjemcov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2024. Títo študenti sú identifikovaní na základe ISEE – Indicatore della S</w:t>
            </w:r>
            <w:r w:rsidRPr="00326E55">
              <w:rPr>
                <w:rFonts w:ascii="Times New Roman" w:hAnsi="Times New Roman"/>
                <w:noProof/>
                <w:spacing w:val="-6"/>
                <w:lang w:val="sk-SK"/>
              </w:rPr>
              <w:t>ituazione Economica Equivalente.</w:t>
            </w:r>
          </w:p>
        </w:tc>
      </w:tr>
      <w:tr w:rsidR="00BF03AA" w:rsidRPr="00326E55" w14:paraId="6ABB7E21"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E521F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B54EBC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2.1: Nábor učiteľov</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E706F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0316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reformy učiteľského povolania.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7D9F16" w14:textId="1F07806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reformy</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4CFCC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89A2A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31A4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26E85B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0BDFB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937350" w14:textId="77CAD32F"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Revidovaný právny rámec</w:t>
            </w:r>
            <w:r w:rsidRPr="00326E55">
              <w:rPr>
                <w:rFonts w:ascii="Times New Roman" w:hAnsi="Times New Roman"/>
                <w:noProof/>
                <w:color w:val="006100"/>
                <w:spacing w:val="-6"/>
                <w:sz w:val="20"/>
                <w:lang w:val="sk-SK"/>
              </w:rPr>
              <w:t xml:space="preserve"> priťahuje, prijíma</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motivuje kvalitných učiteľov,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 xml:space="preserve">to najmä prostredníctvom: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 xml:space="preserve">I) zlepšenie systému prijímania zamestnancov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t xml:space="preserve"> </w:t>
            </w:r>
            <w:r w:rsidRPr="00326E55">
              <w:rPr>
                <w:rFonts w:ascii="Times New Roman" w:hAnsi="Times New Roman"/>
                <w:noProof/>
                <w:color w:val="006100"/>
                <w:spacing w:val="-6"/>
                <w:sz w:val="20"/>
                <w:lang w:val="sk-SK"/>
              </w:rPr>
              <w:t>II) zavedenie vyššej kvalifikácie vo výučbe</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získať prístup</w:t>
            </w:r>
            <w:r w:rsidR="00326E55" w:rsidRPr="00326E55">
              <w:rPr>
                <w:rFonts w:ascii="Times New Roman" w:hAnsi="Times New Roman"/>
                <w:noProof/>
                <w:color w:val="006100"/>
                <w:spacing w:val="-6"/>
                <w:sz w:val="20"/>
                <w:lang w:val="sk-SK"/>
              </w:rPr>
              <w:t xml:space="preserve"> k </w:t>
            </w:r>
            <w:r w:rsidRPr="00326E55">
              <w:rPr>
                <w:rFonts w:ascii="Times New Roman" w:hAnsi="Times New Roman"/>
                <w:noProof/>
                <w:color w:val="006100"/>
                <w:spacing w:val="-6"/>
                <w:sz w:val="20"/>
                <w:lang w:val="sk-SK"/>
              </w:rPr>
              <w:t xml:space="preserve">povolaniu na strednej škole;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III) obmedzenie nadmernej</w:t>
            </w:r>
            <w:r w:rsidRPr="00326E55">
              <w:rPr>
                <w:rFonts w:ascii="Times New Roman" w:hAnsi="Times New Roman"/>
                <w:noProof/>
                <w:color w:val="006100"/>
                <w:spacing w:val="-6"/>
                <w:sz w:val="20"/>
                <w:lang w:val="sk-SK"/>
              </w:rPr>
              <w:t xml:space="preserve"> mobility učiteľov (v záujme kontinuity výučby);</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IV) stanovenie kariérneho postupu jasne spojeného</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hodnotením výkonnosti</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kontinuálnym profesijným rozvojom.</w:t>
            </w:r>
          </w:p>
        </w:tc>
      </w:tr>
      <w:tr w:rsidR="00BF03AA" w:rsidRPr="00326E55" w14:paraId="5A161C3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E2AF6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4</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70B09A" w14:textId="2050AA4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3.2: Škola 4.0: inovačné školy, elektroinštalácie, nové triedy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semináre</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33F32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0374D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Prijíma sa plán školy 4.0 na podporu digitálnej transformácie talianskeho školského systému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A5F78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Ministerstvo školstva – vyhláška, ktorou sa prijíma plán školy 4.0</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15F9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50A7B4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275CD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221B2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2782F4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7B9E87D"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Plán „Škola 4.0“, ktorý prijalo </w:t>
            </w:r>
            <w:r w:rsidRPr="00326E55">
              <w:rPr>
                <w:rFonts w:ascii="Times New Roman" w:hAnsi="Times New Roman"/>
                <w:noProof/>
                <w:spacing w:val="-6"/>
                <w:lang w:val="sk-SK"/>
              </w:rPr>
              <w:t>ministerstvo školstva na podporu digitálnej transformácie talianskeho školského systému, zahŕňa:</w:t>
            </w:r>
          </w:p>
          <w:p w14:paraId="32190ABB"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a) transformácia 100000 tried na inovačné vzdelávacie prostredia</w:t>
            </w:r>
          </w:p>
          <w:p w14:paraId="05BD8393"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b) vytvorenie laboratórií pre nové digitálne povolania na všetkých stredných školách.</w:t>
            </w:r>
          </w:p>
          <w:p w14:paraId="526D577F" w14:textId="212F27F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Akcia a)</w:t>
            </w:r>
            <w:r w:rsidRPr="00326E55">
              <w:rPr>
                <w:rFonts w:ascii="Times New Roman" w:hAnsi="Times New Roman"/>
                <w:noProof/>
                <w:spacing w:val="-6"/>
                <w:lang w:val="sk-SK"/>
              </w:rPr>
              <w:t xml:space="preserve"> transformuje školské priestory určené pre tradičné triedy na inovačné, adaptívne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flexibilné vzdelávacie prostredia prepojené, integrované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digitálnymi, fyzickými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virtuálnymi technológiami. Investície do školských zariadení prinesú najinovatívnejšie v</w:t>
            </w:r>
            <w:r w:rsidRPr="00326E55">
              <w:rPr>
                <w:rFonts w:ascii="Times New Roman" w:hAnsi="Times New Roman"/>
                <w:noProof/>
                <w:spacing w:val="-6"/>
                <w:lang w:val="sk-SK"/>
              </w:rPr>
              <w:t>yučovacie technológie (kódovacie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robotické zariadenia, zariadenia virtuálnej reality, pokročilé digitálne zariadenia pre inkluzívne vzdelávanie atď.) aspoň do 100000 tried základných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stredných škôl používaných na vyučovanie.</w:t>
            </w:r>
          </w:p>
          <w:p w14:paraId="47C28CB6" w14:textId="0E48BBB8"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Opatrením b) sa zriadi </w:t>
            </w:r>
            <w:r w:rsidRPr="00326E55">
              <w:rPr>
                <w:rFonts w:ascii="Times New Roman" w:hAnsi="Times New Roman"/>
                <w:noProof/>
                <w:spacing w:val="-6"/>
                <w:lang w:val="sk-SK"/>
              </w:rPr>
              <w:t>aspoň jedno laboratórium pre digitálne povolania na každej strednej škole, laboratórium úzko prepojené so spoločnosťami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inovačnými startupmi na vytváranie nových pracovných miest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odvetví nových digitálnych profesií (ako je umelá inteligencia, robotika,</w:t>
            </w:r>
            <w:r w:rsidRPr="00326E55">
              <w:rPr>
                <w:rFonts w:ascii="Times New Roman" w:hAnsi="Times New Roman"/>
                <w:noProof/>
                <w:spacing w:val="-6"/>
                <w:lang w:val="sk-SK"/>
              </w:rPr>
              <w:t xml:space="preserve"> veľké dáta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kybernetická bezpečnosť, modré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zelené hospodárstvo).</w:t>
            </w:r>
          </w:p>
          <w:p w14:paraId="0D9CF956" w14:textId="319524C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Najmenej 40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škôl, ktoré sú príjemcami pomoci, sa nachádza na juhu Talianska.</w:t>
            </w:r>
          </w:p>
        </w:tc>
      </w:tr>
      <w:tr w:rsidR="00BF03AA" w:rsidRPr="00326E55" w14:paraId="6304583B"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44C71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5</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2959849" w14:textId="5FE6CC5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1.3: Reorganizácia školského systému; Reforma 1.2: Reforma systému terciárneho odborného </w:t>
            </w:r>
            <w:r w:rsidRPr="00326E55">
              <w:rPr>
                <w:rFonts w:ascii="Times New Roman" w:hAnsi="Times New Roman"/>
                <w:noProof/>
                <w:spacing w:val="-6"/>
                <w:lang w:val="sk-SK"/>
              </w:rPr>
              <w:t>vzdelávania (ITS); Reforma 1.1: Reforma technických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odborných inštitútov; Reforma 1.4: Reforma systému „Orientácie“</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0022C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Míľniky</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43FD18" w14:textId="596FCD4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reforiem systému primárneho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sekundárneho vzdelávania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zlepšiť výsledky vzdelávania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B516DD7" w14:textId="005C12E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reforiem</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EFAF1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1BF07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E52ED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43DD7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29481A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3E2EC6" w14:textId="68F90593"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Reformy systému primárneho</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sekundárneho vzdelávania zamerané na zlepšenie výsledkov vzdelávania (prostredníctvom primárnych práv</w:t>
            </w:r>
            <w:r w:rsidRPr="00326E55">
              <w:rPr>
                <w:rFonts w:ascii="Times New Roman" w:hAnsi="Times New Roman"/>
                <w:noProof/>
                <w:color w:val="006100"/>
                <w:spacing w:val="-6"/>
                <w:sz w:val="20"/>
                <w:lang w:val="sk-SK"/>
              </w:rPr>
              <w:t xml:space="preserve">nych predpisov) zahŕňajú aspoň tieto kľúčové prvky: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I) Iniciatívy na reformu organizácie vzdelávacieho systému</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prispôsobiť sa demografickému vývoju (napríklad počet škôl</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podiel žiakov/učiteľov)</w:t>
            </w:r>
            <w:r w:rsidRPr="00326E55">
              <w:rPr>
                <w:rFonts w:ascii="Times New Roman" w:hAnsi="Times New Roman"/>
                <w:noProof/>
                <w:spacing w:val="-6"/>
                <w:lang w:val="sk-SK"/>
              </w:rPr>
              <w:t xml:space="preserve">  </w:t>
            </w:r>
            <w:r w:rsidRPr="00326E55">
              <w:rPr>
                <w:rFonts w:ascii="Times New Roman" w:hAnsi="Times New Roman"/>
                <w:noProof/>
                <w:spacing w:val="-6"/>
                <w:lang w:val="sk-SK"/>
              </w:rPr>
              <w:br/>
              <w:t xml:space="preserve"> </w:t>
            </w:r>
            <w:r w:rsidRPr="00326E55">
              <w:rPr>
                <w:rFonts w:ascii="Times New Roman" w:hAnsi="Times New Roman"/>
                <w:noProof/>
                <w:color w:val="006100"/>
                <w:spacing w:val="-6"/>
                <w:sz w:val="20"/>
                <w:lang w:val="sk-SK"/>
              </w:rPr>
              <w:t>II) iniciatívy na reformu orientačného systému</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minimalizovať mieru predčasného ukončenia terciárneho vzdelávania;</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III) iniciatívy na posilnenie stredoškolského odborného vzdelávania (Istituti tecnico-profesi) vrátane prijatia nových učebných osnov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ich orientácie na inovačné výstupy národn</w:t>
            </w:r>
            <w:r w:rsidRPr="00326E55">
              <w:rPr>
                <w:rFonts w:ascii="Times New Roman" w:hAnsi="Times New Roman"/>
                <w:noProof/>
                <w:color w:val="006100"/>
                <w:spacing w:val="-6"/>
                <w:sz w:val="20"/>
                <w:lang w:val="sk-SK"/>
              </w:rPr>
              <w:t>ého plánu Priemysel 4.0 (Ministero dello Sviluppo economico, Decreto 26 Maggio 2020);</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IV) iniciatívy na odbornú prípravu vedúcich pracovníkov škôl, učiteľov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administratívnych/technických pracovníkov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na vytvorenie strednej vyššej školy pre odbornú prí</w:t>
            </w:r>
            <w:r w:rsidRPr="00326E55">
              <w:rPr>
                <w:rFonts w:ascii="Times New Roman" w:hAnsi="Times New Roman"/>
                <w:noProof/>
                <w:color w:val="006100"/>
                <w:spacing w:val="-6"/>
                <w:sz w:val="20"/>
                <w:lang w:val="sk-SK"/>
              </w:rPr>
              <w:t>pravu</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zlepšiť kvalitu výučby;</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v) iniciatívy na integráciu činností, metodík</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obsahu zamerané na rozvoj</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posilnenie učebných plánov</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oblasti vedy, technológie, inžinierstva</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matematiky (STEM), digitálnych</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inovačných zručností vo všetkých cy</w:t>
            </w:r>
            <w:r w:rsidRPr="00326E55">
              <w:rPr>
                <w:rFonts w:ascii="Times New Roman" w:hAnsi="Times New Roman"/>
                <w:noProof/>
                <w:color w:val="006100"/>
                <w:spacing w:val="-6"/>
                <w:sz w:val="20"/>
                <w:lang w:val="sk-SK"/>
              </w:rPr>
              <w:t>kloch vzdelávania, od materskej školy až po vyššie stredné školy,</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podporiť zápis do terciárnych učebných osnov STEM, najmä pre ženy.</w:t>
            </w:r>
          </w:p>
          <w:p w14:paraId="1A950C44" w14:textId="24D09584"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záujme uspokojivého splnenia míľnika právne predpisy obsahujú povinné lehoty na vydanie sekundárnych právnych pr</w:t>
            </w:r>
            <w:r w:rsidRPr="00326E55">
              <w:rPr>
                <w:rFonts w:ascii="Times New Roman" w:hAnsi="Times New Roman"/>
                <w:noProof/>
                <w:spacing w:val="-6"/>
                <w:lang w:val="sk-SK"/>
              </w:rPr>
              <w:t>edpisov, usmernení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všetkých potrebných regulačných ustanovení (monitorovanie databáz ministerstva školstva)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bezproblémové vykonávanie.</w:t>
            </w:r>
          </w:p>
        </w:tc>
      </w:tr>
      <w:tr w:rsidR="00BF03AA" w:rsidRPr="00326E55" w14:paraId="5F835BB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9ACD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6</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29ADE5" w14:textId="1920173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2.2: Terciárne pokročilé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priebežná odborná príprava vedúcich pracovníkov </w:t>
            </w:r>
            <w:r w:rsidRPr="00326E55">
              <w:rPr>
                <w:rFonts w:ascii="Times New Roman" w:hAnsi="Times New Roman"/>
                <w:noProof/>
                <w:spacing w:val="-6"/>
                <w:lang w:val="sk-SK"/>
              </w:rPr>
              <w:t>škôl, učiteľov, administratívnych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technických pracovníkov</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0FD9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0D43B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právnych predpisov zameraných na vybudovanie kvalitného systému odbornej prípravy pre školy.</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B0C8F" w14:textId="4739C46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ktorom sa uvádza nadobudnutie účinnosti právnych </w:t>
            </w:r>
            <w:r w:rsidRPr="00326E55">
              <w:rPr>
                <w:rFonts w:ascii="Times New Roman" w:hAnsi="Times New Roman"/>
                <w:noProof/>
                <w:spacing w:val="-6"/>
                <w:lang w:val="sk-SK"/>
              </w:rPr>
              <w:t>predpisov.</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D9E5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F777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8167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25FB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FE2A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7DAD8" w14:textId="7E1C13CA"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Právne predpisy obsahujú ustanovenia zamerané na budovanie kvalitného systému odbornej prípravy pre zamestnancov škôl</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kontinuálnym profesijným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kariérnym rozvojom, zriadenie kvalifik</w:t>
            </w:r>
            <w:r w:rsidRPr="00326E55">
              <w:rPr>
                <w:rFonts w:ascii="Times New Roman" w:hAnsi="Times New Roman"/>
                <w:noProof/>
                <w:spacing w:val="-6"/>
                <w:lang w:val="sk-SK"/>
              </w:rPr>
              <w:t>ovaného orgánu zodpovedného za usmernenia pre odbornú prípravu zamestnancov škôl, výber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koordináciu iniciatív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odbornej prípravy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ich prepojenie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kariérnym postupom, ako sa stanovuje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reforme prijímania zamestnancov. Zavedenie systému počiato</w:t>
            </w:r>
            <w:r w:rsidRPr="00326E55">
              <w:rPr>
                <w:rFonts w:ascii="Times New Roman" w:hAnsi="Times New Roman"/>
                <w:noProof/>
                <w:spacing w:val="-6"/>
                <w:lang w:val="sk-SK"/>
              </w:rPr>
              <w:t>čnej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priebežnej odbornej prípravy by malo umožniť prekonať súčasnú roztrieštenosť ciest odbornej prípravy, ktorým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súčasnosti chýba jednotná národná stratégia.</w:t>
            </w:r>
          </w:p>
        </w:tc>
      </w:tr>
      <w:tr w:rsidR="00BF03AA" w:rsidRPr="00326E55" w14:paraId="708B2F7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61A39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7</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CDAF39" w14:textId="034DFA2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 Mimoriadna intervencia zameraná na zníženie územných rozdielov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 cykloch stredných škôl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riešenie problému predčasného ukončenia školskej dochádzky</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C7EF9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3FD53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Študenti alebo mladí ľudia, ktorí sa zúčastnili na mentorských činnostiach alebo kurzoch odbornej prípravy</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E46D6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453B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158F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1CFD45" w14:textId="1275385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820</w:t>
            </w:r>
            <w:r w:rsidRPr="00326E55">
              <w:rPr>
                <w:rFonts w:ascii="Times New Roman" w:hAnsi="Times New Roman"/>
                <w:noProof/>
                <w:spacing w:val="-6"/>
                <w:szCs w:val="20"/>
                <w:lang w:val="sk-SK"/>
              </w:rPr>
              <w:t xml:space="preserve"> </w:t>
            </w:r>
            <w:r w:rsidRPr="00326E55">
              <w:rPr>
                <w:rFonts w:ascii="Times New Roman" w:hAnsi="Times New Roman"/>
                <w:noProof/>
                <w:spacing w:val="-6"/>
                <w:lang w:val="sk-SK"/>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2D385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6B67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221BA5" w14:textId="52BFB0DA"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Vydávajú sa potvrdenia</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účasti na mentorských činnostiach</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 xml:space="preserve">činnostiach odbornej prípravy poskytnutých najmenej 820000 príjemcom. </w:t>
            </w:r>
            <w:r w:rsidRPr="00326E55">
              <w:rPr>
                <w:rFonts w:ascii="Times New Roman" w:hAnsi="Times New Roman"/>
                <w:noProof/>
                <w:spacing w:val="-6"/>
                <w:lang w:val="sk-SK"/>
              </w:rPr>
              <w:br/>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Rozdiel</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miere predčasného ukončenia stredoškolského vzdelávania sa znížil</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dosiahol priemer EÚ za rok 2019 (10,2</w:t>
            </w:r>
            <w:r w:rsidR="00326E55" w:rsidRPr="00326E55">
              <w:rPr>
                <w:rFonts w:ascii="Times New Roman" w:hAnsi="Times New Roman"/>
                <w:noProof/>
                <w:color w:val="006100"/>
                <w:spacing w:val="-6"/>
                <w:sz w:val="20"/>
                <w:szCs w:val="20"/>
                <w:lang w:val="sk-SK"/>
              </w:rPr>
              <w:t> %</w:t>
            </w:r>
            <w:r w:rsidRPr="00326E55">
              <w:rPr>
                <w:rFonts w:ascii="Times New Roman" w:hAnsi="Times New Roman"/>
                <w:noProof/>
                <w:color w:val="006100"/>
                <w:spacing w:val="-6"/>
                <w:sz w:val="20"/>
                <w:szCs w:val="20"/>
                <w:lang w:val="sk-SK"/>
              </w:rPr>
              <w:t>), ako</w:t>
            </w:r>
            <w:r w:rsidRPr="00326E55">
              <w:rPr>
                <w:rFonts w:ascii="Times New Roman" w:hAnsi="Times New Roman"/>
                <w:noProof/>
                <w:color w:val="006100"/>
                <w:spacing w:val="-6"/>
                <w:sz w:val="20"/>
                <w:szCs w:val="20"/>
                <w:lang w:val="sk-SK"/>
              </w:rPr>
              <w:t xml:space="preserve"> to dokazuje ISTAT. </w:t>
            </w:r>
          </w:p>
        </w:tc>
      </w:tr>
      <w:tr w:rsidR="00BF03AA" w:rsidRPr="00326E55" w14:paraId="0A02F5F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A85CE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8</w:t>
            </w:r>
          </w:p>
          <w:p w14:paraId="24016CE1" w14:textId="77777777" w:rsidR="00BF03AA" w:rsidRPr="00326E55" w:rsidRDefault="00BF03AA">
            <w:pPr>
              <w:jc w:val="center"/>
              <w:rPr>
                <w:rFonts w:ascii="Times New Roman" w:hAnsi="Times New Roman"/>
                <w:noProof/>
                <w:color w:val="006100"/>
                <w:spacing w:val="-6"/>
                <w:sz w:val="20"/>
                <w:szCs w:val="20"/>
                <w:lang w:val="sk-SK"/>
              </w:rPr>
            </w:pP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AAE7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1.3: Plán na posilnenie školskej športovej infraštruktúry</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C48E1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8C9174" w14:textId="7C14316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Zadávanie zákaziek na intervencie na výstavbu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renováciu športových zariadení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telocviční na školské použitie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F8E64" w14:textId="1955ECD1" w:rsidR="00BF03AA" w:rsidRPr="00326E55" w:rsidRDefault="00FB452D">
            <w:pPr>
              <w:pStyle w:val="P68B1DB1-Normal11"/>
              <w:jc w:val="center"/>
              <w:rPr>
                <w:rFonts w:ascii="Times New Roman" w:hAnsi="Times New Roman"/>
                <w:b/>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zadaní verejných </w:t>
            </w:r>
            <w:r w:rsidRPr="00326E55">
              <w:rPr>
                <w:rFonts w:ascii="Times New Roman" w:hAnsi="Times New Roman"/>
                <w:noProof/>
                <w:spacing w:val="-6"/>
                <w:lang w:val="sk-SK"/>
              </w:rPr>
              <w:t>zákaziek na oprávnené intervencie</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1680D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59DBA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4D43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1CD24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BC6CD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A8A65C" w14:textId="1540B82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Zadávanie zákaziek na intervencie na výstavbu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renováciu športových zariadení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telocviční na školské účely na základe postupu verejného obstarávania.</w:t>
            </w:r>
          </w:p>
        </w:tc>
      </w:tr>
      <w:tr w:rsidR="00BF03AA" w:rsidRPr="00326E55" w14:paraId="4DD039A8"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A380D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9</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938097" w14:textId="7153E04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w:t>
            </w:r>
            <w:r w:rsidRPr="00326E55">
              <w:rPr>
                <w:rFonts w:ascii="Times New Roman" w:hAnsi="Times New Roman"/>
                <w:noProof/>
                <w:spacing w:val="-6"/>
                <w:lang w:val="sk-SK"/>
              </w:rPr>
              <w:t>1.1: Plán pre materské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predškolské zariadenia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služby vzdelávania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starostlivosti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ranom detstve</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B906A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23BA5" w14:textId="2EFD7E5C"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Zadanie zákaziek na výstavbu, obnovu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zaistenie bezpečnosti materských škôl, predškolských zariadení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služieb vzdelávania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starostlivosti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ranom detstve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F6FB24" w14:textId="6C115AD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 miestnych orgánov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 zadania verejných zákaziek na prvý súbor oprávnených intervencií</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D518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D330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C94D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63C5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5BFB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83E06" w14:textId="24A2097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Zadanie zákaziek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územné rozdelenie,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materské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predškolské za</w:t>
            </w:r>
            <w:r w:rsidRPr="00326E55">
              <w:rPr>
                <w:rFonts w:ascii="Times New Roman" w:hAnsi="Times New Roman"/>
                <w:noProof/>
                <w:spacing w:val="-6"/>
                <w:lang w:val="sk-SK"/>
              </w:rPr>
              <w:t>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služby vzdelávania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starostlivosti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ranom detstve. Zadanie zákazky sa vykoná</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 usmernením týkajúcim sa zásady „výrazne nenarušiť“ (2021/C58/01) prostredníctvom použitia zoznamu vylúčených činností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na súlad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541634D6"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0B4D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10</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65F7D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2.1: Nábor učiteľov; Reforma 1.3: Reorganizácia školského systému; Reforma 1.2: Reforma systému terciárneho odborného vzdelávania </w:t>
            </w:r>
            <w:r w:rsidRPr="00326E55">
              <w:rPr>
                <w:rFonts w:ascii="Times New Roman" w:hAnsi="Times New Roman"/>
                <w:noProof/>
                <w:spacing w:val="-6"/>
                <w:lang w:val="sk-SK"/>
              </w:rPr>
              <w:t>(ITS); Reforma 1.4: Reforma systému „Orientácie“; Reforma 1.5: Reforma univerzitných skupín; Reforma 1.6: Umožnenie reformy univerzitných titulov</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E1D03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EABF8" w14:textId="0CBF65D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nariadení na účinné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všetkých opatrení týkajúcich sa r</w:t>
            </w:r>
            <w:r w:rsidRPr="00326E55">
              <w:rPr>
                <w:rFonts w:ascii="Times New Roman" w:hAnsi="Times New Roman"/>
                <w:noProof/>
                <w:spacing w:val="-6"/>
                <w:lang w:val="sk-SK"/>
              </w:rPr>
              <w:t>eforiem základného, sekundárneho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terciárneho vzdelávania, ak je to potrebné</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1833F2" w14:textId="7DA7188C" w:rsidR="00BF03AA" w:rsidRPr="00326E55" w:rsidRDefault="00FB452D">
            <w:pPr>
              <w:pStyle w:val="P68B1DB1-Normal11"/>
              <w:jc w:val="center"/>
              <w:rPr>
                <w:rFonts w:ascii="Times New Roman" w:hAnsi="Times New Roman"/>
                <w:noProof/>
                <w:color w:val="375623"/>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nariadení.</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8D7F2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5352B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8C04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15F5A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7E03E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86E8A" w14:textId="1F7A6A9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Sekundárne právne predpisy zahŕňajú všetky predpisy </w:t>
            </w:r>
            <w:r w:rsidRPr="00326E55">
              <w:rPr>
                <w:rFonts w:ascii="Times New Roman" w:hAnsi="Times New Roman"/>
                <w:noProof/>
                <w:spacing w:val="-6"/>
                <w:lang w:val="sk-SK"/>
              </w:rPr>
              <w:t>potrebné na účinné vykonávanie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uplatňovanie všetkých opatrení týkajúcich sa reforiem základného, sekundárneho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terciárneho vzdelávania:</w:t>
            </w:r>
          </w:p>
          <w:p w14:paraId="306571C3" w14:textId="6E4B61D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Reformy systému terciárneho vzdelávania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zlepšiť výsledky vzdelávania (primárne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o</w:t>
            </w:r>
            <w:r w:rsidRPr="00326E55">
              <w:rPr>
                <w:rFonts w:ascii="Times New Roman" w:hAnsi="Times New Roman"/>
                <w:noProof/>
                <w:spacing w:val="-6"/>
                <w:lang w:val="sk-SK"/>
              </w:rPr>
              <w:t>blastiach: a) umožnenie vysokoškolských titulov; b) skupiny univerzitných titulov; C) reforma doktorandských programov;</w:t>
            </w:r>
          </w:p>
          <w:p w14:paraId="3ECA0036" w14:textId="53457560"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Ministerské vyhlášky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reforme štipendií na zlepšenie prístupu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terciárnemu vzdelávaniu,</w:t>
            </w:r>
          </w:p>
          <w:p w14:paraId="6676DE33"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Reforma učiteľského povolania,</w:t>
            </w:r>
          </w:p>
          <w:p w14:paraId="62183651" w14:textId="10C43AD6"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 xml:space="preserve">— Reformy </w:t>
            </w:r>
            <w:r w:rsidRPr="00326E55">
              <w:rPr>
                <w:rFonts w:ascii="Times New Roman" w:hAnsi="Times New Roman"/>
                <w:noProof/>
                <w:spacing w:val="-6"/>
                <w:lang w:val="sk-SK"/>
              </w:rPr>
              <w:t>systému základného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stredoškolského vzdelávania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zlepšiť výsledky vzdelávania,</w:t>
            </w:r>
          </w:p>
          <w:p w14:paraId="79372869" w14:textId="4BF71CC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 Cieľom právnych predpisov bolo vybudovanie kvalitného systému odbornej prípravy pre školy. </w:t>
            </w:r>
          </w:p>
        </w:tc>
      </w:tr>
      <w:tr w:rsidR="00BF03AA" w:rsidRPr="00326E55" w14:paraId="7E9A173E"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F5D6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10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3D4C62" w14:textId="6E6911C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1.1: Reforma technických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odborných inštitútov</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A83F8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984B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sekundárnych právnych predpisov.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5518B" w14:textId="725739C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sekundárnych právnych predpisov.</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6457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F2FB4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FD7D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27702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ŠTVRTÝ ŠTVRŤROK </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0557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D0448" w14:textId="55084E8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Nadobudli účinnosť sekundárne právne predpisy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reforme </w:t>
            </w:r>
            <w:r w:rsidRPr="00326E55">
              <w:rPr>
                <w:rFonts w:ascii="Times New Roman" w:hAnsi="Times New Roman"/>
                <w:noProof/>
                <w:spacing w:val="-6"/>
                <w:lang w:val="sk-SK"/>
              </w:rPr>
              <w:t>technických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odborných inštitútov.</w:t>
            </w:r>
          </w:p>
        </w:tc>
      </w:tr>
      <w:tr w:rsidR="00BF03AA" w:rsidRPr="00326E55" w14:paraId="635A3DF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7AA49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11</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09842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1.7: Štipendiá na prístup na univerzitu</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0C9A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E3F51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Udelené univerzitné štipendium</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3D3CE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65EC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7FEC7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9F4CBA"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55</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4F379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14624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B80D4" w14:textId="1ADE2C4E" w:rsidR="00BF03AA" w:rsidRPr="00326E55" w:rsidRDefault="00FB452D">
            <w:pPr>
              <w:rPr>
                <w:rStyle w:val="normaltextrun"/>
                <w:rFonts w:ascii="Times New Roman" w:eastAsiaTheme="majorEastAsia" w:hAnsi="Times New Roman"/>
                <w:noProof/>
                <w:spacing w:val="-6"/>
                <w:sz w:val="20"/>
                <w:szCs w:val="20"/>
                <w:lang w:val="sk-SK"/>
              </w:rPr>
            </w:pPr>
            <w:r w:rsidRPr="00326E55">
              <w:rPr>
                <w:rFonts w:ascii="Times New Roman" w:hAnsi="Times New Roman"/>
                <w:noProof/>
                <w:color w:val="006100"/>
                <w:spacing w:val="-6"/>
                <w:sz w:val="20"/>
                <w:szCs w:val="20"/>
                <w:lang w:val="sk-SK"/>
              </w:rPr>
              <w:t>Najmenej 55000</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szCs w:val="20"/>
                <w:lang w:val="sk-SK"/>
              </w:rPr>
              <w:t>študentom sa udeľujú štipendiá financované výlučne</w:t>
            </w:r>
            <w:r w:rsidR="00326E55" w:rsidRPr="00326E55">
              <w:rPr>
                <w:rFonts w:ascii="Times New Roman" w:hAnsi="Times New Roman"/>
                <w:noProof/>
                <w:color w:val="006100"/>
                <w:spacing w:val="-6"/>
                <w:sz w:val="20"/>
                <w:szCs w:val="20"/>
                <w:lang w:val="sk-SK"/>
              </w:rPr>
              <w:t xml:space="preserve"> z </w:t>
            </w:r>
            <w:r w:rsidRPr="00326E55">
              <w:rPr>
                <w:rFonts w:ascii="Times New Roman" w:hAnsi="Times New Roman"/>
                <w:noProof/>
                <w:color w:val="006100"/>
                <w:spacing w:val="-6"/>
                <w:sz w:val="20"/>
                <w:szCs w:val="20"/>
                <w:lang w:val="sk-SK"/>
              </w:rPr>
              <w:t>finančných prostriedkov Mechanizmu na podporu obnovy</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odolnosti.</w:t>
            </w:r>
          </w:p>
        </w:tc>
      </w:tr>
      <w:tr w:rsidR="00BF03AA" w:rsidRPr="00326E55" w14:paraId="3353E91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07739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12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91E72" w14:textId="1AF3A05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4.1: Rozšírenie počtu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kariérnych príležitostí doktorandského štúdia (výskum, verejná správa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kultúrne dedičstvo)</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1F20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EBEB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Udelené štipendiá doktorandského štúdia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16AFC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62E5A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FEDBE" w14:textId="77777777" w:rsidR="00BF03AA" w:rsidRPr="00326E55" w:rsidRDefault="00FB452D">
            <w:pPr>
              <w:pStyle w:val="P68B1DB1-Normal11"/>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 xml:space="preserve"> 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20317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7 200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1793B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8A449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756943" w14:textId="16B0145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szCs w:val="20"/>
                <w:lang w:val="sk-SK"/>
              </w:rPr>
              <w:t>Najmenej 3600</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všeobecných doktorandských štipendií, najmenej 3000</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doktorandských štipendií</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oblasti verejnej správy</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najmenej 600 doktorandských štipendií na kultúrne dedičstvo sa udeľuje počas troch rokov.</w:t>
            </w:r>
          </w:p>
        </w:tc>
      </w:tr>
      <w:tr w:rsidR="00BF03AA" w:rsidRPr="00326E55" w14:paraId="7263BE9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22B2B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13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2FBA4B" w14:textId="0477C66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2.1: Integrovaná digitálna výučba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odborná príprava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digitálnej transformácie zamestnancov škôl</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0A7ED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1BB89" w14:textId="3E57C0D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Odborná príprava vedúcich pracovníkov škôl, učiteľov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administratívnych pracovníkov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7477C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32ED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C7932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65958A"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650</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269C7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ŠTVRTÝ </w:t>
            </w:r>
            <w:r w:rsidRPr="00326E55">
              <w:rPr>
                <w:rFonts w:ascii="Times New Roman" w:hAnsi="Times New Roman"/>
                <w:noProof/>
                <w:spacing w:val="-6"/>
                <w:lang w:val="sk-SK"/>
              </w:rPr>
              <w:t>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4D1FB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C6F9A3" w14:textId="5316CA2B"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Vydávajú sa potvrdenia</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účasti na digitálnej výučbe</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digitálnej transformácii vydané najmenej 650000</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szCs w:val="20"/>
                <w:lang w:val="sk-SK"/>
              </w:rPr>
              <w:t>vedúcim pracovníkom školy, učiteľom</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administratívnym zamestnancom.</w:t>
            </w:r>
          </w:p>
        </w:tc>
      </w:tr>
      <w:tr w:rsidR="00BF03AA" w:rsidRPr="00326E55" w14:paraId="3AD6369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93F2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14</w:t>
            </w:r>
          </w:p>
          <w:p w14:paraId="01C59A27" w14:textId="77777777" w:rsidR="00BF03AA" w:rsidRPr="00326E55" w:rsidRDefault="00BF03AA">
            <w:pPr>
              <w:jc w:val="center"/>
              <w:rPr>
                <w:rFonts w:ascii="Times New Roman" w:hAnsi="Times New Roman"/>
                <w:noProof/>
                <w:color w:val="006100"/>
                <w:spacing w:val="-6"/>
                <w:sz w:val="20"/>
                <w:szCs w:val="20"/>
                <w:lang w:val="sk-SK"/>
              </w:rPr>
            </w:pP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77E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2.1: Nábor učiteľov</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89F28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AB9AD" w14:textId="6C61AEE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Učitelia prijatí do </w:t>
            </w:r>
            <w:r w:rsidRPr="00326E55">
              <w:rPr>
                <w:rFonts w:ascii="Times New Roman" w:hAnsi="Times New Roman"/>
                <w:noProof/>
                <w:spacing w:val="-6"/>
                <w:lang w:val="sk-SK"/>
              </w:rPr>
              <w:t>zamestnania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reformovaným systémom prijímania zamestnancov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22135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DB7D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91AF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021001"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20</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2CC23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22A4C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17103A" w14:textId="36031A07"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Najmenej</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lang w:val="sk-SK"/>
              </w:rPr>
              <w:t>20000 učiteľov prijatých</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rámci reformovaného systému prijímania zamestnancov</w:t>
            </w:r>
          </w:p>
        </w:tc>
      </w:tr>
      <w:tr w:rsidR="00BF03AA" w:rsidRPr="00326E55" w14:paraId="5335C1E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F84D0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14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055D8" w14:textId="7D81C89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2.1: Nábor učiteľov </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DA17D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Cieľ </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D03FF6" w14:textId="0A09B8F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Učitelia </w:t>
            </w:r>
            <w:r w:rsidRPr="00326E55">
              <w:rPr>
                <w:rFonts w:ascii="Times New Roman" w:hAnsi="Times New Roman"/>
                <w:noProof/>
                <w:spacing w:val="-6"/>
                <w:lang w:val="sk-SK"/>
              </w:rPr>
              <w:t>prijatí do zamestnania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reformovaným systémom prijímania zamestnancov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2791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C2E1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Počet </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6104C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0 </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494B"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20</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2C91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AA5B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2025 </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95F070" w14:textId="174F6064"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Najmenej 20000</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szCs w:val="20"/>
                <w:lang w:val="sk-SK"/>
              </w:rPr>
              <w:t>učiteľov prijatých</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rámci reformovaného systému prijímania zamestnancov</w:t>
            </w:r>
          </w:p>
        </w:tc>
      </w:tr>
      <w:tr w:rsidR="00BF03AA" w:rsidRPr="00326E55" w14:paraId="2F1C8DEA"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5C336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14ter</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2DB02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2.1: Nábor učiteľov</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CB433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DEBC26" w14:textId="4AD24528"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Dekréty, ktorými sa schvaľujú poradie verejných výberových konaní učiteľov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E4BA9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NEUVEDENÉ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D658CB" w14:textId="7FB3F66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1930DA" w14:textId="3600DCA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73E227" w14:textId="09CD70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7CC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DRUHÝ ŠTVRŤROK </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2E597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E1F910" w14:textId="178DD3E8"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Dekréty, ktorými sa schvaľujú poradie pre najmenej 70000</w:t>
            </w:r>
            <w:r w:rsidRPr="00326E55">
              <w:rPr>
                <w:rFonts w:ascii="Times New Roman" w:hAnsi="Times New Roman"/>
                <w:noProof/>
                <w:spacing w:val="-6"/>
                <w:sz w:val="23"/>
                <w:szCs w:val="23"/>
                <w:lang w:val="sk-SK"/>
              </w:rPr>
              <w:t xml:space="preserve"> uchádzačov, ktorí úspešne prešli verejným výberovým konaním, </w:t>
            </w:r>
            <w:r w:rsidRPr="00326E55">
              <w:rPr>
                <w:rFonts w:ascii="Times New Roman" w:hAnsi="Times New Roman"/>
                <w:noProof/>
                <w:spacing w:val="-6"/>
                <w:sz w:val="23"/>
                <w:szCs w:val="23"/>
                <w:lang w:val="sk-SK"/>
              </w:rPr>
              <w:t>aby sa stali učiteľmi na základe reformovaného systému prijímania zamestnancov, vrátane 40000 učiteľov prijatých</w:t>
            </w:r>
            <w:r w:rsidR="00326E55" w:rsidRPr="00326E55">
              <w:rPr>
                <w:rFonts w:ascii="Times New Roman" w:hAnsi="Times New Roman"/>
                <w:noProof/>
                <w:spacing w:val="-6"/>
                <w:sz w:val="23"/>
                <w:szCs w:val="23"/>
                <w:lang w:val="sk-SK"/>
              </w:rPr>
              <w:t xml:space="preserve"> v </w:t>
            </w:r>
            <w:r w:rsidRPr="00326E55">
              <w:rPr>
                <w:rFonts w:ascii="Times New Roman" w:hAnsi="Times New Roman"/>
                <w:noProof/>
                <w:spacing w:val="-6"/>
                <w:sz w:val="23"/>
                <w:szCs w:val="23"/>
                <w:lang w:val="sk-SK"/>
              </w:rPr>
              <w:t>rámci cieľov M4C1 – 14</w:t>
            </w:r>
            <w:r w:rsidR="00326E55" w:rsidRPr="00326E55">
              <w:rPr>
                <w:rFonts w:ascii="Times New Roman" w:hAnsi="Times New Roman"/>
                <w:noProof/>
                <w:spacing w:val="-6"/>
                <w:sz w:val="23"/>
                <w:szCs w:val="23"/>
                <w:lang w:val="sk-SK"/>
              </w:rPr>
              <w:t xml:space="preserve"> a </w:t>
            </w:r>
            <w:r w:rsidRPr="00326E55">
              <w:rPr>
                <w:rFonts w:ascii="Times New Roman" w:hAnsi="Times New Roman"/>
                <w:noProof/>
                <w:spacing w:val="-6"/>
                <w:sz w:val="23"/>
                <w:szCs w:val="23"/>
                <w:lang w:val="sk-SK"/>
              </w:rPr>
              <w:t xml:space="preserve">M4C1 – 14a. </w:t>
            </w:r>
          </w:p>
        </w:tc>
      </w:tr>
      <w:tr w:rsidR="00BF03AA" w:rsidRPr="00326E55" w14:paraId="5DD6326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7D1F3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15</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22D58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1.7: Štipendiá na prístup na univerzitu</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664208"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000A4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Udelené štipendiá na prístup na </w:t>
            </w:r>
            <w:r w:rsidRPr="00326E55">
              <w:rPr>
                <w:rFonts w:ascii="Times New Roman" w:hAnsi="Times New Roman"/>
                <w:noProof/>
                <w:spacing w:val="-6"/>
                <w:lang w:val="sk-SK"/>
              </w:rPr>
              <w:t>univerzitu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96B8F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434C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24ED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F8340D"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55</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F1A04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9F920C"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B2BBAA" w14:textId="2B63F9E9"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Najmenej</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lang w:val="sk-SK"/>
              </w:rPr>
              <w:t>55000 študentom sa udeľujú štipendiá financované výlučne</w:t>
            </w:r>
            <w:r w:rsidR="00326E55" w:rsidRPr="00326E55">
              <w:rPr>
                <w:rFonts w:ascii="Times New Roman" w:hAnsi="Times New Roman"/>
                <w:noProof/>
                <w:color w:val="006100"/>
                <w:spacing w:val="-6"/>
                <w:sz w:val="20"/>
                <w:lang w:val="sk-SK"/>
              </w:rPr>
              <w:t xml:space="preserve"> z </w:t>
            </w:r>
            <w:r w:rsidRPr="00326E55">
              <w:rPr>
                <w:rFonts w:ascii="Times New Roman" w:hAnsi="Times New Roman"/>
                <w:noProof/>
                <w:color w:val="006100"/>
                <w:spacing w:val="-6"/>
                <w:sz w:val="20"/>
                <w:lang w:val="sk-SK"/>
              </w:rPr>
              <w:t>finančných prostriedkov Mechanizmu na podporu obnovy</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odolnosti</w:t>
            </w:r>
          </w:p>
        </w:tc>
      </w:tr>
      <w:tr w:rsidR="00BF03AA" w:rsidRPr="00326E55" w14:paraId="5991F80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8D52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15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F7739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1.7: Štipendiá na prístup na univerzitu</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B64D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F964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Udelené štipendiá na prístup na univerzitu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9BEEC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2308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F7CAF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311D39"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83</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3AEAD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506A2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0687BC" w14:textId="396F4106"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Najmenej 83000</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szCs w:val="20"/>
                <w:lang w:val="sk-SK"/>
              </w:rPr>
              <w:t>študentom sa udeľujú štipendiá financované výlučne</w:t>
            </w:r>
            <w:r w:rsidR="00326E55" w:rsidRPr="00326E55">
              <w:rPr>
                <w:rFonts w:ascii="Times New Roman" w:hAnsi="Times New Roman"/>
                <w:noProof/>
                <w:color w:val="006100"/>
                <w:spacing w:val="-6"/>
                <w:sz w:val="20"/>
                <w:szCs w:val="20"/>
                <w:lang w:val="sk-SK"/>
              </w:rPr>
              <w:t xml:space="preserve"> z </w:t>
            </w:r>
            <w:r w:rsidRPr="00326E55">
              <w:rPr>
                <w:rFonts w:ascii="Times New Roman" w:hAnsi="Times New Roman"/>
                <w:noProof/>
                <w:color w:val="006100"/>
                <w:spacing w:val="-6"/>
                <w:sz w:val="20"/>
                <w:szCs w:val="20"/>
                <w:lang w:val="sk-SK"/>
              </w:rPr>
              <w:t>finančných prostriedkov Mechanizmu na podporu obnovy</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odolnosti.</w:t>
            </w:r>
          </w:p>
        </w:tc>
      </w:tr>
      <w:tr w:rsidR="00BF03AA" w:rsidRPr="00326E55" w14:paraId="0145D840" w14:textId="77777777">
        <w:trPr>
          <w:trHeight w:val="1455"/>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E548B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16</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2346FC" w14:textId="306562B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3.1: </w:t>
            </w:r>
            <w:r w:rsidRPr="00326E55">
              <w:rPr>
                <w:rFonts w:ascii="Times New Roman" w:hAnsi="Times New Roman"/>
                <w:noProof/>
                <w:spacing w:val="-6"/>
                <w:lang w:val="sk-SK"/>
              </w:rPr>
              <w:t>Nové zručnosti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nové jazyky</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6F5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F8CA8" w14:textId="2E3EFFF1"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Prijatie rozhodnutia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udelení grantu na aktiváciu projektov STEM</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23F8C0" w14:textId="4EB114E5"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Prijatie rozhodnutia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udelení grantu</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AB0E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32190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75D2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BDE78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7122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F8D1F" w14:textId="567B5FE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Prijatie rozhodnutia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udelení grantu na aktiváciu projektov STEM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8000 školách.</w:t>
            </w:r>
          </w:p>
        </w:tc>
      </w:tr>
      <w:tr w:rsidR="00BF03AA" w:rsidRPr="00326E55" w14:paraId="39A5FC0E"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5B7A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17</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E2BE61" w14:textId="60DD6582"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3.1: Nové zručnosti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nové jazyky</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AE96A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5A76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Nové zručnosti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832EF9" w14:textId="0C4F4ECC"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Prijatie rozhodnutia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udelení grantu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ADCE2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CAF49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5AB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4E2C1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E49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C48A6" w14:textId="509A2827"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Prijatie</w:t>
            </w:r>
            <w:r w:rsidRPr="00326E55">
              <w:rPr>
                <w:rFonts w:ascii="Times New Roman" w:hAnsi="Times New Roman"/>
                <w:noProof/>
                <w:spacing w:val="-6"/>
                <w:lang w:val="sk-SK"/>
              </w:rPr>
              <w:t xml:space="preserve"> rozhodnutia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udelení grantu na</w:t>
            </w:r>
            <w:r w:rsidR="00326E55" w:rsidRPr="00326E55">
              <w:rPr>
                <w:rFonts w:ascii="Times New Roman" w:hAnsi="Times New Roman"/>
                <w:noProof/>
                <w:spacing w:val="-6"/>
                <w:lang w:val="sk-SK"/>
              </w:rPr>
              <w:t>:</w:t>
            </w:r>
          </w:p>
          <w:p w14:paraId="16F6F210" w14:textId="3EB19BAD" w:rsidR="00326E55" w:rsidRPr="00326E55" w:rsidRDefault="00FB452D">
            <w:pPr>
              <w:pStyle w:val="P68B1DB1-ListParagraph13"/>
              <w:numPr>
                <w:ilvl w:val="0"/>
                <w:numId w:val="89"/>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Aktivácia jazykových a/alebo metodických kurzov určených pre zamestnancov škôl</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8000 školách</w:t>
            </w:r>
            <w:r w:rsidR="00326E55" w:rsidRPr="00326E55">
              <w:rPr>
                <w:rFonts w:ascii="Times New Roman" w:hAnsi="Times New Roman"/>
                <w:noProof/>
                <w:spacing w:val="-6"/>
                <w:lang w:val="sk-SK"/>
              </w:rPr>
              <w:t>.</w:t>
            </w:r>
          </w:p>
          <w:p w14:paraId="763A679D" w14:textId="1F3EC6F0" w:rsidR="00BF03AA" w:rsidRPr="00326E55" w:rsidRDefault="00FB452D">
            <w:pPr>
              <w:pStyle w:val="P68B1DB1-ListParagraph13"/>
              <w:numPr>
                <w:ilvl w:val="0"/>
                <w:numId w:val="89"/>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Posilnenie programu Erasmus+ určeného študentom a/alebo zamestnancom škôl na roky 2023, 2024</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2025.  </w:t>
            </w:r>
          </w:p>
        </w:tc>
      </w:tr>
      <w:tr w:rsidR="00BF03AA" w:rsidRPr="00326E55" w14:paraId="330E5BAD"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DE24B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19</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228EA" w14:textId="4EFD89A3"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3.2: Škola 4.0: inovačné školy, elektroinštalácie, nové triedy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semináre</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585C9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E51DEA" w14:textId="28F7835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Prijatie rozhodnutia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udelení grantu na nákup digitálnych zariadení a/alebo vytvorenie digitálnych laboratórií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98D05" w14:textId="6950921E"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Prijatie rozhodnutia </w:t>
            </w:r>
            <w:r w:rsidRPr="00326E55">
              <w:rPr>
                <w:rFonts w:ascii="Times New Roman" w:hAnsi="Times New Roman"/>
                <w:noProof/>
                <w:spacing w:val="-6"/>
                <w:lang w:val="sk-SK"/>
              </w:rPr>
              <w:t>(rozhodnutí)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udelení grantu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63F22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4C92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8B4D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F2E0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638D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F1F3E" w14:textId="3993BAD0" w:rsidR="00BF03AA" w:rsidRPr="00326E55" w:rsidRDefault="00FB452D">
            <w:pPr>
              <w:pStyle w:val="P68B1DB1-Normal12"/>
              <w:rPr>
                <w:rFonts w:ascii="Times New Roman" w:eastAsia="Arial Narrow" w:hAnsi="Times New Roman" w:cs="Arial Narrow"/>
                <w:noProof/>
                <w:spacing w:val="-6"/>
                <w:lang w:val="sk-SK"/>
              </w:rPr>
            </w:pPr>
            <w:r w:rsidRPr="00326E55">
              <w:rPr>
                <w:rFonts w:ascii="Times New Roman" w:hAnsi="Times New Roman"/>
                <w:noProof/>
                <w:spacing w:val="-6"/>
                <w:lang w:val="sk-SK"/>
              </w:rPr>
              <w:t>Prijatie rozhodnutia (rozhodnutí)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udelení grantu na transformáciu tried na inovačné prostredie a/alebo na vytvorenie digitálnych laboratórií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8000 školách.</w:t>
            </w:r>
          </w:p>
        </w:tc>
      </w:tr>
      <w:tr w:rsidR="00BF03AA" w:rsidRPr="00326E55" w14:paraId="312434B7"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FC0A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w:t>
            </w:r>
            <w:r w:rsidRPr="00326E55">
              <w:rPr>
                <w:rFonts w:ascii="Times New Roman" w:hAnsi="Times New Roman"/>
                <w:noProof/>
                <w:spacing w:val="-6"/>
                <w:lang w:val="sk-SK"/>
              </w:rPr>
              <w:t xml:space="preserve"> 20</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EDD6F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1.5: Rozvoj systému terciárneho odborného vzdelávania (ITS)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5C08C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9DF0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Počet študentov zapísaných do systému odborného vzdelávania (ITS)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7F2C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E2983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6FB1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0C155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11 000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AD4C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PRVÝ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E30A3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7869E" w14:textId="6B2DFD2F"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Najmenej 11000 študentov zapísaných do národného registra </w:t>
            </w:r>
            <w:r w:rsidRPr="00326E55">
              <w:rPr>
                <w:rFonts w:ascii="Times New Roman" w:hAnsi="Times New Roman"/>
                <w:noProof/>
                <w:spacing w:val="-6"/>
                <w:lang w:val="sk-SK"/>
              </w:rPr>
              <w:t>Akadémie ITS pre systém odbornej prípravy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referenčnom roku 2025. Národná digitálna platforma systému IDS je online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prístupná, čo potvrdzuje aj</w:t>
            </w:r>
            <w:r w:rsidRPr="00326E55">
              <w:rPr>
                <w:rFonts w:ascii="Times New Roman" w:hAnsi="Times New Roman"/>
                <w:i/>
                <w:noProof/>
                <w:spacing w:val="-6"/>
                <w:lang w:val="sk-SK"/>
              </w:rPr>
              <w:t>Verbale di collaudo</w:t>
            </w:r>
            <w:r w:rsidRPr="00326E55">
              <w:rPr>
                <w:rFonts w:ascii="Times New Roman" w:hAnsi="Times New Roman"/>
                <w:noProof/>
                <w:spacing w:val="-6"/>
                <w:lang w:val="sk-SK"/>
              </w:rPr>
              <w:t>.</w:t>
            </w:r>
          </w:p>
        </w:tc>
      </w:tr>
      <w:tr w:rsidR="00BF03AA" w:rsidRPr="00326E55" w14:paraId="0167E04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0717B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M4C1 – 22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67D8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1.3: Plán na posilnenie školskej športovej infraštruktúry</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ABC5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96CEB" w14:textId="491F96F4"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Výstavba alebo renovácia športových zariadení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telocviční na školské použitie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A4362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BD8A1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68A3F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66F3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300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C4F42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698D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B14318" w14:textId="7249C6CD"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sa vydávajú pre najmenej 300 telocviční alebo športových zariadení na školské použitie.</w:t>
            </w:r>
          </w:p>
        </w:tc>
      </w:tr>
      <w:tr w:rsidR="00BF03AA" w:rsidRPr="00326E55" w14:paraId="6F3F38C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133D7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M4C1 – 23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228B606" w14:textId="777926E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3.4: Výučba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pokročilé univerzitné zručnosti</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EDBDC5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3A08A70" w14:textId="474542B8"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Akcie na kvalifikáciu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inováciu stredných škôl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univerzitných programov vrátane doktorandského štúdia.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0EBB13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F9A21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CBCE15" w14:textId="77777777" w:rsidR="00BF03AA" w:rsidRPr="00326E55" w:rsidRDefault="00BF03AA">
            <w:pPr>
              <w:jc w:val="center"/>
              <w:rPr>
                <w:rFonts w:ascii="Times New Roman" w:hAnsi="Times New Roman"/>
                <w:noProof/>
                <w:color w:val="006100"/>
                <w:spacing w:val="-6"/>
                <w:sz w:val="20"/>
                <w:szCs w:val="20"/>
                <w:lang w:val="sk-SK"/>
              </w:rPr>
            </w:pP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ADC18A" w14:textId="77777777" w:rsidR="00BF03AA" w:rsidRPr="00326E55" w:rsidRDefault="00BF03AA">
            <w:pPr>
              <w:jc w:val="center"/>
              <w:rPr>
                <w:rFonts w:ascii="Times New Roman" w:hAnsi="Times New Roman"/>
                <w:noProof/>
                <w:color w:val="006100"/>
                <w:spacing w:val="-6"/>
                <w:sz w:val="20"/>
                <w:szCs w:val="20"/>
                <w:lang w:val="sk-SK"/>
              </w:rPr>
            </w:pP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E690A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448B92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F4D101" w14:textId="4BC5B298"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Vyhláška, ktorou sa udeľuje najmenej 500 </w:t>
            </w:r>
            <w:r w:rsidRPr="00326E55">
              <w:rPr>
                <w:rFonts w:ascii="Times New Roman" w:hAnsi="Times New Roman"/>
                <w:noProof/>
                <w:spacing w:val="-6"/>
                <w:lang w:val="sk-SK"/>
              </w:rPr>
              <w:t>nových doktorandských titulov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programoch aktivovaných univerzitami zameraných na digitálnu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environmentálnu transformáciu.</w:t>
            </w:r>
          </w:p>
          <w:p w14:paraId="174797FC" w14:textId="77777777"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Dohody </w:t>
            </w:r>
            <w:r w:rsidRPr="00326E55">
              <w:rPr>
                <w:rFonts w:ascii="Times New Roman" w:hAnsi="Times New Roman"/>
                <w:i/>
                <w:noProof/>
                <w:spacing w:val="-6"/>
                <w:lang w:val="sk-SK"/>
              </w:rPr>
              <w:t>(„Atti d’obbligo“)</w:t>
            </w:r>
            <w:r w:rsidRPr="00326E55">
              <w:rPr>
                <w:rFonts w:ascii="Times New Roman" w:hAnsi="Times New Roman"/>
                <w:noProof/>
                <w:spacing w:val="-6"/>
                <w:lang w:val="sk-SK"/>
              </w:rPr>
              <w:t xml:space="preserve"> na finančnú podporu troch centier digitálneho vzdelávania (DEH) sa podpíšu</w:t>
            </w:r>
            <w:r w:rsidR="00326E55" w:rsidRPr="00326E55">
              <w:rPr>
                <w:rFonts w:ascii="Times New Roman" w:hAnsi="Times New Roman"/>
                <w:noProof/>
                <w:spacing w:val="-6"/>
                <w:lang w:val="sk-SK"/>
              </w:rPr>
              <w:t>.</w:t>
            </w:r>
          </w:p>
          <w:p w14:paraId="645D300F" w14:textId="1AB11A38"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Dohody </w:t>
            </w:r>
            <w:r w:rsidRPr="00326E55">
              <w:rPr>
                <w:rFonts w:ascii="Times New Roman" w:hAnsi="Times New Roman"/>
                <w:i/>
                <w:noProof/>
                <w:spacing w:val="-6"/>
                <w:lang w:val="sk-SK"/>
              </w:rPr>
              <w:t>(„Atti d’obbligo“)</w:t>
            </w:r>
            <w:r w:rsidRPr="00326E55">
              <w:rPr>
                <w:rFonts w:ascii="Times New Roman" w:hAnsi="Times New Roman"/>
                <w:noProof/>
                <w:spacing w:val="-6"/>
                <w:lang w:val="sk-SK"/>
              </w:rPr>
              <w:t xml:space="preserve"> pr</w:t>
            </w:r>
            <w:r w:rsidRPr="00326E55">
              <w:rPr>
                <w:rFonts w:ascii="Times New Roman" w:hAnsi="Times New Roman"/>
                <w:noProof/>
                <w:spacing w:val="-6"/>
                <w:lang w:val="sk-SK"/>
              </w:rPr>
              <w:t>e 3 siete inštitúcií vysokoškolského vzdelávania sa podpisujú...</w:t>
            </w:r>
          </w:p>
          <w:p w14:paraId="4569FA18" w14:textId="77777777"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Podpíše sa najmenej 10 partnerstiev, ktorých dôkazom </w:t>
            </w:r>
            <w:r w:rsidRPr="00326E55">
              <w:rPr>
                <w:rFonts w:ascii="Times New Roman" w:hAnsi="Times New Roman"/>
                <w:i/>
                <w:noProof/>
                <w:spacing w:val="-6"/>
                <w:lang w:val="sk-SK"/>
              </w:rPr>
              <w:t>je „</w:t>
            </w:r>
            <w:r w:rsidRPr="00326E55">
              <w:rPr>
                <w:rFonts w:ascii="Times New Roman" w:hAnsi="Times New Roman"/>
                <w:noProof/>
                <w:spacing w:val="-6"/>
                <w:lang w:val="sk-SK"/>
              </w:rPr>
              <w:t>Atti d’obbligo“ zakladajúce nadnárodné vzdelávacie iniciatívy</w:t>
            </w:r>
            <w:r w:rsidR="00326E55" w:rsidRPr="00326E55">
              <w:rPr>
                <w:rFonts w:ascii="Times New Roman" w:hAnsi="Times New Roman"/>
                <w:noProof/>
                <w:spacing w:val="-6"/>
                <w:lang w:val="sk-SK"/>
              </w:rPr>
              <w:t>.</w:t>
            </w:r>
          </w:p>
          <w:p w14:paraId="19125478" w14:textId="627083AB" w:rsidR="00BF03AA" w:rsidRPr="00326E55" w:rsidRDefault="00FB452D">
            <w:pPr>
              <w:pStyle w:val="P68B1DB1-Normal12"/>
              <w:rPr>
                <w:rFonts w:ascii="Times New Roman" w:eastAsia="Calibri" w:hAnsi="Times New Roman"/>
                <w:noProof/>
                <w:spacing w:val="-6"/>
                <w:lang w:val="sk-SK"/>
              </w:rPr>
            </w:pPr>
            <w:r w:rsidRPr="00326E55">
              <w:rPr>
                <w:rFonts w:ascii="Times New Roman" w:hAnsi="Times New Roman"/>
                <w:noProof/>
                <w:spacing w:val="-6"/>
                <w:lang w:val="sk-SK"/>
              </w:rPr>
              <w:t>Podpíšu sa</w:t>
            </w:r>
            <w:r w:rsidRPr="00326E55">
              <w:rPr>
                <w:rFonts w:ascii="Times New Roman" w:hAnsi="Times New Roman"/>
                <w:i/>
                <w:noProof/>
                <w:spacing w:val="-6"/>
                <w:lang w:val="sk-SK"/>
              </w:rPr>
              <w:t>dohody (Atti</w:t>
            </w:r>
            <w:r w:rsidRPr="00326E55">
              <w:rPr>
                <w:rFonts w:ascii="Times New Roman" w:hAnsi="Times New Roman"/>
                <w:noProof/>
                <w:spacing w:val="-6"/>
                <w:lang w:val="sk-SK"/>
              </w:rPr>
              <w:t>d’obbligo)</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finančnej podpore najmenej 15 projek</w:t>
            </w:r>
            <w:r w:rsidRPr="00326E55">
              <w:rPr>
                <w:rFonts w:ascii="Times New Roman" w:hAnsi="Times New Roman"/>
                <w:noProof/>
                <w:spacing w:val="-6"/>
                <w:lang w:val="sk-SK"/>
              </w:rPr>
              <w:t>tov internacionalizácie inštitúcií AFAM.</w:t>
            </w:r>
          </w:p>
        </w:tc>
      </w:tr>
      <w:tr w:rsidR="00BF03AA" w:rsidRPr="00326E55" w14:paraId="00C0F9C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71816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24</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7D5FDA" w14:textId="01C88D4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1.6: Aktívna orientácia pri prechode medzi školou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univerzitou.</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2DA1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060238" w14:textId="16A34F5C"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Potvrdenia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účasti, ktoré boli vydané pre kurzy na prechod medzi školou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univerzitou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8FF1F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425F7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5C7D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E0CBB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1 000 000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3027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DRUHÝ </w:t>
            </w:r>
            <w:r w:rsidRPr="00326E55">
              <w:rPr>
                <w:rFonts w:ascii="Times New Roman" w:hAnsi="Times New Roman"/>
                <w:noProof/>
                <w:spacing w:val="-6"/>
                <w:lang w:val="sk-SK"/>
              </w:rPr>
              <w:t>ŠTVRŤROK</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18B4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92804" w14:textId="6B9E86E9"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Pre študentov stredných škôl, ktorí sa zapísali do akademických školských rokov 2022/2023 až 2025/2026, bolo vydaných najmenej 1000000 osvedčení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účasti na kurzoch prechodu na univerzitné školy.</w:t>
            </w:r>
          </w:p>
        </w:tc>
      </w:tr>
    </w:tbl>
    <w:p w14:paraId="063BC082" w14:textId="77777777" w:rsidR="00BF03AA" w:rsidRPr="00326E55" w:rsidRDefault="00BF03AA">
      <w:pPr>
        <w:tabs>
          <w:tab w:val="left" w:pos="3045"/>
        </w:tabs>
        <w:spacing w:before="120" w:after="120"/>
        <w:jc w:val="both"/>
        <w:rPr>
          <w:rFonts w:ascii="Times New Roman" w:hAnsi="Times New Roman"/>
          <w:b/>
          <w:noProof/>
          <w:spacing w:val="-6"/>
          <w:u w:val="single"/>
          <w:lang w:val="sk-SK"/>
        </w:rPr>
        <w:sectPr w:rsidR="00BF03AA" w:rsidRPr="00326E55" w:rsidSect="005F11B9">
          <w:headerReference w:type="even" r:id="rId178"/>
          <w:headerReference w:type="default" r:id="rId179"/>
          <w:footerReference w:type="even" r:id="rId180"/>
          <w:footerReference w:type="default" r:id="rId181"/>
          <w:headerReference w:type="first" r:id="rId182"/>
          <w:footerReference w:type="first" r:id="rId183"/>
          <w:pgSz w:w="16839" w:h="11907" w:orient="landscape"/>
          <w:pgMar w:top="1134" w:right="1134" w:bottom="1134" w:left="1134" w:header="567" w:footer="567" w:gutter="0"/>
          <w:cols w:space="720"/>
          <w:docGrid w:linePitch="360"/>
        </w:sectPr>
      </w:pPr>
    </w:p>
    <w:p w14:paraId="24C127C8" w14:textId="77777777" w:rsidR="00326E55" w:rsidRPr="00326E55" w:rsidRDefault="00FB452D">
      <w:pPr>
        <w:pStyle w:val="Heading3"/>
        <w:ind w:left="850" w:hanging="850"/>
        <w:rPr>
          <w:rStyle w:val="eop"/>
          <w:rFonts w:ascii="Times New Roman" w:hAnsi="Times New Roman" w:cs="Times New Roman"/>
          <w:noProof/>
          <w:spacing w:val="-6"/>
          <w:sz w:val="24"/>
          <w:szCs w:val="24"/>
          <w:lang w:val="sk-SK"/>
        </w:rPr>
      </w:pPr>
      <w:r w:rsidRPr="00326E55">
        <w:rPr>
          <w:rStyle w:val="normaltextrun"/>
          <w:rFonts w:ascii="Times New Roman" w:hAnsi="Times New Roman" w:cs="Times New Roman"/>
          <w:b/>
          <w:noProof/>
          <w:spacing w:val="-6"/>
          <w:sz w:val="24"/>
          <w:szCs w:val="24"/>
          <w:u w:val="single"/>
          <w:lang w:val="sk-SK"/>
        </w:rPr>
        <w:t>J.3. Opis reforiem</w:t>
      </w:r>
      <w:r w:rsidR="00326E55" w:rsidRPr="00326E55">
        <w:rPr>
          <w:rStyle w:val="normaltextrun"/>
          <w:rFonts w:ascii="Times New Roman" w:hAnsi="Times New Roman" w:cs="Times New Roman"/>
          <w:b/>
          <w:noProof/>
          <w:spacing w:val="-6"/>
          <w:sz w:val="24"/>
          <w:szCs w:val="24"/>
          <w:u w:val="single"/>
          <w:lang w:val="sk-SK"/>
        </w:rPr>
        <w:t xml:space="preserve"> a </w:t>
      </w:r>
      <w:r w:rsidRPr="00326E55">
        <w:rPr>
          <w:rStyle w:val="normaltextrun"/>
          <w:rFonts w:ascii="Times New Roman" w:hAnsi="Times New Roman" w:cs="Times New Roman"/>
          <w:b/>
          <w:noProof/>
          <w:spacing w:val="-6"/>
          <w:sz w:val="24"/>
          <w:szCs w:val="24"/>
          <w:u w:val="single"/>
          <w:lang w:val="sk-SK"/>
        </w:rPr>
        <w:t>investícií</w:t>
      </w:r>
      <w:r w:rsidR="00326E55" w:rsidRPr="00326E55">
        <w:rPr>
          <w:rStyle w:val="normaltextrun"/>
          <w:rFonts w:ascii="Times New Roman" w:hAnsi="Times New Roman" w:cs="Times New Roman"/>
          <w:b/>
          <w:noProof/>
          <w:spacing w:val="-6"/>
          <w:sz w:val="24"/>
          <w:szCs w:val="24"/>
          <w:u w:val="single"/>
          <w:lang w:val="sk-SK"/>
        </w:rPr>
        <w:t xml:space="preserve"> v </w:t>
      </w:r>
      <w:r w:rsidRPr="00326E55">
        <w:rPr>
          <w:rStyle w:val="normaltextrun"/>
          <w:rFonts w:ascii="Times New Roman" w:hAnsi="Times New Roman" w:cs="Times New Roman"/>
          <w:b/>
          <w:noProof/>
          <w:spacing w:val="-6"/>
          <w:sz w:val="24"/>
          <w:szCs w:val="24"/>
          <w:u w:val="single"/>
          <w:lang w:val="sk-SK"/>
        </w:rPr>
        <w:t>rámci úverového financovania</w:t>
      </w:r>
    </w:p>
    <w:p w14:paraId="211FE777" w14:textId="77777777" w:rsidR="00326E55" w:rsidRPr="00326E55" w:rsidRDefault="00326E55">
      <w:pPr>
        <w:pStyle w:val="paragraph"/>
        <w:spacing w:before="0" w:beforeAutospacing="0" w:after="0" w:afterAutospacing="0"/>
        <w:jc w:val="both"/>
        <w:textAlignment w:val="baseline"/>
        <w:rPr>
          <w:rStyle w:val="eop"/>
          <w:noProof/>
          <w:spacing w:val="-6"/>
          <w:lang w:val="sk-SK"/>
        </w:rPr>
      </w:pPr>
    </w:p>
    <w:p w14:paraId="65B1EC3D" w14:textId="77777777" w:rsidR="00326E55" w:rsidRPr="00326E55" w:rsidRDefault="00FB452D">
      <w:pPr>
        <w:pStyle w:val="paragraph"/>
        <w:spacing w:before="0" w:beforeAutospacing="0" w:after="0" w:afterAutospacing="0"/>
        <w:jc w:val="both"/>
        <w:textAlignment w:val="baseline"/>
        <w:rPr>
          <w:rStyle w:val="normaltextrun"/>
          <w:b/>
          <w:noProof/>
          <w:spacing w:val="-6"/>
          <w:lang w:val="sk-SK"/>
        </w:rPr>
      </w:pPr>
      <w:r w:rsidRPr="00326E55">
        <w:rPr>
          <w:rStyle w:val="normaltextrun"/>
          <w:b/>
          <w:noProof/>
          <w:spacing w:val="-6"/>
          <w:lang w:val="sk-SK"/>
        </w:rPr>
        <w:t>Reforma 1.7: Reforma regulácie bývania pre študentov</w:t>
      </w:r>
      <w:r w:rsidR="00326E55" w:rsidRPr="00326E55">
        <w:rPr>
          <w:rStyle w:val="normaltextrun"/>
          <w:b/>
          <w:noProof/>
          <w:spacing w:val="-6"/>
          <w:lang w:val="sk-SK"/>
        </w:rPr>
        <w:t xml:space="preserve"> a </w:t>
      </w:r>
      <w:r w:rsidRPr="00326E55">
        <w:rPr>
          <w:rStyle w:val="normaltextrun"/>
          <w:b/>
          <w:noProof/>
          <w:spacing w:val="-6"/>
          <w:lang w:val="sk-SK"/>
        </w:rPr>
        <w:t>investovanie do bývania pre študentov</w:t>
      </w:r>
    </w:p>
    <w:p w14:paraId="10E170F2" w14:textId="5FFF717F" w:rsidR="00BF03AA" w:rsidRPr="00326E55" w:rsidRDefault="00BF03AA">
      <w:pPr>
        <w:pStyle w:val="paragraph"/>
        <w:spacing w:before="0" w:beforeAutospacing="0" w:after="0" w:afterAutospacing="0"/>
        <w:jc w:val="both"/>
        <w:textAlignment w:val="baseline"/>
        <w:rPr>
          <w:rStyle w:val="normaltextrun"/>
          <w:noProof/>
          <w:spacing w:val="-6"/>
          <w:sz w:val="22"/>
          <w:szCs w:val="22"/>
          <w:lang w:val="sk-SK"/>
        </w:rPr>
      </w:pPr>
    </w:p>
    <w:p w14:paraId="6235FAF2" w14:textId="75C5083F" w:rsidR="00326E55" w:rsidRPr="00326E55" w:rsidRDefault="00FB452D">
      <w:pPr>
        <w:pStyle w:val="paragraph"/>
        <w:spacing w:before="0" w:beforeAutospacing="0" w:after="120" w:afterAutospacing="0"/>
        <w:jc w:val="both"/>
        <w:rPr>
          <w:rStyle w:val="normaltextrun"/>
          <w:noProof/>
          <w:spacing w:val="-6"/>
          <w:sz w:val="22"/>
          <w:szCs w:val="22"/>
          <w:lang w:val="sk-SK"/>
        </w:rPr>
      </w:pPr>
      <w:r w:rsidRPr="00326E55">
        <w:rPr>
          <w:rStyle w:val="normaltextrun"/>
          <w:noProof/>
          <w:spacing w:val="-6"/>
          <w:sz w:val="22"/>
          <w:szCs w:val="22"/>
          <w:lang w:val="sk-SK"/>
        </w:rPr>
        <w:t xml:space="preserve">Cieľom reformy je zvýšiť ubytovanie vysokoškolských študentov podporou </w:t>
      </w:r>
      <w:r w:rsidRPr="00326E55">
        <w:rPr>
          <w:rStyle w:val="normaltextrun"/>
          <w:noProof/>
          <w:spacing w:val="-6"/>
          <w:sz w:val="22"/>
          <w:szCs w:val="22"/>
          <w:lang w:val="sk-SK"/>
        </w:rPr>
        <w:t>súkromných</w:t>
      </w:r>
      <w:r w:rsidR="00326E55" w:rsidRPr="00326E55">
        <w:rPr>
          <w:rStyle w:val="normaltextrun"/>
          <w:noProof/>
          <w:spacing w:val="-6"/>
          <w:sz w:val="22"/>
          <w:szCs w:val="22"/>
          <w:lang w:val="sk-SK"/>
        </w:rPr>
        <w:t xml:space="preserve"> a </w:t>
      </w:r>
      <w:r w:rsidRPr="00326E55">
        <w:rPr>
          <w:rStyle w:val="normaltextrun"/>
          <w:noProof/>
          <w:spacing w:val="-6"/>
          <w:sz w:val="22"/>
          <w:szCs w:val="22"/>
          <w:lang w:val="sk-SK"/>
        </w:rPr>
        <w:t>verejných investícií do zariadení</w:t>
      </w:r>
      <w:r w:rsidR="00326E55" w:rsidRPr="00326E55">
        <w:rPr>
          <w:rStyle w:val="normaltextrun"/>
          <w:noProof/>
          <w:spacing w:val="-6"/>
          <w:sz w:val="22"/>
          <w:szCs w:val="22"/>
          <w:lang w:val="sk-SK"/>
        </w:rPr>
        <w:t xml:space="preserve"> s </w:t>
      </w:r>
      <w:r w:rsidRPr="00326E55">
        <w:rPr>
          <w:rStyle w:val="normaltextrun"/>
          <w:noProof/>
          <w:spacing w:val="-6"/>
          <w:sz w:val="22"/>
          <w:szCs w:val="22"/>
          <w:lang w:val="sk-SK"/>
        </w:rPr>
        <w:t>príspevkom ministerstva univerzít</w:t>
      </w:r>
      <w:r w:rsidR="00326E55" w:rsidRPr="00326E55">
        <w:rPr>
          <w:rStyle w:val="normaltextrun"/>
          <w:noProof/>
          <w:spacing w:val="-6"/>
          <w:sz w:val="22"/>
          <w:szCs w:val="22"/>
          <w:lang w:val="sk-SK"/>
        </w:rPr>
        <w:t xml:space="preserve"> a </w:t>
      </w:r>
      <w:r w:rsidRPr="00326E55">
        <w:rPr>
          <w:rStyle w:val="normaltextrun"/>
          <w:noProof/>
          <w:spacing w:val="-6"/>
          <w:sz w:val="22"/>
          <w:szCs w:val="22"/>
          <w:lang w:val="sk-SK"/>
        </w:rPr>
        <w:t>výskumu</w:t>
      </w:r>
      <w:r w:rsidR="00326E55" w:rsidRPr="00326E55">
        <w:rPr>
          <w:rStyle w:val="normaltextrun"/>
          <w:noProof/>
          <w:spacing w:val="-6"/>
          <w:sz w:val="22"/>
          <w:szCs w:val="22"/>
          <w:lang w:val="sk-SK"/>
        </w:rPr>
        <w:t>.</w:t>
      </w:r>
    </w:p>
    <w:p w14:paraId="42E94949" w14:textId="69B457F1" w:rsidR="00326E55" w:rsidRPr="00326E55" w:rsidRDefault="00FB452D">
      <w:pPr>
        <w:pStyle w:val="paragraph"/>
        <w:spacing w:before="0" w:beforeAutospacing="0" w:after="120" w:afterAutospacing="0"/>
        <w:jc w:val="both"/>
        <w:textAlignment w:val="baseline"/>
        <w:rPr>
          <w:rStyle w:val="normaltextrun"/>
          <w:noProof/>
          <w:spacing w:val="-6"/>
          <w:sz w:val="22"/>
          <w:szCs w:val="22"/>
          <w:lang w:val="sk-SK"/>
        </w:rPr>
      </w:pPr>
      <w:r w:rsidRPr="00326E55">
        <w:rPr>
          <w:rStyle w:val="normaltextrun"/>
          <w:noProof/>
          <w:spacing w:val="-6"/>
          <w:sz w:val="22"/>
          <w:szCs w:val="22"/>
          <w:lang w:val="sk-SK"/>
        </w:rPr>
        <w:t>Investícia pozostáva</w:t>
      </w:r>
      <w:r w:rsidR="00326E55" w:rsidRPr="00326E55">
        <w:rPr>
          <w:rStyle w:val="normaltextrun"/>
          <w:noProof/>
          <w:spacing w:val="-6"/>
          <w:sz w:val="22"/>
          <w:szCs w:val="22"/>
          <w:lang w:val="sk-SK"/>
        </w:rPr>
        <w:t xml:space="preserve"> z </w:t>
      </w:r>
      <w:r w:rsidRPr="00326E55">
        <w:rPr>
          <w:rStyle w:val="normaltextrun"/>
          <w:noProof/>
          <w:spacing w:val="-6"/>
          <w:sz w:val="22"/>
          <w:szCs w:val="22"/>
          <w:lang w:val="sk-SK"/>
        </w:rPr>
        <w:t>poskytnutia ďalších ubytovacích zariadení pre študentov</w:t>
      </w:r>
      <w:r w:rsidR="00326E55" w:rsidRPr="00326E55">
        <w:rPr>
          <w:rStyle w:val="normaltextrun"/>
          <w:noProof/>
          <w:spacing w:val="-6"/>
          <w:sz w:val="22"/>
          <w:szCs w:val="22"/>
          <w:lang w:val="sk-SK"/>
        </w:rPr>
        <w:t>.</w:t>
      </w:r>
    </w:p>
    <w:p w14:paraId="3EB0D9FD" w14:textId="362A9EED" w:rsidR="00BF03AA" w:rsidRPr="00326E55" w:rsidRDefault="00FB452D">
      <w:pPr>
        <w:pStyle w:val="P68B1DB1-Normal5"/>
        <w:spacing w:before="120" w:after="120"/>
        <w:jc w:val="both"/>
        <w:rPr>
          <w:noProof/>
          <w:spacing w:val="-6"/>
          <w:lang w:val="sk-SK"/>
        </w:rPr>
      </w:pPr>
      <w:r w:rsidRPr="00326E55">
        <w:rPr>
          <w:noProof/>
          <w:spacing w:val="-6"/>
          <w:lang w:val="sk-SK"/>
        </w:rPr>
        <w:t>Investícia 1.1: Plán pre materské školy</w:t>
      </w:r>
      <w:r w:rsidR="00326E55" w:rsidRPr="00326E55">
        <w:rPr>
          <w:noProof/>
          <w:spacing w:val="-6"/>
          <w:lang w:val="sk-SK"/>
        </w:rPr>
        <w:t xml:space="preserve"> a </w:t>
      </w:r>
      <w:r w:rsidRPr="00326E55">
        <w:rPr>
          <w:noProof/>
          <w:spacing w:val="-6"/>
          <w:lang w:val="sk-SK"/>
        </w:rPr>
        <w:t>predškolské zariadenia</w:t>
      </w:r>
      <w:r w:rsidR="00326E55" w:rsidRPr="00326E55">
        <w:rPr>
          <w:noProof/>
          <w:spacing w:val="-6"/>
          <w:lang w:val="sk-SK"/>
        </w:rPr>
        <w:t xml:space="preserve"> a </w:t>
      </w:r>
      <w:r w:rsidRPr="00326E55">
        <w:rPr>
          <w:noProof/>
          <w:spacing w:val="-6"/>
          <w:lang w:val="sk-SK"/>
        </w:rPr>
        <w:t xml:space="preserve">služby </w:t>
      </w:r>
      <w:r w:rsidRPr="00326E55">
        <w:rPr>
          <w:noProof/>
          <w:spacing w:val="-6"/>
          <w:lang w:val="sk-SK"/>
        </w:rPr>
        <w:t>vzdelávania</w:t>
      </w:r>
      <w:r w:rsidR="00326E55" w:rsidRPr="00326E55">
        <w:rPr>
          <w:noProof/>
          <w:spacing w:val="-6"/>
          <w:lang w:val="sk-SK"/>
        </w:rPr>
        <w:t xml:space="preserve"> a </w:t>
      </w:r>
      <w:r w:rsidRPr="00326E55">
        <w:rPr>
          <w:noProof/>
          <w:spacing w:val="-6"/>
          <w:lang w:val="sk-SK"/>
        </w:rPr>
        <w:t>starostlivosti</w:t>
      </w:r>
      <w:r w:rsidR="00326E55" w:rsidRPr="00326E55">
        <w:rPr>
          <w:noProof/>
          <w:spacing w:val="-6"/>
          <w:lang w:val="sk-SK"/>
        </w:rPr>
        <w:t xml:space="preserve"> v </w:t>
      </w:r>
      <w:r w:rsidRPr="00326E55">
        <w:rPr>
          <w:noProof/>
          <w:spacing w:val="-6"/>
          <w:lang w:val="sk-SK"/>
        </w:rPr>
        <w:t>ranom detstve</w:t>
      </w:r>
    </w:p>
    <w:p w14:paraId="21A79EF9" w14:textId="5DE7E63E" w:rsidR="00BF03AA" w:rsidRPr="00326E55" w:rsidRDefault="00FB452D">
      <w:pPr>
        <w:pStyle w:val="P68B1DB1-Normal7"/>
        <w:spacing w:before="120" w:after="120"/>
        <w:jc w:val="both"/>
        <w:rPr>
          <w:noProof/>
          <w:spacing w:val="-6"/>
          <w:lang w:val="sk-SK"/>
        </w:rPr>
      </w:pPr>
      <w:r w:rsidRPr="00326E55">
        <w:rPr>
          <w:noProof/>
          <w:spacing w:val="-6"/>
          <w:lang w:val="sk-SK"/>
        </w:rPr>
        <w:t>Cieľom tejto investície je rozšíriť</w:t>
      </w:r>
      <w:r w:rsidR="00326E55" w:rsidRPr="00326E55">
        <w:rPr>
          <w:noProof/>
          <w:spacing w:val="-6"/>
          <w:lang w:val="sk-SK"/>
        </w:rPr>
        <w:t xml:space="preserve"> a </w:t>
      </w:r>
      <w:r w:rsidRPr="00326E55">
        <w:rPr>
          <w:noProof/>
          <w:spacing w:val="-6"/>
          <w:lang w:val="sk-SK"/>
        </w:rPr>
        <w:t>zlepšiť vzdelávacie zariadenia pre deti vo veku 0 – 6 rokov. Investícia pozostáva</w:t>
      </w:r>
      <w:r w:rsidR="00326E55" w:rsidRPr="00326E55">
        <w:rPr>
          <w:noProof/>
          <w:spacing w:val="-6"/>
          <w:lang w:val="sk-SK"/>
        </w:rPr>
        <w:t xml:space="preserve"> z </w:t>
      </w:r>
      <w:r w:rsidRPr="00326E55">
        <w:rPr>
          <w:noProof/>
          <w:spacing w:val="-6"/>
          <w:lang w:val="sk-SK"/>
        </w:rPr>
        <w:t>výstavby, prestavby</w:t>
      </w:r>
      <w:r w:rsidR="00326E55" w:rsidRPr="00326E55">
        <w:rPr>
          <w:noProof/>
          <w:spacing w:val="-6"/>
          <w:lang w:val="sk-SK"/>
        </w:rPr>
        <w:t xml:space="preserve"> a </w:t>
      </w:r>
      <w:r w:rsidRPr="00326E55">
        <w:rPr>
          <w:noProof/>
          <w:spacing w:val="-6"/>
          <w:lang w:val="sk-SK"/>
        </w:rPr>
        <w:t>renovácie miest starostlivosti</w:t>
      </w:r>
      <w:r w:rsidR="00326E55" w:rsidRPr="00326E55">
        <w:rPr>
          <w:noProof/>
          <w:spacing w:val="-6"/>
          <w:lang w:val="sk-SK"/>
        </w:rPr>
        <w:t xml:space="preserve"> o </w:t>
      </w:r>
      <w:r w:rsidRPr="00326E55">
        <w:rPr>
          <w:noProof/>
          <w:spacing w:val="-6"/>
          <w:lang w:val="sk-SK"/>
        </w:rPr>
        <w:t>deti</w:t>
      </w:r>
      <w:r w:rsidR="00326E55" w:rsidRPr="00326E55">
        <w:rPr>
          <w:noProof/>
          <w:spacing w:val="-6"/>
          <w:lang w:val="sk-SK"/>
        </w:rPr>
        <w:t xml:space="preserve"> v </w:t>
      </w:r>
      <w:r w:rsidRPr="00326E55">
        <w:rPr>
          <w:noProof/>
          <w:spacing w:val="-6"/>
          <w:lang w:val="sk-SK"/>
        </w:rPr>
        <w:t>jasliach</w:t>
      </w:r>
      <w:r w:rsidR="00326E55" w:rsidRPr="00326E55">
        <w:rPr>
          <w:noProof/>
          <w:spacing w:val="-6"/>
          <w:lang w:val="sk-SK"/>
        </w:rPr>
        <w:t xml:space="preserve"> a </w:t>
      </w:r>
      <w:r w:rsidRPr="00326E55">
        <w:rPr>
          <w:noProof/>
          <w:spacing w:val="-6"/>
          <w:lang w:val="sk-SK"/>
        </w:rPr>
        <w:t>predškolských za</w:t>
      </w:r>
      <w:r w:rsidRPr="00326E55">
        <w:rPr>
          <w:noProof/>
          <w:spacing w:val="-6"/>
          <w:lang w:val="sk-SK"/>
        </w:rPr>
        <w:t>riadeniach.</w:t>
      </w:r>
    </w:p>
    <w:p w14:paraId="368A7BB1"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1.2: Plán na predĺženie pracovného času na plný úväzok</w:t>
      </w:r>
    </w:p>
    <w:p w14:paraId="3465DE22" w14:textId="6C6195A2" w:rsidR="00326E55" w:rsidRPr="00326E55" w:rsidRDefault="00FB452D">
      <w:pPr>
        <w:pStyle w:val="P68B1DB1-Normal7"/>
        <w:spacing w:before="120" w:after="120"/>
        <w:jc w:val="both"/>
        <w:rPr>
          <w:noProof/>
          <w:spacing w:val="-6"/>
          <w:lang w:val="sk-SK"/>
        </w:rPr>
      </w:pPr>
      <w:r w:rsidRPr="00326E55">
        <w:rPr>
          <w:noProof/>
          <w:spacing w:val="-6"/>
          <w:lang w:val="sk-SK"/>
        </w:rPr>
        <w:t>Cieľom tohto opatrenia je umožniť školským zariadeniam predĺžiť školské hodiny renováciou alebo budovaním vhodných infraštruktúr. Investícia pozostáva</w:t>
      </w:r>
      <w:r w:rsidR="00326E55" w:rsidRPr="00326E55">
        <w:rPr>
          <w:noProof/>
          <w:spacing w:val="-6"/>
          <w:lang w:val="sk-SK"/>
        </w:rPr>
        <w:t xml:space="preserve"> z </w:t>
      </w:r>
      <w:r w:rsidRPr="00326E55">
        <w:rPr>
          <w:noProof/>
          <w:spacing w:val="-6"/>
          <w:lang w:val="sk-SK"/>
        </w:rPr>
        <w:t>výstavby alebo výstavby j</w:t>
      </w:r>
      <w:r w:rsidRPr="00326E55">
        <w:rPr>
          <w:noProof/>
          <w:spacing w:val="-6"/>
          <w:lang w:val="sk-SK"/>
        </w:rPr>
        <w:t>edální</w:t>
      </w:r>
      <w:r w:rsidR="00326E55" w:rsidRPr="00326E55">
        <w:rPr>
          <w:noProof/>
          <w:spacing w:val="-6"/>
          <w:lang w:val="sk-SK"/>
        </w:rPr>
        <w:t xml:space="preserve"> v </w:t>
      </w:r>
      <w:r w:rsidRPr="00326E55">
        <w:rPr>
          <w:noProof/>
          <w:spacing w:val="-6"/>
          <w:lang w:val="sk-SK"/>
        </w:rPr>
        <w:t>školských zariadeniach</w:t>
      </w:r>
      <w:r w:rsidR="00326E55" w:rsidRPr="00326E55">
        <w:rPr>
          <w:noProof/>
          <w:spacing w:val="-6"/>
          <w:lang w:val="sk-SK"/>
        </w:rPr>
        <w:t>.</w:t>
      </w:r>
    </w:p>
    <w:p w14:paraId="2438349E" w14:textId="45C1270F" w:rsidR="00BF03AA" w:rsidRPr="00326E55" w:rsidRDefault="00FB452D">
      <w:pPr>
        <w:pStyle w:val="P68B1DB1-Normal5"/>
        <w:spacing w:before="120" w:after="120"/>
        <w:jc w:val="both"/>
        <w:rPr>
          <w:noProof/>
          <w:spacing w:val="-6"/>
          <w:lang w:val="sk-SK"/>
        </w:rPr>
      </w:pPr>
      <w:r w:rsidRPr="00326E55">
        <w:rPr>
          <w:noProof/>
          <w:spacing w:val="-6"/>
          <w:lang w:val="sk-SK"/>
        </w:rPr>
        <w:t>Investícia 3.3: Bezpečnosť školských budov</w:t>
      </w:r>
      <w:r w:rsidR="00326E55" w:rsidRPr="00326E55">
        <w:rPr>
          <w:noProof/>
          <w:spacing w:val="-6"/>
          <w:lang w:val="sk-SK"/>
        </w:rPr>
        <w:t xml:space="preserve"> a </w:t>
      </w:r>
      <w:r w:rsidRPr="00326E55">
        <w:rPr>
          <w:noProof/>
          <w:spacing w:val="-6"/>
          <w:lang w:val="sk-SK"/>
        </w:rPr>
        <w:t>plán štrukturálnej obnovy</w:t>
      </w:r>
    </w:p>
    <w:p w14:paraId="18411604" w14:textId="39E043EC" w:rsidR="00BF03AA" w:rsidRPr="00326E55" w:rsidRDefault="00FB452D">
      <w:pPr>
        <w:pStyle w:val="P68B1DB1-Normal7"/>
        <w:spacing w:before="120" w:after="120"/>
        <w:jc w:val="both"/>
        <w:rPr>
          <w:rStyle w:val="eop"/>
          <w:noProof/>
          <w:spacing w:val="-6"/>
          <w:lang w:val="sk-SK"/>
        </w:rPr>
      </w:pPr>
      <w:r w:rsidRPr="00326E55">
        <w:rPr>
          <w:noProof/>
          <w:spacing w:val="-6"/>
          <w:lang w:val="sk-SK"/>
        </w:rPr>
        <w:t>Cieľom opatrenia je zvýšiť bezpečnosť</w:t>
      </w:r>
      <w:r w:rsidR="00326E55" w:rsidRPr="00326E55">
        <w:rPr>
          <w:noProof/>
          <w:spacing w:val="-6"/>
          <w:lang w:val="sk-SK"/>
        </w:rPr>
        <w:t xml:space="preserve"> a </w:t>
      </w:r>
      <w:r w:rsidRPr="00326E55">
        <w:rPr>
          <w:noProof/>
          <w:spacing w:val="-6"/>
          <w:lang w:val="sk-SK"/>
        </w:rPr>
        <w:t>energetickú hospodárnosť školských budov. Toto opatrenie pozostáva</w:t>
      </w:r>
      <w:r w:rsidR="00326E55" w:rsidRPr="00326E55">
        <w:rPr>
          <w:noProof/>
          <w:spacing w:val="-6"/>
          <w:lang w:val="sk-SK"/>
        </w:rPr>
        <w:t xml:space="preserve"> z </w:t>
      </w:r>
      <w:r w:rsidRPr="00326E55">
        <w:rPr>
          <w:noProof/>
          <w:spacing w:val="-6"/>
          <w:lang w:val="sk-SK"/>
        </w:rPr>
        <w:t>renovácie</w:t>
      </w:r>
      <w:r w:rsidR="00326E55" w:rsidRPr="00326E55">
        <w:rPr>
          <w:noProof/>
          <w:spacing w:val="-6"/>
          <w:lang w:val="sk-SK"/>
        </w:rPr>
        <w:t xml:space="preserve"> a </w:t>
      </w:r>
      <w:r w:rsidRPr="00326E55">
        <w:rPr>
          <w:noProof/>
          <w:spacing w:val="-6"/>
          <w:lang w:val="sk-SK"/>
        </w:rPr>
        <w:t>rekonštrukcie školských budov.</w:t>
      </w:r>
    </w:p>
    <w:p w14:paraId="13F64FE1" w14:textId="77777777" w:rsidR="00BF03AA" w:rsidRPr="00326E55" w:rsidRDefault="00FB452D">
      <w:pPr>
        <w:pStyle w:val="P68B1DB1-Normal5"/>
        <w:jc w:val="both"/>
        <w:rPr>
          <w:bCs/>
          <w:noProof/>
          <w:spacing w:val="-6"/>
          <w:lang w:val="sk-SK"/>
        </w:rPr>
      </w:pPr>
      <w:r w:rsidRPr="00326E55">
        <w:rPr>
          <w:noProof/>
          <w:spacing w:val="-6"/>
          <w:lang w:val="sk-SK"/>
        </w:rPr>
        <w:t>Investícia 5: Fond bývania pre študentov</w:t>
      </w:r>
    </w:p>
    <w:p w14:paraId="116CCF42" w14:textId="2276796C" w:rsidR="00326E55" w:rsidRPr="00326E55" w:rsidRDefault="00FB452D">
      <w:pPr>
        <w:pStyle w:val="P68B1DB1-Normal7"/>
        <w:spacing w:line="240" w:lineRule="auto"/>
        <w:jc w:val="both"/>
        <w:rPr>
          <w:noProof/>
          <w:spacing w:val="-6"/>
          <w:lang w:val="sk-SK"/>
        </w:rPr>
      </w:pPr>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verejných investícií do grantovej schémy</w:t>
      </w:r>
      <w:r w:rsidR="00326E55" w:rsidRPr="00326E55">
        <w:rPr>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Taliansku</w:t>
      </w:r>
      <w:r w:rsidR="00326E55" w:rsidRPr="00326E55">
        <w:rPr>
          <w:noProof/>
          <w:spacing w:val="-6"/>
          <w:lang w:val="sk-SK"/>
        </w:rPr>
        <w:t xml:space="preserve"> v </w:t>
      </w:r>
      <w:r w:rsidRPr="00326E55">
        <w:rPr>
          <w:noProof/>
          <w:spacing w:val="-6"/>
          <w:lang w:val="sk-SK"/>
        </w:rPr>
        <w:t>sektore bývania pre študentov. Systém funguje tak, že poskyt</w:t>
      </w:r>
      <w:r w:rsidRPr="00326E55">
        <w:rPr>
          <w:noProof/>
          <w:spacing w:val="-6"/>
          <w:lang w:val="sk-SK"/>
        </w:rPr>
        <w:t>uje granty priamo súkromnému sektoru, ako aj subjektom verejného sektora zapojeným do podobných činností</w:t>
      </w:r>
      <w:r w:rsidR="00326E55" w:rsidRPr="00326E55">
        <w:rPr>
          <w:noProof/>
          <w:spacing w:val="-6"/>
          <w:lang w:val="sk-SK"/>
        </w:rPr>
        <w:t>.</w:t>
      </w:r>
    </w:p>
    <w:p w14:paraId="53406486" w14:textId="43077DAB" w:rsidR="00BF03AA" w:rsidRPr="00326E55" w:rsidRDefault="00FB452D">
      <w:pPr>
        <w:pStyle w:val="P68B1DB1-Normal7"/>
        <w:spacing w:line="240" w:lineRule="auto"/>
        <w:jc w:val="both"/>
        <w:rPr>
          <w:noProof/>
          <w:spacing w:val="-6"/>
          <w:lang w:val="sk-SK"/>
        </w:rPr>
      </w:pPr>
      <w:r w:rsidRPr="00326E55">
        <w:rPr>
          <w:noProof/>
          <w:spacing w:val="-6"/>
          <w:lang w:val="sk-SK"/>
        </w:rPr>
        <w:t>Systém spravuje Cassa Depositi e Prestiti S.p.A. (CDP S.p.A.) ako implementujúci partner. Systém zahŕňa tento rad výrobkov:</w:t>
      </w:r>
    </w:p>
    <w:p w14:paraId="411594C7" w14:textId="77777777" w:rsidR="00326E55" w:rsidRPr="00326E55" w:rsidRDefault="00FB452D">
      <w:pPr>
        <w:pStyle w:val="P68B1DB1-ListParagraph37"/>
        <w:keepNext/>
        <w:numPr>
          <w:ilvl w:val="0"/>
          <w:numId w:val="73"/>
        </w:numPr>
        <w:spacing w:line="240" w:lineRule="auto"/>
        <w:jc w:val="both"/>
        <w:rPr>
          <w:noProof/>
          <w:spacing w:val="-6"/>
          <w:lang w:val="sk-SK"/>
        </w:rPr>
      </w:pPr>
      <w:r w:rsidRPr="00326E55">
        <w:rPr>
          <w:noProof/>
          <w:spacing w:val="-6"/>
          <w:lang w:val="sk-SK"/>
        </w:rPr>
        <w:t xml:space="preserve">Vytvoril sa jednorazový </w:t>
      </w:r>
      <w:r w:rsidRPr="00326E55">
        <w:rPr>
          <w:noProof/>
          <w:spacing w:val="-6"/>
          <w:lang w:val="sk-SK"/>
        </w:rPr>
        <w:t>grant vo výške maximálne 20 000 EUR na študentské lôžka</w:t>
      </w:r>
      <w:r w:rsidR="00326E55" w:rsidRPr="00326E55">
        <w:rPr>
          <w:noProof/>
          <w:spacing w:val="-6"/>
          <w:lang w:val="sk-SK"/>
        </w:rPr>
        <w:t>.</w:t>
      </w:r>
    </w:p>
    <w:p w14:paraId="5EC7A33A" w14:textId="0EEA8BFF" w:rsidR="00BF03AA" w:rsidRPr="00326E55" w:rsidRDefault="00FB452D">
      <w:pPr>
        <w:pStyle w:val="P68B1DB1-Normal7"/>
        <w:spacing w:line="240" w:lineRule="auto"/>
        <w:jc w:val="both"/>
        <w:rPr>
          <w:noProof/>
          <w:spacing w:val="-6"/>
          <w:lang w:val="sk-SK"/>
        </w:rPr>
      </w:pPr>
      <w:r w:rsidRPr="00326E55">
        <w:rPr>
          <w:noProof/>
          <w:spacing w:val="-6"/>
          <w:lang w:val="sk-SK"/>
        </w:rPr>
        <w:t>S cieľom implementovať investíciu do systému Taliansko</w:t>
      </w:r>
      <w:r w:rsidR="00326E55" w:rsidRPr="00326E55">
        <w:rPr>
          <w:noProof/>
          <w:spacing w:val="-6"/>
          <w:lang w:val="sk-SK"/>
        </w:rPr>
        <w:t xml:space="preserve"> a </w:t>
      </w:r>
      <w:r w:rsidRPr="00326E55">
        <w:rPr>
          <w:noProof/>
          <w:spacing w:val="-6"/>
          <w:lang w:val="sk-SK"/>
        </w:rPr>
        <w:t>spoločnosť CDP S.p.A. podpíšu vykonávaciu dohodu, ktorá bude obsahovať tento obsah:</w:t>
      </w:r>
    </w:p>
    <w:p w14:paraId="2BCDC50F" w14:textId="1DB39EFD" w:rsidR="00BF03AA" w:rsidRPr="00326E55" w:rsidRDefault="00FB452D">
      <w:pPr>
        <w:pStyle w:val="P68B1DB1-LegalNumPar79"/>
        <w:numPr>
          <w:ilvl w:val="0"/>
          <w:numId w:val="172"/>
        </w:numPr>
        <w:spacing w:line="259" w:lineRule="auto"/>
        <w:jc w:val="both"/>
        <w:rPr>
          <w:rFonts w:eastAsia="Times New Roman"/>
          <w:noProof/>
          <w:spacing w:val="-6"/>
          <w:lang w:val="sk-SK"/>
        </w:rPr>
      </w:pPr>
      <w:r w:rsidRPr="00326E55">
        <w:rPr>
          <w:noProof/>
          <w:spacing w:val="-6"/>
          <w:lang w:val="sk-SK"/>
        </w:rPr>
        <w:t>Opis rozhodovacieho procesu</w:t>
      </w:r>
      <w:r w:rsidR="00326E55" w:rsidRPr="00326E55">
        <w:rPr>
          <w:noProof/>
          <w:spacing w:val="-6"/>
          <w:lang w:val="sk-SK"/>
        </w:rPr>
        <w:t xml:space="preserve"> v </w:t>
      </w:r>
      <w:r w:rsidRPr="00326E55">
        <w:rPr>
          <w:noProof/>
          <w:spacing w:val="-6"/>
          <w:lang w:val="sk-SK"/>
        </w:rPr>
        <w:t>rámci schémy: Konečné rozhod</w:t>
      </w:r>
      <w:r w:rsidRPr="00326E55">
        <w:rPr>
          <w:noProof/>
          <w:spacing w:val="-6"/>
          <w:lang w:val="sk-SK"/>
        </w:rPr>
        <w:t>nutie</w:t>
      </w:r>
      <w:r w:rsidR="00326E55" w:rsidRPr="00326E55">
        <w:rPr>
          <w:noProof/>
          <w:spacing w:val="-6"/>
          <w:lang w:val="sk-SK"/>
        </w:rPr>
        <w:t xml:space="preserve"> o </w:t>
      </w:r>
      <w:r w:rsidRPr="00326E55">
        <w:rPr>
          <w:noProof/>
          <w:spacing w:val="-6"/>
          <w:lang w:val="sk-SK"/>
        </w:rPr>
        <w:t>poskytnutí pomoci</w:t>
      </w:r>
      <w:r w:rsidR="00326E55" w:rsidRPr="00326E55">
        <w:rPr>
          <w:noProof/>
          <w:spacing w:val="-6"/>
          <w:lang w:val="sk-SK"/>
        </w:rPr>
        <w:t xml:space="preserve"> v </w:t>
      </w:r>
      <w:r w:rsidRPr="00326E55">
        <w:rPr>
          <w:noProof/>
          <w:spacing w:val="-6"/>
          <w:lang w:val="sk-SK"/>
        </w:rPr>
        <w:t>rámci schémy prijíma 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 ktorí sú nezávislí od vlády.</w:t>
      </w:r>
    </w:p>
    <w:p w14:paraId="100D93E3" w14:textId="77777777" w:rsidR="00BF03AA" w:rsidRPr="00326E55" w:rsidRDefault="00FB452D">
      <w:pPr>
        <w:pStyle w:val="P68B1DB1-LegalNumPar79"/>
        <w:numPr>
          <w:ilvl w:val="0"/>
          <w:numId w:val="85"/>
        </w:numPr>
        <w:spacing w:line="259" w:lineRule="auto"/>
        <w:jc w:val="both"/>
        <w:rPr>
          <w:noProof/>
          <w:spacing w:val="-6"/>
          <w:lang w:val="sk-SK"/>
        </w:rPr>
      </w:pPr>
      <w:r w:rsidRPr="00326E55">
        <w:rPr>
          <w:noProof/>
          <w:spacing w:val="-6"/>
          <w:lang w:val="sk-SK"/>
        </w:rPr>
        <w:t>Kľúčové požiadavky súvisiacej grantovej politiky,</w:t>
      </w:r>
      <w:r w:rsidRPr="00326E55">
        <w:rPr>
          <w:b/>
          <w:noProof/>
          <w:spacing w:val="-6"/>
          <w:lang w:val="sk-SK"/>
        </w:rPr>
        <w:t xml:space="preserve"> </w:t>
      </w:r>
      <w:r w:rsidRPr="00326E55">
        <w:rPr>
          <w:noProof/>
          <w:spacing w:val="-6"/>
          <w:lang w:val="sk-SK"/>
        </w:rPr>
        <w:t>ktoré zahŕňajú:</w:t>
      </w:r>
    </w:p>
    <w:p w14:paraId="73EF3138" w14:textId="77777777" w:rsidR="00BF03AA" w:rsidRPr="00326E55" w:rsidRDefault="00FB452D">
      <w:pPr>
        <w:pStyle w:val="P68B1DB1-LegalNumPar280"/>
        <w:numPr>
          <w:ilvl w:val="1"/>
          <w:numId w:val="85"/>
        </w:numPr>
        <w:spacing w:line="259" w:lineRule="auto"/>
        <w:jc w:val="both"/>
        <w:rPr>
          <w:bCs/>
          <w:noProof/>
          <w:spacing w:val="-6"/>
          <w:lang w:val="sk-SK"/>
        </w:rPr>
      </w:pPr>
      <w:r w:rsidRPr="00326E55">
        <w:rPr>
          <w:noProof/>
          <w:spacing w:val="-6"/>
          <w:lang w:val="sk-SK"/>
        </w:rPr>
        <w:t>Sociálne p</w:t>
      </w:r>
      <w:r w:rsidRPr="00326E55">
        <w:rPr>
          <w:noProof/>
          <w:spacing w:val="-6"/>
          <w:lang w:val="sk-SK"/>
        </w:rPr>
        <w:t>ožiadavky investície vrátane:</w:t>
      </w:r>
    </w:p>
    <w:p w14:paraId="3A4035AB" w14:textId="065A59C6" w:rsidR="00BF03AA" w:rsidRPr="00326E55" w:rsidRDefault="00FB452D">
      <w:pPr>
        <w:pStyle w:val="P68B1DB1-LegalNumPar392"/>
        <w:numPr>
          <w:ilvl w:val="2"/>
          <w:numId w:val="85"/>
        </w:numPr>
        <w:spacing w:line="259" w:lineRule="auto"/>
        <w:jc w:val="both"/>
        <w:rPr>
          <w:rFonts w:eastAsia="Calibri"/>
          <w:noProof/>
          <w:spacing w:val="-6"/>
          <w:lang w:val="sk-SK"/>
        </w:rPr>
      </w:pPr>
      <w:r w:rsidRPr="00326E55">
        <w:rPr>
          <w:noProof/>
          <w:spacing w:val="-6"/>
          <w:lang w:val="sk-SK"/>
        </w:rPr>
        <w:t>Požiadavka, aby nájomné pre vysokoškolských študentov bolo aspoň</w:t>
      </w:r>
      <w:r w:rsidR="00326E55" w:rsidRPr="00326E55">
        <w:rPr>
          <w:noProof/>
          <w:spacing w:val="-6"/>
          <w:lang w:val="sk-SK"/>
        </w:rPr>
        <w:t xml:space="preserve"> o </w:t>
      </w:r>
      <w:r w:rsidRPr="00326E55">
        <w:rPr>
          <w:noProof/>
          <w:spacing w:val="-6"/>
          <w:lang w:val="sk-SK"/>
        </w:rPr>
        <w:t>15</w:t>
      </w:r>
      <w:r w:rsidR="00326E55" w:rsidRPr="00326E55">
        <w:rPr>
          <w:noProof/>
          <w:spacing w:val="-6"/>
          <w:lang w:val="sk-SK"/>
        </w:rPr>
        <w:t> %</w:t>
      </w:r>
      <w:r w:rsidRPr="00326E55">
        <w:rPr>
          <w:noProof/>
          <w:spacing w:val="-6"/>
          <w:lang w:val="sk-SK"/>
        </w:rPr>
        <w:t xml:space="preserve"> nižšie ako miestne trhové ceny.</w:t>
      </w:r>
    </w:p>
    <w:p w14:paraId="4C57B291" w14:textId="5E2849F5" w:rsidR="00BF03AA" w:rsidRPr="00326E55" w:rsidRDefault="00FB452D">
      <w:pPr>
        <w:pStyle w:val="P68B1DB1-LegalNumPar392"/>
        <w:numPr>
          <w:ilvl w:val="2"/>
          <w:numId w:val="85"/>
        </w:numPr>
        <w:spacing w:line="259" w:lineRule="auto"/>
        <w:jc w:val="both"/>
        <w:rPr>
          <w:noProof/>
          <w:spacing w:val="-6"/>
          <w:lang w:val="sk-SK"/>
        </w:rPr>
      </w:pPr>
      <w:r w:rsidRPr="00326E55">
        <w:rPr>
          <w:noProof/>
          <w:spacing w:val="-6"/>
          <w:lang w:val="sk-SK"/>
        </w:rPr>
        <w:t>Požiadavka, aby 30</w:t>
      </w:r>
      <w:r w:rsidR="00326E55" w:rsidRPr="00326E55">
        <w:rPr>
          <w:noProof/>
          <w:spacing w:val="-6"/>
          <w:lang w:val="sk-SK"/>
        </w:rPr>
        <w:t> %</w:t>
      </w:r>
      <w:r w:rsidRPr="00326E55">
        <w:rPr>
          <w:noProof/>
          <w:spacing w:val="-6"/>
          <w:lang w:val="sk-SK"/>
        </w:rPr>
        <w:t xml:space="preserve"> nových miest bolo vyhradených pre študentov, ktorí čelia sociálno-ekonomickým ťažkostiam, ako ich vymedzujú organizácie „Diritto allo Studio“ (právo študovať).</w:t>
      </w:r>
    </w:p>
    <w:p w14:paraId="5B6A4F86" w14:textId="3E51482E" w:rsidR="00BF03AA" w:rsidRPr="00326E55" w:rsidRDefault="00FB452D">
      <w:pPr>
        <w:pStyle w:val="P68B1DB1-LegalNumPar392"/>
        <w:spacing w:line="259" w:lineRule="auto"/>
        <w:jc w:val="both"/>
        <w:rPr>
          <w:noProof/>
          <w:spacing w:val="-6"/>
          <w:lang w:val="sk-SK"/>
        </w:rPr>
      </w:pPr>
      <w:r w:rsidRPr="00326E55">
        <w:rPr>
          <w:noProof/>
          <w:spacing w:val="-6"/>
          <w:lang w:val="sk-SK"/>
        </w:rPr>
        <w:t>Požiadavka, aby existujúce ubytovanie používané na účely bývania pre študentov</w:t>
      </w:r>
      <w:r w:rsidR="00326E55" w:rsidRPr="00326E55">
        <w:rPr>
          <w:noProof/>
          <w:spacing w:val="-6"/>
          <w:lang w:val="sk-SK"/>
        </w:rPr>
        <w:t xml:space="preserve"> v </w:t>
      </w:r>
      <w:r w:rsidRPr="00326E55">
        <w:rPr>
          <w:noProof/>
          <w:spacing w:val="-6"/>
          <w:lang w:val="sk-SK"/>
        </w:rPr>
        <w:t>čase vyhláseni</w:t>
      </w:r>
      <w:r w:rsidRPr="00326E55">
        <w:rPr>
          <w:noProof/>
          <w:spacing w:val="-6"/>
          <w:lang w:val="sk-SK"/>
        </w:rPr>
        <w:t>a príslušnej výzvy na predkladanie projektov nebolo možné financovať.</w:t>
      </w:r>
    </w:p>
    <w:p w14:paraId="440D517D" w14:textId="5003B86E" w:rsidR="00326E55" w:rsidRPr="00326E55" w:rsidRDefault="00FB452D">
      <w:pPr>
        <w:pStyle w:val="P68B1DB1-LegalNumPar280"/>
        <w:numPr>
          <w:ilvl w:val="1"/>
          <w:numId w:val="85"/>
        </w:numPr>
        <w:spacing w:line="259" w:lineRule="auto"/>
        <w:jc w:val="both"/>
        <w:rPr>
          <w:noProof/>
          <w:spacing w:val="-6"/>
          <w:lang w:val="sk-SK"/>
        </w:rPr>
      </w:pPr>
      <w:r w:rsidRPr="00326E55">
        <w:rPr>
          <w:noProof/>
          <w:spacing w:val="-6"/>
          <w:lang w:val="sk-SK"/>
        </w:rPr>
        <w:t>Opis poskytnutých grantov</w:t>
      </w:r>
      <w:r w:rsidR="00326E55" w:rsidRPr="00326E55">
        <w:rPr>
          <w:noProof/>
          <w:spacing w:val="-6"/>
          <w:lang w:val="sk-SK"/>
        </w:rPr>
        <w:t xml:space="preserve"> a </w:t>
      </w:r>
      <w:r w:rsidRPr="00326E55">
        <w:rPr>
          <w:noProof/>
          <w:spacing w:val="-6"/>
          <w:lang w:val="sk-SK"/>
        </w:rPr>
        <w:t>oprávnených konečných príjemcov</w:t>
      </w:r>
      <w:r w:rsidR="00326E55" w:rsidRPr="00326E55">
        <w:rPr>
          <w:noProof/>
          <w:spacing w:val="-6"/>
          <w:lang w:val="sk-SK"/>
        </w:rPr>
        <w:t>.</w:t>
      </w:r>
    </w:p>
    <w:p w14:paraId="0D52FBB3" w14:textId="73F97513" w:rsidR="00BF03AA" w:rsidRPr="00326E55" w:rsidRDefault="00FB452D">
      <w:pPr>
        <w:pStyle w:val="P68B1DB1-LegalNumPar280"/>
        <w:numPr>
          <w:ilvl w:val="1"/>
          <w:numId w:val="85"/>
        </w:numPr>
        <w:spacing w:line="259" w:lineRule="auto"/>
        <w:jc w:val="both"/>
        <w:rPr>
          <w:noProof/>
          <w:spacing w:val="-6"/>
          <w:lang w:val="sk-SK"/>
        </w:rPr>
      </w:pPr>
      <w:r w:rsidRPr="00326E55">
        <w:rPr>
          <w:noProof/>
          <w:spacing w:val="-6"/>
          <w:lang w:val="sk-SK"/>
        </w:rPr>
        <w:t>Požiadavka, aby všetky podporované investície boli ekonomicky životaschopné</w:t>
      </w:r>
      <w:r w:rsidRPr="00326E55">
        <w:rPr>
          <w:b/>
          <w:noProof/>
          <w:spacing w:val="-6"/>
          <w:lang w:val="sk-SK"/>
        </w:rPr>
        <w:t>.</w:t>
      </w:r>
    </w:p>
    <w:p w14:paraId="438EB235" w14:textId="009302A7" w:rsidR="00BF03AA" w:rsidRPr="00326E55" w:rsidRDefault="00FB452D">
      <w:pPr>
        <w:pStyle w:val="LegalNumPar2"/>
        <w:spacing w:line="259" w:lineRule="auto"/>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Požiadavka dodržiavať zásadu „výrazne nenarušiť“</w:t>
      </w:r>
      <w:r w:rsidRPr="00326E55">
        <w:rPr>
          <w:rFonts w:ascii="Times New Roman" w:hAnsi="Times New Roman" w:cs="Times New Roman"/>
          <w:noProof/>
          <w:spacing w:val="-6"/>
          <w:lang w:val="sk-SK"/>
        </w:rPr>
        <w:t>, ako sa stanovuje</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technickom usmernení</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zásade „výrazne nenarušiť“ (2021/C58/01). Grantová politika vylučuje</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oprávnenosti najmä tento zoznam činností</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 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fosílnymi palivami vrátane následného používania,</w:t>
      </w:r>
      <w:r w:rsidRPr="00326E55">
        <w:rPr>
          <w:rFonts w:ascii="Times New Roman" w:hAnsi="Times New Roman" w:cs="Times New Roman"/>
          <w:noProof/>
          <w:spacing w:val="-6"/>
          <w:lang w:val="sk-SK"/>
        </w:rPr>
        <w:footnoteReference w:id="73"/>
      </w:r>
      <w:r w:rsidRPr="00326E55">
        <w:rPr>
          <w:rFonts w:ascii="Times New Roman" w:hAnsi="Times New Roman" w:cs="Times New Roman"/>
          <w:noProof/>
          <w:spacing w:val="-6"/>
          <w:lang w:val="sk-SK"/>
        </w:rPr>
        <w:t>ii) činn</w:t>
      </w:r>
      <w:r w:rsidRPr="00326E55">
        <w:rPr>
          <w:rFonts w:ascii="Times New Roman" w:hAnsi="Times New Roman" w:cs="Times New Roman"/>
          <w:noProof/>
          <w:spacing w:val="-6"/>
          <w:lang w:val="sk-SK"/>
        </w:rPr>
        <w:t>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systému EÚ na obchodovanie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emisiami (ETS), ktorými sa dosahujú predpokladané emisie skleníkových plynov, ktoré nie sú nižšie ako príslušné referenčné hodnoty,</w:t>
      </w:r>
      <w:r w:rsidRPr="00326E55">
        <w:rPr>
          <w:rFonts w:ascii="Times New Roman" w:hAnsi="Times New Roman" w:cs="Times New Roman"/>
          <w:noProof/>
          <w:spacing w:val="-6"/>
          <w:lang w:val="sk-SK"/>
        </w:rPr>
        <w:footnoteReference w:id="74"/>
      </w:r>
      <w:r w:rsidRPr="00326E55">
        <w:rPr>
          <w:rFonts w:ascii="Times New Roman" w:hAnsi="Times New Roman" w:cs="Times New Roman"/>
          <w:noProof/>
          <w:spacing w:val="-6"/>
          <w:lang w:val="sk-SK"/>
        </w:rPr>
        <w:t>iii)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 so skládkami odpadu, spaľovňami</w:t>
      </w:r>
      <w:r w:rsidRPr="00326E55">
        <w:rPr>
          <w:rStyle w:val="FootnoteReference"/>
          <w:rFonts w:ascii="Times New Roman" w:hAnsi="Times New Roman" w:cs="Times New Roman"/>
          <w:noProof/>
          <w:spacing w:val="-6"/>
          <w:lang w:val="sk-SK"/>
        </w:rPr>
        <w:footnoteReference w:id="75"/>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mechanickými biologickými čistiarňami</w:t>
      </w:r>
      <w:r w:rsidRPr="00326E55">
        <w:rPr>
          <w:rStyle w:val="FootnoteReference"/>
          <w:rFonts w:ascii="Times New Roman" w:hAnsi="Times New Roman" w:cs="Times New Roman"/>
          <w:noProof/>
          <w:spacing w:val="-6"/>
          <w:lang w:val="sk-SK"/>
        </w:rPr>
        <w:footnoteReference w:id="76"/>
      </w:r>
      <w:r w:rsidRPr="00326E55">
        <w:rPr>
          <w:rFonts w:ascii="Times New Roman" w:hAnsi="Times New Roman" w:cs="Times New Roman"/>
          <w:noProof/>
          <w:spacing w:val="-6"/>
          <w:lang w:val="sk-SK"/>
        </w:rPr>
        <w:t>. Aby sa predišlo pochybnostiam, plynové kotly nie sú oprávnené na podporu</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tohto opatrenia.</w:t>
      </w:r>
    </w:p>
    <w:p w14:paraId="54576D39" w14:textId="46B78E14" w:rsidR="00BF03AA" w:rsidRPr="00326E55" w:rsidRDefault="00FB452D">
      <w:pPr>
        <w:pStyle w:val="P68B1DB1-LegalNumPar280"/>
        <w:numPr>
          <w:ilvl w:val="1"/>
          <w:numId w:val="85"/>
        </w:numPr>
        <w:spacing w:line="259" w:lineRule="auto"/>
        <w:jc w:val="both"/>
        <w:rPr>
          <w:bCs/>
          <w:noProof/>
          <w:spacing w:val="-6"/>
          <w:lang w:val="sk-SK"/>
        </w:rPr>
      </w:pPr>
      <w:r w:rsidRPr="00326E55">
        <w:rPr>
          <w:noProof/>
          <w:spacing w:val="-6"/>
          <w:lang w:val="sk-SK"/>
        </w:rPr>
        <w:t>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390618F8" w14:textId="2684E074" w:rsidR="00BF03AA" w:rsidRPr="00326E55" w:rsidRDefault="00FB452D">
      <w:pPr>
        <w:pStyle w:val="P68B1DB1-LegalNumPar79"/>
        <w:numPr>
          <w:ilvl w:val="0"/>
          <w:numId w:val="85"/>
        </w:numPr>
        <w:spacing w:line="259" w:lineRule="auto"/>
        <w:jc w:val="both"/>
        <w:rPr>
          <w:noProof/>
          <w:spacing w:val="-6"/>
          <w:lang w:val="sk-SK"/>
        </w:rPr>
      </w:pPr>
      <w:r w:rsidRPr="00326E55">
        <w:rPr>
          <w:noProof/>
          <w:spacing w:val="-6"/>
          <w:lang w:val="sk-SK"/>
        </w:rPr>
        <w:t>Su</w:t>
      </w:r>
      <w:r w:rsidRPr="00326E55">
        <w:rPr>
          <w:noProof/>
          <w:spacing w:val="-6"/>
          <w:lang w:val="sk-SK"/>
        </w:rPr>
        <w:t>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použiť akékoľvek nevyužité výnosy zo systému,</w:t>
      </w:r>
      <w:r w:rsidR="00326E55" w:rsidRPr="00326E55">
        <w:rPr>
          <w:noProof/>
          <w:spacing w:val="-6"/>
          <w:lang w:val="sk-SK"/>
        </w:rPr>
        <w:t xml:space="preserve"> a </w:t>
      </w:r>
      <w:r w:rsidRPr="00326E55">
        <w:rPr>
          <w:noProof/>
          <w:spacing w:val="-6"/>
          <w:lang w:val="sk-SK"/>
        </w:rPr>
        <w:t>to aj po roku 2026, na rovnaké politické účely.</w:t>
      </w:r>
    </w:p>
    <w:p w14:paraId="39F8C633" w14:textId="697FCF78" w:rsidR="00BF03AA" w:rsidRPr="00326E55" w:rsidRDefault="00FB452D">
      <w:pPr>
        <w:pStyle w:val="P68B1DB1-LegalNumPar79"/>
        <w:numPr>
          <w:ilvl w:val="0"/>
          <w:numId w:val="85"/>
        </w:numPr>
        <w:spacing w:line="259" w:lineRule="auto"/>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w:t>
      </w:r>
      <w:r w:rsidRPr="00326E55">
        <w:rPr>
          <w:noProof/>
          <w:spacing w:val="-6"/>
          <w:lang w:val="sk-SK"/>
        </w:rPr>
        <w:t>e:</w:t>
      </w:r>
    </w:p>
    <w:p w14:paraId="17D85FC8" w14:textId="2F35D9D9" w:rsidR="00BF03AA" w:rsidRPr="00326E55" w:rsidRDefault="00FB452D">
      <w:pPr>
        <w:pStyle w:val="P68B1DB1-Normal7"/>
        <w:numPr>
          <w:ilvl w:val="0"/>
          <w:numId w:val="173"/>
        </w:numPr>
        <w:spacing w:line="240" w:lineRule="auto"/>
        <w:jc w:val="both"/>
        <w:rPr>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 </w:t>
      </w:r>
      <w:r w:rsidRPr="00326E55">
        <w:rPr>
          <w:noProof/>
          <w:spacing w:val="-6"/>
          <w:lang w:val="sk-SK"/>
        </w:rPr>
        <w:t>mobilizovaných grantoch.</w:t>
      </w:r>
    </w:p>
    <w:p w14:paraId="150E4026" w14:textId="7A5543F1" w:rsidR="00BF03AA" w:rsidRPr="00326E55" w:rsidRDefault="00FB452D">
      <w:pPr>
        <w:pStyle w:val="P68B1DB1-Normal7"/>
        <w:numPr>
          <w:ilvl w:val="0"/>
          <w:numId w:val="173"/>
        </w:numPr>
        <w:spacing w:line="240" w:lineRule="auto"/>
        <w:jc w:val="both"/>
        <w:rPr>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 </w:t>
      </w:r>
      <w:r w:rsidRPr="00326E55">
        <w:rPr>
          <w:noProof/>
          <w:spacing w:val="-6"/>
          <w:lang w:val="sk-SK"/>
        </w:rPr>
        <w:t>konfliktom záujmov, ich odhaľovanie</w:t>
      </w:r>
      <w:r w:rsidR="00326E55" w:rsidRPr="00326E55">
        <w:rPr>
          <w:noProof/>
          <w:spacing w:val="-6"/>
          <w:lang w:val="sk-SK"/>
        </w:rPr>
        <w:t xml:space="preserve"> a </w:t>
      </w:r>
      <w:r w:rsidRPr="00326E55">
        <w:rPr>
          <w:noProof/>
          <w:spacing w:val="-6"/>
          <w:lang w:val="sk-SK"/>
        </w:rPr>
        <w:t>náprava.</w:t>
      </w:r>
    </w:p>
    <w:p w14:paraId="1C9F443C" w14:textId="6EB0612B" w:rsidR="00BF03AA" w:rsidRPr="00326E55" w:rsidRDefault="00FB452D">
      <w:pPr>
        <w:pStyle w:val="P68B1DB1-Normal7"/>
        <w:numPr>
          <w:ilvl w:val="0"/>
          <w:numId w:val="173"/>
        </w:numPr>
        <w:spacing w:line="240" w:lineRule="auto"/>
        <w:jc w:val="both"/>
        <w:rPr>
          <w:noProof/>
          <w:spacing w:val="-6"/>
          <w:lang w:val="sk-SK"/>
        </w:rPr>
      </w:pPr>
      <w:r w:rsidRPr="00326E55">
        <w:rPr>
          <w:noProof/>
          <w:spacing w:val="-6"/>
          <w:lang w:val="sk-SK"/>
        </w:rPr>
        <w:t>Povinnos</w:t>
      </w:r>
      <w:r w:rsidRPr="00326E55">
        <w:rPr>
          <w:noProof/>
          <w:spacing w:val="-6"/>
          <w:lang w:val="sk-SK"/>
        </w:rPr>
        <w:t>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udelením grantu na operáciu.</w:t>
      </w:r>
    </w:p>
    <w:p w14:paraId="5CD14373" w14:textId="37BAD0ED" w:rsidR="00BF03AA" w:rsidRPr="00326E55" w:rsidRDefault="00FB452D">
      <w:pPr>
        <w:numPr>
          <w:ilvl w:val="0"/>
          <w:numId w:val="173"/>
        </w:numPr>
        <w:spacing w:line="240" w:lineRule="auto"/>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Povinnosť vykonávať ex post audity založené na riziku</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súlade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plánom auditu S.p.A. Tieto audity overujú i) účinnosť systémov</w:t>
      </w:r>
      <w:r w:rsidRPr="00326E55">
        <w:rPr>
          <w:rFonts w:ascii="Times New Roman" w:hAnsi="Times New Roman" w:cs="Times New Roman"/>
          <w:noProof/>
          <w:spacing w:val="-6"/>
          <w:lang w:val="sk-SK"/>
        </w:rPr>
        <w:t xml:space="preserve"> kontroly vrátane odhaľovania podvodov, korupcie</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konfliktu záujmov; II) súlad so zásadou „výrazne nenarušiť“, pravidlami štátnej pomoci;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iii) aby sa dodržala požiadavka, aby koneční príjemcovia schémy nedostali podporu</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 xml:space="preserve">iných nástrojov Únie na </w:t>
      </w:r>
      <w:r w:rsidRPr="00326E55">
        <w:rPr>
          <w:rFonts w:ascii="Times New Roman" w:hAnsi="Times New Roman" w:cs="Times New Roman"/>
          <w:noProof/>
          <w:spacing w:val="-6"/>
          <w:lang w:val="sk-SK"/>
        </w:rPr>
        <w:t>pokrytie rovnakých nákladov. Auditom sa takisto overí zákonnosť transakcií</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dodržiavanie podmienok platných dohôd</w:t>
      </w:r>
      <w:r w:rsidR="00326E55" w:rsidRPr="00326E55">
        <w:rPr>
          <w:rFonts w:ascii="Times New Roman" w:hAnsi="Times New Roman" w:cs="Times New Roman"/>
          <w:noProof/>
          <w:spacing w:val="-6"/>
          <w:lang w:val="sk-SK"/>
        </w:rPr>
        <w:t xml:space="preserve"> o </w:t>
      </w:r>
      <w:r w:rsidRPr="00326E55">
        <w:rPr>
          <w:rFonts w:ascii="Times New Roman" w:hAnsi="Times New Roman" w:cs="Times New Roman"/>
          <w:noProof/>
          <w:spacing w:val="-6"/>
          <w:lang w:val="sk-SK"/>
        </w:rPr>
        <w:t xml:space="preserve">grante podľa vykonávacej dohody. </w:t>
      </w:r>
      <w:r w:rsidRPr="00326E55">
        <w:rPr>
          <w:rFonts w:ascii="Times New Roman" w:eastAsia="Times New Roman" w:hAnsi="Times New Roman" w:cs="Times New Roman"/>
          <w:noProof/>
          <w:spacing w:val="-6"/>
          <w:u w:val="single"/>
          <w:lang w:val="sk-SK"/>
        </w:rPr>
        <w:br w:type="page"/>
      </w:r>
    </w:p>
    <w:p w14:paraId="631567D2" w14:textId="77777777" w:rsidR="00BF03AA" w:rsidRPr="00326E55" w:rsidRDefault="00BF03AA">
      <w:pPr>
        <w:pStyle w:val="paragraph"/>
        <w:spacing w:before="0" w:beforeAutospacing="0" w:after="120" w:afterAutospacing="0"/>
        <w:jc w:val="both"/>
        <w:textAlignment w:val="baseline"/>
        <w:rPr>
          <w:rStyle w:val="eop"/>
          <w:noProof/>
          <w:spacing w:val="-6"/>
          <w:lang w:val="sk-SK"/>
        </w:rPr>
        <w:sectPr w:rsidR="00BF03AA" w:rsidRPr="00326E55" w:rsidSect="005F11B9">
          <w:headerReference w:type="even" r:id="rId184"/>
          <w:headerReference w:type="default" r:id="rId185"/>
          <w:footerReference w:type="even" r:id="rId186"/>
          <w:footerReference w:type="default" r:id="rId187"/>
          <w:headerReference w:type="first" r:id="rId188"/>
          <w:footerReference w:type="first" r:id="rId189"/>
          <w:pgSz w:w="11907" w:h="16839"/>
          <w:pgMar w:top="1134" w:right="1134" w:bottom="1134" w:left="1134" w:header="567" w:footer="567" w:gutter="0"/>
          <w:cols w:space="720"/>
          <w:docGrid w:linePitch="360"/>
        </w:sectPr>
      </w:pPr>
    </w:p>
    <w:p w14:paraId="473CC359" w14:textId="34624561" w:rsidR="00BF03AA" w:rsidRPr="00326E55" w:rsidRDefault="00FB452D">
      <w:pPr>
        <w:pStyle w:val="Heading3"/>
        <w:ind w:left="850" w:hanging="850"/>
        <w:rPr>
          <w:rFonts w:ascii="Times New Roman" w:hAnsi="Times New Roman" w:cs="Times New Roman"/>
          <w:i/>
          <w:iCs/>
          <w:noProof/>
          <w:spacing w:val="-6"/>
          <w:sz w:val="24"/>
          <w:szCs w:val="24"/>
          <w:lang w:val="sk-SK"/>
        </w:rPr>
      </w:pPr>
      <w:r w:rsidRPr="00326E55">
        <w:rPr>
          <w:rStyle w:val="normaltextrun"/>
          <w:rFonts w:ascii="Times New Roman" w:hAnsi="Times New Roman" w:cs="Times New Roman"/>
          <w:b/>
          <w:noProof/>
          <w:spacing w:val="-6"/>
          <w:sz w:val="24"/>
          <w:szCs w:val="24"/>
          <w:u w:val="single"/>
          <w:lang w:val="sk-SK"/>
        </w:rPr>
        <w:t>J.4. Míľniky, ciele, ukazovatele</w:t>
      </w:r>
      <w:r w:rsidR="00326E55" w:rsidRPr="00326E55">
        <w:rPr>
          <w:rStyle w:val="normaltextrun"/>
          <w:rFonts w:ascii="Times New Roman" w:hAnsi="Times New Roman" w:cs="Times New Roman"/>
          <w:b/>
          <w:noProof/>
          <w:spacing w:val="-6"/>
          <w:sz w:val="24"/>
          <w:szCs w:val="24"/>
          <w:u w:val="single"/>
          <w:lang w:val="sk-SK"/>
        </w:rPr>
        <w:t xml:space="preserve"> a </w:t>
      </w:r>
      <w:r w:rsidRPr="00326E55">
        <w:rPr>
          <w:rStyle w:val="normaltextrun"/>
          <w:rFonts w:ascii="Times New Roman" w:hAnsi="Times New Roman" w:cs="Times New Roman"/>
          <w:b/>
          <w:noProof/>
          <w:spacing w:val="-6"/>
          <w:sz w:val="24"/>
          <w:szCs w:val="24"/>
          <w:u w:val="single"/>
          <w:lang w:val="sk-SK"/>
        </w:rPr>
        <w:t>harmonog</w:t>
      </w:r>
      <w:r w:rsidRPr="00326E55">
        <w:rPr>
          <w:rStyle w:val="normaltextrun"/>
          <w:rFonts w:ascii="Times New Roman" w:hAnsi="Times New Roman" w:cs="Times New Roman"/>
          <w:b/>
          <w:noProof/>
          <w:spacing w:val="-6"/>
          <w:sz w:val="24"/>
          <w:szCs w:val="24"/>
          <w:u w:val="single"/>
          <w:lang w:val="sk-SK"/>
        </w:rPr>
        <w:t>ram monitorovania</w:t>
      </w:r>
      <w:r w:rsidR="00326E55" w:rsidRPr="00326E55">
        <w:rPr>
          <w:rStyle w:val="normaltextrun"/>
          <w:rFonts w:ascii="Times New Roman" w:hAnsi="Times New Roman" w:cs="Times New Roman"/>
          <w:b/>
          <w:noProof/>
          <w:spacing w:val="-6"/>
          <w:sz w:val="24"/>
          <w:szCs w:val="24"/>
          <w:u w:val="single"/>
          <w:lang w:val="sk-SK"/>
        </w:rPr>
        <w:t xml:space="preserve"> a </w:t>
      </w:r>
      <w:r w:rsidRPr="00326E55">
        <w:rPr>
          <w:rStyle w:val="normaltextrun"/>
          <w:rFonts w:ascii="Times New Roman" w:hAnsi="Times New Roman" w:cs="Times New Roman"/>
          <w:b/>
          <w:noProof/>
          <w:spacing w:val="-6"/>
          <w:sz w:val="24"/>
          <w:szCs w:val="24"/>
          <w:u w:val="single"/>
          <w:lang w:val="sk-SK"/>
        </w:rPr>
        <w:t>realizácie</w:t>
      </w:r>
      <w:r w:rsidR="00326E55" w:rsidRPr="00326E55">
        <w:rPr>
          <w:rStyle w:val="normaltextrun"/>
          <w:rFonts w:ascii="Times New Roman" w:hAnsi="Times New Roman" w:cs="Times New Roman"/>
          <w:b/>
          <w:noProof/>
          <w:spacing w:val="-6"/>
          <w:sz w:val="24"/>
          <w:szCs w:val="24"/>
          <w:u w:val="single"/>
          <w:lang w:val="sk-SK"/>
        </w:rPr>
        <w:t xml:space="preserve"> v </w:t>
      </w:r>
      <w:r w:rsidRPr="00326E55">
        <w:rPr>
          <w:rStyle w:val="normaltextrun"/>
          <w:rFonts w:ascii="Times New Roman" w:hAnsi="Times New Roman" w:cs="Times New Roman"/>
          <w:b/>
          <w:noProof/>
          <w:spacing w:val="-6"/>
          <w:sz w:val="24"/>
          <w:szCs w:val="24"/>
          <w:u w:val="single"/>
          <w:lang w:val="sk-SK"/>
        </w:rPr>
        <w:t>súvislosti</w:t>
      </w:r>
      <w:r w:rsidR="00326E55" w:rsidRPr="00326E55">
        <w:rPr>
          <w:rStyle w:val="normaltextrun"/>
          <w:rFonts w:ascii="Times New Roman" w:hAnsi="Times New Roman" w:cs="Times New Roman"/>
          <w:b/>
          <w:noProof/>
          <w:spacing w:val="-6"/>
          <w:sz w:val="24"/>
          <w:szCs w:val="24"/>
          <w:u w:val="single"/>
          <w:lang w:val="sk-SK"/>
        </w:rPr>
        <w:t xml:space="preserve"> s </w:t>
      </w:r>
      <w:r w:rsidRPr="00326E55">
        <w:rPr>
          <w:rStyle w:val="normaltextrun"/>
          <w:rFonts w:ascii="Times New Roman" w:hAnsi="Times New Roman" w:cs="Times New Roman"/>
          <w:b/>
          <w:noProof/>
          <w:spacing w:val="-6"/>
          <w:sz w:val="24"/>
          <w:szCs w:val="24"/>
          <w:u w:val="single"/>
          <w:lang w:val="sk-SK"/>
        </w:rPr>
        <w:t>úverom</w:t>
      </w:r>
      <w:r w:rsidRPr="00326E55">
        <w:rPr>
          <w:rStyle w:val="eop"/>
          <w:rFonts w:ascii="Times New Roman" w:hAnsi="Times New Roman" w:cs="Times New Roman"/>
          <w:noProof/>
          <w:spacing w:val="-6"/>
          <w:sz w:val="24"/>
          <w:szCs w:val="24"/>
          <w:lang w:val="sk-SK"/>
        </w:rPr>
        <w:t xml:space="preserve"> </w:t>
      </w:r>
    </w:p>
    <w:tbl>
      <w:tblPr>
        <w:tblW w:w="15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8"/>
        <w:gridCol w:w="1701"/>
        <w:gridCol w:w="1135"/>
        <w:gridCol w:w="1814"/>
        <w:gridCol w:w="1578"/>
        <w:gridCol w:w="1148"/>
        <w:gridCol w:w="1133"/>
        <w:gridCol w:w="848"/>
        <w:gridCol w:w="900"/>
        <w:gridCol w:w="710"/>
        <w:gridCol w:w="3208"/>
      </w:tblGrid>
      <w:tr w:rsidR="00BF03AA" w:rsidRPr="00326E55" w14:paraId="2BAE7A71" w14:textId="77777777">
        <w:trPr>
          <w:trHeight w:val="300"/>
          <w:tblHeader/>
          <w:jc w:val="center"/>
        </w:trPr>
        <w:tc>
          <w:tcPr>
            <w:tcW w:w="1078" w:type="dxa"/>
            <w:vMerge w:val="restart"/>
            <w:shd w:val="clear" w:color="auto" w:fill="BDD7EE"/>
            <w:vAlign w:val="center"/>
            <w:hideMark/>
          </w:tcPr>
          <w:p w14:paraId="011F01EE"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Poradové číslo</w:t>
            </w:r>
          </w:p>
        </w:tc>
        <w:tc>
          <w:tcPr>
            <w:tcW w:w="1701" w:type="dxa"/>
            <w:vMerge w:val="restart"/>
            <w:shd w:val="clear" w:color="auto" w:fill="BDD7EE"/>
            <w:vAlign w:val="center"/>
            <w:hideMark/>
          </w:tcPr>
          <w:p w14:paraId="1D99BDB6"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Súvisiace opatrenie (reforma alebo investícia)</w:t>
            </w:r>
          </w:p>
        </w:tc>
        <w:tc>
          <w:tcPr>
            <w:tcW w:w="1135" w:type="dxa"/>
            <w:vMerge w:val="restart"/>
            <w:shd w:val="clear" w:color="auto" w:fill="BDD7EE"/>
            <w:vAlign w:val="center"/>
            <w:hideMark/>
          </w:tcPr>
          <w:p w14:paraId="2E0FB614" w14:textId="7B30A9D1"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Míľnik/cieľ</w:t>
            </w:r>
          </w:p>
        </w:tc>
        <w:tc>
          <w:tcPr>
            <w:tcW w:w="1814" w:type="dxa"/>
            <w:vMerge w:val="restart"/>
            <w:shd w:val="clear" w:color="auto" w:fill="BDD7EE"/>
            <w:vAlign w:val="center"/>
            <w:hideMark/>
          </w:tcPr>
          <w:p w14:paraId="2BC8DCC5"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Názov</w:t>
            </w:r>
          </w:p>
        </w:tc>
        <w:tc>
          <w:tcPr>
            <w:tcW w:w="1578" w:type="dxa"/>
            <w:vMerge w:val="restart"/>
            <w:shd w:val="clear" w:color="auto" w:fill="BDD7EE"/>
            <w:vAlign w:val="center"/>
            <w:hideMark/>
          </w:tcPr>
          <w:p w14:paraId="53CA35F0" w14:textId="77777777" w:rsidR="00BF03AA" w:rsidRPr="00326E55" w:rsidRDefault="00FB452D">
            <w:pPr>
              <w:jc w:val="center"/>
              <w:rPr>
                <w:rFonts w:ascii="Times New Roman" w:hAnsi="Times New Roman"/>
                <w:b/>
                <w:bCs/>
                <w:noProof/>
                <w:spacing w:val="-6"/>
                <w:sz w:val="20"/>
                <w:szCs w:val="20"/>
                <w:lang w:val="sk-SK"/>
              </w:rPr>
            </w:pPr>
            <w:r w:rsidRPr="00326E55">
              <w:rPr>
                <w:rFonts w:ascii="Times New Roman" w:hAnsi="Times New Roman"/>
                <w:b/>
                <w:noProof/>
                <w:spacing w:val="-6"/>
                <w:sz w:val="20"/>
                <w:szCs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szCs w:val="20"/>
                <w:lang w:val="sk-SK"/>
              </w:rPr>
              <w:t>(pre míľniky)</w:t>
            </w:r>
          </w:p>
        </w:tc>
        <w:tc>
          <w:tcPr>
            <w:tcW w:w="3129" w:type="dxa"/>
            <w:gridSpan w:val="3"/>
            <w:shd w:val="clear" w:color="auto" w:fill="BDD7EE"/>
            <w:vAlign w:val="center"/>
            <w:hideMark/>
          </w:tcPr>
          <w:p w14:paraId="0F841B82" w14:textId="77777777" w:rsidR="00BF03AA" w:rsidRPr="00326E55" w:rsidRDefault="00FB452D">
            <w:pPr>
              <w:jc w:val="center"/>
              <w:rPr>
                <w:rFonts w:ascii="Times New Roman" w:hAnsi="Times New Roman"/>
                <w:b/>
                <w:bCs/>
                <w:noProof/>
                <w:spacing w:val="-6"/>
                <w:sz w:val="20"/>
                <w:szCs w:val="20"/>
                <w:lang w:val="sk-SK"/>
              </w:rPr>
            </w:pPr>
            <w:r w:rsidRPr="00326E55">
              <w:rPr>
                <w:rFonts w:ascii="Times New Roman" w:hAnsi="Times New Roman"/>
                <w:b/>
                <w:noProof/>
                <w:spacing w:val="-6"/>
                <w:sz w:val="20"/>
                <w:szCs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szCs w:val="20"/>
                <w:lang w:val="sk-SK"/>
              </w:rPr>
              <w:t>(pre cieľové hodnoty)</w:t>
            </w:r>
          </w:p>
        </w:tc>
        <w:tc>
          <w:tcPr>
            <w:tcW w:w="1610" w:type="dxa"/>
            <w:gridSpan w:val="2"/>
            <w:shd w:val="clear" w:color="auto" w:fill="BDD7EE"/>
            <w:vAlign w:val="center"/>
            <w:hideMark/>
          </w:tcPr>
          <w:p w14:paraId="5A2007D1"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Orientačný harmonogram dokončenia</w:t>
            </w:r>
          </w:p>
        </w:tc>
        <w:tc>
          <w:tcPr>
            <w:tcW w:w="3208" w:type="dxa"/>
            <w:vMerge w:val="restart"/>
            <w:shd w:val="clear" w:color="auto" w:fill="BDD7EE"/>
            <w:vAlign w:val="center"/>
            <w:hideMark/>
          </w:tcPr>
          <w:p w14:paraId="19D8C29B" w14:textId="2C49E666"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1A9F2C1C" w14:textId="77777777">
        <w:trPr>
          <w:trHeight w:val="300"/>
          <w:tblHeader/>
          <w:jc w:val="center"/>
        </w:trPr>
        <w:tc>
          <w:tcPr>
            <w:tcW w:w="1078" w:type="dxa"/>
            <w:vMerge/>
            <w:vAlign w:val="center"/>
            <w:hideMark/>
          </w:tcPr>
          <w:p w14:paraId="5F9C1B7D" w14:textId="77777777" w:rsidR="00BF03AA" w:rsidRPr="00326E55" w:rsidRDefault="00BF03AA">
            <w:pPr>
              <w:jc w:val="center"/>
              <w:rPr>
                <w:rFonts w:ascii="Times New Roman" w:hAnsi="Times New Roman"/>
                <w:b/>
                <w:noProof/>
                <w:spacing w:val="-6"/>
                <w:sz w:val="20"/>
                <w:szCs w:val="20"/>
                <w:lang w:val="sk-SK"/>
              </w:rPr>
            </w:pPr>
          </w:p>
        </w:tc>
        <w:tc>
          <w:tcPr>
            <w:tcW w:w="1701" w:type="dxa"/>
            <w:vMerge/>
            <w:vAlign w:val="center"/>
            <w:hideMark/>
          </w:tcPr>
          <w:p w14:paraId="02D76D78" w14:textId="77777777" w:rsidR="00BF03AA" w:rsidRPr="00326E55" w:rsidRDefault="00BF03AA">
            <w:pPr>
              <w:jc w:val="center"/>
              <w:rPr>
                <w:rFonts w:ascii="Times New Roman" w:hAnsi="Times New Roman"/>
                <w:b/>
                <w:noProof/>
                <w:spacing w:val="-6"/>
                <w:sz w:val="20"/>
                <w:szCs w:val="20"/>
                <w:lang w:val="sk-SK"/>
              </w:rPr>
            </w:pPr>
          </w:p>
        </w:tc>
        <w:tc>
          <w:tcPr>
            <w:tcW w:w="1135" w:type="dxa"/>
            <w:vMerge/>
            <w:vAlign w:val="center"/>
            <w:hideMark/>
          </w:tcPr>
          <w:p w14:paraId="1D8F4D04" w14:textId="77777777" w:rsidR="00BF03AA" w:rsidRPr="00326E55" w:rsidRDefault="00BF03AA">
            <w:pPr>
              <w:jc w:val="center"/>
              <w:rPr>
                <w:rFonts w:ascii="Times New Roman" w:hAnsi="Times New Roman"/>
                <w:b/>
                <w:noProof/>
                <w:spacing w:val="-6"/>
                <w:sz w:val="20"/>
                <w:szCs w:val="20"/>
                <w:lang w:val="sk-SK"/>
              </w:rPr>
            </w:pPr>
          </w:p>
        </w:tc>
        <w:tc>
          <w:tcPr>
            <w:tcW w:w="1814" w:type="dxa"/>
            <w:vMerge/>
            <w:vAlign w:val="center"/>
            <w:hideMark/>
          </w:tcPr>
          <w:p w14:paraId="1D8A63AE" w14:textId="77777777" w:rsidR="00BF03AA" w:rsidRPr="00326E55" w:rsidRDefault="00BF03AA">
            <w:pPr>
              <w:jc w:val="center"/>
              <w:rPr>
                <w:rFonts w:ascii="Times New Roman" w:hAnsi="Times New Roman"/>
                <w:b/>
                <w:noProof/>
                <w:spacing w:val="-6"/>
                <w:sz w:val="20"/>
                <w:szCs w:val="20"/>
                <w:lang w:val="sk-SK"/>
              </w:rPr>
            </w:pPr>
          </w:p>
        </w:tc>
        <w:tc>
          <w:tcPr>
            <w:tcW w:w="1578" w:type="dxa"/>
            <w:vMerge/>
            <w:vAlign w:val="center"/>
            <w:hideMark/>
          </w:tcPr>
          <w:p w14:paraId="611ED0CB" w14:textId="77777777" w:rsidR="00BF03AA" w:rsidRPr="00326E55" w:rsidRDefault="00BF03AA">
            <w:pPr>
              <w:jc w:val="center"/>
              <w:rPr>
                <w:rFonts w:ascii="Times New Roman" w:hAnsi="Times New Roman"/>
                <w:b/>
                <w:noProof/>
                <w:spacing w:val="-6"/>
                <w:sz w:val="20"/>
                <w:szCs w:val="20"/>
                <w:lang w:val="sk-SK"/>
              </w:rPr>
            </w:pPr>
          </w:p>
        </w:tc>
        <w:tc>
          <w:tcPr>
            <w:tcW w:w="1148" w:type="dxa"/>
            <w:shd w:val="clear" w:color="auto" w:fill="BDD7EE"/>
            <w:vAlign w:val="center"/>
            <w:hideMark/>
          </w:tcPr>
          <w:p w14:paraId="763CD9A1"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Merná jednotka</w:t>
            </w:r>
          </w:p>
        </w:tc>
        <w:tc>
          <w:tcPr>
            <w:tcW w:w="1133" w:type="dxa"/>
            <w:shd w:val="clear" w:color="auto" w:fill="BDD7EE"/>
            <w:vAlign w:val="center"/>
            <w:hideMark/>
          </w:tcPr>
          <w:p w14:paraId="1775E62F"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Základná</w:t>
            </w:r>
          </w:p>
        </w:tc>
        <w:tc>
          <w:tcPr>
            <w:tcW w:w="848" w:type="dxa"/>
            <w:shd w:val="clear" w:color="auto" w:fill="BDD7EE"/>
            <w:vAlign w:val="center"/>
            <w:hideMark/>
          </w:tcPr>
          <w:p w14:paraId="210C53BF"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Cieľ</w:t>
            </w:r>
          </w:p>
        </w:tc>
        <w:tc>
          <w:tcPr>
            <w:tcW w:w="900" w:type="dxa"/>
            <w:shd w:val="clear" w:color="auto" w:fill="BDD7EE"/>
            <w:vAlign w:val="center"/>
            <w:hideMark/>
          </w:tcPr>
          <w:p w14:paraId="70F5827A"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Štvrtina</w:t>
            </w:r>
          </w:p>
        </w:tc>
        <w:tc>
          <w:tcPr>
            <w:tcW w:w="710" w:type="dxa"/>
            <w:shd w:val="clear" w:color="auto" w:fill="BDD7EE"/>
            <w:vAlign w:val="center"/>
            <w:hideMark/>
          </w:tcPr>
          <w:p w14:paraId="159B7616" w14:textId="77777777" w:rsidR="00BF03AA" w:rsidRPr="00326E55" w:rsidRDefault="00FB452D">
            <w:pPr>
              <w:pStyle w:val="P68B1DB1-Normal93"/>
              <w:jc w:val="center"/>
              <w:rPr>
                <w:rFonts w:ascii="Times New Roman" w:hAnsi="Times New Roman"/>
                <w:bCs/>
                <w:noProof/>
                <w:spacing w:val="-6"/>
                <w:lang w:val="sk-SK"/>
              </w:rPr>
            </w:pPr>
            <w:r w:rsidRPr="00326E55">
              <w:rPr>
                <w:rFonts w:ascii="Times New Roman" w:hAnsi="Times New Roman"/>
                <w:noProof/>
                <w:spacing w:val="-6"/>
                <w:lang w:val="sk-SK"/>
              </w:rPr>
              <w:t>Rok</w:t>
            </w:r>
          </w:p>
        </w:tc>
        <w:tc>
          <w:tcPr>
            <w:tcW w:w="3208" w:type="dxa"/>
            <w:vMerge/>
            <w:vAlign w:val="center"/>
            <w:hideMark/>
          </w:tcPr>
          <w:p w14:paraId="080DF5E6" w14:textId="77777777" w:rsidR="00BF03AA" w:rsidRPr="00326E55" w:rsidRDefault="00BF03AA">
            <w:pPr>
              <w:rPr>
                <w:rFonts w:ascii="Times New Roman" w:hAnsi="Times New Roman"/>
                <w:b/>
                <w:noProof/>
                <w:spacing w:val="-6"/>
                <w:sz w:val="20"/>
                <w:szCs w:val="20"/>
                <w:lang w:val="sk-SK"/>
              </w:rPr>
            </w:pPr>
          </w:p>
        </w:tc>
      </w:tr>
      <w:tr w:rsidR="00BF03AA" w:rsidRPr="00326E55" w14:paraId="4A830CD5" w14:textId="77777777">
        <w:trPr>
          <w:trHeight w:val="300"/>
          <w:jc w:val="center"/>
        </w:trPr>
        <w:tc>
          <w:tcPr>
            <w:tcW w:w="10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6BE07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18</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8E710C" w14:textId="0883AE6E"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1.1: Plán pre materské školy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predškolské zariadenia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služby vzdelávania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starostlivosti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ranom detstve</w:t>
            </w:r>
          </w:p>
        </w:tc>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93A7F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8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9F5099" w14:textId="05120E44"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Miesta vytvorené na vzdelávanie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starostlivosť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ranom detstve pre deti vo veku 0 – 6 rokov. </w:t>
            </w:r>
          </w:p>
        </w:tc>
        <w:tc>
          <w:tcPr>
            <w:tcW w:w="15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4E3DB5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4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61952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1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4EEF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84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11B41" w14:textId="77777777" w:rsidR="00BF03AA" w:rsidRPr="00326E55" w:rsidRDefault="00FB452D">
            <w:pPr>
              <w:pStyle w:val="P68B1DB1-Normal94"/>
              <w:jc w:val="center"/>
              <w:rPr>
                <w:rFonts w:ascii="Times New Roman" w:hAnsi="Times New Roman" w:hint="default"/>
                <w:noProof/>
                <w:spacing w:val="-6"/>
                <w:lang w:val="sk-SK"/>
              </w:rPr>
            </w:pPr>
            <w:r w:rsidRPr="00326E55">
              <w:rPr>
                <w:rFonts w:ascii="Times New Roman" w:hAnsi="Times New Roman"/>
                <w:noProof/>
                <w:spacing w:val="-6"/>
                <w:lang w:val="sk-SK"/>
              </w:rPr>
              <w:t>150 480</w:t>
            </w:r>
          </w:p>
        </w:tc>
        <w:tc>
          <w:tcPr>
            <w:tcW w:w="90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2F611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AB4B1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08" w:type="dxa"/>
            <w:shd w:val="clear" w:color="auto" w:fill="C6EFCE"/>
            <w:noWrap/>
            <w:vAlign w:val="center"/>
            <w:hideMark/>
          </w:tcPr>
          <w:p w14:paraId="714A4D44" w14:textId="6E73EBA4"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najmenej 150480 novopostavených, rekvalifikovaných, rozšírených alebo vyplývajúcich zo zmeny využívania služieb vzdelá</w:t>
            </w:r>
            <w:r w:rsidRPr="00326E55">
              <w:rPr>
                <w:rFonts w:ascii="Times New Roman" w:hAnsi="Times New Roman"/>
                <w:noProof/>
                <w:spacing w:val="-6"/>
                <w:lang w:val="sk-SK"/>
              </w:rPr>
              <w:t>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starostlivosti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ranom detstve pre deti vo veku 0 – 6 rokov,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toho maximálne 35000 miest vyplývajúcich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demolácie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rekonštrukcie existujúcich miest. Investícia nezahŕňa obstarávanie kotlov na zemný plyn.</w:t>
            </w:r>
          </w:p>
        </w:tc>
      </w:tr>
      <w:tr w:rsidR="00BF03AA" w:rsidRPr="00326E55" w14:paraId="1952ED98" w14:textId="77777777">
        <w:trPr>
          <w:trHeight w:val="300"/>
          <w:jc w:val="center"/>
        </w:trPr>
        <w:tc>
          <w:tcPr>
            <w:tcW w:w="1078" w:type="dxa"/>
            <w:shd w:val="clear" w:color="auto" w:fill="C6EFCE"/>
            <w:noWrap/>
            <w:vAlign w:val="center"/>
          </w:tcPr>
          <w:p w14:paraId="20902D3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21</w:t>
            </w:r>
          </w:p>
        </w:tc>
        <w:tc>
          <w:tcPr>
            <w:tcW w:w="1701" w:type="dxa"/>
            <w:shd w:val="clear" w:color="auto" w:fill="C6EFCE"/>
            <w:noWrap/>
            <w:vAlign w:val="center"/>
          </w:tcPr>
          <w:p w14:paraId="56231E5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Investícia 1.2: Plán na </w:t>
            </w:r>
            <w:r w:rsidRPr="00326E55">
              <w:rPr>
                <w:rFonts w:ascii="Times New Roman" w:hAnsi="Times New Roman"/>
                <w:noProof/>
                <w:spacing w:val="-6"/>
                <w:lang w:val="sk-SK"/>
              </w:rPr>
              <w:t>predĺženie pracovného času na plný úväzok</w:t>
            </w:r>
          </w:p>
        </w:tc>
        <w:tc>
          <w:tcPr>
            <w:tcW w:w="1135" w:type="dxa"/>
            <w:shd w:val="clear" w:color="auto" w:fill="C6EFCE"/>
            <w:noWrap/>
            <w:vAlign w:val="center"/>
          </w:tcPr>
          <w:p w14:paraId="1C4F285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814" w:type="dxa"/>
            <w:shd w:val="clear" w:color="auto" w:fill="C6EFCE"/>
            <w:noWrap/>
            <w:vAlign w:val="center"/>
          </w:tcPr>
          <w:p w14:paraId="23CBC223" w14:textId="17682AE8"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Výstavba alebo renovácia jedální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školách</w:t>
            </w:r>
          </w:p>
        </w:tc>
        <w:tc>
          <w:tcPr>
            <w:tcW w:w="1578" w:type="dxa"/>
            <w:shd w:val="clear" w:color="auto" w:fill="C6EFCE"/>
            <w:noWrap/>
            <w:vAlign w:val="center"/>
          </w:tcPr>
          <w:p w14:paraId="5AE3907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48" w:type="dxa"/>
            <w:shd w:val="clear" w:color="auto" w:fill="C6EFCE"/>
            <w:noWrap/>
            <w:vAlign w:val="center"/>
          </w:tcPr>
          <w:p w14:paraId="6729A6E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133" w:type="dxa"/>
            <w:shd w:val="clear" w:color="auto" w:fill="C6EFCE"/>
            <w:noWrap/>
            <w:vAlign w:val="center"/>
          </w:tcPr>
          <w:p w14:paraId="43F3DF6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848" w:type="dxa"/>
            <w:shd w:val="clear" w:color="auto" w:fill="C6EFCE"/>
            <w:noWrap/>
            <w:vAlign w:val="center"/>
          </w:tcPr>
          <w:p w14:paraId="7DCF42B1" w14:textId="77777777" w:rsidR="00BF03AA" w:rsidRPr="00326E55" w:rsidRDefault="00FB452D">
            <w:pPr>
              <w:pStyle w:val="P68B1DB1-Normal94"/>
              <w:jc w:val="center"/>
              <w:rPr>
                <w:rFonts w:ascii="Times New Roman" w:hAnsi="Times New Roman" w:hint="default"/>
                <w:noProof/>
                <w:spacing w:val="-6"/>
                <w:lang w:val="sk-SK"/>
              </w:rPr>
            </w:pPr>
            <w:r w:rsidRPr="00326E55">
              <w:rPr>
                <w:rFonts w:ascii="Times New Roman" w:hAnsi="Times New Roman"/>
                <w:noProof/>
                <w:spacing w:val="-6"/>
                <w:lang w:val="sk-SK"/>
              </w:rPr>
              <w:t>1 000</w:t>
            </w:r>
          </w:p>
        </w:tc>
        <w:tc>
          <w:tcPr>
            <w:tcW w:w="900" w:type="dxa"/>
            <w:shd w:val="clear" w:color="auto" w:fill="C6EFCE"/>
            <w:noWrap/>
            <w:vAlign w:val="center"/>
          </w:tcPr>
          <w:p w14:paraId="133E884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0" w:type="dxa"/>
            <w:shd w:val="clear" w:color="auto" w:fill="C6EFCE"/>
            <w:noWrap/>
            <w:vAlign w:val="center"/>
          </w:tcPr>
          <w:p w14:paraId="60FF992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08" w:type="dxa"/>
            <w:shd w:val="clear" w:color="auto" w:fill="C6EFCE"/>
            <w:noWrap/>
            <w:vAlign w:val="center"/>
          </w:tcPr>
          <w:p w14:paraId="46648519" w14:textId="25899164"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sa vydávajú pre najmenej 1000 jedální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školách.</w:t>
            </w:r>
          </w:p>
        </w:tc>
      </w:tr>
      <w:tr w:rsidR="00BF03AA" w:rsidRPr="00326E55" w14:paraId="343B84F2" w14:textId="77777777">
        <w:trPr>
          <w:trHeight w:val="300"/>
          <w:jc w:val="center"/>
        </w:trPr>
        <w:tc>
          <w:tcPr>
            <w:tcW w:w="1078" w:type="dxa"/>
            <w:shd w:val="clear" w:color="auto" w:fill="C6EFCE"/>
            <w:noWrap/>
            <w:vAlign w:val="center"/>
          </w:tcPr>
          <w:p w14:paraId="1D71AE1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26</w:t>
            </w:r>
          </w:p>
        </w:tc>
        <w:tc>
          <w:tcPr>
            <w:tcW w:w="1701" w:type="dxa"/>
            <w:shd w:val="clear" w:color="auto" w:fill="C6EFCE"/>
            <w:noWrap/>
            <w:vAlign w:val="center"/>
          </w:tcPr>
          <w:p w14:paraId="2D2FB7D1" w14:textId="29600B71"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Investícia 3.3: Bezpečnosť </w:t>
            </w:r>
            <w:r w:rsidRPr="00326E55">
              <w:rPr>
                <w:rFonts w:ascii="Times New Roman" w:hAnsi="Times New Roman"/>
                <w:noProof/>
                <w:spacing w:val="-6"/>
                <w:lang w:val="sk-SK"/>
              </w:rPr>
              <w:t>školských budov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plán štrukturálnej obnovy</w:t>
            </w:r>
          </w:p>
        </w:tc>
        <w:tc>
          <w:tcPr>
            <w:tcW w:w="1135" w:type="dxa"/>
            <w:shd w:val="clear" w:color="auto" w:fill="C6EFCE"/>
            <w:noWrap/>
            <w:vAlign w:val="center"/>
          </w:tcPr>
          <w:p w14:paraId="1AAB872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814" w:type="dxa"/>
            <w:shd w:val="clear" w:color="auto" w:fill="C6EFCE"/>
            <w:noWrap/>
            <w:vAlign w:val="center"/>
          </w:tcPr>
          <w:p w14:paraId="416C757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 Zrekonštruované alebo renovované školské budovy</w:t>
            </w:r>
          </w:p>
        </w:tc>
        <w:tc>
          <w:tcPr>
            <w:tcW w:w="1578" w:type="dxa"/>
            <w:shd w:val="clear" w:color="auto" w:fill="C6EFCE"/>
            <w:noWrap/>
            <w:vAlign w:val="center"/>
          </w:tcPr>
          <w:p w14:paraId="78E2A2E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48" w:type="dxa"/>
            <w:shd w:val="clear" w:color="auto" w:fill="C6EFCE"/>
            <w:noWrap/>
            <w:vAlign w:val="center"/>
          </w:tcPr>
          <w:p w14:paraId="299067D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133" w:type="dxa"/>
            <w:shd w:val="clear" w:color="auto" w:fill="C6EFCE"/>
            <w:noWrap/>
            <w:vAlign w:val="center"/>
          </w:tcPr>
          <w:p w14:paraId="23ED4B2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848" w:type="dxa"/>
            <w:shd w:val="clear" w:color="auto" w:fill="C6EFCE"/>
            <w:noWrap/>
            <w:vAlign w:val="center"/>
          </w:tcPr>
          <w:p w14:paraId="6168BDAE" w14:textId="4CFB3D6A"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1 400</w:t>
            </w:r>
          </w:p>
        </w:tc>
        <w:tc>
          <w:tcPr>
            <w:tcW w:w="900" w:type="dxa"/>
            <w:shd w:val="clear" w:color="auto" w:fill="C6EFCE"/>
            <w:noWrap/>
            <w:vAlign w:val="center"/>
          </w:tcPr>
          <w:p w14:paraId="0A41A3F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0" w:type="dxa"/>
            <w:shd w:val="clear" w:color="auto" w:fill="C6EFCE"/>
            <w:noWrap/>
            <w:vAlign w:val="center"/>
          </w:tcPr>
          <w:p w14:paraId="133CEA5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08" w:type="dxa"/>
            <w:shd w:val="clear" w:color="auto" w:fill="C6EFCE"/>
            <w:noWrap/>
            <w:vAlign w:val="center"/>
          </w:tcPr>
          <w:p w14:paraId="74D89791" w14:textId="56BD08C4"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renovačných alebo rekonštrukčných prác zvyšujúcich bezpečnosť alebo energetickú efektívnosť</w:t>
            </w:r>
            <w:r w:rsidRPr="00326E55">
              <w:rPr>
                <w:rFonts w:ascii="Times New Roman" w:hAnsi="Times New Roman"/>
                <w:noProof/>
                <w:spacing w:val="-6"/>
                <w:lang w:val="sk-SK"/>
              </w:rPr>
              <w:t xml:space="preserve"> sa vydávajú pre najmenej 1400 školských budov. Investícia nezahŕňa obstarávanie kotlov na zemný plyn.</w:t>
            </w:r>
          </w:p>
        </w:tc>
      </w:tr>
      <w:tr w:rsidR="00BF03AA" w:rsidRPr="00326E55" w14:paraId="41ABCBF5" w14:textId="77777777">
        <w:trPr>
          <w:trHeight w:val="300"/>
          <w:jc w:val="center"/>
        </w:trPr>
        <w:tc>
          <w:tcPr>
            <w:tcW w:w="1078" w:type="dxa"/>
            <w:shd w:val="clear" w:color="auto" w:fill="C6EFCE"/>
            <w:noWrap/>
            <w:vAlign w:val="center"/>
            <w:hideMark/>
          </w:tcPr>
          <w:p w14:paraId="6A6807B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27</w:t>
            </w:r>
          </w:p>
        </w:tc>
        <w:tc>
          <w:tcPr>
            <w:tcW w:w="1701" w:type="dxa"/>
            <w:shd w:val="clear" w:color="auto" w:fill="C6EFCE"/>
            <w:noWrap/>
            <w:vAlign w:val="center"/>
          </w:tcPr>
          <w:p w14:paraId="33FCBC1E" w14:textId="7A43C6FB"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Reforma 1.7: Reforma regulácie bývania pre študentov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investovanie do bývania pre študentov</w:t>
            </w:r>
          </w:p>
        </w:tc>
        <w:tc>
          <w:tcPr>
            <w:tcW w:w="1135" w:type="dxa"/>
            <w:shd w:val="clear" w:color="auto" w:fill="C6EFCE"/>
            <w:noWrap/>
            <w:vAlign w:val="center"/>
            <w:hideMark/>
          </w:tcPr>
          <w:p w14:paraId="01C98D1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814" w:type="dxa"/>
            <w:shd w:val="clear" w:color="auto" w:fill="C6EFCE"/>
            <w:noWrap/>
            <w:vAlign w:val="center"/>
          </w:tcPr>
          <w:p w14:paraId="2C35613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Nadobudnutie účinnosti právnych predpisov </w:t>
            </w:r>
            <w:r w:rsidRPr="00326E55">
              <w:rPr>
                <w:rFonts w:ascii="Times New Roman" w:hAnsi="Times New Roman"/>
                <w:noProof/>
                <w:spacing w:val="-6"/>
                <w:lang w:val="sk-SK"/>
              </w:rPr>
              <w:t>na zmenu súčasných pravidiel týkajúcich sa bývania pre študentov.</w:t>
            </w:r>
          </w:p>
        </w:tc>
        <w:tc>
          <w:tcPr>
            <w:tcW w:w="1578" w:type="dxa"/>
            <w:shd w:val="clear" w:color="auto" w:fill="C6EFCE"/>
            <w:noWrap/>
            <w:vAlign w:val="center"/>
            <w:hideMark/>
          </w:tcPr>
          <w:p w14:paraId="16DEB8D3" w14:textId="416013FE"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právnych predpisov.</w:t>
            </w:r>
          </w:p>
        </w:tc>
        <w:tc>
          <w:tcPr>
            <w:tcW w:w="1148" w:type="dxa"/>
            <w:shd w:val="clear" w:color="auto" w:fill="C6EFCE"/>
            <w:noWrap/>
            <w:vAlign w:val="center"/>
            <w:hideMark/>
          </w:tcPr>
          <w:p w14:paraId="7965323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3" w:type="dxa"/>
            <w:shd w:val="clear" w:color="auto" w:fill="C6EFCE"/>
            <w:noWrap/>
            <w:vAlign w:val="center"/>
          </w:tcPr>
          <w:p w14:paraId="3A4477B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48" w:type="dxa"/>
            <w:shd w:val="clear" w:color="auto" w:fill="C6EFCE"/>
            <w:noWrap/>
            <w:vAlign w:val="center"/>
          </w:tcPr>
          <w:p w14:paraId="6FB0AA1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0" w:type="dxa"/>
            <w:shd w:val="clear" w:color="auto" w:fill="C6EFCE"/>
            <w:noWrap/>
            <w:vAlign w:val="center"/>
            <w:hideMark/>
          </w:tcPr>
          <w:p w14:paraId="677B6BE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10" w:type="dxa"/>
            <w:shd w:val="clear" w:color="auto" w:fill="C6EFCE"/>
            <w:noWrap/>
            <w:vAlign w:val="center"/>
            <w:hideMark/>
          </w:tcPr>
          <w:p w14:paraId="04E6AA6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2021</w:t>
            </w:r>
          </w:p>
        </w:tc>
        <w:tc>
          <w:tcPr>
            <w:tcW w:w="3208" w:type="dxa"/>
            <w:shd w:val="clear" w:color="auto" w:fill="C6EFCE"/>
            <w:noWrap/>
            <w:vAlign w:val="center"/>
            <w:hideMark/>
          </w:tcPr>
          <w:p w14:paraId="3EA388AB" w14:textId="5DA28A14"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Revidované právne predpisy:</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 xml:space="preserve">Zmeniť súčasné pravidlá bývania pre študentov (zákon </w:t>
            </w:r>
            <w:r w:rsidR="00326E55" w:rsidRPr="00326E55">
              <w:rPr>
                <w:rFonts w:ascii="Times New Roman" w:hAnsi="Times New Roman"/>
                <w:noProof/>
                <w:color w:val="006100"/>
                <w:spacing w:val="-6"/>
                <w:sz w:val="20"/>
                <w:szCs w:val="20"/>
                <w:lang w:val="sk-SK"/>
              </w:rPr>
              <w:t>č. </w:t>
            </w:r>
            <w:r w:rsidRPr="00326E55">
              <w:rPr>
                <w:rFonts w:ascii="Times New Roman" w:hAnsi="Times New Roman"/>
                <w:noProof/>
                <w:color w:val="006100"/>
                <w:spacing w:val="-6"/>
                <w:sz w:val="20"/>
                <w:szCs w:val="20"/>
                <w:lang w:val="sk-SK"/>
              </w:rPr>
              <w:t>338/2000</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legislatívny dekrét 68/2012)</w:t>
            </w:r>
            <w:r w:rsidR="00326E55" w:rsidRPr="00326E55">
              <w:rPr>
                <w:rFonts w:ascii="Times New Roman" w:hAnsi="Times New Roman"/>
                <w:noProof/>
                <w:color w:val="006100"/>
                <w:spacing w:val="-6"/>
                <w:sz w:val="20"/>
                <w:szCs w:val="20"/>
                <w:lang w:val="sk-SK"/>
              </w:rPr>
              <w:t xml:space="preserve"> s </w:t>
            </w:r>
            <w:r w:rsidRPr="00326E55">
              <w:rPr>
                <w:rFonts w:ascii="Times New Roman" w:hAnsi="Times New Roman"/>
                <w:noProof/>
                <w:color w:val="006100"/>
                <w:spacing w:val="-6"/>
                <w:sz w:val="20"/>
                <w:szCs w:val="20"/>
                <w:lang w:val="sk-SK"/>
              </w:rPr>
              <w:t>cieľom:</w:t>
            </w:r>
          </w:p>
          <w:p w14:paraId="22BEEB07" w14:textId="65EF0A34"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(1). Podpora reštrukturalizácie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renovácie stavieb namiesto nových budov na zelenej lúke (s vyšším percentuálnym podielom družobných budov,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súčasno</w:t>
            </w:r>
            <w:r w:rsidRPr="00326E55">
              <w:rPr>
                <w:rFonts w:ascii="Times New Roman" w:hAnsi="Times New Roman"/>
                <w:noProof/>
                <w:spacing w:val="-6"/>
                <w:lang w:val="sk-SK"/>
              </w:rPr>
              <w:t>sti na úrovni 50</w:t>
            </w:r>
            <w:r w:rsidR="00326E55" w:rsidRPr="00326E55">
              <w:rPr>
                <w:rFonts w:ascii="Times New Roman" w:hAnsi="Times New Roman"/>
                <w:noProof/>
                <w:spacing w:val="-6"/>
                <w:lang w:val="sk-SK"/>
              </w:rPr>
              <w:t> %</w:t>
            </w:r>
            <w:r w:rsidRPr="00326E55">
              <w:rPr>
                <w:rFonts w:ascii="Times New Roman" w:hAnsi="Times New Roman"/>
                <w:noProof/>
                <w:spacing w:val="-6"/>
                <w:lang w:val="sk-SK"/>
              </w:rPr>
              <w:t>), pričom predložené projekty by mali zabezpečiť najvyššiu environmentálnu normu;</w:t>
            </w:r>
          </w:p>
          <w:p w14:paraId="114B3C65" w14:textId="56D98E5F"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(2). Zjednodušiť,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vďaka digitalizácii, prezentácii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výberu projektov,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tým aj načasovaniu realizácie;</w:t>
            </w:r>
          </w:p>
          <w:p w14:paraId="0E58A1CC" w14:textId="4934D6AE"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(3) Zákonom ustanoviť výnimku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 xml:space="preserve">kritérií </w:t>
            </w:r>
            <w:r w:rsidRPr="00326E55">
              <w:rPr>
                <w:rFonts w:ascii="Times New Roman" w:hAnsi="Times New Roman"/>
                <w:noProof/>
                <w:spacing w:val="-6"/>
                <w:lang w:val="sk-SK"/>
              </w:rPr>
              <w:t>stanovených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zákone </w:t>
            </w:r>
            <w:r w:rsidR="00326E55" w:rsidRPr="00326E55">
              <w:rPr>
                <w:rFonts w:ascii="Times New Roman" w:hAnsi="Times New Roman"/>
                <w:noProof/>
                <w:spacing w:val="-6"/>
                <w:lang w:val="sk-SK"/>
              </w:rPr>
              <w:t>č. </w:t>
            </w:r>
            <w:r w:rsidRPr="00326E55">
              <w:rPr>
                <w:rFonts w:ascii="Times New Roman" w:hAnsi="Times New Roman"/>
                <w:noProof/>
                <w:spacing w:val="-6"/>
                <w:lang w:val="sk-SK"/>
              </w:rPr>
              <w:t>338/2000,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percento spolufinancovania, ktoré možno poskytnúť.</w:t>
            </w:r>
          </w:p>
          <w:p w14:paraId="7943BDF0"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Reforma sa vykoná zavedením týchto hlavných zmien do talianskeho regulačného rámca pre študentské bývanie:</w:t>
            </w:r>
          </w:p>
          <w:p w14:paraId="36DA8E2F" w14:textId="394930F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1. Otvorenie účasti na financovaní aj súkromným inv</w:t>
            </w:r>
            <w:r w:rsidRPr="00326E55">
              <w:rPr>
                <w:rFonts w:ascii="Times New Roman" w:hAnsi="Times New Roman"/>
                <w:noProof/>
                <w:spacing w:val="-6"/>
                <w:lang w:val="sk-SK"/>
              </w:rPr>
              <w:t>estorom (podľa schémy opísanej vo vykonávaní)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umožnenie verejno-súkromných partnerstiev,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ktorých univerzita využije dostupné finančné prostriedky na podporu finančnej rovnováhy investícií do nehnuteľností na bývanie pre študentov;</w:t>
            </w:r>
          </w:p>
          <w:p w14:paraId="798D6D6C" w14:textId="0091984E"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2. Zabezpečiť d</w:t>
            </w:r>
            <w:r w:rsidRPr="00326E55">
              <w:rPr>
                <w:rFonts w:ascii="Times New Roman" w:hAnsi="Times New Roman"/>
                <w:noProof/>
                <w:spacing w:val="-6"/>
                <w:lang w:val="sk-SK"/>
              </w:rPr>
              <w:t>lhodobú udržateľnosť súkromných investícií tým, že sa zaručí zmena daňového systému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režimu uplatňovaného na hotelové služby na systém, ktorý sa uplatňuje na sociálne bývanie, obmedzia sa využívanie nových ubytovacích zariadení na účely bývania pre študen</w:t>
            </w:r>
            <w:r w:rsidRPr="00326E55">
              <w:rPr>
                <w:rFonts w:ascii="Times New Roman" w:hAnsi="Times New Roman"/>
                <w:noProof/>
                <w:spacing w:val="-6"/>
                <w:lang w:val="sk-SK"/>
              </w:rPr>
              <w:t>tov počas akademického roka, ale umožní sa využívanie štruktúr, ak nie sú potrebné pre študentské ubytovacie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stravovacie zariadenia. To zase pomôže zabezpečiť novú škálu ubytovania za cenovo dostupné nájomné;g3. Podmienenie financovania, ako aj dodatočný</w:t>
            </w:r>
            <w:r w:rsidRPr="00326E55">
              <w:rPr>
                <w:rFonts w:ascii="Times New Roman" w:hAnsi="Times New Roman"/>
                <w:noProof/>
                <w:spacing w:val="-6"/>
                <w:lang w:val="sk-SK"/>
              </w:rPr>
              <w:t>ch daňových úľav (napr. rovnaké zaobchádzanie so sociálnym bývaním) využívaním nových ubytovacích zariadení na bývanie pre študentov počas celkového investičného horizontu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dodržiavaním dohodnutej hornej hranice nájomného účtovaného študentom aj po skonče</w:t>
            </w:r>
            <w:r w:rsidRPr="00326E55">
              <w:rPr>
                <w:rFonts w:ascii="Times New Roman" w:hAnsi="Times New Roman"/>
                <w:noProof/>
                <w:spacing w:val="-6"/>
                <w:lang w:val="sk-SK"/>
              </w:rPr>
              <w:t>ní platnosti osobitných systémov financovania, ktoré prispievajú</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podnecovaniu investícií súkromných prevádzkovateľov;n4. Nové vymedzenie noriem pre študentské ubytovanie opätovným vymedzením právnych požiadaviek týkajúcich sa spoločného priestoru na štud</w:t>
            </w:r>
            <w:r w:rsidRPr="00326E55">
              <w:rPr>
                <w:rFonts w:ascii="Times New Roman" w:hAnsi="Times New Roman"/>
                <w:noProof/>
                <w:spacing w:val="-6"/>
                <w:lang w:val="sk-SK"/>
              </w:rPr>
              <w:t>enta dostupného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budovách výmenou za lepšie vybavené (jedno) izby.</w:t>
            </w:r>
          </w:p>
        </w:tc>
      </w:tr>
      <w:tr w:rsidR="00BF03AA" w:rsidRPr="00326E55" w14:paraId="2AF0DBE6" w14:textId="77777777">
        <w:trPr>
          <w:trHeight w:val="300"/>
          <w:jc w:val="center"/>
        </w:trPr>
        <w:tc>
          <w:tcPr>
            <w:tcW w:w="1078" w:type="dxa"/>
            <w:shd w:val="clear" w:color="auto" w:fill="C6EFCE"/>
            <w:noWrap/>
            <w:vAlign w:val="center"/>
            <w:hideMark/>
          </w:tcPr>
          <w:p w14:paraId="76BC5C6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28</w:t>
            </w:r>
          </w:p>
        </w:tc>
        <w:tc>
          <w:tcPr>
            <w:tcW w:w="1701" w:type="dxa"/>
            <w:shd w:val="clear" w:color="auto" w:fill="C6EFCE"/>
            <w:noWrap/>
            <w:vAlign w:val="center"/>
            <w:hideMark/>
          </w:tcPr>
          <w:p w14:paraId="3332CD6A" w14:textId="66F7E69E"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Reforma 1.7: Reforma regulácie bývania pre študentov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investovanie do bývania pre študentov</w:t>
            </w:r>
          </w:p>
        </w:tc>
        <w:tc>
          <w:tcPr>
            <w:tcW w:w="1135" w:type="dxa"/>
            <w:shd w:val="clear" w:color="auto" w:fill="C6EFCE"/>
            <w:noWrap/>
            <w:vAlign w:val="center"/>
            <w:hideMark/>
          </w:tcPr>
          <w:p w14:paraId="3EFF334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814" w:type="dxa"/>
            <w:shd w:val="clear" w:color="auto" w:fill="C6EFCE"/>
            <w:noWrap/>
            <w:vAlign w:val="center"/>
            <w:hideMark/>
          </w:tcPr>
          <w:p w14:paraId="5F5DECA0" w14:textId="758DD8C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Zadanie pôvodných zákaziek na vytvorenie ďalších ubytovacích jednotiek na </w:t>
            </w:r>
            <w:r w:rsidRPr="00326E55">
              <w:rPr>
                <w:rFonts w:ascii="Times New Roman" w:hAnsi="Times New Roman"/>
                <w:noProof/>
                <w:spacing w:val="-6"/>
                <w:lang w:val="sk-SK"/>
              </w:rPr>
              <w:t>spanie (lôžok)</w:t>
            </w:r>
          </w:p>
        </w:tc>
        <w:tc>
          <w:tcPr>
            <w:tcW w:w="1578" w:type="dxa"/>
            <w:shd w:val="clear" w:color="auto" w:fill="C6EFCE"/>
            <w:noWrap/>
            <w:vAlign w:val="center"/>
            <w:hideMark/>
          </w:tcPr>
          <w:p w14:paraId="314B8FD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 Uverejnenie zadania zákaziek na webovom sídle ministerstva</w:t>
            </w:r>
          </w:p>
        </w:tc>
        <w:tc>
          <w:tcPr>
            <w:tcW w:w="1148" w:type="dxa"/>
            <w:shd w:val="clear" w:color="auto" w:fill="C6EFCE"/>
            <w:noWrap/>
            <w:vAlign w:val="center"/>
            <w:hideMark/>
          </w:tcPr>
          <w:p w14:paraId="3AD908A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3" w:type="dxa"/>
            <w:shd w:val="clear" w:color="auto" w:fill="C6EFCE"/>
            <w:noWrap/>
            <w:vAlign w:val="center"/>
            <w:hideMark/>
          </w:tcPr>
          <w:p w14:paraId="332E1D0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48" w:type="dxa"/>
            <w:shd w:val="clear" w:color="auto" w:fill="C6EFCE"/>
            <w:noWrap/>
            <w:vAlign w:val="center"/>
            <w:hideMark/>
          </w:tcPr>
          <w:p w14:paraId="0B1C630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0" w:type="dxa"/>
            <w:shd w:val="clear" w:color="auto" w:fill="C6EFCE"/>
            <w:noWrap/>
            <w:vAlign w:val="center"/>
            <w:hideMark/>
          </w:tcPr>
          <w:p w14:paraId="5B0F899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0" w:type="dxa"/>
            <w:shd w:val="clear" w:color="auto" w:fill="C6EFCE"/>
            <w:noWrap/>
            <w:vAlign w:val="center"/>
            <w:hideMark/>
          </w:tcPr>
          <w:p w14:paraId="7E1F1AD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2023</w:t>
            </w:r>
          </w:p>
        </w:tc>
        <w:tc>
          <w:tcPr>
            <w:tcW w:w="3208" w:type="dxa"/>
            <w:shd w:val="clear" w:color="auto" w:fill="C6EFCE"/>
            <w:noWrap/>
            <w:vAlign w:val="center"/>
            <w:hideMark/>
          </w:tcPr>
          <w:p w14:paraId="0A564710"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Zadanie pôvodných zákaziek na vytvorenie ďalších ubytovacích jednotiek na spanie (lôžok)“;</w:t>
            </w:r>
          </w:p>
        </w:tc>
      </w:tr>
      <w:tr w:rsidR="00BF03AA" w:rsidRPr="00326E55" w14:paraId="1FF45BCD" w14:textId="77777777">
        <w:trPr>
          <w:trHeight w:val="300"/>
          <w:jc w:val="center"/>
        </w:trPr>
        <w:tc>
          <w:tcPr>
            <w:tcW w:w="1078" w:type="dxa"/>
            <w:shd w:val="clear" w:color="auto" w:fill="C6EFCE"/>
            <w:noWrap/>
            <w:vAlign w:val="center"/>
            <w:hideMark/>
          </w:tcPr>
          <w:p w14:paraId="7530CB0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29</w:t>
            </w:r>
          </w:p>
        </w:tc>
        <w:tc>
          <w:tcPr>
            <w:tcW w:w="1701" w:type="dxa"/>
            <w:shd w:val="clear" w:color="auto" w:fill="C6EFCE"/>
            <w:noWrap/>
            <w:vAlign w:val="center"/>
            <w:hideMark/>
          </w:tcPr>
          <w:p w14:paraId="6BEA1938" w14:textId="5C018961"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Reforma 1.7: Reforma </w:t>
            </w:r>
            <w:r w:rsidRPr="00326E55">
              <w:rPr>
                <w:rFonts w:ascii="Times New Roman" w:hAnsi="Times New Roman"/>
                <w:noProof/>
                <w:spacing w:val="-6"/>
                <w:lang w:val="sk-SK"/>
              </w:rPr>
              <w:t>regulácie bývania pre študentov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investovanie do bývania pre študentov</w:t>
            </w:r>
          </w:p>
        </w:tc>
        <w:tc>
          <w:tcPr>
            <w:tcW w:w="1135" w:type="dxa"/>
            <w:shd w:val="clear" w:color="auto" w:fill="C6EFCE"/>
            <w:noWrap/>
            <w:vAlign w:val="center"/>
            <w:hideMark/>
          </w:tcPr>
          <w:p w14:paraId="0ED66A6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814" w:type="dxa"/>
            <w:shd w:val="clear" w:color="auto" w:fill="C6EFCE"/>
            <w:noWrap/>
            <w:vAlign w:val="center"/>
            <w:hideMark/>
          </w:tcPr>
          <w:p w14:paraId="52BD1BBB" w14:textId="78B2FE78"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Nadobudnutie účinnosti reformy právnych predpisov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bývania pre študentov.</w:t>
            </w:r>
          </w:p>
        </w:tc>
        <w:tc>
          <w:tcPr>
            <w:tcW w:w="1578" w:type="dxa"/>
            <w:shd w:val="clear" w:color="auto" w:fill="C6EFCE"/>
            <w:noWrap/>
            <w:vAlign w:val="center"/>
            <w:hideMark/>
          </w:tcPr>
          <w:p w14:paraId="3BDDA9C1" w14:textId="0823395B"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reformy.</w:t>
            </w:r>
          </w:p>
        </w:tc>
        <w:tc>
          <w:tcPr>
            <w:tcW w:w="1148" w:type="dxa"/>
            <w:shd w:val="clear" w:color="auto" w:fill="C6EFCE"/>
            <w:noWrap/>
            <w:vAlign w:val="center"/>
            <w:hideMark/>
          </w:tcPr>
          <w:p w14:paraId="41C61C4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3" w:type="dxa"/>
            <w:shd w:val="clear" w:color="auto" w:fill="C6EFCE"/>
            <w:noWrap/>
            <w:vAlign w:val="center"/>
            <w:hideMark/>
          </w:tcPr>
          <w:p w14:paraId="68373DA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48" w:type="dxa"/>
            <w:shd w:val="clear" w:color="auto" w:fill="C6EFCE"/>
            <w:noWrap/>
            <w:vAlign w:val="center"/>
            <w:hideMark/>
          </w:tcPr>
          <w:p w14:paraId="2A4557E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0" w:type="dxa"/>
            <w:shd w:val="clear" w:color="auto" w:fill="C6EFCE"/>
            <w:noWrap/>
            <w:vAlign w:val="center"/>
            <w:hideMark/>
          </w:tcPr>
          <w:p w14:paraId="41494AA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10" w:type="dxa"/>
            <w:shd w:val="clear" w:color="auto" w:fill="C6EFCE"/>
            <w:noWrap/>
            <w:vAlign w:val="center"/>
            <w:hideMark/>
          </w:tcPr>
          <w:p w14:paraId="33C0A79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2022</w:t>
            </w:r>
          </w:p>
        </w:tc>
        <w:tc>
          <w:tcPr>
            <w:tcW w:w="3208" w:type="dxa"/>
            <w:shd w:val="clear" w:color="auto" w:fill="C6EFCE"/>
            <w:noWrap/>
            <w:vAlign w:val="center"/>
            <w:hideMark/>
          </w:tcPr>
          <w:p w14:paraId="00E9AF3D" w14:textId="1D80FE6A"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Reforma zahŕňa: 1. otvorenie účasti na financovaní aj pre súkromných investorov,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umožnením verejno-súkromných partnerstiev,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ktorých univerzita využije dostupné finančné prostriedky na podporu finančnej rovnová</w:t>
            </w:r>
            <w:r w:rsidRPr="00326E55">
              <w:rPr>
                <w:rFonts w:ascii="Times New Roman" w:hAnsi="Times New Roman"/>
                <w:noProof/>
                <w:spacing w:val="-6"/>
                <w:lang w:val="sk-SK"/>
              </w:rPr>
              <w:t>hy investícií do nehnuteľností na bývanie pre študentov; (2). Zabezpečenie dlhodobej udržateľnosti súkromných investícií tým, že sa zaručí zmena daňového systému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režimu uplatňovaného na hotelové služby na systém, ktorý sa uplatňuje na sociálne bývanie, o</w:t>
            </w:r>
            <w:r w:rsidRPr="00326E55">
              <w:rPr>
                <w:rFonts w:ascii="Times New Roman" w:hAnsi="Times New Roman"/>
                <w:noProof/>
                <w:spacing w:val="-6"/>
                <w:lang w:val="sk-SK"/>
              </w:rPr>
              <w:t>bmedzením využívania nových ubytovacích zariadení na účely bývania pre študentov počas akademického roka, ale umožnením využívania štruktúr, ak nie sú potrebné pre študentské ubytovacie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stravovacie zariadenia; (3). Podmienenie financovania, ako aj dodato</w:t>
            </w:r>
            <w:r w:rsidRPr="00326E55">
              <w:rPr>
                <w:rFonts w:ascii="Times New Roman" w:hAnsi="Times New Roman"/>
                <w:noProof/>
                <w:spacing w:val="-6"/>
                <w:lang w:val="sk-SK"/>
              </w:rPr>
              <w:t>čných daňových úľav (ako je rovnaké zaobchádzanie so sociálnym bývaním) využívaním nových ubytovacích zariadení na bývanie pre študentov počas celkového investičného horizontu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dodržiavaním dohodnutej hornej hranice nájomného účtovaného študentom aj po sk</w:t>
            </w:r>
            <w:r w:rsidRPr="00326E55">
              <w:rPr>
                <w:rFonts w:ascii="Times New Roman" w:hAnsi="Times New Roman"/>
                <w:noProof/>
                <w:spacing w:val="-6"/>
                <w:lang w:val="sk-SK"/>
              </w:rPr>
              <w:t>ončení platnosti osobitných systémov financovania, ktoré prispievajú</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podnecovaniu investícií súkromných prevádzkovateľov; (4). Nové vymedzenie noriem pre študentské ubytovanie opätovným vymedzením právnych požiadaviek týkajúcich sa spoločného priestoru n</w:t>
            </w:r>
            <w:r w:rsidRPr="00326E55">
              <w:rPr>
                <w:rFonts w:ascii="Times New Roman" w:hAnsi="Times New Roman"/>
                <w:noProof/>
                <w:spacing w:val="-6"/>
                <w:lang w:val="sk-SK"/>
              </w:rPr>
              <w:t>a študenta dostupného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budovách výmenou za lepšie vybavené (jedno) izby.</w:t>
            </w:r>
          </w:p>
        </w:tc>
      </w:tr>
      <w:tr w:rsidR="00BF03AA" w:rsidRPr="00326E55" w14:paraId="4C7B596B" w14:textId="77777777">
        <w:trPr>
          <w:trHeight w:val="300"/>
          <w:jc w:val="center"/>
        </w:trPr>
        <w:tc>
          <w:tcPr>
            <w:tcW w:w="1078" w:type="dxa"/>
            <w:shd w:val="clear" w:color="auto" w:fill="C6EFCE"/>
            <w:noWrap/>
            <w:vAlign w:val="center"/>
            <w:hideMark/>
          </w:tcPr>
          <w:p w14:paraId="7C729A7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30</w:t>
            </w:r>
          </w:p>
        </w:tc>
        <w:tc>
          <w:tcPr>
            <w:tcW w:w="1701" w:type="dxa"/>
            <w:shd w:val="clear" w:color="auto" w:fill="C6EFCE"/>
            <w:noWrap/>
            <w:vAlign w:val="center"/>
            <w:hideMark/>
          </w:tcPr>
          <w:p w14:paraId="539DC301" w14:textId="1DE9FCE8"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Reforma 1.7: Reforma regulácie bývania pre študentov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investovanie do bývania pre študentov</w:t>
            </w:r>
          </w:p>
        </w:tc>
        <w:tc>
          <w:tcPr>
            <w:tcW w:w="1135" w:type="dxa"/>
            <w:shd w:val="clear" w:color="auto" w:fill="C6EFCE"/>
            <w:noWrap/>
            <w:vAlign w:val="center"/>
            <w:hideMark/>
          </w:tcPr>
          <w:p w14:paraId="664EDCE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814" w:type="dxa"/>
            <w:shd w:val="clear" w:color="auto" w:fill="C6EFCE"/>
            <w:noWrap/>
            <w:vAlign w:val="center"/>
            <w:hideMark/>
          </w:tcPr>
          <w:p w14:paraId="7A7D2DB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Vytvorené ubytovacie jednotky pre študentov na spanie </w:t>
            </w:r>
          </w:p>
        </w:tc>
        <w:tc>
          <w:tcPr>
            <w:tcW w:w="1578" w:type="dxa"/>
            <w:shd w:val="clear" w:color="auto" w:fill="C6EFCE"/>
            <w:noWrap/>
            <w:vAlign w:val="center"/>
            <w:hideMark/>
          </w:tcPr>
          <w:p w14:paraId="2F50586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48" w:type="dxa"/>
            <w:shd w:val="clear" w:color="auto" w:fill="C6EFCE"/>
            <w:noWrap/>
            <w:vAlign w:val="center"/>
            <w:hideMark/>
          </w:tcPr>
          <w:p w14:paraId="385BDF1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133" w:type="dxa"/>
            <w:shd w:val="clear" w:color="auto" w:fill="C6EFCE"/>
            <w:noWrap/>
            <w:vAlign w:val="center"/>
            <w:hideMark/>
          </w:tcPr>
          <w:p w14:paraId="378ABC1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848" w:type="dxa"/>
            <w:shd w:val="clear" w:color="auto" w:fill="C6EFCE"/>
            <w:noWrap/>
            <w:vAlign w:val="center"/>
            <w:hideMark/>
          </w:tcPr>
          <w:p w14:paraId="605DA6EC"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30</w:t>
            </w:r>
            <w:r w:rsidRPr="00326E55">
              <w:rPr>
                <w:rFonts w:ascii="Times New Roman" w:hAnsi="Times New Roman" w:hint="eastAsia"/>
                <w:noProof/>
                <w:spacing w:val="-6"/>
                <w:sz w:val="23"/>
                <w:szCs w:val="23"/>
                <w:lang w:val="sk-SK"/>
              </w:rPr>
              <w:t xml:space="preserve"> </w:t>
            </w:r>
            <w:r w:rsidRPr="00326E55">
              <w:rPr>
                <w:rFonts w:ascii="Times New Roman" w:hAnsi="Times New Roman"/>
                <w:noProof/>
                <w:color w:val="006100"/>
                <w:spacing w:val="-6"/>
                <w:sz w:val="20"/>
                <w:szCs w:val="20"/>
                <w:lang w:val="sk-SK"/>
              </w:rPr>
              <w:t>000</w:t>
            </w:r>
          </w:p>
        </w:tc>
        <w:tc>
          <w:tcPr>
            <w:tcW w:w="900" w:type="dxa"/>
            <w:shd w:val="clear" w:color="auto" w:fill="C6EFCE"/>
            <w:noWrap/>
            <w:vAlign w:val="center"/>
            <w:hideMark/>
          </w:tcPr>
          <w:p w14:paraId="03D9A84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0" w:type="dxa"/>
            <w:shd w:val="clear" w:color="auto" w:fill="C6EFCE"/>
            <w:noWrap/>
            <w:vAlign w:val="center"/>
            <w:hideMark/>
          </w:tcPr>
          <w:p w14:paraId="50190E3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08" w:type="dxa"/>
            <w:shd w:val="clear" w:color="auto" w:fill="C6EFCE"/>
            <w:noWrap/>
            <w:vAlign w:val="center"/>
            <w:hideMark/>
          </w:tcPr>
          <w:p w14:paraId="6D1AFC4E" w14:textId="75524426" w:rsidR="00326E55" w:rsidRPr="00326E55" w:rsidRDefault="00FB452D">
            <w:pPr>
              <w:pStyle w:val="paragraph"/>
              <w:spacing w:before="0" w:beforeAutospacing="0" w:after="0" w:afterAutospacing="0"/>
              <w:textAlignment w:val="baseline"/>
              <w:rPr>
                <w:rStyle w:val="normaltextrun"/>
                <w:noProof/>
                <w:color w:val="006100"/>
                <w:spacing w:val="-6"/>
                <w:sz w:val="20"/>
                <w:szCs w:val="20"/>
                <w:lang w:val="sk-SK"/>
              </w:rPr>
            </w:pPr>
            <w:r w:rsidRPr="00326E55">
              <w:rPr>
                <w:rStyle w:val="normaltextrun"/>
                <w:noProof/>
                <w:color w:val="006100"/>
                <w:spacing w:val="-6"/>
                <w:sz w:val="20"/>
                <w:szCs w:val="20"/>
                <w:lang w:val="sk-SK"/>
              </w:rPr>
              <w:t>Osvedčenia</w:t>
            </w:r>
            <w:r w:rsidR="00326E55" w:rsidRPr="00326E55">
              <w:rPr>
                <w:rStyle w:val="normaltextrun"/>
                <w:noProof/>
                <w:color w:val="006100"/>
                <w:spacing w:val="-6"/>
                <w:sz w:val="20"/>
                <w:szCs w:val="20"/>
                <w:lang w:val="sk-SK"/>
              </w:rPr>
              <w:t xml:space="preserve"> o </w:t>
            </w:r>
            <w:r w:rsidRPr="00326E55">
              <w:rPr>
                <w:rStyle w:val="normaltextrun"/>
                <w:noProof/>
                <w:color w:val="006100"/>
                <w:spacing w:val="-6"/>
                <w:sz w:val="20"/>
                <w:szCs w:val="20"/>
                <w:lang w:val="sk-SK"/>
              </w:rPr>
              <w:t>dokončení prác sa vydávajú pre najmenej 30000 novovytvorených ubytovacích jednotiek na spanie</w:t>
            </w:r>
            <w:r w:rsidR="00326E55" w:rsidRPr="00326E55">
              <w:rPr>
                <w:rStyle w:val="normaltextrun"/>
                <w:noProof/>
                <w:color w:val="006100"/>
                <w:spacing w:val="-6"/>
                <w:sz w:val="20"/>
                <w:szCs w:val="20"/>
                <w:lang w:val="sk-SK"/>
              </w:rPr>
              <w:t>.</w:t>
            </w:r>
          </w:p>
          <w:p w14:paraId="4CF5BD5A" w14:textId="25CE0ED0" w:rsidR="00BF03AA" w:rsidRPr="00326E55" w:rsidRDefault="00BF03AA">
            <w:pPr>
              <w:pStyle w:val="paragraph"/>
              <w:spacing w:before="0" w:beforeAutospacing="0" w:after="0" w:afterAutospacing="0"/>
              <w:rPr>
                <w:rStyle w:val="normaltextrun"/>
                <w:noProof/>
                <w:color w:val="006100"/>
                <w:spacing w:val="-6"/>
                <w:sz w:val="20"/>
                <w:szCs w:val="20"/>
                <w:lang w:val="sk-SK"/>
              </w:rPr>
            </w:pPr>
          </w:p>
          <w:p w14:paraId="59B951CE" w14:textId="77777777" w:rsidR="00326E55" w:rsidRPr="00326E55" w:rsidRDefault="00FB452D">
            <w:pPr>
              <w:pStyle w:val="paragraph"/>
              <w:spacing w:before="0" w:beforeAutospacing="0" w:after="0" w:afterAutospacing="0"/>
              <w:textAlignment w:val="baseline"/>
              <w:rPr>
                <w:rStyle w:val="normaltextrun"/>
                <w:noProof/>
                <w:color w:val="006100"/>
                <w:spacing w:val="-6"/>
                <w:sz w:val="20"/>
                <w:szCs w:val="20"/>
                <w:lang w:val="sk-SK"/>
              </w:rPr>
            </w:pPr>
            <w:r w:rsidRPr="00326E55">
              <w:rPr>
                <w:rStyle w:val="normaltextrun"/>
                <w:noProof/>
                <w:color w:val="006100"/>
                <w:spacing w:val="-6"/>
                <w:sz w:val="20"/>
                <w:szCs w:val="20"/>
                <w:lang w:val="sk-SK"/>
              </w:rPr>
              <w:t>Existujúce ubytovanie používané na účely bývania pre študentov</w:t>
            </w:r>
            <w:r w:rsidR="00326E55" w:rsidRPr="00326E55">
              <w:rPr>
                <w:rStyle w:val="normaltextrun"/>
                <w:noProof/>
                <w:color w:val="006100"/>
                <w:spacing w:val="-6"/>
                <w:sz w:val="20"/>
                <w:szCs w:val="20"/>
                <w:lang w:val="sk-SK"/>
              </w:rPr>
              <w:t xml:space="preserve"> v </w:t>
            </w:r>
            <w:r w:rsidRPr="00326E55">
              <w:rPr>
                <w:rStyle w:val="normaltextrun"/>
                <w:noProof/>
                <w:color w:val="006100"/>
                <w:spacing w:val="-6"/>
                <w:sz w:val="20"/>
                <w:szCs w:val="20"/>
                <w:lang w:val="sk-SK"/>
              </w:rPr>
              <w:t xml:space="preserve">čase vyhlásenia príslušnej výzvy na predkladanie projektov nemožno započítať do cieľa. </w:t>
            </w:r>
          </w:p>
          <w:p w14:paraId="5AC57501" w14:textId="0429FC1B" w:rsidR="00BF03AA" w:rsidRPr="00326E55" w:rsidRDefault="00BF03AA">
            <w:pPr>
              <w:pStyle w:val="paragraph"/>
              <w:spacing w:before="0" w:beforeAutospacing="0" w:after="0" w:afterAutospacing="0"/>
              <w:textAlignment w:val="baseline"/>
              <w:rPr>
                <w:rStyle w:val="normaltextrun"/>
                <w:noProof/>
                <w:color w:val="006100"/>
                <w:spacing w:val="-6"/>
                <w:sz w:val="20"/>
                <w:szCs w:val="20"/>
                <w:lang w:val="sk-SK"/>
              </w:rPr>
            </w:pPr>
          </w:p>
          <w:p w14:paraId="340B7332" w14:textId="7417B953" w:rsidR="00326E55" w:rsidRPr="00326E55" w:rsidRDefault="00FB452D">
            <w:pPr>
              <w:pStyle w:val="paragraph"/>
              <w:spacing w:before="0" w:beforeAutospacing="0" w:after="0" w:afterAutospacing="0"/>
              <w:textAlignment w:val="baseline"/>
              <w:rPr>
                <w:rStyle w:val="normaltextrun"/>
                <w:noProof/>
                <w:color w:val="006100"/>
                <w:spacing w:val="-6"/>
                <w:sz w:val="20"/>
                <w:szCs w:val="20"/>
                <w:lang w:val="sk-SK"/>
              </w:rPr>
            </w:pPr>
            <w:r w:rsidRPr="00326E55">
              <w:rPr>
                <w:rStyle w:val="normaltextrun"/>
                <w:noProof/>
                <w:color w:val="006100"/>
                <w:spacing w:val="-6"/>
                <w:sz w:val="20"/>
                <w:szCs w:val="20"/>
                <w:lang w:val="sk-SK"/>
              </w:rPr>
              <w:t>Vo výzve na rok 2024 sa vyžaduje, aby 30</w:t>
            </w:r>
            <w:r w:rsidR="00326E55" w:rsidRPr="00326E55">
              <w:rPr>
                <w:rStyle w:val="normaltextrun"/>
                <w:noProof/>
                <w:color w:val="006100"/>
                <w:spacing w:val="-6"/>
                <w:sz w:val="20"/>
                <w:szCs w:val="20"/>
                <w:lang w:val="sk-SK"/>
              </w:rPr>
              <w:t> %</w:t>
            </w:r>
            <w:r w:rsidRPr="00326E55">
              <w:rPr>
                <w:rStyle w:val="normaltextrun"/>
                <w:noProof/>
                <w:color w:val="006100"/>
                <w:spacing w:val="-6"/>
                <w:sz w:val="20"/>
                <w:szCs w:val="20"/>
                <w:lang w:val="sk-SK"/>
              </w:rPr>
              <w:t xml:space="preserve"> nových miest bolo vyhradených pre študentov, ktorí čelia sociálno-ekonomickým ťažkostiam, ako ich vymedzujú organizácie „Dir</w:t>
            </w:r>
            <w:r w:rsidRPr="00326E55">
              <w:rPr>
                <w:rStyle w:val="normaltextrun"/>
                <w:noProof/>
                <w:color w:val="006100"/>
                <w:spacing w:val="-6"/>
                <w:sz w:val="20"/>
                <w:szCs w:val="20"/>
                <w:lang w:val="sk-SK"/>
              </w:rPr>
              <w:t>itto allo Studio“ (</w:t>
            </w:r>
            <w:r w:rsidRPr="00326E55">
              <w:rPr>
                <w:rStyle w:val="normaltextrun"/>
                <w:i/>
                <w:noProof/>
                <w:color w:val="006100"/>
                <w:spacing w:val="-6"/>
                <w:sz w:val="20"/>
                <w:szCs w:val="20"/>
                <w:lang w:val="sk-SK"/>
              </w:rPr>
              <w:t>právo študovať organizácie</w:t>
            </w:r>
            <w:r w:rsidRPr="00326E55">
              <w:rPr>
                <w:rStyle w:val="normaltextrun"/>
                <w:noProof/>
                <w:color w:val="006100"/>
                <w:spacing w:val="-6"/>
                <w:sz w:val="20"/>
                <w:szCs w:val="20"/>
                <w:lang w:val="sk-SK"/>
              </w:rPr>
              <w:t>).</w:t>
            </w:r>
            <w:r w:rsidR="00326E55" w:rsidRPr="00326E55">
              <w:rPr>
                <w:rStyle w:val="normaltextrun"/>
                <w:noProof/>
                <w:color w:val="006100"/>
                <w:spacing w:val="-6"/>
                <w:sz w:val="20"/>
                <w:szCs w:val="20"/>
                <w:lang w:val="sk-SK"/>
              </w:rPr>
              <w:t xml:space="preserve"> V </w:t>
            </w:r>
            <w:r w:rsidRPr="00326E55">
              <w:rPr>
                <w:rStyle w:val="normaltextrun"/>
                <w:noProof/>
                <w:color w:val="006100"/>
                <w:spacing w:val="-6"/>
                <w:sz w:val="20"/>
                <w:szCs w:val="20"/>
                <w:lang w:val="sk-SK"/>
              </w:rPr>
              <w:t>tejto výzve sa takisto vyžaduje, aby sa nájomné pre univerzitných študentov stanovilo aspoň na 15</w:t>
            </w:r>
            <w:r w:rsidR="00326E55" w:rsidRPr="00326E55">
              <w:rPr>
                <w:rStyle w:val="normaltextrun"/>
                <w:noProof/>
                <w:color w:val="006100"/>
                <w:spacing w:val="-6"/>
                <w:sz w:val="20"/>
                <w:szCs w:val="20"/>
                <w:lang w:val="sk-SK"/>
              </w:rPr>
              <w:t> %</w:t>
            </w:r>
            <w:r w:rsidRPr="00326E55">
              <w:rPr>
                <w:rStyle w:val="normaltextrun"/>
                <w:noProof/>
                <w:color w:val="006100"/>
                <w:spacing w:val="-6"/>
                <w:sz w:val="20"/>
                <w:szCs w:val="20"/>
                <w:lang w:val="sk-SK"/>
              </w:rPr>
              <w:t xml:space="preserve"> pod úrovňou miestnych trhových cien</w:t>
            </w:r>
            <w:r w:rsidR="00326E55" w:rsidRPr="00326E55">
              <w:rPr>
                <w:rStyle w:val="normaltextrun"/>
                <w:noProof/>
                <w:color w:val="006100"/>
                <w:spacing w:val="-6"/>
                <w:sz w:val="20"/>
                <w:szCs w:val="20"/>
                <w:lang w:val="sk-SK"/>
              </w:rPr>
              <w:t>.</w:t>
            </w:r>
          </w:p>
          <w:p w14:paraId="364B41A3" w14:textId="3F4E25C3" w:rsidR="00BF03AA" w:rsidRPr="00326E55" w:rsidRDefault="00BF03AA">
            <w:pPr>
              <w:pStyle w:val="paragraph"/>
              <w:spacing w:before="0" w:beforeAutospacing="0" w:after="0" w:afterAutospacing="0"/>
              <w:textAlignment w:val="baseline"/>
              <w:rPr>
                <w:rStyle w:val="normaltextrun"/>
                <w:noProof/>
                <w:color w:val="006100"/>
                <w:spacing w:val="-6"/>
                <w:sz w:val="20"/>
                <w:szCs w:val="20"/>
                <w:lang w:val="sk-SK"/>
              </w:rPr>
            </w:pPr>
          </w:p>
          <w:p w14:paraId="2FE05721" w14:textId="5D6FED23" w:rsidR="00BF03AA" w:rsidRPr="00326E55" w:rsidRDefault="00FB452D">
            <w:pPr>
              <w:pStyle w:val="paragraph"/>
              <w:spacing w:before="0" w:beforeAutospacing="0" w:after="0" w:afterAutospacing="0"/>
              <w:textAlignment w:val="baseline"/>
              <w:rPr>
                <w:rFonts w:cs="Segoe UI"/>
                <w:noProof/>
                <w:spacing w:val="-6"/>
                <w:sz w:val="20"/>
                <w:szCs w:val="20"/>
                <w:lang w:val="sk-SK"/>
              </w:rPr>
            </w:pPr>
            <w:r w:rsidRPr="00326E55">
              <w:rPr>
                <w:rStyle w:val="normaltextrun"/>
                <w:rFonts w:eastAsia="MS Mincho" w:cs="Arial"/>
                <w:noProof/>
                <w:color w:val="006100"/>
                <w:spacing w:val="-6"/>
                <w:sz w:val="20"/>
                <w:szCs w:val="20"/>
                <w:lang w:val="sk-SK"/>
              </w:rPr>
              <w:t>Investícia nezahŕňa obstarávanie kotlov na zemný plyn.</w:t>
            </w:r>
          </w:p>
        </w:tc>
      </w:tr>
      <w:tr w:rsidR="00BF03AA" w:rsidRPr="00326E55" w14:paraId="3771C4B9" w14:textId="77777777">
        <w:trPr>
          <w:trHeight w:val="300"/>
          <w:jc w:val="center"/>
        </w:trPr>
        <w:tc>
          <w:tcPr>
            <w:tcW w:w="1078" w:type="dxa"/>
            <w:shd w:val="clear" w:color="auto" w:fill="C6EFCE"/>
            <w:noWrap/>
          </w:tcPr>
          <w:p w14:paraId="33222A3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31</w:t>
            </w:r>
          </w:p>
        </w:tc>
        <w:tc>
          <w:tcPr>
            <w:tcW w:w="1701" w:type="dxa"/>
            <w:shd w:val="clear" w:color="auto" w:fill="C6EFCE"/>
            <w:noWrap/>
          </w:tcPr>
          <w:p w14:paraId="40BAAA1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5: Fond bývania pre študentov</w:t>
            </w:r>
          </w:p>
        </w:tc>
        <w:tc>
          <w:tcPr>
            <w:tcW w:w="1135" w:type="dxa"/>
            <w:shd w:val="clear" w:color="auto" w:fill="C6EFCE"/>
            <w:noWrap/>
          </w:tcPr>
          <w:p w14:paraId="541B347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814" w:type="dxa"/>
            <w:shd w:val="clear" w:color="auto" w:fill="C6EFCE"/>
            <w:noWrap/>
          </w:tcPr>
          <w:p w14:paraId="32B81DA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Vykonávacia dohoda</w:t>
            </w:r>
          </w:p>
        </w:tc>
        <w:tc>
          <w:tcPr>
            <w:tcW w:w="1578" w:type="dxa"/>
            <w:shd w:val="clear" w:color="auto" w:fill="C6EFCE"/>
            <w:noWrap/>
          </w:tcPr>
          <w:p w14:paraId="5C5695D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c>
          <w:tcPr>
            <w:tcW w:w="1148" w:type="dxa"/>
            <w:shd w:val="clear" w:color="auto" w:fill="C6EFCE"/>
            <w:noWrap/>
          </w:tcPr>
          <w:p w14:paraId="00C0255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 </w:t>
            </w:r>
          </w:p>
        </w:tc>
        <w:tc>
          <w:tcPr>
            <w:tcW w:w="1133" w:type="dxa"/>
            <w:shd w:val="clear" w:color="auto" w:fill="C6EFCE"/>
            <w:noWrap/>
          </w:tcPr>
          <w:p w14:paraId="66653D3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 </w:t>
            </w:r>
          </w:p>
        </w:tc>
        <w:tc>
          <w:tcPr>
            <w:tcW w:w="848" w:type="dxa"/>
            <w:shd w:val="clear" w:color="auto" w:fill="C6EFCE"/>
            <w:noWrap/>
          </w:tcPr>
          <w:p w14:paraId="54EA532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 </w:t>
            </w:r>
          </w:p>
        </w:tc>
        <w:tc>
          <w:tcPr>
            <w:tcW w:w="900" w:type="dxa"/>
            <w:shd w:val="clear" w:color="auto" w:fill="C6EFCE"/>
            <w:noWrap/>
          </w:tcPr>
          <w:p w14:paraId="3C85D5B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10" w:type="dxa"/>
            <w:shd w:val="clear" w:color="auto" w:fill="C6EFCE"/>
            <w:noWrap/>
          </w:tcPr>
          <w:p w14:paraId="75659F2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208" w:type="dxa"/>
            <w:shd w:val="clear" w:color="auto" w:fill="C6EFCE"/>
            <w:noWrap/>
          </w:tcPr>
          <w:p w14:paraId="56989AA6" w14:textId="77777777" w:rsidR="00BF03AA" w:rsidRPr="00326E55" w:rsidRDefault="00FB452D">
            <w:pPr>
              <w:pStyle w:val="P68B1DB1-paragraph95"/>
              <w:spacing w:before="0" w:beforeAutospacing="0" w:after="0" w:afterAutospacing="0"/>
              <w:textAlignment w:val="baseline"/>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r>
      <w:tr w:rsidR="00BF03AA" w:rsidRPr="00326E55" w14:paraId="7D6C78E8" w14:textId="77777777">
        <w:trPr>
          <w:trHeight w:val="300"/>
          <w:jc w:val="center"/>
        </w:trPr>
        <w:tc>
          <w:tcPr>
            <w:tcW w:w="1078" w:type="dxa"/>
            <w:shd w:val="clear" w:color="auto" w:fill="C6EFCE"/>
            <w:noWrap/>
          </w:tcPr>
          <w:p w14:paraId="2294AEB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M4C1 – 32</w:t>
            </w:r>
          </w:p>
        </w:tc>
        <w:tc>
          <w:tcPr>
            <w:tcW w:w="1701" w:type="dxa"/>
            <w:shd w:val="clear" w:color="auto" w:fill="C6EFCE"/>
            <w:noWrap/>
          </w:tcPr>
          <w:p w14:paraId="3CFEB31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5: Fond bývania pre študentov</w:t>
            </w:r>
          </w:p>
        </w:tc>
        <w:tc>
          <w:tcPr>
            <w:tcW w:w="1135" w:type="dxa"/>
            <w:shd w:val="clear" w:color="auto" w:fill="C6EFCE"/>
            <w:noWrap/>
          </w:tcPr>
          <w:p w14:paraId="122842D5" w14:textId="7B071DB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814" w:type="dxa"/>
            <w:shd w:val="clear" w:color="auto" w:fill="C6EFCE"/>
            <w:noWrap/>
          </w:tcPr>
          <w:p w14:paraId="2D98ACF0" w14:textId="48C364E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Právne dohody </w:t>
            </w:r>
            <w:r w:rsidRPr="00326E55">
              <w:rPr>
                <w:rFonts w:ascii="Times New Roman" w:hAnsi="Times New Roman"/>
                <w:noProof/>
                <w:spacing w:val="-6"/>
                <w:lang w:val="sk-SK"/>
              </w:rPr>
              <w:t>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dokončenie investícií</w:t>
            </w:r>
          </w:p>
        </w:tc>
        <w:tc>
          <w:tcPr>
            <w:tcW w:w="1578" w:type="dxa"/>
            <w:shd w:val="clear" w:color="auto" w:fill="C6EFCE"/>
            <w:noWrap/>
          </w:tcPr>
          <w:p w14:paraId="552F3892" w14:textId="0840C14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Podpísané právne dohody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p>
        </w:tc>
        <w:tc>
          <w:tcPr>
            <w:tcW w:w="1148" w:type="dxa"/>
            <w:shd w:val="clear" w:color="auto" w:fill="C6EFCE"/>
            <w:noWrap/>
          </w:tcPr>
          <w:p w14:paraId="0F9A1A86" w14:textId="5375A3F6"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3" w:type="dxa"/>
            <w:shd w:val="clear" w:color="auto" w:fill="C6EFCE"/>
            <w:noWrap/>
          </w:tcPr>
          <w:p w14:paraId="25F84639" w14:textId="2AD9E664"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48" w:type="dxa"/>
            <w:shd w:val="clear" w:color="auto" w:fill="C6EFCE"/>
            <w:noWrap/>
          </w:tcPr>
          <w:p w14:paraId="40AAAD62" w14:textId="12BD911D"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00" w:type="dxa"/>
            <w:shd w:val="clear" w:color="auto" w:fill="C6EFCE"/>
            <w:noWrap/>
          </w:tcPr>
          <w:p w14:paraId="6ECA56A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0" w:type="dxa"/>
            <w:shd w:val="clear" w:color="auto" w:fill="C6EFCE"/>
            <w:noWrap/>
          </w:tcPr>
          <w:p w14:paraId="636C0F0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08" w:type="dxa"/>
            <w:shd w:val="clear" w:color="auto" w:fill="C6EFCE"/>
            <w:noWrap/>
          </w:tcPr>
          <w:p w14:paraId="1365668C" w14:textId="688FA403" w:rsidR="00326E55" w:rsidRPr="00326E55" w:rsidRDefault="00FB452D">
            <w:pPr>
              <w:pStyle w:val="P68B1DB1-Normal12"/>
              <w:spacing w:line="240" w:lineRule="auto"/>
              <w:jc w:val="both"/>
              <w:rPr>
                <w:rFonts w:ascii="Times New Roman" w:hAnsi="Times New Roman"/>
                <w:noProof/>
                <w:spacing w:val="-6"/>
                <w:lang w:val="sk-SK"/>
              </w:rPr>
            </w:pPr>
            <w:r w:rsidRPr="00326E55">
              <w:rPr>
                <w:rFonts w:ascii="Times New Roman" w:hAnsi="Times New Roman"/>
                <w:noProof/>
                <w:spacing w:val="-6"/>
                <w:lang w:val="sk-SK"/>
              </w:rPr>
              <w:t>Spoločnosť Cassa Depositi e Prestiti S.p.A. musí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uzavrieť zákonné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grante na sumu 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do schémy (s prihliadnutím na poplatky za správu)</w:t>
            </w:r>
            <w:r w:rsidR="00326E55" w:rsidRPr="00326E55">
              <w:rPr>
                <w:rFonts w:ascii="Times New Roman" w:hAnsi="Times New Roman"/>
                <w:noProof/>
                <w:spacing w:val="-6"/>
                <w:lang w:val="sk-SK"/>
              </w:rPr>
              <w:t>.</w:t>
            </w:r>
          </w:p>
          <w:p w14:paraId="06621FD9" w14:textId="364F1856" w:rsidR="00BF03AA" w:rsidRPr="00326E55" w:rsidRDefault="00FB452D">
            <w:pPr>
              <w:pStyle w:val="P68B1DB1-paragraph95"/>
              <w:spacing w:before="0" w:beforeAutospacing="0" w:after="0" w:afterAutospacing="0"/>
              <w:textAlignment w:val="baseline"/>
              <w:rPr>
                <w:rFonts w:ascii="Times New Roman" w:hAnsi="Times New Roman"/>
                <w:noProof/>
                <w:spacing w:val="-6"/>
                <w:lang w:val="sk-SK"/>
              </w:rPr>
            </w:pPr>
            <w:r w:rsidRPr="00326E55">
              <w:rPr>
                <w:rFonts w:ascii="Times New Roman" w:hAnsi="Times New Roman"/>
                <w:noProof/>
                <w:spacing w:val="-6"/>
                <w:lang w:val="sk-SK"/>
              </w:rPr>
              <w:t>Taliansko prevedie 599 000 000 EUR na nástroj Cassa Depositi e Prestiti S.p.A.</w:t>
            </w:r>
          </w:p>
        </w:tc>
      </w:tr>
    </w:tbl>
    <w:p w14:paraId="45675B82" w14:textId="77777777" w:rsidR="00BF03AA" w:rsidRPr="00326E55" w:rsidRDefault="00BF03AA">
      <w:pPr>
        <w:spacing w:before="120" w:after="120"/>
        <w:jc w:val="both"/>
        <w:rPr>
          <w:rFonts w:ascii="Times New Roman" w:hAnsi="Times New Roman"/>
          <w:noProof/>
          <w:color w:val="000000" w:themeColor="text1"/>
          <w:spacing w:val="-6"/>
          <w:sz w:val="20"/>
          <w:szCs w:val="20"/>
          <w:lang w:val="sk-SK"/>
        </w:rPr>
        <w:sectPr w:rsidR="00BF03AA" w:rsidRPr="00326E55" w:rsidSect="005F11B9">
          <w:headerReference w:type="even" r:id="rId190"/>
          <w:headerReference w:type="default" r:id="rId191"/>
          <w:footerReference w:type="even" r:id="rId192"/>
          <w:footerReference w:type="default" r:id="rId193"/>
          <w:headerReference w:type="first" r:id="rId194"/>
          <w:footerReference w:type="first" r:id="rId195"/>
          <w:pgSz w:w="16839" w:h="11907" w:orient="landscape"/>
          <w:pgMar w:top="1134" w:right="1134" w:bottom="1134" w:left="1134" w:header="567" w:footer="567" w:gutter="0"/>
          <w:cols w:space="720"/>
          <w:docGrid w:linePitch="360"/>
        </w:sectPr>
      </w:pPr>
    </w:p>
    <w:p w14:paraId="172BA92A" w14:textId="1F457E5A" w:rsidR="00BF03AA" w:rsidRPr="00326E55" w:rsidRDefault="00FB452D">
      <w:pPr>
        <w:pStyle w:val="P68B1DB1-Heading23"/>
        <w:rPr>
          <w:noProof/>
          <w:spacing w:val="-6"/>
          <w:lang w:val="sk-SK"/>
        </w:rPr>
      </w:pPr>
      <w:r w:rsidRPr="00326E55">
        <w:rPr>
          <w:noProof/>
          <w:spacing w:val="-6"/>
          <w:lang w:val="sk-SK"/>
        </w:rPr>
        <w:t>K. ÚLOHA 4 ZLOŽKA 2: Od výskumu</w:t>
      </w:r>
      <w:r w:rsidR="00326E55" w:rsidRPr="00326E55">
        <w:rPr>
          <w:noProof/>
          <w:spacing w:val="-6"/>
          <w:lang w:val="sk-SK"/>
        </w:rPr>
        <w:t xml:space="preserve"> k </w:t>
      </w:r>
      <w:r w:rsidRPr="00326E55">
        <w:rPr>
          <w:noProof/>
          <w:spacing w:val="-6"/>
          <w:lang w:val="sk-SK"/>
        </w:rPr>
        <w:t>podnikaniu</w:t>
      </w:r>
    </w:p>
    <w:p w14:paraId="01056623" w14:textId="5F1615DC" w:rsidR="00BF03AA" w:rsidRPr="00326E55" w:rsidRDefault="00FB452D">
      <w:pPr>
        <w:pStyle w:val="P68B1DB1-Normal96"/>
        <w:spacing w:before="120" w:after="120"/>
        <w:jc w:val="both"/>
        <w:rPr>
          <w:rFonts w:eastAsia="Calibri" w:hint="default"/>
          <w:noProof/>
          <w:spacing w:val="-6"/>
          <w:lang w:val="sk-SK"/>
        </w:rPr>
      </w:pPr>
      <w:r w:rsidRPr="00326E55">
        <w:rPr>
          <w:noProof/>
          <w:spacing w:val="-6"/>
          <w:lang w:val="sk-SK"/>
        </w:rPr>
        <w:t>Cieľom tohto komponentu talianskeho plánu obnovy</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odolnosti je podporovať investície do výskumu</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inovácií, propagovať šírenie inovácií</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technológií, posilňovať zručnosti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podporovať prechod na znalostnú ekonomiku. Poskytuje podporu verejnému výskumnému systému, zručnostiam</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mobilite výskumných pracovníkov, ako aj verejno-súkromnej spolupráci na vnútroštátnej úrovni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na úrovni EÚ. Vychádza</w:t>
      </w:r>
      <w:r w:rsidR="00326E55" w:rsidRPr="00326E55">
        <w:rPr>
          <w:noProof/>
          <w:spacing w:val="-6"/>
          <w:lang w:val="sk-SK"/>
        </w:rPr>
        <w:t xml:space="preserve"> z</w:t>
      </w:r>
      <w:r w:rsidR="00326E55" w:rsidRPr="00326E55">
        <w:rPr>
          <w:rFonts w:hint="default"/>
          <w:noProof/>
          <w:spacing w:val="-6"/>
          <w:lang w:val="sk-SK"/>
        </w:rPr>
        <w:t> </w:t>
      </w:r>
      <w:r w:rsidRPr="00326E55">
        <w:rPr>
          <w:noProof/>
          <w:spacing w:val="-6"/>
          <w:lang w:val="sk-SK"/>
        </w:rPr>
        <w:t>troch hlavných pilierov: I) zle</w:t>
      </w:r>
      <w:r w:rsidRPr="00326E55">
        <w:rPr>
          <w:noProof/>
          <w:spacing w:val="-6"/>
          <w:lang w:val="sk-SK"/>
        </w:rPr>
        <w:t>pšená vedecká základňa; II) silné prepojenia medzi podnikmi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vedou (znalosti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transfer technológií; III) podpora podnikateľskej inovácie (najmä MSP, začínajúcich podnikov).</w:t>
      </w:r>
    </w:p>
    <w:p w14:paraId="67812241" w14:textId="6599DF09" w:rsidR="00326E55" w:rsidRPr="00326E55" w:rsidRDefault="00FB452D">
      <w:pPr>
        <w:pStyle w:val="P68B1DB1-Normal96"/>
        <w:spacing w:before="120" w:after="120"/>
        <w:jc w:val="both"/>
        <w:rPr>
          <w:rFonts w:hint="default"/>
          <w:noProof/>
          <w:spacing w:val="-6"/>
          <w:lang w:val="sk-SK"/>
        </w:rPr>
      </w:pPr>
      <w:r w:rsidRPr="00326E55">
        <w:rPr>
          <w:noProof/>
          <w:spacing w:val="-6"/>
          <w:lang w:val="sk-SK"/>
        </w:rPr>
        <w:t>Investície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reformy</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rámci tohto komponentu prispejú</w:t>
      </w:r>
      <w:r w:rsidR="00326E55" w:rsidRPr="00326E55">
        <w:rPr>
          <w:noProof/>
          <w:spacing w:val="-6"/>
          <w:lang w:val="sk-SK"/>
        </w:rPr>
        <w:t xml:space="preserve"> k</w:t>
      </w:r>
      <w:r w:rsidR="00326E55" w:rsidRPr="00326E55">
        <w:rPr>
          <w:rFonts w:hint="default"/>
          <w:noProof/>
          <w:spacing w:val="-6"/>
          <w:lang w:val="sk-SK"/>
        </w:rPr>
        <w:t> </w:t>
      </w:r>
      <w:r w:rsidRPr="00326E55">
        <w:rPr>
          <w:noProof/>
          <w:spacing w:val="-6"/>
          <w:lang w:val="sk-SK"/>
        </w:rPr>
        <w:t>plneniu odporúčaní pre j</w:t>
      </w:r>
      <w:r w:rsidRPr="00326E55">
        <w:rPr>
          <w:noProof/>
          <w:spacing w:val="-6"/>
          <w:lang w:val="sk-SK"/>
        </w:rPr>
        <w:t>ednotlivé krajiny adresovaných Taliansku</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rokoch 2020</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 xml:space="preserve">2019, ktoré sa týkajú potreby </w:t>
      </w:r>
      <w:r w:rsidRPr="00326E55">
        <w:rPr>
          <w:noProof/>
          <w:spacing w:val="-6"/>
          <w:lang w:val="sk-SK"/>
        </w:rPr>
        <w:t>„</w:t>
      </w:r>
      <w:r w:rsidRPr="00326E55">
        <w:rPr>
          <w:noProof/>
          <w:spacing w:val="-6"/>
          <w:lang w:val="sk-SK"/>
        </w:rPr>
        <w:t>zamerať hospodársku politiku súvisiacu</w:t>
      </w:r>
      <w:r w:rsidR="00326E55" w:rsidRPr="00326E55">
        <w:rPr>
          <w:noProof/>
          <w:spacing w:val="-6"/>
          <w:lang w:val="sk-SK"/>
        </w:rPr>
        <w:t xml:space="preserve"> s</w:t>
      </w:r>
      <w:r w:rsidR="00326E55" w:rsidRPr="00326E55">
        <w:rPr>
          <w:rFonts w:hint="default"/>
          <w:noProof/>
          <w:spacing w:val="-6"/>
          <w:lang w:val="sk-SK"/>
        </w:rPr>
        <w:t> </w:t>
      </w:r>
      <w:r w:rsidRPr="00326E55">
        <w:rPr>
          <w:noProof/>
          <w:spacing w:val="-6"/>
          <w:lang w:val="sk-SK"/>
        </w:rPr>
        <w:t>investíciami na výskum</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inovácie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kvalitu infraštruktúry</w:t>
      </w:r>
      <w:r w:rsidRPr="00326E55">
        <w:rPr>
          <w:noProof/>
          <w:spacing w:val="-6"/>
          <w:lang w:val="sk-SK"/>
        </w:rPr>
        <w:t>“</w:t>
      </w:r>
      <w:r w:rsidRPr="00326E55">
        <w:rPr>
          <w:noProof/>
          <w:spacing w:val="-6"/>
          <w:lang w:val="sk-SK"/>
        </w:rPr>
        <w:t xml:space="preserve"> (odporúčanie pre jednotlivé krajiny </w:t>
      </w:r>
      <w:r w:rsidR="00326E55" w:rsidRPr="00326E55">
        <w:rPr>
          <w:noProof/>
          <w:spacing w:val="-6"/>
          <w:lang w:val="sk-SK"/>
        </w:rPr>
        <w:t>č. </w:t>
      </w:r>
      <w:r w:rsidRPr="00326E55">
        <w:rPr>
          <w:noProof/>
          <w:spacing w:val="-6"/>
          <w:lang w:val="sk-SK"/>
        </w:rPr>
        <w:t xml:space="preserve">3, 2019), </w:t>
      </w:r>
      <w:r w:rsidRPr="00326E55">
        <w:rPr>
          <w:noProof/>
          <w:spacing w:val="-6"/>
          <w:lang w:val="sk-SK"/>
        </w:rPr>
        <w:t>„</w:t>
      </w:r>
      <w:r w:rsidRPr="00326E55">
        <w:rPr>
          <w:noProof/>
          <w:spacing w:val="-6"/>
          <w:lang w:val="sk-SK"/>
        </w:rPr>
        <w:t>podpory súkromnýc</w:t>
      </w:r>
      <w:r w:rsidRPr="00326E55">
        <w:rPr>
          <w:noProof/>
          <w:spacing w:val="-6"/>
          <w:lang w:val="sk-SK"/>
        </w:rPr>
        <w:t>h investícií na podporu oživenia hospodárstva</w:t>
      </w:r>
      <w:r w:rsidRPr="00326E55">
        <w:rPr>
          <w:noProof/>
          <w:spacing w:val="-6"/>
          <w:lang w:val="sk-SK"/>
        </w:rPr>
        <w:t>“</w:t>
      </w:r>
      <w:r w:rsidRPr="00326E55">
        <w:rPr>
          <w:noProof/>
          <w:spacing w:val="-6"/>
          <w:lang w:val="sk-SK"/>
        </w:rPr>
        <w:t xml:space="preserve"> (odporúčanie pre jednotlivé krajiny </w:t>
      </w:r>
      <w:r w:rsidR="00326E55" w:rsidRPr="00326E55">
        <w:rPr>
          <w:noProof/>
          <w:spacing w:val="-6"/>
          <w:lang w:val="sk-SK"/>
        </w:rPr>
        <w:t>č. </w:t>
      </w:r>
      <w:r w:rsidRPr="00326E55">
        <w:rPr>
          <w:noProof/>
          <w:spacing w:val="-6"/>
          <w:lang w:val="sk-SK"/>
        </w:rPr>
        <w:t xml:space="preserve">3, 2020), </w:t>
      </w:r>
      <w:r w:rsidRPr="00326E55">
        <w:rPr>
          <w:noProof/>
          <w:spacing w:val="-6"/>
          <w:lang w:val="sk-SK"/>
        </w:rPr>
        <w:t>„</w:t>
      </w:r>
      <w:r w:rsidRPr="00326E55">
        <w:rPr>
          <w:noProof/>
          <w:spacing w:val="-6"/>
          <w:lang w:val="sk-SK"/>
        </w:rPr>
        <w:t>zamerania investícií na zelenú</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digitálnu transformáciu, najmä na výskum</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inovácie</w:t>
      </w:r>
      <w:r w:rsidRPr="00326E55">
        <w:rPr>
          <w:noProof/>
          <w:spacing w:val="-6"/>
          <w:lang w:val="sk-SK"/>
        </w:rPr>
        <w:t>“</w:t>
      </w:r>
      <w:r w:rsidRPr="00326E55">
        <w:rPr>
          <w:noProof/>
          <w:spacing w:val="-6"/>
          <w:lang w:val="sk-SK"/>
        </w:rPr>
        <w:t xml:space="preserve"> (odporúčanie pre jednotlivé krajiny </w:t>
      </w:r>
      <w:r w:rsidR="00326E55" w:rsidRPr="00326E55">
        <w:rPr>
          <w:noProof/>
          <w:spacing w:val="-6"/>
          <w:lang w:val="sk-SK"/>
        </w:rPr>
        <w:t>č. </w:t>
      </w:r>
      <w:r w:rsidRPr="00326E55">
        <w:rPr>
          <w:noProof/>
          <w:spacing w:val="-6"/>
          <w:lang w:val="sk-SK"/>
        </w:rPr>
        <w:t>3, 2020)</w:t>
      </w:r>
      <w:r w:rsidR="00326E55" w:rsidRPr="00326E55">
        <w:rPr>
          <w:noProof/>
          <w:spacing w:val="-6"/>
          <w:lang w:val="sk-SK"/>
        </w:rPr>
        <w:t>.</w:t>
      </w:r>
    </w:p>
    <w:p w14:paraId="7BC2E3FB" w14:textId="70593CB5" w:rsidR="00BF03AA" w:rsidRPr="00326E55" w:rsidRDefault="00FB452D">
      <w:pPr>
        <w:pStyle w:val="P68B1DB1-Heading368"/>
        <w:ind w:left="850" w:hanging="850"/>
        <w:rPr>
          <w:noProof/>
          <w:spacing w:val="-6"/>
          <w:lang w:val="sk-SK"/>
        </w:rPr>
      </w:pPr>
      <w:r w:rsidRPr="00326E55">
        <w:rPr>
          <w:noProof/>
          <w:spacing w:val="-6"/>
          <w:lang w:val="sk-SK"/>
        </w:rPr>
        <w:t xml:space="preserve">K.1. </w:t>
      </w:r>
      <w:r w:rsidRPr="00326E55">
        <w:rPr>
          <w:noProof/>
          <w:spacing w:val="-6"/>
          <w:lang w:val="sk-SK"/>
        </w:rPr>
        <w:tab/>
        <w:t>Opis reforiem</w:t>
      </w:r>
      <w:r w:rsidR="00326E55" w:rsidRPr="00326E55">
        <w:rPr>
          <w:noProof/>
          <w:spacing w:val="-6"/>
          <w:lang w:val="sk-SK"/>
        </w:rPr>
        <w:t xml:space="preserve"> a </w:t>
      </w:r>
      <w:r w:rsidRPr="00326E55">
        <w:rPr>
          <w:noProof/>
          <w:spacing w:val="-6"/>
          <w:lang w:val="sk-SK"/>
        </w:rPr>
        <w:t>in</w:t>
      </w:r>
      <w:r w:rsidRPr="00326E55">
        <w:rPr>
          <w:noProof/>
          <w:spacing w:val="-6"/>
          <w:lang w:val="sk-SK"/>
        </w:rPr>
        <w:t>vestícií</w:t>
      </w:r>
      <w:r w:rsidR="00326E55" w:rsidRPr="00326E55">
        <w:rPr>
          <w:noProof/>
          <w:spacing w:val="-6"/>
          <w:lang w:val="sk-SK"/>
        </w:rPr>
        <w:t xml:space="preserve"> v </w:t>
      </w:r>
      <w:r w:rsidRPr="00326E55">
        <w:rPr>
          <w:noProof/>
          <w:spacing w:val="-6"/>
          <w:lang w:val="sk-SK"/>
        </w:rPr>
        <w:t>rámci nenávratnej finančnej podpory</w:t>
      </w:r>
    </w:p>
    <w:p w14:paraId="6EA0CB35" w14:textId="77777777" w:rsidR="00BF03AA" w:rsidRPr="00326E55" w:rsidRDefault="00BF03AA">
      <w:pPr>
        <w:rPr>
          <w:rFonts w:ascii="Times New Roman" w:hAnsi="Times New Roman"/>
          <w:noProof/>
          <w:spacing w:val="-6"/>
          <w:lang w:val="sk-SK"/>
        </w:rPr>
      </w:pPr>
    </w:p>
    <w:p w14:paraId="7EB12039" w14:textId="77777777" w:rsidR="00BF03AA" w:rsidRPr="00326E55" w:rsidRDefault="00FB452D">
      <w:pPr>
        <w:pStyle w:val="P68B1DB1-Normal5"/>
        <w:spacing w:before="120" w:after="120"/>
        <w:jc w:val="both"/>
        <w:rPr>
          <w:noProof/>
          <w:spacing w:val="-6"/>
          <w:lang w:val="sk-SK"/>
        </w:rPr>
      </w:pPr>
      <w:r w:rsidRPr="00326E55">
        <w:rPr>
          <w:noProof/>
          <w:spacing w:val="-6"/>
          <w:lang w:val="sk-SK"/>
        </w:rPr>
        <w:t>Investícia 1.2: Financovanie projektov prezentovaných mladými výskumníkmi</w:t>
      </w:r>
    </w:p>
    <w:p w14:paraId="4A0EC934" w14:textId="5F7B38EC" w:rsidR="00326E55" w:rsidRPr="00326E55" w:rsidRDefault="00FB452D">
      <w:pPr>
        <w:pStyle w:val="P68B1DB1-Normal7"/>
        <w:spacing w:after="0"/>
        <w:jc w:val="both"/>
        <w:rPr>
          <w:noProof/>
          <w:spacing w:val="-6"/>
          <w:lang w:val="sk-SK"/>
        </w:rPr>
      </w:pPr>
      <w:r w:rsidRPr="00326E55">
        <w:rPr>
          <w:noProof/>
          <w:spacing w:val="-6"/>
          <w:lang w:val="sk-SK"/>
        </w:rPr>
        <w:t>Cieľom tejto investície je udržať mladých výskumných pracovníkov</w:t>
      </w:r>
      <w:r w:rsidR="00326E55" w:rsidRPr="00326E55">
        <w:rPr>
          <w:noProof/>
          <w:spacing w:val="-6"/>
          <w:lang w:val="sk-SK"/>
        </w:rPr>
        <w:t xml:space="preserve"> v </w:t>
      </w:r>
      <w:r w:rsidRPr="00326E55">
        <w:rPr>
          <w:noProof/>
          <w:spacing w:val="-6"/>
          <w:lang w:val="sk-SK"/>
        </w:rPr>
        <w:t>Taliansku. Opatrenie spočíva</w:t>
      </w:r>
      <w:r w:rsidR="00326E55" w:rsidRPr="00326E55">
        <w:rPr>
          <w:noProof/>
          <w:spacing w:val="-6"/>
          <w:lang w:val="sk-SK"/>
        </w:rPr>
        <w:t xml:space="preserve"> v </w:t>
      </w:r>
      <w:r w:rsidRPr="00326E55">
        <w:rPr>
          <w:noProof/>
          <w:spacing w:val="-6"/>
          <w:lang w:val="sk-SK"/>
        </w:rPr>
        <w:t xml:space="preserve">podpore výskumných činností mladých </w:t>
      </w:r>
      <w:r w:rsidRPr="00326E55">
        <w:rPr>
          <w:noProof/>
          <w:spacing w:val="-6"/>
          <w:lang w:val="sk-SK"/>
        </w:rPr>
        <w:t>výskumných pracovníkov</w:t>
      </w:r>
      <w:r w:rsidR="00326E55" w:rsidRPr="00326E55">
        <w:rPr>
          <w:noProof/>
          <w:spacing w:val="-6"/>
          <w:lang w:val="sk-SK"/>
        </w:rPr>
        <w:t>.</w:t>
      </w:r>
    </w:p>
    <w:p w14:paraId="3F3FE046" w14:textId="54C6D9B7" w:rsidR="00BF03AA" w:rsidRPr="00326E55" w:rsidRDefault="00FB452D">
      <w:pPr>
        <w:pStyle w:val="P68B1DB1-Normal5"/>
        <w:spacing w:before="120" w:after="120" w:line="257" w:lineRule="auto"/>
        <w:ind w:left="-680" w:firstLine="709"/>
        <w:jc w:val="both"/>
        <w:rPr>
          <w:bCs/>
          <w:i/>
          <w:iCs/>
          <w:noProof/>
          <w:spacing w:val="-6"/>
          <w:u w:val="single"/>
          <w:lang w:val="sk-SK"/>
        </w:rPr>
      </w:pPr>
      <w:r w:rsidRPr="00326E55">
        <w:rPr>
          <w:noProof/>
          <w:spacing w:val="-6"/>
          <w:lang w:val="sk-SK"/>
        </w:rPr>
        <w:t>Investícia 2.2a: Dohody</w:t>
      </w:r>
      <w:r w:rsidR="00326E55" w:rsidRPr="00326E55">
        <w:rPr>
          <w:noProof/>
          <w:spacing w:val="-6"/>
          <w:lang w:val="sk-SK"/>
        </w:rPr>
        <w:t xml:space="preserve"> o </w:t>
      </w:r>
      <w:r w:rsidRPr="00326E55">
        <w:rPr>
          <w:noProof/>
          <w:spacing w:val="-6"/>
          <w:lang w:val="sk-SK"/>
        </w:rPr>
        <w:t>inováciách</w:t>
      </w:r>
    </w:p>
    <w:p w14:paraId="07D64A0F" w14:textId="45794D41" w:rsidR="00326E55" w:rsidRPr="00326E55" w:rsidRDefault="00FB452D">
      <w:pPr>
        <w:pStyle w:val="P68B1DB1-Normal7"/>
        <w:jc w:val="both"/>
        <w:rPr>
          <w:noProof/>
          <w:spacing w:val="-6"/>
          <w:lang w:val="sk-SK"/>
        </w:rPr>
      </w:pPr>
      <w:r w:rsidRPr="00326E55">
        <w:rPr>
          <w:noProof/>
          <w:spacing w:val="-6"/>
          <w:lang w:val="sk-SK"/>
        </w:rPr>
        <w:t>Cieľom tohto opatrenia je podporiť inovácie. Opatrenie pozostáva</w:t>
      </w:r>
      <w:r w:rsidR="00326E55" w:rsidRPr="00326E55">
        <w:rPr>
          <w:noProof/>
          <w:spacing w:val="-6"/>
          <w:lang w:val="sk-SK"/>
        </w:rPr>
        <w:t xml:space="preserve"> z </w:t>
      </w:r>
      <w:r w:rsidRPr="00326E55">
        <w:rPr>
          <w:noProof/>
          <w:spacing w:val="-6"/>
          <w:lang w:val="sk-SK"/>
        </w:rPr>
        <w:t>vymedzenia výskumných, vývojových</w:t>
      </w:r>
      <w:r w:rsidR="00326E55" w:rsidRPr="00326E55">
        <w:rPr>
          <w:noProof/>
          <w:spacing w:val="-6"/>
          <w:lang w:val="sk-SK"/>
        </w:rPr>
        <w:t xml:space="preserve"> a </w:t>
      </w:r>
      <w:r w:rsidRPr="00326E55">
        <w:rPr>
          <w:noProof/>
          <w:spacing w:val="-6"/>
          <w:lang w:val="sk-SK"/>
        </w:rPr>
        <w:t>inovačných projektov (tzv. dohôd</w:t>
      </w:r>
      <w:r w:rsidR="00326E55" w:rsidRPr="00326E55">
        <w:rPr>
          <w:noProof/>
          <w:spacing w:val="-6"/>
          <w:lang w:val="sk-SK"/>
        </w:rPr>
        <w:t xml:space="preserve"> o </w:t>
      </w:r>
      <w:r w:rsidRPr="00326E55">
        <w:rPr>
          <w:noProof/>
          <w:spacing w:val="-6"/>
          <w:lang w:val="sk-SK"/>
        </w:rPr>
        <w:t>inováciách)</w:t>
      </w:r>
      <w:r w:rsidR="00326E55" w:rsidRPr="00326E55">
        <w:rPr>
          <w:noProof/>
          <w:spacing w:val="-6"/>
          <w:lang w:val="sk-SK"/>
        </w:rPr>
        <w:t xml:space="preserve"> v </w:t>
      </w:r>
      <w:r w:rsidRPr="00326E55">
        <w:rPr>
          <w:noProof/>
          <w:spacing w:val="-6"/>
          <w:lang w:val="sk-SK"/>
        </w:rPr>
        <w:t>oblastiach, ktoré sú</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pilierom II</w:t>
      </w:r>
      <w:r w:rsidRPr="00326E55">
        <w:rPr>
          <w:noProof/>
          <w:spacing w:val="-6"/>
          <w:lang w:val="sk-SK"/>
        </w:rPr>
        <w:t xml:space="preserve"> programu Horizont Európa podľa nariadenia (EÚ) 2021/695</w:t>
      </w:r>
      <w:r w:rsidR="00326E55" w:rsidRPr="00326E55">
        <w:rPr>
          <w:noProof/>
          <w:spacing w:val="-6"/>
          <w:lang w:val="sk-SK"/>
        </w:rPr>
        <w:t>.</w:t>
      </w:r>
    </w:p>
    <w:p w14:paraId="08B1A89B" w14:textId="77777777" w:rsidR="00326E55" w:rsidRPr="00326E55" w:rsidRDefault="00FB452D">
      <w:pPr>
        <w:pStyle w:val="P68B1DB1-Normal5"/>
        <w:spacing w:before="120" w:after="120"/>
        <w:jc w:val="both"/>
        <w:rPr>
          <w:noProof/>
          <w:spacing w:val="-6"/>
          <w:lang w:val="sk-SK"/>
        </w:rPr>
      </w:pPr>
      <w:r w:rsidRPr="00326E55">
        <w:rPr>
          <w:noProof/>
          <w:spacing w:val="-6"/>
          <w:lang w:val="sk-SK"/>
        </w:rPr>
        <w:t>Investícia 3.3: Udeľovanie doktorandských štipendií</w:t>
      </w:r>
      <w:r w:rsidR="00326E55" w:rsidRPr="00326E55">
        <w:rPr>
          <w:noProof/>
          <w:spacing w:val="-6"/>
          <w:lang w:val="sk-SK"/>
        </w:rPr>
        <w:t xml:space="preserve"> v </w:t>
      </w:r>
      <w:r w:rsidRPr="00326E55">
        <w:rPr>
          <w:noProof/>
          <w:spacing w:val="-6"/>
          <w:lang w:val="sk-SK"/>
        </w:rPr>
        <w:t>spolupráci</w:t>
      </w:r>
      <w:r w:rsidR="00326E55" w:rsidRPr="00326E55">
        <w:rPr>
          <w:noProof/>
          <w:spacing w:val="-6"/>
          <w:lang w:val="sk-SK"/>
        </w:rPr>
        <w:t xml:space="preserve"> s </w:t>
      </w:r>
      <w:r w:rsidRPr="00326E55">
        <w:rPr>
          <w:noProof/>
          <w:spacing w:val="-6"/>
          <w:lang w:val="sk-SK"/>
        </w:rPr>
        <w:t>podnikmi</w:t>
      </w:r>
    </w:p>
    <w:p w14:paraId="3A580F2A" w14:textId="0A0BFB3A" w:rsidR="00326E55" w:rsidRPr="00326E55" w:rsidRDefault="00FB452D">
      <w:pPr>
        <w:pStyle w:val="P68B1DB1-Normal7"/>
        <w:spacing w:before="120" w:after="120"/>
        <w:jc w:val="both"/>
        <w:rPr>
          <w:noProof/>
          <w:spacing w:val="-6"/>
          <w:lang w:val="sk-SK"/>
        </w:rPr>
      </w:pPr>
      <w:r w:rsidRPr="00326E55">
        <w:rPr>
          <w:noProof/>
          <w:spacing w:val="-6"/>
          <w:lang w:val="sk-SK"/>
        </w:rPr>
        <w:t>Cieľom tohto opatrenia je zlepšiť zručnosti na vysokej úrovni,</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v </w:t>
      </w:r>
      <w:r w:rsidRPr="00326E55">
        <w:rPr>
          <w:noProof/>
          <w:spacing w:val="-6"/>
          <w:lang w:val="sk-SK"/>
        </w:rPr>
        <w:t>oblastiach kľúčových podporných technológií</w:t>
      </w:r>
      <w:r w:rsidR="00326E55" w:rsidRPr="00326E55">
        <w:rPr>
          <w:noProof/>
          <w:spacing w:val="-6"/>
          <w:lang w:val="sk-SK"/>
        </w:rPr>
        <w:t>.</w:t>
      </w:r>
    </w:p>
    <w:p w14:paraId="4CC23CDB" w14:textId="09E34763" w:rsidR="00326E55" w:rsidRPr="00326E55" w:rsidRDefault="00FB452D">
      <w:pPr>
        <w:spacing w:before="120"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Opat</w:t>
      </w:r>
      <w:r w:rsidRPr="00326E55">
        <w:rPr>
          <w:rFonts w:ascii="Times New Roman" w:hAnsi="Times New Roman" w:cs="Times New Roman"/>
          <w:noProof/>
          <w:spacing w:val="-6"/>
          <w:lang w:val="sk-SK"/>
        </w:rPr>
        <w:t>renie pozostáva</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udeľovania štipendií doktorandského štúdia univerzitami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inštitúciami AFAM so vstupmi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zapojením spoločností. Konkrétne sa opatrením, ktoré vykonáva MUR – ministerstvo univerzity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výskumu, poskytuje celkovo</w:t>
      </w:r>
      <w:r w:rsidRPr="00326E55">
        <w:rPr>
          <w:rFonts w:ascii="Times New Roman" w:hAnsi="Times New Roman"/>
          <w:noProof/>
          <w:color w:val="006100"/>
          <w:spacing w:val="-6"/>
          <w:sz w:val="20"/>
          <w:szCs w:val="20"/>
          <w:lang w:val="sk-SK"/>
        </w:rPr>
        <w:t xml:space="preserve"> </w:t>
      </w:r>
      <w:r w:rsidRPr="00326E55">
        <w:rPr>
          <w:rFonts w:ascii="Times New Roman" w:hAnsi="Times New Roman" w:cs="Times New Roman"/>
          <w:noProof/>
          <w:spacing w:val="-6"/>
          <w:lang w:val="sk-SK"/>
        </w:rPr>
        <w:t xml:space="preserve">6000 doktorandských </w:t>
      </w:r>
      <w:r w:rsidRPr="00326E55">
        <w:rPr>
          <w:rFonts w:ascii="Times New Roman" w:hAnsi="Times New Roman" w:cs="Times New Roman"/>
          <w:noProof/>
          <w:spacing w:val="-6"/>
          <w:lang w:val="sk-SK"/>
        </w:rPr>
        <w:t>štipendií za tri roky so súkromným spolufinancovaním</w:t>
      </w:r>
      <w:r w:rsidR="00326E55" w:rsidRPr="00326E55">
        <w:rPr>
          <w:rFonts w:ascii="Times New Roman" w:hAnsi="Times New Roman" w:cs="Times New Roman"/>
          <w:noProof/>
          <w:spacing w:val="-6"/>
          <w:lang w:val="sk-SK"/>
        </w:rPr>
        <w:t>.</w:t>
      </w:r>
    </w:p>
    <w:p w14:paraId="0E09FACF" w14:textId="43854813" w:rsidR="00BF03AA" w:rsidRPr="00326E55" w:rsidRDefault="00FB452D">
      <w:pPr>
        <w:pStyle w:val="P68B1DB1-Normal5"/>
        <w:spacing w:before="120" w:after="120" w:line="288" w:lineRule="auto"/>
        <w:jc w:val="both"/>
        <w:rPr>
          <w:bCs/>
          <w:noProof/>
          <w:spacing w:val="-6"/>
          <w:lang w:val="sk-SK"/>
        </w:rPr>
      </w:pPr>
      <w:r w:rsidRPr="00326E55">
        <w:rPr>
          <w:noProof/>
          <w:spacing w:val="-6"/>
          <w:lang w:val="sk-SK"/>
        </w:rPr>
        <w:t>Reforma 1.1: Vykonávanie opatrení na podporu výskumu</w:t>
      </w:r>
      <w:r w:rsidR="00326E55" w:rsidRPr="00326E55">
        <w:rPr>
          <w:noProof/>
          <w:spacing w:val="-6"/>
          <w:lang w:val="sk-SK"/>
        </w:rPr>
        <w:t xml:space="preserve"> a </w:t>
      </w:r>
      <w:r w:rsidRPr="00326E55">
        <w:rPr>
          <w:noProof/>
          <w:spacing w:val="-6"/>
          <w:lang w:val="sk-SK"/>
        </w:rPr>
        <w:t>inovácií</w:t>
      </w:r>
      <w:r w:rsidR="00326E55" w:rsidRPr="00326E55">
        <w:rPr>
          <w:noProof/>
          <w:spacing w:val="-6"/>
          <w:lang w:val="sk-SK"/>
        </w:rPr>
        <w:t xml:space="preserve"> s </w:t>
      </w:r>
      <w:r w:rsidRPr="00326E55">
        <w:rPr>
          <w:noProof/>
          <w:spacing w:val="-6"/>
          <w:lang w:val="sk-SK"/>
        </w:rPr>
        <w:t>cieľom presadzovať zjednodušenie</w:t>
      </w:r>
      <w:r w:rsidR="00326E55" w:rsidRPr="00326E55">
        <w:rPr>
          <w:noProof/>
          <w:spacing w:val="-6"/>
          <w:lang w:val="sk-SK"/>
        </w:rPr>
        <w:t xml:space="preserve"> a </w:t>
      </w:r>
      <w:r w:rsidRPr="00326E55">
        <w:rPr>
          <w:noProof/>
          <w:spacing w:val="-6"/>
          <w:lang w:val="sk-SK"/>
        </w:rPr>
        <w:t>mobilitu</w:t>
      </w:r>
    </w:p>
    <w:p w14:paraId="317D8EBF" w14:textId="2E009F7A" w:rsidR="00326E55" w:rsidRPr="00326E55" w:rsidRDefault="00FB452D">
      <w:pPr>
        <w:pStyle w:val="P68B1DB1-Normal7"/>
        <w:spacing w:before="120" w:after="120"/>
        <w:jc w:val="both"/>
        <w:rPr>
          <w:noProof/>
          <w:spacing w:val="-6"/>
          <w:lang w:val="sk-SK"/>
        </w:rPr>
      </w:pPr>
      <w:r w:rsidRPr="00326E55">
        <w:rPr>
          <w:noProof/>
          <w:spacing w:val="-6"/>
          <w:lang w:val="sk-SK"/>
        </w:rPr>
        <w:t>Reformu vykoná ministerstvo univerzity</w:t>
      </w:r>
      <w:r w:rsidR="00326E55" w:rsidRPr="00326E55">
        <w:rPr>
          <w:noProof/>
          <w:spacing w:val="-6"/>
          <w:lang w:val="sk-SK"/>
        </w:rPr>
        <w:t xml:space="preserve"> a </w:t>
      </w:r>
      <w:r w:rsidRPr="00326E55">
        <w:rPr>
          <w:noProof/>
          <w:spacing w:val="-6"/>
          <w:lang w:val="sk-SK"/>
        </w:rPr>
        <w:t>výskumu (MUR)</w:t>
      </w:r>
      <w:r w:rsidR="00326E55" w:rsidRPr="00326E55">
        <w:rPr>
          <w:noProof/>
          <w:spacing w:val="-6"/>
          <w:lang w:val="sk-SK"/>
        </w:rPr>
        <w:t xml:space="preserve"> a </w:t>
      </w:r>
      <w:r w:rsidRPr="00326E55">
        <w:rPr>
          <w:noProof/>
          <w:spacing w:val="-6"/>
          <w:lang w:val="sk-SK"/>
        </w:rPr>
        <w:t xml:space="preserve">ministerstvo hospodárskeho rozvoja </w:t>
      </w:r>
      <w:r w:rsidRPr="00326E55">
        <w:rPr>
          <w:noProof/>
          <w:spacing w:val="-6"/>
          <w:lang w:val="sk-SK"/>
        </w:rPr>
        <w:t>(MiSE) vytvorením medzirezortnej riadiacej rady</w:t>
      </w:r>
      <w:r w:rsidR="00326E55" w:rsidRPr="00326E55">
        <w:rPr>
          <w:noProof/>
          <w:spacing w:val="-6"/>
          <w:lang w:val="sk-SK"/>
        </w:rPr>
        <w:t xml:space="preserve"> a </w:t>
      </w:r>
      <w:r w:rsidRPr="00326E55">
        <w:rPr>
          <w:noProof/>
          <w:spacing w:val="-6"/>
          <w:lang w:val="sk-SK"/>
        </w:rPr>
        <w:t>vydaním dvoch ministerských vyhlášok: I) zvýšiť</w:t>
      </w:r>
      <w:r w:rsidR="00326E55" w:rsidRPr="00326E55">
        <w:rPr>
          <w:noProof/>
          <w:spacing w:val="-6"/>
          <w:lang w:val="sk-SK"/>
        </w:rPr>
        <w:t xml:space="preserve"> a </w:t>
      </w:r>
      <w:r w:rsidRPr="00326E55">
        <w:rPr>
          <w:noProof/>
          <w:spacing w:val="-6"/>
          <w:lang w:val="sk-SK"/>
        </w:rPr>
        <w:t>podporiť mobilitu (prostredníctvom stimulov) vysokopostavených jednotlivcov (napríklad: výskumní pracovníci</w:t>
      </w:r>
      <w:r w:rsidR="00326E55" w:rsidRPr="00326E55">
        <w:rPr>
          <w:noProof/>
          <w:spacing w:val="-6"/>
          <w:lang w:val="sk-SK"/>
        </w:rPr>
        <w:t xml:space="preserve"> a </w:t>
      </w:r>
      <w:r w:rsidRPr="00326E55">
        <w:rPr>
          <w:noProof/>
          <w:spacing w:val="-6"/>
          <w:lang w:val="sk-SK"/>
        </w:rPr>
        <w:t>manažéri) medzi univerzitami, výskumnými infra</w:t>
      </w:r>
      <w:r w:rsidRPr="00326E55">
        <w:rPr>
          <w:noProof/>
          <w:spacing w:val="-6"/>
          <w:lang w:val="sk-SK"/>
        </w:rPr>
        <w:t>štruktúrami</w:t>
      </w:r>
      <w:r w:rsidR="00326E55" w:rsidRPr="00326E55">
        <w:rPr>
          <w:noProof/>
          <w:spacing w:val="-6"/>
          <w:lang w:val="sk-SK"/>
        </w:rPr>
        <w:t xml:space="preserve"> a </w:t>
      </w:r>
      <w:r w:rsidRPr="00326E55">
        <w:rPr>
          <w:noProof/>
          <w:spacing w:val="-6"/>
          <w:lang w:val="sk-SK"/>
        </w:rPr>
        <w:t>spoločnosťami</w:t>
      </w:r>
      <w:r w:rsidR="00326E55" w:rsidRPr="00326E55">
        <w:rPr>
          <w:noProof/>
          <w:spacing w:val="-6"/>
          <w:lang w:val="sk-SK"/>
        </w:rPr>
        <w:t xml:space="preserve"> a </w:t>
      </w:r>
      <w:r w:rsidRPr="00326E55">
        <w:rPr>
          <w:noProof/>
          <w:spacing w:val="-6"/>
          <w:lang w:val="sk-SK"/>
        </w:rPr>
        <w:t>ii) zjednodušiť riadenie finančných prostriedkov určených na výskum, iii) reformovať kariérnu dráhu výskumných pracovníkov</w:t>
      </w:r>
      <w:r w:rsidR="00326E55" w:rsidRPr="00326E55">
        <w:rPr>
          <w:noProof/>
          <w:spacing w:val="-6"/>
          <w:lang w:val="sk-SK"/>
        </w:rPr>
        <w:t xml:space="preserve"> s </w:t>
      </w:r>
      <w:r w:rsidRPr="00326E55">
        <w:rPr>
          <w:noProof/>
          <w:spacing w:val="-6"/>
          <w:lang w:val="sk-SK"/>
        </w:rPr>
        <w:t>cieľom zvýšiť ich zameranie na výskumné činnosti</w:t>
      </w:r>
      <w:r w:rsidR="00326E55" w:rsidRPr="00326E55">
        <w:rPr>
          <w:noProof/>
          <w:spacing w:val="-6"/>
          <w:lang w:val="sk-SK"/>
        </w:rPr>
        <w:t>.</w:t>
      </w:r>
    </w:p>
    <w:p w14:paraId="26A96F51" w14:textId="7CC8CF44" w:rsidR="00BF03AA" w:rsidRPr="00326E55" w:rsidRDefault="00FB452D">
      <w:pPr>
        <w:pStyle w:val="P68B1DB1-Normal7"/>
        <w:jc w:val="both"/>
        <w:rPr>
          <w:b/>
          <w:bCs/>
          <w:noProof/>
          <w:spacing w:val="-6"/>
          <w:lang w:val="sk-SK"/>
        </w:rPr>
      </w:pPr>
      <w:r w:rsidRPr="00326E55">
        <w:rPr>
          <w:noProof/>
          <w:spacing w:val="-6"/>
          <w:lang w:val="sk-SK"/>
        </w:rPr>
        <w:t>Reforma sa zameria na systematickejší prístup</w:t>
      </w:r>
      <w:r w:rsidR="00326E55" w:rsidRPr="00326E55">
        <w:rPr>
          <w:noProof/>
          <w:spacing w:val="-6"/>
          <w:lang w:val="sk-SK"/>
        </w:rPr>
        <w:t xml:space="preserve"> k </w:t>
      </w:r>
      <w:r w:rsidRPr="00326E55">
        <w:rPr>
          <w:noProof/>
          <w:spacing w:val="-6"/>
          <w:lang w:val="sk-SK"/>
        </w:rPr>
        <w:t>čin</w:t>
      </w:r>
      <w:r w:rsidRPr="00326E55">
        <w:rPr>
          <w:noProof/>
          <w:spacing w:val="-6"/>
          <w:lang w:val="sk-SK"/>
        </w:rPr>
        <w:t>nostiam</w:t>
      </w:r>
      <w:r w:rsidR="00326E55" w:rsidRPr="00326E55">
        <w:rPr>
          <w:noProof/>
          <w:spacing w:val="-6"/>
          <w:lang w:val="sk-SK"/>
        </w:rPr>
        <w:t xml:space="preserve"> v </w:t>
      </w:r>
      <w:r w:rsidRPr="00326E55">
        <w:rPr>
          <w:noProof/>
          <w:spacing w:val="-6"/>
          <w:lang w:val="sk-SK"/>
        </w:rPr>
        <w:t>oblasti výskumu</w:t>
      </w:r>
      <w:r w:rsidR="00326E55" w:rsidRPr="00326E55">
        <w:rPr>
          <w:noProof/>
          <w:spacing w:val="-6"/>
          <w:lang w:val="sk-SK"/>
        </w:rPr>
        <w:t xml:space="preserve"> a </w:t>
      </w:r>
      <w:r w:rsidRPr="00326E55">
        <w:rPr>
          <w:noProof/>
          <w:spacing w:val="-6"/>
          <w:lang w:val="sk-SK"/>
        </w:rPr>
        <w:t>vývoja, ktorý presahuje súčasnú logiku prerozdeľovania zdrojov uprednostňovaním prístupu spoločného využívania zdrojov,</w:t>
      </w:r>
      <w:r w:rsidR="00326E55" w:rsidRPr="00326E55">
        <w:rPr>
          <w:noProof/>
          <w:spacing w:val="-6"/>
          <w:lang w:val="sk-SK"/>
        </w:rPr>
        <w:t xml:space="preserve"> a </w:t>
      </w:r>
      <w:r w:rsidRPr="00326E55">
        <w:rPr>
          <w:noProof/>
          <w:spacing w:val="-6"/>
          <w:lang w:val="sk-SK"/>
        </w:rPr>
        <w:t>zameria sa na zjednodušenie byrokracie pri riadení finančných prostriedkov určených na</w:t>
      </w:r>
      <w:r w:rsidRPr="00326E55">
        <w:rPr>
          <w:noProof/>
          <w:spacing w:val="-6"/>
          <w:lang w:val="sk-SK"/>
        </w:rPr>
        <w:t xml:space="preserve"> verejno-súkromné výskumné činnosti, čím sa dosiahne významný vplyv tým, že sa zabráni rozptýleniu</w:t>
      </w:r>
      <w:r w:rsidR="00326E55" w:rsidRPr="00326E55">
        <w:rPr>
          <w:noProof/>
          <w:spacing w:val="-6"/>
          <w:lang w:val="sk-SK"/>
        </w:rPr>
        <w:t xml:space="preserve"> a </w:t>
      </w:r>
      <w:r w:rsidRPr="00326E55">
        <w:rPr>
          <w:noProof/>
          <w:spacing w:val="-6"/>
          <w:lang w:val="sk-SK"/>
        </w:rPr>
        <w:t>fragmentácii priorít,</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s </w:t>
      </w:r>
      <w:r w:rsidRPr="00326E55">
        <w:rPr>
          <w:noProof/>
          <w:spacing w:val="-6"/>
          <w:lang w:val="sk-SK"/>
        </w:rPr>
        <w:t>podporou prvej zložky misie. Verejné výskumné orgány (EPR) zohrávajú kľúčovú úlohu ako vedúci projektov pre partnerstvá, ná</w:t>
      </w:r>
      <w:r w:rsidRPr="00326E55">
        <w:rPr>
          <w:noProof/>
          <w:spacing w:val="-6"/>
          <w:lang w:val="sk-SK"/>
        </w:rPr>
        <w:t>rodné kampane</w:t>
      </w:r>
      <w:r w:rsidR="00326E55" w:rsidRPr="00326E55">
        <w:rPr>
          <w:noProof/>
          <w:spacing w:val="-6"/>
          <w:lang w:val="sk-SK"/>
        </w:rPr>
        <w:t xml:space="preserve"> a </w:t>
      </w:r>
      <w:r w:rsidRPr="00326E55">
        <w:rPr>
          <w:noProof/>
          <w:spacing w:val="-6"/>
          <w:lang w:val="sk-SK"/>
        </w:rPr>
        <w:t>územné ekosystémy, ako aj ako potenciálni účastníci výziev na predkladanie návrhov týkajúcich sa fondu PNR</w:t>
      </w:r>
      <w:r w:rsidR="00326E55" w:rsidRPr="00326E55">
        <w:rPr>
          <w:noProof/>
          <w:spacing w:val="-6"/>
          <w:lang w:val="sk-SK"/>
        </w:rPr>
        <w:t xml:space="preserve"> a </w:t>
      </w:r>
      <w:r w:rsidRPr="00326E55">
        <w:rPr>
          <w:noProof/>
          <w:spacing w:val="-6"/>
          <w:lang w:val="sk-SK"/>
        </w:rPr>
        <w:t>fondu pre infraštruktúru.</w:t>
      </w:r>
      <w:r w:rsidRPr="00326E55">
        <w:rPr>
          <w:noProof/>
          <w:spacing w:val="-6"/>
          <w:lang w:val="sk-SK"/>
        </w:rPr>
        <w:br w:type="page"/>
      </w:r>
    </w:p>
    <w:p w14:paraId="025FEE9D" w14:textId="2FFD621B" w:rsidR="00BF03AA" w:rsidRPr="00326E55" w:rsidRDefault="00FB452D">
      <w:pPr>
        <w:pStyle w:val="P68B1DB1-Normal5"/>
        <w:spacing w:before="120" w:after="120"/>
        <w:jc w:val="both"/>
        <w:rPr>
          <w:bCs/>
          <w:noProof/>
          <w:spacing w:val="-6"/>
          <w:lang w:val="sk-SK"/>
        </w:rPr>
      </w:pPr>
      <w:r w:rsidRPr="00326E55">
        <w:rPr>
          <w:noProof/>
          <w:spacing w:val="-6"/>
          <w:lang w:val="sk-SK"/>
        </w:rPr>
        <w:t>Reforma 1.2: Trojročný plán financovania výskumných činností</w:t>
      </w:r>
    </w:p>
    <w:p w14:paraId="31625454" w14:textId="0DEC1C08" w:rsidR="00BF03AA" w:rsidRPr="00326E55" w:rsidRDefault="00FB452D">
      <w:pPr>
        <w:pStyle w:val="P68B1DB1-Normal7"/>
        <w:jc w:val="both"/>
        <w:rPr>
          <w:noProof/>
          <w:spacing w:val="-6"/>
          <w:lang w:val="sk-SK"/>
        </w:rPr>
      </w:pPr>
      <w:r w:rsidRPr="00326E55">
        <w:rPr>
          <w:noProof/>
          <w:spacing w:val="-6"/>
          <w:lang w:val="sk-SK"/>
        </w:rPr>
        <w:t>Cieľom reformy je zlepšiť plánovanie</w:t>
      </w:r>
      <w:r w:rsidR="00326E55" w:rsidRPr="00326E55">
        <w:rPr>
          <w:noProof/>
          <w:spacing w:val="-6"/>
          <w:lang w:val="sk-SK"/>
        </w:rPr>
        <w:t xml:space="preserve"> a </w:t>
      </w:r>
      <w:r w:rsidRPr="00326E55">
        <w:rPr>
          <w:noProof/>
          <w:spacing w:val="-6"/>
          <w:lang w:val="sk-SK"/>
        </w:rPr>
        <w:t>predvídateľnosť financovania výskumu. Pozostáva</w:t>
      </w:r>
      <w:r w:rsidR="00326E55" w:rsidRPr="00326E55">
        <w:rPr>
          <w:noProof/>
          <w:spacing w:val="-6"/>
          <w:lang w:val="sk-SK"/>
        </w:rPr>
        <w:t xml:space="preserve"> z </w:t>
      </w:r>
      <w:r w:rsidRPr="00326E55">
        <w:rPr>
          <w:noProof/>
          <w:spacing w:val="-6"/>
          <w:lang w:val="sk-SK"/>
        </w:rPr>
        <w:t>nadobudnutia účinnosti primárnych právnych predpisov, ktorými sa stanovuje právny rámec na prijatie trojročného plánu financovania výskumných činností.</w:t>
      </w:r>
    </w:p>
    <w:p w14:paraId="375E5F23" w14:textId="77777777" w:rsidR="00BF03AA" w:rsidRPr="00326E55" w:rsidRDefault="00BF03AA">
      <w:pPr>
        <w:jc w:val="both"/>
        <w:rPr>
          <w:rFonts w:ascii="Times New Roman" w:hAnsi="Times New Roman" w:cs="Times New Roman"/>
          <w:noProof/>
          <w:spacing w:val="-6"/>
          <w:lang w:val="sk-SK"/>
        </w:rPr>
      </w:pPr>
    </w:p>
    <w:p w14:paraId="3A748D05" w14:textId="77777777" w:rsidR="00BF03AA" w:rsidRPr="00326E55" w:rsidRDefault="00BF03AA">
      <w:pPr>
        <w:rPr>
          <w:rFonts w:ascii="Times New Roman" w:hAnsi="Times New Roman" w:cs="Times New Roman"/>
          <w:b/>
          <w:bCs/>
          <w:noProof/>
          <w:spacing w:val="-6"/>
          <w:u w:val="single"/>
          <w:lang w:val="sk-SK"/>
        </w:rPr>
        <w:sectPr w:rsidR="00BF03AA" w:rsidRPr="00326E55" w:rsidSect="005F11B9">
          <w:headerReference w:type="even" r:id="rId196"/>
          <w:headerReference w:type="default" r:id="rId197"/>
          <w:footerReference w:type="even" r:id="rId198"/>
          <w:footerReference w:type="default" r:id="rId199"/>
          <w:headerReference w:type="first" r:id="rId200"/>
          <w:footerReference w:type="first" r:id="rId201"/>
          <w:pgSz w:w="11906" w:h="16838"/>
          <w:pgMar w:top="1440" w:right="1440" w:bottom="1440" w:left="1440" w:header="708" w:footer="708" w:gutter="0"/>
          <w:cols w:space="708"/>
          <w:docGrid w:linePitch="360"/>
        </w:sectPr>
      </w:pPr>
    </w:p>
    <w:p w14:paraId="2452C159" w14:textId="2EDB5C83" w:rsidR="00BF03AA" w:rsidRPr="00326E55" w:rsidRDefault="00FB452D">
      <w:pPr>
        <w:pStyle w:val="P68B1DB1-Heading397"/>
        <w:ind w:left="850" w:hanging="850"/>
        <w:rPr>
          <w:rFonts w:hint="default"/>
          <w:noProof/>
          <w:spacing w:val="-6"/>
          <w:lang w:val="sk-SK"/>
        </w:rPr>
      </w:pPr>
      <w:r w:rsidRPr="00326E55">
        <w:rPr>
          <w:noProof/>
          <w:spacing w:val="-6"/>
          <w:lang w:val="sk-SK"/>
        </w:rPr>
        <w:t xml:space="preserve">K.2. </w:t>
      </w:r>
      <w:r w:rsidRPr="00326E55">
        <w:rPr>
          <w:noProof/>
          <w:spacing w:val="-6"/>
          <w:lang w:val="sk-SK"/>
        </w:rPr>
        <w:tab/>
        <w:t>Míľniky, ciele, ukazovatele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harmonogram monitorovania</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realizácie nenávratnej finančnej podpory</w:t>
      </w:r>
    </w:p>
    <w:tbl>
      <w:tblPr>
        <w:tblW w:w="14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302"/>
        <w:gridCol w:w="1305"/>
        <w:gridCol w:w="1302"/>
        <w:gridCol w:w="1272"/>
        <w:gridCol w:w="1269"/>
        <w:gridCol w:w="1269"/>
        <w:gridCol w:w="1420"/>
        <w:gridCol w:w="1133"/>
        <w:gridCol w:w="575"/>
        <w:gridCol w:w="2744"/>
      </w:tblGrid>
      <w:tr w:rsidR="00BF03AA" w:rsidRPr="00326E55" w14:paraId="77EBB1CA" w14:textId="77777777">
        <w:trPr>
          <w:trHeight w:val="927"/>
          <w:tblHeader/>
          <w:jc w:val="center"/>
        </w:trPr>
        <w:tc>
          <w:tcPr>
            <w:tcW w:w="1292" w:type="dxa"/>
            <w:vMerge w:val="restart"/>
            <w:shd w:val="clear" w:color="auto" w:fill="BDD7EE"/>
            <w:vAlign w:val="center"/>
            <w:hideMark/>
          </w:tcPr>
          <w:p w14:paraId="15D04695"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368" w:type="dxa"/>
            <w:vMerge w:val="restart"/>
            <w:shd w:val="clear" w:color="auto" w:fill="BDD7EE"/>
            <w:vAlign w:val="center"/>
            <w:hideMark/>
          </w:tcPr>
          <w:p w14:paraId="72306E0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413" w:type="dxa"/>
            <w:vMerge w:val="restart"/>
            <w:shd w:val="clear" w:color="auto" w:fill="BDD7EE"/>
            <w:vAlign w:val="center"/>
            <w:hideMark/>
          </w:tcPr>
          <w:p w14:paraId="46FA3A0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302" w:type="dxa"/>
            <w:vMerge w:val="restart"/>
            <w:shd w:val="clear" w:color="auto" w:fill="BDD7EE"/>
            <w:vAlign w:val="center"/>
            <w:hideMark/>
          </w:tcPr>
          <w:p w14:paraId="08918BB2"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377" w:type="dxa"/>
            <w:vMerge w:val="restart"/>
            <w:shd w:val="clear" w:color="auto" w:fill="BDD7EE"/>
            <w:vAlign w:val="center"/>
            <w:hideMark/>
          </w:tcPr>
          <w:p w14:paraId="52A8DB05"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702" w:type="dxa"/>
            <w:gridSpan w:val="3"/>
            <w:shd w:val="clear" w:color="auto" w:fill="BDD7EE"/>
            <w:vAlign w:val="center"/>
            <w:hideMark/>
          </w:tcPr>
          <w:p w14:paraId="32E720DD"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w:t>
            </w:r>
            <w:r w:rsidRPr="00326E55">
              <w:rPr>
                <w:rFonts w:ascii="Times New Roman" w:hAnsi="Times New Roman"/>
                <w:b/>
                <w:noProof/>
                <w:spacing w:val="-6"/>
                <w:sz w:val="20"/>
                <w:lang w:val="sk-SK"/>
              </w:rPr>
              <w:t xml:space="preserve"> cieľové hodnoty)</w:t>
            </w:r>
          </w:p>
        </w:tc>
        <w:tc>
          <w:tcPr>
            <w:tcW w:w="1586" w:type="dxa"/>
            <w:gridSpan w:val="2"/>
            <w:shd w:val="clear" w:color="auto" w:fill="BDD7EE"/>
            <w:vAlign w:val="center"/>
            <w:hideMark/>
          </w:tcPr>
          <w:p w14:paraId="67E4942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2521" w:type="dxa"/>
            <w:vMerge w:val="restart"/>
            <w:shd w:val="clear" w:color="auto" w:fill="BDD7EE"/>
            <w:vAlign w:val="center"/>
            <w:hideMark/>
          </w:tcPr>
          <w:p w14:paraId="47147C27" w14:textId="29111B9C"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7DC70438" w14:textId="77777777">
        <w:trPr>
          <w:trHeight w:val="802"/>
          <w:tblHeader/>
          <w:jc w:val="center"/>
        </w:trPr>
        <w:tc>
          <w:tcPr>
            <w:tcW w:w="1292" w:type="dxa"/>
            <w:vMerge/>
            <w:vAlign w:val="center"/>
            <w:hideMark/>
          </w:tcPr>
          <w:p w14:paraId="2810997B" w14:textId="77777777" w:rsidR="00BF03AA" w:rsidRPr="00326E55" w:rsidRDefault="00BF03AA">
            <w:pPr>
              <w:jc w:val="center"/>
              <w:rPr>
                <w:rFonts w:ascii="Times New Roman" w:hAnsi="Times New Roman"/>
                <w:b/>
                <w:noProof/>
                <w:spacing w:val="-6"/>
                <w:sz w:val="20"/>
                <w:szCs w:val="20"/>
                <w:lang w:val="sk-SK"/>
              </w:rPr>
            </w:pPr>
          </w:p>
        </w:tc>
        <w:tc>
          <w:tcPr>
            <w:tcW w:w="1368" w:type="dxa"/>
            <w:vMerge/>
            <w:vAlign w:val="center"/>
            <w:hideMark/>
          </w:tcPr>
          <w:p w14:paraId="1FDCCA58" w14:textId="77777777" w:rsidR="00BF03AA" w:rsidRPr="00326E55" w:rsidRDefault="00BF03AA">
            <w:pPr>
              <w:jc w:val="center"/>
              <w:rPr>
                <w:rFonts w:ascii="Times New Roman" w:hAnsi="Times New Roman"/>
                <w:b/>
                <w:noProof/>
                <w:spacing w:val="-6"/>
                <w:sz w:val="20"/>
                <w:szCs w:val="20"/>
                <w:lang w:val="sk-SK"/>
              </w:rPr>
            </w:pPr>
          </w:p>
        </w:tc>
        <w:tc>
          <w:tcPr>
            <w:tcW w:w="1413" w:type="dxa"/>
            <w:vMerge/>
            <w:vAlign w:val="center"/>
            <w:hideMark/>
          </w:tcPr>
          <w:p w14:paraId="744B5075" w14:textId="77777777" w:rsidR="00BF03AA" w:rsidRPr="00326E55" w:rsidRDefault="00BF03AA">
            <w:pPr>
              <w:jc w:val="center"/>
              <w:rPr>
                <w:rFonts w:ascii="Times New Roman" w:hAnsi="Times New Roman"/>
                <w:b/>
                <w:noProof/>
                <w:spacing w:val="-6"/>
                <w:sz w:val="20"/>
                <w:szCs w:val="20"/>
                <w:lang w:val="sk-SK"/>
              </w:rPr>
            </w:pPr>
          </w:p>
        </w:tc>
        <w:tc>
          <w:tcPr>
            <w:tcW w:w="1302" w:type="dxa"/>
            <w:vMerge/>
            <w:vAlign w:val="center"/>
            <w:hideMark/>
          </w:tcPr>
          <w:p w14:paraId="085A8514" w14:textId="77777777" w:rsidR="00BF03AA" w:rsidRPr="00326E55" w:rsidRDefault="00BF03AA">
            <w:pPr>
              <w:jc w:val="center"/>
              <w:rPr>
                <w:rFonts w:ascii="Times New Roman" w:hAnsi="Times New Roman"/>
                <w:b/>
                <w:noProof/>
                <w:spacing w:val="-6"/>
                <w:sz w:val="20"/>
                <w:szCs w:val="20"/>
                <w:lang w:val="sk-SK"/>
              </w:rPr>
            </w:pPr>
          </w:p>
        </w:tc>
        <w:tc>
          <w:tcPr>
            <w:tcW w:w="1377" w:type="dxa"/>
            <w:vMerge/>
            <w:vAlign w:val="center"/>
            <w:hideMark/>
          </w:tcPr>
          <w:p w14:paraId="13B00B63" w14:textId="77777777" w:rsidR="00BF03AA" w:rsidRPr="00326E55" w:rsidRDefault="00BF03AA">
            <w:pPr>
              <w:jc w:val="center"/>
              <w:rPr>
                <w:rFonts w:ascii="Times New Roman" w:hAnsi="Times New Roman"/>
                <w:b/>
                <w:noProof/>
                <w:spacing w:val="-6"/>
                <w:sz w:val="20"/>
                <w:szCs w:val="20"/>
                <w:lang w:val="sk-SK"/>
              </w:rPr>
            </w:pPr>
          </w:p>
        </w:tc>
        <w:tc>
          <w:tcPr>
            <w:tcW w:w="1089" w:type="dxa"/>
            <w:shd w:val="clear" w:color="auto" w:fill="BDD7EE"/>
            <w:vAlign w:val="center"/>
            <w:hideMark/>
          </w:tcPr>
          <w:p w14:paraId="63B1948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074" w:type="dxa"/>
            <w:shd w:val="clear" w:color="auto" w:fill="BDD7EE"/>
            <w:vAlign w:val="center"/>
            <w:hideMark/>
          </w:tcPr>
          <w:p w14:paraId="2E9AF3E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1539" w:type="dxa"/>
            <w:shd w:val="clear" w:color="auto" w:fill="BDD7EE"/>
            <w:vAlign w:val="center"/>
            <w:hideMark/>
          </w:tcPr>
          <w:p w14:paraId="098BB2FF"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975" w:type="dxa"/>
            <w:shd w:val="clear" w:color="auto" w:fill="BDD7EE"/>
            <w:vAlign w:val="center"/>
            <w:hideMark/>
          </w:tcPr>
          <w:p w14:paraId="4F5E9E7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611" w:type="dxa"/>
            <w:shd w:val="clear" w:color="auto" w:fill="BDD7EE"/>
            <w:vAlign w:val="center"/>
            <w:hideMark/>
          </w:tcPr>
          <w:p w14:paraId="7BF19C5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521" w:type="dxa"/>
            <w:vMerge/>
            <w:vAlign w:val="center"/>
            <w:hideMark/>
          </w:tcPr>
          <w:p w14:paraId="7F08558D" w14:textId="77777777" w:rsidR="00BF03AA" w:rsidRPr="00326E55" w:rsidRDefault="00BF03AA">
            <w:pPr>
              <w:rPr>
                <w:rFonts w:ascii="Times New Roman" w:hAnsi="Times New Roman"/>
                <w:b/>
                <w:noProof/>
                <w:spacing w:val="-6"/>
                <w:sz w:val="20"/>
                <w:szCs w:val="20"/>
                <w:lang w:val="sk-SK"/>
              </w:rPr>
            </w:pPr>
          </w:p>
        </w:tc>
      </w:tr>
      <w:tr w:rsidR="00BF03AA" w:rsidRPr="00326E55" w14:paraId="0D8617CE" w14:textId="77777777">
        <w:trPr>
          <w:trHeight w:val="1065"/>
          <w:jc w:val="center"/>
        </w:trPr>
        <w:tc>
          <w:tcPr>
            <w:tcW w:w="1292" w:type="dxa"/>
            <w:shd w:val="clear" w:color="auto" w:fill="C6EFCE"/>
            <w:noWrap/>
            <w:vAlign w:val="center"/>
            <w:hideMark/>
          </w:tcPr>
          <w:p w14:paraId="56F9DE3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1</w:t>
            </w:r>
          </w:p>
        </w:tc>
        <w:tc>
          <w:tcPr>
            <w:tcW w:w="1368" w:type="dxa"/>
            <w:shd w:val="clear" w:color="auto" w:fill="C6EFCE"/>
            <w:noWrap/>
            <w:vAlign w:val="center"/>
            <w:hideMark/>
          </w:tcPr>
          <w:p w14:paraId="4ACFBAC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 Investícia 1.2: Financovanie projektov prezentovaných mladými výskumníkmi</w:t>
            </w:r>
          </w:p>
        </w:tc>
        <w:tc>
          <w:tcPr>
            <w:tcW w:w="1413" w:type="dxa"/>
            <w:shd w:val="clear" w:color="auto" w:fill="C6EFCE"/>
            <w:noWrap/>
            <w:vAlign w:val="center"/>
            <w:hideMark/>
          </w:tcPr>
          <w:p w14:paraId="1E3D3E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02" w:type="dxa"/>
            <w:shd w:val="clear" w:color="auto" w:fill="C6EFCE"/>
            <w:noWrap/>
            <w:vAlign w:val="center"/>
            <w:hideMark/>
          </w:tcPr>
          <w:p w14:paraId="2E8E0FA3"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študentov, ktorým bol udelený </w:t>
            </w:r>
            <w:r w:rsidRPr="00326E55">
              <w:rPr>
                <w:rFonts w:ascii="Times New Roman" w:hAnsi="Times New Roman"/>
                <w:noProof/>
                <w:spacing w:val="-6"/>
                <w:lang w:val="sk-SK"/>
              </w:rPr>
              <w:t>grant na výskum</w:t>
            </w:r>
          </w:p>
        </w:tc>
        <w:tc>
          <w:tcPr>
            <w:tcW w:w="1377" w:type="dxa"/>
            <w:shd w:val="clear" w:color="auto" w:fill="C6EFCE"/>
            <w:noWrap/>
            <w:vAlign w:val="center"/>
            <w:hideMark/>
          </w:tcPr>
          <w:p w14:paraId="1AFAAD3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89" w:type="dxa"/>
            <w:shd w:val="clear" w:color="auto" w:fill="C6EFCE"/>
            <w:noWrap/>
            <w:vAlign w:val="center"/>
            <w:hideMark/>
          </w:tcPr>
          <w:p w14:paraId="1DD4F2E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74" w:type="dxa"/>
            <w:shd w:val="clear" w:color="auto" w:fill="C6EFCE"/>
            <w:noWrap/>
            <w:vAlign w:val="center"/>
            <w:hideMark/>
          </w:tcPr>
          <w:p w14:paraId="0D763C9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50</w:t>
            </w:r>
          </w:p>
        </w:tc>
        <w:tc>
          <w:tcPr>
            <w:tcW w:w="1539" w:type="dxa"/>
            <w:shd w:val="clear" w:color="auto" w:fill="C6EFCE"/>
            <w:noWrap/>
            <w:vAlign w:val="center"/>
            <w:hideMark/>
          </w:tcPr>
          <w:p w14:paraId="0BFE3B3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300</w:t>
            </w:r>
          </w:p>
        </w:tc>
        <w:tc>
          <w:tcPr>
            <w:tcW w:w="975" w:type="dxa"/>
            <w:shd w:val="clear" w:color="auto" w:fill="C6EFCE"/>
            <w:noWrap/>
            <w:vAlign w:val="center"/>
            <w:hideMark/>
          </w:tcPr>
          <w:p w14:paraId="3331FA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11" w:type="dxa"/>
            <w:shd w:val="clear" w:color="auto" w:fill="C6EFCE"/>
            <w:noWrap/>
            <w:vAlign w:val="center"/>
            <w:hideMark/>
          </w:tcPr>
          <w:p w14:paraId="1F51CAF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521" w:type="dxa"/>
            <w:shd w:val="clear" w:color="auto" w:fill="C6EFCE"/>
            <w:noWrap/>
            <w:vAlign w:val="center"/>
            <w:hideMark/>
          </w:tcPr>
          <w:p w14:paraId="1FE43934" w14:textId="40D2FAF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Udelenie najmenej 300 výskumných grantov študentom. Výberové konanie na udelenie zahŕňa kritériá oprávnenosti, ktorými sa zabezpečí, aby vybrané projekty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p w14:paraId="117340B5"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Pri uspokojivom plnení cieľa sa zohľ</w:t>
            </w:r>
            <w:r w:rsidRPr="00326E55">
              <w:rPr>
                <w:rFonts w:ascii="Times New Roman" w:hAnsi="Times New Roman"/>
                <w:noProof/>
                <w:spacing w:val="-6"/>
                <w:lang w:val="sk-SK"/>
              </w:rPr>
              <w:t>adní aj skutočnosť, že najmenej 300 mladých výskumných pracovníkov je zmluvne dohodnutých.</w:t>
            </w:r>
          </w:p>
        </w:tc>
      </w:tr>
      <w:tr w:rsidR="00BF03AA" w:rsidRPr="00326E55" w14:paraId="6AE167D3" w14:textId="77777777">
        <w:trPr>
          <w:trHeight w:val="1065"/>
          <w:jc w:val="center"/>
        </w:trPr>
        <w:tc>
          <w:tcPr>
            <w:tcW w:w="1292" w:type="dxa"/>
            <w:shd w:val="clear" w:color="auto" w:fill="C6EFCE"/>
            <w:noWrap/>
            <w:vAlign w:val="center"/>
            <w:hideMark/>
          </w:tcPr>
          <w:p w14:paraId="6C4BE837" w14:textId="77777777" w:rsidR="00BF03AA" w:rsidRPr="00326E55" w:rsidRDefault="00FB452D">
            <w:pPr>
              <w:pStyle w:val="P68B1DB1-Normal12"/>
              <w:jc w:val="center"/>
              <w:rPr>
                <w:rFonts w:ascii="Times New Roman" w:eastAsia="Calibri" w:hAnsi="Times New Roman"/>
                <w:noProof/>
                <w:spacing w:val="-6"/>
                <w:lang w:val="sk-SK"/>
              </w:rPr>
            </w:pPr>
            <w:r w:rsidRPr="00326E55">
              <w:rPr>
                <w:rFonts w:ascii="Times New Roman" w:hAnsi="Times New Roman"/>
                <w:noProof/>
                <w:spacing w:val="-6"/>
                <w:lang w:val="sk-SK"/>
              </w:rPr>
              <w:t>M4C2 – 1bis</w:t>
            </w:r>
          </w:p>
        </w:tc>
        <w:tc>
          <w:tcPr>
            <w:tcW w:w="1368" w:type="dxa"/>
            <w:shd w:val="clear" w:color="auto" w:fill="C6EFCE"/>
            <w:noWrap/>
            <w:vAlign w:val="center"/>
            <w:hideMark/>
          </w:tcPr>
          <w:p w14:paraId="371870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1.2: Financovanie projektov prezentovaných mladými výskumníkmi</w:t>
            </w:r>
          </w:p>
          <w:p w14:paraId="3FA1D045" w14:textId="77777777" w:rsidR="00BF03AA" w:rsidRPr="00326E55" w:rsidRDefault="00BF03AA">
            <w:pPr>
              <w:jc w:val="center"/>
              <w:rPr>
                <w:rFonts w:ascii="Times New Roman" w:hAnsi="Times New Roman"/>
                <w:noProof/>
                <w:color w:val="006100"/>
                <w:spacing w:val="-6"/>
                <w:sz w:val="20"/>
                <w:szCs w:val="20"/>
                <w:lang w:val="sk-SK"/>
              </w:rPr>
            </w:pPr>
          </w:p>
        </w:tc>
        <w:tc>
          <w:tcPr>
            <w:tcW w:w="1413" w:type="dxa"/>
            <w:shd w:val="clear" w:color="auto" w:fill="C6EFCE"/>
            <w:noWrap/>
            <w:vAlign w:val="center"/>
            <w:hideMark/>
          </w:tcPr>
          <w:p w14:paraId="3DBFD01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302" w:type="dxa"/>
            <w:shd w:val="clear" w:color="auto" w:fill="C6EFCE"/>
            <w:noWrap/>
            <w:vAlign w:val="center"/>
            <w:hideMark/>
          </w:tcPr>
          <w:p w14:paraId="49B77EAF" w14:textId="77777777" w:rsidR="00326E55"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Uverejnenie dekrétu (vyhlášok), ktorým sa udeľujú finančné prostriedky</w:t>
            </w:r>
            <w:r w:rsidRPr="00326E55">
              <w:rPr>
                <w:rFonts w:ascii="Times New Roman" w:hAnsi="Times New Roman"/>
                <w:noProof/>
                <w:spacing w:val="-6"/>
                <w:lang w:val="sk-SK"/>
              </w:rPr>
              <w:t xml:space="preserve"> mladým výskumným pracovníkom</w:t>
            </w:r>
          </w:p>
          <w:p w14:paraId="49BC42D6" w14:textId="08128651" w:rsidR="00BF03AA" w:rsidRPr="00326E55" w:rsidRDefault="00BF03AA">
            <w:pPr>
              <w:jc w:val="center"/>
              <w:rPr>
                <w:rFonts w:ascii="Times New Roman" w:eastAsia="Calibri" w:hAnsi="Times New Roman"/>
                <w:noProof/>
                <w:color w:val="006100"/>
                <w:spacing w:val="-6"/>
                <w:sz w:val="20"/>
                <w:szCs w:val="20"/>
                <w:lang w:val="sk-SK"/>
              </w:rPr>
            </w:pPr>
          </w:p>
        </w:tc>
        <w:tc>
          <w:tcPr>
            <w:tcW w:w="1377" w:type="dxa"/>
            <w:shd w:val="clear" w:color="auto" w:fill="C6EFCE"/>
            <w:noWrap/>
            <w:vAlign w:val="center"/>
            <w:hideMark/>
          </w:tcPr>
          <w:p w14:paraId="565CD94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Uverejnenie vyhlášky (vyhlášok)</w:t>
            </w:r>
          </w:p>
        </w:tc>
        <w:tc>
          <w:tcPr>
            <w:tcW w:w="1089" w:type="dxa"/>
            <w:shd w:val="clear" w:color="auto" w:fill="C6EFCE"/>
            <w:noWrap/>
            <w:vAlign w:val="center"/>
            <w:hideMark/>
          </w:tcPr>
          <w:p w14:paraId="4309030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74" w:type="dxa"/>
            <w:shd w:val="clear" w:color="auto" w:fill="C6EFCE"/>
            <w:noWrap/>
            <w:vAlign w:val="center"/>
            <w:hideMark/>
          </w:tcPr>
          <w:p w14:paraId="4BC5721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539" w:type="dxa"/>
            <w:shd w:val="clear" w:color="auto" w:fill="C6EFCE"/>
            <w:noWrap/>
            <w:vAlign w:val="center"/>
            <w:hideMark/>
          </w:tcPr>
          <w:p w14:paraId="70B6BAB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5" w:type="dxa"/>
            <w:shd w:val="clear" w:color="auto" w:fill="C6EFCE"/>
            <w:noWrap/>
            <w:vAlign w:val="center"/>
            <w:hideMark/>
          </w:tcPr>
          <w:p w14:paraId="2D24E61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611" w:type="dxa"/>
            <w:shd w:val="clear" w:color="auto" w:fill="C6EFCE"/>
            <w:noWrap/>
            <w:vAlign w:val="center"/>
            <w:hideMark/>
          </w:tcPr>
          <w:p w14:paraId="7B9B55B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521" w:type="dxa"/>
            <w:shd w:val="clear" w:color="auto" w:fill="C6EFCE"/>
            <w:noWrap/>
            <w:vAlign w:val="center"/>
            <w:hideMark/>
          </w:tcPr>
          <w:p w14:paraId="37208362" w14:textId="77777777"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Uverejnenie dekrétu (vyhlášok), ktorým sa udeľujú finančné prostriedky na podporu najmenej 550 mladých výskumných pracovníkov</w:t>
            </w:r>
            <w:r w:rsidR="00326E55" w:rsidRPr="00326E55">
              <w:rPr>
                <w:rFonts w:ascii="Times New Roman" w:hAnsi="Times New Roman"/>
                <w:noProof/>
                <w:spacing w:val="-6"/>
                <w:lang w:val="sk-SK"/>
              </w:rPr>
              <w:t>.</w:t>
            </w:r>
          </w:p>
          <w:p w14:paraId="224C7997" w14:textId="652E1568"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Mladí výskumní p</w:t>
            </w:r>
            <w:r w:rsidRPr="00326E55">
              <w:rPr>
                <w:rFonts w:ascii="Times New Roman" w:hAnsi="Times New Roman"/>
                <w:noProof/>
                <w:spacing w:val="-6"/>
                <w:lang w:val="sk-SK"/>
              </w:rPr>
              <w:t>racovníci dodržiavajú tieto podmienky: mať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deň, keď bola výzva na predkladanie návrhov, vo veku do 40 rokov (profily, ktoré majú</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dátumu uverejnenia výzvy na predkladanie projektov 40 rokov, sú oprávnené až do dosiahnutia veku 41 rokov) alebo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prípade </w:t>
            </w:r>
            <w:r w:rsidRPr="00326E55">
              <w:rPr>
                <w:rFonts w:ascii="Times New Roman" w:hAnsi="Times New Roman"/>
                <w:noProof/>
                <w:spacing w:val="-6"/>
                <w:lang w:val="sk-SK"/>
              </w:rPr>
              <w:t>profilov vo veku od 41 do 45 rokov, ktoré ukončili doktorandské štúdium najviac</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7 rokov (profily, ktoré sú</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dátumu uverejnenia výzvy na predkladanie projektov staršie ako 45 rokov, sú oprávnené až do dosiahnutia veku 46 rokov).</w:t>
            </w:r>
          </w:p>
        </w:tc>
      </w:tr>
      <w:tr w:rsidR="00BF03AA" w:rsidRPr="00326E55" w14:paraId="49555037" w14:textId="77777777">
        <w:trPr>
          <w:trHeight w:val="309"/>
          <w:jc w:val="center"/>
        </w:trPr>
        <w:tc>
          <w:tcPr>
            <w:tcW w:w="1292" w:type="dxa"/>
            <w:shd w:val="clear" w:color="auto" w:fill="C6EFCE"/>
            <w:noWrap/>
            <w:vAlign w:val="center"/>
          </w:tcPr>
          <w:p w14:paraId="6458FEE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2bis</w:t>
            </w:r>
          </w:p>
        </w:tc>
        <w:tc>
          <w:tcPr>
            <w:tcW w:w="1368" w:type="dxa"/>
            <w:shd w:val="clear" w:color="auto" w:fill="C6EFCE"/>
            <w:noWrap/>
            <w:vAlign w:val="center"/>
          </w:tcPr>
          <w:p w14:paraId="45383B30" w14:textId="45965C7D"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Investícia </w:t>
            </w:r>
            <w:r w:rsidRPr="00326E55">
              <w:rPr>
                <w:rFonts w:ascii="Times New Roman" w:hAnsi="Times New Roman"/>
                <w:noProof/>
                <w:spacing w:val="-6"/>
                <w:lang w:val="sk-SK"/>
              </w:rPr>
              <w:t>2.2a: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inováciách</w:t>
            </w:r>
          </w:p>
        </w:tc>
        <w:tc>
          <w:tcPr>
            <w:tcW w:w="1413" w:type="dxa"/>
            <w:shd w:val="clear" w:color="auto" w:fill="C6EFCE"/>
            <w:noWrap/>
            <w:vAlign w:val="center"/>
          </w:tcPr>
          <w:p w14:paraId="194374A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302" w:type="dxa"/>
            <w:shd w:val="clear" w:color="auto" w:fill="C6EFCE"/>
            <w:noWrap/>
            <w:vAlign w:val="center"/>
          </w:tcPr>
          <w:p w14:paraId="4BDF312A" w14:textId="714867A8"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Dokončené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inováciách </w:t>
            </w:r>
          </w:p>
        </w:tc>
        <w:tc>
          <w:tcPr>
            <w:tcW w:w="1377" w:type="dxa"/>
            <w:shd w:val="clear" w:color="auto" w:fill="C6EFCE"/>
            <w:noWrap/>
            <w:vAlign w:val="center"/>
          </w:tcPr>
          <w:p w14:paraId="4C6DF3D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89" w:type="dxa"/>
            <w:shd w:val="clear" w:color="auto" w:fill="C6EFCE"/>
            <w:noWrap/>
            <w:vAlign w:val="center"/>
          </w:tcPr>
          <w:p w14:paraId="312F97C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74" w:type="dxa"/>
            <w:shd w:val="clear" w:color="auto" w:fill="C6EFCE"/>
            <w:noWrap/>
            <w:vAlign w:val="center"/>
          </w:tcPr>
          <w:p w14:paraId="09DE9AF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1539" w:type="dxa"/>
            <w:shd w:val="clear" w:color="auto" w:fill="C6EFCE"/>
            <w:noWrap/>
            <w:vAlign w:val="center"/>
          </w:tcPr>
          <w:p w14:paraId="3BECB2C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32</w:t>
            </w:r>
          </w:p>
        </w:tc>
        <w:tc>
          <w:tcPr>
            <w:tcW w:w="975" w:type="dxa"/>
            <w:shd w:val="clear" w:color="auto" w:fill="C6EFCE"/>
            <w:noWrap/>
            <w:vAlign w:val="center"/>
          </w:tcPr>
          <w:p w14:paraId="02925D9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11" w:type="dxa"/>
            <w:shd w:val="clear" w:color="auto" w:fill="C6EFCE"/>
            <w:noWrap/>
            <w:vAlign w:val="center"/>
          </w:tcPr>
          <w:p w14:paraId="441D74F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2025</w:t>
            </w:r>
          </w:p>
        </w:tc>
        <w:tc>
          <w:tcPr>
            <w:tcW w:w="2521" w:type="dxa"/>
            <w:shd w:val="clear" w:color="auto" w:fill="C6EFCE"/>
            <w:noWrap/>
            <w:vAlign w:val="center"/>
          </w:tcPr>
          <w:p w14:paraId="23D2A62F" w14:textId="3AE2C642"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Poskytuje 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ukončení najmenej 32 dohôd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inováciách spomedzi týchto oblastí intervencie</w:t>
            </w:r>
            <w:r w:rsidR="00326E55" w:rsidRPr="00326E55">
              <w:rPr>
                <w:rFonts w:ascii="Times New Roman" w:hAnsi="Times New Roman"/>
                <w:noProof/>
                <w:spacing w:val="-6"/>
                <w:lang w:val="sk-SK"/>
              </w:rPr>
              <w:t>:</w:t>
            </w:r>
          </w:p>
          <w:p w14:paraId="78252375" w14:textId="5D33B5CF" w:rsidR="00326E55"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výrobné technológie</w:t>
            </w:r>
            <w:r w:rsidR="00326E55" w:rsidRPr="00326E55">
              <w:rPr>
                <w:rFonts w:ascii="Times New Roman" w:hAnsi="Times New Roman"/>
                <w:noProof/>
                <w:spacing w:val="-6"/>
                <w:lang w:val="sk-SK"/>
              </w:rPr>
              <w:t>;</w:t>
            </w:r>
          </w:p>
          <w:p w14:paraId="28F13BCC" w14:textId="44CC9962"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 xml:space="preserve">kľúčové digitálne technológie </w:t>
            </w:r>
            <w:r w:rsidRPr="00326E55">
              <w:rPr>
                <w:rFonts w:ascii="Times New Roman" w:hAnsi="Times New Roman"/>
                <w:noProof/>
                <w:spacing w:val="-6"/>
                <w:lang w:val="sk-SK"/>
              </w:rPr>
              <w:t>vrátane kvantových technológií;</w:t>
            </w:r>
          </w:p>
          <w:p w14:paraId="5A2F9758" w14:textId="77777777" w:rsidR="00326E55"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vznikajúce podporné technológie</w:t>
            </w:r>
            <w:r w:rsidR="00326E55" w:rsidRPr="00326E55">
              <w:rPr>
                <w:rFonts w:ascii="Times New Roman" w:hAnsi="Times New Roman"/>
                <w:noProof/>
                <w:spacing w:val="-6"/>
                <w:lang w:val="sk-SK"/>
              </w:rPr>
              <w:t>;</w:t>
            </w:r>
          </w:p>
          <w:p w14:paraId="2A827F7C" w14:textId="43CE3E0F"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progresívne materiály;</w:t>
            </w:r>
          </w:p>
          <w:p w14:paraId="6EE06790" w14:textId="39DD9233" w:rsidR="00326E55"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umelá inteligencia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robotika</w:t>
            </w:r>
            <w:r w:rsidR="00326E55" w:rsidRPr="00326E55">
              <w:rPr>
                <w:rFonts w:ascii="Times New Roman" w:hAnsi="Times New Roman"/>
                <w:noProof/>
                <w:spacing w:val="-6"/>
                <w:lang w:val="sk-SK"/>
              </w:rPr>
              <w:t>;</w:t>
            </w:r>
          </w:p>
          <w:p w14:paraId="29F5D2F2" w14:textId="77777777" w:rsidR="00326E55"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obehový priemysel</w:t>
            </w:r>
            <w:r w:rsidR="00326E55" w:rsidRPr="00326E55">
              <w:rPr>
                <w:rFonts w:ascii="Times New Roman" w:hAnsi="Times New Roman"/>
                <w:noProof/>
                <w:spacing w:val="-6"/>
                <w:lang w:val="sk-SK"/>
              </w:rPr>
              <w:t>;</w:t>
            </w:r>
          </w:p>
          <w:p w14:paraId="6052E031" w14:textId="6C0E2652" w:rsidR="00326E55"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nízkouhlíkový</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ekologický priemysel</w:t>
            </w:r>
            <w:r w:rsidR="00326E55" w:rsidRPr="00326E55">
              <w:rPr>
                <w:rFonts w:ascii="Times New Roman" w:hAnsi="Times New Roman"/>
                <w:noProof/>
                <w:spacing w:val="-6"/>
                <w:lang w:val="sk-SK"/>
              </w:rPr>
              <w:t>;</w:t>
            </w:r>
          </w:p>
          <w:p w14:paraId="4F82E2AC" w14:textId="558AD23B"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neprenosné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zriedkavé choroby;</w:t>
            </w:r>
          </w:p>
          <w:p w14:paraId="63AE55AB" w14:textId="7E110C11" w:rsidR="00326E55"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infekčné choroby vrátane ochorení spojených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ch</w:t>
            </w:r>
            <w:r w:rsidRPr="00326E55">
              <w:rPr>
                <w:rFonts w:ascii="Times New Roman" w:hAnsi="Times New Roman"/>
                <w:noProof/>
                <w:spacing w:val="-6"/>
                <w:lang w:val="sk-SK"/>
              </w:rPr>
              <w:t>udobou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zanedbávaných ochorení</w:t>
            </w:r>
            <w:r w:rsidR="00326E55" w:rsidRPr="00326E55">
              <w:rPr>
                <w:rFonts w:ascii="Times New Roman" w:hAnsi="Times New Roman"/>
                <w:noProof/>
                <w:spacing w:val="-6"/>
                <w:lang w:val="sk-SK"/>
              </w:rPr>
              <w:t>;</w:t>
            </w:r>
          </w:p>
          <w:p w14:paraId="62A6BAFE" w14:textId="44880CAD"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nástroje, technológie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digitálne riešenia pre zdravie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zdravotnú starostlivosť vrátane personalizovanej medicíny;</w:t>
            </w:r>
          </w:p>
          <w:p w14:paraId="31608A33" w14:textId="540BF719"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priemyselné zariadenia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energetickej transformácii;</w:t>
            </w:r>
          </w:p>
          <w:p w14:paraId="5FA29DE4" w14:textId="03BDC871"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konkurencieschopnosť priemyslu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dopravy;</w:t>
            </w:r>
          </w:p>
          <w:p w14:paraId="7C902C16" w14:textId="1F8055A6"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čistá, bezpečná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prístupná doprava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mobilita;</w:t>
            </w:r>
          </w:p>
          <w:p w14:paraId="1330709E" w14:textId="77777777" w:rsidR="00326E55"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inteligentná mobilita</w:t>
            </w:r>
            <w:r w:rsidR="00326E55" w:rsidRPr="00326E55">
              <w:rPr>
                <w:rFonts w:ascii="Times New Roman" w:hAnsi="Times New Roman"/>
                <w:noProof/>
                <w:spacing w:val="-6"/>
                <w:lang w:val="sk-SK"/>
              </w:rPr>
              <w:t>;</w:t>
            </w:r>
          </w:p>
          <w:p w14:paraId="6A4776BE" w14:textId="3219647A"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uskladňovanie energie;</w:t>
            </w:r>
          </w:p>
          <w:p w14:paraId="52A34A43" w14:textId="77777777"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potravinové systémy;</w:t>
            </w:r>
          </w:p>
          <w:p w14:paraId="5D64D41D" w14:textId="21D4151C"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inovačné systémy využívajúce biologické materiály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biohospodárstve Únie;</w:t>
            </w:r>
          </w:p>
          <w:p w14:paraId="002A4C55" w14:textId="77777777" w:rsidR="00BF03AA" w:rsidRPr="00326E55" w:rsidRDefault="00FB452D">
            <w:pPr>
              <w:pStyle w:val="P68B1DB1-Normal12"/>
              <w:numPr>
                <w:ilvl w:val="0"/>
                <w:numId w:val="64"/>
              </w:numPr>
              <w:spacing w:line="279" w:lineRule="auto"/>
              <w:rPr>
                <w:rFonts w:ascii="Times New Roman" w:hAnsi="Times New Roman"/>
                <w:noProof/>
                <w:spacing w:val="-6"/>
                <w:lang w:val="sk-SK"/>
              </w:rPr>
            </w:pPr>
            <w:r w:rsidRPr="00326E55">
              <w:rPr>
                <w:rFonts w:ascii="Times New Roman" w:hAnsi="Times New Roman"/>
                <w:noProof/>
                <w:spacing w:val="-6"/>
                <w:lang w:val="sk-SK"/>
              </w:rPr>
              <w:t>obehové systémy.</w:t>
            </w:r>
          </w:p>
          <w:p w14:paraId="71BF0CA7" w14:textId="77FBAAE8" w:rsidR="00BF03AA" w:rsidRPr="00326E55" w:rsidRDefault="00FB452D">
            <w:pPr>
              <w:rPr>
                <w:rFonts w:ascii="Times New Roman" w:eastAsia="Arial Narrow" w:hAnsi="Times New Roman" w:cs="Arial Narrow"/>
                <w:noProof/>
                <w:spacing w:val="-6"/>
                <w:sz w:val="20"/>
                <w:szCs w:val="20"/>
                <w:lang w:val="sk-SK"/>
              </w:rPr>
            </w:pPr>
            <w:r w:rsidRPr="00326E55">
              <w:rPr>
                <w:rFonts w:ascii="Times New Roman" w:eastAsia="Arial Narrow" w:hAnsi="Times New Roman" w:cs="Arial Narrow"/>
                <w:noProof/>
                <w:color w:val="006100"/>
                <w:spacing w:val="-6"/>
                <w:sz w:val="20"/>
                <w:szCs w:val="20"/>
                <w:lang w:val="sk-SK"/>
              </w:rPr>
              <w:t>S cieľom zabezpečiť, aby opatrenie bolo</w:t>
            </w:r>
            <w:r w:rsidR="00326E55" w:rsidRPr="00326E55">
              <w:rPr>
                <w:rFonts w:ascii="Times New Roman" w:eastAsia="Arial Narrow" w:hAnsi="Times New Roman" w:cs="Arial Narrow"/>
                <w:noProof/>
                <w:color w:val="006100"/>
                <w:spacing w:val="-6"/>
                <w:sz w:val="20"/>
                <w:szCs w:val="20"/>
                <w:lang w:val="sk-SK"/>
              </w:rPr>
              <w:t xml:space="preserve"> v </w:t>
            </w:r>
            <w:r w:rsidRPr="00326E55">
              <w:rPr>
                <w:rFonts w:ascii="Times New Roman" w:eastAsia="Arial Narrow" w:hAnsi="Times New Roman" w:cs="Arial Narrow"/>
                <w:noProof/>
                <w:color w:val="006100"/>
                <w:spacing w:val="-6"/>
                <w:sz w:val="20"/>
                <w:szCs w:val="20"/>
                <w:lang w:val="sk-SK"/>
              </w:rPr>
              <w:t>súlade</w:t>
            </w:r>
            <w:r w:rsidR="00326E55" w:rsidRPr="00326E55">
              <w:rPr>
                <w:rFonts w:ascii="Times New Roman" w:eastAsia="Arial Narrow" w:hAnsi="Times New Roman" w:cs="Arial Narrow"/>
                <w:noProof/>
                <w:color w:val="006100"/>
                <w:spacing w:val="-6"/>
                <w:sz w:val="20"/>
                <w:szCs w:val="20"/>
                <w:lang w:val="sk-SK"/>
              </w:rPr>
              <w:t xml:space="preserve"> s </w:t>
            </w:r>
            <w:r w:rsidRPr="00326E55">
              <w:rPr>
                <w:rFonts w:ascii="Times New Roman" w:eastAsia="Arial Narrow" w:hAnsi="Times New Roman" w:cs="Arial Narrow"/>
                <w:noProof/>
                <w:color w:val="006100"/>
                <w:spacing w:val="-6"/>
                <w:sz w:val="20"/>
                <w:szCs w:val="20"/>
                <w:lang w:val="sk-SK"/>
              </w:rPr>
              <w:t>technickými usmerneniami</w:t>
            </w:r>
            <w:r w:rsidR="00326E55" w:rsidRPr="00326E55">
              <w:rPr>
                <w:rFonts w:ascii="Times New Roman" w:eastAsia="Arial Narrow" w:hAnsi="Times New Roman" w:cs="Arial Narrow"/>
                <w:noProof/>
                <w:color w:val="006100"/>
                <w:spacing w:val="-6"/>
                <w:sz w:val="20"/>
                <w:szCs w:val="20"/>
                <w:lang w:val="sk-SK"/>
              </w:rPr>
              <w:t xml:space="preserve"> k </w:t>
            </w:r>
            <w:r w:rsidRPr="00326E55">
              <w:rPr>
                <w:rFonts w:ascii="Times New Roman" w:eastAsia="Arial Narrow" w:hAnsi="Times New Roman" w:cs="Arial Narrow"/>
                <w:noProof/>
                <w:color w:val="006100"/>
                <w:spacing w:val="-6"/>
                <w:sz w:val="20"/>
                <w:szCs w:val="20"/>
                <w:lang w:val="sk-SK"/>
              </w:rPr>
              <w:t>zásade „výrazne nenarušiť“ (2021/C58/01), vybrané projekty vylúčia tento zoznam činností: I) činnosti</w:t>
            </w:r>
            <w:r w:rsidR="00326E55" w:rsidRPr="00326E55">
              <w:rPr>
                <w:rFonts w:ascii="Times New Roman" w:eastAsia="Arial Narrow" w:hAnsi="Times New Roman" w:cs="Arial Narrow"/>
                <w:noProof/>
                <w:color w:val="006100"/>
                <w:spacing w:val="-6"/>
                <w:sz w:val="20"/>
                <w:szCs w:val="20"/>
                <w:lang w:val="sk-SK"/>
              </w:rPr>
              <w:t xml:space="preserve"> a </w:t>
            </w:r>
            <w:r w:rsidRPr="00326E55">
              <w:rPr>
                <w:rFonts w:ascii="Times New Roman" w:eastAsia="Arial Narrow" w:hAnsi="Times New Roman" w:cs="Arial Narrow"/>
                <w:noProof/>
                <w:color w:val="006100"/>
                <w:spacing w:val="-6"/>
                <w:sz w:val="20"/>
                <w:szCs w:val="20"/>
                <w:lang w:val="sk-SK"/>
              </w:rPr>
              <w:t>aktíva súvisiace</w:t>
            </w:r>
            <w:r w:rsidR="00326E55" w:rsidRPr="00326E55">
              <w:rPr>
                <w:rFonts w:ascii="Times New Roman" w:eastAsia="Arial Narrow" w:hAnsi="Times New Roman" w:cs="Arial Narrow"/>
                <w:noProof/>
                <w:color w:val="006100"/>
                <w:spacing w:val="-6"/>
                <w:sz w:val="20"/>
                <w:szCs w:val="20"/>
                <w:lang w:val="sk-SK"/>
              </w:rPr>
              <w:t xml:space="preserve"> s </w:t>
            </w:r>
            <w:r w:rsidRPr="00326E55">
              <w:rPr>
                <w:rFonts w:ascii="Times New Roman" w:eastAsia="Arial Narrow" w:hAnsi="Times New Roman" w:cs="Arial Narrow"/>
                <w:noProof/>
                <w:color w:val="006100"/>
                <w:spacing w:val="-6"/>
                <w:sz w:val="20"/>
                <w:szCs w:val="20"/>
                <w:lang w:val="sk-SK"/>
              </w:rPr>
              <w:t>fosílnymi palivami vrátane následného používania;</w:t>
            </w:r>
            <w:r w:rsidRPr="00326E55">
              <w:rPr>
                <w:rStyle w:val="FootnoteReference"/>
                <w:rFonts w:ascii="Times New Roman" w:eastAsia="Arial Narrow" w:hAnsi="Times New Roman" w:cs="Arial Narrow"/>
                <w:noProof/>
                <w:color w:val="006100"/>
                <w:spacing w:val="-6"/>
                <w:sz w:val="20"/>
                <w:szCs w:val="20"/>
                <w:lang w:val="sk-SK"/>
              </w:rPr>
              <w:footnoteReference w:id="77"/>
            </w:r>
            <w:r w:rsidRPr="00326E55">
              <w:rPr>
                <w:rFonts w:ascii="Times New Roman" w:eastAsia="Arial Narrow" w:hAnsi="Times New Roman" w:cs="Arial Narrow"/>
                <w:noProof/>
                <w:color w:val="006100"/>
                <w:spacing w:val="-6"/>
                <w:sz w:val="20"/>
                <w:szCs w:val="20"/>
                <w:lang w:val="sk-SK"/>
              </w:rPr>
              <w:t xml:space="preserve"> II) činností</w:t>
            </w:r>
            <w:r w:rsidR="00326E55" w:rsidRPr="00326E55">
              <w:rPr>
                <w:rFonts w:ascii="Times New Roman" w:eastAsia="Arial Narrow" w:hAnsi="Times New Roman" w:cs="Arial Narrow"/>
                <w:noProof/>
                <w:color w:val="006100"/>
                <w:spacing w:val="-6"/>
                <w:sz w:val="20"/>
                <w:szCs w:val="20"/>
                <w:lang w:val="sk-SK"/>
              </w:rPr>
              <w:t xml:space="preserve"> v </w:t>
            </w:r>
            <w:r w:rsidRPr="00326E55">
              <w:rPr>
                <w:rFonts w:ascii="Times New Roman" w:eastAsia="Arial Narrow" w:hAnsi="Times New Roman" w:cs="Arial Narrow"/>
                <w:noProof/>
                <w:color w:val="006100"/>
                <w:spacing w:val="-6"/>
                <w:sz w:val="20"/>
                <w:szCs w:val="20"/>
                <w:lang w:val="sk-SK"/>
              </w:rPr>
              <w:t>rámci systému EÚ na obchodovanie</w:t>
            </w:r>
            <w:r w:rsidR="00326E55" w:rsidRPr="00326E55">
              <w:rPr>
                <w:rFonts w:ascii="Times New Roman" w:eastAsia="Arial Narrow" w:hAnsi="Times New Roman" w:cs="Arial Narrow"/>
                <w:noProof/>
                <w:color w:val="006100"/>
                <w:spacing w:val="-6"/>
                <w:sz w:val="20"/>
                <w:szCs w:val="20"/>
                <w:lang w:val="sk-SK"/>
              </w:rPr>
              <w:t xml:space="preserve"> s </w:t>
            </w:r>
            <w:r w:rsidRPr="00326E55">
              <w:rPr>
                <w:rFonts w:ascii="Times New Roman" w:eastAsia="Arial Narrow" w:hAnsi="Times New Roman" w:cs="Arial Narrow"/>
                <w:noProof/>
                <w:color w:val="006100"/>
                <w:spacing w:val="-6"/>
                <w:sz w:val="20"/>
                <w:szCs w:val="20"/>
                <w:lang w:val="sk-SK"/>
              </w:rPr>
              <w:t>emisiami (ETS), ktorými sa dosahujú predpokladané emisie skleníkových plynov, ktoré nie sú nižšie ako príslušné referenčné hodnoty;</w:t>
            </w:r>
            <w:r w:rsidRPr="00326E55">
              <w:rPr>
                <w:rStyle w:val="FootnoteReference"/>
                <w:rFonts w:ascii="Times New Roman" w:eastAsia="Arial Narrow" w:hAnsi="Times New Roman" w:cs="Arial Narrow"/>
                <w:noProof/>
                <w:color w:val="006100"/>
                <w:spacing w:val="-6"/>
                <w:sz w:val="20"/>
                <w:szCs w:val="20"/>
                <w:lang w:val="sk-SK"/>
              </w:rPr>
              <w:footnoteReference w:id="78"/>
            </w:r>
            <w:r w:rsidRPr="00326E55">
              <w:rPr>
                <w:rFonts w:ascii="Times New Roman" w:eastAsia="Arial Narrow" w:hAnsi="Times New Roman" w:cs="Arial Narrow"/>
                <w:noProof/>
                <w:color w:val="006100"/>
                <w:spacing w:val="-6"/>
                <w:sz w:val="20"/>
                <w:szCs w:val="20"/>
                <w:lang w:val="sk-SK"/>
              </w:rPr>
              <w:t xml:space="preserve"> III) činnosti</w:t>
            </w:r>
            <w:r w:rsidR="00326E55" w:rsidRPr="00326E55">
              <w:rPr>
                <w:rFonts w:ascii="Times New Roman" w:eastAsia="Arial Narrow" w:hAnsi="Times New Roman" w:cs="Arial Narrow"/>
                <w:noProof/>
                <w:color w:val="006100"/>
                <w:spacing w:val="-6"/>
                <w:sz w:val="20"/>
                <w:szCs w:val="20"/>
                <w:lang w:val="sk-SK"/>
              </w:rPr>
              <w:t xml:space="preserve"> a </w:t>
            </w:r>
            <w:r w:rsidRPr="00326E55">
              <w:rPr>
                <w:rFonts w:ascii="Times New Roman" w:eastAsia="Arial Narrow" w:hAnsi="Times New Roman" w:cs="Arial Narrow"/>
                <w:noProof/>
                <w:color w:val="006100"/>
                <w:spacing w:val="-6"/>
                <w:sz w:val="20"/>
                <w:szCs w:val="20"/>
                <w:lang w:val="sk-SK"/>
              </w:rPr>
              <w:t>aktíva súvisiace so skládkami odpadov, spaľovňami</w:t>
            </w:r>
            <w:r w:rsidRPr="00326E55">
              <w:rPr>
                <w:rStyle w:val="FootnoteReference"/>
                <w:rFonts w:ascii="Times New Roman" w:eastAsia="Arial Narrow" w:hAnsi="Times New Roman" w:cs="Arial Narrow"/>
                <w:noProof/>
                <w:color w:val="006100"/>
                <w:spacing w:val="-6"/>
                <w:sz w:val="20"/>
                <w:szCs w:val="20"/>
                <w:lang w:val="sk-SK"/>
              </w:rPr>
              <w:footnoteReference w:id="79"/>
            </w:r>
            <w:r w:rsidR="00326E55" w:rsidRPr="00326E55">
              <w:rPr>
                <w:rFonts w:ascii="Times New Roman" w:eastAsia="Arial Narrow" w:hAnsi="Times New Roman" w:cs="Arial Narrow"/>
                <w:noProof/>
                <w:color w:val="006100"/>
                <w:spacing w:val="-6"/>
                <w:sz w:val="20"/>
                <w:szCs w:val="20"/>
                <w:lang w:val="sk-SK"/>
              </w:rPr>
              <w:t xml:space="preserve"> a </w:t>
            </w:r>
            <w:r w:rsidRPr="00326E55">
              <w:rPr>
                <w:rFonts w:ascii="Times New Roman" w:eastAsia="Arial Narrow" w:hAnsi="Times New Roman" w:cs="Arial Narrow"/>
                <w:noProof/>
                <w:color w:val="006100"/>
                <w:spacing w:val="-6"/>
                <w:sz w:val="20"/>
                <w:szCs w:val="20"/>
                <w:lang w:val="sk-SK"/>
              </w:rPr>
              <w:t>mechanickými biologickými čistiarňami.</w:t>
            </w:r>
            <w:r w:rsidRPr="00326E55">
              <w:rPr>
                <w:rStyle w:val="FootnoteReference"/>
                <w:rFonts w:ascii="Times New Roman" w:eastAsia="Arial Narrow" w:hAnsi="Times New Roman" w:cs="Arial Narrow"/>
                <w:noProof/>
                <w:color w:val="006100"/>
                <w:spacing w:val="-6"/>
                <w:sz w:val="20"/>
                <w:szCs w:val="20"/>
                <w:lang w:val="sk-SK"/>
              </w:rPr>
              <w:footnoteReference w:id="80"/>
            </w:r>
          </w:p>
        </w:tc>
      </w:tr>
      <w:tr w:rsidR="00BF03AA" w:rsidRPr="00326E55" w14:paraId="50D5BCC5" w14:textId="77777777">
        <w:trPr>
          <w:trHeight w:val="309"/>
          <w:jc w:val="center"/>
        </w:trPr>
        <w:tc>
          <w:tcPr>
            <w:tcW w:w="1292" w:type="dxa"/>
            <w:shd w:val="clear" w:color="auto" w:fill="C6EFCE"/>
            <w:noWrap/>
            <w:vAlign w:val="center"/>
            <w:hideMark/>
          </w:tcPr>
          <w:p w14:paraId="68F3254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M4C2 – 3</w:t>
            </w:r>
          </w:p>
        </w:tc>
        <w:tc>
          <w:tcPr>
            <w:tcW w:w="1368" w:type="dxa"/>
            <w:shd w:val="clear" w:color="auto" w:fill="C6EFCE"/>
            <w:noWrap/>
            <w:vAlign w:val="center"/>
            <w:hideMark/>
          </w:tcPr>
          <w:p w14:paraId="52E9B95B" w14:textId="68F6FCDD" w:rsidR="00BF03AA" w:rsidRPr="00326E55" w:rsidRDefault="00FB452D">
            <w:pPr>
              <w:pStyle w:val="P68B1DB1-Normal12"/>
              <w:jc w:val="center"/>
              <w:rPr>
                <w:rFonts w:ascii="Times New Roman" w:eastAsia="Calibri" w:hAnsi="Times New Roman"/>
                <w:noProof/>
                <w:spacing w:val="-6"/>
                <w:lang w:val="sk-SK"/>
              </w:rPr>
            </w:pPr>
            <w:r w:rsidRPr="00326E55">
              <w:rPr>
                <w:rFonts w:ascii="Times New Roman" w:hAnsi="Times New Roman"/>
                <w:noProof/>
                <w:spacing w:val="-6"/>
                <w:lang w:val="sk-SK"/>
              </w:rPr>
              <w:t>Investícia 3.3: Udeľovanie doktorandských štipendií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spolupráci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podnikmi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podpora zamestnávania výskumných pracovníkov spoločnosťami</w:t>
            </w:r>
          </w:p>
        </w:tc>
        <w:tc>
          <w:tcPr>
            <w:tcW w:w="1413" w:type="dxa"/>
            <w:shd w:val="clear" w:color="auto" w:fill="C6EFCE"/>
            <w:noWrap/>
            <w:vAlign w:val="center"/>
            <w:hideMark/>
          </w:tcPr>
          <w:p w14:paraId="6B78CA7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302" w:type="dxa"/>
            <w:shd w:val="clear" w:color="auto" w:fill="C6EFCE"/>
            <w:noWrap/>
            <w:vAlign w:val="center"/>
            <w:hideMark/>
          </w:tcPr>
          <w:p w14:paraId="13FC6BD0" w14:textId="6390261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udelených doktorandských štipendií</w:t>
            </w:r>
          </w:p>
        </w:tc>
        <w:tc>
          <w:tcPr>
            <w:tcW w:w="1377" w:type="dxa"/>
            <w:shd w:val="clear" w:color="auto" w:fill="C6EFCE"/>
            <w:noWrap/>
            <w:vAlign w:val="center"/>
            <w:hideMark/>
          </w:tcPr>
          <w:p w14:paraId="55C0B4B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89" w:type="dxa"/>
            <w:shd w:val="clear" w:color="auto" w:fill="C6EFCE"/>
            <w:noWrap/>
            <w:vAlign w:val="center"/>
            <w:hideMark/>
          </w:tcPr>
          <w:p w14:paraId="5CE2E757"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Počet</w:t>
            </w:r>
          </w:p>
        </w:tc>
        <w:tc>
          <w:tcPr>
            <w:tcW w:w="1074" w:type="dxa"/>
            <w:shd w:val="clear" w:color="auto" w:fill="C6EFCE"/>
            <w:noWrap/>
            <w:vAlign w:val="center"/>
            <w:hideMark/>
          </w:tcPr>
          <w:p w14:paraId="07D1DA4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539" w:type="dxa"/>
            <w:shd w:val="clear" w:color="auto" w:fill="C6EFCE"/>
            <w:noWrap/>
            <w:vAlign w:val="center"/>
            <w:hideMark/>
          </w:tcPr>
          <w:p w14:paraId="18AFE8A8"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6</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975" w:type="dxa"/>
            <w:shd w:val="clear" w:color="auto" w:fill="C6EFCE"/>
            <w:noWrap/>
            <w:vAlign w:val="center"/>
            <w:hideMark/>
          </w:tcPr>
          <w:p w14:paraId="2F7D291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11" w:type="dxa"/>
            <w:shd w:val="clear" w:color="auto" w:fill="C6EFCE"/>
            <w:noWrap/>
            <w:vAlign w:val="center"/>
            <w:hideMark/>
          </w:tcPr>
          <w:p w14:paraId="6F9ED3D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521" w:type="dxa"/>
            <w:shd w:val="clear" w:color="auto" w:fill="C6EFCE"/>
            <w:noWrap/>
            <w:vAlign w:val="center"/>
            <w:hideMark/>
          </w:tcPr>
          <w:p w14:paraId="3B32A412" w14:textId="17E4FF40"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Udelenie aspoň 6000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štipendií doktorandského štúdia univerzitami</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inštitúciami AFAM.</w:t>
            </w:r>
          </w:p>
          <w:p w14:paraId="20CD17D7"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Medzi kritické požiadavky na udelenie doktorandského štúdia patria:</w:t>
            </w:r>
          </w:p>
          <w:p w14:paraId="771849A6" w14:textId="57B10EB2"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a) stanoviť obdobia štúdia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spoločnosti od minimálne šiestich (6) mesiacov do maximálne osemnásť (18) mesiacov;</w:t>
            </w:r>
          </w:p>
          <w:p w14:paraId="79CE6E7F" w14:textId="5A57EB6C"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b) stanoviť obdobia štúdia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zahraničí od minimálne šiestich (6) mesiacov do najviac osemnásť (18) mesiacov;</w:t>
            </w:r>
          </w:p>
          <w:p w14:paraId="7F71EE73" w14:textId="70EE4D45"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C) zabezpečiť zapojenie spoločností do definovania kurzu odbornej prípravy aj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kontexte širšej spolupráce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univerzitou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inštitúciami </w:t>
            </w:r>
            <w:r w:rsidRPr="00326E55">
              <w:rPr>
                <w:rFonts w:ascii="Times New Roman" w:hAnsi="Times New Roman"/>
                <w:noProof/>
                <w:spacing w:val="-6"/>
                <w:lang w:val="sk-SK"/>
              </w:rPr>
              <w:t>AFAM.</w:t>
            </w:r>
          </w:p>
        </w:tc>
      </w:tr>
      <w:tr w:rsidR="00BF03AA" w:rsidRPr="00326E55" w14:paraId="66EE4F27" w14:textId="77777777">
        <w:trPr>
          <w:trHeight w:val="309"/>
          <w:jc w:val="center"/>
        </w:trPr>
        <w:tc>
          <w:tcPr>
            <w:tcW w:w="1292" w:type="dxa"/>
            <w:shd w:val="clear" w:color="auto" w:fill="C6EFCE"/>
            <w:noWrap/>
            <w:vAlign w:val="center"/>
            <w:hideMark/>
          </w:tcPr>
          <w:p w14:paraId="7DA9B4C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4</w:t>
            </w:r>
          </w:p>
        </w:tc>
        <w:tc>
          <w:tcPr>
            <w:tcW w:w="1368" w:type="dxa"/>
            <w:shd w:val="clear" w:color="auto" w:fill="C6EFCE"/>
            <w:noWrap/>
            <w:vAlign w:val="center"/>
            <w:hideMark/>
          </w:tcPr>
          <w:p w14:paraId="72882A40" w14:textId="2A4ABF6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1.1: Vykonávanie opatrení na podporu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podporiť zjednodušenie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mobilitu</w:t>
            </w:r>
          </w:p>
        </w:tc>
        <w:tc>
          <w:tcPr>
            <w:tcW w:w="1413" w:type="dxa"/>
            <w:shd w:val="clear" w:color="auto" w:fill="C6EFCE"/>
            <w:noWrap/>
            <w:vAlign w:val="center"/>
            <w:hideMark/>
          </w:tcPr>
          <w:p w14:paraId="6CC9C6D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302" w:type="dxa"/>
            <w:shd w:val="clear" w:color="auto" w:fill="C6EFCE"/>
            <w:noWrap/>
            <w:vAlign w:val="center"/>
            <w:hideMark/>
          </w:tcPr>
          <w:p w14:paraId="13DF28F7" w14:textId="20FA295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ministerských vyhlášok</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zjednodušení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mobilite spojených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bežným finančným fondom.</w:t>
            </w:r>
          </w:p>
        </w:tc>
        <w:tc>
          <w:tcPr>
            <w:tcW w:w="1377" w:type="dxa"/>
            <w:shd w:val="clear" w:color="auto" w:fill="C6EFCE"/>
            <w:noWrap/>
            <w:vAlign w:val="center"/>
            <w:hideMark/>
          </w:tcPr>
          <w:p w14:paraId="73333803" w14:textId="5FC7DE9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089" w:type="dxa"/>
            <w:shd w:val="clear" w:color="auto" w:fill="C6EFCE"/>
            <w:noWrap/>
            <w:vAlign w:val="center"/>
            <w:hideMark/>
          </w:tcPr>
          <w:p w14:paraId="0EF8B25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74" w:type="dxa"/>
            <w:shd w:val="clear" w:color="auto" w:fill="C6EFCE"/>
            <w:noWrap/>
            <w:vAlign w:val="center"/>
            <w:hideMark/>
          </w:tcPr>
          <w:p w14:paraId="75DE992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539" w:type="dxa"/>
            <w:shd w:val="clear" w:color="auto" w:fill="C6EFCE"/>
            <w:noWrap/>
            <w:vAlign w:val="center"/>
            <w:hideMark/>
          </w:tcPr>
          <w:p w14:paraId="77A58BE8" w14:textId="77777777" w:rsidR="00BF03AA" w:rsidRPr="00326E55" w:rsidRDefault="00BF03AA">
            <w:pPr>
              <w:jc w:val="center"/>
              <w:rPr>
                <w:rFonts w:ascii="Times New Roman" w:hAnsi="Times New Roman"/>
                <w:noProof/>
                <w:color w:val="006100"/>
                <w:spacing w:val="-6"/>
                <w:sz w:val="20"/>
                <w:szCs w:val="20"/>
                <w:lang w:val="sk-SK"/>
              </w:rPr>
            </w:pPr>
          </w:p>
        </w:tc>
        <w:tc>
          <w:tcPr>
            <w:tcW w:w="975" w:type="dxa"/>
            <w:shd w:val="clear" w:color="auto" w:fill="C6EFCE"/>
            <w:noWrap/>
            <w:vAlign w:val="center"/>
            <w:hideMark/>
          </w:tcPr>
          <w:p w14:paraId="24F54C7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11" w:type="dxa"/>
            <w:shd w:val="clear" w:color="auto" w:fill="C6EFCE"/>
            <w:noWrap/>
            <w:vAlign w:val="center"/>
            <w:hideMark/>
          </w:tcPr>
          <w:p w14:paraId="7183AE4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521" w:type="dxa"/>
            <w:shd w:val="clear" w:color="auto" w:fill="C6EFCE"/>
            <w:noWrap/>
            <w:vAlign w:val="center"/>
            <w:hideMark/>
          </w:tcPr>
          <w:p w14:paraId="63C197FB"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Ministerské vyhlášky obsahujú tieto kľúčové prvky:</w:t>
            </w:r>
          </w:p>
          <w:p w14:paraId="14F06F66" w14:textId="3A0AE93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I) prejsť na systematickejší 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činnostiam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vývoja prostredníctvom nového </w:t>
            </w:r>
            <w:r w:rsidRPr="00326E55">
              <w:rPr>
                <w:rFonts w:ascii="Times New Roman" w:hAnsi="Times New Roman"/>
                <w:noProof/>
                <w:spacing w:val="-6"/>
                <w:lang w:val="sk-SK"/>
              </w:rPr>
              <w:t>zjednodušeného modelu zameraného na dosiahnutie významného vplyvu tým, že sa zabráni rozptýleniu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fragmentácii priorít; II) reformovať právne predpisy na zvýšenie mobility vysokopostavených osôb (ako sú výskumní pracovníci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manažéri) medzi univerzitami, </w:t>
            </w:r>
            <w:r w:rsidRPr="00326E55">
              <w:rPr>
                <w:rFonts w:ascii="Times New Roman" w:hAnsi="Times New Roman"/>
                <w:noProof/>
                <w:spacing w:val="-6"/>
                <w:lang w:val="sk-SK"/>
              </w:rPr>
              <w:t>výskumnými infraštruktúrami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spoločnosťami; III) zjednodušenie riadenia fondov; IV) reformovať kariérnu dráhu výskumných pracovníkov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zvýšiť ich zameranie na výskumné činnosti.</w:t>
            </w:r>
          </w:p>
        </w:tc>
      </w:tr>
      <w:tr w:rsidR="00BF03AA" w:rsidRPr="00326E55" w14:paraId="7CB6DF17" w14:textId="77777777">
        <w:trPr>
          <w:trHeight w:val="309"/>
          <w:jc w:val="center"/>
        </w:trPr>
        <w:tc>
          <w:tcPr>
            <w:tcW w:w="1292" w:type="dxa"/>
            <w:shd w:val="clear" w:color="auto" w:fill="C6EFCE"/>
            <w:noWrap/>
            <w:vAlign w:val="center"/>
            <w:hideMark/>
          </w:tcPr>
          <w:p w14:paraId="5F5F86B9" w14:textId="77777777"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M4C2 – 4bis</w:t>
            </w:r>
          </w:p>
        </w:tc>
        <w:tc>
          <w:tcPr>
            <w:tcW w:w="1368" w:type="dxa"/>
            <w:shd w:val="clear" w:color="auto" w:fill="C6EFCE"/>
            <w:noWrap/>
            <w:vAlign w:val="center"/>
            <w:hideMark/>
          </w:tcPr>
          <w:p w14:paraId="6EC05533" w14:textId="77777777"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 xml:space="preserve">Reforma 1.2: Trojročný plán financovania výskumných </w:t>
            </w:r>
            <w:r w:rsidRPr="00326E55">
              <w:rPr>
                <w:rFonts w:ascii="Times New Roman" w:hAnsi="Times New Roman"/>
                <w:noProof/>
                <w:spacing w:val="-6"/>
                <w:lang w:val="sk-SK"/>
              </w:rPr>
              <w:t>činností</w:t>
            </w:r>
          </w:p>
        </w:tc>
        <w:tc>
          <w:tcPr>
            <w:tcW w:w="1413" w:type="dxa"/>
            <w:shd w:val="clear" w:color="auto" w:fill="C6EFCE"/>
            <w:noWrap/>
            <w:vAlign w:val="center"/>
            <w:hideMark/>
          </w:tcPr>
          <w:p w14:paraId="6391783E" w14:textId="77777777"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302" w:type="dxa"/>
            <w:shd w:val="clear" w:color="auto" w:fill="C6EFCE"/>
            <w:noWrap/>
            <w:vAlign w:val="center"/>
            <w:hideMark/>
          </w:tcPr>
          <w:p w14:paraId="5EBEBFF5" w14:textId="5625F559" w:rsidR="00BF03AA" w:rsidRPr="00326E55" w:rsidRDefault="00FB452D">
            <w:pPr>
              <w:pStyle w:val="P68B1DB1-Normal84"/>
              <w:spacing w:line="257" w:lineRule="auto"/>
              <w:jc w:val="center"/>
              <w:rPr>
                <w:rFonts w:ascii="Times New Roman" w:hAnsi="Times New Roman"/>
                <w:noProof/>
                <w:spacing w:val="-6"/>
                <w:lang w:val="sk-SK"/>
              </w:rPr>
            </w:pPr>
            <w:r w:rsidRPr="00326E55">
              <w:rPr>
                <w:rFonts w:ascii="Times New Roman" w:hAnsi="Times New Roman"/>
                <w:noProof/>
                <w:spacing w:val="-6"/>
                <w:lang w:val="sk-SK"/>
              </w:rPr>
              <w:t xml:space="preserve">Primárne právne predpisy na prijatie trojročného plánu financovania výskumných činností </w:t>
            </w:r>
          </w:p>
        </w:tc>
        <w:tc>
          <w:tcPr>
            <w:tcW w:w="1377" w:type="dxa"/>
            <w:shd w:val="clear" w:color="auto" w:fill="C6EFCE"/>
            <w:noWrap/>
            <w:vAlign w:val="center"/>
            <w:hideMark/>
          </w:tcPr>
          <w:p w14:paraId="56D70740" w14:textId="2C124E32"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Nadobudnutie účinnosti primárnych právnych predpisov, ktorými sa stanovuje trojročný plán financovania výskumných činností</w:t>
            </w:r>
          </w:p>
        </w:tc>
        <w:tc>
          <w:tcPr>
            <w:tcW w:w="1089" w:type="dxa"/>
            <w:shd w:val="clear" w:color="auto" w:fill="C6EFCE"/>
            <w:noWrap/>
            <w:vAlign w:val="center"/>
            <w:hideMark/>
          </w:tcPr>
          <w:p w14:paraId="123DF5A6" w14:textId="77777777"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74" w:type="dxa"/>
            <w:shd w:val="clear" w:color="auto" w:fill="C6EFCE"/>
            <w:noWrap/>
            <w:vAlign w:val="center"/>
            <w:hideMark/>
          </w:tcPr>
          <w:p w14:paraId="6E059B26" w14:textId="77777777"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539" w:type="dxa"/>
            <w:shd w:val="clear" w:color="auto" w:fill="C6EFCE"/>
            <w:noWrap/>
            <w:vAlign w:val="center"/>
            <w:hideMark/>
          </w:tcPr>
          <w:p w14:paraId="681DE355" w14:textId="77777777"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75" w:type="dxa"/>
            <w:shd w:val="clear" w:color="auto" w:fill="C6EFCE"/>
            <w:noWrap/>
            <w:vAlign w:val="center"/>
            <w:hideMark/>
          </w:tcPr>
          <w:p w14:paraId="5DA72EAF" w14:textId="77777777"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 xml:space="preserve">ŠTVRTÝ ŠTVRŤROK </w:t>
            </w:r>
          </w:p>
        </w:tc>
        <w:tc>
          <w:tcPr>
            <w:tcW w:w="611" w:type="dxa"/>
            <w:shd w:val="clear" w:color="auto" w:fill="C6EFCE"/>
            <w:noWrap/>
            <w:vAlign w:val="center"/>
            <w:hideMark/>
          </w:tcPr>
          <w:p w14:paraId="71B6E49C" w14:textId="77777777" w:rsidR="00BF03AA" w:rsidRPr="00326E55" w:rsidRDefault="00FB452D">
            <w:pPr>
              <w:pStyle w:val="P68B1DB1-Normal84"/>
              <w:jc w:val="center"/>
              <w:rPr>
                <w:rFonts w:ascii="Times New Roman" w:hAnsi="Times New Roman"/>
                <w:noProof/>
                <w:spacing w:val="-6"/>
                <w:lang w:val="sk-SK"/>
              </w:rPr>
            </w:pPr>
            <w:r w:rsidRPr="00326E55">
              <w:rPr>
                <w:rFonts w:ascii="Times New Roman" w:hAnsi="Times New Roman"/>
                <w:noProof/>
                <w:spacing w:val="-6"/>
                <w:lang w:val="sk-SK"/>
              </w:rPr>
              <w:t>2025</w:t>
            </w:r>
          </w:p>
        </w:tc>
        <w:tc>
          <w:tcPr>
            <w:tcW w:w="2521" w:type="dxa"/>
            <w:shd w:val="clear" w:color="auto" w:fill="C6EFCE"/>
            <w:noWrap/>
            <w:vAlign w:val="center"/>
            <w:hideMark/>
          </w:tcPr>
          <w:p w14:paraId="0FA9ECA0" w14:textId="36959CE2"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Reforma si vyžaduje nadobudnutie účinnosti primárnych právnych predpisov, ktorými sa stanovuje právny rámec na prijatie trojročného plánu financovania činností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reserchu</w:t>
            </w:r>
            <w:r w:rsidR="00326E55" w:rsidRPr="00326E55">
              <w:rPr>
                <w:rFonts w:ascii="Times New Roman" w:hAnsi="Times New Roman"/>
                <w:noProof/>
                <w:spacing w:val="-6"/>
                <w:lang w:val="sk-SK"/>
              </w:rPr>
              <w:t>.</w:t>
            </w:r>
          </w:p>
          <w:p w14:paraId="46FA197C" w14:textId="755D198B"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Právny rámec:</w:t>
            </w:r>
          </w:p>
          <w:p w14:paraId="03B09426" w14:textId="750C048B" w:rsidR="00BF03AA" w:rsidRPr="00326E55" w:rsidRDefault="00FB452D">
            <w:pPr>
              <w:pStyle w:val="P68B1DB1-ListParagraph13"/>
              <w:numPr>
                <w:ilvl w:val="0"/>
                <w:numId w:val="90"/>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Zriadiť fond na zlúčenie rôzny</w:t>
            </w:r>
            <w:r w:rsidRPr="00326E55">
              <w:rPr>
                <w:rFonts w:ascii="Times New Roman" w:hAnsi="Times New Roman"/>
                <w:noProof/>
                <w:spacing w:val="-6"/>
                <w:lang w:val="sk-SK"/>
              </w:rPr>
              <w:t>ch finančných nástrojov;</w:t>
            </w:r>
          </w:p>
          <w:p w14:paraId="4359FC28" w14:textId="63BC9846" w:rsidR="00326E55" w:rsidRPr="00326E55" w:rsidRDefault="00FB452D">
            <w:pPr>
              <w:pStyle w:val="P68B1DB1-ListParagraph23"/>
              <w:numPr>
                <w:ilvl w:val="0"/>
                <w:numId w:val="90"/>
              </w:numPr>
              <w:jc w:val="both"/>
              <w:rPr>
                <w:rFonts w:ascii="Times New Roman" w:hAnsi="Times New Roman"/>
                <w:noProof/>
                <w:spacing w:val="-6"/>
                <w:lang w:val="sk-SK"/>
              </w:rPr>
            </w:pPr>
            <w:r w:rsidRPr="00326E55">
              <w:rPr>
                <w:rFonts w:ascii="Times New Roman" w:hAnsi="Times New Roman"/>
                <w:noProof/>
                <w:spacing w:val="-6"/>
                <w:lang w:val="sk-SK"/>
              </w:rPr>
              <w:t>požadovať prijatie trojročného plánu financovania výskumných aktivít univerzít, výskumných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inštitúcií AFAM</w:t>
            </w:r>
            <w:r w:rsidR="00326E55" w:rsidRPr="00326E55">
              <w:rPr>
                <w:rFonts w:ascii="Times New Roman" w:hAnsi="Times New Roman"/>
                <w:noProof/>
                <w:spacing w:val="-6"/>
                <w:lang w:val="sk-SK"/>
              </w:rPr>
              <w:t>;</w:t>
            </w:r>
          </w:p>
          <w:p w14:paraId="3C1312E5" w14:textId="5CF519AB" w:rsidR="00326E55" w:rsidRPr="00326E55" w:rsidRDefault="00FB452D">
            <w:pPr>
              <w:pStyle w:val="P68B1DB1-ListParagraph23"/>
              <w:numPr>
                <w:ilvl w:val="0"/>
                <w:numId w:val="90"/>
              </w:numPr>
              <w:jc w:val="both"/>
              <w:rPr>
                <w:rFonts w:ascii="Times New Roman" w:hAnsi="Times New Roman"/>
                <w:noProof/>
                <w:spacing w:val="-6"/>
                <w:lang w:val="sk-SK"/>
              </w:rPr>
            </w:pPr>
            <w:r w:rsidRPr="00326E55">
              <w:rPr>
                <w:rFonts w:ascii="Times New Roman" w:hAnsi="Times New Roman"/>
                <w:noProof/>
                <w:spacing w:val="-6"/>
                <w:lang w:val="sk-SK"/>
              </w:rPr>
              <w:t>Požadovať prijatie harmonogramu („kronoprogramy“) na vyhlasovanie výziev na predkladanie projektov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ukončen</w:t>
            </w:r>
            <w:r w:rsidRPr="00326E55">
              <w:rPr>
                <w:rFonts w:ascii="Times New Roman" w:hAnsi="Times New Roman"/>
                <w:noProof/>
                <w:spacing w:val="-6"/>
                <w:lang w:val="sk-SK"/>
              </w:rPr>
              <w:t>ie ich výberových konaní</w:t>
            </w:r>
            <w:r w:rsidR="00326E55" w:rsidRPr="00326E55">
              <w:rPr>
                <w:rFonts w:ascii="Times New Roman" w:hAnsi="Times New Roman"/>
                <w:noProof/>
                <w:spacing w:val="-6"/>
                <w:lang w:val="sk-SK"/>
              </w:rPr>
              <w:t>.</w:t>
            </w:r>
          </w:p>
          <w:p w14:paraId="73722308" w14:textId="04E764CF" w:rsidR="00BF03AA" w:rsidRPr="00326E55" w:rsidRDefault="00FB452D">
            <w:pPr>
              <w:pStyle w:val="P68B1DB1-ListParagraph23"/>
              <w:numPr>
                <w:ilvl w:val="0"/>
                <w:numId w:val="90"/>
              </w:numPr>
              <w:jc w:val="both"/>
              <w:rPr>
                <w:rFonts w:ascii="Times New Roman" w:hAnsi="Times New Roman"/>
                <w:noProof/>
                <w:spacing w:val="-6"/>
                <w:lang w:val="sk-SK"/>
              </w:rPr>
            </w:pPr>
            <w:r w:rsidRPr="00326E55">
              <w:rPr>
                <w:rFonts w:ascii="Times New Roman" w:hAnsi="Times New Roman"/>
                <w:noProof/>
                <w:spacing w:val="-6"/>
                <w:lang w:val="sk-SK"/>
              </w:rPr>
              <w:t xml:space="preserve">Zahrnúť osobitnú rozpočtovú položku na financovanie projektov PRIN. </w:t>
            </w:r>
          </w:p>
        </w:tc>
      </w:tr>
    </w:tbl>
    <w:p w14:paraId="0E9978DC"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default" r:id="rId202"/>
          <w:footerReference w:type="default" r:id="rId203"/>
          <w:pgSz w:w="16839" w:h="11907" w:orient="landscape"/>
          <w:pgMar w:top="1134" w:right="1134" w:bottom="1134" w:left="1134" w:header="567" w:footer="567" w:gutter="0"/>
          <w:cols w:space="720"/>
          <w:docGrid w:linePitch="360"/>
        </w:sectPr>
      </w:pPr>
    </w:p>
    <w:p w14:paraId="37DAECA9" w14:textId="77777777" w:rsidR="00326E55" w:rsidRPr="00326E55" w:rsidRDefault="00FB452D">
      <w:pPr>
        <w:pStyle w:val="Heading3"/>
        <w:ind w:left="850" w:hanging="850"/>
        <w:rPr>
          <w:rFonts w:ascii="Times New Roman" w:eastAsia="Times New Roman" w:hAnsi="Times New Roman" w:cs="Times New Roman"/>
          <w:b/>
          <w:noProof/>
          <w:spacing w:val="-6"/>
          <w:u w:val="single"/>
          <w:lang w:val="sk-SK"/>
        </w:rPr>
      </w:pPr>
      <w:r w:rsidRPr="00326E55">
        <w:rPr>
          <w:rFonts w:ascii="Times New Roman" w:eastAsia="Times New Roman" w:hAnsi="Times New Roman" w:cs="Times New Roman"/>
          <w:b/>
          <w:noProof/>
          <w:spacing w:val="-6"/>
          <w:u w:val="single"/>
          <w:lang w:val="sk-SK"/>
        </w:rPr>
        <w:t xml:space="preserve">K.3. </w:t>
      </w:r>
      <w:r w:rsidRPr="00326E55">
        <w:rPr>
          <w:rFonts w:ascii="Times New Roman" w:hAnsi="Times New Roman"/>
          <w:noProof/>
          <w:spacing w:val="-6"/>
          <w:lang w:val="sk-SK"/>
        </w:rPr>
        <w:t xml:space="preserve"> </w:t>
      </w:r>
      <w:r w:rsidRPr="00326E55">
        <w:rPr>
          <w:rFonts w:ascii="Times New Roman" w:eastAsia="Times New Roman" w:hAnsi="Times New Roman" w:cs="Times New Roman"/>
          <w:b/>
          <w:noProof/>
          <w:spacing w:val="-6"/>
          <w:u w:val="single"/>
          <w:lang w:val="sk-SK"/>
        </w:rPr>
        <w:t>Opis reforiem</w:t>
      </w:r>
      <w:r w:rsidR="00326E55" w:rsidRPr="00326E55">
        <w:rPr>
          <w:rFonts w:ascii="Times New Roman" w:eastAsia="Times New Roman" w:hAnsi="Times New Roman" w:cs="Times New Roman"/>
          <w:b/>
          <w:noProof/>
          <w:spacing w:val="-6"/>
          <w:u w:val="single"/>
          <w:lang w:val="sk-SK"/>
        </w:rPr>
        <w:t xml:space="preserve"> a </w:t>
      </w:r>
      <w:r w:rsidRPr="00326E55">
        <w:rPr>
          <w:rFonts w:ascii="Times New Roman" w:eastAsia="Times New Roman" w:hAnsi="Times New Roman" w:cs="Times New Roman"/>
          <w:b/>
          <w:noProof/>
          <w:spacing w:val="-6"/>
          <w:u w:val="single"/>
          <w:lang w:val="sk-SK"/>
        </w:rPr>
        <w:t>investícií</w:t>
      </w:r>
      <w:r w:rsidR="00326E55" w:rsidRPr="00326E55">
        <w:rPr>
          <w:rFonts w:ascii="Times New Roman" w:eastAsia="Times New Roman" w:hAnsi="Times New Roman" w:cs="Times New Roman"/>
          <w:b/>
          <w:noProof/>
          <w:spacing w:val="-6"/>
          <w:u w:val="single"/>
          <w:lang w:val="sk-SK"/>
        </w:rPr>
        <w:t xml:space="preserve"> v </w:t>
      </w:r>
      <w:r w:rsidRPr="00326E55">
        <w:rPr>
          <w:rFonts w:ascii="Times New Roman" w:eastAsia="Times New Roman" w:hAnsi="Times New Roman" w:cs="Times New Roman"/>
          <w:b/>
          <w:noProof/>
          <w:spacing w:val="-6"/>
          <w:u w:val="single"/>
          <w:lang w:val="sk-SK"/>
        </w:rPr>
        <w:t>rámci úverového financovania</w:t>
      </w:r>
    </w:p>
    <w:p w14:paraId="0CEA8037" w14:textId="733E4B48" w:rsidR="00BF03AA" w:rsidRPr="00326E55" w:rsidRDefault="00FB452D">
      <w:pPr>
        <w:pStyle w:val="P68B1DB1-Normal42"/>
        <w:spacing w:before="120" w:after="120"/>
        <w:jc w:val="both"/>
        <w:rPr>
          <w:bCs/>
          <w:noProof/>
          <w:spacing w:val="-6"/>
          <w:lang w:val="sk-SK"/>
        </w:rPr>
      </w:pPr>
      <w:r w:rsidRPr="00326E55">
        <w:rPr>
          <w:noProof/>
          <w:spacing w:val="-6"/>
          <w:lang w:val="sk-SK"/>
        </w:rPr>
        <w:t xml:space="preserve">Investícia 1.1: Výskumné projekty </w:t>
      </w:r>
      <w:r w:rsidRPr="00326E55">
        <w:rPr>
          <w:noProof/>
          <w:spacing w:val="-6"/>
          <w:lang w:val="sk-SK"/>
        </w:rPr>
        <w:t>významného národného záujmu (PRIN)</w:t>
      </w:r>
    </w:p>
    <w:p w14:paraId="1B457235" w14:textId="3F6B08F9" w:rsidR="00BF03AA" w:rsidRPr="00326E55" w:rsidRDefault="00FB452D">
      <w:pPr>
        <w:pStyle w:val="P68B1DB1-Normal8"/>
        <w:spacing w:before="120" w:after="120"/>
        <w:jc w:val="both"/>
        <w:rPr>
          <w:noProof/>
          <w:color w:val="000000" w:themeColor="text1"/>
          <w:spacing w:val="-6"/>
          <w:lang w:val="sk-SK"/>
        </w:rPr>
      </w:pPr>
      <w:r w:rsidRPr="00326E55">
        <w:rPr>
          <w:noProof/>
          <w:color w:val="000000" w:themeColor="text1"/>
          <w:spacing w:val="-6"/>
          <w:lang w:val="sk-SK"/>
        </w:rPr>
        <w:t>Cieľom tohto opatrenia je podporiť</w:t>
      </w:r>
      <w:r w:rsidRPr="00326E55">
        <w:rPr>
          <w:noProof/>
          <w:spacing w:val="-6"/>
          <w:lang w:val="sk-SK"/>
        </w:rPr>
        <w:t xml:space="preserve"> výskumné činnosti. Opatrenie pozostáva</w:t>
      </w:r>
      <w:r w:rsidR="00326E55" w:rsidRPr="00326E55">
        <w:rPr>
          <w:noProof/>
          <w:spacing w:val="-6"/>
          <w:lang w:val="sk-SK"/>
        </w:rPr>
        <w:t xml:space="preserve"> z </w:t>
      </w:r>
      <w:r w:rsidRPr="00326E55">
        <w:rPr>
          <w:noProof/>
          <w:color w:val="000000" w:themeColor="text1"/>
          <w:spacing w:val="-6"/>
          <w:lang w:val="sk-SK"/>
        </w:rPr>
        <w:t>financovania výskumných projektov veľkého národného záujmu (PRIN), ktoré zahŕňajú spoluprácu medzi univerzitnými výskumnými jednotkami</w:t>
      </w:r>
      <w:r w:rsidR="00326E55" w:rsidRPr="00326E55">
        <w:rPr>
          <w:noProof/>
          <w:color w:val="000000" w:themeColor="text1"/>
          <w:spacing w:val="-6"/>
          <w:lang w:val="sk-SK"/>
        </w:rPr>
        <w:t xml:space="preserve"> a </w:t>
      </w:r>
      <w:r w:rsidRPr="00326E55">
        <w:rPr>
          <w:noProof/>
          <w:color w:val="000000" w:themeColor="text1"/>
          <w:spacing w:val="-6"/>
          <w:lang w:val="sk-SK"/>
        </w:rPr>
        <w:t>výskumnými inštitúciami</w:t>
      </w:r>
      <w:r w:rsidR="00326E55" w:rsidRPr="00326E55">
        <w:rPr>
          <w:noProof/>
          <w:color w:val="000000" w:themeColor="text1"/>
          <w:spacing w:val="-6"/>
          <w:lang w:val="sk-SK"/>
        </w:rPr>
        <w:t xml:space="preserve"> a </w:t>
      </w:r>
      <w:r w:rsidRPr="00326E55">
        <w:rPr>
          <w:noProof/>
          <w:color w:val="000000" w:themeColor="text1"/>
          <w:spacing w:val="-6"/>
          <w:lang w:val="sk-SK"/>
        </w:rPr>
        <w:t>nábor výskumných pracovníkov na dobu určitú.</w:t>
      </w:r>
    </w:p>
    <w:p w14:paraId="523B25E2" w14:textId="38226C67" w:rsidR="00BF03AA" w:rsidRPr="00326E55" w:rsidRDefault="00FB452D">
      <w:pPr>
        <w:pStyle w:val="paragraph"/>
        <w:spacing w:before="120" w:beforeAutospacing="0" w:after="120" w:afterAutospacing="0"/>
        <w:jc w:val="both"/>
        <w:textAlignment w:val="baseline"/>
        <w:rPr>
          <w:rStyle w:val="eop"/>
          <w:rFonts w:eastAsiaTheme="majorEastAsia"/>
          <w:b/>
          <w:bCs/>
          <w:noProof/>
          <w:color w:val="000000" w:themeColor="text1"/>
          <w:spacing w:val="-6"/>
          <w:shd w:val="clear" w:color="auto" w:fill="FFFFFF"/>
          <w:lang w:val="sk-SK"/>
        </w:rPr>
      </w:pPr>
      <w:r w:rsidRPr="00326E55">
        <w:rPr>
          <w:rStyle w:val="normaltextrun"/>
          <w:b/>
          <w:noProof/>
          <w:color w:val="000000" w:themeColor="text1"/>
          <w:spacing w:val="-6"/>
          <w:shd w:val="clear" w:color="auto" w:fill="FFFFFF"/>
          <w:lang w:val="sk-SK"/>
        </w:rPr>
        <w:t>Investícia 1.3: Partnerstvá rozšírené na univerzity, výskumné centrá, spoločnosti</w:t>
      </w:r>
      <w:r w:rsidR="00326E55" w:rsidRPr="00326E55">
        <w:rPr>
          <w:rStyle w:val="normaltextrun"/>
          <w:b/>
          <w:noProof/>
          <w:color w:val="000000" w:themeColor="text1"/>
          <w:spacing w:val="-6"/>
          <w:shd w:val="clear" w:color="auto" w:fill="FFFFFF"/>
          <w:lang w:val="sk-SK"/>
        </w:rPr>
        <w:t xml:space="preserve"> a </w:t>
      </w:r>
      <w:r w:rsidRPr="00326E55">
        <w:rPr>
          <w:rStyle w:val="normaltextrun"/>
          <w:b/>
          <w:noProof/>
          <w:color w:val="000000" w:themeColor="text1"/>
          <w:spacing w:val="-6"/>
          <w:shd w:val="clear" w:color="auto" w:fill="FFFFFF"/>
          <w:lang w:val="sk-SK"/>
        </w:rPr>
        <w:t>financovanie projektov základného výskumu</w:t>
      </w:r>
    </w:p>
    <w:p w14:paraId="422925A5" w14:textId="03D70133" w:rsidR="00BF03AA" w:rsidRPr="00326E55" w:rsidRDefault="00FB452D">
      <w:pPr>
        <w:pStyle w:val="P68B1DB1-Normal66"/>
        <w:spacing w:before="120" w:after="120"/>
        <w:jc w:val="both"/>
        <w:rPr>
          <w:noProof/>
          <w:spacing w:val="-6"/>
          <w:lang w:val="sk-SK"/>
        </w:rPr>
      </w:pPr>
      <w:r w:rsidRPr="00326E55">
        <w:rPr>
          <w:noProof/>
          <w:spacing w:val="-6"/>
          <w:lang w:val="sk-SK"/>
        </w:rPr>
        <w:t>Cieľom opatrenia je vytvoriť siete univerzít, výskumných or</w:t>
      </w:r>
      <w:r w:rsidRPr="00326E55">
        <w:rPr>
          <w:noProof/>
          <w:spacing w:val="-6"/>
          <w:lang w:val="sk-SK"/>
        </w:rPr>
        <w:t>ganizácií</w:t>
      </w:r>
      <w:r w:rsidR="00326E55" w:rsidRPr="00326E55">
        <w:rPr>
          <w:noProof/>
          <w:spacing w:val="-6"/>
          <w:lang w:val="sk-SK"/>
        </w:rPr>
        <w:t xml:space="preserve"> a </w:t>
      </w:r>
      <w:r w:rsidRPr="00326E55">
        <w:rPr>
          <w:noProof/>
          <w:spacing w:val="-6"/>
          <w:lang w:val="sk-SK"/>
        </w:rPr>
        <w:t>iných zainteresovaných strán, podporiť transfer technológií</w:t>
      </w:r>
      <w:r w:rsidR="00326E55" w:rsidRPr="00326E55">
        <w:rPr>
          <w:noProof/>
          <w:spacing w:val="-6"/>
          <w:lang w:val="sk-SK"/>
        </w:rPr>
        <w:t xml:space="preserve"> a </w:t>
      </w:r>
      <w:r w:rsidRPr="00326E55">
        <w:rPr>
          <w:noProof/>
          <w:spacing w:val="-6"/>
          <w:lang w:val="sk-SK"/>
        </w:rPr>
        <w:t>podporiť začínajúce</w:t>
      </w:r>
      <w:r w:rsidR="00326E55" w:rsidRPr="00326E55">
        <w:rPr>
          <w:noProof/>
          <w:spacing w:val="-6"/>
          <w:lang w:val="sk-SK"/>
        </w:rPr>
        <w:t xml:space="preserve"> a </w:t>
      </w:r>
      <w:r w:rsidRPr="00326E55">
        <w:rPr>
          <w:noProof/>
          <w:spacing w:val="-6"/>
          <w:lang w:val="sk-SK"/>
        </w:rPr>
        <w:t>spin-off podniky založené na výskume. Opatrenie pozostáva</w:t>
      </w:r>
      <w:r w:rsidR="00326E55" w:rsidRPr="00326E55">
        <w:rPr>
          <w:noProof/>
          <w:spacing w:val="-6"/>
          <w:lang w:val="sk-SK"/>
        </w:rPr>
        <w:t xml:space="preserve"> z </w:t>
      </w:r>
      <w:r w:rsidRPr="00326E55">
        <w:rPr>
          <w:noProof/>
          <w:spacing w:val="-6"/>
          <w:lang w:val="sk-SK"/>
        </w:rPr>
        <w:t>financovania najmenej 14 hlavných programov základného výskumu vykonávaných sieťami verejných</w:t>
      </w:r>
      <w:r w:rsidR="00326E55" w:rsidRPr="00326E55">
        <w:rPr>
          <w:noProof/>
          <w:spacing w:val="-6"/>
          <w:lang w:val="sk-SK"/>
        </w:rPr>
        <w:t xml:space="preserve"> a </w:t>
      </w:r>
      <w:r w:rsidRPr="00326E55">
        <w:rPr>
          <w:noProof/>
          <w:spacing w:val="-6"/>
          <w:lang w:val="sk-SK"/>
        </w:rPr>
        <w:t>súkr</w:t>
      </w:r>
      <w:r w:rsidRPr="00326E55">
        <w:rPr>
          <w:noProof/>
          <w:spacing w:val="-6"/>
          <w:lang w:val="sk-SK"/>
        </w:rPr>
        <w:t>omných subjektov.</w:t>
      </w:r>
    </w:p>
    <w:p w14:paraId="3F95FCEA" w14:textId="74BD3CA7" w:rsidR="00BF03AA" w:rsidRPr="00326E55" w:rsidRDefault="00FB452D">
      <w:pPr>
        <w:pStyle w:val="P68B1DB1-Normal42"/>
        <w:spacing w:before="120" w:after="120"/>
        <w:jc w:val="both"/>
        <w:rPr>
          <w:bCs/>
          <w:noProof/>
          <w:spacing w:val="-6"/>
          <w:lang w:val="sk-SK"/>
        </w:rPr>
      </w:pPr>
      <w:r w:rsidRPr="00326E55">
        <w:rPr>
          <w:noProof/>
          <w:spacing w:val="-6"/>
          <w:lang w:val="sk-SK"/>
        </w:rPr>
        <w:t>Investícia 1.4: Vytvorenie „vnútroštátnych lídrov</w:t>
      </w:r>
      <w:r w:rsidR="00326E55" w:rsidRPr="00326E55">
        <w:rPr>
          <w:noProof/>
          <w:spacing w:val="-6"/>
          <w:lang w:val="sk-SK"/>
        </w:rPr>
        <w:t xml:space="preserve"> v </w:t>
      </w:r>
      <w:r w:rsidRPr="00326E55">
        <w:rPr>
          <w:noProof/>
          <w:spacing w:val="-6"/>
          <w:lang w:val="sk-SK"/>
        </w:rPr>
        <w:t>oblasti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v </w:t>
      </w:r>
      <w:r w:rsidRPr="00326E55">
        <w:rPr>
          <w:noProof/>
          <w:spacing w:val="-6"/>
          <w:lang w:val="sk-SK"/>
        </w:rPr>
        <w:t>oblasti niektorých kľúčových podporných technológií</w:t>
      </w:r>
    </w:p>
    <w:p w14:paraId="78146BE7" w14:textId="004022E3" w:rsidR="00BF03AA" w:rsidRPr="00326E55" w:rsidRDefault="00FB452D">
      <w:pPr>
        <w:pStyle w:val="P68B1DB1-Normal66"/>
        <w:spacing w:before="120" w:after="120"/>
        <w:jc w:val="both"/>
        <w:rPr>
          <w:noProof/>
          <w:spacing w:val="-6"/>
          <w:lang w:val="sk-SK"/>
        </w:rPr>
      </w:pPr>
      <w:r w:rsidRPr="00326E55">
        <w:rPr>
          <w:noProof/>
          <w:spacing w:val="-6"/>
          <w:lang w:val="sk-SK"/>
        </w:rPr>
        <w:t>Cieľom tohto opatrenia je vytvoriť národných lídrov</w:t>
      </w:r>
      <w:r w:rsidR="00326E55" w:rsidRPr="00326E55">
        <w:rPr>
          <w:noProof/>
          <w:spacing w:val="-6"/>
          <w:lang w:val="sk-SK"/>
        </w:rPr>
        <w:t xml:space="preserve"> v </w:t>
      </w:r>
      <w:r w:rsidRPr="00326E55">
        <w:rPr>
          <w:noProof/>
          <w:spacing w:val="-6"/>
          <w:lang w:val="sk-SK"/>
        </w:rPr>
        <w:t>oblasti výskumu</w:t>
      </w:r>
      <w:r w:rsidR="00326E55" w:rsidRPr="00326E55">
        <w:rPr>
          <w:noProof/>
          <w:spacing w:val="-6"/>
          <w:lang w:val="sk-SK"/>
        </w:rPr>
        <w:t xml:space="preserve"> a </w:t>
      </w:r>
      <w:r w:rsidRPr="00326E55">
        <w:rPr>
          <w:noProof/>
          <w:spacing w:val="-6"/>
          <w:lang w:val="sk-SK"/>
        </w:rPr>
        <w:t>vývoja. Opatrenie spočíva</w:t>
      </w:r>
      <w:r w:rsidR="00326E55" w:rsidRPr="00326E55">
        <w:rPr>
          <w:noProof/>
          <w:spacing w:val="-6"/>
          <w:lang w:val="sk-SK"/>
        </w:rPr>
        <w:t xml:space="preserve"> v </w:t>
      </w:r>
      <w:r w:rsidRPr="00326E55">
        <w:rPr>
          <w:noProof/>
          <w:spacing w:val="-6"/>
          <w:lang w:val="sk-SK"/>
        </w:rPr>
        <w:t>uložení pokuty piatim národným výskumným centrám schopným dosiahnuť kritickú prahovú hodnotu výskumnej</w:t>
      </w:r>
      <w:r w:rsidR="00326E55" w:rsidRPr="00326E55">
        <w:rPr>
          <w:noProof/>
          <w:spacing w:val="-6"/>
          <w:lang w:val="sk-SK"/>
        </w:rPr>
        <w:t xml:space="preserve"> a </w:t>
      </w:r>
      <w:r w:rsidRPr="00326E55">
        <w:rPr>
          <w:noProof/>
          <w:spacing w:val="-6"/>
          <w:lang w:val="sk-SK"/>
        </w:rPr>
        <w:t>inovačnej kapacity prostredníctvom spolupráce medzi univerzitami, výskumnými centrami</w:t>
      </w:r>
      <w:r w:rsidR="00326E55" w:rsidRPr="00326E55">
        <w:rPr>
          <w:noProof/>
          <w:spacing w:val="-6"/>
          <w:lang w:val="sk-SK"/>
        </w:rPr>
        <w:t xml:space="preserve"> a </w:t>
      </w:r>
      <w:r w:rsidRPr="00326E55">
        <w:rPr>
          <w:noProof/>
          <w:spacing w:val="-6"/>
          <w:lang w:val="sk-SK"/>
        </w:rPr>
        <w:t>podnikmi.</w:t>
      </w:r>
    </w:p>
    <w:p w14:paraId="20411691" w14:textId="50920136" w:rsidR="00326E55" w:rsidRPr="00326E55" w:rsidRDefault="00FB452D">
      <w:pPr>
        <w:pStyle w:val="P68B1DB1-Normal42"/>
        <w:spacing w:before="120" w:after="120"/>
        <w:jc w:val="both"/>
        <w:rPr>
          <w:noProof/>
          <w:spacing w:val="-6"/>
          <w:lang w:val="sk-SK"/>
        </w:rPr>
      </w:pPr>
      <w:r w:rsidRPr="00326E55">
        <w:rPr>
          <w:noProof/>
          <w:spacing w:val="-6"/>
          <w:lang w:val="sk-SK"/>
        </w:rPr>
        <w:t>Investícia 1.5: „Inovačné ekosystémy pre udržateľnosť</w:t>
      </w:r>
      <w:r w:rsidRPr="00326E55">
        <w:rPr>
          <w:noProof/>
          <w:spacing w:val="-6"/>
          <w:lang w:val="sk-SK"/>
        </w:rPr>
        <w:t>“, budovanie „územných lídrov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w:t>
      </w:r>
    </w:p>
    <w:p w14:paraId="3E62AE37" w14:textId="36399E32" w:rsidR="00BF03AA" w:rsidRPr="00326E55" w:rsidRDefault="00FB452D">
      <w:pPr>
        <w:pStyle w:val="P68B1DB1-Normal66"/>
        <w:spacing w:before="120" w:after="120"/>
        <w:jc w:val="both"/>
        <w:rPr>
          <w:noProof/>
          <w:spacing w:val="-6"/>
          <w:lang w:val="sk-SK"/>
        </w:rPr>
      </w:pPr>
      <w:r w:rsidRPr="00326E55">
        <w:rPr>
          <w:noProof/>
          <w:spacing w:val="-6"/>
          <w:lang w:val="sk-SK"/>
        </w:rPr>
        <w:t>Cieľom tohto opatrenia je podporiť inovácie. Opatrenie pozostáva</w:t>
      </w:r>
      <w:r w:rsidR="00326E55" w:rsidRPr="00326E55">
        <w:rPr>
          <w:noProof/>
          <w:spacing w:val="-6"/>
          <w:lang w:val="sk-SK"/>
        </w:rPr>
        <w:t xml:space="preserve"> z </w:t>
      </w:r>
      <w:r w:rsidRPr="00326E55">
        <w:rPr>
          <w:noProof/>
          <w:spacing w:val="-6"/>
          <w:lang w:val="sk-SK"/>
        </w:rPr>
        <w:t>financovania existujúcich alebo nových inovačných ekosystémov so zameraním na sociálnu udržateľnosť.</w:t>
      </w:r>
    </w:p>
    <w:p w14:paraId="6AC2583B" w14:textId="77777777" w:rsidR="00BF03AA" w:rsidRPr="00326E55" w:rsidRDefault="00FB452D">
      <w:pPr>
        <w:pStyle w:val="P68B1DB1-Normal29"/>
        <w:spacing w:before="120" w:after="120"/>
        <w:jc w:val="both"/>
        <w:rPr>
          <w:bCs/>
          <w:noProof/>
          <w:spacing w:val="-6"/>
          <w:lang w:val="sk-SK"/>
        </w:rPr>
      </w:pPr>
      <w:r w:rsidRPr="00326E55">
        <w:rPr>
          <w:noProof/>
          <w:spacing w:val="-6"/>
          <w:lang w:val="sk-SK"/>
        </w:rPr>
        <w:t>Investícia 2.1: Dôležitý projekt spoloč</w:t>
      </w:r>
      <w:r w:rsidRPr="00326E55">
        <w:rPr>
          <w:noProof/>
          <w:spacing w:val="-6"/>
          <w:lang w:val="sk-SK"/>
        </w:rPr>
        <w:t>ného európskeho záujmu (IPCEI)</w:t>
      </w:r>
    </w:p>
    <w:p w14:paraId="3CBFD0FC" w14:textId="432FA5AA" w:rsidR="00BF03AA" w:rsidRPr="00326E55" w:rsidRDefault="00FB452D">
      <w:pPr>
        <w:pStyle w:val="P68B1DB1-Normal8"/>
        <w:spacing w:before="120" w:after="120" w:line="288" w:lineRule="auto"/>
        <w:jc w:val="both"/>
        <w:rPr>
          <w:noProof/>
          <w:spacing w:val="-6"/>
          <w:lang w:val="sk-SK"/>
        </w:rPr>
      </w:pPr>
      <w:r w:rsidRPr="00326E55">
        <w:rPr>
          <w:noProof/>
          <w:spacing w:val="-6"/>
          <w:lang w:val="sk-SK"/>
        </w:rPr>
        <w:t>Cieľom tohto opatrenia je doplniť súčasný fond dôležitých projektov spoločného európskeho záujmu uvedený</w:t>
      </w:r>
      <w:r w:rsidR="00326E55" w:rsidRPr="00326E55">
        <w:rPr>
          <w:noProof/>
          <w:spacing w:val="-6"/>
          <w:lang w:val="sk-SK"/>
        </w:rPr>
        <w:t xml:space="preserve"> v </w:t>
      </w:r>
      <w:r w:rsidRPr="00326E55">
        <w:rPr>
          <w:noProof/>
          <w:spacing w:val="-6"/>
          <w:lang w:val="sk-SK"/>
        </w:rPr>
        <w:t>článku 1 ods. 232 zákona</w:t>
      </w:r>
      <w:r w:rsidR="00326E55" w:rsidRPr="00326E55">
        <w:rPr>
          <w:noProof/>
          <w:spacing w:val="-6"/>
          <w:lang w:val="sk-SK"/>
        </w:rPr>
        <w:t xml:space="preserve"> o </w:t>
      </w:r>
      <w:r w:rsidRPr="00326E55">
        <w:rPr>
          <w:noProof/>
          <w:spacing w:val="-6"/>
          <w:lang w:val="sk-SK"/>
        </w:rPr>
        <w:t>rozpočte na rok 2020. Opatrenia na podporu fondu dôležitých projektov spoločného európskeho</w:t>
      </w:r>
      <w:r w:rsidRPr="00326E55">
        <w:rPr>
          <w:noProof/>
          <w:spacing w:val="-6"/>
          <w:lang w:val="sk-SK"/>
        </w:rPr>
        <w:t xml:space="preserve"> záujmu dodatočnými zdrojmi.</w:t>
      </w:r>
    </w:p>
    <w:p w14:paraId="330365FC" w14:textId="77777777" w:rsidR="00326E55" w:rsidRPr="00326E55" w:rsidRDefault="00FB452D">
      <w:pPr>
        <w:pStyle w:val="P68B1DB1-Normal29"/>
        <w:spacing w:before="120" w:after="120"/>
        <w:jc w:val="both"/>
        <w:rPr>
          <w:noProof/>
          <w:spacing w:val="-6"/>
          <w:lang w:val="sk-SK"/>
        </w:rPr>
      </w:pPr>
      <w:r w:rsidRPr="00326E55">
        <w:rPr>
          <w:noProof/>
          <w:spacing w:val="-6"/>
          <w:lang w:val="sk-SK"/>
        </w:rPr>
        <w:t>Investícia 2.3: Centrá transferu technológií</w:t>
      </w:r>
    </w:p>
    <w:p w14:paraId="5D9721F5" w14:textId="64B5F1A0" w:rsidR="00326E55" w:rsidRPr="00326E55" w:rsidRDefault="00FB452D">
      <w:pPr>
        <w:pStyle w:val="P68B1DB1-Normal8"/>
        <w:spacing w:before="120" w:after="120"/>
        <w:jc w:val="both"/>
        <w:rPr>
          <w:noProof/>
          <w:color w:val="D13438"/>
          <w:spacing w:val="-6"/>
          <w:u w:val="single"/>
          <w:lang w:val="sk-SK"/>
        </w:rPr>
      </w:pPr>
      <w:r w:rsidRPr="00326E55">
        <w:rPr>
          <w:noProof/>
          <w:spacing w:val="-6"/>
          <w:lang w:val="sk-SK"/>
        </w:rPr>
        <w:t>Cieľom tohto opatrenia je podporiť sieť centier (kompetenčné centrá, Európske centrum digitálnych inovácií, známka excelentnosti, národné centrá digitálnych inovácií) zodpovedných za</w:t>
      </w:r>
      <w:r w:rsidRPr="00326E55">
        <w:rPr>
          <w:noProof/>
          <w:spacing w:val="-6"/>
          <w:lang w:val="sk-SK"/>
        </w:rPr>
        <w:t xml:space="preserve"> rozvoj projektov, poskytovanie pokročilých technologických služieb spoločnostiam</w:t>
      </w:r>
      <w:r w:rsidR="00326E55" w:rsidRPr="00326E55">
        <w:rPr>
          <w:noProof/>
          <w:spacing w:val="-6"/>
          <w:lang w:val="sk-SK"/>
        </w:rPr>
        <w:t xml:space="preserve"> a </w:t>
      </w:r>
      <w:r w:rsidRPr="00326E55">
        <w:rPr>
          <w:noProof/>
          <w:spacing w:val="-6"/>
          <w:lang w:val="sk-SK"/>
        </w:rPr>
        <w:t>orgánom verejnej správy</w:t>
      </w:r>
      <w:r w:rsidR="00326E55" w:rsidRPr="00326E55">
        <w:rPr>
          <w:noProof/>
          <w:spacing w:val="-6"/>
          <w:lang w:val="sk-SK"/>
        </w:rPr>
        <w:t xml:space="preserve"> a </w:t>
      </w:r>
      <w:r w:rsidRPr="00326E55">
        <w:rPr>
          <w:noProof/>
          <w:spacing w:val="-6"/>
          <w:lang w:val="sk-SK"/>
        </w:rPr>
        <w:t>služby prenosu technológií. Európske centrá digitálnych inovácií môžu na vykonávanie svojich činností získať finančné prostriedky</w:t>
      </w:r>
      <w:r w:rsidR="00326E55" w:rsidRPr="00326E55">
        <w:rPr>
          <w:noProof/>
          <w:spacing w:val="-6"/>
          <w:lang w:val="sk-SK"/>
        </w:rPr>
        <w:t xml:space="preserve"> z </w:t>
      </w:r>
      <w:r w:rsidRPr="00326E55">
        <w:rPr>
          <w:noProof/>
          <w:spacing w:val="-6"/>
          <w:lang w:val="sk-SK"/>
        </w:rPr>
        <w:t>iných fondov E</w:t>
      </w:r>
      <w:r w:rsidRPr="00326E55">
        <w:rPr>
          <w:noProof/>
          <w:spacing w:val="-6"/>
          <w:lang w:val="sk-SK"/>
        </w:rPr>
        <w:t>Ú vrátane programu Digitálna Európa</w:t>
      </w:r>
      <w:r w:rsidR="00326E55" w:rsidRPr="00326E55">
        <w:rPr>
          <w:noProof/>
          <w:color w:val="D13438"/>
          <w:spacing w:val="-6"/>
          <w:u w:val="single"/>
          <w:lang w:val="sk-SK"/>
        </w:rPr>
        <w:t>.</w:t>
      </w:r>
    </w:p>
    <w:p w14:paraId="69C8C07B" w14:textId="77777777" w:rsidR="00326E55" w:rsidRPr="00326E55" w:rsidRDefault="00FB452D">
      <w:pPr>
        <w:spacing w:before="120" w:after="120"/>
        <w:jc w:val="both"/>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spacing w:val="-6"/>
          <w:lang w:val="sk-SK"/>
        </w:rPr>
        <w:t>Investícia pozostáva</w:t>
      </w:r>
      <w:r w:rsidR="00326E55" w:rsidRPr="00326E55">
        <w:rPr>
          <w:rFonts w:ascii="Times New Roman" w:eastAsia="Times New Roman" w:hAnsi="Times New Roman" w:cs="Times New Roman"/>
          <w:noProof/>
          <w:spacing w:val="-6"/>
          <w:lang w:val="sk-SK"/>
        </w:rPr>
        <w:t xml:space="preserve"> z </w:t>
      </w:r>
      <w:r w:rsidRPr="00326E55">
        <w:rPr>
          <w:rFonts w:ascii="Times New Roman" w:eastAsia="Times New Roman" w:hAnsi="Times New Roman" w:cs="Times New Roman"/>
          <w:noProof/>
          <w:spacing w:val="-6"/>
          <w:lang w:val="sk-SK"/>
        </w:rPr>
        <w:t>dvoch línií intervencií.</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rámci prvej línie sa</w:t>
      </w:r>
      <w:r w:rsidR="00326E55" w:rsidRPr="00326E55">
        <w:rPr>
          <w:rFonts w:ascii="Times New Roman" w:eastAsia="Times New Roman" w:hAnsi="Times New Roman" w:cs="Times New Roman"/>
          <w:noProof/>
          <w:spacing w:val="-6"/>
          <w:lang w:val="sk-SK"/>
        </w:rPr>
        <w:t xml:space="preserve"> z </w:t>
      </w:r>
      <w:r w:rsidRPr="00326E55">
        <w:rPr>
          <w:rFonts w:ascii="Times New Roman" w:eastAsia="Times New Roman" w:hAnsi="Times New Roman" w:cs="Times New Roman"/>
          <w:noProof/>
          <w:spacing w:val="-6"/>
          <w:lang w:val="sk-SK"/>
        </w:rPr>
        <w:t>Mechanizmu na podporu obnovy</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odolnosti financuje výlučne aspoň 32 centier bez akejkoľvek podpory</w:t>
      </w:r>
      <w:r w:rsidR="00326E55" w:rsidRPr="00326E55">
        <w:rPr>
          <w:rFonts w:ascii="Times New Roman" w:eastAsia="Times New Roman" w:hAnsi="Times New Roman" w:cs="Times New Roman"/>
          <w:noProof/>
          <w:spacing w:val="-6"/>
          <w:lang w:val="sk-SK"/>
        </w:rPr>
        <w:t xml:space="preserve"> z </w:t>
      </w:r>
      <w:r w:rsidRPr="00326E55">
        <w:rPr>
          <w:rFonts w:ascii="Times New Roman" w:eastAsia="Times New Roman" w:hAnsi="Times New Roman" w:cs="Times New Roman"/>
          <w:noProof/>
          <w:spacing w:val="-6"/>
          <w:lang w:val="sk-SK"/>
        </w:rPr>
        <w:t>iných zdrojov EÚ.</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color w:val="000000" w:themeColor="text1"/>
          <w:spacing w:val="-6"/>
          <w:lang w:val="sk-SK"/>
        </w:rPr>
        <w:t>rámci druhého riadku sa</w:t>
      </w:r>
      <w:r w:rsidR="00326E55" w:rsidRPr="00326E55">
        <w:rPr>
          <w:rFonts w:ascii="Times New Roman" w:eastAsia="Times New Roman" w:hAnsi="Times New Roman" w:cs="Times New Roman"/>
          <w:noProof/>
          <w:color w:val="000000" w:themeColor="text1"/>
          <w:spacing w:val="-6"/>
          <w:lang w:val="sk-SK"/>
        </w:rPr>
        <w:t xml:space="preserve"> z </w:t>
      </w:r>
      <w:r w:rsidRPr="00326E55">
        <w:rPr>
          <w:rFonts w:ascii="Times New Roman" w:eastAsia="Times New Roman" w:hAnsi="Times New Roman" w:cs="Times New Roman"/>
          <w:noProof/>
          <w:spacing w:val="-6"/>
          <w:lang w:val="sk-SK"/>
        </w:rPr>
        <w:t>Mechanizmu na podporu obnovy</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 xml:space="preserve">odolnosti financuje časť 13 </w:t>
      </w:r>
      <w:r w:rsidRPr="00326E55">
        <w:rPr>
          <w:rFonts w:ascii="Times New Roman" w:eastAsia="Times New Roman" w:hAnsi="Times New Roman" w:cs="Times New Roman"/>
          <w:noProof/>
          <w:color w:val="000000" w:themeColor="text1"/>
          <w:spacing w:val="-6"/>
          <w:lang w:val="sk-SK"/>
        </w:rPr>
        <w:t>európskych centier digitálnych inovácií (EDIH)</w:t>
      </w:r>
      <w:r w:rsidRPr="00326E55">
        <w:rPr>
          <w:rFonts w:ascii="Times New Roman" w:eastAsia="Times New Roman" w:hAnsi="Times New Roman" w:cs="Times New Roman"/>
          <w:noProof/>
          <w:spacing w:val="-6"/>
          <w:lang w:val="sk-SK"/>
        </w:rPr>
        <w:t>, pričom ďalší podiel nákladov pochádza</w:t>
      </w:r>
      <w:r w:rsidR="00326E55" w:rsidRPr="00326E55">
        <w:rPr>
          <w:rFonts w:ascii="Times New Roman" w:eastAsia="Times New Roman" w:hAnsi="Times New Roman" w:cs="Times New Roman"/>
          <w:noProof/>
          <w:spacing w:val="-6"/>
          <w:lang w:val="sk-SK"/>
        </w:rPr>
        <w:t xml:space="preserve"> z </w:t>
      </w:r>
      <w:r w:rsidRPr="00326E55">
        <w:rPr>
          <w:rFonts w:ascii="Times New Roman" w:eastAsia="Times New Roman" w:hAnsi="Times New Roman" w:cs="Times New Roman"/>
          <w:noProof/>
          <w:spacing w:val="-6"/>
          <w:lang w:val="sk-SK"/>
        </w:rPr>
        <w:t xml:space="preserve">programu Digitálna Európa. Konkrétne </w:t>
      </w:r>
      <w:r w:rsidRPr="00326E55">
        <w:rPr>
          <w:rFonts w:ascii="Times New Roman" w:eastAsia="Times New Roman" w:hAnsi="Times New Roman" w:cs="Times New Roman"/>
          <w:noProof/>
          <w:color w:val="000000" w:themeColor="text1"/>
          <w:spacing w:val="-6"/>
          <w:lang w:val="sk-SK"/>
        </w:rPr>
        <w:t xml:space="preserve">prevádzka 13 </w:t>
      </w:r>
      <w:r w:rsidRPr="00326E55">
        <w:rPr>
          <w:rFonts w:ascii="Times New Roman" w:eastAsia="Times New Roman" w:hAnsi="Times New Roman" w:cs="Times New Roman"/>
          <w:noProof/>
          <w:spacing w:val="-6"/>
          <w:lang w:val="sk-SK"/>
        </w:rPr>
        <w:t xml:space="preserve">európskych centier digitálnych inovácií </w:t>
      </w:r>
      <w:r w:rsidRPr="00326E55">
        <w:rPr>
          <w:rFonts w:ascii="Times New Roman" w:eastAsia="Times New Roman" w:hAnsi="Times New Roman" w:cs="Times New Roman"/>
          <w:noProof/>
          <w:color w:val="000000" w:themeColor="text1"/>
          <w:spacing w:val="-6"/>
          <w:lang w:val="sk-SK"/>
        </w:rPr>
        <w:t>financovaných</w:t>
      </w:r>
      <w:r w:rsidR="00326E55" w:rsidRPr="00326E55">
        <w:rPr>
          <w:rFonts w:ascii="Times New Roman" w:eastAsia="Times New Roman" w:hAnsi="Times New Roman" w:cs="Times New Roman"/>
          <w:noProof/>
          <w:color w:val="000000" w:themeColor="text1"/>
          <w:spacing w:val="-6"/>
          <w:lang w:val="sk-SK"/>
        </w:rPr>
        <w:t xml:space="preserve"> z </w:t>
      </w:r>
      <w:r w:rsidRPr="00326E55">
        <w:rPr>
          <w:rFonts w:ascii="Times New Roman" w:eastAsia="Times New Roman" w:hAnsi="Times New Roman" w:cs="Times New Roman"/>
          <w:noProof/>
          <w:color w:val="000000" w:themeColor="text1"/>
          <w:spacing w:val="-6"/>
          <w:lang w:val="sk-SK"/>
        </w:rPr>
        <w:t>Mechanizmu na podporu obnovy</w:t>
      </w:r>
      <w:r w:rsidR="00326E55" w:rsidRPr="00326E55">
        <w:rPr>
          <w:rFonts w:ascii="Times New Roman" w:eastAsia="Times New Roman" w:hAnsi="Times New Roman" w:cs="Times New Roman"/>
          <w:noProof/>
          <w:color w:val="000000" w:themeColor="text1"/>
          <w:spacing w:val="-6"/>
          <w:lang w:val="sk-SK"/>
        </w:rPr>
        <w:t xml:space="preserve"> a </w:t>
      </w:r>
      <w:r w:rsidRPr="00326E55">
        <w:rPr>
          <w:rFonts w:ascii="Times New Roman" w:eastAsia="Times New Roman" w:hAnsi="Times New Roman" w:cs="Times New Roman"/>
          <w:noProof/>
          <w:color w:val="000000" w:themeColor="text1"/>
          <w:spacing w:val="-6"/>
          <w:lang w:val="sk-SK"/>
        </w:rPr>
        <w:t>odolnosti</w:t>
      </w:r>
      <w:r w:rsidR="00326E55" w:rsidRPr="00326E55">
        <w:rPr>
          <w:rFonts w:ascii="Times New Roman" w:eastAsia="Times New Roman" w:hAnsi="Times New Roman" w:cs="Times New Roman"/>
          <w:noProof/>
          <w:color w:val="000000" w:themeColor="text1"/>
          <w:spacing w:val="-6"/>
          <w:lang w:val="sk-SK"/>
        </w:rPr>
        <w:t xml:space="preserve"> a </w:t>
      </w:r>
      <w:r w:rsidRPr="00326E55">
        <w:rPr>
          <w:rFonts w:ascii="Times New Roman" w:eastAsia="Times New Roman" w:hAnsi="Times New Roman" w:cs="Times New Roman"/>
          <w:noProof/>
          <w:color w:val="000000" w:themeColor="text1"/>
          <w:spacing w:val="-6"/>
          <w:lang w:val="sk-SK"/>
        </w:rPr>
        <w:t>programu Digitálna Európa bude štruktúrovaná do pracovných balíkov</w:t>
      </w:r>
      <w:r w:rsidRPr="00326E55">
        <w:rPr>
          <w:rStyle w:val="FootnoteReference"/>
          <w:rFonts w:ascii="Times New Roman" w:eastAsia="Times New Roman" w:hAnsi="Times New Roman" w:cs="Times New Roman"/>
          <w:noProof/>
          <w:color w:val="000000" w:themeColor="text1"/>
          <w:spacing w:val="-6"/>
          <w:lang w:val="sk-SK"/>
        </w:rPr>
        <w:footnoteReference w:id="81"/>
      </w:r>
      <w:r w:rsidRPr="00326E55">
        <w:rPr>
          <w:rFonts w:ascii="Times New Roman" w:eastAsia="Times New Roman" w:hAnsi="Times New Roman" w:cs="Times New Roman"/>
          <w:noProof/>
          <w:color w:val="000000" w:themeColor="text1"/>
          <w:spacing w:val="-6"/>
          <w:lang w:val="sk-SK"/>
        </w:rPr>
        <w:t>. Podpora</w:t>
      </w:r>
      <w:r w:rsidR="00326E55" w:rsidRPr="00326E55">
        <w:rPr>
          <w:rFonts w:ascii="Times New Roman" w:eastAsia="Times New Roman" w:hAnsi="Times New Roman" w:cs="Times New Roman"/>
          <w:noProof/>
          <w:color w:val="000000" w:themeColor="text1"/>
          <w:spacing w:val="-6"/>
          <w:lang w:val="sk-SK"/>
        </w:rPr>
        <w:t xml:space="preserve"> z </w:t>
      </w:r>
      <w:r w:rsidRPr="00326E55">
        <w:rPr>
          <w:rFonts w:ascii="Times New Roman" w:eastAsia="Times New Roman" w:hAnsi="Times New Roman" w:cs="Times New Roman"/>
          <w:noProof/>
          <w:color w:val="000000" w:themeColor="text1"/>
          <w:spacing w:val="-6"/>
          <w:lang w:val="sk-SK"/>
        </w:rPr>
        <w:t>Mechanizmu na podporu obnovy</w:t>
      </w:r>
      <w:r w:rsidR="00326E55" w:rsidRPr="00326E55">
        <w:rPr>
          <w:rFonts w:ascii="Times New Roman" w:eastAsia="Times New Roman" w:hAnsi="Times New Roman" w:cs="Times New Roman"/>
          <w:noProof/>
          <w:color w:val="000000" w:themeColor="text1"/>
          <w:spacing w:val="-6"/>
          <w:lang w:val="sk-SK"/>
        </w:rPr>
        <w:t xml:space="preserve"> a </w:t>
      </w:r>
      <w:r w:rsidRPr="00326E55">
        <w:rPr>
          <w:rFonts w:ascii="Times New Roman" w:eastAsia="Times New Roman" w:hAnsi="Times New Roman" w:cs="Times New Roman"/>
          <w:noProof/>
          <w:color w:val="000000" w:themeColor="text1"/>
          <w:spacing w:val="-6"/>
          <w:lang w:val="sk-SK"/>
        </w:rPr>
        <w:t>odolnosti sa netýka pracovných balíkov, na ktoré európske centrá digitálnych inovácií dostávajú podporu</w:t>
      </w:r>
      <w:r w:rsidR="00326E55" w:rsidRPr="00326E55">
        <w:rPr>
          <w:rFonts w:ascii="Times New Roman" w:eastAsia="Times New Roman" w:hAnsi="Times New Roman" w:cs="Times New Roman"/>
          <w:noProof/>
          <w:color w:val="000000" w:themeColor="text1"/>
          <w:spacing w:val="-6"/>
          <w:lang w:val="sk-SK"/>
        </w:rPr>
        <w:t xml:space="preserve"> v </w:t>
      </w:r>
      <w:r w:rsidRPr="00326E55">
        <w:rPr>
          <w:rFonts w:ascii="Times New Roman" w:eastAsia="Times New Roman" w:hAnsi="Times New Roman" w:cs="Times New Roman"/>
          <w:noProof/>
          <w:color w:val="000000" w:themeColor="text1"/>
          <w:spacing w:val="-6"/>
          <w:lang w:val="sk-SK"/>
        </w:rPr>
        <w:t>rámci programu Digitálna Európa. I</w:t>
      </w:r>
    </w:p>
    <w:p w14:paraId="6AA68C90" w14:textId="246C4CBD" w:rsidR="00BF03AA" w:rsidRPr="00326E55" w:rsidRDefault="00FB452D">
      <w:pPr>
        <w:pStyle w:val="P68B1DB1-Normal29"/>
        <w:spacing w:before="120" w:after="120" w:line="288" w:lineRule="auto"/>
        <w:jc w:val="both"/>
        <w:rPr>
          <w:bCs/>
          <w:noProof/>
          <w:spacing w:val="-6"/>
          <w:lang w:val="sk-SK"/>
        </w:rPr>
      </w:pPr>
      <w:r w:rsidRPr="00326E55">
        <w:rPr>
          <w:noProof/>
          <w:spacing w:val="-6"/>
          <w:lang w:val="sk-SK"/>
        </w:rPr>
        <w:t>Investícia 3.1: Výskumné</w:t>
      </w:r>
      <w:r w:rsidR="00326E55" w:rsidRPr="00326E55">
        <w:rPr>
          <w:noProof/>
          <w:spacing w:val="-6"/>
          <w:lang w:val="sk-SK"/>
        </w:rPr>
        <w:t xml:space="preserve"> a </w:t>
      </w:r>
      <w:r w:rsidRPr="00326E55">
        <w:rPr>
          <w:noProof/>
          <w:spacing w:val="-6"/>
          <w:lang w:val="sk-SK"/>
        </w:rPr>
        <w:t>inovačné infraštruktúry</w:t>
      </w:r>
    </w:p>
    <w:p w14:paraId="126B56F8" w14:textId="6F862395" w:rsidR="00BF03AA" w:rsidRPr="00326E55" w:rsidRDefault="00FB452D">
      <w:pPr>
        <w:pStyle w:val="P68B1DB1-Normal8"/>
        <w:spacing w:before="120" w:after="120"/>
        <w:jc w:val="both"/>
        <w:rPr>
          <w:noProof/>
          <w:spacing w:val="-6"/>
          <w:lang w:val="sk-SK"/>
        </w:rPr>
      </w:pPr>
      <w:r w:rsidRPr="00326E55">
        <w:rPr>
          <w:noProof/>
          <w:spacing w:val="-6"/>
          <w:lang w:val="sk-SK"/>
        </w:rPr>
        <w:t>Cieľom opatrenia je podporiť vytváranie výskumných</w:t>
      </w:r>
      <w:r w:rsidR="00326E55" w:rsidRPr="00326E55">
        <w:rPr>
          <w:noProof/>
          <w:spacing w:val="-6"/>
          <w:lang w:val="sk-SK"/>
        </w:rPr>
        <w:t xml:space="preserve"> a </w:t>
      </w:r>
      <w:r w:rsidRPr="00326E55">
        <w:rPr>
          <w:noProof/>
          <w:spacing w:val="-6"/>
          <w:lang w:val="sk-SK"/>
        </w:rPr>
        <w:t>inovačných infraštruktúr spájajúcich priemysel</w:t>
      </w:r>
      <w:r w:rsidR="00326E55" w:rsidRPr="00326E55">
        <w:rPr>
          <w:noProof/>
          <w:spacing w:val="-6"/>
          <w:lang w:val="sk-SK"/>
        </w:rPr>
        <w:t xml:space="preserve"> a </w:t>
      </w:r>
      <w:r w:rsidRPr="00326E55">
        <w:rPr>
          <w:noProof/>
          <w:spacing w:val="-6"/>
          <w:lang w:val="sk-SK"/>
        </w:rPr>
        <w:t xml:space="preserve">akademickú obec alebo podporiť existujúce infraštruktúry. </w:t>
      </w:r>
      <w:r w:rsidRPr="00326E55">
        <w:rPr>
          <w:noProof/>
          <w:spacing w:val="-6"/>
          <w:lang w:val="sk-SK"/>
        </w:rPr>
        <w:t>Investícia pozostáva</w:t>
      </w:r>
      <w:r w:rsidR="00326E55" w:rsidRPr="00326E55">
        <w:rPr>
          <w:noProof/>
          <w:spacing w:val="-6"/>
          <w:lang w:val="sk-SK"/>
        </w:rPr>
        <w:t xml:space="preserve"> z </w:t>
      </w:r>
      <w:r w:rsidRPr="00326E55">
        <w:rPr>
          <w:noProof/>
          <w:spacing w:val="-6"/>
          <w:lang w:val="sk-SK"/>
        </w:rPr>
        <w:t>financovania existujúcich alebo nových projektov infraštruktúry</w:t>
      </w:r>
      <w:r w:rsidR="00326E55" w:rsidRPr="00326E55">
        <w:rPr>
          <w:noProof/>
          <w:spacing w:val="-6"/>
          <w:lang w:val="sk-SK"/>
        </w:rPr>
        <w:t xml:space="preserve"> s </w:t>
      </w:r>
      <w:r w:rsidRPr="00326E55">
        <w:rPr>
          <w:noProof/>
          <w:spacing w:val="-6"/>
          <w:lang w:val="sk-SK"/>
        </w:rPr>
        <w:t>manažérom výskumu pre každú infraštruktúru.</w:t>
      </w:r>
    </w:p>
    <w:p w14:paraId="3AF415BA" w14:textId="77777777" w:rsidR="00BF03AA" w:rsidRPr="00326E55" w:rsidRDefault="00FB452D">
      <w:pPr>
        <w:pStyle w:val="P68B1DB1-Normal29"/>
        <w:spacing w:before="120" w:after="120" w:line="288" w:lineRule="auto"/>
        <w:jc w:val="both"/>
        <w:rPr>
          <w:noProof/>
          <w:spacing w:val="-6"/>
          <w:lang w:val="sk-SK"/>
        </w:rPr>
      </w:pPr>
      <w:r w:rsidRPr="00326E55">
        <w:rPr>
          <w:noProof/>
          <w:spacing w:val="-6"/>
          <w:lang w:val="sk-SK"/>
        </w:rPr>
        <w:t xml:space="preserve">Investícia 3.2: Kapitálová injekcia do Fondu na digitálnu transformáciu (ďalej len „DTF“), ktorý spravuje SGR rizikového </w:t>
      </w:r>
      <w:r w:rsidRPr="00326E55">
        <w:rPr>
          <w:noProof/>
          <w:spacing w:val="-6"/>
          <w:lang w:val="sk-SK"/>
        </w:rPr>
        <w:t>kapitálu CDP</w:t>
      </w:r>
    </w:p>
    <w:p w14:paraId="09FB3673" w14:textId="65EC631C" w:rsidR="00326E55" w:rsidRPr="00326E55" w:rsidRDefault="00FB452D">
      <w:pPr>
        <w:spacing w:line="240" w:lineRule="auto"/>
        <w:jc w:val="both"/>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spacing w:val="-6"/>
          <w:lang w:val="sk-SK"/>
        </w:rPr>
        <w:t>Cieľom tohto opatrenia je podporiť rastový potenciál talianskeho hospodárstva stimulovaním súkromných investícií, zlepšením prístupu začínajúcich podnikov</w:t>
      </w:r>
      <w:r w:rsidR="00326E55" w:rsidRPr="00326E55">
        <w:rPr>
          <w:rFonts w:ascii="Times New Roman" w:eastAsia="Times New Roman" w:hAnsi="Times New Roman" w:cs="Times New Roman"/>
          <w:noProof/>
          <w:spacing w:val="-6"/>
          <w:lang w:val="sk-SK"/>
        </w:rPr>
        <w:t xml:space="preserve"> k </w:t>
      </w:r>
      <w:r w:rsidRPr="00326E55">
        <w:rPr>
          <w:rFonts w:ascii="Times New Roman" w:eastAsia="Times New Roman" w:hAnsi="Times New Roman" w:cs="Times New Roman"/>
          <w:noProof/>
          <w:spacing w:val="-6"/>
          <w:lang w:val="sk-SK"/>
        </w:rPr>
        <w:t>financovaniu</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rozvojom trhu</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rizikovým kapitálom</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tomto sektore. Opatrenie pozostáv</w:t>
      </w:r>
      <w:r w:rsidRPr="00326E55">
        <w:rPr>
          <w:rFonts w:ascii="Times New Roman" w:eastAsia="Times New Roman" w:hAnsi="Times New Roman" w:cs="Times New Roman"/>
          <w:noProof/>
          <w:spacing w:val="-6"/>
          <w:lang w:val="sk-SK"/>
        </w:rPr>
        <w:t>a</w:t>
      </w:r>
      <w:r w:rsidR="00326E55" w:rsidRPr="00326E55">
        <w:rPr>
          <w:rFonts w:ascii="Times New Roman" w:eastAsia="Times New Roman" w:hAnsi="Times New Roman" w:cs="Times New Roman"/>
          <w:noProof/>
          <w:spacing w:val="-6"/>
          <w:lang w:val="sk-SK"/>
        </w:rPr>
        <w:t xml:space="preserve"> z </w:t>
      </w:r>
      <w:r w:rsidRPr="00326E55">
        <w:rPr>
          <w:rFonts w:ascii="Times New Roman" w:eastAsia="Times New Roman" w:hAnsi="Times New Roman" w:cs="Times New Roman"/>
          <w:noProof/>
          <w:spacing w:val="-6"/>
          <w:lang w:val="sk-SK"/>
        </w:rPr>
        <w:t>kapitálovej injekcie vo výške</w:t>
      </w:r>
      <w:r w:rsidRPr="00326E55">
        <w:rPr>
          <w:rFonts w:ascii="Times New Roman" w:hAnsi="Times New Roman"/>
          <w:noProof/>
          <w:color w:val="006100"/>
          <w:spacing w:val="-6"/>
          <w:sz w:val="20"/>
          <w:szCs w:val="20"/>
          <w:lang w:val="sk-SK"/>
        </w:rPr>
        <w:t xml:space="preserve">  </w:t>
      </w:r>
      <w:r w:rsidRPr="00326E55">
        <w:rPr>
          <w:rFonts w:ascii="Times New Roman" w:eastAsia="Times New Roman" w:hAnsi="Times New Roman" w:cs="Times New Roman"/>
          <w:noProof/>
          <w:spacing w:val="-6"/>
          <w:lang w:val="sk-SK"/>
        </w:rPr>
        <w:t>400000000 EUR do Fondu na digitálnu transformáciu (ďalej len „DTF“), ktorý spravuje SGR rizikového kapitálu CDP</w:t>
      </w:r>
      <w:r w:rsidR="00326E55" w:rsidRPr="00326E55">
        <w:rPr>
          <w:rFonts w:ascii="Times New Roman" w:eastAsia="Times New Roman" w:hAnsi="Times New Roman" w:cs="Times New Roman"/>
          <w:noProof/>
          <w:spacing w:val="-6"/>
          <w:lang w:val="sk-SK"/>
        </w:rPr>
        <w:t>.</w:t>
      </w:r>
    </w:p>
    <w:p w14:paraId="0DDE14E6" w14:textId="43F89EB7" w:rsidR="00BF03AA" w:rsidRPr="00326E55" w:rsidRDefault="00FB452D">
      <w:pPr>
        <w:pStyle w:val="P68B1DB1-LegalNumPar260"/>
        <w:numPr>
          <w:ilvl w:val="0"/>
          <w:numId w:val="0"/>
        </w:numPr>
        <w:spacing w:line="259" w:lineRule="auto"/>
        <w:jc w:val="both"/>
        <w:rPr>
          <w:noProof/>
          <w:spacing w:val="-6"/>
          <w:lang w:val="sk-SK"/>
        </w:rPr>
      </w:pPr>
      <w:r w:rsidRPr="00326E55">
        <w:rPr>
          <w:noProof/>
          <w:spacing w:val="-6"/>
          <w:lang w:val="sk-SK"/>
        </w:rPr>
        <w:t>SGR rizikového kapitálu CDP prijme investičnú politiku na používanie vlastného imania. Investičná politika z</w:t>
      </w:r>
      <w:r w:rsidRPr="00326E55">
        <w:rPr>
          <w:noProof/>
          <w:spacing w:val="-6"/>
          <w:lang w:val="sk-SK"/>
        </w:rPr>
        <w:t>ahŕňa opis finančného(-ých) produktu(-ov)</w:t>
      </w:r>
      <w:r w:rsidR="00326E55" w:rsidRPr="00326E55">
        <w:rPr>
          <w:noProof/>
          <w:spacing w:val="-6"/>
          <w:lang w:val="sk-SK"/>
        </w:rPr>
        <w:t xml:space="preserve"> s </w:t>
      </w:r>
      <w:r w:rsidRPr="00326E55">
        <w:rPr>
          <w:noProof/>
          <w:spacing w:val="-6"/>
          <w:lang w:val="sk-SK"/>
        </w:rPr>
        <w:t>očakávaným typom oprávnených konečných príjemcov, ktorých kapitál má podľa očakávaní podporovať, vrátane očakávaného harmonogramu implementácie 15 rokov</w:t>
      </w:r>
      <w:r w:rsidR="00326E55" w:rsidRPr="00326E55">
        <w:rPr>
          <w:noProof/>
          <w:spacing w:val="-6"/>
          <w:lang w:val="sk-SK"/>
        </w:rPr>
        <w:t xml:space="preserve"> a </w:t>
      </w:r>
      <w:r w:rsidRPr="00326E55">
        <w:rPr>
          <w:noProof/>
          <w:spacing w:val="-6"/>
          <w:lang w:val="sk-SK"/>
        </w:rPr>
        <w:t>poplatku za riadenie vo výške maximálne 13</w:t>
      </w:r>
      <w:r w:rsidR="00326E55" w:rsidRPr="00326E55">
        <w:rPr>
          <w:noProof/>
          <w:spacing w:val="-6"/>
          <w:lang w:val="sk-SK"/>
        </w:rPr>
        <w:t> %</w:t>
      </w:r>
      <w:r w:rsidRPr="00326E55">
        <w:rPr>
          <w:noProof/>
          <w:spacing w:val="-6"/>
          <w:lang w:val="sk-SK"/>
        </w:rPr>
        <w:t>.</w:t>
      </w:r>
      <w:r w:rsidRPr="00326E55">
        <w:rPr>
          <w:noProof/>
          <w:spacing w:val="-6"/>
          <w:lang w:val="sk-SK"/>
        </w:rPr>
        <w:footnoteReference w:id="82"/>
      </w:r>
      <w:r w:rsidRPr="00326E55">
        <w:rPr>
          <w:noProof/>
          <w:spacing w:val="-6"/>
          <w:lang w:val="sk-SK"/>
        </w:rPr>
        <w:t xml:space="preserve"> DTF funguj</w:t>
      </w:r>
      <w:r w:rsidRPr="00326E55">
        <w:rPr>
          <w:noProof/>
          <w:spacing w:val="-6"/>
          <w:lang w:val="sk-SK"/>
        </w:rPr>
        <w:t>e tak, že priamo alebo nepriamo poskytuje kapitálovú, kvázi kapitálovú, dlhovú alebo kvázi dlhovú podporu.</w:t>
      </w:r>
      <w:r w:rsidRPr="00326E55">
        <w:rPr>
          <w:noProof/>
          <w:spacing w:val="-6"/>
          <w:lang w:val="sk-SK"/>
        </w:rPr>
        <w:footnoteReference w:id="83"/>
      </w:r>
      <w:r w:rsidRPr="00326E55">
        <w:rPr>
          <w:noProof/>
          <w:spacing w:val="-6"/>
          <w:lang w:val="sk-SK"/>
        </w:rPr>
        <w:t xml:space="preserve"> SGR rizikového kapitálu CDP prijme systém auditu</w:t>
      </w:r>
      <w:r w:rsidR="00326E55" w:rsidRPr="00326E55">
        <w:rPr>
          <w:noProof/>
          <w:spacing w:val="-6"/>
          <w:lang w:val="sk-SK"/>
        </w:rPr>
        <w:t xml:space="preserve"> a </w:t>
      </w:r>
      <w:r w:rsidRPr="00326E55">
        <w:rPr>
          <w:noProof/>
          <w:spacing w:val="-6"/>
          <w:lang w:val="sk-SK"/>
        </w:rPr>
        <w:t>kontroly opísaný</w:t>
      </w:r>
      <w:r w:rsidR="00326E55" w:rsidRPr="00326E55">
        <w:rPr>
          <w:noProof/>
          <w:spacing w:val="-6"/>
          <w:lang w:val="sk-SK"/>
        </w:rPr>
        <w:t xml:space="preserve"> v </w:t>
      </w:r>
      <w:r w:rsidRPr="00326E55">
        <w:rPr>
          <w:noProof/>
          <w:spacing w:val="-6"/>
          <w:lang w:val="sk-SK"/>
        </w:rPr>
        <w:t>usmerneniach „Linee Guida per le attività di rendicontazione e controllo dei F</w:t>
      </w:r>
      <w:r w:rsidRPr="00326E55">
        <w:rPr>
          <w:noProof/>
          <w:spacing w:val="-6"/>
          <w:lang w:val="sk-SK"/>
        </w:rPr>
        <w:t>ondi DTF e GTF“ na použitie vlastného imania.</w:t>
      </w:r>
      <w:r w:rsidR="00326E55" w:rsidRPr="00326E55">
        <w:rPr>
          <w:noProof/>
          <w:spacing w:val="-6"/>
          <w:lang w:val="sk-SK"/>
        </w:rPr>
        <w:t xml:space="preserve"> V </w:t>
      </w:r>
      <w:r w:rsidRPr="00326E55">
        <w:rPr>
          <w:noProof/>
          <w:spacing w:val="-6"/>
          <w:lang w:val="sk-SK"/>
        </w:rPr>
        <w:t>investičnej politike sa vyžaduje, aby finančný(-é) produkt(-y), ktorý(-é) kapitálová podpora podporuje, bol(-i)</w:t>
      </w:r>
      <w:r w:rsidR="00326E55" w:rsidRPr="00326E55">
        <w:rPr>
          <w:noProof/>
          <w:spacing w:val="-6"/>
          <w:lang w:val="sk-SK"/>
        </w:rPr>
        <w:t xml:space="preserve"> v </w:t>
      </w:r>
      <w:r w:rsidRPr="00326E55">
        <w:rPr>
          <w:noProof/>
          <w:spacing w:val="-6"/>
          <w:lang w:val="sk-SK"/>
        </w:rPr>
        <w:t>súlade so zásadou „výrazne nenarušiť“ (DNSH), ako sa stanovuje</w:t>
      </w:r>
      <w:r w:rsidR="00326E55" w:rsidRPr="00326E55">
        <w:rPr>
          <w:noProof/>
          <w:spacing w:val="-6"/>
          <w:lang w:val="sk-SK"/>
        </w:rPr>
        <w:t xml:space="preserve"> v </w:t>
      </w:r>
      <w:r w:rsidRPr="00326E55">
        <w:rPr>
          <w:noProof/>
          <w:spacing w:val="-6"/>
          <w:lang w:val="sk-SK"/>
        </w:rPr>
        <w:t xml:space="preserve">technickom usmernení </w:t>
      </w:r>
      <w:r w:rsidRPr="00326E55">
        <w:rPr>
          <w:noProof/>
          <w:spacing w:val="-6"/>
          <w:lang w:val="sk-SK"/>
        </w:rPr>
        <w:t>týkajúcom sa zásady „výrazne nenarušiť“ (2021/C58/01). Najmä</w:t>
      </w:r>
      <w:r w:rsidR="00326E55" w:rsidRPr="00326E55">
        <w:rPr>
          <w:noProof/>
          <w:spacing w:val="-6"/>
          <w:lang w:val="sk-SK"/>
        </w:rPr>
        <w:t xml:space="preserve"> v </w:t>
      </w:r>
      <w:r w:rsidRPr="00326E55">
        <w:rPr>
          <w:noProof/>
          <w:spacing w:val="-6"/>
          <w:lang w:val="sk-SK"/>
        </w:rPr>
        <w:t>prípade všeobecnej podpory začínajúcim podnikom investičná politika vylučuje spoločnosti</w:t>
      </w:r>
      <w:r w:rsidR="00326E55" w:rsidRPr="00326E55">
        <w:rPr>
          <w:noProof/>
          <w:spacing w:val="-6"/>
          <w:lang w:val="sk-SK"/>
        </w:rPr>
        <w:t xml:space="preserve"> s </w:t>
      </w:r>
      <w:r w:rsidRPr="00326E55">
        <w:rPr>
          <w:noProof/>
          <w:spacing w:val="-6"/>
          <w:lang w:val="sk-SK"/>
        </w:rPr>
        <w:t>podstatným zameraním</w:t>
      </w:r>
      <w:r w:rsidRPr="00326E55">
        <w:rPr>
          <w:noProof/>
          <w:spacing w:val="-6"/>
          <w:lang w:val="sk-SK"/>
        </w:rPr>
        <w:footnoteReference w:id="84"/>
      </w:r>
      <w:r w:rsidR="00326E55" w:rsidRPr="00326E55">
        <w:rPr>
          <w:noProof/>
          <w:spacing w:val="-6"/>
          <w:lang w:val="sk-SK"/>
        </w:rPr>
        <w:t xml:space="preserve"> v </w:t>
      </w:r>
      <w:r w:rsidRPr="00326E55">
        <w:rPr>
          <w:noProof/>
          <w:spacing w:val="-6"/>
          <w:lang w:val="sk-SK"/>
        </w:rPr>
        <w:t>týchto odvetviach: I) výroba energie</w:t>
      </w:r>
      <w:r w:rsidR="00326E55" w:rsidRPr="00326E55">
        <w:rPr>
          <w:noProof/>
          <w:spacing w:val="-6"/>
          <w:lang w:val="sk-SK"/>
        </w:rPr>
        <w:t xml:space="preserve"> z </w:t>
      </w:r>
      <w:r w:rsidRPr="00326E55">
        <w:rPr>
          <w:noProof/>
          <w:spacing w:val="-6"/>
          <w:lang w:val="sk-SK"/>
        </w:rPr>
        <w:t>fosílnych palív</w:t>
      </w:r>
      <w:r w:rsidR="00326E55" w:rsidRPr="00326E55">
        <w:rPr>
          <w:noProof/>
          <w:spacing w:val="-6"/>
          <w:lang w:val="sk-SK"/>
        </w:rPr>
        <w:t xml:space="preserve"> a </w:t>
      </w:r>
      <w:r w:rsidRPr="00326E55">
        <w:rPr>
          <w:noProof/>
          <w:spacing w:val="-6"/>
          <w:lang w:val="sk-SK"/>
        </w:rPr>
        <w:t>súvisiace činnosti</w:t>
      </w:r>
      <w:r w:rsidRPr="00326E55">
        <w:rPr>
          <w:noProof/>
          <w:spacing w:val="-6"/>
          <w:lang w:val="sk-SK"/>
        </w:rPr>
        <w:footnoteReference w:id="85"/>
      </w:r>
      <w:r w:rsidRPr="00326E55">
        <w:rPr>
          <w:noProof/>
          <w:spacing w:val="-6"/>
          <w:lang w:val="sk-SK"/>
        </w:rPr>
        <w:t xml:space="preserve">; </w:t>
      </w:r>
      <w:r w:rsidRPr="00326E55">
        <w:rPr>
          <w:noProof/>
          <w:spacing w:val="-6"/>
          <w:lang w:val="sk-SK"/>
        </w:rPr>
        <w:t>II) energeticky náročné odvetvia a/alebo odvetvia</w:t>
      </w:r>
      <w:r w:rsidR="00326E55" w:rsidRPr="00326E55">
        <w:rPr>
          <w:noProof/>
          <w:spacing w:val="-6"/>
          <w:lang w:val="sk-SK"/>
        </w:rPr>
        <w:t xml:space="preserve"> s </w:t>
      </w:r>
      <w:r w:rsidRPr="00326E55">
        <w:rPr>
          <w:noProof/>
          <w:spacing w:val="-6"/>
          <w:lang w:val="sk-SK"/>
        </w:rPr>
        <w:t>vysokými emisiami CO2</w:t>
      </w:r>
      <w:r w:rsidRPr="00326E55">
        <w:rPr>
          <w:noProof/>
          <w:spacing w:val="-6"/>
          <w:lang w:val="sk-SK"/>
        </w:rPr>
        <w:footnoteReference w:id="86"/>
      </w:r>
      <w:r w:rsidRPr="00326E55">
        <w:rPr>
          <w:noProof/>
          <w:spacing w:val="-6"/>
          <w:lang w:val="sk-SK"/>
        </w:rPr>
        <w:t>; III) výroba, prenájom alebo predaj znečisťujúcich vozidiel</w:t>
      </w:r>
      <w:r w:rsidRPr="00326E55">
        <w:rPr>
          <w:noProof/>
          <w:spacing w:val="-6"/>
          <w:lang w:val="sk-SK"/>
        </w:rPr>
        <w:footnoteReference w:id="87"/>
      </w:r>
      <w:r w:rsidRPr="00326E55">
        <w:rPr>
          <w:noProof/>
          <w:spacing w:val="-6"/>
          <w:lang w:val="sk-SK"/>
        </w:rPr>
        <w:t>; IV) zber odpadu, spracovanie</w:t>
      </w:r>
      <w:r w:rsidR="00326E55" w:rsidRPr="00326E55">
        <w:rPr>
          <w:noProof/>
          <w:spacing w:val="-6"/>
          <w:lang w:val="sk-SK"/>
        </w:rPr>
        <w:t xml:space="preserve"> a </w:t>
      </w:r>
      <w:r w:rsidRPr="00326E55">
        <w:rPr>
          <w:noProof/>
          <w:spacing w:val="-6"/>
          <w:lang w:val="sk-SK"/>
        </w:rPr>
        <w:t>zneškodňovanie</w:t>
      </w:r>
      <w:r w:rsidRPr="00326E55">
        <w:rPr>
          <w:noProof/>
          <w:spacing w:val="-6"/>
          <w:lang w:val="sk-SK"/>
        </w:rPr>
        <w:footnoteReference w:id="88"/>
      </w:r>
      <w:r w:rsidRPr="00326E55">
        <w:rPr>
          <w:noProof/>
          <w:spacing w:val="-6"/>
          <w:lang w:val="sk-SK"/>
        </w:rPr>
        <w:t>odpadu, v) spracovanie jadrového paliva, výroba jadrovej energie. Investi</w:t>
      </w:r>
      <w:r w:rsidRPr="00326E55">
        <w:rPr>
          <w:noProof/>
          <w:spacing w:val="-6"/>
          <w:lang w:val="sk-SK"/>
        </w:rPr>
        <w:t>čná politika si okrem toho vyžaduje súlad</w:t>
      </w:r>
      <w:r w:rsidR="00326E55" w:rsidRPr="00326E55">
        <w:rPr>
          <w:noProof/>
          <w:spacing w:val="-6"/>
          <w:lang w:val="sk-SK"/>
        </w:rPr>
        <w:t xml:space="preserve"> s </w:t>
      </w:r>
      <w:r w:rsidRPr="00326E55">
        <w:rPr>
          <w:noProof/>
          <w:spacing w:val="-6"/>
          <w:lang w:val="sk-SK"/>
        </w:rPr>
        <w:t>príslušnými právnymi predpismi EÚ</w:t>
      </w:r>
      <w:r w:rsidR="00326E55" w:rsidRPr="00326E55">
        <w:rPr>
          <w:noProof/>
          <w:spacing w:val="-6"/>
          <w:lang w:val="sk-SK"/>
        </w:rPr>
        <w:t xml:space="preserve"> a </w:t>
      </w:r>
      <w:r w:rsidRPr="00326E55">
        <w:rPr>
          <w:noProof/>
          <w:spacing w:val="-6"/>
          <w:lang w:val="sk-SK"/>
        </w:rPr>
        <w:t>vnútroštátnymi právnymi predpismi</w:t>
      </w:r>
      <w:r w:rsidR="00326E55" w:rsidRPr="00326E55">
        <w:rPr>
          <w:noProof/>
          <w:spacing w:val="-6"/>
          <w:lang w:val="sk-SK"/>
        </w:rPr>
        <w:t xml:space="preserve"> v </w:t>
      </w:r>
      <w:r w:rsidRPr="00326E55">
        <w:rPr>
          <w:noProof/>
          <w:spacing w:val="-6"/>
          <w:lang w:val="sk-SK"/>
        </w:rPr>
        <w:t>oblasti životného prostredia.</w:t>
      </w:r>
    </w:p>
    <w:p w14:paraId="429165A3" w14:textId="4B4489C3" w:rsidR="00BF03AA" w:rsidRPr="00326E55" w:rsidRDefault="00BF03AA">
      <w:pPr>
        <w:pStyle w:val="LegalNumPar2"/>
        <w:numPr>
          <w:ilvl w:val="0"/>
          <w:numId w:val="0"/>
        </w:numPr>
        <w:spacing w:line="259" w:lineRule="auto"/>
        <w:jc w:val="both"/>
        <w:rPr>
          <w:rFonts w:ascii="Times New Roman" w:hAnsi="Times New Roman" w:cs="Times New Roman"/>
          <w:noProof/>
          <w:spacing w:val="-6"/>
          <w:lang w:val="sk-SK"/>
        </w:rPr>
        <w:sectPr w:rsidR="00BF03AA" w:rsidRPr="00326E55" w:rsidSect="005F11B9">
          <w:headerReference w:type="even" r:id="rId204"/>
          <w:headerReference w:type="default" r:id="rId205"/>
          <w:footerReference w:type="even" r:id="rId206"/>
          <w:footerReference w:type="default" r:id="rId207"/>
          <w:headerReference w:type="first" r:id="rId208"/>
          <w:footerReference w:type="first" r:id="rId209"/>
          <w:pgSz w:w="11907" w:h="16839"/>
          <w:pgMar w:top="1440" w:right="1440" w:bottom="1440" w:left="1440" w:header="567" w:footer="567" w:gutter="0"/>
          <w:cols w:space="720"/>
          <w:docGrid w:linePitch="360"/>
        </w:sectPr>
      </w:pPr>
    </w:p>
    <w:p w14:paraId="5EF4F01C" w14:textId="1815FC85" w:rsidR="00BF03AA" w:rsidRPr="00326E55" w:rsidRDefault="00FB452D">
      <w:pPr>
        <w:pStyle w:val="P68B1DB1-Heading368"/>
        <w:ind w:left="850" w:hanging="850"/>
        <w:rPr>
          <w:noProof/>
          <w:spacing w:val="-6"/>
          <w:lang w:val="sk-SK"/>
        </w:rPr>
      </w:pPr>
      <w:r w:rsidRPr="00326E55">
        <w:rPr>
          <w:noProof/>
          <w:spacing w:val="-6"/>
          <w:lang w:val="sk-SK"/>
        </w:rPr>
        <w:t xml:space="preserve">K.4. </w:t>
      </w:r>
      <w:r w:rsidRPr="00326E55">
        <w:rPr>
          <w:noProof/>
          <w:spacing w:val="-6"/>
          <w:lang w:val="sk-SK"/>
        </w:rPr>
        <w:tab/>
        <w:t>Míľniky, ciele, ukazovatele</w:t>
      </w:r>
      <w:r w:rsidR="00326E55" w:rsidRPr="00326E55">
        <w:rPr>
          <w:noProof/>
          <w:spacing w:val="-6"/>
          <w:lang w:val="sk-SK"/>
        </w:rPr>
        <w:t xml:space="preserve"> a </w:t>
      </w:r>
      <w:r w:rsidRPr="00326E55">
        <w:rPr>
          <w:noProof/>
          <w:spacing w:val="-6"/>
          <w:lang w:val="sk-SK"/>
        </w:rPr>
        <w:t>harmonogram monitorov</w:t>
      </w:r>
      <w:r w:rsidRPr="00326E55">
        <w:rPr>
          <w:noProof/>
          <w:spacing w:val="-6"/>
          <w:lang w:val="sk-SK"/>
        </w:rPr>
        <w:t>ania</w:t>
      </w:r>
      <w:r w:rsidR="00326E55" w:rsidRPr="00326E55">
        <w:rPr>
          <w:noProof/>
          <w:spacing w:val="-6"/>
          <w:lang w:val="sk-SK"/>
        </w:rPr>
        <w:t xml:space="preserve"> a </w:t>
      </w:r>
      <w:r w:rsidRPr="00326E55">
        <w:rPr>
          <w:noProof/>
          <w:spacing w:val="-6"/>
          <w:lang w:val="sk-SK"/>
        </w:rPr>
        <w:t>realizácie</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 xml:space="preserve">úverom </w:t>
      </w:r>
    </w:p>
    <w:tbl>
      <w:tblPr>
        <w:tblW w:w="543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395"/>
        <w:gridCol w:w="1486"/>
        <w:gridCol w:w="1441"/>
        <w:gridCol w:w="1584"/>
        <w:gridCol w:w="1297"/>
        <w:gridCol w:w="1152"/>
        <w:gridCol w:w="1296"/>
        <w:gridCol w:w="1009"/>
        <w:gridCol w:w="861"/>
        <w:gridCol w:w="2452"/>
      </w:tblGrid>
      <w:tr w:rsidR="00BF03AA" w:rsidRPr="00326E55" w14:paraId="3A961C41" w14:textId="77777777">
        <w:trPr>
          <w:trHeight w:val="939"/>
          <w:tblHeader/>
        </w:trPr>
        <w:tc>
          <w:tcPr>
            <w:tcW w:w="1441" w:type="dxa"/>
            <w:vMerge w:val="restart"/>
            <w:shd w:val="clear" w:color="auto" w:fill="BDD7EE"/>
            <w:vAlign w:val="center"/>
            <w:hideMark/>
          </w:tcPr>
          <w:p w14:paraId="75AC507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395" w:type="dxa"/>
            <w:vMerge w:val="restart"/>
            <w:shd w:val="clear" w:color="auto" w:fill="BDD7EE"/>
            <w:vAlign w:val="center"/>
            <w:hideMark/>
          </w:tcPr>
          <w:p w14:paraId="6E97CD7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486" w:type="dxa"/>
            <w:vMerge w:val="restart"/>
            <w:shd w:val="clear" w:color="auto" w:fill="BDD7EE"/>
            <w:vAlign w:val="center"/>
            <w:hideMark/>
          </w:tcPr>
          <w:p w14:paraId="50B1CE7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441" w:type="dxa"/>
            <w:vMerge w:val="restart"/>
            <w:shd w:val="clear" w:color="auto" w:fill="BDD7EE"/>
            <w:vAlign w:val="center"/>
            <w:hideMark/>
          </w:tcPr>
          <w:p w14:paraId="504A26F5"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584" w:type="dxa"/>
            <w:vMerge w:val="restart"/>
            <w:shd w:val="clear" w:color="auto" w:fill="BDD7EE"/>
            <w:vAlign w:val="center"/>
            <w:hideMark/>
          </w:tcPr>
          <w:p w14:paraId="47C577A5"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745" w:type="dxa"/>
            <w:gridSpan w:val="3"/>
            <w:shd w:val="clear" w:color="auto" w:fill="BDD7EE"/>
            <w:vAlign w:val="center"/>
            <w:hideMark/>
          </w:tcPr>
          <w:p w14:paraId="7D8BCB55"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870" w:type="dxa"/>
            <w:gridSpan w:val="2"/>
            <w:shd w:val="clear" w:color="auto" w:fill="BDD7EE"/>
            <w:vAlign w:val="center"/>
            <w:hideMark/>
          </w:tcPr>
          <w:p w14:paraId="77046646"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2452" w:type="dxa"/>
            <w:vMerge w:val="restart"/>
            <w:shd w:val="clear" w:color="auto" w:fill="BDD7EE"/>
            <w:vAlign w:val="center"/>
            <w:hideMark/>
          </w:tcPr>
          <w:p w14:paraId="7ED488EE" w14:textId="78A77A7B"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 xml:space="preserve">Opis každého </w:t>
            </w:r>
            <w:r w:rsidRPr="00326E55">
              <w:rPr>
                <w:rFonts w:ascii="Times New Roman" w:hAnsi="Times New Roman"/>
                <w:noProof/>
                <w:spacing w:val="-6"/>
                <w:lang w:val="sk-SK"/>
              </w:rPr>
              <w:t>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75BD3359" w14:textId="77777777">
        <w:trPr>
          <w:trHeight w:val="741"/>
          <w:tblHeader/>
        </w:trPr>
        <w:tc>
          <w:tcPr>
            <w:tcW w:w="1441" w:type="dxa"/>
            <w:vMerge/>
            <w:vAlign w:val="center"/>
            <w:hideMark/>
          </w:tcPr>
          <w:p w14:paraId="2BC6C4F4" w14:textId="77777777" w:rsidR="00BF03AA" w:rsidRPr="00326E55" w:rsidRDefault="00BF03AA">
            <w:pPr>
              <w:jc w:val="center"/>
              <w:rPr>
                <w:rFonts w:ascii="Times New Roman" w:hAnsi="Times New Roman"/>
                <w:b/>
                <w:noProof/>
                <w:spacing w:val="-6"/>
                <w:sz w:val="20"/>
                <w:szCs w:val="20"/>
                <w:lang w:val="sk-SK"/>
              </w:rPr>
            </w:pPr>
          </w:p>
        </w:tc>
        <w:tc>
          <w:tcPr>
            <w:tcW w:w="1395" w:type="dxa"/>
            <w:vMerge/>
            <w:vAlign w:val="center"/>
            <w:hideMark/>
          </w:tcPr>
          <w:p w14:paraId="037E883B" w14:textId="77777777" w:rsidR="00BF03AA" w:rsidRPr="00326E55" w:rsidRDefault="00BF03AA">
            <w:pPr>
              <w:jc w:val="center"/>
              <w:rPr>
                <w:rFonts w:ascii="Times New Roman" w:hAnsi="Times New Roman"/>
                <w:b/>
                <w:noProof/>
                <w:spacing w:val="-6"/>
                <w:sz w:val="20"/>
                <w:szCs w:val="20"/>
                <w:lang w:val="sk-SK"/>
              </w:rPr>
            </w:pPr>
          </w:p>
        </w:tc>
        <w:tc>
          <w:tcPr>
            <w:tcW w:w="1486" w:type="dxa"/>
            <w:vMerge/>
            <w:vAlign w:val="center"/>
            <w:hideMark/>
          </w:tcPr>
          <w:p w14:paraId="283CECC4" w14:textId="77777777" w:rsidR="00BF03AA" w:rsidRPr="00326E55" w:rsidRDefault="00BF03AA">
            <w:pPr>
              <w:jc w:val="center"/>
              <w:rPr>
                <w:rFonts w:ascii="Times New Roman" w:hAnsi="Times New Roman"/>
                <w:b/>
                <w:noProof/>
                <w:spacing w:val="-6"/>
                <w:sz w:val="20"/>
                <w:szCs w:val="20"/>
                <w:lang w:val="sk-SK"/>
              </w:rPr>
            </w:pPr>
          </w:p>
        </w:tc>
        <w:tc>
          <w:tcPr>
            <w:tcW w:w="1441" w:type="dxa"/>
            <w:vMerge/>
            <w:vAlign w:val="center"/>
            <w:hideMark/>
          </w:tcPr>
          <w:p w14:paraId="4453F0EC" w14:textId="77777777" w:rsidR="00BF03AA" w:rsidRPr="00326E55" w:rsidRDefault="00BF03AA">
            <w:pPr>
              <w:jc w:val="center"/>
              <w:rPr>
                <w:rFonts w:ascii="Times New Roman" w:hAnsi="Times New Roman"/>
                <w:b/>
                <w:noProof/>
                <w:spacing w:val="-6"/>
                <w:sz w:val="20"/>
                <w:szCs w:val="20"/>
                <w:lang w:val="sk-SK"/>
              </w:rPr>
            </w:pPr>
          </w:p>
        </w:tc>
        <w:tc>
          <w:tcPr>
            <w:tcW w:w="1584" w:type="dxa"/>
            <w:vMerge/>
            <w:vAlign w:val="center"/>
            <w:hideMark/>
          </w:tcPr>
          <w:p w14:paraId="634E5FC7" w14:textId="77777777" w:rsidR="00BF03AA" w:rsidRPr="00326E55" w:rsidRDefault="00BF03AA">
            <w:pPr>
              <w:jc w:val="center"/>
              <w:rPr>
                <w:rFonts w:ascii="Times New Roman" w:hAnsi="Times New Roman"/>
                <w:b/>
                <w:noProof/>
                <w:spacing w:val="-6"/>
                <w:sz w:val="20"/>
                <w:szCs w:val="20"/>
                <w:lang w:val="sk-SK"/>
              </w:rPr>
            </w:pPr>
          </w:p>
        </w:tc>
        <w:tc>
          <w:tcPr>
            <w:tcW w:w="1297" w:type="dxa"/>
            <w:shd w:val="clear" w:color="auto" w:fill="BDD7EE"/>
            <w:vAlign w:val="center"/>
            <w:hideMark/>
          </w:tcPr>
          <w:p w14:paraId="50BD5186"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152" w:type="dxa"/>
            <w:shd w:val="clear" w:color="auto" w:fill="BDD7EE"/>
            <w:vAlign w:val="center"/>
            <w:hideMark/>
          </w:tcPr>
          <w:p w14:paraId="09ED61A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1296" w:type="dxa"/>
            <w:shd w:val="clear" w:color="auto" w:fill="BDD7EE"/>
            <w:vAlign w:val="center"/>
            <w:hideMark/>
          </w:tcPr>
          <w:p w14:paraId="72C8846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009" w:type="dxa"/>
            <w:shd w:val="clear" w:color="auto" w:fill="BDD7EE"/>
            <w:vAlign w:val="center"/>
            <w:hideMark/>
          </w:tcPr>
          <w:p w14:paraId="118B8456"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861" w:type="dxa"/>
            <w:shd w:val="clear" w:color="auto" w:fill="BDD7EE"/>
            <w:vAlign w:val="center"/>
            <w:hideMark/>
          </w:tcPr>
          <w:p w14:paraId="30609DE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452" w:type="dxa"/>
            <w:vMerge/>
            <w:vAlign w:val="center"/>
            <w:hideMark/>
          </w:tcPr>
          <w:p w14:paraId="05966569" w14:textId="77777777" w:rsidR="00BF03AA" w:rsidRPr="00326E55" w:rsidRDefault="00BF03AA">
            <w:pPr>
              <w:rPr>
                <w:rFonts w:ascii="Times New Roman" w:hAnsi="Times New Roman"/>
                <w:b/>
                <w:noProof/>
                <w:spacing w:val="-6"/>
                <w:sz w:val="20"/>
                <w:szCs w:val="20"/>
                <w:lang w:val="sk-SK"/>
              </w:rPr>
            </w:pPr>
          </w:p>
        </w:tc>
      </w:tr>
      <w:tr w:rsidR="00BF03AA" w:rsidRPr="00326E55" w14:paraId="162B57E2" w14:textId="77777777">
        <w:trPr>
          <w:trHeight w:val="1740"/>
        </w:trPr>
        <w:tc>
          <w:tcPr>
            <w:tcW w:w="1441" w:type="dxa"/>
            <w:shd w:val="clear" w:color="auto" w:fill="C6EFCE"/>
            <w:noWrap/>
            <w:vAlign w:val="center"/>
            <w:hideMark/>
          </w:tcPr>
          <w:p w14:paraId="7667E51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5</w:t>
            </w:r>
          </w:p>
          <w:p w14:paraId="0ACCF562" w14:textId="77777777" w:rsidR="00BF03AA" w:rsidRPr="00326E55" w:rsidRDefault="00BF03AA">
            <w:pPr>
              <w:jc w:val="center"/>
              <w:rPr>
                <w:rFonts w:ascii="Times New Roman" w:hAnsi="Times New Roman"/>
                <w:noProof/>
                <w:color w:val="006100"/>
                <w:spacing w:val="-6"/>
                <w:sz w:val="20"/>
                <w:szCs w:val="20"/>
                <w:lang w:val="sk-SK"/>
              </w:rPr>
            </w:pPr>
          </w:p>
        </w:tc>
        <w:tc>
          <w:tcPr>
            <w:tcW w:w="1395" w:type="dxa"/>
            <w:shd w:val="clear" w:color="auto" w:fill="C6EFCE"/>
            <w:noWrap/>
            <w:vAlign w:val="center"/>
          </w:tcPr>
          <w:p w14:paraId="73EE697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Výskumné projekty významného národného záujmu (PRIN)</w:t>
            </w:r>
          </w:p>
        </w:tc>
        <w:tc>
          <w:tcPr>
            <w:tcW w:w="1486" w:type="dxa"/>
            <w:shd w:val="clear" w:color="auto" w:fill="C6EFCE"/>
            <w:noWrap/>
            <w:vAlign w:val="center"/>
            <w:hideMark/>
          </w:tcPr>
          <w:p w14:paraId="1C511BA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41" w:type="dxa"/>
            <w:shd w:val="clear" w:color="auto" w:fill="C6EFCE"/>
            <w:noWrap/>
            <w:vAlign w:val="center"/>
          </w:tcPr>
          <w:p w14:paraId="6E9DACD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udelených výskumných projektov</w:t>
            </w:r>
          </w:p>
        </w:tc>
        <w:tc>
          <w:tcPr>
            <w:tcW w:w="1584" w:type="dxa"/>
            <w:shd w:val="clear" w:color="auto" w:fill="C6EFCE"/>
            <w:noWrap/>
            <w:vAlign w:val="center"/>
            <w:hideMark/>
          </w:tcPr>
          <w:p w14:paraId="31FD1E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7" w:type="dxa"/>
            <w:shd w:val="clear" w:color="auto" w:fill="C6EFCE"/>
            <w:noWrap/>
            <w:vAlign w:val="center"/>
            <w:hideMark/>
          </w:tcPr>
          <w:p w14:paraId="5681758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2" w:type="dxa"/>
            <w:shd w:val="clear" w:color="auto" w:fill="C6EFCE"/>
            <w:noWrap/>
            <w:vAlign w:val="center"/>
          </w:tcPr>
          <w:p w14:paraId="3F867CE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296" w:type="dxa"/>
            <w:shd w:val="clear" w:color="auto" w:fill="C6EFCE"/>
            <w:noWrap/>
            <w:vAlign w:val="center"/>
          </w:tcPr>
          <w:p w14:paraId="25739BD7"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3</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150</w:t>
            </w:r>
          </w:p>
        </w:tc>
        <w:tc>
          <w:tcPr>
            <w:tcW w:w="1009" w:type="dxa"/>
            <w:shd w:val="clear" w:color="auto" w:fill="C6EFCE"/>
            <w:noWrap/>
            <w:vAlign w:val="center"/>
            <w:hideMark/>
          </w:tcPr>
          <w:p w14:paraId="5F2E57B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61" w:type="dxa"/>
            <w:shd w:val="clear" w:color="auto" w:fill="C6EFCE"/>
            <w:noWrap/>
            <w:vAlign w:val="center"/>
            <w:hideMark/>
          </w:tcPr>
          <w:p w14:paraId="0FE8657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452" w:type="dxa"/>
            <w:shd w:val="clear" w:color="auto" w:fill="C6EFCE"/>
            <w:noWrap/>
            <w:vAlign w:val="center"/>
            <w:hideMark/>
          </w:tcPr>
          <w:p w14:paraId="2B965960" w14:textId="77777777" w:rsidR="00326E55" w:rsidRPr="00326E55" w:rsidRDefault="00FB452D">
            <w:pPr>
              <w:rPr>
                <w:rFonts w:ascii="Times New Roman" w:hAnsi="Times New Roman"/>
                <w:noProof/>
                <w:color w:val="006100"/>
                <w:spacing w:val="-6"/>
                <w:sz w:val="20"/>
                <w:lang w:val="sk-SK"/>
              </w:rPr>
            </w:pPr>
            <w:r w:rsidRPr="00326E55">
              <w:rPr>
                <w:rFonts w:ascii="Times New Roman" w:hAnsi="Times New Roman"/>
                <w:noProof/>
                <w:color w:val="006100"/>
                <w:spacing w:val="-6"/>
                <w:sz w:val="20"/>
                <w:lang w:val="sk-SK"/>
              </w:rPr>
              <w:t xml:space="preserve">Ocenenie najmenej 3150 </w:t>
            </w:r>
            <w:r w:rsidRPr="00326E55">
              <w:rPr>
                <w:rFonts w:ascii="Times New Roman" w:hAnsi="Times New Roman"/>
                <w:noProof/>
                <w:color w:val="006100"/>
                <w:spacing w:val="-6"/>
                <w:sz w:val="20"/>
                <w:lang w:val="sk-SK"/>
              </w:rPr>
              <w:t>výskumných</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 xml:space="preserve">projektov </w:t>
            </w:r>
            <w:r w:rsidRPr="00326E55">
              <w:rPr>
                <w:rFonts w:ascii="Times New Roman" w:hAnsi="Times New Roman"/>
                <w:i/>
                <w:noProof/>
                <w:color w:val="006100"/>
                <w:spacing w:val="-6"/>
                <w:sz w:val="20"/>
                <w:lang w:val="sk-SK"/>
              </w:rPr>
              <w:t>Progetti di Ricerca di Interesse Nazionale</w:t>
            </w:r>
            <w:r w:rsidR="00326E55" w:rsidRPr="00326E55">
              <w:rPr>
                <w:rFonts w:ascii="Times New Roman" w:hAnsi="Times New Roman"/>
                <w:noProof/>
                <w:color w:val="006100"/>
                <w:spacing w:val="-6"/>
                <w:sz w:val="20"/>
                <w:lang w:val="sk-SK"/>
              </w:rPr>
              <w:t>.</w:t>
            </w:r>
          </w:p>
          <w:p w14:paraId="179DA764" w14:textId="1BD14B9F"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Zadávanie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 sa uskutočňuje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zásade „výrazne nenarušiť“ (2021/C58/01) </w:t>
            </w:r>
            <w:r w:rsidRPr="00326E55">
              <w:rPr>
                <w:rFonts w:ascii="Times New Roman" w:hAnsi="Times New Roman"/>
                <w:noProof/>
                <w:spacing w:val="-6"/>
                <w:lang w:val="sk-SK"/>
              </w:rPr>
              <w:t>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68B079C8" w14:textId="77777777">
        <w:trPr>
          <w:trHeight w:val="313"/>
        </w:trPr>
        <w:tc>
          <w:tcPr>
            <w:tcW w:w="1441" w:type="dxa"/>
            <w:shd w:val="clear" w:color="auto" w:fill="C6EFCE"/>
            <w:noWrap/>
            <w:vAlign w:val="center"/>
            <w:hideMark/>
          </w:tcPr>
          <w:p w14:paraId="17D7478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M4C2 – 6</w:t>
            </w:r>
          </w:p>
        </w:tc>
        <w:tc>
          <w:tcPr>
            <w:tcW w:w="1395" w:type="dxa"/>
            <w:shd w:val="clear" w:color="auto" w:fill="C6EFCE"/>
            <w:noWrap/>
            <w:vAlign w:val="center"/>
          </w:tcPr>
          <w:p w14:paraId="38E0CCE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Výskumné projekty významného národného záujmu (PRIN)</w:t>
            </w:r>
          </w:p>
        </w:tc>
        <w:tc>
          <w:tcPr>
            <w:tcW w:w="1486" w:type="dxa"/>
            <w:shd w:val="clear" w:color="auto" w:fill="C6EFCE"/>
            <w:noWrap/>
            <w:vAlign w:val="center"/>
            <w:hideMark/>
          </w:tcPr>
          <w:p w14:paraId="2320B9B8" w14:textId="1C35D0AE"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41" w:type="dxa"/>
            <w:shd w:val="clear" w:color="auto" w:fill="C6EFCE"/>
            <w:noWrap/>
            <w:vAlign w:val="center"/>
          </w:tcPr>
          <w:p w14:paraId="3981837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Uverejnenie dekrétu (vyhlášok), ktorým sa udeľujú projekty </w:t>
            </w:r>
          </w:p>
        </w:tc>
        <w:tc>
          <w:tcPr>
            <w:tcW w:w="1584" w:type="dxa"/>
            <w:shd w:val="clear" w:color="auto" w:fill="C6EFCE"/>
            <w:noWrap/>
            <w:vAlign w:val="center"/>
            <w:hideMark/>
          </w:tcPr>
          <w:p w14:paraId="389E1C5D" w14:textId="579361C6"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Uverejnenie vyhlášky (vyhlášok)</w:t>
            </w:r>
          </w:p>
        </w:tc>
        <w:tc>
          <w:tcPr>
            <w:tcW w:w="1297" w:type="dxa"/>
            <w:shd w:val="clear" w:color="auto" w:fill="C6EFCE"/>
            <w:noWrap/>
            <w:vAlign w:val="center"/>
            <w:hideMark/>
          </w:tcPr>
          <w:p w14:paraId="24B3005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52" w:type="dxa"/>
            <w:shd w:val="clear" w:color="auto" w:fill="C6EFCE"/>
            <w:noWrap/>
            <w:vAlign w:val="center"/>
          </w:tcPr>
          <w:p w14:paraId="0220DA4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96" w:type="dxa"/>
            <w:shd w:val="clear" w:color="auto" w:fill="C6EFCE"/>
            <w:noWrap/>
            <w:vAlign w:val="center"/>
          </w:tcPr>
          <w:p w14:paraId="4163ADD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09" w:type="dxa"/>
            <w:shd w:val="clear" w:color="auto" w:fill="C6EFCE"/>
            <w:noWrap/>
            <w:vAlign w:val="center"/>
            <w:hideMark/>
          </w:tcPr>
          <w:p w14:paraId="2811D4B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4F1A9B1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452" w:type="dxa"/>
            <w:shd w:val="clear" w:color="auto" w:fill="C6EFCE"/>
            <w:noWrap/>
            <w:vAlign w:val="center"/>
            <w:hideMark/>
          </w:tcPr>
          <w:p w14:paraId="4ABCB20C" w14:textId="77777777"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Uverejnenie vyhlášky (vyhlášok), ktorými sa udeľuje najmenej 5350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 xml:space="preserve">výskumných projektov národného záujmu </w:t>
            </w:r>
            <w:r w:rsidRPr="00326E55">
              <w:rPr>
                <w:rFonts w:ascii="Times New Roman" w:hAnsi="Times New Roman"/>
                <w:noProof/>
                <w:color w:val="006100"/>
                <w:spacing w:val="-6"/>
                <w:sz w:val="20"/>
                <w:szCs w:val="20"/>
                <w:lang w:val="sk-SK"/>
              </w:rPr>
              <w:t>(Progetti di Ricerca di Interesse Nazionale).</w:t>
            </w:r>
          </w:p>
          <w:p w14:paraId="44075764" w14:textId="67D87FA3"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Vo výzvach na predkladanie projektov sa uvedie, že projekt trvá najmenej dva roky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vyžaduje si spoluprácu medzi univerzitnými výskumnými jednotkami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výskumnými inštitúciami.</w:t>
            </w:r>
          </w:p>
        </w:tc>
      </w:tr>
      <w:tr w:rsidR="00BF03AA" w:rsidRPr="00326E55" w14:paraId="717DE753" w14:textId="77777777">
        <w:trPr>
          <w:trHeight w:val="313"/>
        </w:trPr>
        <w:tc>
          <w:tcPr>
            <w:tcW w:w="1441" w:type="dxa"/>
            <w:shd w:val="clear" w:color="auto" w:fill="C6EFCE"/>
            <w:noWrap/>
            <w:vAlign w:val="center"/>
            <w:hideMark/>
          </w:tcPr>
          <w:p w14:paraId="553CE16B"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M4C2 – 7</w:t>
            </w:r>
          </w:p>
        </w:tc>
        <w:tc>
          <w:tcPr>
            <w:tcW w:w="1395" w:type="dxa"/>
            <w:shd w:val="clear" w:color="auto" w:fill="C6EFCE"/>
            <w:noWrap/>
            <w:vAlign w:val="center"/>
            <w:hideMark/>
          </w:tcPr>
          <w:p w14:paraId="1BA0B81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1.1: Výskumné</w:t>
            </w:r>
            <w:r w:rsidRPr="00326E55">
              <w:rPr>
                <w:rFonts w:ascii="Times New Roman" w:hAnsi="Times New Roman"/>
                <w:noProof/>
                <w:spacing w:val="-6"/>
                <w:lang w:val="sk-SK"/>
              </w:rPr>
              <w:t xml:space="preserve"> projekty významného národného záujmu (PRIN)</w:t>
            </w:r>
          </w:p>
        </w:tc>
        <w:tc>
          <w:tcPr>
            <w:tcW w:w="1486" w:type="dxa"/>
            <w:shd w:val="clear" w:color="auto" w:fill="C6EFCE"/>
            <w:noWrap/>
            <w:vAlign w:val="center"/>
            <w:hideMark/>
          </w:tcPr>
          <w:p w14:paraId="7FC210C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41" w:type="dxa"/>
            <w:shd w:val="clear" w:color="auto" w:fill="C6EFCE"/>
            <w:noWrap/>
            <w:vAlign w:val="center"/>
            <w:hideMark/>
          </w:tcPr>
          <w:p w14:paraId="5309BF3D" w14:textId="4C1ADC78"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 prijatých výskumných pracovníkov na dobu určitú</w:t>
            </w:r>
          </w:p>
        </w:tc>
        <w:tc>
          <w:tcPr>
            <w:tcW w:w="1584" w:type="dxa"/>
            <w:shd w:val="clear" w:color="auto" w:fill="C6EFCE"/>
            <w:noWrap/>
            <w:vAlign w:val="center"/>
            <w:hideMark/>
          </w:tcPr>
          <w:p w14:paraId="37FA5C3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97" w:type="dxa"/>
            <w:shd w:val="clear" w:color="auto" w:fill="C6EFCE"/>
            <w:noWrap/>
            <w:vAlign w:val="center"/>
            <w:hideMark/>
          </w:tcPr>
          <w:p w14:paraId="1AB016F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152" w:type="dxa"/>
            <w:shd w:val="clear" w:color="auto" w:fill="C6EFCE"/>
            <w:noWrap/>
            <w:vAlign w:val="center"/>
            <w:hideMark/>
          </w:tcPr>
          <w:p w14:paraId="706D3CD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1296" w:type="dxa"/>
            <w:shd w:val="clear" w:color="auto" w:fill="C6EFCE"/>
            <w:noWrap/>
            <w:vAlign w:val="center"/>
            <w:hideMark/>
          </w:tcPr>
          <w:p w14:paraId="29C513A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900</w:t>
            </w:r>
          </w:p>
        </w:tc>
        <w:tc>
          <w:tcPr>
            <w:tcW w:w="1009" w:type="dxa"/>
            <w:shd w:val="clear" w:color="auto" w:fill="C6EFCE"/>
            <w:noWrap/>
            <w:vAlign w:val="center"/>
            <w:hideMark/>
          </w:tcPr>
          <w:p w14:paraId="088EA81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63D307F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2025</w:t>
            </w:r>
          </w:p>
        </w:tc>
        <w:tc>
          <w:tcPr>
            <w:tcW w:w="2452" w:type="dxa"/>
            <w:shd w:val="clear" w:color="auto" w:fill="C6EFCE"/>
            <w:noWrap/>
            <w:vAlign w:val="center"/>
            <w:hideMark/>
          </w:tcPr>
          <w:p w14:paraId="31E6775D" w14:textId="24B9550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Prijme sa najmenej 900 výskumných pracovníkov na dobu určitú. Činnosti najatých výskumných pracovníkov sa </w:t>
            </w:r>
            <w:r w:rsidRPr="00326E55">
              <w:rPr>
                <w:rFonts w:ascii="Times New Roman" w:hAnsi="Times New Roman"/>
                <w:noProof/>
                <w:spacing w:val="-6"/>
                <w:lang w:val="sk-SK"/>
              </w:rPr>
              <w:t>týkajú tém, ktoré 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šiestimi klastrami európskeho rámcového programu pre výskum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inováciu na roky 2021 – 2027.</w:t>
            </w:r>
          </w:p>
        </w:tc>
      </w:tr>
      <w:tr w:rsidR="00BF03AA" w:rsidRPr="00326E55" w14:paraId="0F0564D8" w14:textId="77777777">
        <w:trPr>
          <w:trHeight w:val="1278"/>
        </w:trPr>
        <w:tc>
          <w:tcPr>
            <w:tcW w:w="1441" w:type="dxa"/>
            <w:shd w:val="clear" w:color="auto" w:fill="C6EFCE"/>
            <w:noWrap/>
            <w:vAlign w:val="center"/>
            <w:hideMark/>
          </w:tcPr>
          <w:p w14:paraId="0620525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M4C2 – 8</w:t>
            </w:r>
          </w:p>
        </w:tc>
        <w:tc>
          <w:tcPr>
            <w:tcW w:w="1395" w:type="dxa"/>
            <w:shd w:val="clear" w:color="auto" w:fill="C6EFCE"/>
            <w:noWrap/>
            <w:vAlign w:val="center"/>
            <w:hideMark/>
          </w:tcPr>
          <w:p w14:paraId="21049354" w14:textId="064B252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1.3: Partnerstvá rozšírené na univerzity, výskumné centrá, spoločnosti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financovanie základných výskumných </w:t>
            </w:r>
            <w:r w:rsidRPr="00326E55">
              <w:rPr>
                <w:rFonts w:ascii="Times New Roman" w:hAnsi="Times New Roman"/>
                <w:noProof/>
                <w:spacing w:val="-6"/>
                <w:lang w:val="sk-SK"/>
              </w:rPr>
              <w:t>projektov</w:t>
            </w:r>
          </w:p>
        </w:tc>
        <w:tc>
          <w:tcPr>
            <w:tcW w:w="1486" w:type="dxa"/>
            <w:shd w:val="clear" w:color="auto" w:fill="C6EFCE"/>
            <w:noWrap/>
            <w:vAlign w:val="center"/>
            <w:hideMark/>
          </w:tcPr>
          <w:p w14:paraId="4794B35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41" w:type="dxa"/>
            <w:shd w:val="clear" w:color="auto" w:fill="C6EFCE"/>
            <w:noWrap/>
            <w:vAlign w:val="center"/>
            <w:hideMark/>
          </w:tcPr>
          <w:p w14:paraId="2EAFEDF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Počet podpísaných výskumných partnerstiev </w:t>
            </w:r>
          </w:p>
        </w:tc>
        <w:tc>
          <w:tcPr>
            <w:tcW w:w="1584" w:type="dxa"/>
            <w:shd w:val="clear" w:color="auto" w:fill="C6EFCE"/>
            <w:noWrap/>
            <w:vAlign w:val="center"/>
            <w:hideMark/>
          </w:tcPr>
          <w:p w14:paraId="2E47DCE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7" w:type="dxa"/>
            <w:shd w:val="clear" w:color="auto" w:fill="C6EFCE"/>
            <w:noWrap/>
            <w:vAlign w:val="center"/>
            <w:hideMark/>
          </w:tcPr>
          <w:p w14:paraId="15F2D6D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2" w:type="dxa"/>
            <w:shd w:val="clear" w:color="auto" w:fill="C6EFCE"/>
            <w:noWrap/>
            <w:vAlign w:val="center"/>
            <w:hideMark/>
          </w:tcPr>
          <w:p w14:paraId="2029148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296" w:type="dxa"/>
            <w:shd w:val="clear" w:color="auto" w:fill="C6EFCE"/>
            <w:noWrap/>
            <w:vAlign w:val="center"/>
            <w:hideMark/>
          </w:tcPr>
          <w:p w14:paraId="63047240"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1</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4</w:t>
            </w:r>
          </w:p>
        </w:tc>
        <w:tc>
          <w:tcPr>
            <w:tcW w:w="1009" w:type="dxa"/>
            <w:shd w:val="clear" w:color="auto" w:fill="C6EFCE"/>
            <w:noWrap/>
            <w:vAlign w:val="center"/>
            <w:hideMark/>
          </w:tcPr>
          <w:p w14:paraId="3C9FF5D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5FA704D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452" w:type="dxa"/>
            <w:shd w:val="clear" w:color="auto" w:fill="C6EFCE"/>
            <w:noWrap/>
            <w:vAlign w:val="center"/>
            <w:hideMark/>
          </w:tcPr>
          <w:p w14:paraId="257237E7" w14:textId="3D88C4E1" w:rsidR="00BF03AA" w:rsidRPr="00326E55" w:rsidRDefault="00FB452D">
            <w:pPr>
              <w:pStyle w:val="P68B1DB1-Normal12"/>
              <w:spacing w:after="0" w:line="240" w:lineRule="auto"/>
              <w:rPr>
                <w:rFonts w:ascii="Times New Roman" w:hAnsi="Times New Roman"/>
                <w:noProof/>
                <w:spacing w:val="-6"/>
                <w:lang w:val="sk-SK"/>
              </w:rPr>
            </w:pPr>
            <w:r w:rsidRPr="00326E55">
              <w:rPr>
                <w:rFonts w:ascii="Times New Roman" w:hAnsi="Times New Roman"/>
                <w:noProof/>
                <w:spacing w:val="-6"/>
                <w:lang w:val="sk-SK"/>
              </w:rPr>
              <w:t>Podpísanie dohôd („atto d’obbligo“) pre najmenej 14 výskumných partnerstiev. Výzvy na predkladanie programov si vyžadujú:</w:t>
            </w:r>
          </w:p>
          <w:p w14:paraId="44A8C435" w14:textId="6F836ADF" w:rsidR="00BF03AA" w:rsidRPr="00326E55" w:rsidRDefault="00FB452D">
            <w:pPr>
              <w:pStyle w:val="P68B1DB1-Normal12"/>
              <w:spacing w:after="0" w:line="240" w:lineRule="auto"/>
              <w:rPr>
                <w:rFonts w:ascii="Times New Roman" w:hAnsi="Times New Roman"/>
                <w:noProof/>
                <w:spacing w:val="-6"/>
                <w:lang w:val="sk-SK"/>
              </w:rPr>
            </w:pPr>
            <w:r w:rsidRPr="00326E55">
              <w:rPr>
                <w:rFonts w:ascii="Times New Roman" w:hAnsi="Times New Roman"/>
                <w:noProof/>
                <w:spacing w:val="-6"/>
                <w:lang w:val="sk-SK"/>
              </w:rPr>
              <w:t>a) každé partnerstvo</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w:t>
            </w:r>
            <w:r w:rsidRPr="00326E55">
              <w:rPr>
                <w:rFonts w:ascii="Times New Roman" w:hAnsi="Times New Roman"/>
                <w:noProof/>
                <w:spacing w:val="-6"/>
                <w:lang w:val="sk-SK"/>
              </w:rPr>
              <w:t>najať aspoň 100 výskumných pracovníkov na dobu určitú;</w:t>
            </w:r>
          </w:p>
          <w:p w14:paraId="445514A2" w14:textId="69E850EC" w:rsidR="00BF03AA" w:rsidRPr="00326E55" w:rsidRDefault="00FB452D">
            <w:pPr>
              <w:pStyle w:val="P68B1DB1-paragraph98"/>
              <w:spacing w:before="0" w:beforeAutospacing="0" w:after="120" w:afterAutospacing="0"/>
              <w:textAlignment w:val="baseline"/>
              <w:rPr>
                <w:rFonts w:ascii="Times New Roman" w:hAnsi="Times New Roman"/>
                <w:noProof/>
                <w:spacing w:val="-6"/>
                <w:lang w:val="sk-SK"/>
              </w:rPr>
            </w:pPr>
            <w:r w:rsidRPr="00326E55">
              <w:rPr>
                <w:rFonts w:ascii="Times New Roman" w:hAnsi="Times New Roman"/>
                <w:noProof/>
                <w:spacing w:val="-6"/>
                <w:lang w:val="sk-SK"/>
              </w:rPr>
              <w:t>b) záväzok, že príspevok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podľa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musí predstavovať aspoň 42</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investície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w:t>
            </w:r>
            <w:r w:rsidRPr="00326E55">
              <w:rPr>
                <w:rFonts w:ascii="Times New Roman" w:hAnsi="Times New Roman"/>
                <w:noProof/>
                <w:spacing w:val="-6"/>
                <w:lang w:val="sk-SK"/>
              </w:rPr>
              <w:t>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r>
      <w:tr w:rsidR="00BF03AA" w:rsidRPr="00326E55" w14:paraId="19FD557A" w14:textId="77777777">
        <w:trPr>
          <w:trHeight w:val="313"/>
        </w:trPr>
        <w:tc>
          <w:tcPr>
            <w:tcW w:w="1441" w:type="dxa"/>
            <w:shd w:val="clear" w:color="auto" w:fill="C6EFCE"/>
            <w:noWrap/>
            <w:vAlign w:val="center"/>
            <w:hideMark/>
          </w:tcPr>
          <w:p w14:paraId="5CFA6BB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M4C2 – 9</w:t>
            </w:r>
          </w:p>
        </w:tc>
        <w:tc>
          <w:tcPr>
            <w:tcW w:w="1395" w:type="dxa"/>
            <w:shd w:val="clear" w:color="auto" w:fill="C6EFCE"/>
            <w:noWrap/>
            <w:vAlign w:val="center"/>
            <w:hideMark/>
          </w:tcPr>
          <w:p w14:paraId="0E031CA2" w14:textId="23069752"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1.4: Vytvorenie „vnútroštátnych lídrov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niektorých kľúčových podporných technológií</w:t>
            </w:r>
          </w:p>
        </w:tc>
        <w:tc>
          <w:tcPr>
            <w:tcW w:w="1486" w:type="dxa"/>
            <w:shd w:val="clear" w:color="auto" w:fill="C6EFCE"/>
            <w:noWrap/>
            <w:vAlign w:val="center"/>
            <w:hideMark/>
          </w:tcPr>
          <w:p w14:paraId="286E1B7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41" w:type="dxa"/>
            <w:shd w:val="clear" w:color="auto" w:fill="C6EFCE"/>
            <w:noWrap/>
            <w:vAlign w:val="center"/>
            <w:hideMark/>
          </w:tcPr>
          <w:p w14:paraId="2D66AEA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Národné centrá ukončili svoje výskumné činnosti </w:t>
            </w:r>
          </w:p>
        </w:tc>
        <w:tc>
          <w:tcPr>
            <w:tcW w:w="1584" w:type="dxa"/>
            <w:shd w:val="clear" w:color="auto" w:fill="C6EFCE"/>
            <w:noWrap/>
            <w:vAlign w:val="center"/>
            <w:hideMark/>
          </w:tcPr>
          <w:p w14:paraId="57482DD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7" w:type="dxa"/>
            <w:shd w:val="clear" w:color="auto" w:fill="C6EFCE"/>
            <w:noWrap/>
            <w:vAlign w:val="center"/>
            <w:hideMark/>
          </w:tcPr>
          <w:p w14:paraId="071368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2" w:type="dxa"/>
            <w:shd w:val="clear" w:color="auto" w:fill="C6EFCE"/>
            <w:noWrap/>
            <w:vAlign w:val="center"/>
            <w:hideMark/>
          </w:tcPr>
          <w:p w14:paraId="0EA73B5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296" w:type="dxa"/>
            <w:shd w:val="clear" w:color="auto" w:fill="C6EFCE"/>
            <w:noWrap/>
            <w:vAlign w:val="center"/>
            <w:hideMark/>
          </w:tcPr>
          <w:p w14:paraId="409C30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5</w:t>
            </w:r>
          </w:p>
        </w:tc>
        <w:tc>
          <w:tcPr>
            <w:tcW w:w="1009" w:type="dxa"/>
            <w:shd w:val="clear" w:color="auto" w:fill="C6EFCE"/>
            <w:noWrap/>
            <w:vAlign w:val="center"/>
            <w:hideMark/>
          </w:tcPr>
          <w:p w14:paraId="42EC4C7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DRUHÝ </w:t>
            </w:r>
            <w:r w:rsidRPr="00326E55">
              <w:rPr>
                <w:rFonts w:ascii="Times New Roman" w:hAnsi="Times New Roman"/>
                <w:noProof/>
                <w:spacing w:val="-6"/>
                <w:lang w:val="sk-SK"/>
              </w:rPr>
              <w:t>ŠTVRŤROK</w:t>
            </w:r>
          </w:p>
        </w:tc>
        <w:tc>
          <w:tcPr>
            <w:tcW w:w="861" w:type="dxa"/>
            <w:shd w:val="clear" w:color="auto" w:fill="C6EFCE"/>
            <w:noWrap/>
            <w:vAlign w:val="center"/>
            <w:hideMark/>
          </w:tcPr>
          <w:p w14:paraId="7E3D96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452" w:type="dxa"/>
            <w:shd w:val="clear" w:color="auto" w:fill="C6EFCE"/>
            <w:noWrap/>
            <w:vAlign w:val="center"/>
            <w:hideMark/>
          </w:tcPr>
          <w:p w14:paraId="1BC61AC2" w14:textId="61023FE2"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Za každé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piatich národných centier sa vydá správa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výskumných činnostiach. </w:t>
            </w:r>
          </w:p>
        </w:tc>
      </w:tr>
      <w:tr w:rsidR="00BF03AA" w:rsidRPr="00326E55" w14:paraId="1D0780B0" w14:textId="77777777">
        <w:trPr>
          <w:trHeight w:val="313"/>
        </w:trPr>
        <w:tc>
          <w:tcPr>
            <w:tcW w:w="1441" w:type="dxa"/>
            <w:shd w:val="clear" w:color="auto" w:fill="C6EFCE"/>
            <w:noWrap/>
            <w:vAlign w:val="center"/>
            <w:hideMark/>
          </w:tcPr>
          <w:p w14:paraId="26C4EA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10</w:t>
            </w:r>
          </w:p>
        </w:tc>
        <w:tc>
          <w:tcPr>
            <w:tcW w:w="1395" w:type="dxa"/>
            <w:shd w:val="clear" w:color="auto" w:fill="C6EFCE"/>
            <w:noWrap/>
            <w:vAlign w:val="center"/>
            <w:hideMark/>
          </w:tcPr>
          <w:p w14:paraId="6B5F985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2.1: DÔLEŽITÝ PROJEKT SPOLOČNÉHO EURÓPSKEHO ZÁUJMU</w:t>
            </w:r>
          </w:p>
        </w:tc>
        <w:tc>
          <w:tcPr>
            <w:tcW w:w="1486" w:type="dxa"/>
            <w:shd w:val="clear" w:color="auto" w:fill="C6EFCE"/>
            <w:noWrap/>
            <w:vAlign w:val="center"/>
            <w:hideMark/>
          </w:tcPr>
          <w:p w14:paraId="4D65634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41" w:type="dxa"/>
            <w:shd w:val="clear" w:color="auto" w:fill="C6EFCE"/>
            <w:noWrap/>
            <w:vAlign w:val="center"/>
            <w:hideMark/>
          </w:tcPr>
          <w:p w14:paraId="459DA06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Vyhlásenie výzvy na vyjadrenie záujmu na identifikáciu vnútroštátnych projektov vrátane projektov týkajúcich sa dôležitého projektu spoločného európskeho záujmu (IPCEI – mikroelektronika)</w:t>
            </w:r>
          </w:p>
        </w:tc>
        <w:tc>
          <w:tcPr>
            <w:tcW w:w="1584" w:type="dxa"/>
            <w:shd w:val="clear" w:color="auto" w:fill="C6EFCE"/>
            <w:noWrap/>
            <w:vAlign w:val="center"/>
            <w:hideMark/>
          </w:tcPr>
          <w:p w14:paraId="4B20AA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Výzva na vyjadrenie záujmu sa uverejňuje</w:t>
            </w:r>
          </w:p>
        </w:tc>
        <w:tc>
          <w:tcPr>
            <w:tcW w:w="1297" w:type="dxa"/>
            <w:shd w:val="clear" w:color="auto" w:fill="C6EFCE"/>
            <w:noWrap/>
            <w:vAlign w:val="center"/>
            <w:hideMark/>
          </w:tcPr>
          <w:p w14:paraId="3F444FB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52" w:type="dxa"/>
            <w:shd w:val="clear" w:color="auto" w:fill="C6EFCE"/>
            <w:noWrap/>
            <w:vAlign w:val="center"/>
            <w:hideMark/>
          </w:tcPr>
          <w:p w14:paraId="3AB2D4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6" w:type="dxa"/>
            <w:shd w:val="clear" w:color="auto" w:fill="C6EFCE"/>
            <w:noWrap/>
            <w:vAlign w:val="center"/>
            <w:hideMark/>
          </w:tcPr>
          <w:p w14:paraId="79902FF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9" w:type="dxa"/>
            <w:shd w:val="clear" w:color="auto" w:fill="C6EFCE"/>
            <w:noWrap/>
            <w:vAlign w:val="center"/>
            <w:hideMark/>
          </w:tcPr>
          <w:p w14:paraId="2B8CBF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51AC56C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2452" w:type="dxa"/>
            <w:shd w:val="clear" w:color="auto" w:fill="C6EFCE"/>
            <w:noWrap/>
            <w:vAlign w:val="center"/>
            <w:hideMark/>
          </w:tcPr>
          <w:p w14:paraId="5B8A8635" w14:textId="32125B5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Očakáva sa, že projekty dôležitého projektu spoločného európskeho záujmu, ktoré sa budú podporovať, sa budú aktualizovať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závislosti od aktuálnej fázy pokroku vnútroštátnych postupov dôležitých projektov spoločného európskeho</w:t>
            </w:r>
            <w:r w:rsidRPr="00326E55">
              <w:rPr>
                <w:rFonts w:ascii="Times New Roman" w:hAnsi="Times New Roman"/>
                <w:noProof/>
                <w:spacing w:val="-6"/>
                <w:lang w:val="sk-SK"/>
              </w:rPr>
              <w:t xml:space="preserve"> záujmu, ktoré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súčasnosti prebiehajú,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 fázy pokroku postupu notifikácie štátnej pomoci.</w:t>
            </w:r>
          </w:p>
          <w:p w14:paraId="6C4B7EA3" w14:textId="6BC629DF"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Zvolený dôležitý projekt spoločného európskeho záujmu zohľadňuje konkrétne priemyselné inovačné odvetvia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už identifikovanými európskymi hodnotovými reť</w:t>
            </w:r>
            <w:r w:rsidRPr="00326E55">
              <w:rPr>
                <w:rFonts w:ascii="Times New Roman" w:hAnsi="Times New Roman"/>
                <w:noProof/>
                <w:spacing w:val="-6"/>
                <w:lang w:val="sk-SK"/>
              </w:rPr>
              <w:t>azcami.</w:t>
            </w:r>
          </w:p>
          <w:p w14:paraId="274615D3" w14:textId="0940C599"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Táto intervencia zahŕňa už schválené dôležité projekty spoločného európskeho záujmu, ako aj budúce projekty, ako sú cloud, zdravie, materiály riadu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kybernetická bezpečnosť.</w:t>
            </w:r>
          </w:p>
          <w:p w14:paraId="46BFF4A0" w14:textId="77777777" w:rsidR="00BF03AA" w:rsidRPr="00326E55" w:rsidRDefault="00FB452D">
            <w:pPr>
              <w:pStyle w:val="P68B1DB1-Normal11"/>
              <w:spacing w:before="120" w:after="120"/>
              <w:rPr>
                <w:rFonts w:ascii="Times New Roman" w:hAnsi="Times New Roman"/>
                <w:noProof/>
                <w:spacing w:val="-6"/>
                <w:szCs w:val="20"/>
                <w:lang w:val="sk-SK"/>
              </w:rPr>
            </w:pPr>
            <w:r w:rsidRPr="00326E55">
              <w:rPr>
                <w:rFonts w:ascii="Times New Roman" w:hAnsi="Times New Roman"/>
                <w:noProof/>
                <w:spacing w:val="-6"/>
                <w:lang w:val="sk-SK"/>
              </w:rPr>
              <w:t>Podmienky výzvy zahŕňajú:</w:t>
            </w:r>
          </w:p>
          <w:p w14:paraId="4D188813" w14:textId="43640487" w:rsidR="00BF03AA" w:rsidRPr="00326E55" w:rsidRDefault="00FB452D">
            <w:pPr>
              <w:pStyle w:val="P68B1DB1-paragraph98"/>
              <w:spacing w:before="0" w:beforeAutospacing="0" w:after="0" w:afterAutospacing="0"/>
              <w:textAlignment w:val="baseline"/>
              <w:rPr>
                <w:rFonts w:ascii="Times New Roman" w:hAnsi="Times New Roman"/>
                <w:noProof/>
                <w:spacing w:val="-6"/>
                <w:lang w:val="sk-SK"/>
              </w:rPr>
            </w:pPr>
            <w:r w:rsidRPr="00326E55">
              <w:rPr>
                <w:rFonts w:ascii="Times New Roman" w:hAnsi="Times New Roman"/>
                <w:noProof/>
                <w:spacing w:val="-6"/>
                <w:lang w:val="sk-SK"/>
              </w:rPr>
              <w:t>a) kritériá oprávnenosti, ktorými sa zabezpečuj</w:t>
            </w:r>
            <w:r w:rsidRPr="00326E55">
              <w:rPr>
                <w:rFonts w:ascii="Times New Roman" w:hAnsi="Times New Roman"/>
                <w:noProof/>
                <w:spacing w:val="-6"/>
                <w:lang w:val="sk-SK"/>
              </w:rPr>
              <w:t>e, aby vybrané projekty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p w14:paraId="41291499" w14:textId="036948FA" w:rsidR="00BF03AA" w:rsidRPr="00326E55" w:rsidRDefault="00FB452D">
            <w:pPr>
              <w:pStyle w:val="P68B1DB1-paragraph89"/>
              <w:spacing w:before="0" w:beforeAutospacing="0" w:after="0" w:afterAutospacing="0"/>
              <w:textAlignment w:val="baseline"/>
              <w:rPr>
                <w:rFonts w:ascii="Times New Roman" w:hAnsi="Times New Roman"/>
                <w:noProof/>
                <w:spacing w:val="-6"/>
                <w:szCs w:val="20"/>
                <w:lang w:val="sk-SK"/>
              </w:rPr>
            </w:pPr>
            <w:r w:rsidRPr="00326E55">
              <w:rPr>
                <w:rFonts w:ascii="Times New Roman" w:hAnsi="Times New Roman"/>
                <w:noProof/>
                <w:spacing w:val="-6"/>
                <w:lang w:val="sk-SK"/>
              </w:rPr>
              <w:t>b) záväzok, že príspevok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klímy podľa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musí predstavovať aspoň 40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investície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w:t>
            </w:r>
            <w:r w:rsidRPr="00326E55">
              <w:rPr>
                <w:rFonts w:ascii="Times New Roman" w:hAnsi="Times New Roman"/>
                <w:noProof/>
                <w:spacing w:val="-6"/>
                <w:lang w:val="sk-SK"/>
              </w:rPr>
              <w:t>lnosti.</w:t>
            </w:r>
          </w:p>
          <w:p w14:paraId="6008074C" w14:textId="0DC6A624" w:rsidR="00BF03AA" w:rsidRPr="00326E55" w:rsidRDefault="00FB452D">
            <w:pPr>
              <w:pStyle w:val="P68B1DB1-paragraph89"/>
              <w:spacing w:before="0" w:beforeAutospacing="0" w:after="0" w:afterAutospacing="0"/>
              <w:textAlignment w:val="baseline"/>
              <w:rPr>
                <w:rFonts w:ascii="Times New Roman" w:hAnsi="Times New Roman"/>
                <w:noProof/>
                <w:spacing w:val="-6"/>
                <w:lang w:val="sk-SK"/>
              </w:rPr>
            </w:pPr>
            <w:r w:rsidRPr="00326E55">
              <w:rPr>
                <w:rFonts w:ascii="Times New Roman" w:hAnsi="Times New Roman"/>
                <w:noProof/>
                <w:spacing w:val="-6"/>
                <w:lang w:val="sk-SK"/>
              </w:rPr>
              <w:t>C) záväzok, že digitálny príspevok investície podľa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bude predstavovať aspoň 60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celkových nákladov na investície podporované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p w14:paraId="2F0CE705" w14:textId="560B5D6C" w:rsidR="00BF03AA" w:rsidRPr="00326E55" w:rsidRDefault="00FB452D">
            <w:pPr>
              <w:pStyle w:val="P68B1DB1-paragraph98"/>
              <w:spacing w:before="0" w:beforeAutospacing="0" w:after="0" w:afterAutospacing="0"/>
              <w:textAlignment w:val="baseline"/>
              <w:rPr>
                <w:rFonts w:ascii="Times New Roman" w:hAnsi="Times New Roman"/>
                <w:noProof/>
                <w:spacing w:val="-6"/>
                <w:lang w:val="sk-SK"/>
              </w:rPr>
            </w:pPr>
            <w:r w:rsidRPr="00326E55">
              <w:rPr>
                <w:rFonts w:ascii="Times New Roman" w:hAnsi="Times New Roman"/>
                <w:noProof/>
                <w:spacing w:val="-6"/>
                <w:lang w:val="sk-SK"/>
              </w:rPr>
              <w:t xml:space="preserve">d) záväzok podávať </w:t>
            </w:r>
            <w:r w:rsidRPr="00326E55">
              <w:rPr>
                <w:rFonts w:ascii="Times New Roman" w:hAnsi="Times New Roman"/>
                <w:noProof/>
                <w:spacing w:val="-6"/>
                <w:lang w:val="sk-SK"/>
              </w:rPr>
              <w:t>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vykonávaní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polovici trvania schémy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konci schémy.</w:t>
            </w:r>
          </w:p>
        </w:tc>
      </w:tr>
      <w:tr w:rsidR="00BF03AA" w:rsidRPr="00326E55" w14:paraId="4E8776B5" w14:textId="77777777">
        <w:trPr>
          <w:trHeight w:val="313"/>
        </w:trPr>
        <w:tc>
          <w:tcPr>
            <w:tcW w:w="1441" w:type="dxa"/>
            <w:shd w:val="clear" w:color="auto" w:fill="C6EFCE"/>
            <w:noWrap/>
            <w:vAlign w:val="center"/>
            <w:hideMark/>
          </w:tcPr>
          <w:p w14:paraId="43E0998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11</w:t>
            </w:r>
          </w:p>
        </w:tc>
        <w:tc>
          <w:tcPr>
            <w:tcW w:w="1395" w:type="dxa"/>
            <w:shd w:val="clear" w:color="auto" w:fill="C6EFCE"/>
            <w:noWrap/>
            <w:vAlign w:val="center"/>
            <w:hideMark/>
          </w:tcPr>
          <w:p w14:paraId="1A6FD09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2.1: DÔLEŽITÝ PROJEKT SPOLOČNÉHO EURÓPSKEHO ZÁUJMU</w:t>
            </w:r>
          </w:p>
        </w:tc>
        <w:tc>
          <w:tcPr>
            <w:tcW w:w="1486" w:type="dxa"/>
            <w:shd w:val="clear" w:color="auto" w:fill="C6EFCE"/>
            <w:noWrap/>
            <w:vAlign w:val="center"/>
            <w:hideMark/>
          </w:tcPr>
          <w:p w14:paraId="4EA1782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41" w:type="dxa"/>
            <w:shd w:val="clear" w:color="auto" w:fill="C6EFCE"/>
            <w:noWrap/>
            <w:vAlign w:val="center"/>
            <w:hideMark/>
          </w:tcPr>
          <w:p w14:paraId="238A9D4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vnútroštátneho právneho aktu, ktorým sa prideľujú potrebné finančné </w:t>
            </w:r>
            <w:r w:rsidRPr="00326E55">
              <w:rPr>
                <w:rFonts w:ascii="Times New Roman" w:hAnsi="Times New Roman"/>
                <w:noProof/>
                <w:spacing w:val="-6"/>
                <w:lang w:val="sk-SK"/>
              </w:rPr>
              <w:t>prostriedky na poskytovanie podpory účastníkom projektov.</w:t>
            </w:r>
          </w:p>
        </w:tc>
        <w:tc>
          <w:tcPr>
            <w:tcW w:w="1584" w:type="dxa"/>
            <w:shd w:val="clear" w:color="auto" w:fill="C6EFCE"/>
            <w:noWrap/>
            <w:vAlign w:val="center"/>
            <w:hideMark/>
          </w:tcPr>
          <w:p w14:paraId="17C14A7F" w14:textId="20744BA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vo vnútroštátnom právnom 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 nadobudnutie účinnosti zákona</w:t>
            </w:r>
          </w:p>
        </w:tc>
        <w:tc>
          <w:tcPr>
            <w:tcW w:w="1297" w:type="dxa"/>
            <w:shd w:val="clear" w:color="auto" w:fill="C6EFCE"/>
            <w:noWrap/>
            <w:vAlign w:val="center"/>
            <w:hideMark/>
          </w:tcPr>
          <w:p w14:paraId="6D53B47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52" w:type="dxa"/>
            <w:shd w:val="clear" w:color="auto" w:fill="C6EFCE"/>
            <w:noWrap/>
            <w:vAlign w:val="center"/>
            <w:hideMark/>
          </w:tcPr>
          <w:p w14:paraId="3F3F1A4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6" w:type="dxa"/>
            <w:shd w:val="clear" w:color="auto" w:fill="C6EFCE"/>
            <w:noWrap/>
            <w:vAlign w:val="center"/>
            <w:hideMark/>
          </w:tcPr>
          <w:p w14:paraId="72DF5ED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9" w:type="dxa"/>
            <w:shd w:val="clear" w:color="auto" w:fill="C6EFCE"/>
            <w:noWrap/>
            <w:vAlign w:val="center"/>
            <w:hideMark/>
          </w:tcPr>
          <w:p w14:paraId="7E47656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1409287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452" w:type="dxa"/>
            <w:shd w:val="clear" w:color="auto" w:fill="C6EFCE"/>
            <w:noWrap/>
            <w:vAlign w:val="center"/>
            <w:hideMark/>
          </w:tcPr>
          <w:p w14:paraId="3E61F1D6" w14:textId="19700C9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Vo vnútroštátnom právnom zákone sa uvedú postupy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lehoty na predkladanie projektov, ako aj požiadavky potenciálnych príjemcov na prístup.</w:t>
            </w:r>
          </w:p>
        </w:tc>
      </w:tr>
      <w:tr w:rsidR="00BF03AA" w:rsidRPr="00326E55" w14:paraId="41C45ABA" w14:textId="77777777">
        <w:trPr>
          <w:trHeight w:val="313"/>
        </w:trPr>
        <w:tc>
          <w:tcPr>
            <w:tcW w:w="1441" w:type="dxa"/>
            <w:shd w:val="clear" w:color="auto" w:fill="C6EFCE"/>
            <w:noWrap/>
            <w:vAlign w:val="center"/>
            <w:hideMark/>
          </w:tcPr>
          <w:p w14:paraId="3DE1E10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12</w:t>
            </w:r>
          </w:p>
        </w:tc>
        <w:tc>
          <w:tcPr>
            <w:tcW w:w="1395" w:type="dxa"/>
            <w:shd w:val="clear" w:color="auto" w:fill="C6EFCE"/>
            <w:noWrap/>
            <w:vAlign w:val="center"/>
            <w:hideMark/>
          </w:tcPr>
          <w:p w14:paraId="1D82E39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2.1: DÔLEŽITÝ PROJEKT SPOLOČNÉHO EURÓPSKEHO ZÁUJMU</w:t>
            </w:r>
          </w:p>
        </w:tc>
        <w:tc>
          <w:tcPr>
            <w:tcW w:w="1486" w:type="dxa"/>
            <w:shd w:val="clear" w:color="auto" w:fill="C6EFCE"/>
            <w:noWrap/>
            <w:vAlign w:val="center"/>
            <w:hideMark/>
          </w:tcPr>
          <w:p w14:paraId="4162297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41" w:type="dxa"/>
            <w:shd w:val="clear" w:color="auto" w:fill="C6EFCE"/>
            <w:noWrap/>
            <w:vAlign w:val="center"/>
            <w:hideMark/>
          </w:tcPr>
          <w:p w14:paraId="6DDCAB1D" w14:textId="4331A75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Zoznam účastníkov projektov dôležitých projektov spoločného európskeho záujmu sa </w:t>
            </w:r>
            <w:r w:rsidRPr="00326E55">
              <w:rPr>
                <w:rFonts w:ascii="Times New Roman" w:hAnsi="Times New Roman"/>
                <w:noProof/>
                <w:spacing w:val="-6"/>
                <w:lang w:val="sk-SK"/>
              </w:rPr>
              <w:t>finalizuje do 30</w:t>
            </w:r>
            <w:r w:rsidR="00326E55" w:rsidRPr="00326E55">
              <w:rPr>
                <w:rFonts w:ascii="Times New Roman" w:hAnsi="Times New Roman"/>
                <w:noProof/>
                <w:spacing w:val="-6"/>
                <w:lang w:val="sk-SK"/>
              </w:rPr>
              <w:t>. júna</w:t>
            </w:r>
            <w:r w:rsidRPr="00326E55">
              <w:rPr>
                <w:rFonts w:ascii="Times New Roman" w:hAnsi="Times New Roman"/>
                <w:noProof/>
                <w:spacing w:val="-6"/>
                <w:lang w:val="sk-SK"/>
              </w:rPr>
              <w:t xml:space="preserve"> 2023.</w:t>
            </w:r>
          </w:p>
        </w:tc>
        <w:tc>
          <w:tcPr>
            <w:tcW w:w="1584" w:type="dxa"/>
            <w:shd w:val="clear" w:color="auto" w:fill="C6EFCE"/>
            <w:noWrap/>
            <w:vAlign w:val="center"/>
            <w:hideMark/>
          </w:tcPr>
          <w:p w14:paraId="459D7A4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Uverejnenie zoznamu účastníkov</w:t>
            </w:r>
          </w:p>
        </w:tc>
        <w:tc>
          <w:tcPr>
            <w:tcW w:w="1297" w:type="dxa"/>
            <w:shd w:val="clear" w:color="auto" w:fill="C6EFCE"/>
            <w:noWrap/>
            <w:vAlign w:val="center"/>
            <w:hideMark/>
          </w:tcPr>
          <w:p w14:paraId="45691B0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52" w:type="dxa"/>
            <w:shd w:val="clear" w:color="auto" w:fill="C6EFCE"/>
            <w:noWrap/>
            <w:vAlign w:val="center"/>
            <w:hideMark/>
          </w:tcPr>
          <w:p w14:paraId="6C3E096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6" w:type="dxa"/>
            <w:shd w:val="clear" w:color="auto" w:fill="C6EFCE"/>
            <w:noWrap/>
            <w:vAlign w:val="center"/>
            <w:hideMark/>
          </w:tcPr>
          <w:p w14:paraId="22FC4B1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9" w:type="dxa"/>
            <w:shd w:val="clear" w:color="auto" w:fill="C6EFCE"/>
            <w:noWrap/>
            <w:vAlign w:val="center"/>
            <w:hideMark/>
          </w:tcPr>
          <w:p w14:paraId="43D905D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77C1350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452" w:type="dxa"/>
            <w:shd w:val="clear" w:color="auto" w:fill="C6EFCE"/>
            <w:noWrap/>
            <w:vAlign w:val="center"/>
            <w:hideMark/>
          </w:tcPr>
          <w:p w14:paraId="4A1C7BC0" w14:textId="6CA56A9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Zoznam zahŕňa prijaté subjekty zúčastňujúce sa na projektoch dôležitých projektov spoločného európskeho záujmu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nadväznosti na overenia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hodnotenia predložených projektov, ktoré sa vykonajú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 európskym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 environment</w:t>
            </w:r>
            <w:r w:rsidRPr="00326E55">
              <w:rPr>
                <w:rFonts w:ascii="Times New Roman" w:hAnsi="Times New Roman"/>
                <w:noProof/>
                <w:spacing w:val="-6"/>
                <w:lang w:val="sk-SK"/>
              </w:rPr>
              <w:t>álnym prostredím.</w:t>
            </w:r>
          </w:p>
        </w:tc>
      </w:tr>
      <w:tr w:rsidR="00BF03AA" w:rsidRPr="00326E55" w14:paraId="5F2FC417" w14:textId="77777777">
        <w:trPr>
          <w:trHeight w:val="300"/>
        </w:trPr>
        <w:tc>
          <w:tcPr>
            <w:tcW w:w="1441" w:type="dxa"/>
            <w:shd w:val="clear" w:color="auto" w:fill="C6EFCE"/>
            <w:noWrap/>
            <w:vAlign w:val="center"/>
          </w:tcPr>
          <w:p w14:paraId="3CC8D7C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M4C2 – 14</w:t>
            </w:r>
          </w:p>
        </w:tc>
        <w:tc>
          <w:tcPr>
            <w:tcW w:w="1395" w:type="dxa"/>
            <w:shd w:val="clear" w:color="auto" w:fill="C6EFCE"/>
            <w:noWrap/>
            <w:vAlign w:val="center"/>
          </w:tcPr>
          <w:p w14:paraId="000B404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Investícia 2.3: F Centre transferu technológií </w:t>
            </w:r>
          </w:p>
        </w:tc>
        <w:tc>
          <w:tcPr>
            <w:tcW w:w="1486" w:type="dxa"/>
            <w:shd w:val="clear" w:color="auto" w:fill="C6EFCE"/>
            <w:noWrap/>
            <w:vAlign w:val="center"/>
          </w:tcPr>
          <w:p w14:paraId="4AAE43E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41" w:type="dxa"/>
            <w:shd w:val="clear" w:color="auto" w:fill="C6EFCE"/>
            <w:noWrap/>
            <w:vAlign w:val="center"/>
          </w:tcPr>
          <w:p w14:paraId="1A6FD9C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Vyplatenie finančnej hodnoty 330 000 000 EUR</w:t>
            </w:r>
          </w:p>
        </w:tc>
        <w:tc>
          <w:tcPr>
            <w:tcW w:w="1584" w:type="dxa"/>
            <w:shd w:val="clear" w:color="auto" w:fill="C6EFCE"/>
            <w:noWrap/>
            <w:vAlign w:val="center"/>
          </w:tcPr>
          <w:p w14:paraId="500254C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97" w:type="dxa"/>
            <w:shd w:val="clear" w:color="auto" w:fill="C6EFCE"/>
            <w:noWrap/>
            <w:vAlign w:val="center"/>
          </w:tcPr>
          <w:p w14:paraId="047B1397"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EUR</w:t>
            </w:r>
          </w:p>
        </w:tc>
        <w:tc>
          <w:tcPr>
            <w:tcW w:w="1152" w:type="dxa"/>
            <w:shd w:val="clear" w:color="auto" w:fill="C6EFCE"/>
            <w:noWrap/>
            <w:vAlign w:val="center"/>
          </w:tcPr>
          <w:p w14:paraId="00AB2B4D"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1296" w:type="dxa"/>
            <w:shd w:val="clear" w:color="auto" w:fill="C6EFCE"/>
            <w:noWrap/>
            <w:vAlign w:val="center"/>
          </w:tcPr>
          <w:p w14:paraId="41A8D93A" w14:textId="4594B979"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330 000 000</w:t>
            </w:r>
          </w:p>
        </w:tc>
        <w:tc>
          <w:tcPr>
            <w:tcW w:w="1009" w:type="dxa"/>
            <w:shd w:val="clear" w:color="auto" w:fill="C6EFCE"/>
            <w:noWrap/>
            <w:vAlign w:val="center"/>
          </w:tcPr>
          <w:p w14:paraId="05A25F0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61" w:type="dxa"/>
            <w:shd w:val="clear" w:color="auto" w:fill="C6EFCE"/>
            <w:noWrap/>
            <w:vAlign w:val="center"/>
          </w:tcPr>
          <w:p w14:paraId="4123CC5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452" w:type="dxa"/>
            <w:shd w:val="clear" w:color="auto" w:fill="C6EFCE"/>
            <w:noWrap/>
            <w:vAlign w:val="center"/>
          </w:tcPr>
          <w:p w14:paraId="1562B558" w14:textId="7B6F8FF5"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Platobné príkazy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celkovej hodnote najmenej 330 000 000 EUR sa vydajú najmenej </w:t>
            </w:r>
            <w:r w:rsidRPr="00326E55">
              <w:rPr>
                <w:rFonts w:ascii="Times New Roman" w:hAnsi="Times New Roman"/>
                <w:noProof/>
                <w:spacing w:val="-6"/>
                <w:lang w:val="sk-SK"/>
              </w:rPr>
              <w:t>45 centrám,</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ktorými ministerstvo podpísalo finančné dohody.</w:t>
            </w:r>
          </w:p>
          <w:p w14:paraId="1BDEABE0" w14:textId="17C865F2" w:rsidR="00326E55"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V dohodách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13 európskymi centrami digitálnych inovácií spolufinancovanými</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programu Digitálna Európa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druhej línie intervencie sa uvedú pracovné balíky financované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w:t>
            </w:r>
            <w:r w:rsidRPr="00326E55">
              <w:rPr>
                <w:rFonts w:ascii="Times New Roman" w:hAnsi="Times New Roman"/>
                <w:noProof/>
                <w:spacing w:val="-6"/>
                <w:lang w:val="sk-SK"/>
              </w:rPr>
              <w:t>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w:t>
            </w:r>
          </w:p>
          <w:p w14:paraId="0F698C15" w14:textId="7A18F5D9"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Platobné príkazy sa týkajú pracovných balíkov 13 európskych digitálnych inovácií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druhej línie intervencie opatrenia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výnimkou tých pracovných balíkov, ktoré sú financované</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programu Digitálna Európa.</w:t>
            </w:r>
          </w:p>
        </w:tc>
      </w:tr>
      <w:tr w:rsidR="00BF03AA" w:rsidRPr="00326E55" w14:paraId="79D9669E" w14:textId="77777777">
        <w:trPr>
          <w:trHeight w:val="313"/>
        </w:trPr>
        <w:tc>
          <w:tcPr>
            <w:tcW w:w="1441" w:type="dxa"/>
            <w:shd w:val="clear" w:color="auto" w:fill="C6EFCE"/>
            <w:noWrap/>
            <w:vAlign w:val="center"/>
            <w:hideMark/>
          </w:tcPr>
          <w:p w14:paraId="1F4484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16</w:t>
            </w:r>
          </w:p>
        </w:tc>
        <w:tc>
          <w:tcPr>
            <w:tcW w:w="1395" w:type="dxa"/>
            <w:shd w:val="clear" w:color="auto" w:fill="C6EFCE"/>
            <w:noWrap/>
            <w:vAlign w:val="center"/>
            <w:hideMark/>
          </w:tcPr>
          <w:p w14:paraId="22A65F19" w14:textId="3E7FC79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3.1: </w:t>
            </w:r>
            <w:r w:rsidRPr="00326E55">
              <w:rPr>
                <w:rFonts w:ascii="Times New Roman" w:hAnsi="Times New Roman"/>
                <w:noProof/>
                <w:spacing w:val="-6"/>
                <w:szCs w:val="20"/>
                <w:lang w:val="sk-SK"/>
              </w:rPr>
              <w:t>Výskumné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inovačné infraštruktúry</w:t>
            </w:r>
          </w:p>
        </w:tc>
        <w:tc>
          <w:tcPr>
            <w:tcW w:w="1486" w:type="dxa"/>
            <w:shd w:val="clear" w:color="auto" w:fill="C6EFCE"/>
            <w:noWrap/>
            <w:vAlign w:val="center"/>
            <w:hideMark/>
          </w:tcPr>
          <w:p w14:paraId="639AFA4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41" w:type="dxa"/>
            <w:shd w:val="clear" w:color="auto" w:fill="C6EFCE"/>
            <w:noWrap/>
            <w:vAlign w:val="center"/>
            <w:hideMark/>
          </w:tcPr>
          <w:p w14:paraId="4B80587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financovaných infraštruktúr</w:t>
            </w:r>
          </w:p>
        </w:tc>
        <w:tc>
          <w:tcPr>
            <w:tcW w:w="1584" w:type="dxa"/>
            <w:shd w:val="clear" w:color="auto" w:fill="C6EFCE"/>
            <w:noWrap/>
            <w:vAlign w:val="center"/>
            <w:hideMark/>
          </w:tcPr>
          <w:p w14:paraId="15CEFC4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7" w:type="dxa"/>
            <w:shd w:val="clear" w:color="auto" w:fill="C6EFCE"/>
            <w:noWrap/>
            <w:vAlign w:val="center"/>
            <w:hideMark/>
          </w:tcPr>
          <w:p w14:paraId="40B07C2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2" w:type="dxa"/>
            <w:shd w:val="clear" w:color="auto" w:fill="C6EFCE"/>
            <w:noWrap/>
            <w:vAlign w:val="center"/>
            <w:hideMark/>
          </w:tcPr>
          <w:p w14:paraId="4D9851B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296" w:type="dxa"/>
            <w:shd w:val="clear" w:color="auto" w:fill="C6EFCE"/>
            <w:noWrap/>
            <w:vAlign w:val="center"/>
            <w:hideMark/>
          </w:tcPr>
          <w:p w14:paraId="6782C57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30</w:t>
            </w:r>
          </w:p>
        </w:tc>
        <w:tc>
          <w:tcPr>
            <w:tcW w:w="1009" w:type="dxa"/>
            <w:shd w:val="clear" w:color="auto" w:fill="C6EFCE"/>
            <w:noWrap/>
            <w:vAlign w:val="center"/>
            <w:hideMark/>
          </w:tcPr>
          <w:p w14:paraId="1EDF7CF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7EC9014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452" w:type="dxa"/>
            <w:shd w:val="clear" w:color="auto" w:fill="C6EFCE"/>
            <w:noWrap/>
            <w:vAlign w:val="center"/>
            <w:hideMark/>
          </w:tcPr>
          <w:p w14:paraId="004368A0" w14:textId="0218FE39" w:rsidR="00BF03AA" w:rsidRPr="00326E55" w:rsidRDefault="00FB452D">
            <w:pPr>
              <w:spacing w:after="120"/>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Najmenej 30 infraštruktúr financovaných pre integrovaný systém výskumnej</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inovačnej infraštruktúry.</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 xml:space="preserve">Inovačná </w:t>
            </w:r>
            <w:r w:rsidRPr="00326E55">
              <w:rPr>
                <w:rFonts w:ascii="Times New Roman" w:hAnsi="Times New Roman"/>
                <w:noProof/>
                <w:color w:val="006100"/>
                <w:spacing w:val="-6"/>
                <w:sz w:val="20"/>
                <w:lang w:val="sk-SK"/>
              </w:rPr>
              <w:t>infraštruktúra zahŕňa viacúčelové infraštruktúry schopné pokryť aspoň tri tematické oblasti, ako sú: I) kvantové, ii) progresívne materiály, iii) fotonika, iv) vedy</w:t>
            </w:r>
            <w:r w:rsidR="00326E55" w:rsidRPr="00326E55">
              <w:rPr>
                <w:rFonts w:ascii="Times New Roman" w:hAnsi="Times New Roman"/>
                <w:noProof/>
                <w:color w:val="006100"/>
                <w:spacing w:val="-6"/>
                <w:sz w:val="20"/>
                <w:lang w:val="sk-SK"/>
              </w:rPr>
              <w:t xml:space="preserve"> o </w:t>
            </w:r>
            <w:r w:rsidRPr="00326E55">
              <w:rPr>
                <w:rFonts w:ascii="Times New Roman" w:hAnsi="Times New Roman"/>
                <w:noProof/>
                <w:color w:val="006100"/>
                <w:spacing w:val="-6"/>
                <w:sz w:val="20"/>
                <w:lang w:val="sk-SK"/>
              </w:rPr>
              <w:t>živote, v) umelá inteligencia, vi) energetická transformácia.</w:t>
            </w:r>
          </w:p>
          <w:p w14:paraId="3511759A" w14:textId="31AC6D34"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noProof/>
                <w:spacing w:val="-6"/>
                <w:lang w:val="sk-SK"/>
              </w:rPr>
              <w:t>Uspokojivé splnenie cieľa z</w:t>
            </w:r>
            <w:r w:rsidRPr="00326E55">
              <w:rPr>
                <w:rFonts w:ascii="Times New Roman" w:hAnsi="Times New Roman"/>
                <w:noProof/>
                <w:spacing w:val="-6"/>
                <w:lang w:val="sk-SK"/>
              </w:rPr>
              <w:t>ávisí aj od prijatia najmenej 30 riadiacich pracovníkov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 do integrovaného systému výskumnej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inovačnej infraštruktúry.</w:t>
            </w:r>
          </w:p>
        </w:tc>
      </w:tr>
      <w:tr w:rsidR="00BF03AA" w:rsidRPr="00326E55" w14:paraId="37730A30" w14:textId="77777777">
        <w:trPr>
          <w:trHeight w:val="313"/>
        </w:trPr>
        <w:tc>
          <w:tcPr>
            <w:tcW w:w="1441" w:type="dxa"/>
            <w:shd w:val="clear" w:color="auto" w:fill="C6EFCE"/>
            <w:noWrap/>
            <w:vAlign w:val="center"/>
            <w:hideMark/>
          </w:tcPr>
          <w:p w14:paraId="2442A32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M4C2 – 16 bis </w:t>
            </w:r>
          </w:p>
        </w:tc>
        <w:tc>
          <w:tcPr>
            <w:tcW w:w="1395" w:type="dxa"/>
            <w:shd w:val="clear" w:color="auto" w:fill="C6EFCE"/>
            <w:noWrap/>
            <w:vAlign w:val="center"/>
            <w:hideMark/>
          </w:tcPr>
          <w:p w14:paraId="2B7ABEDB" w14:textId="1D60143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3.1: Výskumné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inovačné infraštruktúry</w:t>
            </w:r>
          </w:p>
        </w:tc>
        <w:tc>
          <w:tcPr>
            <w:tcW w:w="1486" w:type="dxa"/>
            <w:shd w:val="clear" w:color="auto" w:fill="C6EFCE"/>
            <w:noWrap/>
            <w:vAlign w:val="center"/>
            <w:hideMark/>
          </w:tcPr>
          <w:p w14:paraId="1EF8924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41" w:type="dxa"/>
            <w:shd w:val="clear" w:color="auto" w:fill="C6EFCE"/>
            <w:noWrap/>
            <w:vAlign w:val="center"/>
            <w:hideMark/>
          </w:tcPr>
          <w:p w14:paraId="41117D66" w14:textId="72168759"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Počet výskumných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inovačných infraštruktúr, ktoré ukončili svoje činnosti </w:t>
            </w:r>
          </w:p>
        </w:tc>
        <w:tc>
          <w:tcPr>
            <w:tcW w:w="1584" w:type="dxa"/>
            <w:shd w:val="clear" w:color="auto" w:fill="C6EFCE"/>
            <w:noWrap/>
            <w:vAlign w:val="center"/>
            <w:hideMark/>
          </w:tcPr>
          <w:p w14:paraId="57047B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NEUVÁDZA SA</w:t>
            </w:r>
          </w:p>
        </w:tc>
        <w:tc>
          <w:tcPr>
            <w:tcW w:w="1297" w:type="dxa"/>
            <w:shd w:val="clear" w:color="auto" w:fill="C6EFCE"/>
            <w:noWrap/>
            <w:vAlign w:val="center"/>
            <w:hideMark/>
          </w:tcPr>
          <w:p w14:paraId="61FC5E7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2" w:type="dxa"/>
            <w:shd w:val="clear" w:color="auto" w:fill="C6EFCE"/>
            <w:noWrap/>
            <w:vAlign w:val="center"/>
            <w:hideMark/>
          </w:tcPr>
          <w:p w14:paraId="29C00AD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296" w:type="dxa"/>
            <w:shd w:val="clear" w:color="auto" w:fill="C6EFCE"/>
            <w:noWrap/>
            <w:vAlign w:val="center"/>
            <w:hideMark/>
          </w:tcPr>
          <w:p w14:paraId="476CA24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30</w:t>
            </w:r>
          </w:p>
        </w:tc>
        <w:tc>
          <w:tcPr>
            <w:tcW w:w="1009" w:type="dxa"/>
            <w:shd w:val="clear" w:color="auto" w:fill="C6EFCE"/>
            <w:noWrap/>
            <w:vAlign w:val="center"/>
            <w:hideMark/>
          </w:tcPr>
          <w:p w14:paraId="2D99BB1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7DABE1A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452" w:type="dxa"/>
            <w:shd w:val="clear" w:color="auto" w:fill="C6EFCE"/>
            <w:noWrap/>
            <w:vAlign w:val="center"/>
            <w:hideMark/>
          </w:tcPr>
          <w:p w14:paraId="45FDDF79" w14:textId="46902775"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Vydá sa vypracovanie správ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výskumných činnostiach pre najmenej 30 projektov výskumných (IR)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inovačných (ITEC) infraštruktúr.</w:t>
            </w:r>
          </w:p>
        </w:tc>
      </w:tr>
      <w:tr w:rsidR="00BF03AA" w:rsidRPr="00326E55" w14:paraId="6D2ABF8B" w14:textId="77777777">
        <w:trPr>
          <w:trHeight w:val="313"/>
        </w:trPr>
        <w:tc>
          <w:tcPr>
            <w:tcW w:w="1441" w:type="dxa"/>
            <w:shd w:val="clear" w:color="auto" w:fill="C6EFCE"/>
            <w:noWrap/>
            <w:vAlign w:val="center"/>
            <w:hideMark/>
          </w:tcPr>
          <w:p w14:paraId="535A961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17</w:t>
            </w:r>
          </w:p>
        </w:tc>
        <w:tc>
          <w:tcPr>
            <w:tcW w:w="1395" w:type="dxa"/>
            <w:shd w:val="clear" w:color="auto" w:fill="C6EFCE"/>
            <w:noWrap/>
            <w:vAlign w:val="center"/>
            <w:hideMark/>
          </w:tcPr>
          <w:p w14:paraId="553E166D" w14:textId="62F16E6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3.1: </w:t>
            </w:r>
            <w:r w:rsidRPr="00326E55">
              <w:rPr>
                <w:rFonts w:ascii="Times New Roman" w:hAnsi="Times New Roman"/>
                <w:noProof/>
                <w:spacing w:val="-6"/>
                <w:lang w:val="sk-SK"/>
              </w:rPr>
              <w:t>Fond na výstavbu integrovaného systému výskumných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inovačných infraštruktúr; Investície</w:t>
            </w:r>
          </w:p>
        </w:tc>
        <w:tc>
          <w:tcPr>
            <w:tcW w:w="1486" w:type="dxa"/>
            <w:shd w:val="clear" w:color="auto" w:fill="C6EFCE"/>
            <w:noWrap/>
            <w:vAlign w:val="center"/>
            <w:hideMark/>
          </w:tcPr>
          <w:p w14:paraId="49EF346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41" w:type="dxa"/>
            <w:shd w:val="clear" w:color="auto" w:fill="C6EFCE"/>
            <w:noWrap/>
            <w:vAlign w:val="center"/>
            <w:hideMark/>
          </w:tcPr>
          <w:p w14:paraId="78BA4754" w14:textId="4BE6CF4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Zadávanie zákaziek na projekty, ktoré sa týkajú: a) integrovaný systém výskumných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inovačných infraštruktúr</w:t>
            </w:r>
          </w:p>
        </w:tc>
        <w:tc>
          <w:tcPr>
            <w:tcW w:w="1584" w:type="dxa"/>
            <w:shd w:val="clear" w:color="auto" w:fill="C6EFCE"/>
            <w:noWrap/>
            <w:vAlign w:val="center"/>
            <w:hideMark/>
          </w:tcPr>
          <w:p w14:paraId="1D4F61A5" w14:textId="364AF73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w:t>
            </w:r>
          </w:p>
        </w:tc>
        <w:tc>
          <w:tcPr>
            <w:tcW w:w="1297" w:type="dxa"/>
            <w:shd w:val="clear" w:color="auto" w:fill="C6EFCE"/>
            <w:noWrap/>
            <w:vAlign w:val="center"/>
            <w:hideMark/>
          </w:tcPr>
          <w:p w14:paraId="0961C1C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52" w:type="dxa"/>
            <w:shd w:val="clear" w:color="auto" w:fill="C6EFCE"/>
            <w:noWrap/>
            <w:vAlign w:val="center"/>
            <w:hideMark/>
          </w:tcPr>
          <w:p w14:paraId="0654743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6" w:type="dxa"/>
            <w:shd w:val="clear" w:color="auto" w:fill="C6EFCE"/>
            <w:noWrap/>
            <w:vAlign w:val="center"/>
            <w:hideMark/>
          </w:tcPr>
          <w:p w14:paraId="70FA67C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9" w:type="dxa"/>
            <w:shd w:val="clear" w:color="auto" w:fill="C6EFCE"/>
            <w:noWrap/>
            <w:vAlign w:val="center"/>
            <w:hideMark/>
          </w:tcPr>
          <w:p w14:paraId="516BE6F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3387F82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452" w:type="dxa"/>
            <w:shd w:val="clear" w:color="auto" w:fill="C6EFCE"/>
            <w:noWrap/>
            <w:vAlign w:val="center"/>
            <w:hideMark/>
          </w:tcPr>
          <w:p w14:paraId="0248D8E0" w14:textId="6BFC745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w:t>
            </w:r>
            <w:r w:rsidRPr="00326E55">
              <w:rPr>
                <w:rFonts w:ascii="Times New Roman" w:hAnsi="Times New Roman"/>
                <w:noProof/>
                <w:spacing w:val="-6"/>
                <w:lang w:val="sk-SK"/>
              </w:rPr>
              <w:t>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p w14:paraId="574455E3" w14:textId="77777777" w:rsidR="00326E55"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Návrhy sa vyberajú na základe týchto kritérií</w:t>
            </w:r>
            <w:r w:rsidR="00326E55" w:rsidRPr="00326E55">
              <w:rPr>
                <w:rFonts w:ascii="Times New Roman" w:hAnsi="Times New Roman"/>
                <w:noProof/>
                <w:spacing w:val="-6"/>
                <w:lang w:val="sk-SK"/>
              </w:rPr>
              <w:t>:</w:t>
            </w:r>
          </w:p>
          <w:p w14:paraId="1624ED32" w14:textId="7417E2F8"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vedúce postavenie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vedy/technológie/inovácie, ich inovačný potenciál (z </w:t>
            </w:r>
            <w:r w:rsidRPr="00326E55">
              <w:rPr>
                <w:rFonts w:ascii="Times New Roman" w:hAnsi="Times New Roman"/>
                <w:noProof/>
                <w:spacing w:val="-6"/>
                <w:lang w:val="sk-SK"/>
              </w:rPr>
              <w:t>hľadiska otvorených inovácií/otvorených údajov, ako aj priemyselného rozvoja), ich súlad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tematickými oblasťami alebo nový prelomový vývoj, ich translačné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inovačné plány, podpora priemyslu ako partnera pre otvorenú inováciu a/alebo ako používateľov, </w:t>
            </w:r>
            <w:r w:rsidRPr="00326E55">
              <w:rPr>
                <w:rFonts w:ascii="Times New Roman" w:hAnsi="Times New Roman"/>
                <w:noProof/>
                <w:spacing w:val="-6"/>
                <w:lang w:val="sk-SK"/>
              </w:rPr>
              <w:t>sila činností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rozvoja podnikania, tvorba duševného vlastníctva, jasné pravidlá na rozlišovanie otvorených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chránených plánov produkcie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licencií, ich schopnosť rozvíjať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hostiť priemyselné doktoráty, prepojenia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podnikom alebo inými typmi fon</w:t>
            </w:r>
            <w:r w:rsidRPr="00326E55">
              <w:rPr>
                <w:rFonts w:ascii="Times New Roman" w:hAnsi="Times New Roman"/>
                <w:noProof/>
                <w:spacing w:val="-6"/>
                <w:lang w:val="sk-SK"/>
              </w:rPr>
              <w:t>dov na uľahčenie rozvoja nových startupov.</w:t>
            </w:r>
          </w:p>
          <w:p w14:paraId="21AC61A5" w14:textId="56167EB2"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Výberové konanie si vyžaduje hodnotenie zásady „výrazne nenarušiť“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prípadne strategické environmentálne hodnotenie (SEA)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že sa očakáva, že projekt bude mať konzistentný vplyv na dané územie.</w:t>
            </w:r>
          </w:p>
        </w:tc>
      </w:tr>
      <w:tr w:rsidR="00BF03AA" w:rsidRPr="00326E55" w14:paraId="476EE27A" w14:textId="77777777">
        <w:trPr>
          <w:trHeight w:val="313"/>
        </w:trPr>
        <w:tc>
          <w:tcPr>
            <w:tcW w:w="1441" w:type="dxa"/>
            <w:shd w:val="clear" w:color="auto" w:fill="C6EFCE"/>
            <w:noWrap/>
            <w:vAlign w:val="center"/>
          </w:tcPr>
          <w:p w14:paraId="1C03381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M4C2 – </w:t>
            </w:r>
            <w:r w:rsidRPr="00326E55">
              <w:rPr>
                <w:rFonts w:ascii="Times New Roman" w:hAnsi="Times New Roman"/>
                <w:noProof/>
                <w:spacing w:val="-6"/>
                <w:lang w:val="sk-SK"/>
              </w:rPr>
              <w:t>18</w:t>
            </w:r>
          </w:p>
        </w:tc>
        <w:tc>
          <w:tcPr>
            <w:tcW w:w="1395" w:type="dxa"/>
            <w:shd w:val="clear" w:color="auto" w:fill="C6EFCE"/>
            <w:noWrap/>
            <w:vAlign w:val="center"/>
          </w:tcPr>
          <w:p w14:paraId="428AFF0D" w14:textId="1BE35F5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Položka1.5: Vytvorenie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„inovačných ekosystémov pre udržateľnosť“, budovanie „územných lídrov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p>
        </w:tc>
        <w:tc>
          <w:tcPr>
            <w:tcW w:w="1486" w:type="dxa"/>
            <w:shd w:val="clear" w:color="auto" w:fill="C6EFCE"/>
            <w:noWrap/>
            <w:vAlign w:val="center"/>
          </w:tcPr>
          <w:p w14:paraId="696780D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41" w:type="dxa"/>
            <w:shd w:val="clear" w:color="auto" w:fill="C6EFCE"/>
            <w:noWrap/>
            <w:vAlign w:val="center"/>
          </w:tcPr>
          <w:p w14:paraId="42C7BB1C" w14:textId="6E22095B"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Zadávanie zákaziek na projekty týkajúce sa inovačných ekosystémov;</w:t>
            </w:r>
          </w:p>
        </w:tc>
        <w:tc>
          <w:tcPr>
            <w:tcW w:w="1584" w:type="dxa"/>
            <w:shd w:val="clear" w:color="auto" w:fill="C6EFCE"/>
            <w:noWrap/>
            <w:vAlign w:val="center"/>
          </w:tcPr>
          <w:p w14:paraId="036201AF" w14:textId="3EB9104E"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w:t>
            </w:r>
          </w:p>
        </w:tc>
        <w:tc>
          <w:tcPr>
            <w:tcW w:w="1297" w:type="dxa"/>
            <w:shd w:val="clear" w:color="auto" w:fill="C6EFCE"/>
            <w:noWrap/>
            <w:vAlign w:val="center"/>
          </w:tcPr>
          <w:p w14:paraId="61E7484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52" w:type="dxa"/>
            <w:shd w:val="clear" w:color="auto" w:fill="C6EFCE"/>
            <w:noWrap/>
            <w:vAlign w:val="center"/>
          </w:tcPr>
          <w:p w14:paraId="00CBA98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6" w:type="dxa"/>
            <w:shd w:val="clear" w:color="auto" w:fill="C6EFCE"/>
            <w:noWrap/>
            <w:vAlign w:val="center"/>
          </w:tcPr>
          <w:p w14:paraId="20325CB5"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9" w:type="dxa"/>
            <w:shd w:val="clear" w:color="auto" w:fill="C6EFCE"/>
            <w:noWrap/>
            <w:vAlign w:val="center"/>
          </w:tcPr>
          <w:p w14:paraId="471B50F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tcPr>
          <w:p w14:paraId="7DFED8F4"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452" w:type="dxa"/>
            <w:shd w:val="clear" w:color="auto" w:fill="C6EFCE"/>
            <w:noWrap/>
            <w:vAlign w:val="center"/>
          </w:tcPr>
          <w:p w14:paraId="34D60579" w14:textId="7F4FC4B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w:t>
            </w:r>
            <w:r w:rsidRPr="00326E55">
              <w:rPr>
                <w:rFonts w:ascii="Times New Roman" w:hAnsi="Times New Roman"/>
                <w:noProof/>
                <w:spacing w:val="-6"/>
                <w:lang w:val="sk-SK"/>
              </w:rPr>
              <w:t>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p w14:paraId="119CBE1D" w14:textId="0229B5F6"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Výberové konanie si vyžaduje hodnotenie zásady „výrazne nenarušiť“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prípadne strategické environmentálne hodnotenie (SEA)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že sa očakáva, že projekt bude mať konzistentný vplyv na dané územie.</w:t>
            </w:r>
          </w:p>
          <w:p w14:paraId="45361921" w14:textId="6F705EFA"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Národné centrá sa vytvoria na základe súťažnej výzvy zlúčením existujúcich špičkových laboratórií, ktoré už pôsobia na univerzitách,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verejných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súkromných výskumných centier,</w:t>
            </w:r>
            <w:r w:rsidRPr="00326E55">
              <w:rPr>
                <w:rFonts w:ascii="Times New Roman" w:hAnsi="Times New Roman"/>
                <w:noProof/>
                <w:spacing w:val="-6"/>
                <w:lang w:val="sk-SK"/>
              </w:rPr>
              <w:t xml:space="preserve"> ako aj vytvorením novej prispôsobenej infraštruktúry.</w:t>
            </w:r>
          </w:p>
        </w:tc>
      </w:tr>
      <w:tr w:rsidR="00BF03AA" w:rsidRPr="00326E55" w14:paraId="51C9DDEE" w14:textId="77777777">
        <w:trPr>
          <w:trHeight w:val="313"/>
        </w:trPr>
        <w:tc>
          <w:tcPr>
            <w:tcW w:w="1441" w:type="dxa"/>
            <w:shd w:val="clear" w:color="auto" w:fill="C6EFCE"/>
            <w:noWrap/>
            <w:vAlign w:val="center"/>
          </w:tcPr>
          <w:p w14:paraId="03F333D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M4C2 – 18 Bis</w:t>
            </w:r>
          </w:p>
        </w:tc>
        <w:tc>
          <w:tcPr>
            <w:tcW w:w="1395" w:type="dxa"/>
            <w:shd w:val="clear" w:color="auto" w:fill="C6EFCE"/>
            <w:noWrap/>
            <w:vAlign w:val="center"/>
          </w:tcPr>
          <w:p w14:paraId="2418B0EC" w14:textId="0CCA2DAD"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Položka1.5: „Inovačné ekosystémy pre udržateľnosť“, budovanie „územných lídrov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p>
        </w:tc>
        <w:tc>
          <w:tcPr>
            <w:tcW w:w="1486" w:type="dxa"/>
            <w:shd w:val="clear" w:color="auto" w:fill="C6EFCE"/>
            <w:noWrap/>
            <w:vAlign w:val="center"/>
          </w:tcPr>
          <w:p w14:paraId="6248243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41" w:type="dxa"/>
            <w:shd w:val="clear" w:color="auto" w:fill="C6EFCE"/>
            <w:noWrap/>
            <w:vAlign w:val="center"/>
          </w:tcPr>
          <w:p w14:paraId="04A1A9E6" w14:textId="3AE4A872"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Činnosti vykonávané inovačnými ekosystémami</w:t>
            </w:r>
          </w:p>
        </w:tc>
        <w:tc>
          <w:tcPr>
            <w:tcW w:w="1584" w:type="dxa"/>
            <w:shd w:val="clear" w:color="auto" w:fill="C6EFCE"/>
            <w:noWrap/>
            <w:vAlign w:val="center"/>
          </w:tcPr>
          <w:p w14:paraId="48FF893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NEUVÁDZA SA</w:t>
            </w:r>
          </w:p>
        </w:tc>
        <w:tc>
          <w:tcPr>
            <w:tcW w:w="1297" w:type="dxa"/>
            <w:shd w:val="clear" w:color="auto" w:fill="C6EFCE"/>
            <w:noWrap/>
            <w:vAlign w:val="center"/>
          </w:tcPr>
          <w:p w14:paraId="0E3FC05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2" w:type="dxa"/>
            <w:shd w:val="clear" w:color="auto" w:fill="C6EFCE"/>
            <w:noWrap/>
            <w:vAlign w:val="center"/>
          </w:tcPr>
          <w:p w14:paraId="3EC2E71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296" w:type="dxa"/>
            <w:shd w:val="clear" w:color="auto" w:fill="C6EFCE"/>
            <w:noWrap/>
            <w:vAlign w:val="center"/>
          </w:tcPr>
          <w:p w14:paraId="5628C94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10</w:t>
            </w:r>
          </w:p>
        </w:tc>
        <w:tc>
          <w:tcPr>
            <w:tcW w:w="1009" w:type="dxa"/>
            <w:shd w:val="clear" w:color="auto" w:fill="C6EFCE"/>
            <w:noWrap/>
            <w:vAlign w:val="center"/>
          </w:tcPr>
          <w:p w14:paraId="75BF8EA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tcPr>
          <w:p w14:paraId="50D063E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452" w:type="dxa"/>
            <w:shd w:val="clear" w:color="auto" w:fill="C6EFCE"/>
            <w:noWrap/>
            <w:vAlign w:val="center"/>
          </w:tcPr>
          <w:p w14:paraId="65964B0B" w14:textId="7DA7B2A9"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Vydá sa vypracovanie správ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výskumných činnostiach pre najmenej 10 inovačných ekosystémov.</w:t>
            </w:r>
          </w:p>
        </w:tc>
      </w:tr>
      <w:tr w:rsidR="00BF03AA" w:rsidRPr="00326E55" w14:paraId="05602867" w14:textId="77777777">
        <w:trPr>
          <w:trHeight w:val="313"/>
        </w:trPr>
        <w:tc>
          <w:tcPr>
            <w:tcW w:w="1441" w:type="dxa"/>
            <w:shd w:val="clear" w:color="auto" w:fill="C6EFCE"/>
            <w:noWrap/>
            <w:vAlign w:val="center"/>
          </w:tcPr>
          <w:p w14:paraId="4853D3B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19</w:t>
            </w:r>
          </w:p>
        </w:tc>
        <w:tc>
          <w:tcPr>
            <w:tcW w:w="1395" w:type="dxa"/>
            <w:shd w:val="clear" w:color="auto" w:fill="C6EFCE"/>
            <w:noWrap/>
            <w:vAlign w:val="center"/>
          </w:tcPr>
          <w:p w14:paraId="52EF0986" w14:textId="3754254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 Posilnenie výskumných štruktúr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podpora vytvárania „vnútroštátnych lídrov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niektorých </w:t>
            </w:r>
            <w:r w:rsidRPr="00326E55">
              <w:rPr>
                <w:rFonts w:ascii="Times New Roman" w:hAnsi="Times New Roman"/>
                <w:noProof/>
                <w:spacing w:val="-6"/>
                <w:lang w:val="sk-SK"/>
              </w:rPr>
              <w:t>kľúčových podporných technológií</w:t>
            </w:r>
          </w:p>
        </w:tc>
        <w:tc>
          <w:tcPr>
            <w:tcW w:w="1486" w:type="dxa"/>
            <w:shd w:val="clear" w:color="auto" w:fill="C6EFCE"/>
            <w:noWrap/>
            <w:vAlign w:val="center"/>
          </w:tcPr>
          <w:p w14:paraId="374D29E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41" w:type="dxa"/>
            <w:shd w:val="clear" w:color="auto" w:fill="C6EFCE"/>
            <w:noWrap/>
            <w:vAlign w:val="center"/>
          </w:tcPr>
          <w:p w14:paraId="264E578B" w14:textId="3BAEF1A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Zadávanie zákaziek na projekty týkajúce sa vnútroštátnych vedúcich pracovníkov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kľúčových podporných technológií</w:t>
            </w:r>
          </w:p>
        </w:tc>
        <w:tc>
          <w:tcPr>
            <w:tcW w:w="1584" w:type="dxa"/>
            <w:shd w:val="clear" w:color="auto" w:fill="C6EFCE"/>
            <w:noWrap/>
            <w:vAlign w:val="center"/>
          </w:tcPr>
          <w:p w14:paraId="26813F4C" w14:textId="6CBBD0C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w:t>
            </w:r>
          </w:p>
        </w:tc>
        <w:tc>
          <w:tcPr>
            <w:tcW w:w="1297" w:type="dxa"/>
            <w:shd w:val="clear" w:color="auto" w:fill="C6EFCE"/>
            <w:noWrap/>
            <w:vAlign w:val="center"/>
          </w:tcPr>
          <w:p w14:paraId="47660B3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52" w:type="dxa"/>
            <w:shd w:val="clear" w:color="auto" w:fill="C6EFCE"/>
            <w:noWrap/>
            <w:vAlign w:val="center"/>
          </w:tcPr>
          <w:p w14:paraId="30CA32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6" w:type="dxa"/>
            <w:shd w:val="clear" w:color="auto" w:fill="C6EFCE"/>
            <w:noWrap/>
            <w:vAlign w:val="center"/>
          </w:tcPr>
          <w:p w14:paraId="57EEDF1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w:t>
            </w:r>
          </w:p>
        </w:tc>
        <w:tc>
          <w:tcPr>
            <w:tcW w:w="1009" w:type="dxa"/>
            <w:shd w:val="clear" w:color="auto" w:fill="C6EFCE"/>
            <w:noWrap/>
            <w:vAlign w:val="center"/>
          </w:tcPr>
          <w:p w14:paraId="01F20C7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tcPr>
          <w:p w14:paraId="3DD4FC2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452" w:type="dxa"/>
            <w:shd w:val="clear" w:color="auto" w:fill="C6EFCE"/>
            <w:noWrap/>
            <w:vAlign w:val="center"/>
          </w:tcPr>
          <w:p w14:paraId="2EDA7CF3" w14:textId="17298874"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 na projekty vybrané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súťažných výziev na predkladanie návrhov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p w14:paraId="0EF84EC5" w14:textId="3B6D6B9A"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Projekty sa vyberú pre 30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zdrojov ako intervencie „Výskumné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inovačné procesy, transfer technológií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spolupráca medzi podnikmi so zameraním na nízkou</w:t>
            </w:r>
            <w:r w:rsidRPr="00326E55">
              <w:rPr>
                <w:rFonts w:ascii="Times New Roman" w:hAnsi="Times New Roman"/>
                <w:noProof/>
                <w:spacing w:val="-6"/>
                <w:lang w:val="sk-SK"/>
              </w:rPr>
              <w:t>hlíkové hospodárstvo, odolnosť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adaptáciu na zmenu klímy“ (IF022)</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15</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zdrojov ako intervencie „Výskumné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inovačné procesy, transfer technológií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spolupráca medzi podnikmi so zameraním na obehové hospodárstvo“ (IF023).</w:t>
            </w:r>
          </w:p>
          <w:p w14:paraId="66F2A2E5" w14:textId="6E45DE78"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Projekty sa posudzujú</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prihliad</w:t>
            </w:r>
            <w:r w:rsidRPr="00326E55">
              <w:rPr>
                <w:rFonts w:ascii="Times New Roman" w:hAnsi="Times New Roman"/>
                <w:noProof/>
                <w:spacing w:val="-6"/>
                <w:lang w:val="sk-SK"/>
              </w:rPr>
              <w:t>nutím na ich uskutočniteľnosť, udržateľnosť, pôvod</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iných zdrojov (napríklad</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regionálnych fondov), zapojenie výrobného odvetvia, kvalitu partnerov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vplyv na sociálnu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environmentálnu udržateľnosť. Výzva na financovanie projektov ako inovačných ekosyst</w:t>
            </w:r>
            <w:r w:rsidRPr="00326E55">
              <w:rPr>
                <w:rFonts w:ascii="Times New Roman" w:hAnsi="Times New Roman"/>
                <w:noProof/>
                <w:spacing w:val="-6"/>
                <w:lang w:val="sk-SK"/>
              </w:rPr>
              <w:t>émov. Výberové konanie si vyžaduje hodnotenie zásady „výrazne nenarušiť“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prípadne strategické environmentálne hodnotenie (SEA)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že sa očakáva, že projekt bude mať konzistentný vplyv na dané územie.</w:t>
            </w:r>
          </w:p>
        </w:tc>
      </w:tr>
      <w:tr w:rsidR="00BF03AA" w:rsidRPr="00326E55" w14:paraId="7B87238D" w14:textId="77777777">
        <w:trPr>
          <w:trHeight w:val="313"/>
        </w:trPr>
        <w:tc>
          <w:tcPr>
            <w:tcW w:w="1441" w:type="dxa"/>
            <w:shd w:val="clear" w:color="auto" w:fill="C6EFCE"/>
            <w:noWrap/>
            <w:vAlign w:val="center"/>
            <w:hideMark/>
          </w:tcPr>
          <w:p w14:paraId="54FA988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20</w:t>
            </w:r>
          </w:p>
        </w:tc>
        <w:tc>
          <w:tcPr>
            <w:tcW w:w="1395" w:type="dxa"/>
            <w:shd w:val="clear" w:color="auto" w:fill="C6EFCE"/>
            <w:noWrap/>
            <w:vAlign w:val="center"/>
            <w:hideMark/>
          </w:tcPr>
          <w:p w14:paraId="2CBAA48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3.2: Kapitálová injekcia</w:t>
            </w:r>
            <w:r w:rsidRPr="00326E55">
              <w:rPr>
                <w:rFonts w:ascii="Times New Roman" w:hAnsi="Times New Roman"/>
                <w:noProof/>
                <w:spacing w:val="-6"/>
                <w:lang w:val="sk-SK"/>
              </w:rPr>
              <w:t xml:space="preserve"> do Fondu na digitálnu transformáciu (ďalej len „DTF“)</w:t>
            </w:r>
          </w:p>
        </w:tc>
        <w:tc>
          <w:tcPr>
            <w:tcW w:w="1486" w:type="dxa"/>
            <w:shd w:val="clear" w:color="auto" w:fill="C6EFCE"/>
            <w:noWrap/>
            <w:vAlign w:val="center"/>
            <w:hideMark/>
          </w:tcPr>
          <w:p w14:paraId="0F47747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41" w:type="dxa"/>
            <w:shd w:val="clear" w:color="auto" w:fill="C6EFCE"/>
            <w:noWrap/>
            <w:vAlign w:val="center"/>
            <w:hideMark/>
          </w:tcPr>
          <w:p w14:paraId="434BB865" w14:textId="55B8972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Podpísaná dohoda medzi IT vládou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implementujúcim partnerom Cassa Depositi e Prestiti (CDP), ktorou sa zriaďuje finančný nástroj</w:t>
            </w:r>
          </w:p>
        </w:tc>
        <w:tc>
          <w:tcPr>
            <w:tcW w:w="1584" w:type="dxa"/>
            <w:shd w:val="clear" w:color="auto" w:fill="C6EFCE"/>
            <w:noWrap/>
            <w:vAlign w:val="center"/>
            <w:hideMark/>
          </w:tcPr>
          <w:p w14:paraId="4AEDD940" w14:textId="1412995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Dohodu podpisuje talianska vláda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Cassa Depositi e Prestiti.</w:t>
            </w:r>
          </w:p>
        </w:tc>
        <w:tc>
          <w:tcPr>
            <w:tcW w:w="1297" w:type="dxa"/>
            <w:shd w:val="clear" w:color="auto" w:fill="C6EFCE"/>
            <w:noWrap/>
            <w:vAlign w:val="center"/>
            <w:hideMark/>
          </w:tcPr>
          <w:p w14:paraId="21B44EE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52" w:type="dxa"/>
            <w:shd w:val="clear" w:color="auto" w:fill="C6EFCE"/>
            <w:noWrap/>
            <w:vAlign w:val="center"/>
            <w:hideMark/>
          </w:tcPr>
          <w:p w14:paraId="1D44E2C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6" w:type="dxa"/>
            <w:shd w:val="clear" w:color="auto" w:fill="C6EFCE"/>
            <w:noWrap/>
            <w:vAlign w:val="center"/>
            <w:hideMark/>
          </w:tcPr>
          <w:p w14:paraId="76BC5F0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9" w:type="dxa"/>
            <w:shd w:val="clear" w:color="auto" w:fill="C6EFCE"/>
            <w:noWrap/>
            <w:vAlign w:val="center"/>
            <w:hideMark/>
          </w:tcPr>
          <w:p w14:paraId="339689F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31380E2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452" w:type="dxa"/>
            <w:shd w:val="clear" w:color="auto" w:fill="C6EFCE"/>
            <w:noWrap/>
            <w:vAlign w:val="center"/>
            <w:hideMark/>
          </w:tcPr>
          <w:p w14:paraId="4E845300"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Prvky, ktoré sa zahrnú do investičnej politiky/stratégie finančného nástroja, sú:</w:t>
            </w:r>
          </w:p>
          <w:p w14:paraId="4570F680" w14:textId="48AAA187"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Investičné ciele (veľkosť fondu, počet operácií, sumy, ktoré sa majú podporovať</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priebehu času, rozlíšené podľa príjemcov</w:t>
            </w:r>
            <w:r w:rsidRPr="00326E55">
              <w:rPr>
                <w:rFonts w:ascii="Times New Roman" w:hAnsi="Times New Roman"/>
                <w:noProof/>
                <w:color w:val="006100"/>
                <w:spacing w:val="-6"/>
                <w:sz w:val="20"/>
                <w:lang w:val="sk-SK"/>
              </w:rPr>
              <w:t>, ako sú MSP</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spoločnosti so strednou trhovou kapitalizáciou/veľké spoločnosti)</w:t>
            </w:r>
          </w:p>
          <w:p w14:paraId="19AD5BA0" w14:textId="05CC7398"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Rozsah pôsobnosti</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oprávnení prijímatelia</w:t>
            </w:r>
          </w:p>
          <w:p w14:paraId="2AA0DBC6" w14:textId="08A7E36A"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Oprávnení finanční sprostredkovatelia</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výberový proces</w:t>
            </w:r>
          </w:p>
          <w:p w14:paraId="781BFBD1" w14:textId="4EC48997"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Druh poskytnutej podpory (ako sú záruky, úvery, vlastný kapitál</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kváz</w:t>
            </w:r>
            <w:r w:rsidRPr="00326E55">
              <w:rPr>
                <w:rFonts w:ascii="Times New Roman" w:hAnsi="Times New Roman"/>
                <w:noProof/>
                <w:color w:val="006100"/>
                <w:spacing w:val="-6"/>
                <w:sz w:val="20"/>
                <w:lang w:val="sk-SK"/>
              </w:rPr>
              <w:t>ikapitál)</w:t>
            </w:r>
          </w:p>
          <w:p w14:paraId="6498664D" w14:textId="77777777"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Cielené riziko/výnosy pre každý typ investora</w:t>
            </w:r>
          </w:p>
          <w:p w14:paraId="45998F09" w14:textId="6198D87C"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Politika</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oblasti rizík</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politika</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oblasti boja proti praniu špinavých peňazí</w:t>
            </w:r>
          </w:p>
          <w:p w14:paraId="2F1117CC" w14:textId="104BDC8B"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Správa</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riadenie (partneri, správcovia fondov, predstavenstvo, investičný výbor, úloha</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povinnosti)</w:t>
            </w:r>
          </w:p>
          <w:p w14:paraId="3DCACA8C" w14:textId="63F26BC5"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Diverzifikácia</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limity koncentrácie</w:t>
            </w:r>
          </w:p>
          <w:p w14:paraId="27C923BE" w14:textId="77777777" w:rsidR="00BF03AA" w:rsidRPr="00326E55" w:rsidRDefault="00FB452D">
            <w:pPr>
              <w:ind w:left="176" w:hanging="176"/>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Kapitálová politika vrátane stratégie ukončenia angažovanosti pre kapitálové investície</w:t>
            </w:r>
          </w:p>
          <w:p w14:paraId="6A6D036B" w14:textId="78558248" w:rsidR="00BF03AA" w:rsidRPr="00326E55" w:rsidRDefault="00FB452D">
            <w:pPr>
              <w:ind w:left="176" w:hanging="142"/>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Zásada „výrazne nenarušiť“</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politika overovania udržateľnosti</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zoznam vylúčených subjektov</w:t>
            </w:r>
          </w:p>
          <w:p w14:paraId="73290014" w14:textId="1661DD61" w:rsidR="00BF03AA" w:rsidRPr="00326E55" w:rsidRDefault="00FB452D">
            <w:pPr>
              <w:ind w:left="176" w:hanging="142"/>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Politika poskytovania úverov pre</w:t>
            </w:r>
            <w:r w:rsidRPr="00326E55">
              <w:rPr>
                <w:rFonts w:ascii="Times New Roman" w:hAnsi="Times New Roman"/>
                <w:noProof/>
                <w:color w:val="006100"/>
                <w:spacing w:val="-6"/>
                <w:sz w:val="20"/>
                <w:lang w:val="sk-SK"/>
              </w:rPr>
              <w:t xml:space="preserve"> dlhové investície vrátane požadovaných záruk</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kolaterálu</w:t>
            </w:r>
          </w:p>
          <w:p w14:paraId="06F4E1CD" w14:textId="36841D2D" w:rsidR="00BF03AA" w:rsidRPr="00326E55" w:rsidRDefault="00FB452D">
            <w:pPr>
              <w:ind w:left="176" w:hanging="142"/>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w:t>
            </w:r>
            <w:r w:rsidRPr="00326E55">
              <w:rPr>
                <w:rFonts w:ascii="Times New Roman" w:hAnsi="Times New Roman"/>
                <w:noProof/>
                <w:spacing w:val="-6"/>
                <w:lang w:val="sk-SK"/>
              </w:rPr>
              <w:t xml:space="preserve"> </w:t>
            </w:r>
            <w:r w:rsidRPr="00326E55">
              <w:rPr>
                <w:rFonts w:ascii="Times New Roman" w:hAnsi="Times New Roman"/>
                <w:noProof/>
                <w:color w:val="006100"/>
                <w:spacing w:val="-6"/>
                <w:sz w:val="20"/>
                <w:lang w:val="sk-SK"/>
              </w:rPr>
              <w:t>Harmonogram získavania finančných prostriedkov</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vykonávania</w:t>
            </w:r>
          </w:p>
        </w:tc>
      </w:tr>
      <w:tr w:rsidR="00BF03AA" w:rsidRPr="00326E55" w14:paraId="6C967395" w14:textId="77777777">
        <w:trPr>
          <w:trHeight w:val="313"/>
        </w:trPr>
        <w:tc>
          <w:tcPr>
            <w:tcW w:w="1441" w:type="dxa"/>
            <w:shd w:val="clear" w:color="auto" w:fill="C6EFCE"/>
            <w:noWrap/>
            <w:hideMark/>
          </w:tcPr>
          <w:p w14:paraId="0A6BCD4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21bis</w:t>
            </w:r>
          </w:p>
        </w:tc>
        <w:tc>
          <w:tcPr>
            <w:tcW w:w="1395" w:type="dxa"/>
            <w:shd w:val="clear" w:color="auto" w:fill="C6EFCE"/>
            <w:noWrap/>
            <w:hideMark/>
          </w:tcPr>
          <w:p w14:paraId="64AE52B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3.2 Kapitálová injekcia do Fondu pre digitálnu transformáciu (ďalej len „DTF“)</w:t>
            </w:r>
          </w:p>
        </w:tc>
        <w:tc>
          <w:tcPr>
            <w:tcW w:w="1486" w:type="dxa"/>
            <w:shd w:val="clear" w:color="auto" w:fill="C6EFCE"/>
            <w:noWrap/>
            <w:hideMark/>
          </w:tcPr>
          <w:p w14:paraId="0EA7117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41" w:type="dxa"/>
            <w:shd w:val="clear" w:color="auto" w:fill="C6EFCE"/>
            <w:noWrap/>
            <w:hideMark/>
          </w:tcPr>
          <w:p w14:paraId="3A56C34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Kapitálová injekcia do Fondu pre digitálnu transformáciu </w:t>
            </w:r>
          </w:p>
        </w:tc>
        <w:tc>
          <w:tcPr>
            <w:tcW w:w="1584" w:type="dxa"/>
            <w:shd w:val="clear" w:color="auto" w:fill="C6EFCE"/>
            <w:noWrap/>
            <w:hideMark/>
          </w:tcPr>
          <w:p w14:paraId="2D8F211D" w14:textId="58147D1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prevode </w:t>
            </w:r>
          </w:p>
        </w:tc>
        <w:tc>
          <w:tcPr>
            <w:tcW w:w="1297" w:type="dxa"/>
            <w:shd w:val="clear" w:color="auto" w:fill="C6EFCE"/>
            <w:noWrap/>
            <w:hideMark/>
          </w:tcPr>
          <w:p w14:paraId="66F61B9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52" w:type="dxa"/>
            <w:shd w:val="clear" w:color="auto" w:fill="C6EFCE"/>
            <w:noWrap/>
            <w:hideMark/>
          </w:tcPr>
          <w:p w14:paraId="0A8D69B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96" w:type="dxa"/>
            <w:shd w:val="clear" w:color="auto" w:fill="C6EFCE"/>
            <w:noWrap/>
            <w:hideMark/>
          </w:tcPr>
          <w:p w14:paraId="6E1C6C1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09" w:type="dxa"/>
            <w:shd w:val="clear" w:color="auto" w:fill="C6EFCE"/>
            <w:noWrap/>
            <w:hideMark/>
          </w:tcPr>
          <w:p w14:paraId="536C72F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61" w:type="dxa"/>
            <w:shd w:val="clear" w:color="auto" w:fill="C6EFCE"/>
            <w:noWrap/>
            <w:hideMark/>
          </w:tcPr>
          <w:p w14:paraId="028282A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2452" w:type="dxa"/>
            <w:shd w:val="clear" w:color="auto" w:fill="C6EFCE"/>
            <w:noWrap/>
            <w:hideMark/>
          </w:tcPr>
          <w:p w14:paraId="351BC8E0" w14:textId="77777777" w:rsidR="00326E55"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szCs w:val="20"/>
                <w:lang w:val="sk-SK"/>
              </w:rPr>
              <w:t>Taliansko prevedie 400000000 EUR do DTF</w:t>
            </w:r>
            <w:r w:rsidR="00326E55" w:rsidRPr="00326E55">
              <w:rPr>
                <w:rFonts w:ascii="Times New Roman" w:hAnsi="Times New Roman"/>
                <w:noProof/>
                <w:spacing w:val="-6"/>
                <w:szCs w:val="20"/>
                <w:lang w:val="sk-SK"/>
              </w:rPr>
              <w:t>.</w:t>
            </w:r>
          </w:p>
          <w:p w14:paraId="6FD57FD8" w14:textId="4CEBABB6"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Investičná politika („Accordo Finanziario“) musí byť okrem toho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opisom </w:t>
            </w:r>
            <w:r w:rsidRPr="00326E55">
              <w:rPr>
                <w:rFonts w:ascii="Times New Roman" w:hAnsi="Times New Roman"/>
                <w:noProof/>
                <w:spacing w:val="-6"/>
                <w:lang w:val="sk-SK"/>
              </w:rPr>
              <w:t>opatrenia.</w:t>
            </w:r>
          </w:p>
        </w:tc>
      </w:tr>
      <w:tr w:rsidR="00BF03AA" w:rsidRPr="00326E55" w14:paraId="57134218" w14:textId="77777777">
        <w:trPr>
          <w:trHeight w:val="313"/>
        </w:trPr>
        <w:tc>
          <w:tcPr>
            <w:tcW w:w="1441" w:type="dxa"/>
            <w:shd w:val="clear" w:color="auto" w:fill="C6EFCE"/>
            <w:noWrap/>
          </w:tcPr>
          <w:p w14:paraId="62DD0D8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M4C2 – 21</w:t>
            </w:r>
          </w:p>
        </w:tc>
        <w:tc>
          <w:tcPr>
            <w:tcW w:w="1395" w:type="dxa"/>
            <w:shd w:val="clear" w:color="auto" w:fill="C6EFCE"/>
            <w:noWrap/>
          </w:tcPr>
          <w:p w14:paraId="555D756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3.2 Kapitálová injekcia do Fondu pre digitálnu transformáciu (ďalej len „DTF“)</w:t>
            </w:r>
          </w:p>
        </w:tc>
        <w:tc>
          <w:tcPr>
            <w:tcW w:w="1486" w:type="dxa"/>
            <w:shd w:val="clear" w:color="auto" w:fill="C6EFCE"/>
            <w:noWrap/>
          </w:tcPr>
          <w:p w14:paraId="7D6E879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41" w:type="dxa"/>
            <w:shd w:val="clear" w:color="auto" w:fill="C6EFCE"/>
            <w:noWrap/>
          </w:tcPr>
          <w:p w14:paraId="1454F0D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Prijatie správy</w:t>
            </w:r>
          </w:p>
        </w:tc>
        <w:tc>
          <w:tcPr>
            <w:tcW w:w="1584" w:type="dxa"/>
            <w:shd w:val="clear" w:color="auto" w:fill="C6EFCE"/>
            <w:noWrap/>
          </w:tcPr>
          <w:p w14:paraId="19A8567A"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Prijatie správy</w:t>
            </w:r>
          </w:p>
        </w:tc>
        <w:tc>
          <w:tcPr>
            <w:tcW w:w="1297" w:type="dxa"/>
            <w:shd w:val="clear" w:color="auto" w:fill="C6EFCE"/>
            <w:noWrap/>
          </w:tcPr>
          <w:p w14:paraId="6A0A4F2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52" w:type="dxa"/>
            <w:shd w:val="clear" w:color="auto" w:fill="C6EFCE"/>
            <w:noWrap/>
          </w:tcPr>
          <w:p w14:paraId="288B53E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96" w:type="dxa"/>
            <w:shd w:val="clear" w:color="auto" w:fill="C6EFCE"/>
            <w:noWrap/>
          </w:tcPr>
          <w:p w14:paraId="041F6CE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09" w:type="dxa"/>
            <w:shd w:val="clear" w:color="auto" w:fill="C6EFCE"/>
            <w:noWrap/>
          </w:tcPr>
          <w:p w14:paraId="44A1065F"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61" w:type="dxa"/>
            <w:shd w:val="clear" w:color="auto" w:fill="C6EFCE"/>
            <w:noWrap/>
          </w:tcPr>
          <w:p w14:paraId="707E5668"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452" w:type="dxa"/>
            <w:shd w:val="clear" w:color="auto" w:fill="C6EFCE"/>
            <w:noWrap/>
            <w:vAlign w:val="center"/>
          </w:tcPr>
          <w:p w14:paraId="39C5C333" w14:textId="44958D01"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Taliansko predloží správu,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ktorej uvedie opatrenia, </w:t>
            </w:r>
            <w:r w:rsidRPr="00326E55">
              <w:rPr>
                <w:rFonts w:ascii="Times New Roman" w:hAnsi="Times New Roman"/>
                <w:noProof/>
                <w:spacing w:val="-6"/>
                <w:lang w:val="sk-SK"/>
              </w:rPr>
              <w:t>ktoré DTF prijal na vykonávanie investičnej politiky, vrátane krokov prijatých na implementáciu finančných produktov, ktoré sa majú podporiť</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vlastného imania, ako aj očakávané kroky, ktoré sa majú prijať na ďalšie vykonávanie týchto produktov.</w:t>
            </w:r>
          </w:p>
          <w:p w14:paraId="72DE5943" w14:textId="54395C5C"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V správe s</w:t>
            </w:r>
            <w:r w:rsidRPr="00326E55">
              <w:rPr>
                <w:rFonts w:ascii="Times New Roman" w:hAnsi="Times New Roman"/>
                <w:noProof/>
                <w:spacing w:val="-6"/>
                <w:lang w:val="sk-SK"/>
              </w:rPr>
              <w:t>a uvádzajú aj sumy investované priamym/nepriamym spôsobom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 každého finančného produktu.</w:t>
            </w:r>
          </w:p>
        </w:tc>
      </w:tr>
      <w:tr w:rsidR="00BF03AA" w:rsidRPr="00326E55" w14:paraId="2EDCDA8C" w14:textId="77777777">
        <w:trPr>
          <w:trHeight w:val="313"/>
        </w:trPr>
        <w:tc>
          <w:tcPr>
            <w:tcW w:w="1441" w:type="dxa"/>
            <w:shd w:val="clear" w:color="auto" w:fill="C6EFCE"/>
            <w:noWrap/>
            <w:vAlign w:val="center"/>
            <w:hideMark/>
          </w:tcPr>
          <w:p w14:paraId="18DB7C2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M4C2 – 22</w:t>
            </w:r>
          </w:p>
        </w:tc>
        <w:tc>
          <w:tcPr>
            <w:tcW w:w="1395" w:type="dxa"/>
            <w:shd w:val="clear" w:color="auto" w:fill="C6EFCE"/>
            <w:noWrap/>
            <w:vAlign w:val="center"/>
            <w:hideMark/>
          </w:tcPr>
          <w:p w14:paraId="373660B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2.1: DÔLEŽITÝ PROJEKT SPOLOČNÉHO EURÓPSKEHO ZÁUJMU</w:t>
            </w:r>
          </w:p>
        </w:tc>
        <w:tc>
          <w:tcPr>
            <w:tcW w:w="1486" w:type="dxa"/>
            <w:shd w:val="clear" w:color="auto" w:fill="C6EFCE"/>
            <w:noWrap/>
            <w:vAlign w:val="center"/>
            <w:hideMark/>
          </w:tcPr>
          <w:p w14:paraId="3C29656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41" w:type="dxa"/>
            <w:shd w:val="clear" w:color="auto" w:fill="C6EFCE"/>
            <w:noWrap/>
            <w:vAlign w:val="center"/>
            <w:hideMark/>
          </w:tcPr>
          <w:p w14:paraId="1B243C9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 podporených projektov</w:t>
            </w:r>
          </w:p>
        </w:tc>
        <w:tc>
          <w:tcPr>
            <w:tcW w:w="1584" w:type="dxa"/>
            <w:shd w:val="clear" w:color="auto" w:fill="C6EFCE"/>
            <w:noWrap/>
            <w:vAlign w:val="center"/>
            <w:hideMark/>
          </w:tcPr>
          <w:p w14:paraId="5834753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97" w:type="dxa"/>
            <w:shd w:val="clear" w:color="auto" w:fill="C6EFCE"/>
            <w:noWrap/>
            <w:vAlign w:val="center"/>
            <w:hideMark/>
          </w:tcPr>
          <w:p w14:paraId="6F80D5E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2" w:type="dxa"/>
            <w:shd w:val="clear" w:color="auto" w:fill="C6EFCE"/>
            <w:noWrap/>
            <w:vAlign w:val="center"/>
            <w:hideMark/>
          </w:tcPr>
          <w:p w14:paraId="3C9BF25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296" w:type="dxa"/>
            <w:shd w:val="clear" w:color="auto" w:fill="C6EFCE"/>
            <w:noWrap/>
            <w:vAlign w:val="center"/>
            <w:hideMark/>
          </w:tcPr>
          <w:p w14:paraId="45ACB637" w14:textId="711EE139"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w:t>
            </w:r>
          </w:p>
        </w:tc>
        <w:tc>
          <w:tcPr>
            <w:tcW w:w="1009" w:type="dxa"/>
            <w:shd w:val="clear" w:color="auto" w:fill="C6EFCE"/>
            <w:noWrap/>
            <w:vAlign w:val="center"/>
            <w:hideMark/>
          </w:tcPr>
          <w:p w14:paraId="0DD7482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61" w:type="dxa"/>
            <w:shd w:val="clear" w:color="auto" w:fill="C6EFCE"/>
            <w:noWrap/>
            <w:vAlign w:val="center"/>
            <w:hideMark/>
          </w:tcPr>
          <w:p w14:paraId="16F8CB4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452" w:type="dxa"/>
            <w:shd w:val="clear" w:color="auto" w:fill="C6EFCE"/>
            <w:noWrap/>
            <w:vAlign w:val="center"/>
            <w:hideMark/>
          </w:tcPr>
          <w:p w14:paraId="198C1A62" w14:textId="0530776C"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Dekréty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udelení</w:t>
            </w:r>
            <w:r w:rsidRPr="00326E55">
              <w:rPr>
                <w:rFonts w:ascii="Times New Roman" w:hAnsi="Times New Roman"/>
                <w:noProof/>
                <w:spacing w:val="-6"/>
                <w:lang w:val="sk-SK"/>
              </w:rPr>
              <w:t xml:space="preserve"> koncesie vydáva ministerstvo podnikov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Made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 na podporu najmenej 20 projektov dôležitých projektov spoločného európskeho záujmu.</w:t>
            </w:r>
          </w:p>
        </w:tc>
      </w:tr>
    </w:tbl>
    <w:p w14:paraId="69B9087F" w14:textId="77777777" w:rsidR="00BF03AA" w:rsidRPr="00326E55" w:rsidRDefault="00BF03AA">
      <w:pPr>
        <w:rPr>
          <w:rFonts w:ascii="Times New Roman" w:hAnsi="Times New Roman"/>
          <w:noProof/>
          <w:spacing w:val="-6"/>
          <w:lang w:val="sk-SK"/>
        </w:rPr>
        <w:sectPr w:rsidR="00BF03AA" w:rsidRPr="00326E55" w:rsidSect="005F11B9">
          <w:headerReference w:type="default" r:id="rId210"/>
          <w:footerReference w:type="default" r:id="rId211"/>
          <w:pgSz w:w="16839" w:h="11907" w:orient="landscape"/>
          <w:pgMar w:top="1440" w:right="1440" w:bottom="1440" w:left="1440" w:header="567" w:footer="567" w:gutter="0"/>
          <w:cols w:space="720"/>
          <w:docGrid w:linePitch="360"/>
        </w:sectPr>
      </w:pPr>
    </w:p>
    <w:p w14:paraId="7DEB0A4A" w14:textId="77777777" w:rsidR="00BF03AA" w:rsidRPr="00326E55" w:rsidRDefault="00FB452D">
      <w:pPr>
        <w:pStyle w:val="P68B1DB1-Heading23"/>
        <w:ind w:left="1080"/>
        <w:rPr>
          <w:noProof/>
          <w:spacing w:val="-6"/>
          <w:u w:val="single"/>
          <w:lang w:val="sk-SK"/>
        </w:rPr>
      </w:pPr>
      <w:r w:rsidRPr="00326E55">
        <w:rPr>
          <w:noProof/>
          <w:spacing w:val="-6"/>
          <w:lang w:val="sk-SK"/>
        </w:rPr>
        <w:t>L. ÚLOHA 5, ZLOŽKA 1: Politika zamestnanosti</w:t>
      </w:r>
    </w:p>
    <w:p w14:paraId="3CF6C0BA" w14:textId="30475740"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Opatreniami</w:t>
      </w:r>
      <w:r w:rsidR="00326E55" w:rsidRPr="00326E55">
        <w:rPr>
          <w:noProof/>
          <w:spacing w:val="-6"/>
          <w:lang w:val="sk-SK"/>
        </w:rPr>
        <w:t xml:space="preserve"> v </w:t>
      </w:r>
      <w:r w:rsidRPr="00326E55">
        <w:rPr>
          <w:noProof/>
          <w:spacing w:val="-6"/>
          <w:lang w:val="sk-SK"/>
        </w:rPr>
        <w:t xml:space="preserve">rámci </w:t>
      </w:r>
      <w:r w:rsidRPr="00326E55">
        <w:rPr>
          <w:noProof/>
          <w:color w:val="000000" w:themeColor="text1"/>
          <w:spacing w:val="-6"/>
          <w:lang w:val="sk-SK"/>
        </w:rPr>
        <w:t>tohto komponentu plánu obnovy</w:t>
      </w:r>
      <w:r w:rsidR="00326E55" w:rsidRPr="00326E55">
        <w:rPr>
          <w:noProof/>
          <w:color w:val="000000" w:themeColor="text1"/>
          <w:spacing w:val="-6"/>
          <w:lang w:val="sk-SK"/>
        </w:rPr>
        <w:t xml:space="preserve"> a </w:t>
      </w:r>
      <w:r w:rsidRPr="00326E55">
        <w:rPr>
          <w:noProof/>
          <w:color w:val="000000" w:themeColor="text1"/>
          <w:spacing w:val="-6"/>
          <w:lang w:val="sk-SK"/>
        </w:rPr>
        <w:t xml:space="preserve">odolnosti Talianska </w:t>
      </w:r>
      <w:r w:rsidRPr="00326E55">
        <w:rPr>
          <w:noProof/>
          <w:spacing w:val="-6"/>
          <w:lang w:val="sk-SK"/>
        </w:rPr>
        <w:t>sa zavádza komplexná</w:t>
      </w:r>
      <w:r w:rsidR="00326E55" w:rsidRPr="00326E55">
        <w:rPr>
          <w:noProof/>
          <w:spacing w:val="-6"/>
          <w:lang w:val="sk-SK"/>
        </w:rPr>
        <w:t xml:space="preserve"> a </w:t>
      </w:r>
      <w:r w:rsidRPr="00326E55">
        <w:rPr>
          <w:noProof/>
          <w:spacing w:val="-6"/>
          <w:lang w:val="sk-SK"/>
        </w:rPr>
        <w:t>integrovaná reforma aktívnych politík trhu práce</w:t>
      </w:r>
      <w:r w:rsidR="00326E55" w:rsidRPr="00326E55">
        <w:rPr>
          <w:noProof/>
          <w:spacing w:val="-6"/>
          <w:lang w:val="sk-SK"/>
        </w:rPr>
        <w:t xml:space="preserve"> a </w:t>
      </w:r>
      <w:r w:rsidRPr="00326E55">
        <w:rPr>
          <w:noProof/>
          <w:spacing w:val="-6"/>
          <w:lang w:val="sk-SK"/>
        </w:rPr>
        <w:t>odbornej prípravy. Očakáva sa, že posilnením aktívnych politík trhu práce</w:t>
      </w:r>
      <w:r w:rsidR="00326E55" w:rsidRPr="00326E55">
        <w:rPr>
          <w:noProof/>
          <w:spacing w:val="-6"/>
          <w:lang w:val="sk-SK"/>
        </w:rPr>
        <w:t xml:space="preserve"> a </w:t>
      </w:r>
      <w:r w:rsidRPr="00326E55">
        <w:rPr>
          <w:noProof/>
          <w:spacing w:val="-6"/>
          <w:lang w:val="sk-SK"/>
        </w:rPr>
        <w:t>zlepšením budovania kapacít verejných služieb za</w:t>
      </w:r>
      <w:r w:rsidRPr="00326E55">
        <w:rPr>
          <w:noProof/>
          <w:spacing w:val="-6"/>
          <w:lang w:val="sk-SK"/>
        </w:rPr>
        <w:t>mestnanosti (VSZ) vrátane ich integrácie</w:t>
      </w:r>
      <w:r w:rsidR="00326E55" w:rsidRPr="00326E55">
        <w:rPr>
          <w:noProof/>
          <w:spacing w:val="-6"/>
          <w:lang w:val="sk-SK"/>
        </w:rPr>
        <w:t xml:space="preserve"> s </w:t>
      </w:r>
      <w:r w:rsidRPr="00326E55">
        <w:rPr>
          <w:noProof/>
          <w:spacing w:val="-6"/>
          <w:lang w:val="sk-SK"/>
        </w:rPr>
        <w:t>poskytovateľmi vzdelávania</w:t>
      </w:r>
      <w:r w:rsidR="00326E55" w:rsidRPr="00326E55">
        <w:rPr>
          <w:noProof/>
          <w:spacing w:val="-6"/>
          <w:lang w:val="sk-SK"/>
        </w:rPr>
        <w:t xml:space="preserve"> a </w:t>
      </w:r>
      <w:r w:rsidRPr="00326E55">
        <w:rPr>
          <w:noProof/>
          <w:spacing w:val="-6"/>
          <w:lang w:val="sk-SK"/>
        </w:rPr>
        <w:t>odbornej prípravy</w:t>
      </w:r>
      <w:r w:rsidR="00326E55" w:rsidRPr="00326E55">
        <w:rPr>
          <w:noProof/>
          <w:spacing w:val="-6"/>
          <w:lang w:val="sk-SK"/>
        </w:rPr>
        <w:t xml:space="preserve"> a </w:t>
      </w:r>
      <w:r w:rsidRPr="00326E55">
        <w:rPr>
          <w:noProof/>
          <w:spacing w:val="-6"/>
          <w:lang w:val="sk-SK"/>
        </w:rPr>
        <w:t>súkromnými prevádzkovateľmi sa zvýši účinnosť služieb. Okrem toho sú opatrenia tejto zložky zamerané na zníženie sociálnej zraniteľnosti voči otrasom, najmä riešení</w:t>
      </w:r>
      <w:r w:rsidRPr="00326E55">
        <w:rPr>
          <w:noProof/>
          <w:spacing w:val="-6"/>
          <w:lang w:val="sk-SK"/>
        </w:rPr>
        <w:t>m problému nedeklarovanej práce vo všetkých jej formách</w:t>
      </w:r>
      <w:r w:rsidR="00326E55" w:rsidRPr="00326E55">
        <w:rPr>
          <w:noProof/>
          <w:spacing w:val="-6"/>
          <w:lang w:val="sk-SK"/>
        </w:rPr>
        <w:t xml:space="preserve"> a </w:t>
      </w:r>
      <w:r w:rsidRPr="00326E55">
        <w:rPr>
          <w:noProof/>
          <w:spacing w:val="-6"/>
          <w:lang w:val="sk-SK"/>
        </w:rPr>
        <w:t>odvetviach stanovením účinnejších sankcií spolu so silnejšími stimulmi</w:t>
      </w:r>
      <w:r w:rsidR="00326E55" w:rsidRPr="00326E55">
        <w:rPr>
          <w:noProof/>
          <w:spacing w:val="-6"/>
          <w:lang w:val="sk-SK"/>
        </w:rPr>
        <w:t xml:space="preserve"> k </w:t>
      </w:r>
      <w:r w:rsidRPr="00326E55">
        <w:rPr>
          <w:noProof/>
          <w:spacing w:val="-6"/>
          <w:lang w:val="sk-SK"/>
        </w:rPr>
        <w:t>legálnej práci. Okrem toho tento komponent podporuje rodovú rovnosť (rovnakú odmenu) prostredníctvom certifikačného systému r</w:t>
      </w:r>
      <w:r w:rsidRPr="00326E55">
        <w:rPr>
          <w:noProof/>
          <w:spacing w:val="-6"/>
          <w:lang w:val="sk-SK"/>
        </w:rPr>
        <w:t>odovej rovnosti. Investuje aj do mladých ľudí zvyšovaním kvantity</w:t>
      </w:r>
      <w:r w:rsidR="00326E55" w:rsidRPr="00326E55">
        <w:rPr>
          <w:noProof/>
          <w:spacing w:val="-6"/>
          <w:lang w:val="sk-SK"/>
        </w:rPr>
        <w:t xml:space="preserve"> a </w:t>
      </w:r>
      <w:r w:rsidRPr="00326E55">
        <w:rPr>
          <w:noProof/>
          <w:spacing w:val="-6"/>
          <w:lang w:val="sk-SK"/>
        </w:rPr>
        <w:t>kvality vzdelávacích programov, napríklad prostredníctvom účasti na programe univerzálnej verejnej služby.</w:t>
      </w:r>
    </w:p>
    <w:p w14:paraId="614C858C" w14:textId="7A13BF42" w:rsidR="00BF03AA" w:rsidRPr="00326E55" w:rsidRDefault="00FB452D">
      <w:pPr>
        <w:pStyle w:val="P68B1DB1-Normal7"/>
        <w:spacing w:before="120" w:after="120"/>
        <w:jc w:val="both"/>
        <w:rPr>
          <w:noProof/>
          <w:spacing w:val="-6"/>
          <w:lang w:val="sk-SK"/>
        </w:rPr>
      </w:pPr>
      <w:r w:rsidRPr="00326E55">
        <w:rPr>
          <w:noProof/>
          <w:spacing w:val="-6"/>
          <w:lang w:val="sk-SK"/>
        </w:rPr>
        <w:t>Očakáva sa, že vykonávanie týchto opatrení prispeje</w:t>
      </w:r>
      <w:r w:rsidR="00326E55" w:rsidRPr="00326E55">
        <w:rPr>
          <w:noProof/>
          <w:spacing w:val="-6"/>
          <w:lang w:val="sk-SK"/>
        </w:rPr>
        <w:t xml:space="preserve"> k </w:t>
      </w:r>
      <w:r w:rsidRPr="00326E55">
        <w:rPr>
          <w:noProof/>
          <w:spacing w:val="-6"/>
          <w:lang w:val="sk-SK"/>
        </w:rPr>
        <w:t>riešeniu výziev, na ktoré s</w:t>
      </w:r>
      <w:r w:rsidRPr="00326E55">
        <w:rPr>
          <w:noProof/>
          <w:spacing w:val="-6"/>
          <w:lang w:val="sk-SK"/>
        </w:rPr>
        <w:t xml:space="preserve">a vzťahuje odporúčanie pre danú krajinu na rok 2020 týkajúce sa trhu práce </w:t>
      </w:r>
      <w:r w:rsidR="00326E55" w:rsidRPr="00326E55">
        <w:rPr>
          <w:noProof/>
          <w:spacing w:val="-6"/>
          <w:lang w:val="sk-SK"/>
        </w:rPr>
        <w:t>č. </w:t>
      </w:r>
      <w:r w:rsidRPr="00326E55">
        <w:rPr>
          <w:noProof/>
          <w:spacing w:val="-6"/>
          <w:lang w:val="sk-SK"/>
        </w:rPr>
        <w:t>2,</w:t>
      </w:r>
      <w:r w:rsidR="00326E55" w:rsidRPr="00326E55">
        <w:rPr>
          <w:noProof/>
          <w:spacing w:val="-6"/>
          <w:lang w:val="sk-SK"/>
        </w:rPr>
        <w:t xml:space="preserve"> v </w:t>
      </w:r>
      <w:r w:rsidRPr="00326E55">
        <w:rPr>
          <w:noProof/>
          <w:spacing w:val="-6"/>
          <w:lang w:val="sk-SK"/>
        </w:rPr>
        <w:t>ktorom sa Taliansko vyzýva, aby „Miniciovalo vplyv krízy na zamestnanosť,</w:t>
      </w:r>
      <w:r w:rsidR="00326E55" w:rsidRPr="00326E55">
        <w:rPr>
          <w:noProof/>
          <w:spacing w:val="-6"/>
          <w:lang w:val="sk-SK"/>
        </w:rPr>
        <w:t xml:space="preserve"> a </w:t>
      </w:r>
      <w:r w:rsidRPr="00326E55">
        <w:rPr>
          <w:noProof/>
          <w:spacing w:val="-6"/>
          <w:lang w:val="sk-SK"/>
        </w:rPr>
        <w:t xml:space="preserve">to aj prostredníctvom [...] aktívnej podpory zamestnanosti“, odporúčanie pre danú krajinu na rok </w:t>
      </w:r>
      <w:r w:rsidRPr="00326E55">
        <w:rPr>
          <w:noProof/>
          <w:spacing w:val="-6"/>
          <w:lang w:val="sk-SK"/>
        </w:rPr>
        <w:t xml:space="preserve">2020 </w:t>
      </w:r>
      <w:r w:rsidR="00326E55" w:rsidRPr="00326E55">
        <w:rPr>
          <w:noProof/>
          <w:spacing w:val="-6"/>
          <w:lang w:val="sk-SK"/>
        </w:rPr>
        <w:t>č. </w:t>
      </w:r>
      <w:r w:rsidRPr="00326E55">
        <w:rPr>
          <w:noProof/>
          <w:spacing w:val="-6"/>
          <w:lang w:val="sk-SK"/>
        </w:rPr>
        <w:t>2 „podporovať zručnosti (...) vrátane digitálnych zručností“, odporúčanie pre danú krajinu</w:t>
      </w:r>
      <w:r w:rsidR="00326E55" w:rsidRPr="00326E55">
        <w:rPr>
          <w:noProof/>
          <w:spacing w:val="-6"/>
          <w:lang w:val="sk-SK"/>
        </w:rPr>
        <w:t xml:space="preserve"> z </w:t>
      </w:r>
      <w:r w:rsidRPr="00326E55">
        <w:rPr>
          <w:noProof/>
          <w:spacing w:val="-6"/>
          <w:lang w:val="sk-SK"/>
        </w:rPr>
        <w:t xml:space="preserve">roku 2019 </w:t>
      </w:r>
      <w:r w:rsidR="00326E55" w:rsidRPr="00326E55">
        <w:rPr>
          <w:noProof/>
          <w:spacing w:val="-6"/>
          <w:lang w:val="sk-SK"/>
        </w:rPr>
        <w:t>č. </w:t>
      </w:r>
      <w:r w:rsidRPr="00326E55">
        <w:rPr>
          <w:noProof/>
          <w:spacing w:val="-6"/>
          <w:lang w:val="sk-SK"/>
        </w:rPr>
        <w:t>2 „zintenzívniť úsilie</w:t>
      </w:r>
      <w:r w:rsidR="00326E55" w:rsidRPr="00326E55">
        <w:rPr>
          <w:noProof/>
          <w:spacing w:val="-6"/>
          <w:lang w:val="sk-SK"/>
        </w:rPr>
        <w:t xml:space="preserve"> v </w:t>
      </w:r>
      <w:r w:rsidRPr="00326E55">
        <w:rPr>
          <w:noProof/>
          <w:spacing w:val="-6"/>
          <w:lang w:val="sk-SK"/>
        </w:rPr>
        <w:t>boji proti nedeklarovanej práci, zabezpečiť, aby aktívne politiky trhu práce</w:t>
      </w:r>
      <w:r w:rsidR="00326E55" w:rsidRPr="00326E55">
        <w:rPr>
          <w:noProof/>
          <w:spacing w:val="-6"/>
          <w:lang w:val="sk-SK"/>
        </w:rPr>
        <w:t xml:space="preserve"> a </w:t>
      </w:r>
      <w:r w:rsidRPr="00326E55">
        <w:rPr>
          <w:noProof/>
          <w:spacing w:val="-6"/>
          <w:lang w:val="sk-SK"/>
        </w:rPr>
        <w:t>sociálne politiky (...) oslovili najmä</w:t>
      </w:r>
      <w:r w:rsidRPr="00326E55">
        <w:rPr>
          <w:noProof/>
          <w:spacing w:val="-6"/>
          <w:lang w:val="sk-SK"/>
        </w:rPr>
        <w:t xml:space="preserve"> mladých ľudí</w:t>
      </w:r>
      <w:r w:rsidR="00326E55" w:rsidRPr="00326E55">
        <w:rPr>
          <w:noProof/>
          <w:spacing w:val="-6"/>
          <w:lang w:val="sk-SK"/>
        </w:rPr>
        <w:t xml:space="preserve"> a </w:t>
      </w:r>
      <w:r w:rsidRPr="00326E55">
        <w:rPr>
          <w:noProof/>
          <w:spacing w:val="-6"/>
          <w:lang w:val="sk-SK"/>
        </w:rPr>
        <w:t>zraniteľné skupiny. Podpora účasti žien na trhu práce“</w:t>
      </w:r>
      <w:r w:rsidR="00326E55" w:rsidRPr="00326E55">
        <w:rPr>
          <w:noProof/>
          <w:spacing w:val="-6"/>
          <w:lang w:val="sk-SK"/>
        </w:rPr>
        <w:t xml:space="preserve"> a </w:t>
      </w:r>
      <w:r w:rsidRPr="00326E55">
        <w:rPr>
          <w:noProof/>
          <w:spacing w:val="-6"/>
          <w:lang w:val="sk-SK"/>
        </w:rPr>
        <w:t>odporúčanie pre danú krajinu</w:t>
      </w:r>
      <w:r w:rsidR="00326E55" w:rsidRPr="00326E55">
        <w:rPr>
          <w:noProof/>
          <w:spacing w:val="-6"/>
          <w:lang w:val="sk-SK"/>
        </w:rPr>
        <w:t xml:space="preserve"> z </w:t>
      </w:r>
      <w:r w:rsidRPr="00326E55">
        <w:rPr>
          <w:noProof/>
          <w:spacing w:val="-6"/>
          <w:lang w:val="sk-SK"/>
        </w:rPr>
        <w:t xml:space="preserve">roku 2019 </w:t>
      </w:r>
      <w:r w:rsidR="00326E55" w:rsidRPr="00326E55">
        <w:rPr>
          <w:noProof/>
          <w:spacing w:val="-6"/>
          <w:lang w:val="sk-SK"/>
        </w:rPr>
        <w:t>č. </w:t>
      </w:r>
      <w:r w:rsidRPr="00326E55">
        <w:rPr>
          <w:noProof/>
          <w:spacing w:val="-6"/>
          <w:lang w:val="sk-SK"/>
        </w:rPr>
        <w:t>2 „zvýšiť úroveň zručností,</w:t>
      </w:r>
      <w:r w:rsidR="00326E55" w:rsidRPr="00326E55">
        <w:rPr>
          <w:noProof/>
          <w:spacing w:val="-6"/>
          <w:lang w:val="sk-SK"/>
        </w:rPr>
        <w:t xml:space="preserve"> a </w:t>
      </w:r>
      <w:r w:rsidRPr="00326E55">
        <w:rPr>
          <w:noProof/>
          <w:spacing w:val="-6"/>
          <w:lang w:val="sk-SK"/>
        </w:rPr>
        <w:t>to aj posilnením digitálnych zručností“.</w:t>
      </w:r>
    </w:p>
    <w:p w14:paraId="4FAC2DDD" w14:textId="40B24492" w:rsidR="00BF03AA" w:rsidRPr="00326E55" w:rsidRDefault="00FB452D">
      <w:pPr>
        <w:pStyle w:val="P68B1DB1-Heading359"/>
        <w:ind w:left="850" w:hanging="850"/>
        <w:rPr>
          <w:b/>
          <w:bCs/>
          <w:i/>
          <w:iCs/>
          <w:noProof/>
          <w:color w:val="156082" w:themeColor="accent1"/>
          <w:spacing w:val="-6"/>
          <w:u w:val="single"/>
          <w:lang w:val="sk-SK"/>
        </w:rPr>
      </w:pPr>
      <w:r w:rsidRPr="00326E55">
        <w:rPr>
          <w:b/>
          <w:noProof/>
          <w:spacing w:val="-6"/>
          <w:u w:val="single"/>
          <w:lang w:val="sk-SK"/>
        </w:rPr>
        <w:t xml:space="preserve">L.1.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 xml:space="preserve">rámci nenávratnej finančnej </w:t>
      </w:r>
      <w:r w:rsidRPr="00326E55">
        <w:rPr>
          <w:b/>
          <w:noProof/>
          <w:spacing w:val="-6"/>
          <w:u w:val="single"/>
          <w:lang w:val="sk-SK"/>
        </w:rPr>
        <w:t>podpory</w:t>
      </w:r>
    </w:p>
    <w:p w14:paraId="4F13DBA9" w14:textId="77777777" w:rsidR="00326E55" w:rsidRPr="00326E55" w:rsidRDefault="00FB452D">
      <w:pPr>
        <w:pStyle w:val="P68B1DB1-Normal5"/>
        <w:spacing w:before="120" w:after="120"/>
        <w:jc w:val="both"/>
        <w:rPr>
          <w:noProof/>
          <w:spacing w:val="-6"/>
          <w:lang w:val="sk-SK"/>
        </w:rPr>
      </w:pPr>
      <w:r w:rsidRPr="00326E55">
        <w:rPr>
          <w:noProof/>
          <w:spacing w:val="-6"/>
          <w:lang w:val="sk-SK"/>
        </w:rPr>
        <w:t>Reforma 1 – Aktívna politika trhu práce (APTP)</w:t>
      </w:r>
      <w:r w:rsidR="00326E55" w:rsidRPr="00326E55">
        <w:rPr>
          <w:noProof/>
          <w:spacing w:val="-6"/>
          <w:lang w:val="sk-SK"/>
        </w:rPr>
        <w:t xml:space="preserve"> a </w:t>
      </w:r>
      <w:r w:rsidRPr="00326E55">
        <w:rPr>
          <w:noProof/>
          <w:spacing w:val="-6"/>
          <w:lang w:val="sk-SK"/>
        </w:rPr>
        <w:t>odborná príprava</w:t>
      </w:r>
    </w:p>
    <w:p w14:paraId="2C90B4E0" w14:textId="22987D83" w:rsidR="00326E55" w:rsidRPr="00326E55" w:rsidRDefault="00FB452D">
      <w:pPr>
        <w:pStyle w:val="P68B1DB1-Normal7"/>
        <w:spacing w:before="120" w:after="120"/>
        <w:jc w:val="both"/>
        <w:rPr>
          <w:noProof/>
          <w:color w:val="000000" w:themeColor="text1"/>
          <w:spacing w:val="-6"/>
          <w:lang w:val="sk-SK"/>
        </w:rPr>
      </w:pPr>
      <w:r w:rsidRPr="00326E55">
        <w:rPr>
          <w:noProof/>
          <w:spacing w:val="-6"/>
          <w:lang w:val="sk-SK"/>
        </w:rPr>
        <w:t>Cieľom tejto reformy je podporiť aktívny systém trhu práce</w:t>
      </w:r>
      <w:r w:rsidR="00326E55" w:rsidRPr="00326E55">
        <w:rPr>
          <w:noProof/>
          <w:spacing w:val="-6"/>
          <w:lang w:val="sk-SK"/>
        </w:rPr>
        <w:t xml:space="preserve"> s </w:t>
      </w:r>
      <w:r w:rsidRPr="00326E55">
        <w:rPr>
          <w:noProof/>
          <w:spacing w:val="-6"/>
          <w:lang w:val="sk-SK"/>
        </w:rPr>
        <w:t>cieľom poskytovať personalizované plány, ktoré zahŕňajú služby zamestnanosti, odbornej prípravy</w:t>
      </w:r>
      <w:r w:rsidR="00326E55" w:rsidRPr="00326E55">
        <w:rPr>
          <w:noProof/>
          <w:spacing w:val="-6"/>
          <w:lang w:val="sk-SK"/>
        </w:rPr>
        <w:t xml:space="preserve"> a </w:t>
      </w:r>
      <w:r w:rsidRPr="00326E55">
        <w:rPr>
          <w:noProof/>
          <w:spacing w:val="-6"/>
          <w:lang w:val="sk-SK"/>
        </w:rPr>
        <w:t>sociálne služby. Toto o</w:t>
      </w:r>
      <w:r w:rsidRPr="00326E55">
        <w:rPr>
          <w:noProof/>
          <w:spacing w:val="-6"/>
          <w:lang w:val="sk-SK"/>
        </w:rPr>
        <w:t>patrenie pozostáva</w:t>
      </w:r>
      <w:r w:rsidR="00326E55" w:rsidRPr="00326E55">
        <w:rPr>
          <w:noProof/>
          <w:spacing w:val="-6"/>
          <w:lang w:val="sk-SK"/>
        </w:rPr>
        <w:t xml:space="preserve"> z </w:t>
      </w:r>
      <w:r w:rsidRPr="00326E55">
        <w:rPr>
          <w:noProof/>
          <w:spacing w:val="-6"/>
          <w:lang w:val="sk-SK"/>
        </w:rPr>
        <w:t xml:space="preserve">vytvorenia </w:t>
      </w:r>
      <w:r w:rsidRPr="00326E55">
        <w:rPr>
          <w:noProof/>
          <w:color w:val="000000" w:themeColor="text1"/>
          <w:spacing w:val="-6"/>
          <w:lang w:val="sk-SK"/>
        </w:rPr>
        <w:t>národného programu pre zaručenú zamestnateľnosť pracovníkov (GOL), ktorý podporuje najmä najzraniteľnejšie kategórie (ženy, dlhodobo nezamestnané osoby, mladí</w:t>
      </w:r>
      <w:r w:rsidR="00326E55" w:rsidRPr="00326E55">
        <w:rPr>
          <w:noProof/>
          <w:color w:val="000000" w:themeColor="text1"/>
          <w:spacing w:val="-6"/>
          <w:lang w:val="sk-SK"/>
        </w:rPr>
        <w:t xml:space="preserve"> a </w:t>
      </w:r>
      <w:r w:rsidRPr="00326E55">
        <w:rPr>
          <w:noProof/>
          <w:color w:val="000000" w:themeColor="text1"/>
          <w:spacing w:val="-6"/>
          <w:lang w:val="sk-SK"/>
        </w:rPr>
        <w:t>starší pracovníci</w:t>
      </w:r>
      <w:r w:rsidR="00326E55" w:rsidRPr="00326E55">
        <w:rPr>
          <w:noProof/>
          <w:color w:val="000000" w:themeColor="text1"/>
          <w:spacing w:val="-6"/>
          <w:lang w:val="sk-SK"/>
        </w:rPr>
        <w:t xml:space="preserve"> a </w:t>
      </w:r>
      <w:r w:rsidRPr="00326E55">
        <w:rPr>
          <w:noProof/>
          <w:color w:val="000000" w:themeColor="text1"/>
          <w:spacing w:val="-6"/>
          <w:lang w:val="sk-SK"/>
        </w:rPr>
        <w:t>osoby so zdravotným postihnutím)</w:t>
      </w:r>
      <w:r w:rsidR="00326E55" w:rsidRPr="00326E55">
        <w:rPr>
          <w:noProof/>
          <w:color w:val="000000" w:themeColor="text1"/>
          <w:spacing w:val="-6"/>
          <w:lang w:val="sk-SK"/>
        </w:rPr>
        <w:t xml:space="preserve"> a </w:t>
      </w:r>
      <w:r w:rsidRPr="00326E55">
        <w:rPr>
          <w:noProof/>
          <w:color w:val="000000" w:themeColor="text1"/>
          <w:spacing w:val="-6"/>
          <w:lang w:val="sk-SK"/>
        </w:rPr>
        <w:t>vo vykon</w:t>
      </w:r>
      <w:r w:rsidRPr="00326E55">
        <w:rPr>
          <w:noProof/>
          <w:color w:val="000000" w:themeColor="text1"/>
          <w:spacing w:val="-6"/>
          <w:lang w:val="sk-SK"/>
        </w:rPr>
        <w:t>ávaní programov odbornej prípravy pre vzdelávanie dospelých</w:t>
      </w:r>
      <w:r w:rsidR="00326E55" w:rsidRPr="00326E55">
        <w:rPr>
          <w:noProof/>
          <w:color w:val="000000" w:themeColor="text1"/>
          <w:spacing w:val="-6"/>
          <w:lang w:val="sk-SK"/>
        </w:rPr>
        <w:t>.</w:t>
      </w:r>
    </w:p>
    <w:p w14:paraId="4004F633" w14:textId="272E0C0A" w:rsidR="00BF03AA" w:rsidRPr="00326E55" w:rsidRDefault="00FB452D">
      <w:pPr>
        <w:pStyle w:val="P68B1DB1-Normal5"/>
        <w:spacing w:before="120" w:after="120"/>
        <w:jc w:val="both"/>
        <w:rPr>
          <w:bCs/>
          <w:noProof/>
          <w:spacing w:val="-6"/>
          <w:lang w:val="sk-SK"/>
        </w:rPr>
      </w:pPr>
      <w:r w:rsidRPr="00326E55">
        <w:rPr>
          <w:noProof/>
          <w:color w:val="000000" w:themeColor="text1"/>
          <w:spacing w:val="-6"/>
          <w:lang w:val="sk-SK"/>
        </w:rPr>
        <w:t xml:space="preserve">Investícia 1 – </w:t>
      </w:r>
      <w:r w:rsidRPr="00326E55">
        <w:rPr>
          <w:noProof/>
          <w:spacing w:val="-6"/>
          <w:lang w:val="sk-SK"/>
        </w:rPr>
        <w:t>Posilnenie verejných služieb zamestnanosti (VSZ)</w:t>
      </w:r>
    </w:p>
    <w:p w14:paraId="79810EC0" w14:textId="0F3C9278" w:rsidR="00326E55" w:rsidRPr="00326E55" w:rsidRDefault="00FB452D">
      <w:pPr>
        <w:pStyle w:val="P68B1DB1-Normal27"/>
        <w:spacing w:before="120" w:after="120"/>
        <w:jc w:val="both"/>
        <w:rPr>
          <w:noProof/>
          <w:spacing w:val="-6"/>
          <w:lang w:val="sk-SK"/>
        </w:rPr>
      </w:pPr>
      <w:r w:rsidRPr="00326E55">
        <w:rPr>
          <w:noProof/>
          <w:spacing w:val="-6"/>
          <w:lang w:val="sk-SK"/>
        </w:rPr>
        <w:t>Cieľom tejto investície je umožniť efektívne poskytovanie služieb zamestnanosti</w:t>
      </w:r>
      <w:r w:rsidR="00326E55" w:rsidRPr="00326E55">
        <w:rPr>
          <w:noProof/>
          <w:spacing w:val="-6"/>
          <w:lang w:val="sk-SK"/>
        </w:rPr>
        <w:t xml:space="preserve"> a </w:t>
      </w:r>
      <w:r w:rsidRPr="00326E55">
        <w:rPr>
          <w:noProof/>
          <w:spacing w:val="-6"/>
          <w:lang w:val="sk-SK"/>
        </w:rPr>
        <w:t>odbornej prípravy. Opatrenie pozostáva</w:t>
      </w:r>
      <w:r w:rsidR="00326E55" w:rsidRPr="00326E55">
        <w:rPr>
          <w:noProof/>
          <w:spacing w:val="-6"/>
          <w:lang w:val="sk-SK"/>
        </w:rPr>
        <w:t xml:space="preserve"> z </w:t>
      </w:r>
      <w:r w:rsidRPr="00326E55">
        <w:rPr>
          <w:noProof/>
          <w:spacing w:val="-6"/>
          <w:lang w:val="sk-SK"/>
        </w:rPr>
        <w:t>verejných služieb zamestnanosti, ktoré vykonávajú tieto činnosti: investície do infraštruktúry, zriadenie regionálnych stredísk na monitorovanie miestnych trhov práce, modernizácia IT systému, odborná príprava zamestnancov</w:t>
      </w:r>
      <w:r w:rsidR="00326E55" w:rsidRPr="00326E55">
        <w:rPr>
          <w:noProof/>
          <w:spacing w:val="-6"/>
          <w:lang w:val="sk-SK"/>
        </w:rPr>
        <w:t xml:space="preserve"> a </w:t>
      </w:r>
      <w:r w:rsidRPr="00326E55">
        <w:rPr>
          <w:noProof/>
          <w:spacing w:val="-6"/>
          <w:lang w:val="sk-SK"/>
        </w:rPr>
        <w:t>inštitucionálna komunikácia</w:t>
      </w:r>
      <w:r w:rsidR="00326E55" w:rsidRPr="00326E55">
        <w:rPr>
          <w:noProof/>
          <w:spacing w:val="-6"/>
          <w:lang w:val="sk-SK"/>
        </w:rPr>
        <w:t xml:space="preserve"> a </w:t>
      </w:r>
      <w:r w:rsidRPr="00326E55">
        <w:rPr>
          <w:noProof/>
          <w:spacing w:val="-6"/>
          <w:lang w:val="sk-SK"/>
        </w:rPr>
        <w:t>o</w:t>
      </w:r>
      <w:r w:rsidRPr="00326E55">
        <w:rPr>
          <w:noProof/>
          <w:spacing w:val="-6"/>
          <w:lang w:val="sk-SK"/>
        </w:rPr>
        <w:t>sveta</w:t>
      </w:r>
      <w:r w:rsidR="00326E55" w:rsidRPr="00326E55">
        <w:rPr>
          <w:noProof/>
          <w:spacing w:val="-6"/>
          <w:lang w:val="sk-SK"/>
        </w:rPr>
        <w:t>.</w:t>
      </w:r>
    </w:p>
    <w:p w14:paraId="719ECC85" w14:textId="4677B5AA" w:rsidR="00BF03AA" w:rsidRPr="00326E55" w:rsidRDefault="00FB452D">
      <w:pPr>
        <w:pStyle w:val="P68B1DB1-Normal99"/>
        <w:spacing w:before="120" w:after="120"/>
        <w:jc w:val="both"/>
        <w:rPr>
          <w:bCs/>
          <w:noProof/>
          <w:spacing w:val="-6"/>
          <w:lang w:val="sk-SK"/>
        </w:rPr>
      </w:pPr>
      <w:r w:rsidRPr="00326E55">
        <w:rPr>
          <w:noProof/>
          <w:spacing w:val="-6"/>
          <w:lang w:val="sk-SK"/>
        </w:rPr>
        <w:t>Reforma 2 – Národný plán na riešenie problému nedeklarovanej práce</w:t>
      </w:r>
    </w:p>
    <w:p w14:paraId="7418F78F" w14:textId="2B688284" w:rsidR="00BF03AA" w:rsidRPr="00326E55" w:rsidRDefault="00FB452D">
      <w:pPr>
        <w:pStyle w:val="P68B1DB1-Normal27"/>
        <w:spacing w:before="120" w:after="120"/>
        <w:jc w:val="both"/>
        <w:rPr>
          <w:noProof/>
          <w:spacing w:val="-6"/>
          <w:lang w:val="sk-SK"/>
        </w:rPr>
      </w:pPr>
      <w:r w:rsidRPr="00326E55">
        <w:rPr>
          <w:noProof/>
          <w:spacing w:val="-6"/>
          <w:lang w:val="sk-SK"/>
        </w:rPr>
        <w:t>Cieľom tohto opatrenia je podporiť kvalitu pracovných miest</w:t>
      </w:r>
      <w:r w:rsidR="00326E55" w:rsidRPr="00326E55">
        <w:rPr>
          <w:noProof/>
          <w:spacing w:val="-6"/>
          <w:lang w:val="sk-SK"/>
        </w:rPr>
        <w:t xml:space="preserve"> a </w:t>
      </w:r>
      <w:r w:rsidRPr="00326E55">
        <w:rPr>
          <w:noProof/>
          <w:spacing w:val="-6"/>
          <w:lang w:val="sk-SK"/>
        </w:rPr>
        <w:t>pracovné podmienky predchádzaním nelegálnej práci, pracovnému vykorisťovaniu (tzv. Caporalato)</w:t>
      </w:r>
      <w:r w:rsidR="00326E55" w:rsidRPr="00326E55">
        <w:rPr>
          <w:noProof/>
          <w:spacing w:val="-6"/>
          <w:lang w:val="sk-SK"/>
        </w:rPr>
        <w:t xml:space="preserve"> a </w:t>
      </w:r>
      <w:r w:rsidRPr="00326E55">
        <w:rPr>
          <w:noProof/>
          <w:spacing w:val="-6"/>
          <w:lang w:val="sk-SK"/>
        </w:rPr>
        <w:t xml:space="preserve">iným formám nelegálnej </w:t>
      </w:r>
      <w:r w:rsidRPr="00326E55">
        <w:rPr>
          <w:noProof/>
          <w:spacing w:val="-6"/>
          <w:lang w:val="sk-SK"/>
        </w:rPr>
        <w:t>práce</w:t>
      </w:r>
      <w:r w:rsidR="00326E55" w:rsidRPr="00326E55">
        <w:rPr>
          <w:noProof/>
          <w:spacing w:val="-6"/>
          <w:lang w:val="sk-SK"/>
        </w:rPr>
        <w:t xml:space="preserve"> a </w:t>
      </w:r>
      <w:r w:rsidRPr="00326E55">
        <w:rPr>
          <w:noProof/>
          <w:spacing w:val="-6"/>
          <w:lang w:val="sk-SK"/>
        </w:rPr>
        <w:t>bojom proti nim. Toto opatrenie pozostáva</w:t>
      </w:r>
      <w:r w:rsidR="00326E55" w:rsidRPr="00326E55">
        <w:rPr>
          <w:noProof/>
          <w:spacing w:val="-6"/>
          <w:lang w:val="sk-SK"/>
        </w:rPr>
        <w:t xml:space="preserve"> z </w:t>
      </w:r>
      <w:r w:rsidRPr="00326E55">
        <w:rPr>
          <w:noProof/>
          <w:spacing w:val="-6"/>
          <w:lang w:val="sk-SK"/>
        </w:rPr>
        <w:t>legislatívnych</w:t>
      </w:r>
      <w:r w:rsidR="00326E55" w:rsidRPr="00326E55">
        <w:rPr>
          <w:noProof/>
          <w:spacing w:val="-6"/>
          <w:lang w:val="sk-SK"/>
        </w:rPr>
        <w:t xml:space="preserve"> a </w:t>
      </w:r>
      <w:r w:rsidRPr="00326E55">
        <w:rPr>
          <w:noProof/>
          <w:spacing w:val="-6"/>
          <w:lang w:val="sk-SK"/>
        </w:rPr>
        <w:t>nelegislatívnych opatrení vrátane: posilnenie inšpekcií práce</w:t>
      </w:r>
      <w:r w:rsidR="00326E55" w:rsidRPr="00326E55">
        <w:rPr>
          <w:noProof/>
          <w:spacing w:val="-6"/>
          <w:lang w:val="sk-SK"/>
        </w:rPr>
        <w:t xml:space="preserve"> a </w:t>
      </w:r>
      <w:r w:rsidRPr="00326E55">
        <w:rPr>
          <w:noProof/>
          <w:spacing w:val="-6"/>
          <w:lang w:val="sk-SK"/>
        </w:rPr>
        <w:t>sankcií, poskytovanie stimulov pre pravidelnú prácu, odborná príprava prevádzkovateľov stredísk práce, realizácia vnútroštá</w:t>
      </w:r>
      <w:r w:rsidRPr="00326E55">
        <w:rPr>
          <w:noProof/>
          <w:spacing w:val="-6"/>
          <w:lang w:val="sk-SK"/>
        </w:rPr>
        <w:t>tnej informačnej kampane, zlepšenie riadenia</w:t>
      </w:r>
      <w:r w:rsidR="00326E55" w:rsidRPr="00326E55">
        <w:rPr>
          <w:noProof/>
          <w:spacing w:val="-6"/>
          <w:lang w:val="sk-SK"/>
        </w:rPr>
        <w:t xml:space="preserve"> v </w:t>
      </w:r>
      <w:r w:rsidRPr="00326E55">
        <w:rPr>
          <w:noProof/>
          <w:spacing w:val="-6"/>
          <w:lang w:val="sk-SK"/>
        </w:rPr>
        <w:t>boji proti nelegálnej práci, ako aj osobitné opatrenia na riešenie pracovného vykorisťovania</w:t>
      </w:r>
      <w:r w:rsidR="00326E55" w:rsidRPr="00326E55">
        <w:rPr>
          <w:noProof/>
          <w:spacing w:val="-6"/>
          <w:lang w:val="sk-SK"/>
        </w:rPr>
        <w:t xml:space="preserve"> v </w:t>
      </w:r>
      <w:r w:rsidRPr="00326E55">
        <w:rPr>
          <w:noProof/>
          <w:spacing w:val="-6"/>
          <w:lang w:val="sk-SK"/>
        </w:rPr>
        <w:t>poľnohospodárstve.</w:t>
      </w:r>
    </w:p>
    <w:p w14:paraId="7CDE22DB" w14:textId="77777777" w:rsidR="00BF03AA" w:rsidRPr="00326E55" w:rsidRDefault="00FB452D">
      <w:pPr>
        <w:pStyle w:val="P68B1DB1-Normal99"/>
        <w:spacing w:before="120" w:after="120"/>
        <w:jc w:val="both"/>
        <w:rPr>
          <w:noProof/>
          <w:spacing w:val="-6"/>
          <w:lang w:val="sk-SK"/>
        </w:rPr>
      </w:pPr>
      <w:r w:rsidRPr="00326E55">
        <w:rPr>
          <w:noProof/>
          <w:spacing w:val="-6"/>
          <w:lang w:val="sk-SK"/>
        </w:rPr>
        <w:t>Investícia 2 – Systém certifikácie rodovej rovnosti</w:t>
      </w:r>
    </w:p>
    <w:p w14:paraId="70EC19C7" w14:textId="3506BAAB" w:rsidR="00BF03AA" w:rsidRPr="00326E55" w:rsidRDefault="00FB452D">
      <w:pPr>
        <w:pStyle w:val="P68B1DB1-Normal7"/>
        <w:spacing w:before="120" w:after="120"/>
        <w:jc w:val="both"/>
        <w:rPr>
          <w:noProof/>
          <w:spacing w:val="-6"/>
          <w:lang w:val="sk-SK"/>
        </w:rPr>
      </w:pPr>
      <w:r w:rsidRPr="00326E55">
        <w:rPr>
          <w:noProof/>
          <w:color w:val="000000" w:themeColor="text1"/>
          <w:spacing w:val="-6"/>
          <w:lang w:val="sk-SK"/>
        </w:rPr>
        <w:t>Cieľom tohto opatrenia je zvýšiť účasť žien</w:t>
      </w:r>
      <w:r w:rsidRPr="00326E55">
        <w:rPr>
          <w:noProof/>
          <w:color w:val="000000" w:themeColor="text1"/>
          <w:spacing w:val="-6"/>
          <w:lang w:val="sk-SK"/>
        </w:rPr>
        <w:t xml:space="preserve"> na </w:t>
      </w:r>
      <w:r w:rsidRPr="00326E55">
        <w:rPr>
          <w:noProof/>
          <w:spacing w:val="-6"/>
          <w:lang w:val="sk-SK"/>
        </w:rPr>
        <w:t>trhu práce</w:t>
      </w:r>
      <w:r w:rsidR="00326E55" w:rsidRPr="00326E55">
        <w:rPr>
          <w:noProof/>
          <w:color w:val="000000" w:themeColor="text1"/>
          <w:spacing w:val="-6"/>
          <w:lang w:val="sk-SK"/>
        </w:rPr>
        <w:t xml:space="preserve"> a </w:t>
      </w:r>
      <w:r w:rsidRPr="00326E55">
        <w:rPr>
          <w:noProof/>
          <w:color w:val="000000" w:themeColor="text1"/>
          <w:spacing w:val="-6"/>
          <w:lang w:val="sk-SK"/>
        </w:rPr>
        <w:t>prispieť</w:t>
      </w:r>
      <w:r w:rsidR="00326E55" w:rsidRPr="00326E55">
        <w:rPr>
          <w:noProof/>
          <w:color w:val="000000" w:themeColor="text1"/>
          <w:spacing w:val="-6"/>
          <w:lang w:val="sk-SK"/>
        </w:rPr>
        <w:t xml:space="preserve"> k </w:t>
      </w:r>
      <w:r w:rsidRPr="00326E55">
        <w:rPr>
          <w:noProof/>
          <w:color w:val="000000" w:themeColor="text1"/>
          <w:spacing w:val="-6"/>
          <w:lang w:val="sk-SK"/>
        </w:rPr>
        <w:t>zníženiu rozdielov</w:t>
      </w:r>
      <w:r w:rsidR="00326E55" w:rsidRPr="00326E55">
        <w:rPr>
          <w:noProof/>
          <w:color w:val="000000" w:themeColor="text1"/>
          <w:spacing w:val="-6"/>
          <w:lang w:val="sk-SK"/>
        </w:rPr>
        <w:t xml:space="preserve"> v </w:t>
      </w:r>
      <w:r w:rsidRPr="00326E55">
        <w:rPr>
          <w:noProof/>
          <w:color w:val="000000" w:themeColor="text1"/>
          <w:spacing w:val="-6"/>
          <w:lang w:val="sk-SK"/>
        </w:rPr>
        <w:t>odmeňovaní žien</w:t>
      </w:r>
      <w:r w:rsidR="00326E55" w:rsidRPr="00326E55">
        <w:rPr>
          <w:noProof/>
          <w:color w:val="000000" w:themeColor="text1"/>
          <w:spacing w:val="-6"/>
          <w:lang w:val="sk-SK"/>
        </w:rPr>
        <w:t xml:space="preserve"> a </w:t>
      </w:r>
      <w:r w:rsidRPr="00326E55">
        <w:rPr>
          <w:noProof/>
          <w:color w:val="000000" w:themeColor="text1"/>
          <w:spacing w:val="-6"/>
          <w:lang w:val="sk-SK"/>
        </w:rPr>
        <w:t>mužov. Táto investícia pozostáva</w:t>
      </w:r>
      <w:r w:rsidR="00326E55" w:rsidRPr="00326E55">
        <w:rPr>
          <w:noProof/>
          <w:color w:val="000000" w:themeColor="text1"/>
          <w:spacing w:val="-6"/>
          <w:lang w:val="sk-SK"/>
        </w:rPr>
        <w:t xml:space="preserve"> z </w:t>
      </w:r>
      <w:r w:rsidRPr="00326E55">
        <w:rPr>
          <w:noProof/>
          <w:spacing w:val="-6"/>
          <w:lang w:val="sk-SK"/>
        </w:rPr>
        <w:t>vytvorenia vnútroštátneho systému certifikácie rodovej rovnosti</w:t>
      </w:r>
      <w:r w:rsidR="00326E55" w:rsidRPr="00326E55">
        <w:rPr>
          <w:noProof/>
          <w:spacing w:val="-6"/>
          <w:lang w:val="sk-SK"/>
        </w:rPr>
        <w:t xml:space="preserve"> s </w:t>
      </w:r>
      <w:r w:rsidRPr="00326E55">
        <w:rPr>
          <w:noProof/>
          <w:spacing w:val="-6"/>
          <w:lang w:val="sk-SK"/>
        </w:rPr>
        <w:t>cieľom podporiť transparentnosť na trhu práce</w:t>
      </w:r>
      <w:r w:rsidR="00326E55" w:rsidRPr="00326E55">
        <w:rPr>
          <w:noProof/>
          <w:spacing w:val="-6"/>
          <w:lang w:val="sk-SK"/>
        </w:rPr>
        <w:t xml:space="preserve"> a </w:t>
      </w:r>
      <w:r w:rsidRPr="00326E55">
        <w:rPr>
          <w:noProof/>
          <w:spacing w:val="-6"/>
          <w:lang w:val="sk-SK"/>
        </w:rPr>
        <w:t>zlepšiť pracovné podmienky žien</w:t>
      </w:r>
      <w:r w:rsidR="00326E55" w:rsidRPr="00326E55">
        <w:rPr>
          <w:noProof/>
          <w:spacing w:val="-6"/>
          <w:lang w:val="sk-SK"/>
        </w:rPr>
        <w:t xml:space="preserve"> z </w:t>
      </w:r>
      <w:r w:rsidRPr="00326E55">
        <w:rPr>
          <w:noProof/>
          <w:spacing w:val="-6"/>
          <w:lang w:val="sk-SK"/>
        </w:rPr>
        <w:t>hľadis</w:t>
      </w:r>
      <w:r w:rsidRPr="00326E55">
        <w:rPr>
          <w:noProof/>
          <w:spacing w:val="-6"/>
          <w:lang w:val="sk-SK"/>
        </w:rPr>
        <w:t>ka kvality, odmeňovania</w:t>
      </w:r>
      <w:r w:rsidR="00326E55" w:rsidRPr="00326E55">
        <w:rPr>
          <w:noProof/>
          <w:spacing w:val="-6"/>
          <w:lang w:val="sk-SK"/>
        </w:rPr>
        <w:t xml:space="preserve"> a </w:t>
      </w:r>
      <w:r w:rsidRPr="00326E55">
        <w:rPr>
          <w:noProof/>
          <w:spacing w:val="-6"/>
          <w:lang w:val="sk-SK"/>
        </w:rPr>
        <w:t>posilnenia postavenia.</w:t>
      </w:r>
    </w:p>
    <w:p w14:paraId="3A5F11B4" w14:textId="77777777" w:rsidR="00BF03AA" w:rsidRPr="00326E55" w:rsidRDefault="00FB452D">
      <w:pPr>
        <w:pStyle w:val="P68B1DB1-Normal7"/>
        <w:rPr>
          <w:b/>
          <w:bCs/>
          <w:noProof/>
          <w:spacing w:val="-6"/>
          <w:lang w:val="sk-SK"/>
        </w:rPr>
      </w:pPr>
      <w:r w:rsidRPr="00326E55">
        <w:rPr>
          <w:noProof/>
          <w:spacing w:val="-6"/>
          <w:lang w:val="sk-SK"/>
        </w:rPr>
        <w:br w:type="page"/>
      </w:r>
    </w:p>
    <w:p w14:paraId="2CA5C8A0" w14:textId="0EDC741C" w:rsidR="00BF03AA" w:rsidRPr="00326E55" w:rsidRDefault="00FB452D">
      <w:pPr>
        <w:pStyle w:val="P68B1DB1-Normal5"/>
        <w:spacing w:before="120" w:after="120"/>
        <w:jc w:val="both"/>
        <w:rPr>
          <w:bCs/>
          <w:noProof/>
          <w:color w:val="000000" w:themeColor="text1"/>
          <w:spacing w:val="-6"/>
          <w:lang w:val="sk-SK"/>
        </w:rPr>
      </w:pPr>
      <w:r w:rsidRPr="00326E55">
        <w:rPr>
          <w:noProof/>
          <w:spacing w:val="-6"/>
          <w:lang w:val="sk-SK"/>
        </w:rPr>
        <w:t>Investícia 3 – Posilnenie dvojakého systému</w:t>
      </w:r>
    </w:p>
    <w:p w14:paraId="4A156A88" w14:textId="08F8F990" w:rsidR="00326E55" w:rsidRPr="00326E55" w:rsidRDefault="00FB452D">
      <w:pPr>
        <w:pStyle w:val="P68B1DB1-Normal7"/>
        <w:spacing w:before="120" w:after="120"/>
        <w:jc w:val="both"/>
        <w:rPr>
          <w:noProof/>
          <w:spacing w:val="-6"/>
          <w:lang w:val="sk-SK"/>
        </w:rPr>
      </w:pPr>
      <w:r w:rsidRPr="00326E55">
        <w:rPr>
          <w:noProof/>
          <w:spacing w:val="-6"/>
          <w:lang w:val="sk-SK"/>
        </w:rPr>
        <w:t>Cieľom tohto opatrenia je podporiť mladých ľudí</w:t>
      </w:r>
      <w:r w:rsidR="00326E55" w:rsidRPr="00326E55">
        <w:rPr>
          <w:noProof/>
          <w:spacing w:val="-6"/>
          <w:lang w:val="sk-SK"/>
        </w:rPr>
        <w:t xml:space="preserve"> a </w:t>
      </w:r>
      <w:r w:rsidRPr="00326E55">
        <w:rPr>
          <w:noProof/>
          <w:spacing w:val="-6"/>
          <w:lang w:val="sk-SK"/>
        </w:rPr>
        <w:t>dospelých bez stredoškolského vzdelania pri prístupe</w:t>
      </w:r>
      <w:r w:rsidR="00326E55" w:rsidRPr="00326E55">
        <w:rPr>
          <w:noProof/>
          <w:spacing w:val="-6"/>
          <w:lang w:val="sk-SK"/>
        </w:rPr>
        <w:t xml:space="preserve"> k </w:t>
      </w:r>
      <w:r w:rsidRPr="00326E55">
        <w:rPr>
          <w:noProof/>
          <w:spacing w:val="-6"/>
          <w:lang w:val="sk-SK"/>
        </w:rPr>
        <w:t>pracovným príležitostiam. Táto investícia pozostáva</w:t>
      </w:r>
      <w:r w:rsidR="00326E55" w:rsidRPr="00326E55">
        <w:rPr>
          <w:noProof/>
          <w:spacing w:val="-6"/>
          <w:lang w:val="sk-SK"/>
        </w:rPr>
        <w:t xml:space="preserve"> z </w:t>
      </w:r>
      <w:r w:rsidRPr="00326E55">
        <w:rPr>
          <w:noProof/>
          <w:spacing w:val="-6"/>
          <w:lang w:val="sk-SK"/>
        </w:rPr>
        <w:t>rozšírenia účasti na „dvojakom systéme“ pre študentov formálneho</w:t>
      </w:r>
      <w:r w:rsidR="00326E55" w:rsidRPr="00326E55">
        <w:rPr>
          <w:noProof/>
          <w:spacing w:val="-6"/>
          <w:lang w:val="sk-SK"/>
        </w:rPr>
        <w:t xml:space="preserve"> a </w:t>
      </w:r>
      <w:r w:rsidRPr="00326E55">
        <w:rPr>
          <w:noProof/>
          <w:spacing w:val="-6"/>
          <w:lang w:val="sk-SK"/>
        </w:rPr>
        <w:t>odborného vzdelávania</w:t>
      </w:r>
      <w:r w:rsidR="00326E55" w:rsidRPr="00326E55">
        <w:rPr>
          <w:noProof/>
          <w:spacing w:val="-6"/>
          <w:lang w:val="sk-SK"/>
        </w:rPr>
        <w:t xml:space="preserve"> a </w:t>
      </w:r>
      <w:r w:rsidRPr="00326E55">
        <w:rPr>
          <w:noProof/>
          <w:spacing w:val="-6"/>
          <w:lang w:val="sk-SK"/>
        </w:rPr>
        <w:t>prípravy (OVP),</w:t>
      </w:r>
      <w:r w:rsidR="00326E55" w:rsidRPr="00326E55">
        <w:rPr>
          <w:noProof/>
          <w:spacing w:val="-6"/>
          <w:lang w:val="sk-SK"/>
        </w:rPr>
        <w:t xml:space="preserve"> a </w:t>
      </w:r>
      <w:r w:rsidRPr="00326E55">
        <w:rPr>
          <w:noProof/>
          <w:spacing w:val="-6"/>
          <w:lang w:val="sk-SK"/>
        </w:rPr>
        <w:t>to aj prostredníctvom učňovskej prípravy</w:t>
      </w:r>
      <w:r w:rsidR="00326E55" w:rsidRPr="00326E55">
        <w:rPr>
          <w:noProof/>
          <w:spacing w:val="-6"/>
          <w:lang w:val="sk-SK"/>
        </w:rPr>
        <w:t>.</w:t>
      </w:r>
    </w:p>
    <w:p w14:paraId="19718782" w14:textId="671FCD57" w:rsidR="00BF03AA" w:rsidRPr="00326E55" w:rsidRDefault="00FB452D">
      <w:pPr>
        <w:pStyle w:val="P68B1DB1-Normal5"/>
        <w:spacing w:before="120" w:after="120"/>
        <w:jc w:val="both"/>
        <w:rPr>
          <w:bCs/>
          <w:noProof/>
          <w:color w:val="000000" w:themeColor="text1"/>
          <w:spacing w:val="-6"/>
          <w:lang w:val="sk-SK"/>
        </w:rPr>
      </w:pPr>
      <w:r w:rsidRPr="00326E55">
        <w:rPr>
          <w:noProof/>
          <w:spacing w:val="-6"/>
          <w:lang w:val="sk-SK"/>
        </w:rPr>
        <w:t>Investícia 4 –</w:t>
      </w:r>
      <w:r w:rsidRPr="00326E55">
        <w:rPr>
          <w:noProof/>
          <w:color w:val="000000" w:themeColor="text1"/>
          <w:spacing w:val="-6"/>
          <w:lang w:val="sk-SK"/>
        </w:rPr>
        <w:t>Posilnenie univerzálnej verejnej služby</w:t>
      </w:r>
    </w:p>
    <w:p w14:paraId="33684F95" w14:textId="64F619F1" w:rsidR="00BF03AA" w:rsidRPr="00326E55" w:rsidRDefault="00FB452D">
      <w:pPr>
        <w:pStyle w:val="P68B1DB1-Normal7"/>
        <w:spacing w:before="120" w:after="120"/>
        <w:jc w:val="both"/>
        <w:rPr>
          <w:noProof/>
          <w:color w:val="000000" w:themeColor="text1"/>
          <w:spacing w:val="-6"/>
          <w:lang w:val="sk-SK"/>
        </w:rPr>
        <w:sectPr w:rsidR="00BF03AA" w:rsidRPr="00326E55" w:rsidSect="00726CF9">
          <w:headerReference w:type="even" r:id="rId212"/>
          <w:headerReference w:type="default" r:id="rId213"/>
          <w:footerReference w:type="even" r:id="rId214"/>
          <w:footerReference w:type="default" r:id="rId215"/>
          <w:headerReference w:type="first" r:id="rId216"/>
          <w:footerReference w:type="first" r:id="rId217"/>
          <w:pgSz w:w="11906" w:h="16838"/>
          <w:pgMar w:top="1440" w:right="1440" w:bottom="1440" w:left="1440" w:header="708" w:footer="708" w:gutter="0"/>
          <w:cols w:space="708"/>
          <w:docGrid w:linePitch="360"/>
        </w:sectPr>
      </w:pPr>
      <w:r w:rsidRPr="00326E55">
        <w:rPr>
          <w:noProof/>
          <w:spacing w:val="-6"/>
          <w:lang w:val="sk-SK"/>
        </w:rPr>
        <w:t>Cieľom tohto opatrenia je zvýšiť počet mladých ľudí zapojených do neformálneho vzdelávania</w:t>
      </w:r>
      <w:r w:rsidR="00326E55" w:rsidRPr="00326E55">
        <w:rPr>
          <w:noProof/>
          <w:spacing w:val="-6"/>
          <w:lang w:val="sk-SK"/>
        </w:rPr>
        <w:t xml:space="preserve"> a </w:t>
      </w:r>
      <w:r w:rsidRPr="00326E55">
        <w:rPr>
          <w:noProof/>
          <w:spacing w:val="-6"/>
          <w:lang w:val="sk-SK"/>
        </w:rPr>
        <w:t>zvýšiť ich znalosti</w:t>
      </w:r>
      <w:r w:rsidR="00326E55" w:rsidRPr="00326E55">
        <w:rPr>
          <w:noProof/>
          <w:spacing w:val="-6"/>
          <w:lang w:val="sk-SK"/>
        </w:rPr>
        <w:t xml:space="preserve"> a </w:t>
      </w:r>
      <w:r w:rsidRPr="00326E55">
        <w:rPr>
          <w:noProof/>
          <w:spacing w:val="-6"/>
          <w:lang w:val="sk-SK"/>
        </w:rPr>
        <w:t>zručnosti. Táto investícia spočíva</w:t>
      </w:r>
      <w:r w:rsidR="00326E55" w:rsidRPr="00326E55">
        <w:rPr>
          <w:noProof/>
          <w:spacing w:val="-6"/>
          <w:lang w:val="sk-SK"/>
        </w:rPr>
        <w:t xml:space="preserve"> v </w:t>
      </w:r>
      <w:r w:rsidRPr="00326E55">
        <w:rPr>
          <w:noProof/>
          <w:spacing w:val="-6"/>
          <w:lang w:val="sk-SK"/>
        </w:rPr>
        <w:t>zlepšení programu univerzálnej verejnej služby</w:t>
      </w:r>
      <w:r w:rsidR="00326E55" w:rsidRPr="00326E55">
        <w:rPr>
          <w:noProof/>
          <w:spacing w:val="-6"/>
          <w:lang w:val="sk-SK"/>
        </w:rPr>
        <w:t xml:space="preserve"> a </w:t>
      </w:r>
      <w:r w:rsidRPr="00326E55">
        <w:rPr>
          <w:noProof/>
          <w:spacing w:val="-6"/>
          <w:lang w:val="sk-SK"/>
        </w:rPr>
        <w:t xml:space="preserve">zvýšení počtu účastníkov. </w:t>
      </w:r>
    </w:p>
    <w:p w14:paraId="43C1DA4D" w14:textId="11D8A339"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L.2.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4"/>
        <w:gridCol w:w="1513"/>
        <w:gridCol w:w="1281"/>
        <w:gridCol w:w="1597"/>
        <w:gridCol w:w="1470"/>
        <w:gridCol w:w="1275"/>
        <w:gridCol w:w="1134"/>
        <w:gridCol w:w="1134"/>
        <w:gridCol w:w="851"/>
        <w:gridCol w:w="705"/>
        <w:gridCol w:w="2839"/>
      </w:tblGrid>
      <w:tr w:rsidR="00BF03AA" w:rsidRPr="00326E55" w14:paraId="3B69C277" w14:textId="77777777">
        <w:trPr>
          <w:trHeight w:val="633"/>
          <w:tblHeader/>
          <w:jc w:val="center"/>
        </w:trPr>
        <w:tc>
          <w:tcPr>
            <w:tcW w:w="1364" w:type="dxa"/>
            <w:vMerge w:val="restart"/>
            <w:shd w:val="clear" w:color="auto" w:fill="BDD7EE"/>
            <w:vAlign w:val="center"/>
            <w:hideMark/>
          </w:tcPr>
          <w:p w14:paraId="7EE08746"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Poradové číslo</w:t>
            </w:r>
          </w:p>
        </w:tc>
        <w:tc>
          <w:tcPr>
            <w:tcW w:w="1513" w:type="dxa"/>
            <w:vMerge w:val="restart"/>
            <w:shd w:val="clear" w:color="auto" w:fill="BDD7EE"/>
            <w:vAlign w:val="center"/>
            <w:hideMark/>
          </w:tcPr>
          <w:p w14:paraId="06B27754"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Súvisiace opatrenie (reforma alebo investícia)</w:t>
            </w:r>
          </w:p>
        </w:tc>
        <w:tc>
          <w:tcPr>
            <w:tcW w:w="1281" w:type="dxa"/>
            <w:vMerge w:val="restart"/>
            <w:shd w:val="clear" w:color="auto" w:fill="BDD7EE"/>
            <w:vAlign w:val="center"/>
            <w:hideMark/>
          </w:tcPr>
          <w:p w14:paraId="07987E67"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Míľnik/cieľ</w:t>
            </w:r>
          </w:p>
        </w:tc>
        <w:tc>
          <w:tcPr>
            <w:tcW w:w="1597" w:type="dxa"/>
            <w:vMerge w:val="restart"/>
            <w:shd w:val="clear" w:color="auto" w:fill="BDD7EE"/>
            <w:vAlign w:val="center"/>
            <w:hideMark/>
          </w:tcPr>
          <w:p w14:paraId="0035E155"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Názov</w:t>
            </w:r>
          </w:p>
        </w:tc>
        <w:tc>
          <w:tcPr>
            <w:tcW w:w="1470" w:type="dxa"/>
            <w:vMerge w:val="restart"/>
            <w:shd w:val="clear" w:color="auto" w:fill="BDD7EE"/>
            <w:vAlign w:val="center"/>
            <w:hideMark/>
          </w:tcPr>
          <w:p w14:paraId="2E1217ED" w14:textId="77777777" w:rsidR="00BF03AA" w:rsidRPr="00326E55" w:rsidRDefault="00FB452D">
            <w:pPr>
              <w:jc w:val="center"/>
              <w:rPr>
                <w:rFonts w:ascii="Times New Roman" w:hAnsi="Times New Roman"/>
                <w:b/>
                <w:bCs/>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543" w:type="dxa"/>
            <w:gridSpan w:val="3"/>
            <w:shd w:val="clear" w:color="auto" w:fill="BDD7EE"/>
            <w:vAlign w:val="center"/>
            <w:hideMark/>
          </w:tcPr>
          <w:p w14:paraId="072CB2B9" w14:textId="77777777" w:rsidR="00BF03AA" w:rsidRPr="00326E55" w:rsidRDefault="00FB452D">
            <w:pPr>
              <w:jc w:val="center"/>
              <w:rPr>
                <w:rFonts w:ascii="Times New Roman" w:hAnsi="Times New Roman"/>
                <w:b/>
                <w:bCs/>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w:t>
            </w:r>
            <w:r w:rsidRPr="00326E55">
              <w:rPr>
                <w:rFonts w:ascii="Times New Roman" w:hAnsi="Times New Roman"/>
                <w:b/>
                <w:noProof/>
                <w:spacing w:val="-6"/>
                <w:sz w:val="20"/>
                <w:lang w:val="sk-SK"/>
              </w:rPr>
              <w:t>vé hodnoty)</w:t>
            </w:r>
          </w:p>
        </w:tc>
        <w:tc>
          <w:tcPr>
            <w:tcW w:w="1556" w:type="dxa"/>
            <w:gridSpan w:val="2"/>
            <w:shd w:val="clear" w:color="auto" w:fill="BDD7EE"/>
            <w:vAlign w:val="center"/>
            <w:hideMark/>
          </w:tcPr>
          <w:p w14:paraId="58D119FA"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Orientačný harmonogram dokončenia</w:t>
            </w:r>
          </w:p>
        </w:tc>
        <w:tc>
          <w:tcPr>
            <w:tcW w:w="2839" w:type="dxa"/>
            <w:vMerge w:val="restart"/>
            <w:shd w:val="clear" w:color="auto" w:fill="BDD7EE"/>
            <w:vAlign w:val="center"/>
            <w:hideMark/>
          </w:tcPr>
          <w:p w14:paraId="68DE838E" w14:textId="2C59BC1F"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38C5DCE8" w14:textId="77777777">
        <w:trPr>
          <w:trHeight w:val="632"/>
          <w:tblHeader/>
          <w:jc w:val="center"/>
        </w:trPr>
        <w:tc>
          <w:tcPr>
            <w:tcW w:w="1364" w:type="dxa"/>
            <w:vMerge/>
            <w:vAlign w:val="center"/>
          </w:tcPr>
          <w:p w14:paraId="63562DF0" w14:textId="77777777" w:rsidR="00BF03AA" w:rsidRPr="00326E55" w:rsidRDefault="00BF03AA">
            <w:pPr>
              <w:jc w:val="center"/>
              <w:rPr>
                <w:rFonts w:ascii="Times New Roman" w:hAnsi="Times New Roman"/>
                <w:b/>
                <w:noProof/>
                <w:spacing w:val="-6"/>
                <w:sz w:val="20"/>
                <w:szCs w:val="20"/>
                <w:lang w:val="sk-SK"/>
              </w:rPr>
            </w:pPr>
          </w:p>
        </w:tc>
        <w:tc>
          <w:tcPr>
            <w:tcW w:w="1513" w:type="dxa"/>
            <w:vMerge/>
            <w:vAlign w:val="center"/>
          </w:tcPr>
          <w:p w14:paraId="7C2D40CD" w14:textId="77777777" w:rsidR="00BF03AA" w:rsidRPr="00326E55" w:rsidRDefault="00BF03AA">
            <w:pPr>
              <w:jc w:val="center"/>
              <w:rPr>
                <w:rFonts w:ascii="Times New Roman" w:hAnsi="Times New Roman"/>
                <w:b/>
                <w:noProof/>
                <w:spacing w:val="-6"/>
                <w:sz w:val="20"/>
                <w:szCs w:val="20"/>
                <w:lang w:val="sk-SK"/>
              </w:rPr>
            </w:pPr>
          </w:p>
        </w:tc>
        <w:tc>
          <w:tcPr>
            <w:tcW w:w="1281" w:type="dxa"/>
            <w:vMerge/>
            <w:vAlign w:val="center"/>
          </w:tcPr>
          <w:p w14:paraId="6F1BF8E6" w14:textId="77777777" w:rsidR="00BF03AA" w:rsidRPr="00326E55" w:rsidRDefault="00BF03AA">
            <w:pPr>
              <w:jc w:val="center"/>
              <w:rPr>
                <w:rFonts w:ascii="Times New Roman" w:hAnsi="Times New Roman"/>
                <w:b/>
                <w:noProof/>
                <w:spacing w:val="-6"/>
                <w:sz w:val="20"/>
                <w:szCs w:val="20"/>
                <w:lang w:val="sk-SK"/>
              </w:rPr>
            </w:pPr>
          </w:p>
        </w:tc>
        <w:tc>
          <w:tcPr>
            <w:tcW w:w="1597" w:type="dxa"/>
            <w:vMerge/>
            <w:vAlign w:val="center"/>
          </w:tcPr>
          <w:p w14:paraId="1F287649" w14:textId="77777777" w:rsidR="00BF03AA" w:rsidRPr="00326E55" w:rsidRDefault="00BF03AA">
            <w:pPr>
              <w:jc w:val="center"/>
              <w:rPr>
                <w:rFonts w:ascii="Times New Roman" w:hAnsi="Times New Roman"/>
                <w:b/>
                <w:noProof/>
                <w:spacing w:val="-6"/>
                <w:sz w:val="20"/>
                <w:szCs w:val="20"/>
                <w:lang w:val="sk-SK"/>
              </w:rPr>
            </w:pPr>
          </w:p>
        </w:tc>
        <w:tc>
          <w:tcPr>
            <w:tcW w:w="1470" w:type="dxa"/>
            <w:vMerge/>
            <w:vAlign w:val="center"/>
          </w:tcPr>
          <w:p w14:paraId="6E4E8331" w14:textId="77777777" w:rsidR="00BF03AA" w:rsidRPr="00326E55" w:rsidRDefault="00BF03AA">
            <w:pPr>
              <w:jc w:val="center"/>
              <w:rPr>
                <w:rFonts w:ascii="Times New Roman" w:hAnsi="Times New Roman"/>
                <w:b/>
                <w:noProof/>
                <w:spacing w:val="-6"/>
                <w:sz w:val="20"/>
                <w:szCs w:val="20"/>
                <w:lang w:val="sk-SK"/>
              </w:rPr>
            </w:pPr>
          </w:p>
        </w:tc>
        <w:tc>
          <w:tcPr>
            <w:tcW w:w="1275" w:type="dxa"/>
            <w:shd w:val="clear" w:color="auto" w:fill="BDD7EE"/>
            <w:vAlign w:val="center"/>
          </w:tcPr>
          <w:p w14:paraId="550BE33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134" w:type="dxa"/>
            <w:shd w:val="clear" w:color="auto" w:fill="BDD7EE"/>
            <w:vAlign w:val="center"/>
          </w:tcPr>
          <w:p w14:paraId="44197F7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1134" w:type="dxa"/>
            <w:shd w:val="clear" w:color="auto" w:fill="BDD7EE"/>
            <w:vAlign w:val="center"/>
          </w:tcPr>
          <w:p w14:paraId="213CC092"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851" w:type="dxa"/>
            <w:shd w:val="clear" w:color="auto" w:fill="BDD7EE"/>
            <w:vAlign w:val="center"/>
          </w:tcPr>
          <w:p w14:paraId="32B45291"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05" w:type="dxa"/>
            <w:shd w:val="clear" w:color="auto" w:fill="BDD7EE"/>
            <w:vAlign w:val="center"/>
          </w:tcPr>
          <w:p w14:paraId="4AD060F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839" w:type="dxa"/>
            <w:vMerge/>
            <w:vAlign w:val="center"/>
          </w:tcPr>
          <w:p w14:paraId="37259B5C" w14:textId="77777777" w:rsidR="00BF03AA" w:rsidRPr="00326E55" w:rsidRDefault="00BF03AA">
            <w:pPr>
              <w:jc w:val="center"/>
              <w:rPr>
                <w:rFonts w:ascii="Times New Roman" w:hAnsi="Times New Roman"/>
                <w:b/>
                <w:noProof/>
                <w:spacing w:val="-6"/>
                <w:sz w:val="20"/>
                <w:szCs w:val="20"/>
                <w:lang w:val="sk-SK"/>
              </w:rPr>
            </w:pPr>
          </w:p>
        </w:tc>
      </w:tr>
      <w:tr w:rsidR="00BF03AA" w:rsidRPr="00326E55" w14:paraId="600F9428"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B88AD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M5C1 – 1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B457A4" w14:textId="5FDCB23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 – aktívne politiky trhu práce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odborná príprava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93051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38483B" w14:textId="3616E93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medzirezortnej vyhlášky, ktorou </w:t>
            </w:r>
            <w:r w:rsidRPr="00326E55">
              <w:rPr>
                <w:rFonts w:ascii="Times New Roman" w:hAnsi="Times New Roman"/>
                <w:noProof/>
                <w:spacing w:val="-6"/>
                <w:lang w:val="sk-SK"/>
              </w:rPr>
              <w:t>sa ustanovuje národný program pre zaručenú zamestnateľnosť pracovníkov (GOL),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medzirezortnej vyhlášky, ktorou sa ustanovuje národný plán pre nové zručnosti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37F4B2" w14:textId="727E203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medzirezortných vyhlášok,</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uvádza</w:t>
            </w:r>
            <w:r w:rsidRPr="00326E55">
              <w:rPr>
                <w:rFonts w:ascii="Times New Roman" w:hAnsi="Times New Roman"/>
                <w:noProof/>
                <w:spacing w:val="-6"/>
                <w:lang w:val="sk-SK"/>
              </w:rPr>
              <w:t xml:space="preserve"> nadobudnutie účinnosti dvoch medzirezortných vyhlášok na základe dohôd na konferencii štátov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regiónov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programe GOL</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národnom pláne pre nové zručnosti</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B334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FF16B0"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163E1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58141B"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A0801F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03F1B86" w14:textId="4E78635A"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Úkony týkajúce sa GOL minimálne: I) vymedziť zákl</w:t>
            </w:r>
            <w:r w:rsidRPr="00326E55">
              <w:rPr>
                <w:rFonts w:ascii="Times New Roman" w:hAnsi="Times New Roman"/>
                <w:noProof/>
                <w:spacing w:val="-6"/>
                <w:lang w:val="sk-SK"/>
              </w:rPr>
              <w:t>adné prvky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ich normy verejných služieb zamestnanosti vrátane prognóz zručností, personalizovaných plánov odbornej prípravy, poradenstva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profesijného poradenstva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účinné poskytovanie personalizovaných služieb zamestnanosti podľa spolo</w:t>
            </w:r>
            <w:r w:rsidRPr="00326E55">
              <w:rPr>
                <w:rFonts w:ascii="Times New Roman" w:hAnsi="Times New Roman"/>
                <w:noProof/>
                <w:spacing w:val="-6"/>
                <w:lang w:val="sk-SK"/>
              </w:rPr>
              <w:t>čných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jednotných noriem na celom území štátu, ii) zabezpečiť, aby činnosti odbornej prípravy zamerané na zvyšovanie úrovne zručností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rekvalifikáciu poskytované verejnými službami zamestnanosti (VSZ) boli plne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národným plánom pre nové zru</w:t>
            </w:r>
            <w:r w:rsidRPr="00326E55">
              <w:rPr>
                <w:rFonts w:ascii="Times New Roman" w:hAnsi="Times New Roman"/>
                <w:noProof/>
                <w:spacing w:val="-6"/>
                <w:lang w:val="sk-SK"/>
              </w:rPr>
              <w:t>čnosti vrátane digitálnych zručností, iii) zabezpečiť, aby verejné služby zamestnanosti (VSZ) boli zamerané na potreby príjemcov, iv) zabezpečiť, aby verejné služby zamestnanosti (VSZ) boli prioritne zamerané na najzraniteľnejšie osoby; v) stanoviť cieľ mi</w:t>
            </w:r>
            <w:r w:rsidRPr="00326E55">
              <w:rPr>
                <w:rFonts w:ascii="Times New Roman" w:hAnsi="Times New Roman"/>
                <w:noProof/>
                <w:spacing w:val="-6"/>
                <w:lang w:val="sk-SK"/>
              </w:rPr>
              <w:t>nimálne 25</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príjemcov programov zaručenej zamestnateľnosti pracovníkov ako príjemcov príslušnej odbornej prípravy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osobitným zameraním na digitálne zručnosti</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prioritou pre najzraniteľnejšie skupiny; VI) stanoviť nové mechanizmy, ktoré posilnia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zošt</w:t>
            </w:r>
            <w:r w:rsidRPr="00326E55">
              <w:rPr>
                <w:rFonts w:ascii="Times New Roman" w:hAnsi="Times New Roman"/>
                <w:noProof/>
                <w:spacing w:val="-6"/>
                <w:lang w:val="sk-SK"/>
              </w:rPr>
              <w:t>rukturalizujú spoluprácu medzi verejnými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súkromnými systémami,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identifikáciou príslušných potrieb zručností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poskytovaním pracovných ponúk. Vo vyhláške sa stanovuje, že príjemcovia záchranných sociálnych sietí majú prístup</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služb</w:t>
            </w:r>
            <w:r w:rsidRPr="00326E55">
              <w:rPr>
                <w:rFonts w:ascii="Times New Roman" w:hAnsi="Times New Roman"/>
                <w:noProof/>
                <w:spacing w:val="-6"/>
                <w:lang w:val="sk-SK"/>
              </w:rPr>
              <w:t>ám poskytovaným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národného programu zaručená zamestnateľnosť pracovníkov do štyroch mesiacov od okamihu, keď dozreli právo na záchranné sociálne siete.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aktoch týkajúcich sa národného plánu pre nové zručnosti sa minimálne: I) vymedzuje spoločné nor</w:t>
            </w:r>
            <w:r w:rsidRPr="00326E55">
              <w:rPr>
                <w:rFonts w:ascii="Times New Roman" w:hAnsi="Times New Roman"/>
                <w:noProof/>
                <w:spacing w:val="-6"/>
                <w:lang w:val="sk-SK"/>
              </w:rPr>
              <w:t>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základné úrovne odbornej prípravy na celom území štátu, ii) zameriava sa na zamestnané aj nezamestnané osoby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osoby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zlepšiť ich digitálne zručnosti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podporiť celoživotné vzdelávanie. III) identifikovať zručnosti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príslušné normy na základe</w:t>
            </w:r>
            <w:r w:rsidRPr="00326E55">
              <w:rPr>
                <w:rFonts w:ascii="Times New Roman" w:hAnsi="Times New Roman"/>
                <w:noProof/>
                <w:spacing w:val="-6"/>
                <w:lang w:val="sk-SK"/>
              </w:rPr>
              <w:t xml:space="preserve"> spolupráce medzi verejnými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súkromnými systémami, iv) zohľadniť rôzne potreby posudzovaných cieľových skupín, ktoré zahŕňajú minimálne najzraniteľnejšie osoby, v) zahŕňať všetky príslušné odvetvové stratégie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zaujať komplexný prístup vrátane náro</w:t>
            </w:r>
            <w:r w:rsidRPr="00326E55">
              <w:rPr>
                <w:rFonts w:ascii="Times New Roman" w:hAnsi="Times New Roman"/>
                <w:noProof/>
                <w:spacing w:val="-6"/>
                <w:lang w:val="sk-SK"/>
              </w:rPr>
              <w:t>dného strategického plánu pre kompetencie dospelých; vi) začleniť ustanovenie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vývoji systému prognóz nových kompetencií potrebných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krátkodobom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strednodobom horizonte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trhu práce.</w:t>
            </w:r>
          </w:p>
        </w:tc>
      </w:tr>
      <w:tr w:rsidR="00BF03AA" w:rsidRPr="00326E55" w14:paraId="41F09158"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B3B06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M5C1 – 2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88237A8" w14:textId="435B4FE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 – aktívne politiky trhu práce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odborná </w:t>
            </w:r>
            <w:r w:rsidRPr="00326E55">
              <w:rPr>
                <w:rFonts w:ascii="Times New Roman" w:hAnsi="Times New Roman"/>
                <w:noProof/>
                <w:spacing w:val="-6"/>
                <w:lang w:val="sk-SK"/>
              </w:rPr>
              <w:t>príprava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9DE74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BE2799" w14:textId="47AE502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všetkých plánov verejných služieb zamestnanosti (VSZ) na regionálnej úrovni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01D0C7" w14:textId="23CB1A1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plánov prijatých regiónmi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vykonaných aktivitách</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B344F9"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69FDC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3924F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4BECA0"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C1883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54CF25" w14:textId="4D8F9A3C"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 xml:space="preserve">Vo </w:t>
            </w:r>
            <w:r w:rsidRPr="00326E55">
              <w:rPr>
                <w:rFonts w:ascii="Times New Roman" w:hAnsi="Times New Roman"/>
                <w:noProof/>
                <w:spacing w:val="-6"/>
                <w:lang w:val="sk-SK"/>
              </w:rPr>
              <w:t>vnútroštátnej regulácii programu zaručená zamestnateľnosť pracovníkov (GOL) sa na regionálnej úrovni predpokladá vymedzenie potrebných operačných činností na vykonávanie programu.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súlad medzi vnútroštátnymi právnymi predpismi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regionál</w:t>
            </w:r>
            <w:r w:rsidRPr="00326E55">
              <w:rPr>
                <w:rFonts w:ascii="Times New Roman" w:hAnsi="Times New Roman"/>
                <w:noProof/>
                <w:spacing w:val="-6"/>
                <w:lang w:val="sk-SK"/>
              </w:rPr>
              <w:t>nym vykonávaním sa prijmú regionálne plány pre verejné služby zamestnanosti (VSZ)</w:t>
            </w:r>
            <w:r w:rsidR="00326E55" w:rsidRPr="00326E55">
              <w:rPr>
                <w:rFonts w:ascii="Times New Roman" w:hAnsi="Times New Roman"/>
                <w:noProof/>
                <w:spacing w:val="-6"/>
                <w:lang w:val="sk-SK"/>
              </w:rPr>
              <w:t>.</w:t>
            </w:r>
          </w:p>
          <w:p w14:paraId="060C5613" w14:textId="3866832F"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Okrem prijatia plánov regióny vykonávajú činnosti na základe plánov, pričom dosahujú aspoň 10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predpokladaných prijímateľov programu (konečný cieľ 3000000 ľudí).</w:t>
            </w:r>
          </w:p>
          <w:p w14:paraId="224EBE8B" w14:textId="46B416E9"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Nadobudnut</w:t>
            </w:r>
            <w:r w:rsidRPr="00326E55">
              <w:rPr>
                <w:rFonts w:ascii="Times New Roman" w:hAnsi="Times New Roman"/>
                <w:noProof/>
                <w:spacing w:val="-6"/>
                <w:lang w:val="sk-SK"/>
              </w:rPr>
              <w:t>ie účinnosti plánov pre verejné služby zamestnanosti (VSZ) umožní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plnej miere vykonávať program zaručenej zamestnanosti pracovníkov (GOL).</w:t>
            </w:r>
          </w:p>
        </w:tc>
      </w:tr>
      <w:tr w:rsidR="00BF03AA" w:rsidRPr="00326E55" w14:paraId="5F251F06"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04B54F"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 xml:space="preserve">M5C1 – 3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AC7775" w14:textId="7E5F5BA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 – aktívne politiky trhu práce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odborná príprava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6FA29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CBD4196"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Ľudia, ktorí využívajú program zaručenej</w:t>
            </w:r>
            <w:r w:rsidRPr="00326E55">
              <w:rPr>
                <w:rFonts w:ascii="Times New Roman" w:hAnsi="Times New Roman"/>
                <w:noProof/>
                <w:spacing w:val="-6"/>
                <w:lang w:val="sk-SK"/>
              </w:rPr>
              <w:t xml:space="preserve"> zamestnateľnosti pracovníkov (GOL)</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38A03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ADFC96"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DBFEF3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49F4D1"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3</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B41C0D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905D9C"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641185" w14:textId="77777777" w:rsidR="00BF03AA" w:rsidRPr="00326E55" w:rsidRDefault="00FB452D">
            <w:pPr>
              <w:rPr>
                <w:rFonts w:ascii="Times New Roman" w:hAnsi="Times New Roman"/>
                <w:noProof/>
                <w:color w:val="006100"/>
                <w:spacing w:val="-6"/>
                <w:sz w:val="20"/>
                <w:lang w:val="sk-SK"/>
              </w:rPr>
            </w:pPr>
            <w:r w:rsidRPr="00326E55">
              <w:rPr>
                <w:rFonts w:ascii="Times New Roman" w:hAnsi="Times New Roman"/>
                <w:noProof/>
                <w:color w:val="006100"/>
                <w:spacing w:val="-6"/>
                <w:sz w:val="20"/>
                <w:szCs w:val="20"/>
                <w:lang w:val="sk-SK"/>
              </w:rPr>
              <w:t>Najmenej 3000000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osôb využíva program zaručenej zamestnateľnosti pracovníkov (GOL).</w:t>
            </w:r>
          </w:p>
          <w:p w14:paraId="5701123A" w14:textId="1581BF3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Okrem toho </w:t>
            </w:r>
            <w:r w:rsidRPr="00326E55">
              <w:rPr>
                <w:rFonts w:ascii="Times New Roman" w:hAnsi="Times New Roman"/>
                <w:noProof/>
                <w:spacing w:val="-6"/>
                <w:szCs w:val="20"/>
                <w:lang w:val="sk-SK"/>
              </w:rPr>
              <w:t xml:space="preserve">základné úrovne služieb </w:t>
            </w:r>
            <w:r w:rsidRPr="00326E55">
              <w:rPr>
                <w:rFonts w:ascii="Times New Roman" w:hAnsi="Times New Roman"/>
                <w:i/>
                <w:noProof/>
                <w:spacing w:val="-6"/>
                <w:szCs w:val="20"/>
                <w:lang w:val="sk-SK"/>
              </w:rPr>
              <w:t>(„Livelli essenziali delle prestazioni“),</w:t>
            </w:r>
            <w:r w:rsidRPr="00326E55">
              <w:rPr>
                <w:rFonts w:ascii="Times New Roman" w:hAnsi="Times New Roman"/>
                <w:noProof/>
                <w:spacing w:val="-6"/>
                <w:szCs w:val="20"/>
                <w:lang w:val="sk-SK"/>
              </w:rPr>
              <w:t xml:space="preserve"> ako sú vymedzené</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programe GOL, musia byť</w:t>
            </w:r>
            <w:r w:rsidR="00326E55" w:rsidRPr="00326E55">
              <w:rPr>
                <w:rFonts w:ascii="Times New Roman" w:hAnsi="Times New Roman"/>
                <w:noProof/>
                <w:spacing w:val="-6"/>
                <w:szCs w:val="20"/>
                <w:lang w:val="sk-SK"/>
              </w:rPr>
              <w:t xml:space="preserve"> k </w:t>
            </w:r>
            <w:r w:rsidRPr="00326E55">
              <w:rPr>
                <w:rFonts w:ascii="Times New Roman" w:hAnsi="Times New Roman"/>
                <w:noProof/>
                <w:spacing w:val="-6"/>
                <w:szCs w:val="20"/>
                <w:lang w:val="sk-SK"/>
              </w:rPr>
              <w:t>dispozícii aspoň</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80</w:t>
            </w:r>
            <w:r w:rsidR="00326E55" w:rsidRPr="00326E55">
              <w:rPr>
                <w:rFonts w:ascii="Times New Roman" w:hAnsi="Times New Roman"/>
                <w:noProof/>
                <w:spacing w:val="-6"/>
                <w:szCs w:val="20"/>
                <w:lang w:val="sk-SK"/>
              </w:rPr>
              <w:t> %</w:t>
            </w:r>
            <w:r w:rsidRPr="00326E55">
              <w:rPr>
                <w:rFonts w:ascii="Times New Roman" w:hAnsi="Times New Roman"/>
                <w:noProof/>
                <w:spacing w:val="-6"/>
                <w:szCs w:val="20"/>
                <w:lang w:val="sk-SK"/>
              </w:rPr>
              <w:t xml:space="preserve"> verejných služieb zamestnanosti (VSZ).</w:t>
            </w:r>
          </w:p>
        </w:tc>
      </w:tr>
      <w:tr w:rsidR="00BF03AA" w:rsidRPr="00326E55" w14:paraId="328CFFD5"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E240EDC"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 xml:space="preserve">M5C1 – 4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AD40E" w14:textId="47C3DE8D"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Reforma 1 – aktívne politiky trhu práce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odborná príprava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85F78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75B2BD" w14:textId="7CCDB14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Osoby zúčastňujúce sa na programoch odbornej prípravy</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56B51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6DB7DB"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32FC23"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FFB1AA" w14:textId="77777777" w:rsidR="00BF03AA" w:rsidRPr="00326E55" w:rsidRDefault="00FB452D">
            <w:pPr>
              <w:jc w:val="center"/>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lang w:val="sk-SK"/>
              </w:rPr>
              <w:t>600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4FB6C8"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23B8F9"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7C09A3" w14:textId="2F3B4BBC"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Najmenej 600000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príjemcov programu GOL sa zúčastňuje na odbornej príprave,</w:t>
            </w:r>
            <w:r w:rsidR="00326E55" w:rsidRPr="00326E55">
              <w:rPr>
                <w:rFonts w:ascii="Times New Roman" w:hAnsi="Times New Roman"/>
                <w:noProof/>
                <w:color w:val="006100"/>
                <w:spacing w:val="-6"/>
                <w:sz w:val="20"/>
                <w:szCs w:val="20"/>
                <w:lang w:val="sk-SK"/>
              </w:rPr>
              <w:t xml:space="preserve"> z </w:t>
            </w:r>
            <w:r w:rsidRPr="00326E55">
              <w:rPr>
                <w:rFonts w:ascii="Times New Roman" w:hAnsi="Times New Roman"/>
                <w:noProof/>
                <w:color w:val="006100"/>
                <w:spacing w:val="-6"/>
                <w:sz w:val="20"/>
                <w:szCs w:val="20"/>
                <w:lang w:val="sk-SK"/>
              </w:rPr>
              <w:t>čoho najmenej 300000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sa zúčastňuje na odbornej príprave</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oblasti digitálnych zručností.</w:t>
            </w:r>
          </w:p>
          <w:p w14:paraId="058AA29C" w14:textId="11248E2E"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Uverejnia sa zoznamy vybraných </w:t>
            </w:r>
            <w:r w:rsidRPr="00326E55">
              <w:rPr>
                <w:rFonts w:ascii="Times New Roman" w:hAnsi="Times New Roman"/>
                <w:noProof/>
                <w:spacing w:val="-6"/>
                <w:lang w:val="sk-SK"/>
              </w:rPr>
              <w:t xml:space="preserve">príjemcov programov odbornej prípravy </w:t>
            </w:r>
            <w:r w:rsidRPr="00326E55">
              <w:rPr>
                <w:rFonts w:ascii="Times New Roman" w:hAnsi="Times New Roman"/>
                <w:i/>
                <w:noProof/>
                <w:spacing w:val="-6"/>
                <w:lang w:val="sk-SK"/>
              </w:rPr>
              <w:t>„Progetto per l’autoimpiego</w:t>
            </w:r>
            <w:r w:rsidRPr="00326E55">
              <w:rPr>
                <w:rFonts w:ascii="Times New Roman" w:hAnsi="Times New Roman"/>
                <w:noProof/>
                <w:spacing w:val="-6"/>
                <w:lang w:val="sk-SK"/>
              </w:rPr>
              <w:t>“,</w:t>
            </w:r>
            <w:r w:rsidRPr="00326E55">
              <w:rPr>
                <w:rFonts w:ascii="Times New Roman" w:hAnsi="Times New Roman"/>
                <w:i/>
                <w:noProof/>
                <w:spacing w:val="-6"/>
                <w:lang w:val="sk-SK"/>
              </w:rPr>
              <w:t>„Fono nuove</w:t>
            </w:r>
            <w:r w:rsidRPr="00326E55">
              <w:rPr>
                <w:rFonts w:ascii="Times New Roman" w:hAnsi="Times New Roman"/>
                <w:noProof/>
                <w:spacing w:val="-6"/>
                <w:lang w:val="sk-SK"/>
              </w:rPr>
              <w:t>competenze“ a</w:t>
            </w:r>
            <w:r w:rsidRPr="00326E55">
              <w:rPr>
                <w:rFonts w:ascii="Times New Roman" w:hAnsi="Times New Roman"/>
                <w:i/>
                <w:noProof/>
                <w:spacing w:val="-6"/>
                <w:lang w:val="sk-SK"/>
              </w:rPr>
              <w:t>„Partnerstvo</w:t>
            </w:r>
            <w:r w:rsidR="00326E55" w:rsidRPr="00326E55">
              <w:rPr>
                <w:rFonts w:ascii="Times New Roman" w:hAnsi="Times New Roman"/>
                <w:i/>
                <w:noProof/>
                <w:spacing w:val="-6"/>
                <w:lang w:val="sk-SK"/>
              </w:rPr>
              <w:t xml:space="preserve"> v </w:t>
            </w:r>
            <w:r w:rsidRPr="00326E55">
              <w:rPr>
                <w:rFonts w:ascii="Times New Roman" w:hAnsi="Times New Roman"/>
                <w:i/>
                <w:noProof/>
                <w:spacing w:val="-6"/>
                <w:lang w:val="sk-SK"/>
              </w:rPr>
              <w:t>oblasti zručností Ucraina-Italia</w:t>
            </w:r>
            <w:r w:rsidRPr="00326E55">
              <w:rPr>
                <w:rFonts w:ascii="Times New Roman" w:hAnsi="Times New Roman"/>
                <w:noProof/>
                <w:spacing w:val="-6"/>
                <w:lang w:val="sk-SK"/>
              </w:rPr>
              <w:t>“.</w:t>
            </w:r>
          </w:p>
        </w:tc>
      </w:tr>
      <w:tr w:rsidR="00BF03AA" w:rsidRPr="00326E55" w14:paraId="4D48BF16" w14:textId="77777777">
        <w:trPr>
          <w:trHeight w:val="593"/>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3F5AF4"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 xml:space="preserve">M5C1 – 4bis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79134E8" w14:textId="15A6A80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 – aktívne politiky trhu práce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odborná príprava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A7823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3A90CF" w14:textId="77777777" w:rsidR="00BF03AA" w:rsidRPr="00326E55" w:rsidRDefault="00FB452D">
            <w:pPr>
              <w:pStyle w:val="P68B1DB1-Normal12"/>
              <w:jc w:val="center"/>
              <w:rPr>
                <w:rFonts w:ascii="Times New Roman" w:eastAsia="Calibri" w:hAnsi="Times New Roman"/>
                <w:noProof/>
                <w:spacing w:val="-6"/>
                <w:lang w:val="sk-SK"/>
              </w:rPr>
            </w:pPr>
            <w:r w:rsidRPr="00326E55">
              <w:rPr>
                <w:rFonts w:ascii="Times New Roman" w:hAnsi="Times New Roman"/>
                <w:noProof/>
                <w:spacing w:val="-6"/>
                <w:lang w:val="sk-SK"/>
              </w:rPr>
              <w:t xml:space="preserve">Osoby zúčastňujúce sa na programoch odbornej prípravy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D2041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44E6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0DA73" w14:textId="345B956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600 000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79527A" w14:textId="2EC41DA2"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szCs w:val="20"/>
                <w:lang w:val="sk-SK"/>
              </w:rPr>
              <w:t>800 000</w:t>
            </w:r>
            <w:r w:rsidRPr="00326E55">
              <w:rPr>
                <w:rFonts w:ascii="Times New Roman" w:hAnsi="Times New Roman"/>
                <w:noProof/>
                <w:spacing w:val="-6"/>
                <w:lang w:val="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55E1751"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DRUHÝ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5B16827"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1F55EF5" w14:textId="5E0CC0F1" w:rsidR="00BF03AA" w:rsidRPr="00326E55" w:rsidRDefault="00FB452D">
            <w:pPr>
              <w:pStyle w:val="P68B1DB1-Normal12"/>
              <w:rPr>
                <w:rFonts w:ascii="Times New Roman" w:eastAsia="Calibri" w:hAnsi="Times New Roman"/>
                <w:noProof/>
                <w:spacing w:val="-6"/>
                <w:lang w:val="sk-SK"/>
              </w:rPr>
            </w:pPr>
            <w:r w:rsidRPr="00326E55">
              <w:rPr>
                <w:rFonts w:ascii="Times New Roman" w:hAnsi="Times New Roman"/>
                <w:noProof/>
                <w:spacing w:val="-6"/>
                <w:lang w:val="sk-SK"/>
              </w:rPr>
              <w:t>Najmenej 200000 osôb sa zúčastňuje na odbornej príprave prostredníctvom programu GOL „Fondo</w:t>
            </w:r>
            <w:r w:rsidRPr="00326E55">
              <w:rPr>
                <w:rFonts w:ascii="Times New Roman" w:hAnsi="Times New Roman"/>
                <w:i/>
                <w:noProof/>
                <w:spacing w:val="-6"/>
                <w:lang w:val="sk-SK"/>
              </w:rPr>
              <w:t>nuove competenze“</w:t>
            </w:r>
            <w:r w:rsidRPr="00326E55">
              <w:rPr>
                <w:rFonts w:ascii="Times New Roman" w:hAnsi="Times New Roman"/>
                <w:noProof/>
                <w:spacing w:val="-6"/>
                <w:lang w:val="sk-SK"/>
              </w:rPr>
              <w:t xml:space="preserve">alebo „ </w:t>
            </w:r>
            <w:r w:rsidRPr="00326E55">
              <w:rPr>
                <w:rFonts w:ascii="Times New Roman" w:hAnsi="Times New Roman"/>
                <w:i/>
                <w:noProof/>
                <w:spacing w:val="-6"/>
                <w:lang w:val="sk-SK"/>
              </w:rPr>
              <w:t>Progetto per l’autoimpiego“ (Pro</w:t>
            </w:r>
            <w:r w:rsidRPr="00326E55">
              <w:rPr>
                <w:rFonts w:ascii="Times New Roman" w:hAnsi="Times New Roman"/>
                <w:i/>
                <w:noProof/>
                <w:spacing w:val="-6"/>
                <w:lang w:val="sk-SK"/>
              </w:rPr>
              <w:t>getto per</w:t>
            </w:r>
            <w:r w:rsidRPr="00326E55">
              <w:rPr>
                <w:rFonts w:ascii="Times New Roman" w:hAnsi="Times New Roman"/>
                <w:noProof/>
                <w:spacing w:val="-6"/>
                <w:lang w:val="sk-SK"/>
              </w:rPr>
              <w:t>l’autoimpiego),</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 xml:space="preserve">čoho najmenej 75000 je prijímateľmi GOL. </w:t>
            </w:r>
          </w:p>
        </w:tc>
      </w:tr>
      <w:tr w:rsidR="00BF03AA" w:rsidRPr="00326E55" w14:paraId="4E47ECBE"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D77FE9"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M5C1 – 6</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31471"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Investícia 1 – Posilnenie verejných služieb zamestnanosti (VSZ)</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440432"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61E780" w14:textId="422B6C7E"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 Verejné služby zamestnanosti (VSZ) vykonávajú činnosti plánované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pláne posilnenia počas trojročného </w:t>
            </w:r>
            <w:r w:rsidRPr="00326E55">
              <w:rPr>
                <w:rFonts w:ascii="Times New Roman" w:hAnsi="Times New Roman"/>
                <w:noProof/>
                <w:spacing w:val="-6"/>
                <w:lang w:val="sk-SK"/>
              </w:rPr>
              <w:t>obdobia 2021 – 2023.</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FB0492"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EB4488"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Počet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B0FA08"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7502E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250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FE78B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06AFCC6"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36FF30D" w14:textId="2EBD2FCC"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Najmenej 250 verejných služieb zamestnanosti (VSZ) dokončilo počas trojročného obdobia 2021 – 2023 aspoň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činností plánovaných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pláne posilnenia.</w:t>
            </w:r>
          </w:p>
          <w:p w14:paraId="48CBF943" w14:textId="6D4059F1"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Tieto činnosti 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centrálnym </w:t>
            </w:r>
            <w:r w:rsidRPr="00326E55">
              <w:rPr>
                <w:rFonts w:ascii="Times New Roman" w:hAnsi="Times New Roman"/>
                <w:noProof/>
                <w:spacing w:val="-6"/>
                <w:lang w:val="sk-SK"/>
              </w:rPr>
              <w:t>plánom posilnenia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ďalej vymedzené na regionálnej úrovni na základe analýzy potrieb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pridelených zdrojov.</w:t>
            </w:r>
          </w:p>
          <w:p w14:paraId="057FAC4A" w14:textId="01841647" w:rsidR="00326E55"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Tieto činnosti zahŕňajú: I) renovácia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renovácia súčasných lokalít verejných služieb zamestnanosti (VSZ)</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nákup nových; II) ďalšia implementácia i</w:t>
            </w:r>
            <w:r w:rsidRPr="00326E55">
              <w:rPr>
                <w:rFonts w:ascii="Times New Roman" w:hAnsi="Times New Roman"/>
                <w:noProof/>
                <w:spacing w:val="-6"/>
                <w:lang w:val="sk-SK"/>
              </w:rPr>
              <w:t>nformačného systému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hľadiska vnútroštátnej interoperability; III) odborná príprava zamestnancov; IV) zriadenie regionálnych stredísk pre monitorovanie miestnych trhov práce; V) inštitucionálna komunikácia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osveta</w:t>
            </w:r>
            <w:r w:rsidR="00326E55" w:rsidRPr="00326E55">
              <w:rPr>
                <w:rFonts w:ascii="Times New Roman" w:hAnsi="Times New Roman"/>
                <w:noProof/>
                <w:spacing w:val="-6"/>
                <w:lang w:val="sk-SK"/>
              </w:rPr>
              <w:t>.</w:t>
            </w:r>
          </w:p>
          <w:p w14:paraId="5E660950" w14:textId="0C6FD1D1"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Do tohto cieľa nie sú zahrnuté činnosti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infraštruktúry.</w:t>
            </w:r>
          </w:p>
          <w:p w14:paraId="0B80263F" w14:textId="0AB0CFC0"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Pri dosahovaní cieľa je zabezpečená rovnaká rovnováha,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územné rozdelenie (sever, stred</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juh).</w:t>
            </w:r>
          </w:p>
        </w:tc>
      </w:tr>
      <w:tr w:rsidR="00BF03AA" w:rsidRPr="00326E55" w14:paraId="60AB01AC"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21528" w14:textId="77777777" w:rsidR="00BF03AA" w:rsidRPr="00326E55" w:rsidRDefault="00FB452D">
            <w:pPr>
              <w:pStyle w:val="P68B1DB1-Normal12"/>
              <w:spacing w:before="120" w:after="120"/>
              <w:jc w:val="center"/>
              <w:rPr>
                <w:rFonts w:ascii="Times New Roman" w:eastAsia="Calibri" w:hAnsi="Times New Roman"/>
                <w:noProof/>
                <w:spacing w:val="-6"/>
                <w:highlight w:val="yellow"/>
                <w:lang w:val="sk-SK"/>
              </w:rPr>
            </w:pPr>
            <w:r w:rsidRPr="00326E55">
              <w:rPr>
                <w:rFonts w:ascii="Times New Roman" w:hAnsi="Times New Roman"/>
                <w:noProof/>
                <w:spacing w:val="-6"/>
                <w:lang w:val="sk-SK"/>
              </w:rPr>
              <w:t>M5C1 – 7</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027B18"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Investícia 1 – Posilnenie verejných služieb zamestnanosti (VSZ)</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A392036"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957EF3" w14:textId="451AF221"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 xml:space="preserve">Verejné služby zamestnanosti (VSZ) </w:t>
            </w:r>
            <w:r w:rsidRPr="00326E55">
              <w:rPr>
                <w:rFonts w:ascii="Times New Roman" w:hAnsi="Times New Roman"/>
                <w:noProof/>
                <w:spacing w:val="-6"/>
                <w:lang w:val="sk-SK"/>
              </w:rPr>
              <w:t>dokončili činnosti plánované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pláne posilnenia</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34071E" w14:textId="77777777"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01F7BE"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8A18CE"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E65613" w14:textId="77777777" w:rsidR="00BF03AA" w:rsidRPr="00326E55" w:rsidRDefault="00FB452D">
            <w:pPr>
              <w:pStyle w:val="P68B1DB1-Normal12"/>
              <w:spacing w:before="120" w:after="120"/>
              <w:jc w:val="center"/>
              <w:rPr>
                <w:rFonts w:ascii="Times New Roman" w:hAnsi="Times New Roman"/>
                <w:noProof/>
                <w:spacing w:val="-6"/>
                <w:highlight w:val="yellow"/>
                <w:lang w:val="sk-SK"/>
              </w:rPr>
            </w:pPr>
            <w:r w:rsidRPr="00326E55">
              <w:rPr>
                <w:rFonts w:ascii="Times New Roman" w:hAnsi="Times New Roman"/>
                <w:noProof/>
                <w:spacing w:val="-6"/>
                <w:lang w:val="sk-SK"/>
              </w:rPr>
              <w:t>326</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80FC6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960E686"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5E155F1" w14:textId="22A1092E"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szCs w:val="20"/>
                <w:lang w:val="sk-SK"/>
              </w:rPr>
              <w:t>Najmenej 326 verejných služieb zamestnanosti (VSZ)</w:t>
            </w:r>
            <w:r w:rsidR="00326E55" w:rsidRPr="00326E55">
              <w:rPr>
                <w:rFonts w:ascii="Times New Roman" w:hAnsi="Times New Roman"/>
                <w:noProof/>
                <w:spacing w:val="-6"/>
                <w:szCs w:val="20"/>
                <w:lang w:val="sk-SK"/>
              </w:rPr>
              <w:t xml:space="preserve"> a </w:t>
            </w:r>
            <w:r w:rsidRPr="00326E55">
              <w:rPr>
                <w:rFonts w:ascii="Times New Roman" w:hAnsi="Times New Roman"/>
                <w:noProof/>
                <w:spacing w:val="-6"/>
                <w:szCs w:val="20"/>
                <w:lang w:val="sk-SK"/>
              </w:rPr>
              <w:t>regionálnych agentúr dokončilo činnosti plánované</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 xml:space="preserve">regionálnych plánoch na posilnenie verejných centier </w:t>
            </w:r>
            <w:r w:rsidRPr="00326E55">
              <w:rPr>
                <w:rFonts w:ascii="Times New Roman" w:hAnsi="Times New Roman"/>
                <w:noProof/>
                <w:spacing w:val="-6"/>
                <w:szCs w:val="20"/>
                <w:lang w:val="sk-SK"/>
              </w:rPr>
              <w:t>zamestnanosti (Pani</w:t>
            </w:r>
            <w:r w:rsidRPr="00326E55">
              <w:rPr>
                <w:rFonts w:ascii="Times New Roman" w:hAnsi="Times New Roman"/>
                <w:i/>
                <w:noProof/>
                <w:spacing w:val="-6"/>
                <w:szCs w:val="20"/>
                <w:lang w:val="sk-SK"/>
              </w:rPr>
              <w:t>regionali di potenziamento dei centri per l’impiego</w:t>
            </w:r>
            <w:r w:rsidRPr="00326E55">
              <w:rPr>
                <w:rFonts w:ascii="Times New Roman" w:hAnsi="Times New Roman"/>
                <w:noProof/>
                <w:spacing w:val="-6"/>
                <w:szCs w:val="20"/>
                <w:lang w:val="sk-SK"/>
              </w:rPr>
              <w:t xml:space="preserve">), </w:t>
            </w:r>
            <w:r w:rsidRPr="00326E55">
              <w:rPr>
                <w:rFonts w:ascii="Times New Roman" w:hAnsi="Times New Roman"/>
                <w:noProof/>
                <w:spacing w:val="-6"/>
                <w:lang w:val="sk-SK"/>
              </w:rPr>
              <w:t>napríklad vrátane: Modernizácia IT, odborná príprava zamestnancov, zriadenie regionálnych stredísk pre monitorovanie miestnych trhov práce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komunikačné kampane.</w:t>
            </w:r>
          </w:p>
        </w:tc>
      </w:tr>
      <w:tr w:rsidR="00BF03AA" w:rsidRPr="00326E55" w14:paraId="6806E5BB"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6C1EE5"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M5C1 – 7bis</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9F0E3" w14:textId="77777777"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Investícia 1 – Posilnenie verejných služieb zamestnanosti (VSZ)</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B090F"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276110" w14:textId="66EA734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Činnosti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infraštruktúry vo verejných službách zamestnanosti (VSZ)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C369C5" w14:textId="77777777" w:rsidR="00BF03AA" w:rsidRPr="00326E55" w:rsidRDefault="00FB452D">
            <w:pPr>
              <w:pStyle w:val="P68B1DB1-Normal12"/>
              <w:jc w:val="center"/>
              <w:rPr>
                <w:rFonts w:ascii="Times New Roman" w:eastAsia="Calibri" w:hAnsi="Times New Roman"/>
                <w:noProof/>
                <w:spacing w:val="-6"/>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BD84EF"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17A8C"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72FC4" w14:textId="77777777" w:rsidR="00BF03AA" w:rsidRPr="00326E55" w:rsidRDefault="00FB452D">
            <w:pPr>
              <w:pStyle w:val="P68B1DB1-Normal12"/>
              <w:jc w:val="center"/>
              <w:rPr>
                <w:rFonts w:ascii="Times New Roman" w:eastAsia="Calibri" w:hAnsi="Times New Roman"/>
                <w:noProof/>
                <w:spacing w:val="-6"/>
                <w:lang w:val="sk-SK"/>
              </w:rPr>
            </w:pPr>
            <w:r w:rsidRPr="00326E55">
              <w:rPr>
                <w:rFonts w:ascii="Times New Roman" w:hAnsi="Times New Roman"/>
                <w:noProof/>
                <w:spacing w:val="-6"/>
                <w:lang w:val="sk-SK"/>
              </w:rPr>
              <w:t>270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05A0F"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DRUHÝ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2B9B7C"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F8BA11" w14:textId="259DA330" w:rsidR="00BF03AA" w:rsidRPr="00326E55" w:rsidRDefault="00FB452D">
            <w:pPr>
              <w:pStyle w:val="P68B1DB1-Normal12"/>
              <w:spacing w:before="120" w:after="120"/>
              <w:rPr>
                <w:rFonts w:ascii="Times New Roman" w:eastAsia="Calibri" w:hAnsi="Times New Roman"/>
                <w:noProof/>
                <w:spacing w:val="-6"/>
                <w:lang w:val="sk-SK"/>
              </w:rPr>
            </w:pPr>
            <w:r w:rsidRPr="00326E55">
              <w:rPr>
                <w:rFonts w:ascii="Times New Roman" w:hAnsi="Times New Roman"/>
                <w:noProof/>
                <w:spacing w:val="-6"/>
                <w:lang w:val="sk-SK"/>
              </w:rPr>
              <w:t>Najmenej 270 verejných služieb zamestnanosti (VSZ)</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regionálnych </w:t>
            </w:r>
            <w:r w:rsidRPr="00326E55">
              <w:rPr>
                <w:rFonts w:ascii="Times New Roman" w:hAnsi="Times New Roman"/>
                <w:noProof/>
                <w:spacing w:val="-6"/>
                <w:lang w:val="sk-SK"/>
              </w:rPr>
              <w:t>agentúr prešlo renovačnými a/alebo renovačnými prácami alebo boli nadobudnuté, ako sa predpokladá</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regionálnych plánoch na posilnenie verejných centier zamestnanosti </w:t>
            </w:r>
            <w:r w:rsidRPr="00326E55">
              <w:rPr>
                <w:rFonts w:ascii="Times New Roman" w:hAnsi="Times New Roman"/>
                <w:i/>
                <w:noProof/>
                <w:spacing w:val="-6"/>
                <w:lang w:val="sk-SK"/>
              </w:rPr>
              <w:t>(Piani regionali di potenziamento dei centri per l’impiego)</w:t>
            </w:r>
            <w:r w:rsidRPr="00326E55">
              <w:rPr>
                <w:rFonts w:ascii="Times New Roman" w:hAnsi="Times New Roman"/>
                <w:noProof/>
                <w:spacing w:val="-6"/>
                <w:lang w:val="sk-SK"/>
              </w:rPr>
              <w:t>.</w:t>
            </w:r>
          </w:p>
        </w:tc>
      </w:tr>
      <w:tr w:rsidR="00BF03AA" w:rsidRPr="00326E55" w14:paraId="31789569" w14:textId="77777777">
        <w:trPr>
          <w:trHeight w:val="5175"/>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BA822AE"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M5C1 – 8</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C474EB2"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Reforma 2 – </w:t>
            </w:r>
            <w:r w:rsidRPr="00326E55">
              <w:rPr>
                <w:rFonts w:ascii="Times New Roman" w:hAnsi="Times New Roman"/>
                <w:noProof/>
                <w:spacing w:val="-6"/>
                <w:lang w:val="sk-SK"/>
              </w:rPr>
              <w:t>Nedeklarovaná práca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A2C247"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Míľnik</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D03FFCC" w14:textId="6FADAB8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národného plánu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plánu vykonávania na boj proti nelegálnej práci vo všetkých hospodárskych odvetviach</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D79256D" w14:textId="699D9DE8"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Ustanovenia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uvádza nadobudnutie účinnosti národného plánu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zriadenie </w:t>
            </w:r>
            <w:r w:rsidRPr="00326E55">
              <w:rPr>
                <w:rFonts w:ascii="Times New Roman" w:hAnsi="Times New Roman"/>
                <w:noProof/>
                <w:spacing w:val="-6"/>
                <w:lang w:val="sk-SK"/>
              </w:rPr>
              <w:t>medziinštitucionálnej pracovnej skupiny, ktorá bude zodpovedná za vytvorenie národného plánu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plánu vykonávania</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9DAB3A"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ABEA7BD"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35C510"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CD5FAFC"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0A7F46"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045016" w14:textId="2D77B9CD" w:rsidR="00326E55"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Prijatie národného plánu</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časovo ohraničeného (jedného roka) plánu vykonávania na</w:t>
            </w:r>
            <w:r w:rsidRPr="00326E55">
              <w:rPr>
                <w:rFonts w:ascii="Times New Roman" w:hAnsi="Times New Roman"/>
                <w:noProof/>
                <w:color w:val="006100"/>
                <w:spacing w:val="-6"/>
                <w:sz w:val="20"/>
                <w:szCs w:val="20"/>
                <w:lang w:val="sk-SK"/>
              </w:rPr>
              <w:t xml:space="preserve"> boj proti nelegálnej práci vo všetkých hospodárskych odvetviach. Národný plán vychádza zo všeobecnej stratégie boja proti nelegálnej práci</w:t>
            </w:r>
            <w:r w:rsidR="00326E55" w:rsidRPr="00326E55">
              <w:rPr>
                <w:rFonts w:ascii="Times New Roman" w:hAnsi="Times New Roman"/>
                <w:noProof/>
                <w:color w:val="006100"/>
                <w:spacing w:val="-6"/>
                <w:sz w:val="20"/>
                <w:szCs w:val="20"/>
                <w:lang w:val="sk-SK"/>
              </w:rPr>
              <w:t xml:space="preserve"> a z </w:t>
            </w:r>
            <w:r w:rsidRPr="00326E55">
              <w:rPr>
                <w:rFonts w:ascii="Times New Roman" w:hAnsi="Times New Roman"/>
                <w:noProof/>
                <w:color w:val="006100"/>
                <w:spacing w:val="-6"/>
                <w:sz w:val="20"/>
                <w:szCs w:val="20"/>
                <w:lang w:val="sk-SK"/>
              </w:rPr>
              <w:t>prístupu založeného na viacerých agentúrach, ktorý sa použil na prijatie národného plánu proti využívaniu práce</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odvetví poľnohospodárstva – „Piano triennale di contrasto allo sfruttamento lavorativo in agricoltura e al caporalato (2020 – 2022)“. Národný plán</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 xml:space="preserve">plán vykonávania zahŕňajú aspoň: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I) opatrenia na zlepšenie tvorby, zberu</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včasnej distribúcie podrobný</w:t>
            </w:r>
            <w:r w:rsidRPr="00326E55">
              <w:rPr>
                <w:rFonts w:ascii="Times New Roman" w:hAnsi="Times New Roman"/>
                <w:noProof/>
                <w:color w:val="006100"/>
                <w:spacing w:val="-6"/>
                <w:sz w:val="20"/>
                <w:szCs w:val="20"/>
                <w:lang w:val="sk-SK"/>
              </w:rPr>
              <w:t>ch údajov</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 xml:space="preserve">nelegálnej práci;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II) zavedenie priamych</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nepriamych opatrení na premenu nedeklarovanej práce na deklarovanú prácu tým, že sa zabezpečí, aby prínosy činnosti vo deklarovanom hospodárstve prevážili náklady na prácu</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nedeklarovanom hospodárst</w:t>
            </w:r>
            <w:r w:rsidRPr="00326E55">
              <w:rPr>
                <w:rFonts w:ascii="Times New Roman" w:hAnsi="Times New Roman"/>
                <w:noProof/>
                <w:color w:val="006100"/>
                <w:spacing w:val="-6"/>
                <w:sz w:val="20"/>
                <w:szCs w:val="20"/>
                <w:lang w:val="sk-SK"/>
              </w:rPr>
              <w:t>ve. Napríklad a) odrádzajúce opatrenia, ako je posilnenie inšpekcií</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sankcií,</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preventívne opatrenia na podporu deklarovanej práce, ako sú cielené finančné stimuly,</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to aj prostredníctvom preskúmania</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racionalizácie existujúcich; b) posilnenie prepojen</w:t>
            </w:r>
            <w:r w:rsidRPr="00326E55">
              <w:rPr>
                <w:rFonts w:ascii="Times New Roman" w:hAnsi="Times New Roman"/>
                <w:noProof/>
                <w:color w:val="006100"/>
                <w:spacing w:val="-6"/>
                <w:sz w:val="20"/>
                <w:szCs w:val="20"/>
                <w:lang w:val="sk-SK"/>
              </w:rPr>
              <w:t>ia</w:t>
            </w:r>
            <w:r w:rsidR="00326E55" w:rsidRPr="00326E55">
              <w:rPr>
                <w:rFonts w:ascii="Times New Roman" w:hAnsi="Times New Roman"/>
                <w:noProof/>
                <w:color w:val="006100"/>
                <w:spacing w:val="-6"/>
                <w:sz w:val="20"/>
                <w:szCs w:val="20"/>
                <w:lang w:val="sk-SK"/>
              </w:rPr>
              <w:t xml:space="preserve"> s </w:t>
            </w:r>
            <w:r w:rsidRPr="00326E55">
              <w:rPr>
                <w:rFonts w:ascii="Times New Roman" w:hAnsi="Times New Roman"/>
                <w:noProof/>
                <w:color w:val="006100"/>
                <w:spacing w:val="-6"/>
                <w:sz w:val="20"/>
                <w:szCs w:val="20"/>
                <w:lang w:val="sk-SK"/>
              </w:rPr>
              <w:t>politikou zamestnanosti</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 xml:space="preserve">sociálnou politikou;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III) národnú informačnú kampaň</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„nehodnote“ nelegálnej práce určenú zamestnávateľom</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pracovníkom</w:t>
            </w:r>
            <w:r w:rsidR="00326E55" w:rsidRPr="00326E55">
              <w:rPr>
                <w:rFonts w:ascii="Times New Roman" w:hAnsi="Times New Roman"/>
                <w:noProof/>
                <w:color w:val="006100"/>
                <w:spacing w:val="-6"/>
                <w:sz w:val="20"/>
                <w:szCs w:val="20"/>
                <w:lang w:val="sk-SK"/>
              </w:rPr>
              <w:t xml:space="preserve"> s </w:t>
            </w:r>
            <w:r w:rsidRPr="00326E55">
              <w:rPr>
                <w:rFonts w:ascii="Times New Roman" w:hAnsi="Times New Roman"/>
                <w:noProof/>
                <w:color w:val="006100"/>
                <w:spacing w:val="-6"/>
                <w:sz w:val="20"/>
                <w:szCs w:val="20"/>
                <w:lang w:val="sk-SK"/>
              </w:rPr>
              <w:t xml:space="preserve">aktívnym zapojením sociálnych partnerov;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IV) riadiacu štruktúru na zabezpečenie účinného vykonávani</w:t>
            </w:r>
            <w:r w:rsidRPr="00326E55">
              <w:rPr>
                <w:rFonts w:ascii="Times New Roman" w:hAnsi="Times New Roman"/>
                <w:noProof/>
                <w:color w:val="006100"/>
                <w:spacing w:val="-6"/>
                <w:sz w:val="20"/>
                <w:szCs w:val="20"/>
                <w:lang w:val="sk-SK"/>
              </w:rPr>
              <w:t>a opatrení</w:t>
            </w:r>
            <w:r w:rsidR="00326E55" w:rsidRPr="00326E55">
              <w:rPr>
                <w:rFonts w:ascii="Times New Roman" w:hAnsi="Times New Roman"/>
                <w:noProof/>
                <w:color w:val="006100"/>
                <w:spacing w:val="-6"/>
                <w:sz w:val="20"/>
                <w:szCs w:val="20"/>
                <w:lang w:val="sk-SK"/>
              </w:rPr>
              <w:t>;</w:t>
            </w:r>
          </w:p>
          <w:p w14:paraId="6671A94B" w14:textId="5B3AFD15"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V) opatrenia na prekonanie nelegálnych osád na boj proti pracovnému vykorisťovaniu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poľnohospodárstve.</w:t>
            </w:r>
          </w:p>
        </w:tc>
      </w:tr>
      <w:tr w:rsidR="00BF03AA" w:rsidRPr="00326E55" w14:paraId="163C2CFD"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08BDF3"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M5C1 – 9</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6C0731"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Reforma 2 – Nedeklarovaná práca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5CBCA5"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Míľnik</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BBDB140" w14:textId="77777777" w:rsidR="00BF03AA" w:rsidRPr="00326E55" w:rsidRDefault="00FB452D">
            <w:pPr>
              <w:pStyle w:val="P68B1DB1-Normal11"/>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Vykonávať opatrenia na boj proti nelegálnej práci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45BDA4" w14:textId="77777777" w:rsidR="00BF03AA" w:rsidRPr="00326E55" w:rsidRDefault="00FB452D">
            <w:pPr>
              <w:pStyle w:val="P68B1DB1-Normal11"/>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Vykonané akcie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9890ACD"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9704C97"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3708D4"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5AB442"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PRVÝ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C242EE"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2024</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8176CA" w14:textId="77777777"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Vykonávajú sa tieto opatrenia</w:t>
            </w:r>
            <w:r w:rsidR="00326E55" w:rsidRPr="00326E55">
              <w:rPr>
                <w:rFonts w:ascii="Times New Roman" w:hAnsi="Times New Roman"/>
                <w:noProof/>
                <w:spacing w:val="-6"/>
                <w:lang w:val="sk-SK"/>
              </w:rPr>
              <w:t>:</w:t>
            </w:r>
          </w:p>
          <w:p w14:paraId="187C2CB9" w14:textId="782EFC8C"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I) Zaviesť opatrenia na zlepšenie zberu podrobných údajov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nelegálnej práci</w:t>
            </w:r>
            <w:r w:rsidR="00326E55" w:rsidRPr="00326E55">
              <w:rPr>
                <w:rFonts w:ascii="Times New Roman" w:hAnsi="Times New Roman"/>
                <w:noProof/>
                <w:spacing w:val="-6"/>
                <w:lang w:val="sk-SK"/>
              </w:rPr>
              <w:t>;</w:t>
            </w:r>
          </w:p>
          <w:p w14:paraId="1F3CB873" w14:textId="77777777"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II) Zaviesť opatrenia na premenu nedeklarovanej práce na deklarovanú prácu</w:t>
            </w:r>
            <w:r w:rsidR="00326E55" w:rsidRPr="00326E55">
              <w:rPr>
                <w:rFonts w:ascii="Times New Roman" w:hAnsi="Times New Roman"/>
                <w:noProof/>
                <w:spacing w:val="-6"/>
                <w:lang w:val="sk-SK"/>
              </w:rPr>
              <w:t>:</w:t>
            </w:r>
          </w:p>
          <w:p w14:paraId="70539483" w14:textId="0E6D826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a) odrádzajúce opatrenia, ktoré môžu okrem</w:t>
            </w:r>
            <w:r w:rsidRPr="00326E55">
              <w:rPr>
                <w:rFonts w:ascii="Times New Roman" w:hAnsi="Times New Roman"/>
                <w:noProof/>
                <w:spacing w:val="-6"/>
                <w:lang w:val="sk-SK"/>
              </w:rPr>
              <w:t xml:space="preserve"> iného zahŕňať posilnenie inšpekcií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sankcií, ako aj preventívne opatrenia na podporu deklarovanej práce, ktoré môžu okrem iného zahŕňať cielené finančné stimuly;</w:t>
            </w:r>
          </w:p>
          <w:p w14:paraId="51756BB6" w14:textId="1E1C65A6"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b) opatrenia na posilnenie prepojenia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aktívnou politikou trhu práce, ktoré môžu okrem inéh</w:t>
            </w:r>
            <w:r w:rsidRPr="00326E55">
              <w:rPr>
                <w:rFonts w:ascii="Times New Roman" w:hAnsi="Times New Roman"/>
                <w:noProof/>
                <w:spacing w:val="-6"/>
                <w:lang w:val="sk-SK"/>
              </w:rPr>
              <w:t>o zahŕňať odbornú prípravu prevádzkovateľov pracovných centier;</w:t>
            </w:r>
          </w:p>
          <w:p w14:paraId="3642ABEF" w14:textId="0FF0014A"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III) Uskutočniť národnú informačnú kampaň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„nehodnote“ nelegálnej práce</w:t>
            </w:r>
            <w:r w:rsidR="00326E55" w:rsidRPr="00326E55">
              <w:rPr>
                <w:rFonts w:ascii="Times New Roman" w:hAnsi="Times New Roman"/>
                <w:noProof/>
                <w:spacing w:val="-6"/>
                <w:lang w:val="sk-SK"/>
              </w:rPr>
              <w:t>;</w:t>
            </w:r>
          </w:p>
          <w:p w14:paraId="685DC55D" w14:textId="6ECC7F7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IV) Začiatok prác riadiacej štruktúry na boj proti nelegálnej práci;</w:t>
            </w:r>
          </w:p>
          <w:p w14:paraId="7069645D" w14:textId="434099FA" w:rsidR="00BF03AA" w:rsidRPr="00326E55" w:rsidRDefault="00FB452D">
            <w:pPr>
              <w:pStyle w:val="P68B1DB1-Normal11"/>
              <w:spacing w:line="257" w:lineRule="auto"/>
              <w:rPr>
                <w:rFonts w:ascii="Times New Roman" w:hAnsi="Times New Roman"/>
                <w:noProof/>
                <w:spacing w:val="-6"/>
                <w:szCs w:val="20"/>
                <w:lang w:val="sk-SK"/>
              </w:rPr>
            </w:pPr>
            <w:r w:rsidRPr="00326E55">
              <w:rPr>
                <w:rFonts w:ascii="Times New Roman" w:hAnsi="Times New Roman"/>
                <w:noProof/>
                <w:spacing w:val="-6"/>
                <w:lang w:val="sk-SK"/>
              </w:rPr>
              <w:t>V) Zaviesť opatrenia na riešenie pracovného vykor</w:t>
            </w:r>
            <w:r w:rsidRPr="00326E55">
              <w:rPr>
                <w:rFonts w:ascii="Times New Roman" w:hAnsi="Times New Roman"/>
                <w:noProof/>
                <w:spacing w:val="-6"/>
                <w:lang w:val="sk-SK"/>
              </w:rPr>
              <w:t>isťovania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poľnohospodárstve.</w:t>
            </w:r>
          </w:p>
        </w:tc>
      </w:tr>
      <w:tr w:rsidR="00BF03AA" w:rsidRPr="00326E55" w14:paraId="7D43F777"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969A4A"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 xml:space="preserve">M5C1 – 10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A9BB16" w14:textId="77777777" w:rsidR="00BF03AA" w:rsidRPr="00326E55" w:rsidRDefault="00FB452D">
            <w:pPr>
              <w:pStyle w:val="P68B1DB1-Normal12"/>
              <w:jc w:val="center"/>
              <w:rPr>
                <w:rFonts w:ascii="Times New Roman" w:eastAsia="Calibri" w:hAnsi="Times New Roman"/>
                <w:noProof/>
                <w:spacing w:val="-6"/>
                <w:lang w:val="sk-SK"/>
              </w:rPr>
            </w:pPr>
            <w:r w:rsidRPr="00326E55">
              <w:rPr>
                <w:rFonts w:ascii="Times New Roman" w:hAnsi="Times New Roman"/>
                <w:noProof/>
                <w:spacing w:val="-6"/>
                <w:lang w:val="sk-SK"/>
              </w:rPr>
              <w:t>Reforma 2 – Nedeklarovaná práca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7B094B"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A2054F7" w14:textId="4D79A294"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Zvýšený počet inšpekcií práce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členstvo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poľnohospodárskej sieti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56875F3"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81CC8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Počet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9074C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1DC6A9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102 895</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F28943"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8897B8"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315985" w14:textId="35473418"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Priemerný počet ročných inšpekcií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od 1</w:t>
            </w:r>
            <w:r w:rsidR="00326E55" w:rsidRPr="00326E55">
              <w:rPr>
                <w:rFonts w:ascii="Times New Roman" w:hAnsi="Times New Roman"/>
                <w:noProof/>
                <w:spacing w:val="-6"/>
                <w:lang w:val="sk-SK"/>
              </w:rPr>
              <w:t>. januára</w:t>
            </w:r>
            <w:r w:rsidRPr="00326E55">
              <w:rPr>
                <w:rFonts w:ascii="Times New Roman" w:hAnsi="Times New Roman"/>
                <w:noProof/>
                <w:spacing w:val="-6"/>
                <w:lang w:val="sk-SK"/>
              </w:rPr>
              <w:t xml:space="preserve"> 2023 do 31</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2025 musí dosiahnuť aspoň 102895. Okrem toho sa do zoznamu členov siete „rete</w:t>
            </w:r>
            <w:r w:rsidRPr="00326E55">
              <w:rPr>
                <w:rFonts w:ascii="Times New Roman" w:hAnsi="Times New Roman"/>
                <w:i/>
                <w:noProof/>
                <w:spacing w:val="-6"/>
                <w:lang w:val="sk-SK"/>
              </w:rPr>
              <w:t>del lavoro agricolo di qualità“</w:t>
            </w:r>
            <w:r w:rsidRPr="00326E55">
              <w:rPr>
                <w:rFonts w:ascii="Times New Roman" w:hAnsi="Times New Roman"/>
                <w:noProof/>
                <w:spacing w:val="-6"/>
                <w:lang w:val="sk-SK"/>
              </w:rPr>
              <w:t>uverejneného na webovom sídle INPS zahrnie 2000 ďalších firiem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júnom 2024.</w:t>
            </w:r>
          </w:p>
        </w:tc>
      </w:tr>
      <w:tr w:rsidR="00BF03AA" w:rsidRPr="00326E55" w14:paraId="38D25A12"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797A41" w14:textId="77777777" w:rsidR="00BF03AA" w:rsidRPr="00326E55" w:rsidRDefault="00FB452D">
            <w:pPr>
              <w:pStyle w:val="P68B1DB1-Normal12"/>
              <w:jc w:val="center"/>
              <w:rPr>
                <w:rFonts w:ascii="Times New Roman" w:eastAsia="Calibri" w:hAnsi="Times New Roman"/>
                <w:noProof/>
                <w:spacing w:val="-6"/>
                <w:highlight w:val="yellow"/>
                <w:lang w:val="sk-SK"/>
              </w:rPr>
            </w:pPr>
            <w:r w:rsidRPr="00326E55">
              <w:rPr>
                <w:rFonts w:ascii="Times New Roman" w:hAnsi="Times New Roman"/>
                <w:noProof/>
                <w:spacing w:val="-6"/>
                <w:lang w:val="sk-SK"/>
              </w:rPr>
              <w:t xml:space="preserve">M5C1 – 11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53EA5A"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Reforma 2 – Nedeklarovaná</w:t>
            </w:r>
            <w:r w:rsidRPr="00326E55">
              <w:rPr>
                <w:rFonts w:ascii="Times New Roman" w:hAnsi="Times New Roman"/>
                <w:noProof/>
                <w:spacing w:val="-6"/>
                <w:lang w:val="sk-SK"/>
              </w:rPr>
              <w:t xml:space="preserve"> práca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525742" w14:textId="77777777" w:rsidR="00BF03AA" w:rsidRPr="00326E55" w:rsidRDefault="00FB452D">
            <w:pPr>
              <w:pStyle w:val="P68B1DB1-Normal11"/>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Míľnik</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EA73A4" w14:textId="77777777" w:rsidR="00BF03AA" w:rsidRPr="00326E55" w:rsidRDefault="00FB452D">
            <w:pPr>
              <w:pStyle w:val="P68B1DB1-Normal11"/>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Vykonávať opatrenia na boj proti nelegálnej práci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632D6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Vykonané akcie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5D08A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65D229" w14:textId="77777777" w:rsidR="00BF03AA" w:rsidRPr="00326E55" w:rsidRDefault="00FB452D">
            <w:pPr>
              <w:pStyle w:val="P68B1DB1-Normal11"/>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93C66B4" w14:textId="77777777" w:rsidR="00BF03AA" w:rsidRPr="00326E55" w:rsidRDefault="00FB452D">
            <w:pPr>
              <w:pStyle w:val="P68B1DB1-Normal11"/>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3CF23D"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PRVÝ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25E8C0"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75ED861"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Vykonávajú sa tieto opatrenia:</w:t>
            </w:r>
          </w:p>
          <w:p w14:paraId="3DB7A055" w14:textId="77777777"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štúdiu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„Indici Sintetici di Affidabilità Contributiva“ (ukazovatele ISAC)</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ôsmich ďalších </w:t>
            </w:r>
            <w:r w:rsidRPr="00326E55">
              <w:rPr>
                <w:rFonts w:ascii="Times New Roman" w:hAnsi="Times New Roman"/>
                <w:noProof/>
                <w:spacing w:val="-6"/>
                <w:lang w:val="sk-SK"/>
              </w:rPr>
              <w:t>hospodárskych odvetviach ohrozených nedeklarovanou prácou,</w:t>
            </w:r>
          </w:p>
          <w:p w14:paraId="3B25E5A1" w14:textId="58CFFA06"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 záznam</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odoslaní najmenej 12000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listov</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zhode zaslaných firmám identifikovaným prostredníctvom ukazovateľov ISAC;</w:t>
            </w:r>
          </w:p>
          <w:p w14:paraId="37E72063" w14:textId="46F2F51F"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uverejnenie štúdie posúdenia vplyvu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používaní poukážok „PrestO“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„Libretto</w:t>
            </w:r>
            <w:r w:rsidRPr="00326E55">
              <w:rPr>
                <w:rFonts w:ascii="Times New Roman" w:hAnsi="Times New Roman"/>
                <w:noProof/>
                <w:spacing w:val="-6"/>
                <w:lang w:val="sk-SK"/>
              </w:rPr>
              <w:t xml:space="preserve"> Famiglia“ na vyvolanie nelegálnej práce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zlepšenie podmienok pracovníkov.</w:t>
            </w:r>
          </w:p>
        </w:tc>
      </w:tr>
      <w:tr w:rsidR="00BF03AA" w:rsidRPr="00326E55" w14:paraId="2BFE5780"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D631C9"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M5C1 – 12</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40F6A3"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2 – Systém certifikácie rodovej rovnosti</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342A68D"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Míľnik</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EFC592B" w14:textId="66E682C1"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Nadobudnutie účinnosti systému certifikácie rodovej rovnosti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sprievodných stimulačných mechanizmov pre spoločnosti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F5C0D5" w14:textId="2757D9DC"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Ustanovenia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legislatívnych aktov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vykonávacích opatrení, ktorými sa upravuje vymedzenie certifikačného systému</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BF368AC"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035849"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5EE57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6973871"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25D11E8"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84B65E" w14:textId="6D681F7E"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 xml:space="preserve">Systém </w:t>
            </w:r>
            <w:r w:rsidRPr="00326E55">
              <w:rPr>
                <w:rFonts w:ascii="Times New Roman" w:hAnsi="Times New Roman"/>
                <w:noProof/>
                <w:spacing w:val="-6"/>
                <w:lang w:val="sk-SK"/>
              </w:rPr>
              <w:t>certifikácie rodovej rovnosti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sprievodné stimulačné mechanizmy pre spoločnosti zahŕňajú aspoň tieto rozmery: príležitosti rastu pre ženy, rovnaká odmena za rovnakú prácu, politiky riadenia rodovej rozmanitosti, ochrana materstva.</w:t>
            </w:r>
          </w:p>
          <w:p w14:paraId="5954F9C1" w14:textId="1699EA8A"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 xml:space="preserve">Vymedzenie stimulačných </w:t>
            </w:r>
            <w:r w:rsidRPr="00326E55">
              <w:rPr>
                <w:rFonts w:ascii="Times New Roman" w:hAnsi="Times New Roman"/>
                <w:noProof/>
                <w:spacing w:val="-6"/>
                <w:lang w:val="sk-SK"/>
              </w:rPr>
              <w:t>mechanizmov pre organizácie, ktoré vykonávajú proces osvedčovania,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technických usmernení. Vrátane: I) vypracovanie technických noriem systému rodovej certifikácie pre spoločnosti; II) identifikácia stimulačného mechanizmu; III) opatrenie je sprevádzané z</w:t>
            </w:r>
            <w:r w:rsidRPr="00326E55">
              <w:rPr>
                <w:rFonts w:ascii="Times New Roman" w:hAnsi="Times New Roman"/>
                <w:noProof/>
                <w:spacing w:val="-6"/>
                <w:lang w:val="sk-SK"/>
              </w:rPr>
              <w:t>riadením informačného systému.</w:t>
            </w:r>
          </w:p>
        </w:tc>
      </w:tr>
      <w:tr w:rsidR="00BF03AA" w:rsidRPr="00326E55" w14:paraId="52EC149A"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6FA30A" w14:textId="77777777" w:rsidR="00BF03AA" w:rsidRPr="00326E55" w:rsidRDefault="00FB452D">
            <w:pPr>
              <w:pStyle w:val="P68B1DB1-Normal12"/>
              <w:spacing w:before="120" w:after="120"/>
              <w:jc w:val="center"/>
              <w:rPr>
                <w:rFonts w:ascii="Times New Roman" w:hAnsi="Times New Roman"/>
                <w:noProof/>
                <w:spacing w:val="-6"/>
                <w:highlight w:val="yellow"/>
                <w:lang w:val="sk-SK"/>
              </w:rPr>
            </w:pPr>
            <w:r w:rsidRPr="00326E55">
              <w:rPr>
                <w:rFonts w:ascii="Times New Roman" w:hAnsi="Times New Roman"/>
                <w:noProof/>
                <w:spacing w:val="-6"/>
                <w:lang w:val="sk-SK"/>
              </w:rPr>
              <w:t>M5C1 – 14</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CE92CB"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Investícia 2 – Systém certifikácie rodovej rovnosti</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E25F9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7B2390" w14:textId="77777777"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Spoločnosti získali certifikáciu rodovej rovnosti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102C1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4796ED0"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19CFB54"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E629037" w14:textId="77777777" w:rsidR="00BF03AA" w:rsidRPr="00326E55" w:rsidRDefault="00FB452D">
            <w:pPr>
              <w:spacing w:before="120" w:after="120"/>
              <w:jc w:val="center"/>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lang w:val="sk-SK"/>
              </w:rPr>
              <w:t>3</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4391DA"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DRUHÝ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93F4C68"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63276C" w14:textId="549765EC" w:rsidR="00BF03AA" w:rsidRPr="00326E55" w:rsidRDefault="00FB452D">
            <w:pPr>
              <w:spacing w:before="120" w:after="120"/>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lang w:val="sk-SK"/>
              </w:rPr>
              <w:t>Certifikáciu rodovej rovnosti získalo najmenej 3000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spoločností. Najmenej 1800</w:t>
            </w:r>
            <w:r w:rsidR="00326E55" w:rsidRPr="00326E55">
              <w:rPr>
                <w:rFonts w:ascii="Times New Roman" w:hAnsi="Times New Roman"/>
                <w:noProof/>
                <w:color w:val="006100"/>
                <w:spacing w:val="-6"/>
                <w:sz w:val="20"/>
                <w:lang w:val="sk-SK"/>
              </w:rPr>
              <w:t xml:space="preserve"> z </w:t>
            </w:r>
            <w:r w:rsidRPr="00326E55">
              <w:rPr>
                <w:rFonts w:ascii="Times New Roman" w:hAnsi="Times New Roman"/>
                <w:noProof/>
                <w:color w:val="006100"/>
                <w:spacing w:val="-6"/>
                <w:sz w:val="20"/>
                <w:lang w:val="sk-SK"/>
              </w:rPr>
              <w:t>nich sú MSP,</w:t>
            </w:r>
            <w:r w:rsidR="00326E55" w:rsidRPr="00326E55">
              <w:rPr>
                <w:rFonts w:ascii="Times New Roman" w:hAnsi="Times New Roman"/>
                <w:noProof/>
                <w:color w:val="006100"/>
                <w:spacing w:val="-6"/>
                <w:sz w:val="20"/>
                <w:lang w:val="sk-SK"/>
              </w:rPr>
              <w:t xml:space="preserve"> z </w:t>
            </w:r>
            <w:r w:rsidRPr="00326E55">
              <w:rPr>
                <w:rFonts w:ascii="Times New Roman" w:hAnsi="Times New Roman"/>
                <w:noProof/>
                <w:color w:val="006100"/>
                <w:spacing w:val="-6"/>
                <w:sz w:val="20"/>
                <w:lang w:val="sk-SK"/>
              </w:rPr>
              <w:t>ktorých 500 dostalo</w:t>
            </w:r>
            <w:r w:rsidRPr="00326E55">
              <w:rPr>
                <w:rFonts w:ascii="Times New Roman" w:hAnsi="Times New Roman"/>
                <w:noProof/>
                <w:color w:val="006100"/>
                <w:spacing w:val="-6"/>
                <w:sz w:val="20"/>
                <w:szCs w:val="20"/>
                <w:lang w:val="sk-SK"/>
              </w:rPr>
              <w:t>technickú pomoc prostredníctvom systému poukazov (napríklad vo forme mentorstva, technickej</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riadiacej podpory, opatrení na zabezpečenie rovnováhy medzi pracovným</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súkromným životom alebo pod</w:t>
            </w:r>
            <w:r w:rsidRPr="00326E55">
              <w:rPr>
                <w:rFonts w:ascii="Times New Roman" w:hAnsi="Times New Roman"/>
                <w:noProof/>
                <w:color w:val="006100"/>
                <w:spacing w:val="-6"/>
                <w:sz w:val="20"/>
                <w:szCs w:val="20"/>
                <w:lang w:val="sk-SK"/>
              </w:rPr>
              <w:t xml:space="preserve">nikateľského vzdelávania) alebo priame finančné príspevky na podporu procesu certifikácie. </w:t>
            </w:r>
          </w:p>
        </w:tc>
      </w:tr>
      <w:tr w:rsidR="00BF03AA" w:rsidRPr="00326E55" w14:paraId="6E147081"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DF44E4" w14:textId="77777777" w:rsidR="00BF03AA" w:rsidRPr="00326E55" w:rsidRDefault="00FB452D">
            <w:pPr>
              <w:pStyle w:val="P68B1DB1-Normal12"/>
              <w:spacing w:before="120" w:after="120"/>
              <w:jc w:val="center"/>
              <w:rPr>
                <w:rFonts w:ascii="Times New Roman" w:eastAsia="Calibri" w:hAnsi="Times New Roman"/>
                <w:noProof/>
                <w:spacing w:val="-6"/>
                <w:highlight w:val="yellow"/>
                <w:lang w:val="sk-SK"/>
              </w:rPr>
            </w:pPr>
            <w:r w:rsidRPr="00326E55">
              <w:rPr>
                <w:rFonts w:ascii="Times New Roman" w:hAnsi="Times New Roman"/>
                <w:noProof/>
                <w:spacing w:val="-6"/>
                <w:lang w:val="sk-SK"/>
              </w:rPr>
              <w:t>M5C1 – 15</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62BCB7"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Investícia 3 – Posilnenie duálneho systému</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EE82C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1D203B" w14:textId="77777777"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Osvedčenia vydané prostredníctvom systému duálneho vzdelávania</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6A59E5"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3074D3A"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2A9C42" w14:textId="77777777"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B98949" w14:textId="77777777" w:rsidR="00BF03AA" w:rsidRPr="00326E55" w:rsidRDefault="00FB452D">
            <w:pPr>
              <w:spacing w:before="120" w:after="120"/>
              <w:jc w:val="center"/>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szCs w:val="20"/>
                <w:lang w:val="sk-SK"/>
              </w:rPr>
              <w:t>90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BD4925C" w14:textId="77777777"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DRUHÝ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FF88EC"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3493BD" w14:textId="31652860" w:rsidR="00BF03AA" w:rsidRPr="00326E55" w:rsidRDefault="00FB452D">
            <w:pPr>
              <w:pStyle w:val="P68B1DB1-Normal12"/>
              <w:spacing w:before="120" w:after="120"/>
              <w:rPr>
                <w:rFonts w:ascii="Times New Roman" w:eastAsia="Calibri" w:hAnsi="Times New Roman"/>
                <w:noProof/>
                <w:spacing w:val="-6"/>
                <w:lang w:val="sk-SK"/>
              </w:rPr>
            </w:pPr>
            <w:r w:rsidRPr="00326E55">
              <w:rPr>
                <w:rFonts w:ascii="Times New Roman" w:hAnsi="Times New Roman"/>
                <w:noProof/>
                <w:spacing w:val="-6"/>
                <w:lang w:val="sk-SK"/>
              </w:rPr>
              <w:t>Najmenej 90000 účastníckych osvedčení vydaných na roky 2020 – 2021, 2021 – 2022, 2022 – 2023, 2023 – 2024 alebo 2024 – 2025 študentom, ktorí kombinujú formálne vzdelávanie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vzdelávacie skúsenosti na pracovisku.</w:t>
            </w:r>
          </w:p>
        </w:tc>
      </w:tr>
      <w:tr w:rsidR="00BF03AA" w:rsidRPr="00326E55" w14:paraId="7400CAFB"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2D0392"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M5C1 – 15bis</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EEB182"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Investícia 4 – </w:t>
            </w:r>
            <w:r w:rsidRPr="00326E55">
              <w:rPr>
                <w:rFonts w:ascii="Times New Roman" w:hAnsi="Times New Roman"/>
                <w:noProof/>
                <w:spacing w:val="-6"/>
                <w:lang w:val="sk-SK"/>
              </w:rPr>
              <w:t>Univerzálna štátna služba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1CAE48"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Míľnik</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6C2C4" w14:textId="4ADE7533" w:rsidR="00BF03AA" w:rsidRPr="00326E55" w:rsidRDefault="00FB452D">
            <w:pPr>
              <w:pStyle w:val="P68B1DB1-Normal33"/>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Realizovať opatrenia na zvýšenie účasti mladých ľudí, zjednodušiť postupy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zlepšiť kvalitu projektov univerzálnej verejnej služby (UCS)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7AC567"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Vykonané akcie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3BEFC"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F296B9"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D147E"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80514"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C7D244"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2024</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FDB6A9" w14:textId="77777777" w:rsidR="00326E55" w:rsidRPr="00326E55" w:rsidRDefault="00FB452D">
            <w:pPr>
              <w:pStyle w:val="P68B1DB1-Normal33"/>
              <w:spacing w:before="120" w:after="120"/>
              <w:rPr>
                <w:rFonts w:ascii="Times New Roman" w:hAnsi="Times New Roman"/>
                <w:noProof/>
                <w:spacing w:val="-6"/>
                <w:lang w:val="sk-SK"/>
              </w:rPr>
            </w:pPr>
            <w:r w:rsidRPr="00326E55">
              <w:rPr>
                <w:rFonts w:ascii="Times New Roman" w:hAnsi="Times New Roman"/>
                <w:noProof/>
                <w:spacing w:val="-6"/>
                <w:lang w:val="sk-SK"/>
              </w:rPr>
              <w:t>Vykonávajú sa tieto</w:t>
            </w:r>
            <w:r w:rsidRPr="00326E55">
              <w:rPr>
                <w:rFonts w:ascii="Times New Roman" w:hAnsi="Times New Roman"/>
                <w:noProof/>
                <w:spacing w:val="-6"/>
                <w:lang w:val="sk-SK"/>
              </w:rPr>
              <w:t xml:space="preserve"> opatrenia</w:t>
            </w:r>
            <w:r w:rsidR="00326E55" w:rsidRPr="00326E55">
              <w:rPr>
                <w:rFonts w:ascii="Times New Roman" w:hAnsi="Times New Roman"/>
                <w:noProof/>
                <w:spacing w:val="-6"/>
                <w:lang w:val="sk-SK"/>
              </w:rPr>
              <w:t>:</w:t>
            </w:r>
          </w:p>
          <w:p w14:paraId="03C4A058" w14:textId="14FF08B5" w:rsidR="00BF03AA" w:rsidRPr="00326E55" w:rsidRDefault="00FB452D">
            <w:pPr>
              <w:pStyle w:val="P68B1DB1-Normal33"/>
              <w:spacing w:before="120" w:after="120"/>
              <w:rPr>
                <w:rFonts w:ascii="Times New Roman" w:hAnsi="Times New Roman"/>
                <w:noProof/>
                <w:spacing w:val="-6"/>
                <w:lang w:val="sk-SK"/>
              </w:rPr>
            </w:pPr>
            <w:r w:rsidRPr="00326E55">
              <w:rPr>
                <w:rFonts w:ascii="Times New Roman" w:hAnsi="Times New Roman"/>
                <w:noProof/>
                <w:spacing w:val="-6"/>
                <w:lang w:val="sk-SK"/>
              </w:rPr>
              <w:t>1. Zaviesť opatrenia na zvýšenie účasti mladých ľudí na programe univerzálnej verejnej služby (UCS);</w:t>
            </w:r>
          </w:p>
          <w:p w14:paraId="18D5FC67" w14:textId="77777777" w:rsidR="00326E55" w:rsidRPr="00326E55" w:rsidRDefault="00FB452D">
            <w:pPr>
              <w:pStyle w:val="P68B1DB1-Normal33"/>
              <w:spacing w:before="120" w:after="120"/>
              <w:rPr>
                <w:rFonts w:ascii="Times New Roman" w:hAnsi="Times New Roman"/>
                <w:noProof/>
                <w:spacing w:val="-6"/>
                <w:lang w:val="sk-SK"/>
              </w:rPr>
            </w:pPr>
            <w:r w:rsidRPr="00326E55">
              <w:rPr>
                <w:rFonts w:ascii="Times New Roman" w:hAnsi="Times New Roman"/>
                <w:noProof/>
                <w:spacing w:val="-6"/>
                <w:lang w:val="sk-SK"/>
              </w:rPr>
              <w:t>2. Zaviesť opatrenia na zjednodušenie postupov na zníženie administratívnej záťaže pri vykonávaní programu univerzálnej štátnej služby (UCS)</w:t>
            </w:r>
            <w:r w:rsidR="00326E55" w:rsidRPr="00326E55">
              <w:rPr>
                <w:rFonts w:ascii="Times New Roman" w:hAnsi="Times New Roman"/>
                <w:noProof/>
                <w:spacing w:val="-6"/>
                <w:lang w:val="sk-SK"/>
              </w:rPr>
              <w:t>;</w:t>
            </w:r>
          </w:p>
          <w:p w14:paraId="64A12A50" w14:textId="36CAB030" w:rsidR="00326E55" w:rsidRPr="00326E55" w:rsidRDefault="00FB452D">
            <w:pPr>
              <w:pStyle w:val="P68B1DB1-Normal33"/>
              <w:spacing w:before="120" w:after="120"/>
              <w:rPr>
                <w:rFonts w:ascii="Times New Roman" w:hAnsi="Times New Roman"/>
                <w:noProof/>
                <w:spacing w:val="-6"/>
                <w:lang w:val="sk-SK"/>
              </w:rPr>
            </w:pPr>
            <w:r w:rsidRPr="00326E55">
              <w:rPr>
                <w:rFonts w:ascii="Times New Roman" w:hAnsi="Times New Roman"/>
                <w:noProof/>
                <w:spacing w:val="-6"/>
                <w:lang w:val="sk-SK"/>
              </w:rPr>
              <w:t>3</w:t>
            </w:r>
            <w:r w:rsidRPr="00326E55">
              <w:rPr>
                <w:rFonts w:ascii="Times New Roman" w:hAnsi="Times New Roman"/>
                <w:noProof/>
                <w:spacing w:val="-6"/>
                <w:lang w:val="sk-SK"/>
              </w:rPr>
              <w:t>. Zaviesť opatrenia na zlepšenie kvality projektov univerzálnej verejnej služby (UCS)</w:t>
            </w:r>
            <w:r w:rsidR="00326E55" w:rsidRPr="00326E55">
              <w:rPr>
                <w:rFonts w:ascii="Times New Roman" w:hAnsi="Times New Roman"/>
                <w:noProof/>
                <w:spacing w:val="-6"/>
                <w:lang w:val="sk-SK"/>
              </w:rPr>
              <w:t>.</w:t>
            </w:r>
          </w:p>
          <w:p w14:paraId="4DC40501" w14:textId="58ABA2C7" w:rsidR="00BF03AA" w:rsidRPr="00326E55" w:rsidRDefault="00FB452D">
            <w:pPr>
              <w:pStyle w:val="P68B1DB1-Normal12"/>
              <w:spacing w:before="120" w:after="120"/>
              <w:rPr>
                <w:rFonts w:ascii="Times New Roman" w:eastAsia="Calibri" w:hAnsi="Times New Roman"/>
                <w:noProof/>
                <w:spacing w:val="-6"/>
                <w:lang w:val="sk-SK"/>
              </w:rPr>
            </w:pPr>
            <w:r w:rsidRPr="00326E55">
              <w:rPr>
                <w:rFonts w:ascii="Times New Roman" w:hAnsi="Times New Roman"/>
                <w:noProof/>
                <w:spacing w:val="-6"/>
                <w:lang w:val="sk-SK"/>
              </w:rPr>
              <w:t>Pri vykonaných akciách sa zohľadnia výsledky projektu Nástroja technickej podpory (20IT06 – „Podpora navrhovania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vykonávania projektu plánu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univerzá</w:t>
            </w:r>
            <w:r w:rsidRPr="00326E55">
              <w:rPr>
                <w:rFonts w:ascii="Times New Roman" w:hAnsi="Times New Roman"/>
                <w:noProof/>
                <w:spacing w:val="-6"/>
                <w:lang w:val="sk-SK"/>
              </w:rPr>
              <w:t>lnej verejnej služby (UCS)</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cieľom uvoľniť pracovné príležitosti pre mladých ľudí“). </w:t>
            </w:r>
          </w:p>
        </w:tc>
      </w:tr>
      <w:tr w:rsidR="00BF03AA" w:rsidRPr="00326E55" w14:paraId="690E8BFC"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77F44C" w14:textId="77777777"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M5C1 – 16</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E3DDDA"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Investícia 4 – Univerzálna štátna služba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C2D0A9"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Cieľ</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CB9C6B" w14:textId="77777777"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 xml:space="preserve">Osvedčenia vydané pre projekty univerzálnej štátnej služby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3C711D"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8CC40D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E194F5"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F1C7510" w14:textId="5664E1C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166 670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1C3BC9A"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DRUHÝ ŠTVRŤROK</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275F52"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80C4E6" w14:textId="5780F1C8"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szCs w:val="20"/>
                <w:lang w:val="sk-SK"/>
              </w:rPr>
              <w:t>Najmenej 166670 osvedčení</w:t>
            </w:r>
            <w:r w:rsidR="00326E55" w:rsidRPr="00326E55">
              <w:rPr>
                <w:rFonts w:ascii="Times New Roman" w:hAnsi="Times New Roman"/>
                <w:noProof/>
                <w:spacing w:val="-6"/>
                <w:lang w:val="sk-SK"/>
              </w:rPr>
              <w:t xml:space="preserve"> o </w:t>
            </w:r>
            <w:r w:rsidRPr="00326E55">
              <w:rPr>
                <w:rFonts w:ascii="Times New Roman" w:hAnsi="Times New Roman"/>
                <w:noProof/>
                <w:spacing w:val="-6"/>
                <w:szCs w:val="20"/>
                <w:lang w:val="sk-SK"/>
              </w:rPr>
              <w:t>účasti na univerzálnej verejnej službe vydaných pre projekty, ktoré sa začali</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štvorročnom období 2021 – 2024.</w:t>
            </w:r>
          </w:p>
        </w:tc>
      </w:tr>
    </w:tbl>
    <w:p w14:paraId="7246408D" w14:textId="77777777" w:rsidR="00BF03AA" w:rsidRPr="00326E55" w:rsidRDefault="00BF03AA">
      <w:pPr>
        <w:spacing w:before="120" w:after="120"/>
        <w:ind w:left="709"/>
        <w:jc w:val="both"/>
        <w:rPr>
          <w:rFonts w:ascii="Times New Roman" w:hAnsi="Times New Roman"/>
          <w:noProof/>
          <w:spacing w:val="-6"/>
          <w:lang w:val="sk-SK"/>
        </w:rPr>
      </w:pPr>
    </w:p>
    <w:p w14:paraId="0C27507F"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even" r:id="rId218"/>
          <w:headerReference w:type="default" r:id="rId219"/>
          <w:footerReference w:type="even" r:id="rId220"/>
          <w:footerReference w:type="default" r:id="rId221"/>
          <w:headerReference w:type="first" r:id="rId222"/>
          <w:footerReference w:type="first" r:id="rId223"/>
          <w:pgSz w:w="16838" w:h="11906" w:orient="landscape" w:code="9"/>
          <w:pgMar w:top="1134" w:right="1134" w:bottom="1134" w:left="1134" w:header="567" w:footer="567" w:gutter="0"/>
          <w:cols w:space="720"/>
          <w:docGrid w:linePitch="360"/>
        </w:sectPr>
      </w:pPr>
    </w:p>
    <w:p w14:paraId="0C133743" w14:textId="77777777" w:rsidR="00326E55" w:rsidRPr="00326E55" w:rsidRDefault="00FB452D">
      <w:pPr>
        <w:pStyle w:val="P68B1DB1-Heading39"/>
        <w:ind w:left="850" w:hanging="850"/>
        <w:rPr>
          <w:b/>
          <w:noProof/>
          <w:spacing w:val="-6"/>
          <w:u w:val="single"/>
          <w:lang w:val="sk-SK"/>
        </w:rPr>
      </w:pPr>
      <w:r w:rsidRPr="00326E55">
        <w:rPr>
          <w:b/>
          <w:noProof/>
          <w:spacing w:val="-6"/>
          <w:u w:val="single"/>
          <w:lang w:val="sk-SK"/>
        </w:rPr>
        <w:t xml:space="preserve">L.3.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 xml:space="preserve">rámci </w:t>
      </w:r>
      <w:r w:rsidRPr="00326E55">
        <w:rPr>
          <w:b/>
          <w:noProof/>
          <w:spacing w:val="-6"/>
          <w:u w:val="single"/>
          <w:lang w:val="sk-SK"/>
        </w:rPr>
        <w:t>úverového financovania</w:t>
      </w:r>
    </w:p>
    <w:p w14:paraId="6AD9E909" w14:textId="00E5D46E" w:rsidR="00BF03AA" w:rsidRPr="00326E55" w:rsidRDefault="00FB452D">
      <w:pPr>
        <w:pStyle w:val="P68B1DB1-Normal5"/>
        <w:spacing w:before="120" w:after="120"/>
        <w:jc w:val="both"/>
        <w:rPr>
          <w:noProof/>
          <w:spacing w:val="-6"/>
          <w:lang w:val="sk-SK"/>
        </w:rPr>
      </w:pPr>
      <w:r w:rsidRPr="00326E55">
        <w:rPr>
          <w:noProof/>
          <w:spacing w:val="-6"/>
          <w:lang w:val="sk-SK"/>
        </w:rPr>
        <w:t>Investícia 5 – Zakladanie podnikov žien</w:t>
      </w:r>
    </w:p>
    <w:p w14:paraId="44CDE6CB" w14:textId="42977CF9" w:rsidR="00BF03AA" w:rsidRPr="00326E55" w:rsidRDefault="00FB452D">
      <w:pPr>
        <w:pStyle w:val="P68B1DB1-Normal7"/>
        <w:spacing w:before="120" w:after="120"/>
        <w:jc w:val="both"/>
        <w:rPr>
          <w:noProof/>
          <w:spacing w:val="-6"/>
          <w:lang w:val="sk-SK"/>
        </w:rPr>
      </w:pPr>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verejných investícií do nástroja</w:t>
      </w:r>
      <w:r w:rsidR="00326E55" w:rsidRPr="00326E55">
        <w:rPr>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w:t>
      </w:r>
      <w:r w:rsidR="00326E55" w:rsidRPr="00326E55">
        <w:rPr>
          <w:noProof/>
          <w:spacing w:val="-6"/>
          <w:lang w:val="sk-SK"/>
        </w:rPr>
        <w:t xml:space="preserve"> v </w:t>
      </w:r>
      <w:r w:rsidRPr="00326E55">
        <w:rPr>
          <w:noProof/>
          <w:spacing w:val="-6"/>
          <w:lang w:val="sk-SK"/>
        </w:rPr>
        <w:t>Taliansku na zakladanie</w:t>
      </w:r>
      <w:r w:rsidR="00326E55" w:rsidRPr="00326E55">
        <w:rPr>
          <w:noProof/>
          <w:spacing w:val="-6"/>
          <w:lang w:val="sk-SK"/>
        </w:rPr>
        <w:t xml:space="preserve"> a </w:t>
      </w:r>
      <w:r w:rsidRPr="00326E55">
        <w:rPr>
          <w:noProof/>
          <w:spacing w:val="-6"/>
          <w:lang w:val="sk-SK"/>
        </w:rPr>
        <w:t>rast podnikov žien</w:t>
      </w:r>
      <w:r w:rsidR="00326E55" w:rsidRPr="00326E55">
        <w:rPr>
          <w:noProof/>
          <w:spacing w:val="-6"/>
          <w:lang w:val="sk-SK"/>
        </w:rPr>
        <w:t xml:space="preserve"> v </w:t>
      </w:r>
      <w:r w:rsidRPr="00326E55">
        <w:rPr>
          <w:noProof/>
          <w:spacing w:val="-6"/>
          <w:lang w:val="sk-SK"/>
        </w:rPr>
        <w:t>Taliansku p</w:t>
      </w:r>
      <w:r w:rsidRPr="00326E55">
        <w:rPr>
          <w:noProof/>
          <w:spacing w:val="-6"/>
          <w:lang w:val="sk-SK"/>
        </w:rPr>
        <w:t>rostredníctvom projektového financovania, mentorstva, komunikačných činností</w:t>
      </w:r>
      <w:r w:rsidR="00326E55" w:rsidRPr="00326E55">
        <w:rPr>
          <w:noProof/>
          <w:spacing w:val="-6"/>
          <w:lang w:val="sk-SK"/>
        </w:rPr>
        <w:t xml:space="preserve"> a </w:t>
      </w:r>
      <w:r w:rsidRPr="00326E55">
        <w:rPr>
          <w:noProof/>
          <w:spacing w:val="-6"/>
          <w:lang w:val="sk-SK"/>
        </w:rPr>
        <w:t>služieb podnikateľského vzdelávania. Nástroj funguje tak, že poskytuje dotácie</w:t>
      </w:r>
      <w:r w:rsidR="00326E55" w:rsidRPr="00326E55">
        <w:rPr>
          <w:noProof/>
          <w:spacing w:val="-6"/>
          <w:lang w:val="sk-SK"/>
        </w:rPr>
        <w:t xml:space="preserve"> a </w:t>
      </w:r>
      <w:r w:rsidRPr="00326E55">
        <w:rPr>
          <w:noProof/>
          <w:spacing w:val="-6"/>
          <w:lang w:val="sk-SK"/>
        </w:rPr>
        <w:t>pôžičky priamo súkromnému sektoru.</w:t>
      </w:r>
    </w:p>
    <w:p w14:paraId="2A1BE293" w14:textId="77777777" w:rsidR="00BF03AA" w:rsidRPr="00326E55" w:rsidRDefault="00FB452D">
      <w:pPr>
        <w:pStyle w:val="P68B1DB1-Normal7"/>
        <w:spacing w:before="120" w:after="120"/>
        <w:jc w:val="both"/>
        <w:rPr>
          <w:noProof/>
          <w:spacing w:val="-6"/>
          <w:lang w:val="sk-SK"/>
        </w:rPr>
      </w:pPr>
      <w:r w:rsidRPr="00326E55">
        <w:rPr>
          <w:noProof/>
          <w:spacing w:val="-6"/>
          <w:lang w:val="sk-SK"/>
        </w:rPr>
        <w:t>Nástroj spravuje Invitalia ako implementujúci partner. Nástro</w:t>
      </w:r>
      <w:r w:rsidRPr="00326E55">
        <w:rPr>
          <w:noProof/>
          <w:spacing w:val="-6"/>
          <w:lang w:val="sk-SK"/>
        </w:rPr>
        <w:t>j zahŕňa tieto riadky výrobkov:</w:t>
      </w:r>
    </w:p>
    <w:p w14:paraId="0ACFD94D" w14:textId="7C8B3D97" w:rsidR="00BF03AA" w:rsidRPr="00326E55" w:rsidRDefault="00FB452D">
      <w:pPr>
        <w:pStyle w:val="P68B1DB1-Normal7"/>
        <w:numPr>
          <w:ilvl w:val="0"/>
          <w:numId w:val="73"/>
        </w:numPr>
        <w:spacing w:before="120" w:after="120" w:line="279" w:lineRule="auto"/>
        <w:jc w:val="both"/>
        <w:rPr>
          <w:noProof/>
          <w:spacing w:val="-6"/>
          <w:lang w:val="sk-SK"/>
        </w:rPr>
      </w:pPr>
      <w:r w:rsidRPr="00326E55">
        <w:rPr>
          <w:i/>
          <w:noProof/>
          <w:spacing w:val="-6"/>
          <w:lang w:val="sk-SK"/>
        </w:rPr>
        <w:t>Fondo</w:t>
      </w:r>
      <w:r w:rsidR="00326E55" w:rsidRPr="00326E55">
        <w:rPr>
          <w:i/>
          <w:noProof/>
          <w:spacing w:val="-6"/>
          <w:lang w:val="sk-SK"/>
        </w:rPr>
        <w:t xml:space="preserve"> a </w:t>
      </w:r>
      <w:r w:rsidRPr="00326E55">
        <w:rPr>
          <w:i/>
          <w:noProof/>
          <w:spacing w:val="-6"/>
          <w:lang w:val="sk-SK"/>
        </w:rPr>
        <w:t xml:space="preserve">sostegno dell’impresa femminile, </w:t>
      </w:r>
      <w:r w:rsidRPr="00326E55">
        <w:rPr>
          <w:noProof/>
          <w:spacing w:val="-6"/>
          <w:lang w:val="sk-SK"/>
        </w:rPr>
        <w:t>ktorý podporuje podnikateľské iniciatívy vedené ženami prostredníctvom grantov</w:t>
      </w:r>
      <w:r w:rsidR="00326E55" w:rsidRPr="00326E55">
        <w:rPr>
          <w:noProof/>
          <w:spacing w:val="-6"/>
          <w:lang w:val="sk-SK"/>
        </w:rPr>
        <w:t xml:space="preserve"> a </w:t>
      </w:r>
      <w:r w:rsidRPr="00326E55">
        <w:rPr>
          <w:noProof/>
          <w:spacing w:val="-6"/>
          <w:lang w:val="sk-SK"/>
        </w:rPr>
        <w:t>bezúročných pôžičiek; financuje aj komunikačné</w:t>
      </w:r>
      <w:r w:rsidR="00326E55" w:rsidRPr="00326E55">
        <w:rPr>
          <w:noProof/>
          <w:spacing w:val="-6"/>
          <w:lang w:val="sk-SK"/>
        </w:rPr>
        <w:t xml:space="preserve"> a </w:t>
      </w:r>
      <w:r w:rsidRPr="00326E55">
        <w:rPr>
          <w:noProof/>
          <w:spacing w:val="-6"/>
          <w:lang w:val="sk-SK"/>
        </w:rPr>
        <w:t>vzdelávacie iniciatívy zamerané na študentky</w:t>
      </w:r>
      <w:r w:rsidR="00326E55" w:rsidRPr="00326E55">
        <w:rPr>
          <w:noProof/>
          <w:spacing w:val="-6"/>
          <w:lang w:val="sk-SK"/>
        </w:rPr>
        <w:t xml:space="preserve"> a </w:t>
      </w:r>
      <w:r w:rsidRPr="00326E55">
        <w:rPr>
          <w:noProof/>
          <w:spacing w:val="-6"/>
          <w:lang w:val="sk-SK"/>
        </w:rPr>
        <w:t xml:space="preserve">mladé </w:t>
      </w:r>
      <w:r w:rsidRPr="00326E55">
        <w:rPr>
          <w:noProof/>
          <w:spacing w:val="-6"/>
          <w:lang w:val="sk-SK"/>
        </w:rPr>
        <w:t>ženy, ako aj vzdelávacie služby zamerané na šírenie podnikateľskej kultúry žien;</w:t>
      </w:r>
    </w:p>
    <w:p w14:paraId="62D025C7" w14:textId="2195528C" w:rsidR="00BF03AA" w:rsidRPr="00326E55" w:rsidRDefault="00FB452D">
      <w:pPr>
        <w:pStyle w:val="P68B1DB1-Normal7"/>
        <w:numPr>
          <w:ilvl w:val="0"/>
          <w:numId w:val="73"/>
        </w:numPr>
        <w:spacing w:before="120" w:after="120" w:line="279" w:lineRule="auto"/>
        <w:jc w:val="both"/>
        <w:rPr>
          <w:noProof/>
          <w:spacing w:val="-6"/>
          <w:lang w:val="sk-SK"/>
        </w:rPr>
      </w:pPr>
      <w:r w:rsidRPr="00326E55">
        <w:rPr>
          <w:i/>
          <w:noProof/>
          <w:spacing w:val="-6"/>
          <w:lang w:val="sk-SK"/>
        </w:rPr>
        <w:t>Nuove imprezentuje tasso zero (NITO-ON)</w:t>
      </w:r>
      <w:r w:rsidRPr="00326E55">
        <w:rPr>
          <w:noProof/>
          <w:spacing w:val="-6"/>
          <w:lang w:val="sk-SK"/>
        </w:rPr>
        <w:t>, ktorá je zameraná na vytváranie</w:t>
      </w:r>
      <w:r w:rsidR="00326E55" w:rsidRPr="00326E55">
        <w:rPr>
          <w:noProof/>
          <w:spacing w:val="-6"/>
          <w:lang w:val="sk-SK"/>
        </w:rPr>
        <w:t xml:space="preserve"> a </w:t>
      </w:r>
      <w:r w:rsidRPr="00326E55">
        <w:rPr>
          <w:noProof/>
          <w:spacing w:val="-6"/>
          <w:lang w:val="sk-SK"/>
        </w:rPr>
        <w:t>rast mikropodnikov</w:t>
      </w:r>
      <w:r w:rsidR="00326E55" w:rsidRPr="00326E55">
        <w:rPr>
          <w:noProof/>
          <w:spacing w:val="-6"/>
          <w:lang w:val="sk-SK"/>
        </w:rPr>
        <w:t xml:space="preserve"> a </w:t>
      </w:r>
      <w:r w:rsidRPr="00326E55">
        <w:rPr>
          <w:noProof/>
          <w:spacing w:val="-6"/>
          <w:lang w:val="sk-SK"/>
        </w:rPr>
        <w:t>malých podnikov vedených najmä alebo výlučne mladými ľuďmi alebo ženami financo</w:t>
      </w:r>
      <w:r w:rsidRPr="00326E55">
        <w:rPr>
          <w:noProof/>
          <w:spacing w:val="-6"/>
          <w:lang w:val="sk-SK"/>
        </w:rPr>
        <w:t>vanými prostredníctvom grantov</w:t>
      </w:r>
      <w:r w:rsidR="00326E55" w:rsidRPr="00326E55">
        <w:rPr>
          <w:noProof/>
          <w:spacing w:val="-6"/>
          <w:lang w:val="sk-SK"/>
        </w:rPr>
        <w:t xml:space="preserve"> a </w:t>
      </w:r>
      <w:r w:rsidRPr="00326E55">
        <w:rPr>
          <w:noProof/>
          <w:spacing w:val="-6"/>
          <w:lang w:val="sk-SK"/>
        </w:rPr>
        <w:t>bezúročných úverov;</w:t>
      </w:r>
    </w:p>
    <w:p w14:paraId="66463615" w14:textId="434CC63F" w:rsidR="00BF03AA" w:rsidRPr="00326E55" w:rsidRDefault="00FB452D">
      <w:pPr>
        <w:pStyle w:val="P68B1DB1-Normal7"/>
        <w:numPr>
          <w:ilvl w:val="0"/>
          <w:numId w:val="73"/>
        </w:numPr>
        <w:spacing w:before="120" w:after="120" w:line="279" w:lineRule="auto"/>
        <w:jc w:val="both"/>
        <w:rPr>
          <w:noProof/>
          <w:spacing w:val="-6"/>
          <w:lang w:val="sk-SK"/>
        </w:rPr>
      </w:pPr>
      <w:r w:rsidRPr="00326E55">
        <w:rPr>
          <w:i/>
          <w:noProof/>
          <w:spacing w:val="-6"/>
          <w:lang w:val="sk-SK"/>
        </w:rPr>
        <w:t>Smart &amp; Start Italia</w:t>
      </w:r>
      <w:r w:rsidRPr="00326E55">
        <w:rPr>
          <w:noProof/>
          <w:spacing w:val="-6"/>
          <w:lang w:val="sk-SK"/>
        </w:rPr>
        <w:t>, ktorej cieľom je podporovať inovatívne startupy založené na technológiách, najmä tie, ktoré majú silné digitálne alebo výskumné prvky financované prostredníctvom úverov;</w:t>
      </w:r>
      <w:r w:rsidR="00326E55" w:rsidRPr="00326E55">
        <w:rPr>
          <w:noProof/>
          <w:spacing w:val="-6"/>
          <w:lang w:val="sk-SK"/>
        </w:rPr>
        <w:t xml:space="preserve"> v </w:t>
      </w:r>
      <w:r w:rsidRPr="00326E55">
        <w:rPr>
          <w:noProof/>
          <w:spacing w:val="-6"/>
          <w:lang w:val="sk-SK"/>
        </w:rPr>
        <w:t xml:space="preserve">prípade </w:t>
      </w:r>
      <w:r w:rsidRPr="00326E55">
        <w:rPr>
          <w:noProof/>
          <w:spacing w:val="-6"/>
          <w:lang w:val="sk-SK"/>
        </w:rPr>
        <w:t>začínajúcich podnikov so sídlom</w:t>
      </w:r>
      <w:r w:rsidR="00326E55" w:rsidRPr="00326E55">
        <w:rPr>
          <w:noProof/>
          <w:spacing w:val="-6"/>
          <w:lang w:val="sk-SK"/>
        </w:rPr>
        <w:t xml:space="preserve"> v </w:t>
      </w:r>
      <w:r w:rsidRPr="00326E55">
        <w:rPr>
          <w:noProof/>
          <w:spacing w:val="-6"/>
          <w:lang w:val="sk-SK"/>
        </w:rPr>
        <w:t>strednom</w:t>
      </w:r>
      <w:r w:rsidR="00326E55" w:rsidRPr="00326E55">
        <w:rPr>
          <w:noProof/>
          <w:spacing w:val="-6"/>
          <w:lang w:val="sk-SK"/>
        </w:rPr>
        <w:t xml:space="preserve"> a </w:t>
      </w:r>
      <w:r w:rsidRPr="00326E55">
        <w:rPr>
          <w:noProof/>
          <w:spacing w:val="-6"/>
          <w:lang w:val="sk-SK"/>
        </w:rPr>
        <w:t>južnom Taliansku sa percentuálny podiel úveru môže zmeniť na nenávratný grant.</w:t>
      </w:r>
    </w:p>
    <w:p w14:paraId="2E95A7F6" w14:textId="7FF551C6" w:rsidR="00BF03AA" w:rsidRPr="00326E55" w:rsidRDefault="00FB452D">
      <w:pPr>
        <w:pStyle w:val="P68B1DB1-Normal7"/>
        <w:spacing w:before="120" w:after="120"/>
        <w:jc w:val="both"/>
        <w:rPr>
          <w:noProof/>
          <w:spacing w:val="-6"/>
          <w:lang w:val="sk-SK"/>
        </w:rPr>
      </w:pPr>
      <w:r w:rsidRPr="00326E55">
        <w:rPr>
          <w:noProof/>
          <w:spacing w:val="-6"/>
          <w:lang w:val="sk-SK"/>
        </w:rPr>
        <w:t>S cieľom implementovať investície do mechanizmu Taliansko</w:t>
      </w:r>
      <w:r w:rsidR="00326E55" w:rsidRPr="00326E55">
        <w:rPr>
          <w:noProof/>
          <w:spacing w:val="-6"/>
          <w:lang w:val="sk-SK"/>
        </w:rPr>
        <w:t xml:space="preserve"> a </w:t>
      </w:r>
      <w:r w:rsidRPr="00326E55">
        <w:rPr>
          <w:noProof/>
          <w:spacing w:val="-6"/>
          <w:lang w:val="sk-SK"/>
        </w:rPr>
        <w:t>Invitalia podpíšu vykonávaciu dohodu, ktorá bude obsahovať tento obsah:</w:t>
      </w:r>
    </w:p>
    <w:p w14:paraId="3E594429" w14:textId="52F6F9ED" w:rsidR="00BF03AA" w:rsidRPr="00326E55" w:rsidRDefault="00FB452D">
      <w:pPr>
        <w:pStyle w:val="P68B1DB1-ListParagraph100"/>
        <w:numPr>
          <w:ilvl w:val="0"/>
          <w:numId w:val="92"/>
        </w:numPr>
        <w:spacing w:before="120" w:after="120" w:line="278" w:lineRule="auto"/>
        <w:ind w:left="714" w:hanging="357"/>
        <w:contextualSpacing w:val="0"/>
        <w:jc w:val="both"/>
        <w:rPr>
          <w:noProof/>
          <w:spacing w:val="-6"/>
          <w:lang w:val="sk-SK"/>
        </w:rPr>
      </w:pPr>
      <w:r w:rsidRPr="00326E55">
        <w:rPr>
          <w:noProof/>
          <w:spacing w:val="-6"/>
          <w:lang w:val="sk-SK"/>
        </w:rPr>
        <w:t>Opis rozhodovacieho procesu nástroja: Konečné investičné rozhodnutie nástroja prijíma 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 ktorí sú nezávislí od vlády.</w:t>
      </w:r>
    </w:p>
    <w:p w14:paraId="0198B0CA" w14:textId="77777777" w:rsidR="00BF03AA" w:rsidRPr="00326E55" w:rsidRDefault="00FB452D">
      <w:pPr>
        <w:pStyle w:val="P68B1DB1-ListParagraph100"/>
        <w:numPr>
          <w:ilvl w:val="0"/>
          <w:numId w:val="92"/>
        </w:numPr>
        <w:spacing w:before="120" w:after="120" w:line="278" w:lineRule="auto"/>
        <w:ind w:hanging="357"/>
        <w:contextualSpacing w:val="0"/>
        <w:jc w:val="both"/>
        <w:rPr>
          <w:noProof/>
          <w:spacing w:val="-6"/>
          <w:lang w:val="sk-SK"/>
        </w:rPr>
      </w:pPr>
      <w:r w:rsidRPr="00326E55">
        <w:rPr>
          <w:noProof/>
          <w:spacing w:val="-6"/>
          <w:lang w:val="sk-SK"/>
        </w:rPr>
        <w:t>Kľúčové požiadavky súvisiacej investičn</w:t>
      </w:r>
      <w:r w:rsidRPr="00326E55">
        <w:rPr>
          <w:noProof/>
          <w:spacing w:val="-6"/>
          <w:lang w:val="sk-SK"/>
        </w:rPr>
        <w:t>ej politiky, ktoré zahŕňajú:</w:t>
      </w:r>
    </w:p>
    <w:p w14:paraId="59C2EB54" w14:textId="699446BA" w:rsidR="00BF03AA" w:rsidRPr="00326E55" w:rsidRDefault="00FB452D">
      <w:pPr>
        <w:pStyle w:val="P68B1DB1-ListParagraph100"/>
        <w:numPr>
          <w:ilvl w:val="0"/>
          <w:numId w:val="93"/>
        </w:numPr>
        <w:spacing w:before="120" w:after="120" w:line="278" w:lineRule="auto"/>
        <w:ind w:hanging="357"/>
        <w:contextualSpacing w:val="0"/>
        <w:jc w:val="both"/>
        <w:rPr>
          <w:noProof/>
          <w:spacing w:val="-6"/>
          <w:lang w:val="sk-SK"/>
        </w:rPr>
      </w:pPr>
      <w:r w:rsidRPr="00326E55">
        <w:rPr>
          <w:noProof/>
          <w:spacing w:val="-6"/>
          <w:lang w:val="sk-SK"/>
        </w:rPr>
        <w:t>Opis finančných produktov</w:t>
      </w:r>
      <w:r w:rsidR="00326E55" w:rsidRPr="00326E55">
        <w:rPr>
          <w:noProof/>
          <w:spacing w:val="-6"/>
          <w:lang w:val="sk-SK"/>
        </w:rPr>
        <w:t xml:space="preserve"> a </w:t>
      </w:r>
      <w:r w:rsidRPr="00326E55">
        <w:rPr>
          <w:noProof/>
          <w:spacing w:val="-6"/>
          <w:lang w:val="sk-SK"/>
        </w:rPr>
        <w:t>oprávnených konečných príjemcov.</w:t>
      </w:r>
    </w:p>
    <w:p w14:paraId="25CAED54" w14:textId="77777777" w:rsidR="00BF03AA" w:rsidRPr="00326E55" w:rsidRDefault="00FB452D">
      <w:pPr>
        <w:pStyle w:val="P68B1DB1-ListParagraph100"/>
        <w:numPr>
          <w:ilvl w:val="0"/>
          <w:numId w:val="93"/>
        </w:numPr>
        <w:spacing w:before="120" w:after="120" w:line="278" w:lineRule="auto"/>
        <w:ind w:hanging="357"/>
        <w:contextualSpacing w:val="0"/>
        <w:jc w:val="both"/>
        <w:rPr>
          <w:noProof/>
          <w:spacing w:val="-6"/>
          <w:lang w:val="sk-SK"/>
        </w:rPr>
      </w:pPr>
      <w:r w:rsidRPr="00326E55">
        <w:rPr>
          <w:noProof/>
          <w:spacing w:val="-6"/>
          <w:lang w:val="sk-SK"/>
        </w:rPr>
        <w:t>Požiadavka, aby všetky podporované investície boli ekonomicky životaschopné.</w:t>
      </w:r>
    </w:p>
    <w:p w14:paraId="41CFDBFC" w14:textId="43766C5B" w:rsidR="00326E55" w:rsidRPr="00326E55" w:rsidRDefault="00FB452D">
      <w:pPr>
        <w:pStyle w:val="P68B1DB1-ListParagraph37"/>
        <w:numPr>
          <w:ilvl w:val="0"/>
          <w:numId w:val="93"/>
        </w:numPr>
        <w:spacing w:before="120" w:after="120" w:line="278" w:lineRule="auto"/>
        <w:ind w:hanging="357"/>
        <w:contextualSpacing w:val="0"/>
        <w:jc w:val="both"/>
        <w:rPr>
          <w:noProof/>
          <w:spacing w:val="-6"/>
          <w:lang w:val="sk-SK"/>
        </w:rPr>
      </w:pPr>
      <w:r w:rsidRPr="00326E55">
        <w:rPr>
          <w:noProof/>
          <w:spacing w:val="-6"/>
          <w:lang w:val="sk-SK"/>
        </w:rPr>
        <w:t>Požiadavka dodržiavať zásadu „výrazne nenarušiť“, ako sa stanovuje</w:t>
      </w:r>
      <w:r w:rsidR="00326E55" w:rsidRPr="00326E55">
        <w:rPr>
          <w:noProof/>
          <w:spacing w:val="-6"/>
          <w:lang w:val="sk-SK"/>
        </w:rPr>
        <w:t xml:space="preserve"> v </w:t>
      </w:r>
      <w:r w:rsidRPr="00326E55">
        <w:rPr>
          <w:noProof/>
          <w:spacing w:val="-6"/>
          <w:lang w:val="sk-SK"/>
        </w:rPr>
        <w:t>technickom usmernení</w:t>
      </w:r>
      <w:r w:rsidR="00326E55" w:rsidRPr="00326E55">
        <w:rPr>
          <w:noProof/>
          <w:spacing w:val="-6"/>
          <w:lang w:val="sk-SK"/>
        </w:rPr>
        <w:t xml:space="preserve"> k </w:t>
      </w:r>
      <w:r w:rsidRPr="00326E55">
        <w:rPr>
          <w:noProof/>
          <w:spacing w:val="-6"/>
          <w:lang w:val="sk-SK"/>
        </w:rPr>
        <w:t>zásade „výrazne nenarušiť“ (2021/C58/01). Investičná politika vylučuje</w:t>
      </w:r>
      <w:r w:rsidR="00326E55" w:rsidRPr="00326E55">
        <w:rPr>
          <w:noProof/>
          <w:spacing w:val="-6"/>
          <w:lang w:val="sk-SK"/>
        </w:rPr>
        <w:t xml:space="preserve"> z </w:t>
      </w:r>
      <w:r w:rsidRPr="00326E55">
        <w:rPr>
          <w:noProof/>
          <w:spacing w:val="-6"/>
          <w:lang w:val="sk-SK"/>
        </w:rPr>
        <w:t>oprávnenosti najmä tento zoznam činností</w:t>
      </w:r>
      <w:r w:rsidR="00326E55" w:rsidRPr="00326E55">
        <w:rPr>
          <w:noProof/>
          <w:spacing w:val="-6"/>
          <w:lang w:val="sk-SK"/>
        </w:rPr>
        <w:t xml:space="preserve"> a </w:t>
      </w:r>
      <w:r w:rsidRPr="00326E55">
        <w:rPr>
          <w:noProof/>
          <w:spacing w:val="-6"/>
          <w:lang w:val="sk-SK"/>
        </w:rPr>
        <w:t>aktív: I) činnosti</w:t>
      </w:r>
      <w:r w:rsidR="00326E55" w:rsidRPr="00326E55">
        <w:rPr>
          <w:noProof/>
          <w:spacing w:val="-6"/>
          <w:lang w:val="sk-SK"/>
        </w:rPr>
        <w:t xml:space="preserve"> a </w:t>
      </w:r>
      <w:r w:rsidRPr="00326E55">
        <w:rPr>
          <w:noProof/>
          <w:spacing w:val="-6"/>
          <w:lang w:val="sk-SK"/>
        </w:rPr>
        <w:t>aktíva súvisiace</w:t>
      </w:r>
      <w:r w:rsidR="00326E55" w:rsidRPr="00326E55">
        <w:rPr>
          <w:noProof/>
          <w:spacing w:val="-6"/>
          <w:lang w:val="sk-SK"/>
        </w:rPr>
        <w:t xml:space="preserve"> s </w:t>
      </w:r>
      <w:r w:rsidRPr="00326E55">
        <w:rPr>
          <w:noProof/>
          <w:spacing w:val="-6"/>
          <w:lang w:val="sk-SK"/>
        </w:rPr>
        <w:t>fosílnymi palivami vrátane následného používania,</w:t>
      </w:r>
      <w:r w:rsidRPr="00326E55">
        <w:rPr>
          <w:noProof/>
          <w:spacing w:val="-6"/>
          <w:lang w:val="sk-SK"/>
        </w:rPr>
        <w:footnoteReference w:id="89"/>
      </w:r>
      <w:r w:rsidRPr="00326E55">
        <w:rPr>
          <w:noProof/>
          <w:spacing w:val="-6"/>
          <w:lang w:val="sk-SK"/>
        </w:rPr>
        <w:t>ii) činnosti</w:t>
      </w:r>
      <w:r w:rsidR="00326E55" w:rsidRPr="00326E55">
        <w:rPr>
          <w:noProof/>
          <w:spacing w:val="-6"/>
          <w:lang w:val="sk-SK"/>
        </w:rPr>
        <w:t xml:space="preserve"> a </w:t>
      </w:r>
      <w:r w:rsidRPr="00326E55">
        <w:rPr>
          <w:noProof/>
          <w:spacing w:val="-6"/>
          <w:lang w:val="sk-SK"/>
        </w:rPr>
        <w:t>aktíva</w:t>
      </w:r>
      <w:r w:rsidR="00326E55" w:rsidRPr="00326E55">
        <w:rPr>
          <w:noProof/>
          <w:spacing w:val="-6"/>
          <w:lang w:val="sk-SK"/>
        </w:rPr>
        <w:t xml:space="preserve"> v </w:t>
      </w:r>
      <w:r w:rsidRPr="00326E55">
        <w:rPr>
          <w:noProof/>
          <w:spacing w:val="-6"/>
          <w:lang w:val="sk-SK"/>
        </w:rPr>
        <w:t>rámci systému EÚ na obc</w:t>
      </w:r>
      <w:r w:rsidRPr="00326E55">
        <w:rPr>
          <w:noProof/>
          <w:spacing w:val="-6"/>
          <w:lang w:val="sk-SK"/>
        </w:rPr>
        <w:t>hodovanie</w:t>
      </w:r>
      <w:r w:rsidR="00326E55" w:rsidRPr="00326E55">
        <w:rPr>
          <w:noProof/>
          <w:spacing w:val="-6"/>
          <w:lang w:val="sk-SK"/>
        </w:rPr>
        <w:t xml:space="preserve"> s </w:t>
      </w:r>
      <w:r w:rsidRPr="00326E55">
        <w:rPr>
          <w:noProof/>
          <w:spacing w:val="-6"/>
          <w:lang w:val="sk-SK"/>
        </w:rPr>
        <w:t>emisiami (ETS), ktorými sa dosahujú predpokladané emisie skleníkových plynov, ktoré nie sú nižšie ako príslušné referenčné hodnoty,</w:t>
      </w:r>
      <w:r w:rsidRPr="00326E55">
        <w:rPr>
          <w:noProof/>
          <w:spacing w:val="-6"/>
          <w:lang w:val="sk-SK"/>
        </w:rPr>
        <w:footnoteReference w:id="90"/>
      </w:r>
      <w:r w:rsidRPr="00326E55">
        <w:rPr>
          <w:noProof/>
          <w:spacing w:val="-6"/>
          <w:lang w:val="sk-SK"/>
        </w:rPr>
        <w:t>iii) činnosti</w:t>
      </w:r>
      <w:r w:rsidR="00326E55" w:rsidRPr="00326E55">
        <w:rPr>
          <w:noProof/>
          <w:spacing w:val="-6"/>
          <w:lang w:val="sk-SK"/>
        </w:rPr>
        <w:t xml:space="preserve"> a </w:t>
      </w:r>
      <w:r w:rsidRPr="00326E55">
        <w:rPr>
          <w:noProof/>
          <w:spacing w:val="-6"/>
          <w:lang w:val="sk-SK"/>
        </w:rPr>
        <w:t>aktíva súvisiace so skládkami odpadu, spaľovňami</w:t>
      </w:r>
      <w:r w:rsidRPr="00326E55">
        <w:rPr>
          <w:noProof/>
          <w:spacing w:val="-6"/>
          <w:lang w:val="sk-SK"/>
        </w:rPr>
        <w:footnoteReference w:id="91"/>
      </w:r>
      <w:r w:rsidR="00326E55" w:rsidRPr="00326E55">
        <w:rPr>
          <w:noProof/>
          <w:spacing w:val="-6"/>
          <w:lang w:val="sk-SK"/>
        </w:rPr>
        <w:t xml:space="preserve"> a </w:t>
      </w:r>
      <w:r w:rsidRPr="00326E55">
        <w:rPr>
          <w:noProof/>
          <w:spacing w:val="-6"/>
          <w:lang w:val="sk-SK"/>
        </w:rPr>
        <w:t>mechanickými biologickými čistiarňami</w:t>
      </w:r>
      <w:r w:rsidRPr="00326E55">
        <w:rPr>
          <w:noProof/>
          <w:spacing w:val="-6"/>
          <w:lang w:val="sk-SK"/>
        </w:rPr>
        <w:footnoteReference w:id="92"/>
      </w:r>
      <w:r w:rsidR="00326E55" w:rsidRPr="00326E55">
        <w:rPr>
          <w:noProof/>
          <w:spacing w:val="-6"/>
          <w:lang w:val="sk-SK"/>
        </w:rPr>
        <w:t>.</w:t>
      </w:r>
    </w:p>
    <w:p w14:paraId="08C9CACE" w14:textId="56D52B4C" w:rsidR="00BF03AA" w:rsidRPr="00326E55" w:rsidRDefault="00FB452D">
      <w:pPr>
        <w:pStyle w:val="P68B1DB1-ListParagraph37"/>
        <w:numPr>
          <w:ilvl w:val="0"/>
          <w:numId w:val="93"/>
        </w:numPr>
        <w:spacing w:before="120" w:after="120" w:line="278" w:lineRule="auto"/>
        <w:ind w:hanging="357"/>
        <w:contextualSpacing w:val="0"/>
        <w:jc w:val="both"/>
        <w:rPr>
          <w:noProof/>
          <w:spacing w:val="-6"/>
          <w:lang w:val="sk-SK"/>
        </w:rPr>
      </w:pPr>
      <w:r w:rsidRPr="00326E55">
        <w:rPr>
          <w:noProof/>
          <w:spacing w:val="-6"/>
          <w:lang w:val="sk-SK"/>
        </w:rPr>
        <w:t>Poži</w:t>
      </w:r>
      <w:r w:rsidRPr="00326E55">
        <w:rPr>
          <w:noProof/>
          <w:spacing w:val="-6"/>
          <w:lang w:val="sk-SK"/>
        </w:rPr>
        <w:t>adavka, aby koneční príjemcovia nástroja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4075FAE8" w14:textId="5BD62242" w:rsidR="00BF03AA" w:rsidRPr="00326E55" w:rsidRDefault="00FB452D">
      <w:pPr>
        <w:pStyle w:val="P68B1DB1-ListParagraph37"/>
        <w:numPr>
          <w:ilvl w:val="0"/>
          <w:numId w:val="92"/>
        </w:numPr>
        <w:spacing w:before="120" w:after="120" w:line="278" w:lineRule="auto"/>
        <w:ind w:left="714" w:hanging="357"/>
        <w:contextualSpacing w:val="0"/>
        <w:jc w:val="both"/>
        <w:rPr>
          <w:noProof/>
          <w:spacing w:val="-6"/>
          <w:lang w:val="sk-SK"/>
        </w:rPr>
      </w:pPr>
      <w:r w:rsidRPr="00326E55">
        <w:rPr>
          <w:noProof/>
          <w:spacing w:val="-6"/>
          <w:lang w:val="sk-SK"/>
        </w:rPr>
        <w:t>Suma,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reinvestovať akékoľvek spätné to</w:t>
      </w:r>
      <w:r w:rsidRPr="00326E55">
        <w:rPr>
          <w:noProof/>
          <w:spacing w:val="-6"/>
          <w:lang w:val="sk-SK"/>
        </w:rPr>
        <w:t>ky podľa investičnej politiky nástroja.</w:t>
      </w:r>
    </w:p>
    <w:p w14:paraId="0927675B" w14:textId="67970678" w:rsidR="00BF03AA" w:rsidRPr="00326E55" w:rsidRDefault="00FB452D">
      <w:pPr>
        <w:pStyle w:val="P68B1DB1-ListParagraph37"/>
        <w:numPr>
          <w:ilvl w:val="0"/>
          <w:numId w:val="92"/>
        </w:numPr>
        <w:spacing w:before="120" w:after="120" w:line="240" w:lineRule="auto"/>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p>
    <w:p w14:paraId="47B4D611" w14:textId="7C8AB5D8" w:rsidR="00BF03AA" w:rsidRPr="00326E55" w:rsidRDefault="00FB452D">
      <w:pPr>
        <w:pStyle w:val="P68B1DB1-Normal7"/>
        <w:numPr>
          <w:ilvl w:val="0"/>
          <w:numId w:val="91"/>
        </w:numPr>
        <w:spacing w:before="120" w:after="120" w:line="240" w:lineRule="auto"/>
        <w:jc w:val="both"/>
        <w:rPr>
          <w:noProof/>
          <w:spacing w:val="-6"/>
          <w:lang w:val="sk-SK"/>
        </w:rPr>
      </w:pPr>
      <w:bookmarkStart w:id="20" w:name="_Hlk139218377"/>
      <w:r w:rsidRPr="00326E55">
        <w:rPr>
          <w:noProof/>
          <w:spacing w:val="-6"/>
          <w:lang w:val="sk-SK"/>
        </w:rPr>
        <w:t>Opis monitorovacieho systému implementujúceho partnera na podávanie správ</w:t>
      </w:r>
      <w:r w:rsidR="00326E55" w:rsidRPr="00326E55">
        <w:rPr>
          <w:noProof/>
          <w:spacing w:val="-6"/>
          <w:lang w:val="sk-SK"/>
        </w:rPr>
        <w:t xml:space="preserve"> o </w:t>
      </w:r>
      <w:r w:rsidRPr="00326E55">
        <w:rPr>
          <w:noProof/>
          <w:spacing w:val="-6"/>
          <w:lang w:val="sk-SK"/>
        </w:rPr>
        <w:t>mobilizovaných investíciách.</w:t>
      </w:r>
    </w:p>
    <w:p w14:paraId="059A848C" w14:textId="14C3EAE4" w:rsidR="00326E55" w:rsidRPr="00326E55" w:rsidRDefault="00FB452D">
      <w:pPr>
        <w:pStyle w:val="P68B1DB1-Normal7"/>
        <w:numPr>
          <w:ilvl w:val="0"/>
          <w:numId w:val="91"/>
        </w:numPr>
        <w:spacing w:before="120" w:after="120" w:line="240" w:lineRule="auto"/>
        <w:jc w:val="both"/>
        <w:rPr>
          <w:noProof/>
          <w:spacing w:val="-6"/>
          <w:lang w:val="sk-SK"/>
        </w:rPr>
      </w:pPr>
      <w:r w:rsidRPr="00326E55">
        <w:rPr>
          <w:noProof/>
          <w:spacing w:val="-6"/>
          <w:lang w:val="sk-SK"/>
        </w:rPr>
        <w:t>Opis postupov implementujúceho partnera, ktorými sa zabe</w:t>
      </w:r>
      <w:r w:rsidRPr="00326E55">
        <w:rPr>
          <w:noProof/>
          <w:spacing w:val="-6"/>
          <w:lang w:val="sk-SK"/>
        </w:rPr>
        <w:t>zpečí predchádzanie podvodom, korupcii</w:t>
      </w:r>
      <w:r w:rsidR="00326E55" w:rsidRPr="00326E55">
        <w:rPr>
          <w:noProof/>
          <w:spacing w:val="-6"/>
          <w:lang w:val="sk-SK"/>
        </w:rPr>
        <w:t xml:space="preserve"> a </w:t>
      </w:r>
      <w:r w:rsidRPr="00326E55">
        <w:rPr>
          <w:noProof/>
          <w:spacing w:val="-6"/>
          <w:lang w:val="sk-SK"/>
        </w:rPr>
        <w:t>konfliktom záujmov, ich odhaľovanie</w:t>
      </w:r>
      <w:r w:rsidR="00326E55" w:rsidRPr="00326E55">
        <w:rPr>
          <w:noProof/>
          <w:spacing w:val="-6"/>
          <w:lang w:val="sk-SK"/>
        </w:rPr>
        <w:t xml:space="preserve"> a </w:t>
      </w:r>
      <w:r w:rsidRPr="00326E55">
        <w:rPr>
          <w:noProof/>
          <w:spacing w:val="-6"/>
          <w:lang w:val="sk-SK"/>
        </w:rPr>
        <w:t>náprava</w:t>
      </w:r>
      <w:r w:rsidR="00326E55" w:rsidRPr="00326E55">
        <w:rPr>
          <w:noProof/>
          <w:spacing w:val="-6"/>
          <w:lang w:val="sk-SK"/>
        </w:rPr>
        <w:t>.</w:t>
      </w:r>
    </w:p>
    <w:p w14:paraId="2F36FC7C" w14:textId="5D096080" w:rsidR="00BF03AA" w:rsidRPr="00326E55" w:rsidRDefault="00FB452D">
      <w:pPr>
        <w:pStyle w:val="P68B1DB1-Normal7"/>
        <w:numPr>
          <w:ilvl w:val="0"/>
          <w:numId w:val="91"/>
        </w:numPr>
        <w:spacing w:before="120" w:after="120" w:line="240" w:lineRule="auto"/>
        <w:jc w:val="both"/>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tým, ako sa zaviaže financovať operáciu.</w:t>
      </w:r>
    </w:p>
    <w:bookmarkEnd w:id="20"/>
    <w:p w14:paraId="346525FB" w14:textId="70CF3202" w:rsidR="00326E55" w:rsidRPr="00326E55" w:rsidRDefault="00FB452D">
      <w:pPr>
        <w:pStyle w:val="P68B1DB1-Normal7"/>
        <w:numPr>
          <w:ilvl w:val="0"/>
          <w:numId w:val="91"/>
        </w:numPr>
        <w:spacing w:before="120" w:after="120" w:line="278" w:lineRule="auto"/>
        <w:ind w:left="1077" w:hanging="357"/>
        <w:jc w:val="both"/>
        <w:rPr>
          <w:noProof/>
          <w:spacing w:val="-6"/>
          <w:lang w:val="sk-SK"/>
        </w:rPr>
      </w:pPr>
      <w:r w:rsidRPr="00326E55">
        <w:rPr>
          <w:noProof/>
          <w:spacing w:val="-6"/>
          <w:lang w:val="sk-SK"/>
        </w:rPr>
        <w:t>Povinnosť vykonávať</w:t>
      </w:r>
      <w:r w:rsidRPr="00326E55">
        <w:rPr>
          <w:noProof/>
          <w:spacing w:val="-6"/>
          <w:lang w:val="sk-SK"/>
        </w:rPr>
        <w:t xml:space="preserve"> následné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spoločnosti Invitalia. Týmito auditmi sa overí i) účinnosť systémov kontroly vrátane odhaľovania podvodov, korupcie</w:t>
      </w:r>
      <w:r w:rsidR="00326E55" w:rsidRPr="00326E55">
        <w:rPr>
          <w:noProof/>
          <w:spacing w:val="-6"/>
          <w:lang w:val="sk-SK"/>
        </w:rPr>
        <w:t xml:space="preserve"> a </w:t>
      </w:r>
      <w:r w:rsidRPr="00326E55">
        <w:rPr>
          <w:noProof/>
          <w:spacing w:val="-6"/>
          <w:lang w:val="sk-SK"/>
        </w:rPr>
        <w:t>konfliktu záujmov; II) súlad so zásadou „výrazne nenarušiť“, pravidlami štátn</w:t>
      </w:r>
      <w:r w:rsidRPr="00326E55">
        <w:rPr>
          <w:noProof/>
          <w:spacing w:val="-6"/>
          <w:lang w:val="sk-SK"/>
        </w:rPr>
        <w:t>ej pomoci, požiadavkou digitálneho cieľa;</w:t>
      </w:r>
      <w:r w:rsidR="00326E55" w:rsidRPr="00326E55">
        <w:rPr>
          <w:noProof/>
          <w:spacing w:val="-6"/>
          <w:lang w:val="sk-SK"/>
        </w:rPr>
        <w:t xml:space="preserve"> a </w:t>
      </w:r>
      <w:r w:rsidRPr="00326E55">
        <w:rPr>
          <w:noProof/>
          <w:spacing w:val="-6"/>
          <w:lang w:val="sk-SK"/>
        </w:rPr>
        <w:t>iii) aby sa dodržala požiadavka, aby koneční príjemcovia nástroja nedostali podporu</w:t>
      </w:r>
      <w:r w:rsidR="00326E55" w:rsidRPr="00326E55">
        <w:rPr>
          <w:noProof/>
          <w:spacing w:val="-6"/>
          <w:lang w:val="sk-SK"/>
        </w:rPr>
        <w:t xml:space="preserve"> z </w:t>
      </w:r>
      <w:r w:rsidRPr="00326E55">
        <w:rPr>
          <w:noProof/>
          <w:spacing w:val="-6"/>
          <w:lang w:val="sk-SK"/>
        </w:rPr>
        <w:t>iných nástrojov Únie na pokrytie rovnakých nákladov. Auditom sa takisto overí zákonnosť transakcií</w:t>
      </w:r>
      <w:r w:rsidR="00326E55" w:rsidRPr="00326E55">
        <w:rPr>
          <w:noProof/>
          <w:spacing w:val="-6"/>
          <w:lang w:val="sk-SK"/>
        </w:rPr>
        <w:t xml:space="preserve"> a </w:t>
      </w:r>
      <w:r w:rsidRPr="00326E55">
        <w:rPr>
          <w:noProof/>
          <w:spacing w:val="-6"/>
          <w:lang w:val="sk-SK"/>
        </w:rPr>
        <w:t>dodržiavanie podmienok pr</w:t>
      </w:r>
      <w:r w:rsidRPr="00326E55">
        <w:rPr>
          <w:noProof/>
          <w:spacing w:val="-6"/>
          <w:lang w:val="sk-SK"/>
        </w:rPr>
        <w:t>íslušnej vykonávacej dohody</w:t>
      </w:r>
      <w:r w:rsidR="00326E55" w:rsidRPr="00326E55">
        <w:rPr>
          <w:noProof/>
          <w:spacing w:val="-6"/>
          <w:lang w:val="sk-SK"/>
        </w:rPr>
        <w:t>.</w:t>
      </w:r>
    </w:p>
    <w:p w14:paraId="61CE421F" w14:textId="29F41EF4" w:rsidR="00326E55" w:rsidRPr="00326E55" w:rsidRDefault="00FB452D">
      <w:pPr>
        <w:pStyle w:val="P68B1DB1-Normal7"/>
        <w:spacing w:before="120" w:after="120" w:line="278" w:lineRule="auto"/>
        <w:jc w:val="both"/>
        <w:rPr>
          <w:noProof/>
          <w:spacing w:val="-6"/>
          <w:lang w:val="sk-SK"/>
        </w:rPr>
      </w:pPr>
      <w:r w:rsidRPr="00326E55">
        <w:rPr>
          <w:noProof/>
          <w:spacing w:val="-6"/>
          <w:lang w:val="sk-SK"/>
        </w:rPr>
        <w:t>Požiadavky na digitálne investície realizované implementujúcim partnerom: najmenej 150 000 000 EUR</w:t>
      </w:r>
      <w:r w:rsidR="00326E55" w:rsidRPr="00326E55">
        <w:rPr>
          <w:noProof/>
          <w:spacing w:val="-6"/>
          <w:lang w:val="sk-SK"/>
        </w:rPr>
        <w:t xml:space="preserve"> z </w:t>
      </w:r>
      <w:r w:rsidRPr="00326E55">
        <w:rPr>
          <w:noProof/>
          <w:spacing w:val="-6"/>
          <w:lang w:val="sk-SK"/>
        </w:rPr>
        <w:t>investícií Mechanizmu na podporu obnovy</w:t>
      </w:r>
      <w:r w:rsidR="00326E55" w:rsidRPr="00326E55">
        <w:rPr>
          <w:noProof/>
          <w:spacing w:val="-6"/>
          <w:lang w:val="sk-SK"/>
        </w:rPr>
        <w:t xml:space="preserve"> a </w:t>
      </w:r>
      <w:r w:rsidRPr="00326E55">
        <w:rPr>
          <w:noProof/>
          <w:spacing w:val="-6"/>
          <w:lang w:val="sk-SK"/>
        </w:rPr>
        <w:t>odolnosti do mechanizmu prispeje</w:t>
      </w:r>
      <w:r w:rsidR="00326E55" w:rsidRPr="00326E55">
        <w:rPr>
          <w:noProof/>
          <w:spacing w:val="-6"/>
          <w:lang w:val="sk-SK"/>
        </w:rPr>
        <w:t xml:space="preserve"> k </w:t>
      </w:r>
      <w:r w:rsidRPr="00326E55">
        <w:rPr>
          <w:noProof/>
          <w:spacing w:val="-6"/>
          <w:lang w:val="sk-SK"/>
        </w:rPr>
        <w:t>digitálnej transformácii</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prílohou VII</w:t>
      </w:r>
      <w:r w:rsidR="00326E55" w:rsidRPr="00326E55">
        <w:rPr>
          <w:noProof/>
          <w:spacing w:val="-6"/>
          <w:lang w:val="sk-SK"/>
        </w:rPr>
        <w:t xml:space="preserve"> k </w:t>
      </w:r>
      <w:r w:rsidRPr="00326E55">
        <w:rPr>
          <w:noProof/>
          <w:spacing w:val="-6"/>
          <w:lang w:val="sk-SK"/>
        </w:rPr>
        <w:t>nariadeniu</w:t>
      </w:r>
      <w:r w:rsidR="00326E55" w:rsidRPr="00326E55">
        <w:rPr>
          <w:noProof/>
          <w:spacing w:val="-6"/>
          <w:lang w:val="sk-SK"/>
        </w:rPr>
        <w:t xml:space="preserve"> o </w:t>
      </w:r>
      <w:r w:rsidRPr="00326E55">
        <w:rPr>
          <w:noProof/>
          <w:spacing w:val="-6"/>
          <w:lang w:val="sk-SK"/>
        </w:rPr>
        <w:t>Mechanizme na podporu obnovy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w:t>
      </w:r>
    </w:p>
    <w:p w14:paraId="3DABC33E" w14:textId="276ED42B" w:rsidR="00BF03AA" w:rsidRPr="00326E55" w:rsidRDefault="00BF03AA">
      <w:pPr>
        <w:spacing w:before="120" w:after="120" w:line="240" w:lineRule="auto"/>
        <w:jc w:val="both"/>
        <w:rPr>
          <w:rFonts w:ascii="Times New Roman" w:hAnsi="Times New Roman" w:cs="Times New Roman"/>
          <w:noProof/>
          <w:spacing w:val="-6"/>
          <w:lang w:val="sk-SK"/>
        </w:rPr>
      </w:pPr>
    </w:p>
    <w:p w14:paraId="016DF8E5" w14:textId="77777777" w:rsidR="00BF03AA" w:rsidRPr="00326E55" w:rsidRDefault="00FB452D">
      <w:pPr>
        <w:pStyle w:val="P68B1DB1-Normal101"/>
        <w:spacing w:before="120" w:after="120"/>
        <w:jc w:val="both"/>
        <w:rPr>
          <w:noProof/>
          <w:spacing w:val="-6"/>
          <w:lang w:val="sk-SK"/>
        </w:rPr>
        <w:sectPr w:rsidR="00BF03AA" w:rsidRPr="00326E55" w:rsidSect="005F11B9">
          <w:headerReference w:type="even" r:id="rId224"/>
          <w:headerReference w:type="default" r:id="rId225"/>
          <w:footerReference w:type="even" r:id="rId226"/>
          <w:footerReference w:type="default" r:id="rId227"/>
          <w:headerReference w:type="first" r:id="rId228"/>
          <w:footerReference w:type="first" r:id="rId229"/>
          <w:pgSz w:w="11907" w:h="16839"/>
          <w:pgMar w:top="1134" w:right="1134" w:bottom="1134" w:left="1134" w:header="567" w:footer="567" w:gutter="0"/>
          <w:cols w:space="720"/>
          <w:docGrid w:linePitch="360"/>
        </w:sectPr>
      </w:pPr>
      <w:r w:rsidRPr="00326E55">
        <w:rPr>
          <w:noProof/>
          <w:spacing w:val="-6"/>
          <w:lang w:val="sk-SK"/>
        </w:rPr>
        <w:br w:type="page"/>
      </w:r>
    </w:p>
    <w:p w14:paraId="72F214B9" w14:textId="5EA6543C"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L.4.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 xml:space="preserve">úverom </w:t>
      </w:r>
    </w:p>
    <w:tbl>
      <w:tblPr>
        <w:tblW w:w="15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4"/>
        <w:gridCol w:w="1530"/>
        <w:gridCol w:w="1179"/>
        <w:gridCol w:w="1802"/>
        <w:gridCol w:w="1670"/>
        <w:gridCol w:w="1065"/>
        <w:gridCol w:w="971"/>
        <w:gridCol w:w="1189"/>
        <w:gridCol w:w="979"/>
        <w:gridCol w:w="689"/>
        <w:gridCol w:w="2982"/>
      </w:tblGrid>
      <w:tr w:rsidR="00BF03AA" w:rsidRPr="00326E55" w14:paraId="213F423C" w14:textId="77777777">
        <w:trPr>
          <w:trHeight w:val="701"/>
          <w:tblHeader/>
          <w:jc w:val="center"/>
        </w:trPr>
        <w:tc>
          <w:tcPr>
            <w:tcW w:w="1254" w:type="dxa"/>
            <w:vMerge w:val="restart"/>
            <w:shd w:val="clear" w:color="auto" w:fill="BDD7EE"/>
            <w:vAlign w:val="center"/>
            <w:hideMark/>
          </w:tcPr>
          <w:p w14:paraId="4C11EB81"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Poradové číslo</w:t>
            </w:r>
          </w:p>
        </w:tc>
        <w:tc>
          <w:tcPr>
            <w:tcW w:w="1530" w:type="dxa"/>
            <w:vMerge w:val="restart"/>
            <w:shd w:val="clear" w:color="auto" w:fill="BDD7EE"/>
            <w:vAlign w:val="center"/>
            <w:hideMark/>
          </w:tcPr>
          <w:p w14:paraId="66848143"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 xml:space="preserve">Súvisiace opatrenie </w:t>
            </w:r>
            <w:r w:rsidRPr="00326E55">
              <w:rPr>
                <w:rFonts w:ascii="Times New Roman" w:hAnsi="Times New Roman"/>
                <w:noProof/>
                <w:spacing w:val="-6"/>
                <w:lang w:val="sk-SK"/>
              </w:rPr>
              <w:t>(reforma alebo investícia)</w:t>
            </w:r>
          </w:p>
        </w:tc>
        <w:tc>
          <w:tcPr>
            <w:tcW w:w="1179" w:type="dxa"/>
            <w:vMerge w:val="restart"/>
            <w:shd w:val="clear" w:color="auto" w:fill="BDD7EE"/>
            <w:vAlign w:val="center"/>
            <w:hideMark/>
          </w:tcPr>
          <w:p w14:paraId="045FD989"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Míľnik/cieľ</w:t>
            </w:r>
          </w:p>
        </w:tc>
        <w:tc>
          <w:tcPr>
            <w:tcW w:w="1802" w:type="dxa"/>
            <w:vMerge w:val="restart"/>
            <w:shd w:val="clear" w:color="auto" w:fill="BDD7EE"/>
            <w:vAlign w:val="center"/>
            <w:hideMark/>
          </w:tcPr>
          <w:p w14:paraId="6C290959"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Názov</w:t>
            </w:r>
          </w:p>
        </w:tc>
        <w:tc>
          <w:tcPr>
            <w:tcW w:w="1670" w:type="dxa"/>
            <w:vMerge w:val="restart"/>
            <w:shd w:val="clear" w:color="auto" w:fill="BDD7EE"/>
            <w:vAlign w:val="center"/>
            <w:hideMark/>
          </w:tcPr>
          <w:p w14:paraId="7D589E74" w14:textId="77777777" w:rsidR="00BF03AA" w:rsidRPr="00326E55" w:rsidRDefault="00FB452D">
            <w:pPr>
              <w:jc w:val="center"/>
              <w:rPr>
                <w:rFonts w:ascii="Times New Roman" w:hAnsi="Times New Roman"/>
                <w:b/>
                <w:bCs/>
                <w:noProof/>
                <w:color w:val="000000"/>
                <w:spacing w:val="-6"/>
                <w:sz w:val="20"/>
                <w:szCs w:val="20"/>
                <w:lang w:val="sk-SK"/>
              </w:rPr>
            </w:pPr>
            <w:r w:rsidRPr="00326E55">
              <w:rPr>
                <w:rFonts w:ascii="Times New Roman" w:hAnsi="Times New Roman"/>
                <w:b/>
                <w:noProof/>
                <w:color w:val="000000"/>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color w:val="000000"/>
                <w:spacing w:val="-6"/>
                <w:sz w:val="20"/>
                <w:lang w:val="sk-SK"/>
              </w:rPr>
              <w:t>(pre míľniky)</w:t>
            </w:r>
          </w:p>
        </w:tc>
        <w:tc>
          <w:tcPr>
            <w:tcW w:w="3225" w:type="dxa"/>
            <w:gridSpan w:val="3"/>
            <w:shd w:val="clear" w:color="auto" w:fill="BDD7EE"/>
            <w:vAlign w:val="center"/>
            <w:hideMark/>
          </w:tcPr>
          <w:p w14:paraId="4BC3C38C" w14:textId="77777777" w:rsidR="00BF03AA" w:rsidRPr="00326E55" w:rsidRDefault="00FB452D">
            <w:pPr>
              <w:jc w:val="center"/>
              <w:rPr>
                <w:rFonts w:ascii="Times New Roman" w:hAnsi="Times New Roman"/>
                <w:b/>
                <w:bCs/>
                <w:noProof/>
                <w:color w:val="000000"/>
                <w:spacing w:val="-6"/>
                <w:sz w:val="20"/>
                <w:szCs w:val="20"/>
                <w:lang w:val="sk-SK"/>
              </w:rPr>
            </w:pPr>
            <w:r w:rsidRPr="00326E55">
              <w:rPr>
                <w:rFonts w:ascii="Times New Roman" w:hAnsi="Times New Roman"/>
                <w:b/>
                <w:noProof/>
                <w:color w:val="000000"/>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color w:val="000000"/>
                <w:spacing w:val="-6"/>
                <w:sz w:val="20"/>
                <w:lang w:val="sk-SK"/>
              </w:rPr>
              <w:t>(pre cieľové hodnoty)</w:t>
            </w:r>
          </w:p>
        </w:tc>
        <w:tc>
          <w:tcPr>
            <w:tcW w:w="1668" w:type="dxa"/>
            <w:gridSpan w:val="2"/>
            <w:shd w:val="clear" w:color="auto" w:fill="BDD7EE"/>
            <w:vAlign w:val="center"/>
            <w:hideMark/>
          </w:tcPr>
          <w:p w14:paraId="3031B1FE"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Orientačný harmonogram dokončenia</w:t>
            </w:r>
          </w:p>
        </w:tc>
        <w:tc>
          <w:tcPr>
            <w:tcW w:w="2982" w:type="dxa"/>
            <w:vMerge w:val="restart"/>
            <w:shd w:val="clear" w:color="auto" w:fill="BDD7EE"/>
            <w:vAlign w:val="center"/>
            <w:hideMark/>
          </w:tcPr>
          <w:p w14:paraId="7D8638D5" w14:textId="7B8E4BDF"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46A77538" w14:textId="77777777">
        <w:trPr>
          <w:trHeight w:val="701"/>
          <w:tblHeader/>
          <w:jc w:val="center"/>
        </w:trPr>
        <w:tc>
          <w:tcPr>
            <w:tcW w:w="1254" w:type="dxa"/>
            <w:vMerge/>
            <w:vAlign w:val="center"/>
          </w:tcPr>
          <w:p w14:paraId="12DCBF35" w14:textId="77777777" w:rsidR="00BF03AA" w:rsidRPr="00326E55" w:rsidRDefault="00BF03AA">
            <w:pPr>
              <w:rPr>
                <w:rFonts w:ascii="Times New Roman" w:hAnsi="Times New Roman"/>
                <w:b/>
                <w:bCs/>
                <w:noProof/>
                <w:color w:val="000000"/>
                <w:spacing w:val="-6"/>
                <w:sz w:val="20"/>
                <w:szCs w:val="20"/>
                <w:lang w:val="sk-SK"/>
              </w:rPr>
            </w:pPr>
          </w:p>
        </w:tc>
        <w:tc>
          <w:tcPr>
            <w:tcW w:w="1530" w:type="dxa"/>
            <w:vMerge/>
            <w:vAlign w:val="center"/>
          </w:tcPr>
          <w:p w14:paraId="39A00BB4" w14:textId="77777777" w:rsidR="00BF03AA" w:rsidRPr="00326E55" w:rsidRDefault="00BF03AA">
            <w:pPr>
              <w:rPr>
                <w:rFonts w:ascii="Times New Roman" w:hAnsi="Times New Roman"/>
                <w:b/>
                <w:bCs/>
                <w:noProof/>
                <w:color w:val="000000"/>
                <w:spacing w:val="-6"/>
                <w:sz w:val="20"/>
                <w:szCs w:val="20"/>
                <w:lang w:val="sk-SK"/>
              </w:rPr>
            </w:pPr>
          </w:p>
        </w:tc>
        <w:tc>
          <w:tcPr>
            <w:tcW w:w="1179" w:type="dxa"/>
            <w:vMerge/>
            <w:vAlign w:val="center"/>
          </w:tcPr>
          <w:p w14:paraId="4BEDBBC0" w14:textId="77777777" w:rsidR="00BF03AA" w:rsidRPr="00326E55" w:rsidRDefault="00BF03AA">
            <w:pPr>
              <w:rPr>
                <w:rFonts w:ascii="Times New Roman" w:hAnsi="Times New Roman"/>
                <w:b/>
                <w:bCs/>
                <w:noProof/>
                <w:color w:val="000000"/>
                <w:spacing w:val="-6"/>
                <w:sz w:val="20"/>
                <w:szCs w:val="20"/>
                <w:lang w:val="sk-SK"/>
              </w:rPr>
            </w:pPr>
          </w:p>
        </w:tc>
        <w:tc>
          <w:tcPr>
            <w:tcW w:w="1802" w:type="dxa"/>
            <w:vMerge/>
            <w:vAlign w:val="center"/>
          </w:tcPr>
          <w:p w14:paraId="7A4899E6" w14:textId="77777777" w:rsidR="00BF03AA" w:rsidRPr="00326E55" w:rsidRDefault="00BF03AA">
            <w:pPr>
              <w:rPr>
                <w:rFonts w:ascii="Times New Roman" w:hAnsi="Times New Roman"/>
                <w:b/>
                <w:bCs/>
                <w:noProof/>
                <w:color w:val="000000"/>
                <w:spacing w:val="-6"/>
                <w:sz w:val="20"/>
                <w:szCs w:val="20"/>
                <w:lang w:val="sk-SK"/>
              </w:rPr>
            </w:pPr>
          </w:p>
        </w:tc>
        <w:tc>
          <w:tcPr>
            <w:tcW w:w="1670" w:type="dxa"/>
            <w:vMerge/>
            <w:vAlign w:val="center"/>
          </w:tcPr>
          <w:p w14:paraId="4E451500" w14:textId="77777777" w:rsidR="00BF03AA" w:rsidRPr="00326E55" w:rsidRDefault="00BF03AA">
            <w:pPr>
              <w:jc w:val="center"/>
              <w:rPr>
                <w:rFonts w:ascii="Times New Roman" w:hAnsi="Times New Roman"/>
                <w:b/>
                <w:bCs/>
                <w:noProof/>
                <w:color w:val="000000"/>
                <w:spacing w:val="-6"/>
                <w:sz w:val="20"/>
                <w:szCs w:val="20"/>
                <w:lang w:val="sk-SK"/>
              </w:rPr>
            </w:pPr>
          </w:p>
        </w:tc>
        <w:tc>
          <w:tcPr>
            <w:tcW w:w="1065" w:type="dxa"/>
            <w:shd w:val="clear" w:color="auto" w:fill="BDD7EE"/>
            <w:vAlign w:val="center"/>
          </w:tcPr>
          <w:p w14:paraId="4B4371FF"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Merná jednotka</w:t>
            </w:r>
          </w:p>
        </w:tc>
        <w:tc>
          <w:tcPr>
            <w:tcW w:w="971" w:type="dxa"/>
            <w:shd w:val="clear" w:color="auto" w:fill="BDD7EE"/>
            <w:vAlign w:val="center"/>
          </w:tcPr>
          <w:p w14:paraId="75792B09"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Základná</w:t>
            </w:r>
          </w:p>
        </w:tc>
        <w:tc>
          <w:tcPr>
            <w:tcW w:w="1189" w:type="dxa"/>
            <w:shd w:val="clear" w:color="auto" w:fill="BDD7EE"/>
            <w:vAlign w:val="center"/>
          </w:tcPr>
          <w:p w14:paraId="4474EB96"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Cieľ</w:t>
            </w:r>
          </w:p>
        </w:tc>
        <w:tc>
          <w:tcPr>
            <w:tcW w:w="979" w:type="dxa"/>
            <w:shd w:val="clear" w:color="auto" w:fill="BDD7EE"/>
            <w:vAlign w:val="center"/>
          </w:tcPr>
          <w:p w14:paraId="547EA1F2"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Štvrtina</w:t>
            </w:r>
          </w:p>
        </w:tc>
        <w:tc>
          <w:tcPr>
            <w:tcW w:w="689" w:type="dxa"/>
            <w:shd w:val="clear" w:color="auto" w:fill="BDD7EE"/>
            <w:vAlign w:val="center"/>
          </w:tcPr>
          <w:p w14:paraId="1917B38F" w14:textId="77777777" w:rsidR="00BF03AA" w:rsidRPr="00326E55" w:rsidRDefault="00FB452D">
            <w:pPr>
              <w:pStyle w:val="P68B1DB1-Normal102"/>
              <w:jc w:val="center"/>
              <w:rPr>
                <w:rFonts w:ascii="Times New Roman" w:hAnsi="Times New Roman"/>
                <w:bCs/>
                <w:noProof/>
                <w:spacing w:val="-6"/>
                <w:szCs w:val="20"/>
                <w:lang w:val="sk-SK"/>
              </w:rPr>
            </w:pPr>
            <w:r w:rsidRPr="00326E55">
              <w:rPr>
                <w:rFonts w:ascii="Times New Roman" w:hAnsi="Times New Roman"/>
                <w:noProof/>
                <w:spacing w:val="-6"/>
                <w:lang w:val="sk-SK"/>
              </w:rPr>
              <w:t>Rok</w:t>
            </w:r>
          </w:p>
        </w:tc>
        <w:tc>
          <w:tcPr>
            <w:tcW w:w="2982" w:type="dxa"/>
            <w:vMerge/>
            <w:vAlign w:val="center"/>
          </w:tcPr>
          <w:p w14:paraId="3D5024FB" w14:textId="77777777" w:rsidR="00BF03AA" w:rsidRPr="00326E55" w:rsidRDefault="00BF03AA">
            <w:pPr>
              <w:rPr>
                <w:rFonts w:ascii="Times New Roman" w:hAnsi="Times New Roman"/>
                <w:b/>
                <w:bCs/>
                <w:noProof/>
                <w:color w:val="000000"/>
                <w:spacing w:val="-6"/>
                <w:sz w:val="20"/>
                <w:szCs w:val="20"/>
                <w:lang w:val="sk-SK"/>
              </w:rPr>
            </w:pPr>
          </w:p>
        </w:tc>
      </w:tr>
      <w:tr w:rsidR="00BF03AA" w:rsidRPr="00326E55" w14:paraId="0D3A634E" w14:textId="77777777">
        <w:trPr>
          <w:trHeight w:val="1965"/>
          <w:jc w:val="center"/>
        </w:trPr>
        <w:tc>
          <w:tcPr>
            <w:tcW w:w="1254" w:type="dxa"/>
            <w:shd w:val="clear" w:color="auto" w:fill="C6EFCE"/>
            <w:vAlign w:val="center"/>
            <w:hideMark/>
          </w:tcPr>
          <w:p w14:paraId="2148BC7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M5C1 – 17</w:t>
            </w:r>
          </w:p>
        </w:tc>
        <w:tc>
          <w:tcPr>
            <w:tcW w:w="1530" w:type="dxa"/>
            <w:shd w:val="clear" w:color="auto" w:fill="C6EFCE"/>
            <w:vAlign w:val="center"/>
            <w:hideMark/>
          </w:tcPr>
          <w:p w14:paraId="7E73C46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 – Zakladanie podnikov žien</w:t>
            </w:r>
          </w:p>
        </w:tc>
        <w:tc>
          <w:tcPr>
            <w:tcW w:w="1179" w:type="dxa"/>
            <w:shd w:val="clear" w:color="auto" w:fill="C6EFCE"/>
            <w:vAlign w:val="center"/>
            <w:hideMark/>
          </w:tcPr>
          <w:p w14:paraId="3A4277B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802" w:type="dxa"/>
            <w:shd w:val="clear" w:color="auto" w:fill="C6EFCE"/>
            <w:vAlign w:val="center"/>
            <w:hideMark/>
          </w:tcPr>
          <w:p w14:paraId="22F7684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Bol prijatý fond na podporu podnikania žien</w:t>
            </w:r>
          </w:p>
        </w:tc>
        <w:tc>
          <w:tcPr>
            <w:tcW w:w="1670" w:type="dxa"/>
            <w:shd w:val="clear" w:color="auto" w:fill="C6EFCE"/>
            <w:vAlign w:val="center"/>
            <w:hideMark/>
          </w:tcPr>
          <w:p w14:paraId="0868E3A9" w14:textId="0F437F6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Ministerská vyhláška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zriadení „Fondo Impresa Donna“ sa schvaľuje.</w:t>
            </w:r>
          </w:p>
        </w:tc>
        <w:tc>
          <w:tcPr>
            <w:tcW w:w="1065" w:type="dxa"/>
            <w:shd w:val="clear" w:color="auto" w:fill="C6EFCE"/>
            <w:vAlign w:val="center"/>
            <w:hideMark/>
          </w:tcPr>
          <w:p w14:paraId="3AF278C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1" w:type="dxa"/>
            <w:shd w:val="clear" w:color="auto" w:fill="C6EFCE"/>
            <w:vAlign w:val="center"/>
            <w:hideMark/>
          </w:tcPr>
          <w:p w14:paraId="03102E7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89" w:type="dxa"/>
            <w:shd w:val="clear" w:color="auto" w:fill="C6EFCE"/>
            <w:vAlign w:val="center"/>
            <w:hideMark/>
          </w:tcPr>
          <w:p w14:paraId="1ED3E36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9" w:type="dxa"/>
            <w:shd w:val="clear" w:color="auto" w:fill="C6EFCE"/>
            <w:vAlign w:val="center"/>
            <w:hideMark/>
          </w:tcPr>
          <w:p w14:paraId="41C79B2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689" w:type="dxa"/>
            <w:shd w:val="clear" w:color="auto" w:fill="C6EFCE"/>
            <w:vAlign w:val="center"/>
            <w:hideMark/>
          </w:tcPr>
          <w:p w14:paraId="2198ACA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2982" w:type="dxa"/>
            <w:shd w:val="clear" w:color="auto" w:fill="C6EFCE"/>
            <w:vAlign w:val="center"/>
            <w:hideMark/>
          </w:tcPr>
          <w:p w14:paraId="7924F31C" w14:textId="6B5BA58D" w:rsidR="00BF03AA" w:rsidRPr="00326E55" w:rsidRDefault="00FB452D">
            <w:pPr>
              <w:pStyle w:val="P68B1DB1-Normal11"/>
              <w:rPr>
                <w:rFonts w:ascii="Times New Roman" w:hAnsi="Times New Roman"/>
                <w:noProof/>
                <w:spacing w:val="-6"/>
                <w:sz w:val="16"/>
                <w:szCs w:val="16"/>
                <w:lang w:val="sk-SK"/>
              </w:rPr>
            </w:pPr>
            <w:r w:rsidRPr="00326E55">
              <w:rPr>
                <w:rFonts w:ascii="Times New Roman" w:hAnsi="Times New Roman"/>
                <w:noProof/>
                <w:spacing w:val="-6"/>
                <w:lang w:val="sk-SK"/>
              </w:rPr>
              <w:t xml:space="preserve">Fond na podporu podnikania žien sa prijíma </w:t>
            </w:r>
            <w:r w:rsidRPr="00326E55">
              <w:rPr>
                <w:rFonts w:ascii="Times New Roman" w:hAnsi="Times New Roman"/>
                <w:noProof/>
                <w:spacing w:val="-6"/>
                <w:lang w:val="sk-SK"/>
              </w:rPr>
              <w:t>prostredníctvom ministerskej vyhlášky,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sa stanoví súbor kritérií oprávnenosti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vrátane zásady „výrazne nenarušiť“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podpisu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operačných dohôd</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finančným </w:t>
            </w:r>
            <w:r w:rsidRPr="00326E55">
              <w:rPr>
                <w:rFonts w:ascii="Times New Roman" w:hAnsi="Times New Roman"/>
                <w:noProof/>
                <w:spacing w:val="-6"/>
                <w:lang w:val="sk-SK"/>
              </w:rPr>
              <w:t>sprostredkovateľom (finančnými sprostredkovateľmi).</w:t>
            </w:r>
          </w:p>
          <w:p w14:paraId="198F74F5" w14:textId="13D5EC74" w:rsidR="00BF03AA" w:rsidRPr="00326E55" w:rsidRDefault="00FB452D">
            <w:pPr>
              <w:pStyle w:val="P68B1DB1-Normal11"/>
              <w:spacing w:after="0" w:line="240" w:lineRule="auto"/>
              <w:rPr>
                <w:rFonts w:ascii="Times New Roman" w:hAnsi="Times New Roman"/>
                <w:noProof/>
                <w:spacing w:val="-6"/>
                <w:lang w:val="sk-SK"/>
              </w:rPr>
            </w:pPr>
            <w:r w:rsidRPr="00326E55">
              <w:rPr>
                <w:rFonts w:ascii="Times New Roman" w:hAnsi="Times New Roman"/>
                <w:noProof/>
                <w:spacing w:val="-6"/>
                <w:lang w:val="sk-SK"/>
              </w:rPr>
              <w:t>Tieto fondy tvoria „Fondo Impresa Donna“, ktorým sa vykonáva osobitné opatrenie určené na podporu podnikania žien. Na vykonávacích opatreniach sa vopred dohodne ministerstvo hospodárskeho rozvoja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oddele</w:t>
            </w:r>
            <w:r w:rsidRPr="00326E55">
              <w:rPr>
                <w:rFonts w:ascii="Times New Roman" w:hAnsi="Times New Roman"/>
                <w:noProof/>
                <w:spacing w:val="-6"/>
                <w:lang w:val="sk-SK"/>
              </w:rPr>
              <w:t>nie pre rovnosť príležitostí, ktorých cieľom je:</w:t>
            </w:r>
          </w:p>
          <w:p w14:paraId="21051094" w14:textId="77777777" w:rsidR="00BF03AA" w:rsidRPr="00326E55" w:rsidRDefault="00BF03AA">
            <w:pPr>
              <w:spacing w:after="0" w:line="240" w:lineRule="auto"/>
              <w:rPr>
                <w:rFonts w:ascii="Times New Roman" w:hAnsi="Times New Roman"/>
                <w:noProof/>
                <w:color w:val="006100"/>
                <w:spacing w:val="-6"/>
                <w:sz w:val="16"/>
                <w:szCs w:val="16"/>
                <w:lang w:val="sk-SK"/>
              </w:rPr>
            </w:pPr>
          </w:p>
          <w:p w14:paraId="2F86912E" w14:textId="77777777" w:rsidR="00BF03AA" w:rsidRPr="00326E55" w:rsidRDefault="00FB452D">
            <w:pPr>
              <w:pStyle w:val="P68B1DB1-Normal11"/>
              <w:spacing w:after="0" w:line="240" w:lineRule="auto"/>
              <w:rPr>
                <w:rFonts w:ascii="Times New Roman" w:hAnsi="Times New Roman"/>
                <w:noProof/>
                <w:spacing w:val="-6"/>
                <w:lang w:val="sk-SK"/>
              </w:rPr>
            </w:pPr>
            <w:r w:rsidRPr="00326E55">
              <w:rPr>
                <w:rFonts w:ascii="Times New Roman" w:hAnsi="Times New Roman"/>
                <w:noProof/>
                <w:spacing w:val="-6"/>
                <w:lang w:val="sk-SK"/>
              </w:rPr>
              <w:t xml:space="preserve">— posilnenie existujúcich opatrení, ktoré už riadia interné orgány ministerstva hospodárskeho rozvoja (ako napríklad NITO-ON, Smart &amp; Start) prostredníctvom kapitálovej injekcie, ktorá je vyhradená len pre </w:t>
            </w:r>
            <w:r w:rsidRPr="00326E55">
              <w:rPr>
                <w:rFonts w:ascii="Times New Roman" w:hAnsi="Times New Roman"/>
                <w:noProof/>
                <w:spacing w:val="-6"/>
                <w:lang w:val="sk-SK"/>
              </w:rPr>
              <w:t>podniky žien,</w:t>
            </w:r>
          </w:p>
          <w:p w14:paraId="417DC054" w14:textId="77777777" w:rsidR="00BF03AA" w:rsidRPr="00326E55" w:rsidRDefault="00BF03AA">
            <w:pPr>
              <w:spacing w:after="0" w:line="240" w:lineRule="auto"/>
              <w:rPr>
                <w:rFonts w:ascii="Times New Roman" w:hAnsi="Times New Roman"/>
                <w:noProof/>
                <w:color w:val="006100"/>
                <w:spacing w:val="-6"/>
                <w:sz w:val="16"/>
                <w:szCs w:val="16"/>
                <w:lang w:val="sk-SK"/>
              </w:rPr>
            </w:pPr>
          </w:p>
          <w:p w14:paraId="587C51B3" w14:textId="55F6F364" w:rsidR="00BF03AA" w:rsidRPr="00326E55" w:rsidRDefault="00FB452D">
            <w:pPr>
              <w:pStyle w:val="P68B1DB1-Normal11"/>
              <w:spacing w:after="0"/>
              <w:rPr>
                <w:rFonts w:ascii="Times New Roman" w:hAnsi="Times New Roman"/>
                <w:noProof/>
                <w:spacing w:val="-6"/>
                <w:sz w:val="16"/>
                <w:szCs w:val="16"/>
                <w:lang w:val="sk-SK"/>
              </w:rPr>
            </w:pPr>
            <w:r w:rsidRPr="00326E55">
              <w:rPr>
                <w:rFonts w:ascii="Times New Roman" w:hAnsi="Times New Roman"/>
                <w:noProof/>
                <w:spacing w:val="-6"/>
                <w:lang w:val="sk-SK"/>
              </w:rPr>
              <w:t>— stanovenie navýšenia Fondu pre podnikanie žien zriadeného zákonom</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rozpočte na rok 2021 (od 3. štvrťroka 2022);</w:t>
            </w:r>
          </w:p>
          <w:p w14:paraId="34571E83" w14:textId="1AD44F1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navrhovanie sprievodných opatrení, monitorovacie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komunikačné kampane. Oddelenie PCM pre rovnaké príležitosti realizuje via</w:t>
            </w:r>
            <w:r w:rsidRPr="00326E55">
              <w:rPr>
                <w:rFonts w:ascii="Times New Roman" w:hAnsi="Times New Roman"/>
                <w:noProof/>
                <w:spacing w:val="-6"/>
                <w:lang w:val="sk-SK"/>
              </w:rPr>
              <w:t>cročnú informačnú kampaň na podporu podnikania žien, profesijné poradenstvo pre ženy každého veku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študentky na univerzitách zamerané na predmety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povolania,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sú ženy nedostatočne zastúpené,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vytvorenie komunikačnej platformy.</w:t>
            </w:r>
          </w:p>
        </w:tc>
      </w:tr>
      <w:tr w:rsidR="00BF03AA" w:rsidRPr="00326E55" w14:paraId="79E9B2E6" w14:textId="77777777">
        <w:trPr>
          <w:trHeight w:val="561"/>
          <w:jc w:val="center"/>
        </w:trPr>
        <w:tc>
          <w:tcPr>
            <w:tcW w:w="1254" w:type="dxa"/>
            <w:shd w:val="clear" w:color="auto" w:fill="C6EFCE"/>
            <w:vAlign w:val="center"/>
            <w:hideMark/>
          </w:tcPr>
          <w:p w14:paraId="1400676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M5C1 – 18</w:t>
            </w:r>
          </w:p>
        </w:tc>
        <w:tc>
          <w:tcPr>
            <w:tcW w:w="1530" w:type="dxa"/>
            <w:shd w:val="clear" w:color="auto" w:fill="C6EFCE"/>
            <w:vAlign w:val="center"/>
            <w:hideMark/>
          </w:tcPr>
          <w:p w14:paraId="6E8B998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 – Zakladanie podnikov žien</w:t>
            </w:r>
          </w:p>
        </w:tc>
        <w:tc>
          <w:tcPr>
            <w:tcW w:w="1179" w:type="dxa"/>
            <w:shd w:val="clear" w:color="auto" w:fill="C6EFCE"/>
            <w:vAlign w:val="center"/>
            <w:hideMark/>
          </w:tcPr>
          <w:p w14:paraId="7C8CE7D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802" w:type="dxa"/>
            <w:shd w:val="clear" w:color="auto" w:fill="C6EFCE"/>
            <w:vAlign w:val="center"/>
            <w:hideMark/>
          </w:tcPr>
          <w:p w14:paraId="44A623C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 Podnikom bola vyčlenená finančná podpora </w:t>
            </w:r>
          </w:p>
        </w:tc>
        <w:tc>
          <w:tcPr>
            <w:tcW w:w="1670" w:type="dxa"/>
            <w:shd w:val="clear" w:color="auto" w:fill="C6EFCE"/>
            <w:vAlign w:val="center"/>
            <w:hideMark/>
          </w:tcPr>
          <w:p w14:paraId="34B8587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65" w:type="dxa"/>
            <w:shd w:val="clear" w:color="auto" w:fill="C6EFCE"/>
            <w:vAlign w:val="center"/>
            <w:hideMark/>
          </w:tcPr>
          <w:p w14:paraId="1F25F99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71" w:type="dxa"/>
            <w:shd w:val="clear" w:color="auto" w:fill="C6EFCE"/>
            <w:vAlign w:val="center"/>
            <w:hideMark/>
          </w:tcPr>
          <w:p w14:paraId="0EE5BA9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189" w:type="dxa"/>
            <w:shd w:val="clear" w:color="auto" w:fill="C6EFCE"/>
            <w:vAlign w:val="center"/>
            <w:hideMark/>
          </w:tcPr>
          <w:p w14:paraId="1E34732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700</w:t>
            </w:r>
          </w:p>
        </w:tc>
        <w:tc>
          <w:tcPr>
            <w:tcW w:w="979" w:type="dxa"/>
            <w:shd w:val="clear" w:color="auto" w:fill="C6EFCE"/>
            <w:vAlign w:val="center"/>
            <w:hideMark/>
          </w:tcPr>
          <w:p w14:paraId="5D31498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689" w:type="dxa"/>
            <w:shd w:val="clear" w:color="auto" w:fill="C6EFCE"/>
            <w:vAlign w:val="center"/>
            <w:hideMark/>
          </w:tcPr>
          <w:p w14:paraId="46DF5F2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2982" w:type="dxa"/>
            <w:shd w:val="clear" w:color="auto" w:fill="C6EFCE"/>
            <w:vAlign w:val="center"/>
            <w:hideMark/>
          </w:tcPr>
          <w:p w14:paraId="19A5E85B" w14:textId="6E0EFB33"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Finančná podpora bola vyčlenená najmenej 700 ďalším podnikom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porovnaní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východiskovou hodnotou</w:t>
            </w:r>
            <w:r w:rsidR="00326E55" w:rsidRPr="00326E55">
              <w:rPr>
                <w:rFonts w:ascii="Times New Roman" w:hAnsi="Times New Roman"/>
                <w:noProof/>
                <w:spacing w:val="-6"/>
                <w:lang w:val="sk-SK"/>
              </w:rPr>
              <w:t>.</w:t>
            </w:r>
          </w:p>
          <w:p w14:paraId="3E0C5370" w14:textId="753C693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Podpora podnikania žien sa </w:t>
            </w:r>
            <w:r w:rsidRPr="00326E55">
              <w:rPr>
                <w:rFonts w:ascii="Times New Roman" w:hAnsi="Times New Roman"/>
                <w:noProof/>
                <w:spacing w:val="-6"/>
                <w:lang w:val="sk-SK"/>
              </w:rPr>
              <w:t>realizuje prostredníctvom už aktívnych nástrojov (NITO-ON, Smart &amp; Start)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nového fondu zriadeného zákonom</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rozpočte na rok 2021 (podniky žien podporované do novembra 2020 prostredníctvom existujúcich finančných nástrojov ako základ).</w:t>
            </w:r>
          </w:p>
        </w:tc>
      </w:tr>
      <w:tr w:rsidR="00BF03AA" w:rsidRPr="00326E55" w14:paraId="6BFA605C" w14:textId="77777777">
        <w:trPr>
          <w:trHeight w:val="703"/>
          <w:jc w:val="center"/>
        </w:trPr>
        <w:tc>
          <w:tcPr>
            <w:tcW w:w="1254" w:type="dxa"/>
            <w:shd w:val="clear" w:color="auto" w:fill="C6EFCE"/>
            <w:vAlign w:val="center"/>
            <w:hideMark/>
          </w:tcPr>
          <w:p w14:paraId="15810FC7"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M5C1 – 19bis</w:t>
            </w:r>
          </w:p>
        </w:tc>
        <w:tc>
          <w:tcPr>
            <w:tcW w:w="1530" w:type="dxa"/>
            <w:shd w:val="clear" w:color="auto" w:fill="C6EFCE"/>
            <w:vAlign w:val="center"/>
            <w:hideMark/>
          </w:tcPr>
          <w:p w14:paraId="1347004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 – Zakladanie podnikov žien</w:t>
            </w:r>
          </w:p>
        </w:tc>
        <w:tc>
          <w:tcPr>
            <w:tcW w:w="1179" w:type="dxa"/>
            <w:shd w:val="clear" w:color="auto" w:fill="C6EFCE"/>
            <w:vAlign w:val="center"/>
            <w:hideMark/>
          </w:tcPr>
          <w:p w14:paraId="25E1E24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802" w:type="dxa"/>
            <w:shd w:val="clear" w:color="auto" w:fill="C6EFCE"/>
            <w:vAlign w:val="center"/>
            <w:hideMark/>
          </w:tcPr>
          <w:p w14:paraId="65B3AD9D" w14:textId="44CB384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Vykonávacia dohoda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prevod do Invitalie</w:t>
            </w:r>
          </w:p>
        </w:tc>
        <w:tc>
          <w:tcPr>
            <w:tcW w:w="1670" w:type="dxa"/>
            <w:shd w:val="clear" w:color="auto" w:fill="C6EFCE"/>
            <w:vAlign w:val="center"/>
            <w:hideMark/>
          </w:tcPr>
          <w:p w14:paraId="391853BA" w14:textId="3D6B5B5A" w:rsidR="00BF03AA" w:rsidRPr="00326E55" w:rsidRDefault="00FB452D">
            <w:pPr>
              <w:jc w:val="center"/>
              <w:rPr>
                <w:rFonts w:ascii="Times New Roman" w:hAnsi="Times New Roman"/>
                <w:noProof/>
                <w:color w:val="006100"/>
                <w:spacing w:val="-6"/>
                <w:sz w:val="20"/>
                <w:szCs w:val="20"/>
                <w:lang w:val="sk-SK"/>
              </w:rPr>
            </w:pPr>
            <w:r w:rsidRPr="00326E55">
              <w:rPr>
                <w:rFonts w:ascii="Times New Roman" w:eastAsia="Times New Roman" w:hAnsi="Times New Roman" w:cs="Times New Roman"/>
                <w:noProof/>
                <w:spacing w:val="-6"/>
                <w:sz w:val="18"/>
                <w:szCs w:val="18"/>
                <w:lang w:val="sk-SK"/>
              </w:rPr>
              <w:t xml:space="preserve"> </w:t>
            </w:r>
            <w:r w:rsidRPr="00326E55">
              <w:rPr>
                <w:rFonts w:ascii="Times New Roman" w:hAnsi="Times New Roman"/>
                <w:noProof/>
                <w:color w:val="006100"/>
                <w:spacing w:val="-6"/>
                <w:sz w:val="20"/>
                <w:lang w:val="sk-SK"/>
              </w:rPr>
              <w:t>Nadobudnutie platnosti vykonávacej dohody</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osvedčenia</w:t>
            </w:r>
            <w:r w:rsidR="00326E55" w:rsidRPr="00326E55">
              <w:rPr>
                <w:rFonts w:ascii="Times New Roman" w:hAnsi="Times New Roman"/>
                <w:noProof/>
                <w:color w:val="006100"/>
                <w:spacing w:val="-6"/>
                <w:sz w:val="20"/>
                <w:lang w:val="sk-SK"/>
              </w:rPr>
              <w:t xml:space="preserve"> o </w:t>
            </w:r>
            <w:r w:rsidRPr="00326E55">
              <w:rPr>
                <w:rFonts w:ascii="Times New Roman" w:hAnsi="Times New Roman"/>
                <w:noProof/>
                <w:color w:val="006100"/>
                <w:spacing w:val="-6"/>
                <w:sz w:val="20"/>
                <w:lang w:val="sk-SK"/>
              </w:rPr>
              <w:t>prevode</w:t>
            </w:r>
          </w:p>
        </w:tc>
        <w:tc>
          <w:tcPr>
            <w:tcW w:w="1065" w:type="dxa"/>
            <w:shd w:val="clear" w:color="auto" w:fill="C6EFCE"/>
            <w:vAlign w:val="center"/>
            <w:hideMark/>
          </w:tcPr>
          <w:p w14:paraId="7550CB6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1" w:type="dxa"/>
            <w:shd w:val="clear" w:color="auto" w:fill="C6EFCE"/>
            <w:vAlign w:val="center"/>
            <w:hideMark/>
          </w:tcPr>
          <w:p w14:paraId="3799120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89" w:type="dxa"/>
            <w:shd w:val="clear" w:color="auto" w:fill="C6EFCE"/>
            <w:vAlign w:val="center"/>
            <w:hideMark/>
          </w:tcPr>
          <w:p w14:paraId="0655731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79" w:type="dxa"/>
            <w:shd w:val="clear" w:color="auto" w:fill="C6EFCE"/>
            <w:vAlign w:val="center"/>
            <w:hideMark/>
          </w:tcPr>
          <w:p w14:paraId="172CAC9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689" w:type="dxa"/>
            <w:shd w:val="clear" w:color="auto" w:fill="C6EFCE"/>
            <w:vAlign w:val="center"/>
            <w:hideMark/>
          </w:tcPr>
          <w:p w14:paraId="27E707E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982" w:type="dxa"/>
            <w:shd w:val="clear" w:color="auto" w:fill="C6EFCE"/>
            <w:vAlign w:val="center"/>
            <w:hideMark/>
          </w:tcPr>
          <w:p w14:paraId="652644D0"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p w14:paraId="082AC5FE" w14:textId="7E9D6A91"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Taliansko prevedie 400 000 000 EUR do nástroja Invitalia. </w:t>
            </w:r>
          </w:p>
        </w:tc>
      </w:tr>
      <w:tr w:rsidR="00BF03AA" w:rsidRPr="00326E55" w14:paraId="479147BD" w14:textId="77777777">
        <w:trPr>
          <w:trHeight w:val="703"/>
          <w:jc w:val="center"/>
        </w:trPr>
        <w:tc>
          <w:tcPr>
            <w:tcW w:w="1254" w:type="dxa"/>
            <w:shd w:val="clear" w:color="auto" w:fill="C6EFCE"/>
            <w:vAlign w:val="center"/>
          </w:tcPr>
          <w:p w14:paraId="7F4FA75F"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M5C1 – 20</w:t>
            </w:r>
          </w:p>
        </w:tc>
        <w:tc>
          <w:tcPr>
            <w:tcW w:w="1530" w:type="dxa"/>
            <w:shd w:val="clear" w:color="auto" w:fill="C6EFCE"/>
            <w:vAlign w:val="center"/>
          </w:tcPr>
          <w:p w14:paraId="2DD4F4C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5 – Zakladanie podnikov žien</w:t>
            </w:r>
          </w:p>
        </w:tc>
        <w:tc>
          <w:tcPr>
            <w:tcW w:w="1179" w:type="dxa"/>
            <w:shd w:val="clear" w:color="auto" w:fill="C6EFCE"/>
            <w:vAlign w:val="center"/>
          </w:tcPr>
          <w:p w14:paraId="5DBE52B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802" w:type="dxa"/>
            <w:shd w:val="clear" w:color="auto" w:fill="C6EFCE"/>
            <w:vAlign w:val="center"/>
          </w:tcPr>
          <w:p w14:paraId="69786F67" w14:textId="37FF06F5"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p>
        </w:tc>
        <w:tc>
          <w:tcPr>
            <w:tcW w:w="1670" w:type="dxa"/>
            <w:shd w:val="clear" w:color="auto" w:fill="C6EFCE"/>
            <w:vAlign w:val="center"/>
          </w:tcPr>
          <w:p w14:paraId="4C56A75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65" w:type="dxa"/>
            <w:tcBorders>
              <w:top w:val="single" w:sz="6" w:space="0" w:color="auto"/>
              <w:left w:val="single" w:sz="6" w:space="0" w:color="auto"/>
              <w:bottom w:val="single" w:sz="6" w:space="0" w:color="auto"/>
              <w:right w:val="single" w:sz="6" w:space="0" w:color="auto"/>
            </w:tcBorders>
            <w:shd w:val="clear" w:color="auto" w:fill="C6EFCE"/>
            <w:vAlign w:val="center"/>
          </w:tcPr>
          <w:p w14:paraId="335ECE8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Percentuálny podiel (%)</w:t>
            </w:r>
          </w:p>
        </w:tc>
        <w:tc>
          <w:tcPr>
            <w:tcW w:w="971" w:type="dxa"/>
            <w:tcBorders>
              <w:top w:val="single" w:sz="6" w:space="0" w:color="auto"/>
              <w:left w:val="single" w:sz="6" w:space="0" w:color="auto"/>
              <w:bottom w:val="single" w:sz="6" w:space="0" w:color="auto"/>
              <w:right w:val="single" w:sz="6" w:space="0" w:color="auto"/>
            </w:tcBorders>
            <w:shd w:val="clear" w:color="auto" w:fill="C6EFCE"/>
            <w:vAlign w:val="center"/>
          </w:tcPr>
          <w:p w14:paraId="57252E83"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1189" w:type="dxa"/>
            <w:tcBorders>
              <w:top w:val="single" w:sz="6" w:space="0" w:color="auto"/>
              <w:left w:val="single" w:sz="6" w:space="0" w:color="auto"/>
              <w:bottom w:val="single" w:sz="6" w:space="0" w:color="auto"/>
              <w:right w:val="single" w:sz="6" w:space="0" w:color="auto"/>
            </w:tcBorders>
            <w:shd w:val="clear" w:color="auto" w:fill="C6EFCE"/>
            <w:vAlign w:val="center"/>
          </w:tcPr>
          <w:p w14:paraId="487636E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100</w:t>
            </w:r>
          </w:p>
        </w:tc>
        <w:tc>
          <w:tcPr>
            <w:tcW w:w="979" w:type="dxa"/>
            <w:tcBorders>
              <w:top w:val="single" w:sz="6" w:space="0" w:color="auto"/>
              <w:left w:val="single" w:sz="6" w:space="0" w:color="auto"/>
              <w:bottom w:val="single" w:sz="6" w:space="0" w:color="auto"/>
              <w:right w:val="single" w:sz="6" w:space="0" w:color="auto"/>
            </w:tcBorders>
            <w:shd w:val="clear" w:color="auto" w:fill="C6EFCE"/>
            <w:vAlign w:val="center"/>
          </w:tcPr>
          <w:p w14:paraId="7A24F13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689" w:type="dxa"/>
            <w:tcBorders>
              <w:top w:val="single" w:sz="6" w:space="0" w:color="auto"/>
              <w:left w:val="single" w:sz="6" w:space="0" w:color="auto"/>
              <w:bottom w:val="single" w:sz="6" w:space="0" w:color="auto"/>
              <w:right w:val="single" w:sz="6" w:space="0" w:color="auto"/>
            </w:tcBorders>
            <w:shd w:val="clear" w:color="auto" w:fill="C6EFCE"/>
            <w:vAlign w:val="center"/>
          </w:tcPr>
          <w:p w14:paraId="7645C44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982" w:type="dxa"/>
            <w:shd w:val="clear" w:color="auto" w:fill="C6EFCE"/>
            <w:vAlign w:val="center"/>
          </w:tcPr>
          <w:p w14:paraId="15690F47" w14:textId="40799EAA"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Invitalia musí</w:t>
            </w:r>
            <w:r w:rsidRPr="00326E55">
              <w:rPr>
                <w:rFonts w:ascii="Times New Roman" w:hAnsi="Times New Roman"/>
                <w:noProof/>
                <w:spacing w:val="-6"/>
                <w:lang w:val="sk-SK"/>
              </w:rPr>
              <w:t xml:space="preserve">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na sumu 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do mechanizmu (s prihliadnutím na správu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poplatky za komunikačné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vzdelávacie služby)</w:t>
            </w:r>
            <w:r w:rsidR="00326E55" w:rsidRPr="00326E55">
              <w:rPr>
                <w:rFonts w:ascii="Times New Roman" w:hAnsi="Times New Roman"/>
                <w:noProof/>
                <w:spacing w:val="-6"/>
                <w:lang w:val="sk-SK"/>
              </w:rPr>
              <w:t>.</w:t>
            </w:r>
          </w:p>
          <w:p w14:paraId="6F591541" w14:textId="7384F440"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Aspoň 40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tohto f</w:t>
            </w:r>
            <w:r w:rsidRPr="00326E55">
              <w:rPr>
                <w:rFonts w:ascii="Times New Roman" w:hAnsi="Times New Roman"/>
                <w:noProof/>
                <w:spacing w:val="-6"/>
                <w:lang w:val="sk-SK"/>
              </w:rPr>
              <w:t>inancovania prispeje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digitálnym cieľom pomocou metodiky uvedenej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VII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odolnosti. </w:t>
            </w:r>
          </w:p>
        </w:tc>
      </w:tr>
    </w:tbl>
    <w:p w14:paraId="2B79F182" w14:textId="77777777" w:rsidR="00BF03AA" w:rsidRPr="00326E55" w:rsidRDefault="00BF03AA">
      <w:pPr>
        <w:rPr>
          <w:rFonts w:ascii="Times New Roman" w:hAnsi="Times New Roman"/>
          <w:noProof/>
          <w:spacing w:val="-6"/>
          <w:lang w:val="sk-SK"/>
        </w:rPr>
      </w:pPr>
    </w:p>
    <w:p w14:paraId="0032C586" w14:textId="77777777" w:rsidR="00BF03AA" w:rsidRPr="00326E55" w:rsidRDefault="00BF03AA">
      <w:pPr>
        <w:tabs>
          <w:tab w:val="left" w:pos="4252"/>
        </w:tabs>
        <w:rPr>
          <w:rFonts w:ascii="Times New Roman" w:hAnsi="Times New Roman"/>
          <w:i/>
          <w:noProof/>
          <w:spacing w:val="-6"/>
          <w:lang w:val="sk-SK"/>
        </w:rPr>
        <w:sectPr w:rsidR="00BF03AA" w:rsidRPr="00326E55" w:rsidSect="005F11B9">
          <w:headerReference w:type="even" r:id="rId230"/>
          <w:headerReference w:type="default" r:id="rId231"/>
          <w:footerReference w:type="even" r:id="rId232"/>
          <w:footerReference w:type="default" r:id="rId233"/>
          <w:headerReference w:type="first" r:id="rId234"/>
          <w:footerReference w:type="first" r:id="rId235"/>
          <w:pgSz w:w="16838" w:h="11906" w:orient="landscape" w:code="9"/>
          <w:pgMar w:top="1134" w:right="1134" w:bottom="1134" w:left="1134" w:header="567" w:footer="567" w:gutter="0"/>
          <w:cols w:space="720"/>
          <w:docGrid w:linePitch="360"/>
        </w:sectPr>
      </w:pPr>
    </w:p>
    <w:p w14:paraId="5B777C78" w14:textId="148AE9C6" w:rsidR="00BF03AA" w:rsidRPr="00326E55" w:rsidRDefault="00FB452D">
      <w:pPr>
        <w:pStyle w:val="P68B1DB1-Heading23"/>
        <w:ind w:left="1080"/>
        <w:rPr>
          <w:noProof/>
          <w:spacing w:val="-6"/>
          <w:lang w:val="sk-SK"/>
        </w:rPr>
      </w:pPr>
      <w:r w:rsidRPr="00326E55">
        <w:rPr>
          <w:noProof/>
          <w:spacing w:val="-6"/>
          <w:lang w:val="sk-SK"/>
        </w:rPr>
        <w:t xml:space="preserve">M. ÚLOHA 5, ZLOŽKA 2: Sociálna infraštruktúra, </w:t>
      </w:r>
      <w:r w:rsidRPr="00326E55">
        <w:rPr>
          <w:noProof/>
          <w:spacing w:val="-6"/>
          <w:lang w:val="sk-SK"/>
        </w:rPr>
        <w:t>rodiny, komunity</w:t>
      </w:r>
      <w:r w:rsidR="00326E55" w:rsidRPr="00326E55">
        <w:rPr>
          <w:noProof/>
          <w:spacing w:val="-6"/>
          <w:lang w:val="sk-SK"/>
        </w:rPr>
        <w:t xml:space="preserve"> a </w:t>
      </w:r>
      <w:r w:rsidRPr="00326E55">
        <w:rPr>
          <w:noProof/>
          <w:spacing w:val="-6"/>
          <w:lang w:val="sk-SK"/>
        </w:rPr>
        <w:t>tretí sektor</w:t>
      </w:r>
    </w:p>
    <w:p w14:paraId="11EEF212" w14:textId="6630CAD4" w:rsidR="00BF03AA" w:rsidRPr="00326E55" w:rsidRDefault="00FB452D">
      <w:pPr>
        <w:pStyle w:val="P68B1DB1-Normal7"/>
        <w:spacing w:before="120" w:after="120"/>
        <w:jc w:val="both"/>
        <w:rPr>
          <w:noProof/>
          <w:spacing w:val="-6"/>
          <w:lang w:val="sk-SK"/>
        </w:rPr>
      </w:pPr>
      <w:r w:rsidRPr="00326E55">
        <w:rPr>
          <w:noProof/>
          <w:spacing w:val="-6"/>
          <w:lang w:val="sk-SK"/>
        </w:rPr>
        <w:t>Cieľom plánovaných reforiem</w:t>
      </w:r>
      <w:r w:rsidR="00326E55" w:rsidRPr="00326E55">
        <w:rPr>
          <w:noProof/>
          <w:spacing w:val="-6"/>
          <w:lang w:val="sk-SK"/>
        </w:rPr>
        <w:t xml:space="preserve"> a </w:t>
      </w:r>
      <w:r w:rsidRPr="00326E55">
        <w:rPr>
          <w:noProof/>
          <w:spacing w:val="-6"/>
          <w:lang w:val="sk-SK"/>
        </w:rPr>
        <w:t>investícií zahrnutých do tohto komponentu je posilniť odolnosť podporou integrácie</w:t>
      </w:r>
      <w:r w:rsidR="00326E55" w:rsidRPr="00326E55">
        <w:rPr>
          <w:noProof/>
          <w:spacing w:val="-6"/>
          <w:lang w:val="sk-SK"/>
        </w:rPr>
        <w:t xml:space="preserve"> a </w:t>
      </w:r>
      <w:r w:rsidRPr="00326E55">
        <w:rPr>
          <w:noProof/>
          <w:spacing w:val="-6"/>
          <w:lang w:val="sk-SK"/>
        </w:rPr>
        <w:t>začlenenia najzraniteľnejších osôb</w:t>
      </w:r>
      <w:r w:rsidR="00326E55" w:rsidRPr="00326E55">
        <w:rPr>
          <w:noProof/>
          <w:spacing w:val="-6"/>
          <w:lang w:val="sk-SK"/>
        </w:rPr>
        <w:t xml:space="preserve"> v </w:t>
      </w:r>
      <w:r w:rsidRPr="00326E55">
        <w:rPr>
          <w:noProof/>
          <w:spacing w:val="-6"/>
          <w:lang w:val="sk-SK"/>
        </w:rPr>
        <w:t>rámci individuálneho, rodinného</w:t>
      </w:r>
      <w:r w:rsidR="00326E55" w:rsidRPr="00326E55">
        <w:rPr>
          <w:noProof/>
          <w:spacing w:val="-6"/>
          <w:lang w:val="sk-SK"/>
        </w:rPr>
        <w:t xml:space="preserve"> a </w:t>
      </w:r>
      <w:r w:rsidRPr="00326E55">
        <w:rPr>
          <w:noProof/>
          <w:spacing w:val="-6"/>
          <w:lang w:val="sk-SK"/>
        </w:rPr>
        <w:t>sociálneho rozmeru. Táto zložka predst</w:t>
      </w:r>
      <w:r w:rsidRPr="00326E55">
        <w:rPr>
          <w:noProof/>
          <w:spacing w:val="-6"/>
          <w:lang w:val="sk-SK"/>
        </w:rPr>
        <w:t>avuje národnú stratégiu aktívneho začleňovania zraniteľných skupín obyvateľstva. Ciele tohto komponentu sú: I) posilnenie úlohy integrovaných sociálnych služieb na podporu rodín, maloletých</w:t>
      </w:r>
      <w:r w:rsidR="00326E55" w:rsidRPr="00326E55">
        <w:rPr>
          <w:noProof/>
          <w:spacing w:val="-6"/>
          <w:lang w:val="sk-SK"/>
        </w:rPr>
        <w:t xml:space="preserve"> a </w:t>
      </w:r>
      <w:r w:rsidRPr="00326E55">
        <w:rPr>
          <w:noProof/>
          <w:spacing w:val="-6"/>
          <w:lang w:val="sk-SK"/>
        </w:rPr>
        <w:t>dospievajúcich, na podporu rodičovských zručností</w:t>
      </w:r>
      <w:r w:rsidR="00326E55" w:rsidRPr="00326E55">
        <w:rPr>
          <w:noProof/>
          <w:spacing w:val="-6"/>
          <w:lang w:val="sk-SK"/>
        </w:rPr>
        <w:t xml:space="preserve"> a </w:t>
      </w:r>
      <w:r w:rsidRPr="00326E55">
        <w:rPr>
          <w:noProof/>
          <w:spacing w:val="-6"/>
          <w:lang w:val="sk-SK"/>
        </w:rPr>
        <w:t>ochranu zran</w:t>
      </w:r>
      <w:r w:rsidRPr="00326E55">
        <w:rPr>
          <w:noProof/>
          <w:spacing w:val="-6"/>
          <w:lang w:val="sk-SK"/>
        </w:rPr>
        <w:t>iteľných rodín, ako aj osôb so zdravotným postihnutím,</w:t>
      </w:r>
      <w:r w:rsidR="00326E55" w:rsidRPr="00326E55">
        <w:rPr>
          <w:noProof/>
          <w:spacing w:val="-6"/>
          <w:lang w:val="sk-SK"/>
        </w:rPr>
        <w:t xml:space="preserve"> a </w:t>
      </w:r>
      <w:r w:rsidRPr="00326E55">
        <w:rPr>
          <w:noProof/>
          <w:spacing w:val="-6"/>
          <w:lang w:val="sk-SK"/>
        </w:rPr>
        <w:t>to aj prostredníctvom posilnenia sociálnej infraštruktúry zahŕňajúcej tretí sektor; II) zlepšenie samostatnosti osôb so zdravotným postihnutím poskytovaním komunitných</w:t>
      </w:r>
      <w:r w:rsidR="00326E55" w:rsidRPr="00326E55">
        <w:rPr>
          <w:noProof/>
          <w:spacing w:val="-6"/>
          <w:lang w:val="sk-SK"/>
        </w:rPr>
        <w:t xml:space="preserve"> a </w:t>
      </w:r>
      <w:r w:rsidRPr="00326E55">
        <w:rPr>
          <w:noProof/>
          <w:spacing w:val="-6"/>
          <w:lang w:val="sk-SK"/>
        </w:rPr>
        <w:t>domácich sociálnych</w:t>
      </w:r>
      <w:r w:rsidR="00326E55" w:rsidRPr="00326E55">
        <w:rPr>
          <w:noProof/>
          <w:spacing w:val="-6"/>
          <w:lang w:val="sk-SK"/>
        </w:rPr>
        <w:t xml:space="preserve"> a </w:t>
      </w:r>
      <w:r w:rsidRPr="00326E55">
        <w:rPr>
          <w:noProof/>
          <w:spacing w:val="-6"/>
          <w:lang w:val="sk-SK"/>
        </w:rPr>
        <w:t>zdravot</w:t>
      </w:r>
      <w:r w:rsidRPr="00326E55">
        <w:rPr>
          <w:noProof/>
          <w:spacing w:val="-6"/>
          <w:lang w:val="sk-SK"/>
        </w:rPr>
        <w:t>níckych služieb</w:t>
      </w:r>
      <w:r w:rsidR="00326E55" w:rsidRPr="00326E55">
        <w:rPr>
          <w:noProof/>
          <w:spacing w:val="-6"/>
          <w:lang w:val="sk-SK"/>
        </w:rPr>
        <w:t xml:space="preserve"> a </w:t>
      </w:r>
      <w:r w:rsidRPr="00326E55">
        <w:rPr>
          <w:noProof/>
          <w:spacing w:val="-6"/>
          <w:lang w:val="sk-SK"/>
        </w:rPr>
        <w:t>odstránením prekážok</w:t>
      </w:r>
      <w:r w:rsidR="00326E55" w:rsidRPr="00326E55">
        <w:rPr>
          <w:noProof/>
          <w:spacing w:val="-6"/>
          <w:lang w:val="sk-SK"/>
        </w:rPr>
        <w:t xml:space="preserve"> v </w:t>
      </w:r>
      <w:r w:rsidRPr="00326E55">
        <w:rPr>
          <w:noProof/>
          <w:spacing w:val="-6"/>
          <w:lang w:val="sk-SK"/>
        </w:rPr>
        <w:t>prístupe</w:t>
      </w:r>
      <w:r w:rsidR="00326E55" w:rsidRPr="00326E55">
        <w:rPr>
          <w:noProof/>
          <w:spacing w:val="-6"/>
          <w:lang w:val="sk-SK"/>
        </w:rPr>
        <w:t xml:space="preserve"> k </w:t>
      </w:r>
      <w:r w:rsidRPr="00326E55">
        <w:rPr>
          <w:noProof/>
          <w:spacing w:val="-6"/>
          <w:lang w:val="sk-SK"/>
        </w:rPr>
        <w:t>bývaniu</w:t>
      </w:r>
      <w:r w:rsidR="00326E55" w:rsidRPr="00326E55">
        <w:rPr>
          <w:noProof/>
          <w:spacing w:val="-6"/>
          <w:lang w:val="sk-SK"/>
        </w:rPr>
        <w:t xml:space="preserve"> a </w:t>
      </w:r>
      <w:r w:rsidRPr="00326E55">
        <w:rPr>
          <w:noProof/>
          <w:spacing w:val="-6"/>
          <w:lang w:val="sk-SK"/>
        </w:rPr>
        <w:t>pracovným príležitostiam; III) zlepšenie začlenenia ľudí</w:t>
      </w:r>
      <w:r w:rsidR="00326E55" w:rsidRPr="00326E55">
        <w:rPr>
          <w:noProof/>
          <w:spacing w:val="-6"/>
          <w:lang w:val="sk-SK"/>
        </w:rPr>
        <w:t xml:space="preserve"> v </w:t>
      </w:r>
      <w:r w:rsidRPr="00326E55">
        <w:rPr>
          <w:noProof/>
          <w:spacing w:val="-6"/>
          <w:lang w:val="sk-SK"/>
        </w:rPr>
        <w:t>extrémnej marginalizácii</w:t>
      </w:r>
      <w:r w:rsidR="00326E55" w:rsidRPr="00326E55">
        <w:rPr>
          <w:noProof/>
          <w:spacing w:val="-6"/>
          <w:lang w:val="sk-SK"/>
        </w:rPr>
        <w:t xml:space="preserve"> a </w:t>
      </w:r>
      <w:r w:rsidRPr="00326E55">
        <w:rPr>
          <w:noProof/>
          <w:spacing w:val="-6"/>
          <w:lang w:val="sk-SK"/>
        </w:rPr>
        <w:t>deprivácii</w:t>
      </w:r>
      <w:r w:rsidR="00326E55" w:rsidRPr="00326E55">
        <w:rPr>
          <w:noProof/>
          <w:spacing w:val="-6"/>
          <w:lang w:val="sk-SK"/>
        </w:rPr>
        <w:t xml:space="preserve"> v </w:t>
      </w:r>
      <w:r w:rsidRPr="00326E55">
        <w:rPr>
          <w:noProof/>
          <w:spacing w:val="-6"/>
          <w:lang w:val="sk-SK"/>
        </w:rPr>
        <w:t>oblasti bývania (napr. bezdomovci) prostredníctvom širšej ponuky zariadení</w:t>
      </w:r>
      <w:r w:rsidR="00326E55" w:rsidRPr="00326E55">
        <w:rPr>
          <w:noProof/>
          <w:spacing w:val="-6"/>
          <w:lang w:val="sk-SK"/>
        </w:rPr>
        <w:t xml:space="preserve"> a </w:t>
      </w:r>
      <w:r w:rsidRPr="00326E55">
        <w:rPr>
          <w:noProof/>
          <w:spacing w:val="-6"/>
          <w:lang w:val="sk-SK"/>
        </w:rPr>
        <w:t>služieb dočasnej p</w:t>
      </w:r>
      <w:r w:rsidRPr="00326E55">
        <w:rPr>
          <w:noProof/>
          <w:spacing w:val="-6"/>
          <w:lang w:val="sk-SK"/>
        </w:rPr>
        <w:t>omoci pri ubytovaní, personalizovaných ciest</w:t>
      </w:r>
      <w:r w:rsidR="00326E55" w:rsidRPr="00326E55">
        <w:rPr>
          <w:noProof/>
          <w:spacing w:val="-6"/>
          <w:lang w:val="sk-SK"/>
        </w:rPr>
        <w:t xml:space="preserve"> k </w:t>
      </w:r>
      <w:r w:rsidRPr="00326E55">
        <w:rPr>
          <w:noProof/>
          <w:spacing w:val="-6"/>
          <w:lang w:val="sk-SK"/>
        </w:rPr>
        <w:t>autonómii</w:t>
      </w:r>
      <w:r w:rsidR="00326E55" w:rsidRPr="00326E55">
        <w:rPr>
          <w:noProof/>
          <w:spacing w:val="-6"/>
          <w:lang w:val="sk-SK"/>
        </w:rPr>
        <w:t xml:space="preserve"> a </w:t>
      </w:r>
      <w:r w:rsidRPr="00326E55">
        <w:rPr>
          <w:noProof/>
          <w:spacing w:val="-6"/>
          <w:lang w:val="sk-SK"/>
        </w:rPr>
        <w:t>osobnej odolnosti; IV) posilnenie dostupnosti cenovo dostupnejšieho verejného</w:t>
      </w:r>
      <w:r w:rsidR="00326E55" w:rsidRPr="00326E55">
        <w:rPr>
          <w:noProof/>
          <w:spacing w:val="-6"/>
          <w:lang w:val="sk-SK"/>
        </w:rPr>
        <w:t xml:space="preserve"> a </w:t>
      </w:r>
      <w:r w:rsidRPr="00326E55">
        <w:rPr>
          <w:noProof/>
          <w:spacing w:val="-6"/>
          <w:lang w:val="sk-SK"/>
        </w:rPr>
        <w:t>súkromného bývania</w:t>
      </w:r>
      <w:r w:rsidR="00326E55" w:rsidRPr="00326E55">
        <w:rPr>
          <w:noProof/>
          <w:spacing w:val="-6"/>
          <w:lang w:val="sk-SK"/>
        </w:rPr>
        <w:t xml:space="preserve"> a </w:t>
      </w:r>
      <w:r w:rsidRPr="00326E55">
        <w:rPr>
          <w:noProof/>
          <w:spacing w:val="-6"/>
          <w:lang w:val="sk-SK"/>
        </w:rPr>
        <w:t>obnovy miest</w:t>
      </w:r>
      <w:r w:rsidR="00326E55" w:rsidRPr="00326E55">
        <w:rPr>
          <w:noProof/>
          <w:spacing w:val="-6"/>
          <w:lang w:val="sk-SK"/>
        </w:rPr>
        <w:t xml:space="preserve"> a </w:t>
      </w:r>
      <w:r w:rsidRPr="00326E55">
        <w:rPr>
          <w:noProof/>
          <w:spacing w:val="-6"/>
          <w:lang w:val="sk-SK"/>
        </w:rPr>
        <w:t>území; V) rozvíjanie odolnosti najzraniteľnejších osôb šírením kultúry športu</w:t>
      </w:r>
      <w:r w:rsidR="00326E55" w:rsidRPr="00326E55">
        <w:rPr>
          <w:noProof/>
          <w:spacing w:val="-6"/>
          <w:lang w:val="sk-SK"/>
        </w:rPr>
        <w:t xml:space="preserve"> a </w:t>
      </w:r>
      <w:r w:rsidRPr="00326E55">
        <w:rPr>
          <w:noProof/>
          <w:spacing w:val="-6"/>
          <w:lang w:val="sk-SK"/>
        </w:rPr>
        <w:t>v</w:t>
      </w:r>
      <w:r w:rsidRPr="00326E55">
        <w:rPr>
          <w:noProof/>
          <w:spacing w:val="-6"/>
          <w:lang w:val="sk-SK"/>
        </w:rPr>
        <w:t>ytváraním športových infraštruktúr prostredníctvom vytvárania mestských parkov,</w:t>
      </w:r>
      <w:r w:rsidR="00326E55" w:rsidRPr="00326E55">
        <w:rPr>
          <w:noProof/>
          <w:spacing w:val="-6"/>
          <w:lang w:val="sk-SK"/>
        </w:rPr>
        <w:t xml:space="preserve"> v </w:t>
      </w:r>
      <w:r w:rsidRPr="00326E55">
        <w:rPr>
          <w:noProof/>
          <w:spacing w:val="-6"/>
          <w:lang w:val="sk-SK"/>
        </w:rPr>
        <w:t>ktorých sa športové aktivity môžu kombinovať so zábavnými činnosťami</w:t>
      </w:r>
      <w:r w:rsidR="00326E55" w:rsidRPr="00326E55">
        <w:rPr>
          <w:noProof/>
          <w:spacing w:val="-6"/>
          <w:lang w:val="sk-SK"/>
        </w:rPr>
        <w:t xml:space="preserve"> v </w:t>
      </w:r>
      <w:r w:rsidRPr="00326E55">
        <w:rPr>
          <w:noProof/>
          <w:spacing w:val="-6"/>
          <w:lang w:val="sk-SK"/>
        </w:rPr>
        <w:t>prospech komunít.</w:t>
      </w:r>
    </w:p>
    <w:p w14:paraId="160DE117" w14:textId="60CE3113" w:rsidR="00326E55" w:rsidRPr="00326E55" w:rsidRDefault="00FB452D">
      <w:pPr>
        <w:pStyle w:val="P68B1DB1-Normal7"/>
        <w:spacing w:before="120" w:after="120"/>
        <w:jc w:val="both"/>
        <w:rPr>
          <w:noProof/>
          <w:spacing w:val="-6"/>
          <w:lang w:val="sk-SK"/>
        </w:rPr>
      </w:pPr>
      <w:r w:rsidRPr="00326E55">
        <w:rPr>
          <w:noProof/>
          <w:spacing w:val="-6"/>
          <w:lang w:val="sk-SK"/>
        </w:rPr>
        <w:t>Očakáva sa, že vykonávanie týchto opatrení prispeje</w:t>
      </w:r>
      <w:r w:rsidR="00326E55" w:rsidRPr="00326E55">
        <w:rPr>
          <w:noProof/>
          <w:spacing w:val="-6"/>
          <w:lang w:val="sk-SK"/>
        </w:rPr>
        <w:t xml:space="preserve"> k </w:t>
      </w:r>
      <w:r w:rsidRPr="00326E55">
        <w:rPr>
          <w:noProof/>
          <w:spacing w:val="-6"/>
          <w:lang w:val="sk-SK"/>
        </w:rPr>
        <w:t>riešeniu výziev, na ktoré sa vz</w:t>
      </w:r>
      <w:r w:rsidRPr="00326E55">
        <w:rPr>
          <w:noProof/>
          <w:spacing w:val="-6"/>
          <w:lang w:val="sk-SK"/>
        </w:rPr>
        <w:t xml:space="preserve">ťahujú odporúčania pre jednotlivé krajiny </w:t>
      </w:r>
      <w:r w:rsidR="00326E55" w:rsidRPr="00326E55">
        <w:rPr>
          <w:noProof/>
          <w:spacing w:val="-6"/>
          <w:lang w:val="sk-SK"/>
        </w:rPr>
        <w:t>č. </w:t>
      </w:r>
      <w:r w:rsidRPr="00326E55">
        <w:rPr>
          <w:noProof/>
          <w:spacing w:val="-6"/>
          <w:lang w:val="sk-SK"/>
        </w:rPr>
        <w:t>2</w:t>
      </w:r>
      <w:r w:rsidR="00326E55" w:rsidRPr="00326E55">
        <w:rPr>
          <w:noProof/>
          <w:spacing w:val="-6"/>
          <w:lang w:val="sk-SK"/>
        </w:rPr>
        <w:t xml:space="preserve"> z </w:t>
      </w:r>
      <w:r w:rsidRPr="00326E55">
        <w:rPr>
          <w:noProof/>
          <w:spacing w:val="-6"/>
          <w:lang w:val="sk-SK"/>
        </w:rPr>
        <w:t>roku 2019 týkajúce sa sociálnej politiky,</w:t>
      </w:r>
      <w:r w:rsidR="00326E55" w:rsidRPr="00326E55">
        <w:rPr>
          <w:noProof/>
          <w:spacing w:val="-6"/>
          <w:lang w:val="sk-SK"/>
        </w:rPr>
        <w:t xml:space="preserve"> v </w:t>
      </w:r>
      <w:r w:rsidRPr="00326E55">
        <w:rPr>
          <w:noProof/>
          <w:spacing w:val="-6"/>
          <w:lang w:val="sk-SK"/>
        </w:rPr>
        <w:t>ktorých sa Taliansko vyzýva, aby „zabezpečilo [...] účinnú integráciu sociálnych politík</w:t>
      </w:r>
      <w:r w:rsidR="00326E55" w:rsidRPr="00326E55">
        <w:rPr>
          <w:noProof/>
          <w:spacing w:val="-6"/>
          <w:lang w:val="sk-SK"/>
        </w:rPr>
        <w:t xml:space="preserve"> a </w:t>
      </w:r>
      <w:r w:rsidRPr="00326E55">
        <w:rPr>
          <w:noProof/>
          <w:spacing w:val="-6"/>
          <w:lang w:val="sk-SK"/>
        </w:rPr>
        <w:t>oslovilo najmä mladých ľudí</w:t>
      </w:r>
      <w:r w:rsidR="00326E55" w:rsidRPr="00326E55">
        <w:rPr>
          <w:noProof/>
          <w:spacing w:val="-6"/>
          <w:lang w:val="sk-SK"/>
        </w:rPr>
        <w:t xml:space="preserve"> a </w:t>
      </w:r>
      <w:r w:rsidRPr="00326E55">
        <w:rPr>
          <w:noProof/>
          <w:spacing w:val="-6"/>
          <w:lang w:val="sk-SK"/>
        </w:rPr>
        <w:t>zraniteľné skupiny“</w:t>
      </w:r>
      <w:r w:rsidR="00326E55" w:rsidRPr="00326E55">
        <w:rPr>
          <w:noProof/>
          <w:spacing w:val="-6"/>
          <w:lang w:val="sk-SK"/>
        </w:rPr>
        <w:t xml:space="preserve"> a </w:t>
      </w:r>
      <w:r w:rsidRPr="00326E55">
        <w:rPr>
          <w:noProof/>
          <w:spacing w:val="-6"/>
          <w:lang w:val="sk-SK"/>
        </w:rPr>
        <w:t>odporúčania pre jedn</w:t>
      </w:r>
      <w:r w:rsidRPr="00326E55">
        <w:rPr>
          <w:noProof/>
          <w:spacing w:val="-6"/>
          <w:lang w:val="sk-SK"/>
        </w:rPr>
        <w:t xml:space="preserve">otlivé krajiny na rok 2020 </w:t>
      </w:r>
      <w:r w:rsidR="00326E55" w:rsidRPr="00326E55">
        <w:rPr>
          <w:noProof/>
          <w:spacing w:val="-6"/>
          <w:lang w:val="sk-SK"/>
        </w:rPr>
        <w:t>č. </w:t>
      </w:r>
      <w:r w:rsidRPr="00326E55">
        <w:rPr>
          <w:noProof/>
          <w:spacing w:val="-6"/>
          <w:lang w:val="sk-SK"/>
        </w:rPr>
        <w:t>2 „poskytnúť primeraný (...) prístup</w:t>
      </w:r>
      <w:r w:rsidR="00326E55" w:rsidRPr="00326E55">
        <w:rPr>
          <w:noProof/>
          <w:spacing w:val="-6"/>
          <w:lang w:val="sk-SK"/>
        </w:rPr>
        <w:t xml:space="preserve"> k </w:t>
      </w:r>
      <w:r w:rsidRPr="00326E55">
        <w:rPr>
          <w:noProof/>
          <w:spacing w:val="-6"/>
          <w:lang w:val="sk-SK"/>
        </w:rPr>
        <w:t>sociálnej ochrane“</w:t>
      </w:r>
      <w:r w:rsidR="00326E55" w:rsidRPr="00326E55">
        <w:rPr>
          <w:noProof/>
          <w:spacing w:val="-6"/>
          <w:lang w:val="sk-SK"/>
        </w:rPr>
        <w:t>.</w:t>
      </w:r>
    </w:p>
    <w:p w14:paraId="44B353C1" w14:textId="334B92D8" w:rsidR="00BF03AA" w:rsidRPr="00326E55" w:rsidRDefault="00FB452D">
      <w:pPr>
        <w:pStyle w:val="P68B1DB1-Heading39"/>
        <w:ind w:left="850" w:hanging="850"/>
        <w:rPr>
          <w:b/>
          <w:bCs/>
          <w:i/>
          <w:iCs/>
          <w:noProof/>
          <w:color w:val="156082" w:themeColor="accent1"/>
          <w:spacing w:val="-6"/>
          <w:u w:val="single"/>
          <w:lang w:val="sk-SK"/>
        </w:rPr>
      </w:pPr>
      <w:r w:rsidRPr="00326E55">
        <w:rPr>
          <w:b/>
          <w:noProof/>
          <w:spacing w:val="-6"/>
          <w:u w:val="single"/>
          <w:lang w:val="sk-SK"/>
        </w:rPr>
        <w:t xml:space="preserve">M.1.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nenávratnej finančnej podpory</w:t>
      </w:r>
    </w:p>
    <w:p w14:paraId="2EA0E7C9" w14:textId="77777777"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Reforma 1 – Rámcový zákon pre osoby so zdravotným postihnutím</w:t>
      </w:r>
    </w:p>
    <w:p w14:paraId="469E9F20" w14:textId="149097F2" w:rsidR="00326E55" w:rsidRPr="00326E55" w:rsidRDefault="00FB452D">
      <w:pPr>
        <w:pStyle w:val="P68B1DB1-Normal7"/>
        <w:spacing w:before="120" w:after="120"/>
        <w:jc w:val="both"/>
        <w:rPr>
          <w:noProof/>
          <w:spacing w:val="-6"/>
          <w:lang w:val="sk-SK"/>
        </w:rPr>
      </w:pPr>
      <w:r w:rsidRPr="00326E55">
        <w:rPr>
          <w:noProof/>
          <w:spacing w:val="-6"/>
          <w:lang w:val="sk-SK"/>
        </w:rPr>
        <w:t xml:space="preserve">Hlavným cieľom reformy je upraviť </w:t>
      </w:r>
      <w:r w:rsidRPr="00326E55">
        <w:rPr>
          <w:noProof/>
          <w:spacing w:val="-6"/>
          <w:lang w:val="sk-SK"/>
        </w:rPr>
        <w:t>právne predpisy</w:t>
      </w:r>
      <w:r w:rsidR="00326E55" w:rsidRPr="00326E55">
        <w:rPr>
          <w:noProof/>
          <w:spacing w:val="-6"/>
          <w:lang w:val="sk-SK"/>
        </w:rPr>
        <w:t xml:space="preserve"> o </w:t>
      </w:r>
      <w:r w:rsidRPr="00326E55">
        <w:rPr>
          <w:noProof/>
          <w:spacing w:val="-6"/>
          <w:lang w:val="sk-SK"/>
        </w:rPr>
        <w:t>zdravotnom postihnutí</w:t>
      </w:r>
      <w:r w:rsidR="00326E55" w:rsidRPr="00326E55">
        <w:rPr>
          <w:noProof/>
          <w:spacing w:val="-6"/>
          <w:lang w:val="sk-SK"/>
        </w:rPr>
        <w:t xml:space="preserve"> a </w:t>
      </w:r>
      <w:r w:rsidRPr="00326E55">
        <w:rPr>
          <w:noProof/>
          <w:spacing w:val="-6"/>
          <w:lang w:val="sk-SK"/>
        </w:rPr>
        <w:t>podporiť deinštitucionalizáciu (t. j. presun</w:t>
      </w:r>
      <w:r w:rsidR="00326E55" w:rsidRPr="00326E55">
        <w:rPr>
          <w:noProof/>
          <w:spacing w:val="-6"/>
          <w:lang w:val="sk-SK"/>
        </w:rPr>
        <w:t xml:space="preserve"> z </w:t>
      </w:r>
      <w:r w:rsidRPr="00326E55">
        <w:rPr>
          <w:noProof/>
          <w:spacing w:val="-6"/>
          <w:lang w:val="sk-SK"/>
        </w:rPr>
        <w:t>verejných alebo súkromných inštitúcií do ich rodín alebo do komunitných domovov)</w:t>
      </w:r>
      <w:r w:rsidR="00326E55" w:rsidRPr="00326E55">
        <w:rPr>
          <w:noProof/>
          <w:spacing w:val="-6"/>
          <w:lang w:val="sk-SK"/>
        </w:rPr>
        <w:t xml:space="preserve"> a </w:t>
      </w:r>
      <w:r w:rsidRPr="00326E55">
        <w:rPr>
          <w:noProof/>
          <w:spacing w:val="-6"/>
          <w:lang w:val="sk-SK"/>
        </w:rPr>
        <w:t>samostatnosť osôb so zdravotným postihnutím. To zahŕňa i) posilnenie ponuky sociálny</w:t>
      </w:r>
      <w:r w:rsidRPr="00326E55">
        <w:rPr>
          <w:noProof/>
          <w:spacing w:val="-6"/>
          <w:lang w:val="sk-SK"/>
        </w:rPr>
        <w:t>ch služieb, II) zjednodušenie prístupu</w:t>
      </w:r>
      <w:r w:rsidR="00326E55" w:rsidRPr="00326E55">
        <w:rPr>
          <w:noProof/>
          <w:spacing w:val="-6"/>
          <w:lang w:val="sk-SK"/>
        </w:rPr>
        <w:t xml:space="preserve"> k </w:t>
      </w:r>
      <w:r w:rsidRPr="00326E55">
        <w:rPr>
          <w:noProof/>
          <w:spacing w:val="-6"/>
          <w:lang w:val="sk-SK"/>
        </w:rPr>
        <w:t>sociálnym</w:t>
      </w:r>
      <w:r w:rsidR="00326E55" w:rsidRPr="00326E55">
        <w:rPr>
          <w:noProof/>
          <w:spacing w:val="-6"/>
          <w:lang w:val="sk-SK"/>
        </w:rPr>
        <w:t xml:space="preserve"> a </w:t>
      </w:r>
      <w:r w:rsidRPr="00326E55">
        <w:rPr>
          <w:noProof/>
          <w:spacing w:val="-6"/>
          <w:lang w:val="sk-SK"/>
        </w:rPr>
        <w:t>zdravotníckym službám, III) reformy posudzovania zdravotného postihnutia, IV) podporu projektov nezávislého života, V) podporu práce tímov odborníkov, ktoré môžu podporovať osoby so zdravotným postihnutí</w:t>
      </w:r>
      <w:r w:rsidRPr="00326E55">
        <w:rPr>
          <w:noProof/>
          <w:spacing w:val="-6"/>
          <w:lang w:val="sk-SK"/>
        </w:rPr>
        <w:t>m</w:t>
      </w:r>
      <w:r w:rsidR="00326E55" w:rsidRPr="00326E55">
        <w:rPr>
          <w:noProof/>
          <w:spacing w:val="-6"/>
          <w:lang w:val="sk-SK"/>
        </w:rPr>
        <w:t xml:space="preserve"> s </w:t>
      </w:r>
      <w:r w:rsidRPr="00326E55">
        <w:rPr>
          <w:noProof/>
          <w:spacing w:val="-6"/>
          <w:lang w:val="sk-SK"/>
        </w:rPr>
        <w:t>viacrozmernými potrebami</w:t>
      </w:r>
      <w:r w:rsidR="00326E55" w:rsidRPr="00326E55">
        <w:rPr>
          <w:noProof/>
          <w:spacing w:val="-6"/>
          <w:lang w:val="sk-SK"/>
        </w:rPr>
        <w:t>.</w:t>
      </w:r>
    </w:p>
    <w:p w14:paraId="51FADE60" w14:textId="2D80F0B2"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Reforma 2 – Reforma pre staršie osoby, ktoré nie sú sebestačné</w:t>
      </w:r>
    </w:p>
    <w:p w14:paraId="3E9D0746" w14:textId="71208087" w:rsidR="00326E55" w:rsidRPr="00326E55" w:rsidRDefault="00FB452D">
      <w:pPr>
        <w:pStyle w:val="P68B1DB1-Normal7"/>
        <w:spacing w:before="120" w:after="120"/>
        <w:jc w:val="both"/>
        <w:rPr>
          <w:noProof/>
          <w:spacing w:val="-6"/>
          <w:lang w:val="sk-SK"/>
        </w:rPr>
      </w:pPr>
      <w:r w:rsidRPr="00326E55">
        <w:rPr>
          <w:noProof/>
          <w:spacing w:val="-6"/>
          <w:lang w:val="sk-SK"/>
        </w:rPr>
        <w:t>Cieľom tohto opatrenia je reformovať sociálne služby</w:t>
      </w:r>
      <w:r w:rsidR="00326E55" w:rsidRPr="00326E55">
        <w:rPr>
          <w:noProof/>
          <w:spacing w:val="-6"/>
          <w:lang w:val="sk-SK"/>
        </w:rPr>
        <w:t xml:space="preserve"> a </w:t>
      </w:r>
      <w:r w:rsidRPr="00326E55">
        <w:rPr>
          <w:noProof/>
          <w:spacing w:val="-6"/>
          <w:lang w:val="sk-SK"/>
        </w:rPr>
        <w:t>zlepšiť životné podmienky sebestačných starších ľudí. Táto reforma zahŕňa: I) zjednodušenie prístupu staršíc</w:t>
      </w:r>
      <w:r w:rsidRPr="00326E55">
        <w:rPr>
          <w:noProof/>
          <w:spacing w:val="-6"/>
          <w:lang w:val="sk-SK"/>
        </w:rPr>
        <w:t>h ľudí</w:t>
      </w:r>
      <w:r w:rsidR="00326E55" w:rsidRPr="00326E55">
        <w:rPr>
          <w:noProof/>
          <w:spacing w:val="-6"/>
          <w:lang w:val="sk-SK"/>
        </w:rPr>
        <w:t xml:space="preserve"> k </w:t>
      </w:r>
      <w:r w:rsidRPr="00326E55">
        <w:rPr>
          <w:noProof/>
          <w:spacing w:val="-6"/>
          <w:lang w:val="sk-SK"/>
        </w:rPr>
        <w:t>službám vytvorením jednotných miest sociálneho</w:t>
      </w:r>
      <w:r w:rsidR="00326E55" w:rsidRPr="00326E55">
        <w:rPr>
          <w:noProof/>
          <w:spacing w:val="-6"/>
          <w:lang w:val="sk-SK"/>
        </w:rPr>
        <w:t xml:space="preserve"> a </w:t>
      </w:r>
      <w:r w:rsidRPr="00326E55">
        <w:rPr>
          <w:noProof/>
          <w:spacing w:val="-6"/>
          <w:lang w:val="sk-SK"/>
        </w:rPr>
        <w:t>zdravotného prístupu, II) identifikácia spôsobov uznania sebestačnosti na základe potreby pomoci, III) poskytovanie viacrozmerného posúdenia, IV) vymedzenie individualizovaných projektov, ktoré podp</w:t>
      </w:r>
      <w:r w:rsidRPr="00326E55">
        <w:rPr>
          <w:noProof/>
          <w:spacing w:val="-6"/>
          <w:lang w:val="sk-SK"/>
        </w:rPr>
        <w:t>orujú deinštitucionalizáciu. Túto reformu očakávajú osobitné intervencie plánované</w:t>
      </w:r>
      <w:r w:rsidR="00326E55" w:rsidRPr="00326E55">
        <w:rPr>
          <w:noProof/>
          <w:spacing w:val="-6"/>
          <w:lang w:val="sk-SK"/>
        </w:rPr>
        <w:t xml:space="preserve"> v </w:t>
      </w:r>
      <w:r w:rsidRPr="00326E55">
        <w:rPr>
          <w:noProof/>
          <w:spacing w:val="-6"/>
          <w:lang w:val="sk-SK"/>
        </w:rPr>
        <w:t>pláne, ktoré sú zahrnuté do misie</w:t>
      </w:r>
      <w:r w:rsidR="00326E55" w:rsidRPr="00326E55">
        <w:rPr>
          <w:noProof/>
          <w:spacing w:val="-6"/>
          <w:lang w:val="sk-SK"/>
        </w:rPr>
        <w:t xml:space="preserve"> v </w:t>
      </w:r>
      <w:r w:rsidRPr="00326E55">
        <w:rPr>
          <w:noProof/>
          <w:spacing w:val="-6"/>
          <w:lang w:val="sk-SK"/>
        </w:rPr>
        <w:t>oblasti zdravia (M6)</w:t>
      </w:r>
      <w:r w:rsidR="00326E55" w:rsidRPr="00326E55">
        <w:rPr>
          <w:noProof/>
          <w:spacing w:val="-6"/>
          <w:lang w:val="sk-SK"/>
        </w:rPr>
        <w:t xml:space="preserve"> s </w:t>
      </w:r>
      <w:r w:rsidRPr="00326E55">
        <w:rPr>
          <w:noProof/>
          <w:spacing w:val="-6"/>
          <w:lang w:val="sk-SK"/>
        </w:rPr>
        <w:t>odkazom na projekty, ktoré posilňujú miestne zdravotnícke služby</w:t>
      </w:r>
      <w:r w:rsidR="00326E55" w:rsidRPr="00326E55">
        <w:rPr>
          <w:noProof/>
          <w:spacing w:val="-6"/>
          <w:lang w:val="sk-SK"/>
        </w:rPr>
        <w:t xml:space="preserve"> a </w:t>
      </w:r>
      <w:r w:rsidRPr="00326E55">
        <w:rPr>
          <w:noProof/>
          <w:spacing w:val="-6"/>
          <w:lang w:val="sk-SK"/>
        </w:rPr>
        <w:t>domácu starostlivosť,</w:t>
      </w:r>
      <w:r w:rsidR="00326E55" w:rsidRPr="00326E55">
        <w:rPr>
          <w:noProof/>
          <w:spacing w:val="-6"/>
          <w:lang w:val="sk-SK"/>
        </w:rPr>
        <w:t xml:space="preserve"> a v </w:t>
      </w:r>
      <w:r w:rsidRPr="00326E55">
        <w:rPr>
          <w:noProof/>
          <w:spacing w:val="-6"/>
          <w:lang w:val="sk-SK"/>
        </w:rPr>
        <w:t>tejto zložke</w:t>
      </w:r>
      <w:r w:rsidR="00326E55" w:rsidRPr="00326E55">
        <w:rPr>
          <w:noProof/>
          <w:spacing w:val="-6"/>
          <w:lang w:val="sk-SK"/>
        </w:rPr>
        <w:t xml:space="preserve"> s </w:t>
      </w:r>
      <w:r w:rsidRPr="00326E55">
        <w:rPr>
          <w:noProof/>
          <w:spacing w:val="-6"/>
          <w:lang w:val="sk-SK"/>
        </w:rPr>
        <w:t>osob</w:t>
      </w:r>
      <w:r w:rsidRPr="00326E55">
        <w:rPr>
          <w:noProof/>
          <w:spacing w:val="-6"/>
          <w:lang w:val="sk-SK"/>
        </w:rPr>
        <w:t>itným odkazom na investíciu 1, intervenciu II zameranú na deinštitucionalizáciu</w:t>
      </w:r>
      <w:r w:rsidR="00326E55" w:rsidRPr="00326E55">
        <w:rPr>
          <w:noProof/>
          <w:spacing w:val="-6"/>
          <w:lang w:val="sk-SK"/>
        </w:rPr>
        <w:t>.</w:t>
      </w:r>
    </w:p>
    <w:p w14:paraId="34A27A5A" w14:textId="33938CCB"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1 – Podpora zraniteľných osôb</w:t>
      </w:r>
      <w:r w:rsidR="00326E55" w:rsidRPr="00326E55">
        <w:rPr>
          <w:noProof/>
          <w:spacing w:val="-6"/>
          <w:lang w:val="sk-SK"/>
        </w:rPr>
        <w:t xml:space="preserve"> a </w:t>
      </w:r>
      <w:r w:rsidRPr="00326E55">
        <w:rPr>
          <w:noProof/>
          <w:spacing w:val="-6"/>
          <w:lang w:val="sk-SK"/>
        </w:rPr>
        <w:t>predchádzanie inštitucionalizácii</w:t>
      </w:r>
    </w:p>
    <w:p w14:paraId="37EEB9E3" w14:textId="70C08D8A" w:rsidR="00326E55" w:rsidRPr="00326E55" w:rsidRDefault="00FB452D">
      <w:pPr>
        <w:pStyle w:val="P68B1DB1-Normal7"/>
        <w:spacing w:before="120" w:after="120"/>
        <w:jc w:val="both"/>
        <w:rPr>
          <w:noProof/>
          <w:spacing w:val="-6"/>
          <w:lang w:val="sk-SK"/>
        </w:rPr>
      </w:pPr>
      <w:r w:rsidRPr="00326E55">
        <w:rPr>
          <w:noProof/>
          <w:spacing w:val="-6"/>
          <w:lang w:val="sk-SK"/>
        </w:rPr>
        <w:t>Cieľom tohto opatrenia je podporiť zraniteľné osoby</w:t>
      </w:r>
      <w:r w:rsidR="00326E55" w:rsidRPr="00326E55">
        <w:rPr>
          <w:noProof/>
          <w:spacing w:val="-6"/>
          <w:lang w:val="sk-SK"/>
        </w:rPr>
        <w:t xml:space="preserve"> a </w:t>
      </w:r>
      <w:r w:rsidRPr="00326E55">
        <w:rPr>
          <w:noProof/>
          <w:spacing w:val="-6"/>
          <w:lang w:val="sk-SK"/>
        </w:rPr>
        <w:t>zabrániť inštitucionalizácii. Toto opatrenie</w:t>
      </w:r>
      <w:r w:rsidRPr="00326E55">
        <w:rPr>
          <w:noProof/>
          <w:spacing w:val="-6"/>
          <w:lang w:val="sk-SK"/>
        </w:rPr>
        <w:t xml:space="preserve"> pozostáva zo zásahov pre zraniteľné rodiny</w:t>
      </w:r>
      <w:r w:rsidR="00326E55" w:rsidRPr="00326E55">
        <w:rPr>
          <w:noProof/>
          <w:spacing w:val="-6"/>
          <w:lang w:val="sk-SK"/>
        </w:rPr>
        <w:t xml:space="preserve"> a </w:t>
      </w:r>
      <w:r w:rsidRPr="00326E55">
        <w:rPr>
          <w:noProof/>
          <w:spacing w:val="-6"/>
          <w:lang w:val="sk-SK"/>
        </w:rPr>
        <w:t>deti, starších ľudí</w:t>
      </w:r>
      <w:r w:rsidR="00326E55" w:rsidRPr="00326E55">
        <w:rPr>
          <w:noProof/>
          <w:spacing w:val="-6"/>
          <w:lang w:val="sk-SK"/>
        </w:rPr>
        <w:t xml:space="preserve"> a </w:t>
      </w:r>
      <w:r w:rsidRPr="00326E55">
        <w:rPr>
          <w:noProof/>
          <w:spacing w:val="-6"/>
          <w:lang w:val="sk-SK"/>
        </w:rPr>
        <w:t>sociálnych pracovníkov aspoň</w:t>
      </w:r>
      <w:r w:rsidR="00326E55" w:rsidRPr="00326E55">
        <w:rPr>
          <w:noProof/>
          <w:spacing w:val="-6"/>
          <w:lang w:val="sk-SK"/>
        </w:rPr>
        <w:t xml:space="preserve"> v </w:t>
      </w:r>
      <w:r w:rsidRPr="00326E55">
        <w:rPr>
          <w:noProof/>
          <w:spacing w:val="-6"/>
          <w:lang w:val="sk-SK"/>
        </w:rPr>
        <w:t>85</w:t>
      </w:r>
      <w:r w:rsidR="00326E55" w:rsidRPr="00326E55">
        <w:rPr>
          <w:noProof/>
          <w:spacing w:val="-6"/>
          <w:lang w:val="sk-SK"/>
        </w:rPr>
        <w:t> %</w:t>
      </w:r>
      <w:r w:rsidRPr="00326E55">
        <w:rPr>
          <w:noProof/>
          <w:spacing w:val="-6"/>
          <w:lang w:val="sk-SK"/>
        </w:rPr>
        <w:t xml:space="preserve"> talianskych sociálnych štvrtí</w:t>
      </w:r>
      <w:r w:rsidR="00326E55" w:rsidRPr="00326E55">
        <w:rPr>
          <w:noProof/>
          <w:spacing w:val="-6"/>
          <w:lang w:val="sk-SK"/>
        </w:rPr>
        <w:t>.</w:t>
      </w:r>
    </w:p>
    <w:p w14:paraId="71D3F5A5" w14:textId="292CD4DC" w:rsidR="00BF03AA" w:rsidRPr="00326E55" w:rsidRDefault="00FB452D">
      <w:pPr>
        <w:pStyle w:val="P68B1DB1-Normal7"/>
        <w:rPr>
          <w:b/>
          <w:noProof/>
          <w:spacing w:val="-6"/>
          <w:lang w:val="sk-SK"/>
        </w:rPr>
      </w:pPr>
      <w:r w:rsidRPr="00326E55">
        <w:rPr>
          <w:noProof/>
          <w:spacing w:val="-6"/>
          <w:lang w:val="sk-SK"/>
        </w:rPr>
        <w:br w:type="page"/>
      </w:r>
    </w:p>
    <w:p w14:paraId="29094DBB" w14:textId="31D5CADB"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2 – Autonómne modely pre osoby so zdravotným postihnutím</w:t>
      </w:r>
    </w:p>
    <w:p w14:paraId="64F7B9D3" w14:textId="17DF150B"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 xml:space="preserve">Cieľom tohto opatrenia je zvýšiť samostatnosť osôb </w:t>
      </w:r>
      <w:r w:rsidRPr="00326E55">
        <w:rPr>
          <w:noProof/>
          <w:spacing w:val="-6"/>
          <w:lang w:val="sk-SK"/>
        </w:rPr>
        <w:t>so zdravotným postihnutím</w:t>
      </w:r>
      <w:r w:rsidR="00326E55" w:rsidRPr="00326E55">
        <w:rPr>
          <w:noProof/>
          <w:spacing w:val="-6"/>
          <w:lang w:val="sk-SK"/>
        </w:rPr>
        <w:t xml:space="preserve"> a </w:t>
      </w:r>
      <w:r w:rsidRPr="00326E55">
        <w:rPr>
          <w:noProof/>
          <w:spacing w:val="-6"/>
          <w:lang w:val="sk-SK"/>
        </w:rPr>
        <w:t>urýchliť proces deinštitucionalizácie. Opatrenie pozostáva</w:t>
      </w:r>
      <w:r w:rsidR="00326E55" w:rsidRPr="00326E55">
        <w:rPr>
          <w:noProof/>
          <w:spacing w:val="-6"/>
          <w:lang w:val="sk-SK"/>
        </w:rPr>
        <w:t xml:space="preserve"> z </w:t>
      </w:r>
      <w:r w:rsidRPr="00326E55">
        <w:rPr>
          <w:noProof/>
          <w:spacing w:val="-6"/>
          <w:lang w:val="sk-SK"/>
        </w:rPr>
        <w:t>poskytovania prístupu</w:t>
      </w:r>
      <w:r w:rsidR="00326E55" w:rsidRPr="00326E55">
        <w:rPr>
          <w:noProof/>
          <w:spacing w:val="-6"/>
          <w:lang w:val="sk-SK"/>
        </w:rPr>
        <w:t xml:space="preserve"> k </w:t>
      </w:r>
      <w:r w:rsidRPr="00326E55">
        <w:rPr>
          <w:noProof/>
          <w:spacing w:val="-6"/>
          <w:lang w:val="sk-SK"/>
        </w:rPr>
        <w:t>bývaniu alebo domácim riešeniam, ako aj</w:t>
      </w:r>
      <w:r w:rsidR="00326E55" w:rsidRPr="00326E55">
        <w:rPr>
          <w:noProof/>
          <w:spacing w:val="-6"/>
          <w:lang w:val="sk-SK"/>
        </w:rPr>
        <w:t xml:space="preserve"> k </w:t>
      </w:r>
      <w:r w:rsidRPr="00326E55">
        <w:rPr>
          <w:noProof/>
          <w:spacing w:val="-6"/>
          <w:lang w:val="sk-SK"/>
        </w:rPr>
        <w:t>digitálnym technológiám</w:t>
      </w:r>
      <w:r w:rsidR="00326E55" w:rsidRPr="00326E55">
        <w:rPr>
          <w:noProof/>
          <w:spacing w:val="-6"/>
          <w:lang w:val="sk-SK"/>
        </w:rPr>
        <w:t xml:space="preserve"> a </w:t>
      </w:r>
      <w:r w:rsidRPr="00326E55">
        <w:rPr>
          <w:noProof/>
          <w:spacing w:val="-6"/>
          <w:lang w:val="sk-SK"/>
        </w:rPr>
        <w:t>odbornej príprave.</w:t>
      </w:r>
    </w:p>
    <w:p w14:paraId="0EA0CB04" w14:textId="2BA9CBD7" w:rsidR="00BF03AA" w:rsidRPr="00326E55" w:rsidRDefault="00FB452D">
      <w:pPr>
        <w:pStyle w:val="P68B1DB1-Normal5"/>
        <w:spacing w:before="120" w:after="120"/>
        <w:jc w:val="both"/>
        <w:rPr>
          <w:bCs/>
          <w:noProof/>
          <w:spacing w:val="-6"/>
          <w:lang w:val="sk-SK"/>
        </w:rPr>
      </w:pPr>
      <w:r w:rsidRPr="00326E55">
        <w:rPr>
          <w:noProof/>
          <w:spacing w:val="-6"/>
          <w:lang w:val="sk-SK"/>
        </w:rPr>
        <w:t>Investícia 3 – Prvé bývanie</w:t>
      </w:r>
      <w:r w:rsidR="00326E55" w:rsidRPr="00326E55">
        <w:rPr>
          <w:noProof/>
          <w:spacing w:val="-6"/>
          <w:lang w:val="sk-SK"/>
        </w:rPr>
        <w:t xml:space="preserve"> a </w:t>
      </w:r>
      <w:r w:rsidRPr="00326E55">
        <w:rPr>
          <w:noProof/>
          <w:spacing w:val="-6"/>
          <w:lang w:val="sk-SK"/>
        </w:rPr>
        <w:t>poštové stanice</w:t>
      </w:r>
    </w:p>
    <w:p w14:paraId="4999197E" w14:textId="4502B995" w:rsidR="00BF03AA" w:rsidRPr="00326E55" w:rsidRDefault="00FB452D">
      <w:pPr>
        <w:pStyle w:val="P68B1DB1-Normal7"/>
        <w:spacing w:before="120" w:after="120"/>
        <w:jc w:val="both"/>
        <w:rPr>
          <w:noProof/>
          <w:spacing w:val="-6"/>
          <w:lang w:val="sk-SK"/>
        </w:rPr>
        <w:sectPr w:rsidR="00BF03AA" w:rsidRPr="00326E55" w:rsidSect="005F11B9">
          <w:headerReference w:type="even" r:id="rId236"/>
          <w:headerReference w:type="default" r:id="rId237"/>
          <w:footerReference w:type="even" r:id="rId238"/>
          <w:footerReference w:type="default" r:id="rId239"/>
          <w:headerReference w:type="first" r:id="rId240"/>
          <w:footerReference w:type="first" r:id="rId241"/>
          <w:pgSz w:w="11906" w:h="16838"/>
          <w:pgMar w:top="1440" w:right="1440" w:bottom="1440" w:left="1440" w:header="708" w:footer="708" w:gutter="0"/>
          <w:cols w:space="708"/>
          <w:docGrid w:linePitch="360"/>
        </w:sectPr>
      </w:pPr>
      <w:r w:rsidRPr="00326E55">
        <w:rPr>
          <w:noProof/>
          <w:spacing w:val="-6"/>
          <w:lang w:val="sk-SK"/>
        </w:rPr>
        <w:t>Cieľom tohto opatrenia je chrániť</w:t>
      </w:r>
      <w:r w:rsidR="00326E55" w:rsidRPr="00326E55">
        <w:rPr>
          <w:noProof/>
          <w:spacing w:val="-6"/>
          <w:lang w:val="sk-SK"/>
        </w:rPr>
        <w:t xml:space="preserve"> a </w:t>
      </w:r>
      <w:r w:rsidRPr="00326E55">
        <w:rPr>
          <w:noProof/>
          <w:spacing w:val="-6"/>
          <w:lang w:val="sk-SK"/>
        </w:rPr>
        <w:t>podporovať začlenenie marginalizovaných osôb. Opatrenie pozostáva</w:t>
      </w:r>
      <w:r w:rsidR="00326E55" w:rsidRPr="00326E55">
        <w:rPr>
          <w:noProof/>
          <w:spacing w:val="-6"/>
          <w:lang w:val="sk-SK"/>
        </w:rPr>
        <w:t xml:space="preserve"> z </w:t>
      </w:r>
      <w:r w:rsidRPr="00326E55">
        <w:rPr>
          <w:noProof/>
          <w:spacing w:val="-6"/>
          <w:lang w:val="sk-SK"/>
        </w:rPr>
        <w:t>dvoch typov opatrení: riešenia „najskôr bývanie“, ktoré zahŕňajú obce poskytujúce prispôsobené projekty</w:t>
      </w:r>
      <w:r w:rsidR="00326E55" w:rsidRPr="00326E55">
        <w:rPr>
          <w:noProof/>
          <w:spacing w:val="-6"/>
          <w:lang w:val="sk-SK"/>
        </w:rPr>
        <w:t xml:space="preserve"> a </w:t>
      </w:r>
      <w:r w:rsidRPr="00326E55">
        <w:rPr>
          <w:noProof/>
          <w:spacing w:val="-6"/>
          <w:lang w:val="sk-SK"/>
        </w:rPr>
        <w:t>ubytovanie jednotlivcom, malým skupinám alebo rodinám do 24 mesiacov;</w:t>
      </w:r>
      <w:r w:rsidR="00326E55" w:rsidRPr="00326E55">
        <w:rPr>
          <w:noProof/>
          <w:spacing w:val="-6"/>
          <w:lang w:val="sk-SK"/>
        </w:rPr>
        <w:t xml:space="preserve"> a </w:t>
      </w:r>
      <w:r w:rsidRPr="00326E55">
        <w:rPr>
          <w:noProof/>
          <w:spacing w:val="-6"/>
          <w:lang w:val="sk-SK"/>
        </w:rPr>
        <w:t>riešenia „poštových staníc“, ktoré pozostávajú</w:t>
      </w:r>
      <w:r w:rsidR="00326E55" w:rsidRPr="00326E55">
        <w:rPr>
          <w:noProof/>
          <w:spacing w:val="-6"/>
          <w:lang w:val="sk-SK"/>
        </w:rPr>
        <w:t xml:space="preserve"> z </w:t>
      </w:r>
      <w:r w:rsidRPr="00326E55">
        <w:rPr>
          <w:noProof/>
          <w:spacing w:val="-6"/>
          <w:lang w:val="sk-SK"/>
        </w:rPr>
        <w:t>centier služieb</w:t>
      </w:r>
      <w:r w:rsidR="00326E55" w:rsidRPr="00326E55">
        <w:rPr>
          <w:noProof/>
          <w:spacing w:val="-6"/>
          <w:lang w:val="sk-SK"/>
        </w:rPr>
        <w:t xml:space="preserve"> a </w:t>
      </w:r>
      <w:r w:rsidRPr="00326E55">
        <w:rPr>
          <w:noProof/>
          <w:spacing w:val="-6"/>
          <w:lang w:val="sk-SK"/>
        </w:rPr>
        <w:t>inklúzie pre bezdomovcov, ktoré ponúkajú základné služby, ako je distribúcia základného tovaru</w:t>
      </w:r>
      <w:r w:rsidR="00326E55" w:rsidRPr="00326E55">
        <w:rPr>
          <w:noProof/>
          <w:spacing w:val="-6"/>
          <w:lang w:val="sk-SK"/>
        </w:rPr>
        <w:t xml:space="preserve"> a </w:t>
      </w:r>
      <w:r w:rsidRPr="00326E55">
        <w:rPr>
          <w:noProof/>
          <w:spacing w:val="-6"/>
          <w:lang w:val="sk-SK"/>
        </w:rPr>
        <w:t>pošty, stravovanie</w:t>
      </w:r>
      <w:r w:rsidR="00326E55" w:rsidRPr="00326E55">
        <w:rPr>
          <w:noProof/>
          <w:spacing w:val="-6"/>
          <w:lang w:val="sk-SK"/>
        </w:rPr>
        <w:t xml:space="preserve"> a </w:t>
      </w:r>
      <w:r w:rsidRPr="00326E55">
        <w:rPr>
          <w:noProof/>
          <w:spacing w:val="-6"/>
          <w:lang w:val="sk-SK"/>
        </w:rPr>
        <w:t>zdravotná starostlivosť.</w:t>
      </w:r>
    </w:p>
    <w:p w14:paraId="1173C3BA" w14:textId="30BCA698"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M.2.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finančnú podporu</w:t>
      </w:r>
    </w:p>
    <w:tbl>
      <w:tblPr>
        <w:tblW w:w="17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1570"/>
        <w:gridCol w:w="1237"/>
        <w:gridCol w:w="1641"/>
        <w:gridCol w:w="1453"/>
        <w:gridCol w:w="1373"/>
        <w:gridCol w:w="1373"/>
        <w:gridCol w:w="1377"/>
        <w:gridCol w:w="1224"/>
        <w:gridCol w:w="745"/>
        <w:gridCol w:w="4406"/>
      </w:tblGrid>
      <w:tr w:rsidR="00BF03AA" w:rsidRPr="00326E55" w14:paraId="415A0791" w14:textId="77777777">
        <w:trPr>
          <w:trHeight w:val="927"/>
          <w:tblHeader/>
          <w:jc w:val="center"/>
        </w:trPr>
        <w:tc>
          <w:tcPr>
            <w:tcW w:w="1402" w:type="dxa"/>
            <w:vMerge w:val="restart"/>
            <w:shd w:val="clear" w:color="auto" w:fill="BDD7EE"/>
            <w:vAlign w:val="center"/>
            <w:hideMark/>
          </w:tcPr>
          <w:p w14:paraId="21287EF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570" w:type="dxa"/>
            <w:vMerge w:val="restart"/>
            <w:shd w:val="clear" w:color="auto" w:fill="BDD7EE"/>
            <w:vAlign w:val="center"/>
            <w:hideMark/>
          </w:tcPr>
          <w:p w14:paraId="299B1BF3"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237" w:type="dxa"/>
            <w:vMerge w:val="restart"/>
            <w:shd w:val="clear" w:color="auto" w:fill="BDD7EE"/>
            <w:vAlign w:val="center"/>
            <w:hideMark/>
          </w:tcPr>
          <w:p w14:paraId="3E8C13C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641" w:type="dxa"/>
            <w:vMerge w:val="restart"/>
            <w:shd w:val="clear" w:color="auto" w:fill="BDD7EE"/>
            <w:vAlign w:val="center"/>
            <w:hideMark/>
          </w:tcPr>
          <w:p w14:paraId="1EE0166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453" w:type="dxa"/>
            <w:vMerge w:val="restart"/>
            <w:shd w:val="clear" w:color="auto" w:fill="BDD7EE"/>
            <w:vAlign w:val="center"/>
            <w:hideMark/>
          </w:tcPr>
          <w:p w14:paraId="15C86E73"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4085" w:type="dxa"/>
            <w:gridSpan w:val="3"/>
            <w:shd w:val="clear" w:color="auto" w:fill="BDD7EE"/>
            <w:vAlign w:val="center"/>
            <w:hideMark/>
          </w:tcPr>
          <w:p w14:paraId="4541DD03"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w:t>
            </w:r>
            <w:r w:rsidRPr="00326E55">
              <w:rPr>
                <w:rFonts w:ascii="Times New Roman" w:hAnsi="Times New Roman"/>
                <w:b/>
                <w:noProof/>
                <w:spacing w:val="-6"/>
                <w:sz w:val="20"/>
                <w:lang w:val="sk-SK"/>
              </w:rPr>
              <w:t>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807" w:type="dxa"/>
            <w:gridSpan w:val="2"/>
            <w:shd w:val="clear" w:color="auto" w:fill="BDD7EE"/>
            <w:vAlign w:val="center"/>
            <w:hideMark/>
          </w:tcPr>
          <w:p w14:paraId="0AC88E8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4406" w:type="dxa"/>
            <w:vMerge w:val="restart"/>
            <w:shd w:val="clear" w:color="auto" w:fill="BDD7EE"/>
            <w:vAlign w:val="center"/>
            <w:hideMark/>
          </w:tcPr>
          <w:p w14:paraId="4B1009F0" w14:textId="2162B45D"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7EC7190F" w14:textId="77777777">
        <w:trPr>
          <w:trHeight w:val="654"/>
          <w:tblHeader/>
          <w:jc w:val="center"/>
        </w:trPr>
        <w:tc>
          <w:tcPr>
            <w:tcW w:w="1402" w:type="dxa"/>
            <w:vMerge/>
            <w:vAlign w:val="center"/>
            <w:hideMark/>
          </w:tcPr>
          <w:p w14:paraId="35E1152D" w14:textId="77777777" w:rsidR="00BF03AA" w:rsidRPr="00326E55" w:rsidRDefault="00BF03AA">
            <w:pPr>
              <w:jc w:val="center"/>
              <w:rPr>
                <w:rFonts w:ascii="Times New Roman" w:hAnsi="Times New Roman"/>
                <w:b/>
                <w:noProof/>
                <w:spacing w:val="-6"/>
                <w:sz w:val="20"/>
                <w:szCs w:val="20"/>
                <w:lang w:val="sk-SK"/>
              </w:rPr>
            </w:pPr>
          </w:p>
        </w:tc>
        <w:tc>
          <w:tcPr>
            <w:tcW w:w="1570" w:type="dxa"/>
            <w:vMerge/>
            <w:vAlign w:val="center"/>
            <w:hideMark/>
          </w:tcPr>
          <w:p w14:paraId="16F62E7A" w14:textId="77777777" w:rsidR="00BF03AA" w:rsidRPr="00326E55" w:rsidRDefault="00BF03AA">
            <w:pPr>
              <w:jc w:val="center"/>
              <w:rPr>
                <w:rFonts w:ascii="Times New Roman" w:hAnsi="Times New Roman"/>
                <w:b/>
                <w:noProof/>
                <w:spacing w:val="-6"/>
                <w:sz w:val="20"/>
                <w:szCs w:val="20"/>
                <w:lang w:val="sk-SK"/>
              </w:rPr>
            </w:pPr>
          </w:p>
        </w:tc>
        <w:tc>
          <w:tcPr>
            <w:tcW w:w="1237" w:type="dxa"/>
            <w:vMerge/>
            <w:vAlign w:val="center"/>
            <w:hideMark/>
          </w:tcPr>
          <w:p w14:paraId="7D61AA99" w14:textId="77777777" w:rsidR="00BF03AA" w:rsidRPr="00326E55" w:rsidRDefault="00BF03AA">
            <w:pPr>
              <w:jc w:val="center"/>
              <w:rPr>
                <w:rFonts w:ascii="Times New Roman" w:hAnsi="Times New Roman"/>
                <w:b/>
                <w:noProof/>
                <w:spacing w:val="-6"/>
                <w:sz w:val="20"/>
                <w:szCs w:val="20"/>
                <w:lang w:val="sk-SK"/>
              </w:rPr>
            </w:pPr>
          </w:p>
        </w:tc>
        <w:tc>
          <w:tcPr>
            <w:tcW w:w="1641" w:type="dxa"/>
            <w:vMerge/>
            <w:vAlign w:val="center"/>
            <w:hideMark/>
          </w:tcPr>
          <w:p w14:paraId="26DABD33" w14:textId="77777777" w:rsidR="00BF03AA" w:rsidRPr="00326E55" w:rsidRDefault="00BF03AA">
            <w:pPr>
              <w:jc w:val="center"/>
              <w:rPr>
                <w:rFonts w:ascii="Times New Roman" w:hAnsi="Times New Roman"/>
                <w:b/>
                <w:noProof/>
                <w:spacing w:val="-6"/>
                <w:sz w:val="20"/>
                <w:szCs w:val="20"/>
                <w:lang w:val="sk-SK"/>
              </w:rPr>
            </w:pPr>
          </w:p>
        </w:tc>
        <w:tc>
          <w:tcPr>
            <w:tcW w:w="1453" w:type="dxa"/>
            <w:vMerge/>
            <w:vAlign w:val="center"/>
            <w:hideMark/>
          </w:tcPr>
          <w:p w14:paraId="30990CB1" w14:textId="77777777" w:rsidR="00BF03AA" w:rsidRPr="00326E55" w:rsidRDefault="00BF03AA">
            <w:pPr>
              <w:jc w:val="center"/>
              <w:rPr>
                <w:rFonts w:ascii="Times New Roman" w:hAnsi="Times New Roman"/>
                <w:b/>
                <w:noProof/>
                <w:spacing w:val="-6"/>
                <w:sz w:val="20"/>
                <w:szCs w:val="20"/>
                <w:lang w:val="sk-SK"/>
              </w:rPr>
            </w:pPr>
          </w:p>
        </w:tc>
        <w:tc>
          <w:tcPr>
            <w:tcW w:w="1339" w:type="dxa"/>
            <w:shd w:val="clear" w:color="auto" w:fill="BDD7EE"/>
            <w:vAlign w:val="center"/>
            <w:hideMark/>
          </w:tcPr>
          <w:p w14:paraId="7A88C0D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369" w:type="dxa"/>
            <w:shd w:val="clear" w:color="auto" w:fill="BDD7EE"/>
            <w:vAlign w:val="center"/>
            <w:hideMark/>
          </w:tcPr>
          <w:p w14:paraId="6B5B9A9A"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1377" w:type="dxa"/>
            <w:shd w:val="clear" w:color="auto" w:fill="BDD7EE"/>
            <w:vAlign w:val="center"/>
            <w:hideMark/>
          </w:tcPr>
          <w:p w14:paraId="3446E85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062" w:type="dxa"/>
            <w:shd w:val="clear" w:color="auto" w:fill="BDD7EE"/>
            <w:vAlign w:val="center"/>
            <w:hideMark/>
          </w:tcPr>
          <w:p w14:paraId="1F4BA50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45" w:type="dxa"/>
            <w:shd w:val="clear" w:color="auto" w:fill="BDD7EE"/>
            <w:vAlign w:val="center"/>
            <w:hideMark/>
          </w:tcPr>
          <w:p w14:paraId="3406AE1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4406" w:type="dxa"/>
            <w:vMerge/>
            <w:vAlign w:val="center"/>
            <w:hideMark/>
          </w:tcPr>
          <w:p w14:paraId="7F51C387" w14:textId="77777777" w:rsidR="00BF03AA" w:rsidRPr="00326E55" w:rsidRDefault="00BF03AA">
            <w:pPr>
              <w:rPr>
                <w:rFonts w:ascii="Times New Roman" w:hAnsi="Times New Roman"/>
                <w:b/>
                <w:noProof/>
                <w:spacing w:val="-6"/>
                <w:sz w:val="20"/>
                <w:szCs w:val="20"/>
                <w:lang w:val="sk-SK"/>
              </w:rPr>
            </w:pPr>
          </w:p>
        </w:tc>
      </w:tr>
      <w:tr w:rsidR="00BF03AA" w:rsidRPr="00326E55" w14:paraId="2E9284F8" w14:textId="77777777">
        <w:trPr>
          <w:trHeight w:val="309"/>
          <w:jc w:val="center"/>
        </w:trPr>
        <w:tc>
          <w:tcPr>
            <w:tcW w:w="1402" w:type="dxa"/>
            <w:shd w:val="clear" w:color="auto" w:fill="C6EFCE"/>
            <w:noWrap/>
            <w:vAlign w:val="center"/>
            <w:hideMark/>
          </w:tcPr>
          <w:p w14:paraId="371960F1"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M5C2 – 1</w:t>
            </w:r>
          </w:p>
        </w:tc>
        <w:tc>
          <w:tcPr>
            <w:tcW w:w="1570" w:type="dxa"/>
            <w:shd w:val="clear" w:color="auto" w:fill="C6EFCE"/>
            <w:noWrap/>
            <w:vAlign w:val="center"/>
            <w:hideMark/>
          </w:tcPr>
          <w:p w14:paraId="63A8C73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 – Rámcový zákon pre osoby so zdravotným postihnutím</w:t>
            </w:r>
          </w:p>
        </w:tc>
        <w:tc>
          <w:tcPr>
            <w:tcW w:w="1237" w:type="dxa"/>
            <w:shd w:val="clear" w:color="auto" w:fill="C6EFCE"/>
            <w:noWrap/>
            <w:vAlign w:val="center"/>
            <w:hideMark/>
          </w:tcPr>
          <w:p w14:paraId="5CEF04E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641" w:type="dxa"/>
            <w:shd w:val="clear" w:color="auto" w:fill="C6EFCE"/>
            <w:noWrap/>
            <w:vAlign w:val="center"/>
            <w:hideMark/>
          </w:tcPr>
          <w:p w14:paraId="589D260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w:t>
            </w:r>
            <w:r w:rsidRPr="00326E55">
              <w:rPr>
                <w:rFonts w:ascii="Times New Roman" w:hAnsi="Times New Roman"/>
                <w:noProof/>
                <w:spacing w:val="-6"/>
                <w:lang w:val="sk-SK"/>
              </w:rPr>
              <w:t>účinnosti rámcového zákona na posilnenie autonómie osôb so zdravotným postihnutím</w:t>
            </w:r>
          </w:p>
        </w:tc>
        <w:tc>
          <w:tcPr>
            <w:tcW w:w="1453" w:type="dxa"/>
            <w:shd w:val="clear" w:color="auto" w:fill="C6EFCE"/>
            <w:noWrap/>
            <w:vAlign w:val="center"/>
            <w:hideMark/>
          </w:tcPr>
          <w:p w14:paraId="1FC7E4C2" w14:textId="2011B111"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rámcového zákona</w:t>
            </w:r>
          </w:p>
        </w:tc>
        <w:tc>
          <w:tcPr>
            <w:tcW w:w="1339" w:type="dxa"/>
            <w:shd w:val="clear" w:color="auto" w:fill="C6EFCE"/>
            <w:noWrap/>
            <w:vAlign w:val="center"/>
            <w:hideMark/>
          </w:tcPr>
          <w:p w14:paraId="529FABA2"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69" w:type="dxa"/>
            <w:shd w:val="clear" w:color="auto" w:fill="C6EFCE"/>
            <w:noWrap/>
            <w:vAlign w:val="center"/>
            <w:hideMark/>
          </w:tcPr>
          <w:p w14:paraId="528858C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77" w:type="dxa"/>
            <w:shd w:val="clear" w:color="auto" w:fill="C6EFCE"/>
            <w:noWrap/>
            <w:vAlign w:val="center"/>
            <w:hideMark/>
          </w:tcPr>
          <w:p w14:paraId="53C32FA6"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062" w:type="dxa"/>
            <w:shd w:val="clear" w:color="auto" w:fill="C6EFCE"/>
            <w:noWrap/>
            <w:vAlign w:val="center"/>
            <w:hideMark/>
          </w:tcPr>
          <w:p w14:paraId="0207CD39"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45" w:type="dxa"/>
            <w:shd w:val="clear" w:color="auto" w:fill="C6EFCE"/>
            <w:noWrap/>
            <w:vAlign w:val="center"/>
            <w:hideMark/>
          </w:tcPr>
          <w:p w14:paraId="0058B5F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4406" w:type="dxa"/>
            <w:shd w:val="clear" w:color="auto" w:fill="C6EFCE"/>
            <w:noWrap/>
            <w:vAlign w:val="center"/>
            <w:hideMark/>
          </w:tcPr>
          <w:p w14:paraId="664A59D1" w14:textId="6E6ED22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Rámcový zákon, ktorý pozostáva zo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delegovaní, posilní </w:t>
            </w:r>
            <w:r w:rsidRPr="00326E55">
              <w:rPr>
                <w:rFonts w:ascii="Times New Roman" w:hAnsi="Times New Roman"/>
                <w:noProof/>
                <w:spacing w:val="-6"/>
                <w:lang w:val="sk-SK"/>
              </w:rPr>
              <w:t>autonómiu osôb so zdravotným postihnutím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zásadami Dohovoru OSN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právach osôb so zdravotným postihnutím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európskej stratégie pre práva osôb so zdravotným postihnutím na roky 2021 – 2030, ktorá zahŕňa minimálne: I) komplexné vymedzenie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zlepše</w:t>
            </w:r>
            <w:r w:rsidRPr="00326E55">
              <w:rPr>
                <w:rFonts w:ascii="Times New Roman" w:hAnsi="Times New Roman"/>
                <w:noProof/>
                <w:spacing w:val="-6"/>
                <w:lang w:val="sk-SK"/>
              </w:rPr>
              <w:t>nie ponuky sociálnych služieb pre osoby so zdravotným postihnutím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podporou deinštitucionalizácie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nezávislého života, ii) zjednodušenie postupov prístupu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zdravotným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sociálnym službám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iii) preskúmanie postupov posudzovania stavu zdravotného p</w:t>
            </w:r>
            <w:r w:rsidRPr="00326E55">
              <w:rPr>
                <w:rFonts w:ascii="Times New Roman" w:hAnsi="Times New Roman"/>
                <w:noProof/>
                <w:spacing w:val="-6"/>
                <w:lang w:val="sk-SK"/>
              </w:rPr>
              <w:t>ostihnutia smerom</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viacrozmernému hodnoteniu stavu každej osoby.</w:t>
            </w:r>
          </w:p>
          <w:p w14:paraId="4D648C86" w14:textId="4EBBDF03"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Osoby so zdravotným postihnutím sú osoby vymedzené podľa zásad Dohovoru OSN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právach osôb so zdravotným postihnutím zákonom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104/1992.</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Taliansku je proces posudzovania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kompetencii reg</w:t>
            </w:r>
            <w:r w:rsidRPr="00326E55">
              <w:rPr>
                <w:rFonts w:ascii="Times New Roman" w:hAnsi="Times New Roman"/>
                <w:noProof/>
                <w:spacing w:val="-6"/>
                <w:lang w:val="sk-SK"/>
              </w:rPr>
              <w:t>iónov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osobu hodnotia miestne zdravotnícke služby alebo Národný inštitút sociálneho zabezpečenia.</w:t>
            </w:r>
          </w:p>
          <w:p w14:paraId="256FC5F3" w14:textId="77777777"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Zákon navrhne minister pre osoby so zdravotným postihnutím na schválenie Radou ministrov podľa stanoveného plánu.</w:t>
            </w:r>
          </w:p>
          <w:p w14:paraId="4C09C9E0" w14:textId="41DDA991"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Po prijatí rámcového zákona nasleduje reorg</w:t>
            </w:r>
            <w:r w:rsidRPr="00326E55">
              <w:rPr>
                <w:rFonts w:ascii="Times New Roman" w:hAnsi="Times New Roman"/>
                <w:noProof/>
                <w:spacing w:val="-6"/>
                <w:lang w:val="sk-SK"/>
              </w:rPr>
              <w:t>anizácia miestnych sociálnych služieb, vymedzenie noriem kvality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poskytnutie platformy IKT na zlepšenie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zefektívnenie služieb.</w:t>
            </w:r>
          </w:p>
        </w:tc>
      </w:tr>
      <w:tr w:rsidR="00BF03AA" w:rsidRPr="00326E55" w14:paraId="210D399F" w14:textId="77777777">
        <w:trPr>
          <w:trHeight w:val="309"/>
          <w:jc w:val="center"/>
        </w:trPr>
        <w:tc>
          <w:tcPr>
            <w:tcW w:w="1402" w:type="dxa"/>
            <w:shd w:val="clear" w:color="auto" w:fill="C6EFCE"/>
            <w:noWrap/>
            <w:vAlign w:val="center"/>
            <w:hideMark/>
          </w:tcPr>
          <w:p w14:paraId="4603FBD4"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M5C2 – 2</w:t>
            </w:r>
          </w:p>
        </w:tc>
        <w:tc>
          <w:tcPr>
            <w:tcW w:w="1570" w:type="dxa"/>
            <w:shd w:val="clear" w:color="auto" w:fill="C6EFCE"/>
            <w:noWrap/>
            <w:vAlign w:val="center"/>
            <w:hideMark/>
          </w:tcPr>
          <w:p w14:paraId="21E0D6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 – Rámcový zákon pre osoby so zdravotným postihnutím</w:t>
            </w:r>
          </w:p>
        </w:tc>
        <w:tc>
          <w:tcPr>
            <w:tcW w:w="1237" w:type="dxa"/>
            <w:shd w:val="clear" w:color="auto" w:fill="C6EFCE"/>
            <w:noWrap/>
            <w:vAlign w:val="center"/>
            <w:hideMark/>
          </w:tcPr>
          <w:p w14:paraId="499C2CD7"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Míľnik</w:t>
            </w:r>
          </w:p>
        </w:tc>
        <w:tc>
          <w:tcPr>
            <w:tcW w:w="1641" w:type="dxa"/>
            <w:shd w:val="clear" w:color="auto" w:fill="C6EFCE"/>
            <w:noWrap/>
            <w:vAlign w:val="center"/>
            <w:hideMark/>
          </w:tcPr>
          <w:p w14:paraId="077115D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účinnosti legislatívnych </w:t>
            </w:r>
            <w:r w:rsidRPr="00326E55">
              <w:rPr>
                <w:rFonts w:ascii="Times New Roman" w:hAnsi="Times New Roman"/>
                <w:noProof/>
                <w:spacing w:val="-6"/>
                <w:lang w:val="sk-SK"/>
              </w:rPr>
              <w:t>dekrétov, ktorými sa rozvíjajú ustanovenia rámcového zákona na posilnenie autonómie osôb so zdravotným postihnutím</w:t>
            </w:r>
          </w:p>
        </w:tc>
        <w:tc>
          <w:tcPr>
            <w:tcW w:w="1453" w:type="dxa"/>
            <w:shd w:val="clear" w:color="auto" w:fill="C6EFCE"/>
            <w:noWrap/>
            <w:vAlign w:val="center"/>
            <w:hideMark/>
          </w:tcPr>
          <w:p w14:paraId="185EA102" w14:textId="712BDE18"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Ustanovenia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legislatívnych dekrétov</w:t>
            </w:r>
          </w:p>
        </w:tc>
        <w:tc>
          <w:tcPr>
            <w:tcW w:w="1339" w:type="dxa"/>
            <w:shd w:val="clear" w:color="auto" w:fill="C6EFCE"/>
            <w:noWrap/>
            <w:vAlign w:val="center"/>
            <w:hideMark/>
          </w:tcPr>
          <w:p w14:paraId="0153986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69" w:type="dxa"/>
            <w:shd w:val="clear" w:color="auto" w:fill="C6EFCE"/>
            <w:noWrap/>
            <w:vAlign w:val="center"/>
            <w:hideMark/>
          </w:tcPr>
          <w:p w14:paraId="7F0A769D"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77" w:type="dxa"/>
            <w:shd w:val="clear" w:color="auto" w:fill="C6EFCE"/>
            <w:noWrap/>
            <w:vAlign w:val="center"/>
            <w:hideMark/>
          </w:tcPr>
          <w:p w14:paraId="4F756503"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062" w:type="dxa"/>
            <w:shd w:val="clear" w:color="auto" w:fill="C6EFCE"/>
            <w:noWrap/>
            <w:vAlign w:val="center"/>
            <w:hideMark/>
          </w:tcPr>
          <w:p w14:paraId="65B112C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45" w:type="dxa"/>
            <w:shd w:val="clear" w:color="auto" w:fill="C6EFCE"/>
            <w:noWrap/>
            <w:vAlign w:val="center"/>
            <w:hideMark/>
          </w:tcPr>
          <w:p w14:paraId="5529812E"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2024</w:t>
            </w:r>
          </w:p>
        </w:tc>
        <w:tc>
          <w:tcPr>
            <w:tcW w:w="4406" w:type="dxa"/>
            <w:shd w:val="clear" w:color="auto" w:fill="C6EFCE"/>
            <w:noWrap/>
            <w:vAlign w:val="center"/>
            <w:hideMark/>
          </w:tcPr>
          <w:p w14:paraId="344DA059" w14:textId="0EB314E4"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Legislatívne dekréty vyp</w:t>
            </w:r>
            <w:r w:rsidRPr="00326E55">
              <w:rPr>
                <w:rFonts w:ascii="Times New Roman" w:hAnsi="Times New Roman"/>
                <w:noProof/>
                <w:spacing w:val="-6"/>
                <w:lang w:val="sk-SK"/>
              </w:rPr>
              <w:t>racujú ustanovenia rámcového zákona na posilnenie autonómie osôb so zdravotným postihnutím: I) posilnenie ponuky sociálnych služieb, II) zjednodušenie prístupu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sociálnym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zdravotníckym službám, III) reformy posudzovania zdravotného postihnutia, IV) p</w:t>
            </w:r>
            <w:r w:rsidRPr="00326E55">
              <w:rPr>
                <w:rFonts w:ascii="Times New Roman" w:hAnsi="Times New Roman"/>
                <w:noProof/>
                <w:spacing w:val="-6"/>
                <w:lang w:val="sk-SK"/>
              </w:rPr>
              <w:t>odpora projektov nezávislého bývania, V) podpora práce tímov odborníkov, ktoré môžu podporovať osoby so zdravotným postihnutím</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viacrozmernými potrebami.</w:t>
            </w:r>
          </w:p>
        </w:tc>
      </w:tr>
      <w:tr w:rsidR="00BF03AA" w:rsidRPr="00326E55" w14:paraId="4297D7A7" w14:textId="77777777">
        <w:trPr>
          <w:trHeight w:val="309"/>
          <w:jc w:val="center"/>
        </w:trPr>
        <w:tc>
          <w:tcPr>
            <w:tcW w:w="1402" w:type="dxa"/>
            <w:shd w:val="clear" w:color="auto" w:fill="C6EFCE"/>
            <w:noWrap/>
            <w:vAlign w:val="center"/>
            <w:hideMark/>
          </w:tcPr>
          <w:p w14:paraId="1368409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M5C2 – 3</w:t>
            </w:r>
          </w:p>
        </w:tc>
        <w:tc>
          <w:tcPr>
            <w:tcW w:w="1570" w:type="dxa"/>
            <w:shd w:val="clear" w:color="auto" w:fill="C6EFCE"/>
            <w:noWrap/>
            <w:vAlign w:val="center"/>
            <w:hideMark/>
          </w:tcPr>
          <w:p w14:paraId="21827A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2 – Reforma pre staršie osoby, ktoré nie sú sebestačné</w:t>
            </w:r>
          </w:p>
        </w:tc>
        <w:tc>
          <w:tcPr>
            <w:tcW w:w="1237" w:type="dxa"/>
            <w:shd w:val="clear" w:color="auto" w:fill="C6EFCE"/>
            <w:noWrap/>
            <w:vAlign w:val="center"/>
            <w:hideMark/>
          </w:tcPr>
          <w:p w14:paraId="259BDF6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641" w:type="dxa"/>
            <w:shd w:val="clear" w:color="auto" w:fill="C6EFCE"/>
            <w:noWrap/>
            <w:vAlign w:val="center"/>
            <w:hideMark/>
          </w:tcPr>
          <w:p w14:paraId="67D73C8D" w14:textId="5484768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w:t>
            </w:r>
            <w:r w:rsidRPr="00326E55">
              <w:rPr>
                <w:rFonts w:ascii="Times New Roman" w:hAnsi="Times New Roman"/>
                <w:noProof/>
                <w:spacing w:val="-6"/>
                <w:lang w:val="sk-SK"/>
              </w:rPr>
              <w:t>účinnosti rámcového zákona, ktorým sa posilňujú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prospech starších osôb, ktoré nie sú sebestačné</w:t>
            </w:r>
          </w:p>
        </w:tc>
        <w:tc>
          <w:tcPr>
            <w:tcW w:w="1453" w:type="dxa"/>
            <w:shd w:val="clear" w:color="auto" w:fill="C6EFCE"/>
            <w:noWrap/>
            <w:vAlign w:val="center"/>
            <w:hideMark/>
          </w:tcPr>
          <w:p w14:paraId="473AD2E6" w14:textId="2F997453" w:rsidR="00BF03AA" w:rsidRPr="00326E55" w:rsidRDefault="00FB452D">
            <w:pPr>
              <w:pStyle w:val="P68B1DB1-Normal14"/>
              <w:jc w:val="center"/>
              <w:rPr>
                <w:rFonts w:ascii="Times New Roman" w:hAnsi="Times New Roman"/>
                <w:noProof/>
                <w:color w:val="006100"/>
                <w:spacing w:val="-6"/>
                <w:szCs w:val="20"/>
                <w:lang w:val="sk-SK"/>
              </w:rPr>
            </w:pPr>
            <w:r w:rsidRPr="00326E55">
              <w:rPr>
                <w:rFonts w:ascii="Times New Roman" w:hAnsi="Times New Roman"/>
                <w:noProof/>
                <w:color w:val="006100"/>
                <w:spacing w:val="-6"/>
                <w:lang w:val="sk-SK"/>
              </w:rPr>
              <w:t>Ustanovenia</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zákone,</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ktorých sa uvádza nadobudnutie účinnosti rámcového</w:t>
            </w:r>
            <w:r w:rsidRPr="00326E55">
              <w:rPr>
                <w:rFonts w:ascii="Times New Roman" w:hAnsi="Times New Roman"/>
                <w:noProof/>
                <w:spacing w:val="-6"/>
                <w:lang w:val="sk-SK"/>
              </w:rPr>
              <w:t xml:space="preserve"> </w:t>
            </w:r>
            <w:r w:rsidRPr="00326E55">
              <w:rPr>
                <w:rFonts w:ascii="Times New Roman" w:hAnsi="Times New Roman"/>
                <w:noProof/>
                <w:color w:val="006100"/>
                <w:spacing w:val="-6"/>
                <w:lang w:val="sk-SK"/>
              </w:rPr>
              <w:t>zákona, ktorým sa posilňujú opatrenia</w:t>
            </w:r>
            <w:r w:rsidR="00326E55" w:rsidRPr="00326E55">
              <w:rPr>
                <w:rFonts w:ascii="Times New Roman" w:hAnsi="Times New Roman"/>
                <w:noProof/>
                <w:color w:val="006100"/>
                <w:spacing w:val="-6"/>
                <w:lang w:val="sk-SK"/>
              </w:rPr>
              <w:t xml:space="preserve"> v </w:t>
            </w:r>
            <w:r w:rsidRPr="00326E55">
              <w:rPr>
                <w:rFonts w:ascii="Times New Roman" w:hAnsi="Times New Roman"/>
                <w:noProof/>
                <w:color w:val="006100"/>
                <w:spacing w:val="-6"/>
                <w:lang w:val="sk-SK"/>
              </w:rPr>
              <w:t>prospech starších ľudí, ktorí nie</w:t>
            </w:r>
            <w:r w:rsidRPr="00326E55">
              <w:rPr>
                <w:rFonts w:ascii="Times New Roman" w:hAnsi="Times New Roman"/>
                <w:noProof/>
                <w:color w:val="006100"/>
                <w:spacing w:val="-6"/>
                <w:lang w:val="sk-SK"/>
              </w:rPr>
              <w:t xml:space="preserve"> sú sebestačné</w:t>
            </w:r>
          </w:p>
        </w:tc>
        <w:tc>
          <w:tcPr>
            <w:tcW w:w="1339" w:type="dxa"/>
            <w:shd w:val="clear" w:color="auto" w:fill="C6EFCE"/>
            <w:noWrap/>
            <w:vAlign w:val="center"/>
            <w:hideMark/>
          </w:tcPr>
          <w:p w14:paraId="36B9AE0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69" w:type="dxa"/>
            <w:shd w:val="clear" w:color="auto" w:fill="C6EFCE"/>
            <w:noWrap/>
            <w:vAlign w:val="center"/>
            <w:hideMark/>
          </w:tcPr>
          <w:p w14:paraId="0C57032A"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77" w:type="dxa"/>
            <w:shd w:val="clear" w:color="auto" w:fill="C6EFCE"/>
            <w:noWrap/>
            <w:vAlign w:val="center"/>
            <w:hideMark/>
          </w:tcPr>
          <w:p w14:paraId="01211EF4"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062" w:type="dxa"/>
            <w:shd w:val="clear" w:color="auto" w:fill="C6EFCE"/>
            <w:noWrap/>
            <w:vAlign w:val="center"/>
            <w:hideMark/>
          </w:tcPr>
          <w:p w14:paraId="6EAD2F0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45" w:type="dxa"/>
            <w:shd w:val="clear" w:color="auto" w:fill="C6EFCE"/>
            <w:noWrap/>
            <w:vAlign w:val="center"/>
            <w:hideMark/>
          </w:tcPr>
          <w:p w14:paraId="04F34A0A"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2023</w:t>
            </w:r>
          </w:p>
        </w:tc>
        <w:tc>
          <w:tcPr>
            <w:tcW w:w="4406" w:type="dxa"/>
            <w:shd w:val="clear" w:color="auto" w:fill="C6EFCE"/>
            <w:noWrap/>
            <w:vAlign w:val="center"/>
            <w:hideMark/>
          </w:tcPr>
          <w:p w14:paraId="046C1CC1" w14:textId="7B62938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Rámcovým zákonom, ktorý navrhla vláda, sa posilnia opatrenia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prospech sebestačných starších ľudí. Zákonom sa zjednodušia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ustanovia jednotné kontaktné miesta pre sociálne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zdravotnícke </w:t>
            </w:r>
            <w:r w:rsidRPr="00326E55">
              <w:rPr>
                <w:rFonts w:ascii="Times New Roman" w:hAnsi="Times New Roman"/>
                <w:noProof/>
                <w:spacing w:val="-6"/>
                <w:lang w:val="sk-SK"/>
              </w:rPr>
              <w:t>služby, preskúmajú sa postupy posudzovania stavu sebestačných starších osôb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rozšíri sa súbor služieb sociálnej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zdravotnej starostlivosti, ktoré sa môžu poskytovať doma.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 sa určia aj potrebné finančné zdroje.</w:t>
            </w:r>
          </w:p>
        </w:tc>
      </w:tr>
      <w:tr w:rsidR="00BF03AA" w:rsidRPr="00326E55" w14:paraId="1AEC87F6" w14:textId="77777777">
        <w:trPr>
          <w:trHeight w:val="309"/>
          <w:jc w:val="center"/>
        </w:trPr>
        <w:tc>
          <w:tcPr>
            <w:tcW w:w="1402" w:type="dxa"/>
            <w:shd w:val="clear" w:color="auto" w:fill="C6EFCE"/>
            <w:noWrap/>
            <w:vAlign w:val="center"/>
            <w:hideMark/>
          </w:tcPr>
          <w:p w14:paraId="5638FCB4"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M5C2 – 4</w:t>
            </w:r>
          </w:p>
        </w:tc>
        <w:tc>
          <w:tcPr>
            <w:tcW w:w="1570" w:type="dxa"/>
            <w:shd w:val="clear" w:color="auto" w:fill="C6EFCE"/>
            <w:noWrap/>
            <w:vAlign w:val="center"/>
            <w:hideMark/>
          </w:tcPr>
          <w:p w14:paraId="634379D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2 – Reforma pre </w:t>
            </w:r>
            <w:r w:rsidRPr="00326E55">
              <w:rPr>
                <w:rFonts w:ascii="Times New Roman" w:hAnsi="Times New Roman"/>
                <w:noProof/>
                <w:spacing w:val="-6"/>
                <w:lang w:val="sk-SK"/>
              </w:rPr>
              <w:t>staršie osoby, ktoré nie sú sebestačné</w:t>
            </w:r>
          </w:p>
        </w:tc>
        <w:tc>
          <w:tcPr>
            <w:tcW w:w="1237" w:type="dxa"/>
            <w:shd w:val="clear" w:color="auto" w:fill="C6EFCE"/>
            <w:noWrap/>
            <w:vAlign w:val="center"/>
            <w:hideMark/>
          </w:tcPr>
          <w:p w14:paraId="2EA59E32"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Míľnik</w:t>
            </w:r>
          </w:p>
        </w:tc>
        <w:tc>
          <w:tcPr>
            <w:tcW w:w="1641" w:type="dxa"/>
            <w:shd w:val="clear" w:color="auto" w:fill="C6EFCE"/>
            <w:noWrap/>
            <w:vAlign w:val="center"/>
            <w:hideMark/>
          </w:tcPr>
          <w:p w14:paraId="22B2B863" w14:textId="74F39F4F"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legislatívneho dekrétu, ktorým sa rozvíjajú ustanovenia rámcového zákona na posilnenie opatrení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prospech starších osôb, ktoré nie sú sebestačné</w:t>
            </w:r>
          </w:p>
        </w:tc>
        <w:tc>
          <w:tcPr>
            <w:tcW w:w="1453" w:type="dxa"/>
            <w:shd w:val="clear" w:color="auto" w:fill="C6EFCE"/>
            <w:noWrap/>
            <w:vAlign w:val="center"/>
            <w:hideMark/>
          </w:tcPr>
          <w:p w14:paraId="3D5867BC" w14:textId="46E5381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Ustanovenia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w:t>
            </w:r>
            <w:r w:rsidRPr="00326E55">
              <w:rPr>
                <w:rFonts w:ascii="Times New Roman" w:hAnsi="Times New Roman"/>
                <w:noProof/>
                <w:spacing w:val="-6"/>
                <w:lang w:val="sk-SK"/>
              </w:rPr>
              <w:t>účinnosti legislatívneho dekrétu</w:t>
            </w:r>
          </w:p>
        </w:tc>
        <w:tc>
          <w:tcPr>
            <w:tcW w:w="1339" w:type="dxa"/>
            <w:shd w:val="clear" w:color="auto" w:fill="C6EFCE"/>
            <w:noWrap/>
            <w:vAlign w:val="center"/>
            <w:hideMark/>
          </w:tcPr>
          <w:p w14:paraId="039072DD"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69" w:type="dxa"/>
            <w:shd w:val="clear" w:color="auto" w:fill="C6EFCE"/>
            <w:noWrap/>
            <w:vAlign w:val="center"/>
            <w:hideMark/>
          </w:tcPr>
          <w:p w14:paraId="57933A69"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77" w:type="dxa"/>
            <w:shd w:val="clear" w:color="auto" w:fill="C6EFCE"/>
            <w:noWrap/>
            <w:vAlign w:val="center"/>
            <w:hideMark/>
          </w:tcPr>
          <w:p w14:paraId="4634BBD7"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062" w:type="dxa"/>
            <w:shd w:val="clear" w:color="auto" w:fill="C6EFCE"/>
            <w:noWrap/>
            <w:vAlign w:val="center"/>
            <w:hideMark/>
          </w:tcPr>
          <w:p w14:paraId="7016FDF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45" w:type="dxa"/>
            <w:shd w:val="clear" w:color="auto" w:fill="C6EFCE"/>
            <w:noWrap/>
            <w:vAlign w:val="center"/>
            <w:hideMark/>
          </w:tcPr>
          <w:p w14:paraId="3D191AC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4406" w:type="dxa"/>
            <w:shd w:val="clear" w:color="auto" w:fill="C6EFCE"/>
            <w:noWrap/>
            <w:vAlign w:val="center"/>
            <w:hideMark/>
          </w:tcPr>
          <w:p w14:paraId="07246969" w14:textId="7308CBA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Legislatívny dekrét konkretizuje ustanovenia rámcového zákona na posilnenie činností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prospech sebestačných starších ľudí, pričom sa vykonávajú rôzne opatrenia.</w:t>
            </w:r>
          </w:p>
        </w:tc>
      </w:tr>
      <w:tr w:rsidR="00BF03AA" w:rsidRPr="00326E55" w14:paraId="64EBB713" w14:textId="77777777">
        <w:trPr>
          <w:trHeight w:val="309"/>
          <w:jc w:val="center"/>
        </w:trPr>
        <w:tc>
          <w:tcPr>
            <w:tcW w:w="1402" w:type="dxa"/>
            <w:shd w:val="clear" w:color="auto" w:fill="C6EFCE"/>
            <w:noWrap/>
            <w:vAlign w:val="center"/>
            <w:hideMark/>
          </w:tcPr>
          <w:p w14:paraId="7F289F4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M5C2 – 5</w:t>
            </w:r>
          </w:p>
        </w:tc>
        <w:tc>
          <w:tcPr>
            <w:tcW w:w="1570" w:type="dxa"/>
            <w:shd w:val="clear" w:color="auto" w:fill="C6EFCE"/>
            <w:noWrap/>
            <w:vAlign w:val="center"/>
            <w:hideMark/>
          </w:tcPr>
          <w:p w14:paraId="5473B931" w14:textId="5384E95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 – Podpora zraniteľných osôb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predchádzanie inštitucionalizácii</w:t>
            </w:r>
          </w:p>
        </w:tc>
        <w:tc>
          <w:tcPr>
            <w:tcW w:w="1237" w:type="dxa"/>
            <w:shd w:val="clear" w:color="auto" w:fill="C6EFCE"/>
            <w:noWrap/>
            <w:vAlign w:val="center"/>
            <w:hideMark/>
          </w:tcPr>
          <w:p w14:paraId="7694686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641" w:type="dxa"/>
            <w:shd w:val="clear" w:color="auto" w:fill="C6EFCE"/>
            <w:noWrap/>
            <w:vAlign w:val="center"/>
            <w:hideMark/>
          </w:tcPr>
          <w:p w14:paraId="3677702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Nadobudnutie účinnosti operačného plánu</w:t>
            </w:r>
          </w:p>
        </w:tc>
        <w:tc>
          <w:tcPr>
            <w:tcW w:w="1453" w:type="dxa"/>
            <w:shd w:val="clear" w:color="auto" w:fill="C6EFCE"/>
            <w:noWrap/>
            <w:vAlign w:val="center"/>
            <w:hideMark/>
          </w:tcPr>
          <w:p w14:paraId="1F16252B" w14:textId="66EEFC0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Ustanovenia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operačného plánu intervencií</w:t>
            </w:r>
          </w:p>
        </w:tc>
        <w:tc>
          <w:tcPr>
            <w:tcW w:w="1339" w:type="dxa"/>
            <w:shd w:val="clear" w:color="auto" w:fill="C6EFCE"/>
            <w:noWrap/>
            <w:vAlign w:val="center"/>
            <w:hideMark/>
          </w:tcPr>
          <w:p w14:paraId="2F9CA16A"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69" w:type="dxa"/>
            <w:shd w:val="clear" w:color="auto" w:fill="C6EFCE"/>
            <w:noWrap/>
            <w:vAlign w:val="center"/>
            <w:hideMark/>
          </w:tcPr>
          <w:p w14:paraId="26E91B3A"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77" w:type="dxa"/>
            <w:shd w:val="clear" w:color="auto" w:fill="C6EFCE"/>
            <w:noWrap/>
            <w:vAlign w:val="center"/>
            <w:hideMark/>
          </w:tcPr>
          <w:p w14:paraId="57C650FE"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062" w:type="dxa"/>
            <w:shd w:val="clear" w:color="auto" w:fill="C6EFCE"/>
            <w:noWrap/>
            <w:vAlign w:val="center"/>
            <w:hideMark/>
          </w:tcPr>
          <w:p w14:paraId="6E1E00B4"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45" w:type="dxa"/>
            <w:shd w:val="clear" w:color="auto" w:fill="C6EFCE"/>
            <w:noWrap/>
            <w:vAlign w:val="center"/>
            <w:hideMark/>
          </w:tcPr>
          <w:p w14:paraId="100DF0D4"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2021</w:t>
            </w:r>
          </w:p>
        </w:tc>
        <w:tc>
          <w:tcPr>
            <w:tcW w:w="4406" w:type="dxa"/>
            <w:shd w:val="clear" w:color="auto" w:fill="C6EFCE"/>
            <w:noWrap/>
            <w:vAlign w:val="center"/>
            <w:hideMark/>
          </w:tcPr>
          <w:p w14:paraId="01DCBD2D" w14:textId="25423E6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V </w:t>
            </w:r>
            <w:r w:rsidRPr="00326E55">
              <w:rPr>
                <w:rFonts w:ascii="Times New Roman" w:hAnsi="Times New Roman"/>
                <w:noProof/>
                <w:spacing w:val="-6"/>
                <w:lang w:val="sk-SK"/>
              </w:rPr>
              <w:t>operačnom pláne sa vymedzia požiadavky na projekty, ktoré môžu predložiť miestne subjekty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ktoré sa týkajú štyroch rozmerov: I) podpora rodičov detí vo veku od 0 do 17 rokov, ii) podpora samostatnosti starších osôb, iii) domáce služby starším osobám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iv)</w:t>
            </w:r>
            <w:r w:rsidRPr="00326E55">
              <w:rPr>
                <w:rFonts w:ascii="Times New Roman" w:hAnsi="Times New Roman"/>
                <w:noProof/>
                <w:spacing w:val="-6"/>
                <w:lang w:val="sk-SK"/>
              </w:rPr>
              <w:t xml:space="preserve"> podpora sociálnych pracovníkov.</w:t>
            </w:r>
          </w:p>
          <w:p w14:paraId="0C5217C1" w14:textId="214C0E4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Akcia „Podpora rodičom“ pozostáva minimálne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poskytovania podpory prijímajúcim rodinám počas najmenej 18 mesiacov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 predbežným posúdením rodinného prostredia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situácie detí, ii) posúdením situácie, na základe ktorého s</w:t>
            </w:r>
            <w:r w:rsidRPr="00326E55">
              <w:rPr>
                <w:rFonts w:ascii="Times New Roman" w:hAnsi="Times New Roman"/>
                <w:noProof/>
                <w:spacing w:val="-6"/>
                <w:lang w:val="sk-SK"/>
              </w:rPr>
              <w:t>a vytvoril multidisciplinárny tím kvalifikovaných odborníkov,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iii) poskytovaním aspoň jednej</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týchto služieb: domáce služby, účasť na podpore skupín rodičov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detí; spolupráca medzi školami, rodinami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sociálnymi službami a/alebo spoločné služby rodinne</w:t>
            </w:r>
            <w:r w:rsidRPr="00326E55">
              <w:rPr>
                <w:rFonts w:ascii="Times New Roman" w:hAnsi="Times New Roman"/>
                <w:noProof/>
                <w:spacing w:val="-6"/>
                <w:lang w:val="sk-SK"/>
              </w:rPr>
              <w:t>j starostlivosti.</w:t>
            </w:r>
          </w:p>
          <w:p w14:paraId="446607A1" w14:textId="464784A8"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Akcia „staršia autonómia“ pozostáva minimálne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premeny domov dôchodcov pre starších ľudí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skupinách autonómnych bytov vybavených všetkými potrebnými zariadeniami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službami vrátane automatizácie domácností, telemedicíny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diaľkového mon</w:t>
            </w:r>
            <w:r w:rsidRPr="00326E55">
              <w:rPr>
                <w:rFonts w:ascii="Times New Roman" w:hAnsi="Times New Roman"/>
                <w:noProof/>
                <w:spacing w:val="-6"/>
                <w:lang w:val="sk-SK"/>
              </w:rPr>
              <w:t>itorovania.</w:t>
            </w:r>
          </w:p>
          <w:p w14:paraId="193F8505" w14:textId="77777777"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Akcia „domáce služby pre starších ľudí“ je zameraná na poskytovanie osobitnej odbornej prípravy odborníkom pre domáce služby starším ľuďom.</w:t>
            </w:r>
          </w:p>
          <w:p w14:paraId="34DEDDB2" w14:textId="6958C3FA"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Akcia „Podpora sociálnych pracovníkov“ pozostáva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podpory sociálnych prevádzkovateľov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posilňovania ic</w:t>
            </w:r>
            <w:r w:rsidRPr="00326E55">
              <w:rPr>
                <w:rFonts w:ascii="Times New Roman" w:hAnsi="Times New Roman"/>
                <w:noProof/>
                <w:spacing w:val="-6"/>
                <w:lang w:val="sk-SK"/>
              </w:rPr>
              <w:t>h profesionality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spoločného využívania kompetencií,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najmä zavedením nástrojov na spoločné využívanie kompetencií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poskytovaním služieb dohľadu prevádzkovateľom na podporu práce prevádzkovateľov.</w:t>
            </w:r>
          </w:p>
        </w:tc>
      </w:tr>
      <w:tr w:rsidR="00BF03AA" w:rsidRPr="00326E55" w14:paraId="06E340D1" w14:textId="77777777">
        <w:trPr>
          <w:trHeight w:val="309"/>
          <w:jc w:val="center"/>
        </w:trPr>
        <w:tc>
          <w:tcPr>
            <w:tcW w:w="1402" w:type="dxa"/>
            <w:shd w:val="clear" w:color="auto" w:fill="C6EFCE"/>
            <w:noWrap/>
            <w:vAlign w:val="center"/>
            <w:hideMark/>
          </w:tcPr>
          <w:p w14:paraId="41DB43B2" w14:textId="77777777" w:rsidR="00BF03AA" w:rsidRPr="00326E55" w:rsidRDefault="00FB452D">
            <w:pPr>
              <w:pStyle w:val="P68B1DB1-Normal11"/>
              <w:spacing w:before="120"/>
              <w:jc w:val="center"/>
              <w:rPr>
                <w:rFonts w:ascii="Times New Roman" w:eastAsia="Calibri" w:hAnsi="Times New Roman"/>
                <w:noProof/>
                <w:spacing w:val="-6"/>
                <w:szCs w:val="20"/>
                <w:lang w:val="sk-SK"/>
              </w:rPr>
            </w:pPr>
            <w:r w:rsidRPr="00326E55">
              <w:rPr>
                <w:rFonts w:ascii="Times New Roman" w:hAnsi="Times New Roman"/>
                <w:noProof/>
                <w:spacing w:val="-6"/>
                <w:lang w:val="sk-SK"/>
              </w:rPr>
              <w:t>M5C2 – 7</w:t>
            </w:r>
          </w:p>
        </w:tc>
        <w:tc>
          <w:tcPr>
            <w:tcW w:w="1570" w:type="dxa"/>
            <w:shd w:val="clear" w:color="auto" w:fill="C6EFCE"/>
            <w:noWrap/>
            <w:vAlign w:val="center"/>
            <w:hideMark/>
          </w:tcPr>
          <w:p w14:paraId="13C0DDCE" w14:textId="77777777" w:rsidR="00BF03AA" w:rsidRPr="00326E55" w:rsidRDefault="00FB452D">
            <w:pPr>
              <w:pStyle w:val="P68B1DB1-Normal11"/>
              <w:spacing w:before="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Investícia 2 – Autonómne modely pre osoby </w:t>
            </w:r>
            <w:r w:rsidRPr="00326E55">
              <w:rPr>
                <w:rFonts w:ascii="Times New Roman" w:hAnsi="Times New Roman"/>
                <w:noProof/>
                <w:spacing w:val="-6"/>
                <w:lang w:val="sk-SK"/>
              </w:rPr>
              <w:t>so zdravotným postihnutím</w:t>
            </w:r>
          </w:p>
        </w:tc>
        <w:tc>
          <w:tcPr>
            <w:tcW w:w="1237" w:type="dxa"/>
            <w:shd w:val="clear" w:color="auto" w:fill="C6EFCE"/>
            <w:noWrap/>
            <w:vAlign w:val="center"/>
            <w:hideMark/>
          </w:tcPr>
          <w:p w14:paraId="6909EF04"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Cieľ</w:t>
            </w:r>
          </w:p>
        </w:tc>
        <w:tc>
          <w:tcPr>
            <w:tcW w:w="1641" w:type="dxa"/>
            <w:shd w:val="clear" w:color="auto" w:fill="C6EFCE"/>
            <w:noWrap/>
            <w:vAlign w:val="center"/>
            <w:hideMark/>
          </w:tcPr>
          <w:p w14:paraId="3D235BB9" w14:textId="37F05CAA"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Sociálne obvody realizovali aspoň jeden projekt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obnovou obytných priestorov a/alebo poskytovaním zariadení IKT osobám so zdravotným postihnutím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odbornou prípravou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digitálnych zručností.</w:t>
            </w:r>
          </w:p>
        </w:tc>
        <w:tc>
          <w:tcPr>
            <w:tcW w:w="1453" w:type="dxa"/>
            <w:shd w:val="clear" w:color="auto" w:fill="C6EFCE"/>
            <w:noWrap/>
            <w:vAlign w:val="center"/>
            <w:hideMark/>
          </w:tcPr>
          <w:p w14:paraId="108297E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39" w:type="dxa"/>
            <w:shd w:val="clear" w:color="auto" w:fill="C6EFCE"/>
            <w:noWrap/>
            <w:vAlign w:val="center"/>
            <w:hideMark/>
          </w:tcPr>
          <w:p w14:paraId="7D0B697D"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Počet</w:t>
            </w:r>
          </w:p>
        </w:tc>
        <w:tc>
          <w:tcPr>
            <w:tcW w:w="1369" w:type="dxa"/>
            <w:shd w:val="clear" w:color="auto" w:fill="C6EFCE"/>
            <w:noWrap/>
            <w:vAlign w:val="center"/>
            <w:hideMark/>
          </w:tcPr>
          <w:p w14:paraId="39DACD0F"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0</w:t>
            </w:r>
          </w:p>
        </w:tc>
        <w:tc>
          <w:tcPr>
            <w:tcW w:w="1377" w:type="dxa"/>
            <w:shd w:val="clear" w:color="auto" w:fill="C6EFCE"/>
            <w:noWrap/>
            <w:vAlign w:val="center"/>
            <w:hideMark/>
          </w:tcPr>
          <w:p w14:paraId="19F97A9D"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500</w:t>
            </w:r>
          </w:p>
        </w:tc>
        <w:tc>
          <w:tcPr>
            <w:tcW w:w="1062" w:type="dxa"/>
            <w:shd w:val="clear" w:color="auto" w:fill="C6EFCE"/>
            <w:noWrap/>
            <w:vAlign w:val="center"/>
            <w:hideMark/>
          </w:tcPr>
          <w:p w14:paraId="12E19B6D"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745" w:type="dxa"/>
            <w:shd w:val="clear" w:color="auto" w:fill="C6EFCE"/>
            <w:noWrap/>
            <w:vAlign w:val="center"/>
            <w:hideMark/>
          </w:tcPr>
          <w:p w14:paraId="74145586"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2022</w:t>
            </w:r>
          </w:p>
        </w:tc>
        <w:tc>
          <w:tcPr>
            <w:tcW w:w="4406" w:type="dxa"/>
            <w:shd w:val="clear" w:color="auto" w:fill="C6EFCE"/>
            <w:noWrap/>
            <w:vAlign w:val="center"/>
            <w:hideMark/>
          </w:tcPr>
          <w:p w14:paraId="227952A2" w14:textId="23D2789D" w:rsidR="00326E55" w:rsidRPr="00326E55" w:rsidRDefault="00FB452D">
            <w:pPr>
              <w:pStyle w:val="P68B1DB1-Normal11"/>
              <w:spacing w:before="120" w:after="120"/>
              <w:rPr>
                <w:rFonts w:ascii="Times New Roman" w:hAnsi="Times New Roman"/>
                <w:noProof/>
                <w:spacing w:val="-6"/>
                <w:lang w:val="sk-SK"/>
              </w:rPr>
            </w:pPr>
            <w:r w:rsidRPr="00326E55">
              <w:rPr>
                <w:rFonts w:ascii="Times New Roman" w:hAnsi="Times New Roman"/>
                <w:noProof/>
                <w:spacing w:val="-6"/>
                <w:lang w:val="sk-SK"/>
              </w:rPr>
              <w:t>Sociálne obvody realizujú najmenej 500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obnovou obytných priestorov a/alebo poskytovaním zariadení IKT osobám so zdravotným postihnutím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odbornou prípravou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digitálnych zruč</w:t>
            </w:r>
            <w:r w:rsidRPr="00326E55">
              <w:rPr>
                <w:rFonts w:ascii="Times New Roman" w:hAnsi="Times New Roman"/>
                <w:noProof/>
                <w:spacing w:val="-6"/>
                <w:lang w:val="sk-SK"/>
              </w:rPr>
              <w:t>ností</w:t>
            </w:r>
            <w:r w:rsidR="00326E55" w:rsidRPr="00326E55">
              <w:rPr>
                <w:rFonts w:ascii="Times New Roman" w:hAnsi="Times New Roman"/>
                <w:noProof/>
                <w:spacing w:val="-6"/>
                <w:lang w:val="sk-SK"/>
              </w:rPr>
              <w:t>.</w:t>
            </w:r>
          </w:p>
          <w:p w14:paraId="6EA6AA82" w14:textId="4C429CC4"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Uspokojivé splnenie cieľa závisí aj od uspokojivého splnenia sekundárneho cieľa: najmenej 500 sociálnych štvrtí realizovalo aspoň jeden projekt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obnovou obytných priestorov a/alebo poskytovaním zariadení IKT osobám so zdravotným postih</w:t>
            </w:r>
            <w:r w:rsidRPr="00326E55">
              <w:rPr>
                <w:rFonts w:ascii="Times New Roman" w:hAnsi="Times New Roman"/>
                <w:noProof/>
                <w:spacing w:val="-6"/>
                <w:lang w:val="sk-SK"/>
              </w:rPr>
              <w:t>nutím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odbornou prípravou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digitálnych zručností.</w:t>
            </w:r>
          </w:p>
          <w:p w14:paraId="0AE82515" w14:textId="46B0816A"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Realizácia aspoň jedného projektu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najmenej 500 sociálnych štvrtí, ktoré sa zúčastnili na nesúťažnom konaní.</w:t>
            </w:r>
          </w:p>
        </w:tc>
      </w:tr>
      <w:tr w:rsidR="00BF03AA" w:rsidRPr="00326E55" w14:paraId="2A92955D" w14:textId="77777777">
        <w:trPr>
          <w:trHeight w:val="309"/>
          <w:jc w:val="center"/>
        </w:trPr>
        <w:tc>
          <w:tcPr>
            <w:tcW w:w="1402" w:type="dxa"/>
            <w:shd w:val="clear" w:color="auto" w:fill="C6EFCE"/>
            <w:noWrap/>
            <w:vAlign w:val="center"/>
            <w:hideMark/>
          </w:tcPr>
          <w:p w14:paraId="573A4F84" w14:textId="77777777" w:rsidR="00BF03AA" w:rsidRPr="00326E55" w:rsidRDefault="00FB452D">
            <w:pPr>
              <w:pStyle w:val="P68B1DB1-Normal11"/>
              <w:spacing w:before="120"/>
              <w:jc w:val="center"/>
              <w:rPr>
                <w:rFonts w:ascii="Times New Roman" w:eastAsia="Calibri" w:hAnsi="Times New Roman"/>
                <w:noProof/>
                <w:spacing w:val="-6"/>
                <w:szCs w:val="20"/>
                <w:lang w:val="sk-SK"/>
              </w:rPr>
            </w:pPr>
            <w:r w:rsidRPr="00326E55">
              <w:rPr>
                <w:rFonts w:ascii="Times New Roman" w:hAnsi="Times New Roman"/>
                <w:noProof/>
                <w:spacing w:val="-6"/>
                <w:lang w:val="sk-SK"/>
              </w:rPr>
              <w:t>M5C2 – 9</w:t>
            </w:r>
          </w:p>
        </w:tc>
        <w:tc>
          <w:tcPr>
            <w:tcW w:w="1570" w:type="dxa"/>
            <w:shd w:val="clear" w:color="auto" w:fill="C6EFCE"/>
            <w:noWrap/>
            <w:vAlign w:val="center"/>
            <w:hideMark/>
          </w:tcPr>
          <w:p w14:paraId="730960A1" w14:textId="32AA10E6"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Investícia 3 – Prvé bývanie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poštové stanice</w:t>
            </w:r>
          </w:p>
        </w:tc>
        <w:tc>
          <w:tcPr>
            <w:tcW w:w="1237" w:type="dxa"/>
            <w:shd w:val="clear" w:color="auto" w:fill="C6EFCE"/>
            <w:noWrap/>
            <w:vAlign w:val="center"/>
            <w:hideMark/>
          </w:tcPr>
          <w:p w14:paraId="49CCECFC"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Míľnik</w:t>
            </w:r>
          </w:p>
        </w:tc>
        <w:tc>
          <w:tcPr>
            <w:tcW w:w="1641" w:type="dxa"/>
            <w:shd w:val="clear" w:color="auto" w:fill="C6EFCE"/>
            <w:noWrap/>
            <w:vAlign w:val="center"/>
            <w:hideMark/>
          </w:tcPr>
          <w:p w14:paraId="55AC59FC" w14:textId="196AC4EB" w:rsidR="00BF03AA" w:rsidRPr="00326E55" w:rsidRDefault="00FB452D">
            <w:pPr>
              <w:pStyle w:val="P68B1DB1-Normal12"/>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 xml:space="preserve">Nadobudnutie </w:t>
            </w:r>
            <w:r w:rsidRPr="00326E55">
              <w:rPr>
                <w:rFonts w:ascii="Times New Roman" w:hAnsi="Times New Roman"/>
                <w:noProof/>
                <w:spacing w:val="-6"/>
                <w:lang w:val="sk-SK"/>
              </w:rPr>
              <w:t>účinnosti operačného plánu týkajúceho sa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bývania ako prvé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vysielacích staníc,</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vymedzujú požiadavky projektov, ktoré môžu predložiť miestne subjekty,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vyhlásenie výzvy na predkladanie návrhov</w:t>
            </w:r>
          </w:p>
        </w:tc>
        <w:tc>
          <w:tcPr>
            <w:tcW w:w="1453" w:type="dxa"/>
            <w:shd w:val="clear" w:color="auto" w:fill="C6EFCE"/>
            <w:noWrap/>
            <w:vAlign w:val="center"/>
            <w:hideMark/>
          </w:tcPr>
          <w:p w14:paraId="5004FB9A" w14:textId="5EBB22BA"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Ustanovenia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operačného plánu intervencií</w:t>
            </w:r>
          </w:p>
        </w:tc>
        <w:tc>
          <w:tcPr>
            <w:tcW w:w="1339" w:type="dxa"/>
            <w:shd w:val="clear" w:color="auto" w:fill="C6EFCE"/>
            <w:noWrap/>
            <w:vAlign w:val="center"/>
            <w:hideMark/>
          </w:tcPr>
          <w:p w14:paraId="6A3521BA"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69" w:type="dxa"/>
            <w:shd w:val="clear" w:color="auto" w:fill="C6EFCE"/>
            <w:noWrap/>
            <w:vAlign w:val="center"/>
            <w:hideMark/>
          </w:tcPr>
          <w:p w14:paraId="135BD429"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77" w:type="dxa"/>
            <w:shd w:val="clear" w:color="auto" w:fill="C6EFCE"/>
            <w:noWrap/>
            <w:vAlign w:val="center"/>
            <w:hideMark/>
          </w:tcPr>
          <w:p w14:paraId="44E6D879"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062" w:type="dxa"/>
            <w:shd w:val="clear" w:color="auto" w:fill="C6EFCE"/>
            <w:noWrap/>
            <w:vAlign w:val="center"/>
            <w:hideMark/>
          </w:tcPr>
          <w:p w14:paraId="670B80E8"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PRVÝ ŠTVRŤROK</w:t>
            </w:r>
          </w:p>
        </w:tc>
        <w:tc>
          <w:tcPr>
            <w:tcW w:w="745" w:type="dxa"/>
            <w:shd w:val="clear" w:color="auto" w:fill="C6EFCE"/>
            <w:noWrap/>
            <w:vAlign w:val="center"/>
            <w:hideMark/>
          </w:tcPr>
          <w:p w14:paraId="3F5D3426"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2022</w:t>
            </w:r>
          </w:p>
        </w:tc>
        <w:tc>
          <w:tcPr>
            <w:tcW w:w="4406" w:type="dxa"/>
            <w:shd w:val="clear" w:color="auto" w:fill="C6EFCE"/>
            <w:noWrap/>
            <w:vAlign w:val="center"/>
            <w:hideMark/>
          </w:tcPr>
          <w:p w14:paraId="75A676E9" w14:textId="6D0388C4"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V operačnom pláne týkajúcom sa projektov týkajúcich sa prvoradého bývania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poštových staníc sa vymedzia požiadavky na projekty, ktoré môžu predložiť miestn</w:t>
            </w:r>
            <w:r w:rsidRPr="00326E55">
              <w:rPr>
                <w:rFonts w:ascii="Times New Roman" w:hAnsi="Times New Roman"/>
                <w:noProof/>
                <w:spacing w:val="-6"/>
                <w:lang w:val="sk-SK"/>
              </w:rPr>
              <w:t>e subjekty,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vyhlási sa výzva na predkladanie návrhov.</w:t>
            </w:r>
          </w:p>
          <w:p w14:paraId="0E2CB212" w14:textId="49619D0F"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V projektoch týkajúcich sa bývania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prvom rade predpokladá, že miestne subjekty sprístupnia byty jednotlivým osobám, malým skupinám alebo rodinám do 24 mesiacov, pokiaľ možno prostredníctvom renov</w:t>
            </w:r>
            <w:r w:rsidRPr="00326E55">
              <w:rPr>
                <w:rFonts w:ascii="Times New Roman" w:hAnsi="Times New Roman"/>
                <w:noProof/>
                <w:spacing w:val="-6"/>
                <w:lang w:val="sk-SK"/>
              </w:rPr>
              <w:t>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renovácie štátneho majetku. Tieto programy dopĺňajú rozvojové programy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programy autonómie.</w:t>
            </w:r>
          </w:p>
          <w:p w14:paraId="63B825E4" w14:textId="0135C745"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Projekty týkajúce sa poštových staníc predpokladajú rozvoj centier 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inklúzie pre bezdomovcov. Tieto programy dopĺňajú programy sprostredkovania prá</w:t>
            </w:r>
            <w:r w:rsidRPr="00326E55">
              <w:rPr>
                <w:rFonts w:ascii="Times New Roman" w:hAnsi="Times New Roman"/>
                <w:noProof/>
                <w:spacing w:val="-6"/>
                <w:lang w:val="sk-SK"/>
              </w:rPr>
              <w:t>ce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spolupráci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centrami zamestnanosti.</w:t>
            </w:r>
          </w:p>
        </w:tc>
      </w:tr>
    </w:tbl>
    <w:p w14:paraId="5478DC16" w14:textId="77777777" w:rsidR="00BF03AA" w:rsidRPr="00326E55" w:rsidRDefault="00BF03AA">
      <w:pPr>
        <w:spacing w:before="120" w:after="120"/>
        <w:ind w:left="709"/>
        <w:jc w:val="both"/>
        <w:rPr>
          <w:rFonts w:ascii="Times New Roman" w:hAnsi="Times New Roman"/>
          <w:noProof/>
          <w:spacing w:val="-6"/>
          <w:lang w:val="sk-SK"/>
        </w:rPr>
      </w:pPr>
    </w:p>
    <w:p w14:paraId="3BA026E3" w14:textId="77777777" w:rsidR="00BF03AA" w:rsidRPr="00326E55" w:rsidRDefault="00BF03AA">
      <w:pPr>
        <w:spacing w:before="120" w:after="120"/>
        <w:ind w:left="709"/>
        <w:jc w:val="both"/>
        <w:rPr>
          <w:rFonts w:ascii="Times New Roman" w:hAnsi="Times New Roman"/>
          <w:noProof/>
          <w:spacing w:val="-6"/>
          <w:lang w:val="sk-SK"/>
        </w:rPr>
      </w:pPr>
    </w:p>
    <w:p w14:paraId="55E20963" w14:textId="77777777" w:rsidR="00BF03AA" w:rsidRPr="00326E55" w:rsidRDefault="00BF03AA">
      <w:pPr>
        <w:framePr w:w="19845" w:wrap="auto" w:hAnchor="text"/>
        <w:spacing w:before="120" w:after="120"/>
        <w:ind w:left="709"/>
        <w:jc w:val="both"/>
        <w:rPr>
          <w:rFonts w:ascii="Times New Roman" w:hAnsi="Times New Roman"/>
          <w:noProof/>
          <w:spacing w:val="-6"/>
          <w:lang w:val="sk-SK"/>
        </w:rPr>
        <w:sectPr w:rsidR="00BF03AA" w:rsidRPr="00326E55" w:rsidSect="005F11B9">
          <w:headerReference w:type="even" r:id="rId242"/>
          <w:headerReference w:type="default" r:id="rId243"/>
          <w:footerReference w:type="even" r:id="rId244"/>
          <w:footerReference w:type="default" r:id="rId245"/>
          <w:headerReference w:type="first" r:id="rId246"/>
          <w:footerReference w:type="first" r:id="rId247"/>
          <w:pgSz w:w="19051" w:h="11907" w:orient="landscape" w:code="9"/>
          <w:pgMar w:top="720" w:right="720" w:bottom="426" w:left="720" w:header="709" w:footer="709" w:gutter="0"/>
          <w:cols w:space="720"/>
          <w:docGrid w:linePitch="360"/>
        </w:sectPr>
      </w:pPr>
    </w:p>
    <w:p w14:paraId="5B8F05BC" w14:textId="344F6CF5" w:rsidR="00BF03AA" w:rsidRPr="00326E55" w:rsidRDefault="00FB452D">
      <w:pPr>
        <w:pStyle w:val="P68B1DB1-Heading39"/>
        <w:numPr>
          <w:ilvl w:val="2"/>
          <w:numId w:val="0"/>
        </w:numPr>
        <w:ind w:left="850" w:hanging="850"/>
        <w:rPr>
          <w:b/>
          <w:i/>
          <w:noProof/>
          <w:color w:val="156082" w:themeColor="accent1"/>
          <w:spacing w:val="-6"/>
          <w:u w:val="single"/>
          <w:lang w:val="sk-SK"/>
        </w:rPr>
      </w:pPr>
      <w:r w:rsidRPr="00326E55">
        <w:rPr>
          <w:b/>
          <w:noProof/>
          <w:spacing w:val="-6"/>
          <w:u w:val="single"/>
          <w:lang w:val="sk-SK"/>
        </w:rPr>
        <w:t xml:space="preserve">M.3.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18DBF748" w14:textId="2127A653"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1 – Podpora zraniteľných osôb</w:t>
      </w:r>
      <w:r w:rsidR="00326E55" w:rsidRPr="00326E55">
        <w:rPr>
          <w:noProof/>
          <w:spacing w:val="-6"/>
          <w:lang w:val="sk-SK"/>
        </w:rPr>
        <w:t xml:space="preserve"> a </w:t>
      </w:r>
      <w:r w:rsidRPr="00326E55">
        <w:rPr>
          <w:noProof/>
          <w:spacing w:val="-6"/>
          <w:lang w:val="sk-SK"/>
        </w:rPr>
        <w:t>predchádzanie inštitucionalizácii</w:t>
      </w:r>
    </w:p>
    <w:p w14:paraId="2668CF45" w14:textId="0B8808AB" w:rsidR="00326E55" w:rsidRPr="00326E55" w:rsidRDefault="00FB452D">
      <w:pPr>
        <w:pStyle w:val="P68B1DB1-Normal7"/>
        <w:spacing w:before="120" w:after="120"/>
        <w:jc w:val="both"/>
        <w:rPr>
          <w:noProof/>
          <w:spacing w:val="-6"/>
          <w:lang w:val="sk-SK"/>
        </w:rPr>
      </w:pPr>
      <w:r w:rsidRPr="00326E55">
        <w:rPr>
          <w:noProof/>
          <w:spacing w:val="-6"/>
          <w:lang w:val="sk-SK"/>
        </w:rPr>
        <w:t>Cieľom tohto opatrenia je podporiť zraniteľné osoby</w:t>
      </w:r>
      <w:r w:rsidR="00326E55" w:rsidRPr="00326E55">
        <w:rPr>
          <w:noProof/>
          <w:spacing w:val="-6"/>
          <w:lang w:val="sk-SK"/>
        </w:rPr>
        <w:t xml:space="preserve"> a </w:t>
      </w:r>
      <w:r w:rsidRPr="00326E55">
        <w:rPr>
          <w:noProof/>
          <w:spacing w:val="-6"/>
          <w:lang w:val="sk-SK"/>
        </w:rPr>
        <w:t>zabrániť inštitucionalizácii. Toto opatrenie pozostáva zo zásahov pre zraniteľné rodiny</w:t>
      </w:r>
      <w:r w:rsidR="00326E55" w:rsidRPr="00326E55">
        <w:rPr>
          <w:noProof/>
          <w:spacing w:val="-6"/>
          <w:lang w:val="sk-SK"/>
        </w:rPr>
        <w:t xml:space="preserve"> a </w:t>
      </w:r>
      <w:r w:rsidRPr="00326E55">
        <w:rPr>
          <w:noProof/>
          <w:spacing w:val="-6"/>
          <w:lang w:val="sk-SK"/>
        </w:rPr>
        <w:t>deti, starších ľudí</w:t>
      </w:r>
      <w:r w:rsidR="00326E55" w:rsidRPr="00326E55">
        <w:rPr>
          <w:noProof/>
          <w:spacing w:val="-6"/>
          <w:lang w:val="sk-SK"/>
        </w:rPr>
        <w:t xml:space="preserve"> a </w:t>
      </w:r>
      <w:r w:rsidRPr="00326E55">
        <w:rPr>
          <w:noProof/>
          <w:spacing w:val="-6"/>
          <w:lang w:val="sk-SK"/>
        </w:rPr>
        <w:t>sociálnych pracovníkov aspoň</w:t>
      </w:r>
      <w:r w:rsidR="00326E55" w:rsidRPr="00326E55">
        <w:rPr>
          <w:noProof/>
          <w:spacing w:val="-6"/>
          <w:lang w:val="sk-SK"/>
        </w:rPr>
        <w:t xml:space="preserve"> v </w:t>
      </w:r>
      <w:r w:rsidRPr="00326E55">
        <w:rPr>
          <w:noProof/>
          <w:spacing w:val="-6"/>
          <w:lang w:val="sk-SK"/>
        </w:rPr>
        <w:t>498 talianskych sociálnych štvrtiach</w:t>
      </w:r>
      <w:r w:rsidR="00326E55" w:rsidRPr="00326E55">
        <w:rPr>
          <w:noProof/>
          <w:spacing w:val="-6"/>
          <w:lang w:val="sk-SK"/>
        </w:rPr>
        <w:t>.</w:t>
      </w:r>
    </w:p>
    <w:p w14:paraId="2661C173" w14:textId="2E379C02"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2 – Autonó</w:t>
      </w:r>
      <w:r w:rsidRPr="00326E55">
        <w:rPr>
          <w:noProof/>
          <w:spacing w:val="-6"/>
          <w:lang w:val="sk-SK"/>
        </w:rPr>
        <w:t>mne modely pre osoby so zdravotným postihnutím</w:t>
      </w:r>
    </w:p>
    <w:p w14:paraId="0F472E46" w14:textId="4CE361B7"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zvýšiť samostatnosť osôb so zdravotným postihnutím</w:t>
      </w:r>
      <w:r w:rsidR="00326E55" w:rsidRPr="00326E55">
        <w:rPr>
          <w:noProof/>
          <w:spacing w:val="-6"/>
          <w:lang w:val="sk-SK"/>
        </w:rPr>
        <w:t xml:space="preserve"> a </w:t>
      </w:r>
      <w:r w:rsidRPr="00326E55">
        <w:rPr>
          <w:noProof/>
          <w:spacing w:val="-6"/>
          <w:lang w:val="sk-SK"/>
        </w:rPr>
        <w:t>urýchliť proces deinštitucionalizácie. Opatrenie pozostáva</w:t>
      </w:r>
      <w:r w:rsidR="00326E55" w:rsidRPr="00326E55">
        <w:rPr>
          <w:noProof/>
          <w:spacing w:val="-6"/>
          <w:lang w:val="sk-SK"/>
        </w:rPr>
        <w:t xml:space="preserve"> z </w:t>
      </w:r>
      <w:r w:rsidRPr="00326E55">
        <w:rPr>
          <w:noProof/>
          <w:spacing w:val="-6"/>
          <w:lang w:val="sk-SK"/>
        </w:rPr>
        <w:t>poskytovania prístupu</w:t>
      </w:r>
      <w:r w:rsidR="00326E55" w:rsidRPr="00326E55">
        <w:rPr>
          <w:noProof/>
          <w:spacing w:val="-6"/>
          <w:lang w:val="sk-SK"/>
        </w:rPr>
        <w:t xml:space="preserve"> k </w:t>
      </w:r>
      <w:r w:rsidRPr="00326E55">
        <w:rPr>
          <w:noProof/>
          <w:spacing w:val="-6"/>
          <w:lang w:val="sk-SK"/>
        </w:rPr>
        <w:t>bývaniu alebo domácim riešeniam, ako aj</w:t>
      </w:r>
      <w:r w:rsidR="00326E55" w:rsidRPr="00326E55">
        <w:rPr>
          <w:noProof/>
          <w:spacing w:val="-6"/>
          <w:lang w:val="sk-SK"/>
        </w:rPr>
        <w:t xml:space="preserve"> k </w:t>
      </w:r>
      <w:r w:rsidRPr="00326E55">
        <w:rPr>
          <w:noProof/>
          <w:spacing w:val="-6"/>
          <w:lang w:val="sk-SK"/>
        </w:rPr>
        <w:t>dig</w:t>
      </w:r>
      <w:r w:rsidRPr="00326E55">
        <w:rPr>
          <w:noProof/>
          <w:spacing w:val="-6"/>
          <w:lang w:val="sk-SK"/>
        </w:rPr>
        <w:t>itálnym technológiám</w:t>
      </w:r>
      <w:r w:rsidR="00326E55" w:rsidRPr="00326E55">
        <w:rPr>
          <w:noProof/>
          <w:spacing w:val="-6"/>
          <w:lang w:val="sk-SK"/>
        </w:rPr>
        <w:t xml:space="preserve"> a </w:t>
      </w:r>
      <w:r w:rsidRPr="00326E55">
        <w:rPr>
          <w:noProof/>
          <w:spacing w:val="-6"/>
          <w:lang w:val="sk-SK"/>
        </w:rPr>
        <w:t>odbornej príprave.</w:t>
      </w:r>
    </w:p>
    <w:p w14:paraId="38C6F092" w14:textId="12B80AA2" w:rsidR="00BF03AA" w:rsidRPr="00326E55" w:rsidRDefault="00FB452D">
      <w:pPr>
        <w:pStyle w:val="P68B1DB1-Normal5"/>
        <w:spacing w:before="120" w:after="120"/>
        <w:jc w:val="both"/>
        <w:rPr>
          <w:bCs/>
          <w:noProof/>
          <w:spacing w:val="-6"/>
          <w:lang w:val="sk-SK"/>
        </w:rPr>
      </w:pPr>
      <w:r w:rsidRPr="00326E55">
        <w:rPr>
          <w:noProof/>
          <w:spacing w:val="-6"/>
          <w:lang w:val="sk-SK"/>
        </w:rPr>
        <w:t>Investícia 3 – Prvé bývanie</w:t>
      </w:r>
      <w:r w:rsidR="00326E55" w:rsidRPr="00326E55">
        <w:rPr>
          <w:noProof/>
          <w:spacing w:val="-6"/>
          <w:lang w:val="sk-SK"/>
        </w:rPr>
        <w:t xml:space="preserve"> a </w:t>
      </w:r>
      <w:r w:rsidRPr="00326E55">
        <w:rPr>
          <w:noProof/>
          <w:spacing w:val="-6"/>
          <w:lang w:val="sk-SK"/>
        </w:rPr>
        <w:t>poštové stanice</w:t>
      </w:r>
    </w:p>
    <w:p w14:paraId="5CABBA88" w14:textId="29018603" w:rsidR="00326E55" w:rsidRPr="00326E55" w:rsidRDefault="00FB452D">
      <w:pPr>
        <w:pStyle w:val="P68B1DB1-Normal7"/>
        <w:spacing w:before="120" w:after="120"/>
        <w:jc w:val="both"/>
        <w:rPr>
          <w:noProof/>
          <w:spacing w:val="-6"/>
          <w:lang w:val="sk-SK"/>
        </w:rPr>
      </w:pPr>
      <w:r w:rsidRPr="00326E55">
        <w:rPr>
          <w:noProof/>
          <w:spacing w:val="-6"/>
          <w:lang w:val="sk-SK"/>
        </w:rPr>
        <w:t>Cieľom tohto opatrenia je chrániť</w:t>
      </w:r>
      <w:r w:rsidR="00326E55" w:rsidRPr="00326E55">
        <w:rPr>
          <w:noProof/>
          <w:spacing w:val="-6"/>
          <w:lang w:val="sk-SK"/>
        </w:rPr>
        <w:t xml:space="preserve"> a </w:t>
      </w:r>
      <w:r w:rsidRPr="00326E55">
        <w:rPr>
          <w:noProof/>
          <w:spacing w:val="-6"/>
          <w:lang w:val="sk-SK"/>
        </w:rPr>
        <w:t>podporovať začlenenie marginalizovaných osôb. Opatrenie pozostáva</w:t>
      </w:r>
      <w:r w:rsidR="00326E55" w:rsidRPr="00326E55">
        <w:rPr>
          <w:noProof/>
          <w:spacing w:val="-6"/>
          <w:lang w:val="sk-SK"/>
        </w:rPr>
        <w:t xml:space="preserve"> z </w:t>
      </w:r>
      <w:r w:rsidRPr="00326E55">
        <w:rPr>
          <w:noProof/>
          <w:spacing w:val="-6"/>
          <w:lang w:val="sk-SK"/>
        </w:rPr>
        <w:t>dvoch typov opatrení: riešenia „najskôr bývanie“, ktoré zahŕňajú</w:t>
      </w:r>
      <w:r w:rsidRPr="00326E55">
        <w:rPr>
          <w:noProof/>
          <w:spacing w:val="-6"/>
          <w:lang w:val="sk-SK"/>
        </w:rPr>
        <w:t xml:space="preserve"> obce poskytujúce prispôsobené projekty</w:t>
      </w:r>
      <w:r w:rsidR="00326E55" w:rsidRPr="00326E55">
        <w:rPr>
          <w:noProof/>
          <w:spacing w:val="-6"/>
          <w:lang w:val="sk-SK"/>
        </w:rPr>
        <w:t xml:space="preserve"> a </w:t>
      </w:r>
      <w:r w:rsidRPr="00326E55">
        <w:rPr>
          <w:noProof/>
          <w:spacing w:val="-6"/>
          <w:lang w:val="sk-SK"/>
        </w:rPr>
        <w:t>ubytovanie jednotlivcom, malým skupinám alebo rodinám do 24 mesiacov;</w:t>
      </w:r>
      <w:r w:rsidR="00326E55" w:rsidRPr="00326E55">
        <w:rPr>
          <w:noProof/>
          <w:spacing w:val="-6"/>
          <w:lang w:val="sk-SK"/>
        </w:rPr>
        <w:t xml:space="preserve"> a </w:t>
      </w:r>
      <w:r w:rsidRPr="00326E55">
        <w:rPr>
          <w:noProof/>
          <w:spacing w:val="-6"/>
          <w:lang w:val="sk-SK"/>
        </w:rPr>
        <w:t>riešenia „poštových staníc“, ktoré pozostávajú</w:t>
      </w:r>
      <w:r w:rsidR="00326E55" w:rsidRPr="00326E55">
        <w:rPr>
          <w:noProof/>
          <w:spacing w:val="-6"/>
          <w:lang w:val="sk-SK"/>
        </w:rPr>
        <w:t xml:space="preserve"> z </w:t>
      </w:r>
      <w:r w:rsidRPr="00326E55">
        <w:rPr>
          <w:noProof/>
          <w:spacing w:val="-6"/>
          <w:lang w:val="sk-SK"/>
        </w:rPr>
        <w:t>centier služieb</w:t>
      </w:r>
      <w:r w:rsidR="00326E55" w:rsidRPr="00326E55">
        <w:rPr>
          <w:noProof/>
          <w:spacing w:val="-6"/>
          <w:lang w:val="sk-SK"/>
        </w:rPr>
        <w:t xml:space="preserve"> a </w:t>
      </w:r>
      <w:r w:rsidRPr="00326E55">
        <w:rPr>
          <w:noProof/>
          <w:spacing w:val="-6"/>
          <w:lang w:val="sk-SK"/>
        </w:rPr>
        <w:t>inklúzie pre bezdomovcov, ktoré ponúkajú základné služby, ako je distribúci</w:t>
      </w:r>
      <w:r w:rsidRPr="00326E55">
        <w:rPr>
          <w:noProof/>
          <w:spacing w:val="-6"/>
          <w:lang w:val="sk-SK"/>
        </w:rPr>
        <w:t>a základného tovaru</w:t>
      </w:r>
      <w:r w:rsidR="00326E55" w:rsidRPr="00326E55">
        <w:rPr>
          <w:noProof/>
          <w:spacing w:val="-6"/>
          <w:lang w:val="sk-SK"/>
        </w:rPr>
        <w:t xml:space="preserve"> a </w:t>
      </w:r>
      <w:r w:rsidRPr="00326E55">
        <w:rPr>
          <w:noProof/>
          <w:spacing w:val="-6"/>
          <w:lang w:val="sk-SK"/>
        </w:rPr>
        <w:t>pošty, stravovanie</w:t>
      </w:r>
      <w:r w:rsidR="00326E55" w:rsidRPr="00326E55">
        <w:rPr>
          <w:noProof/>
          <w:spacing w:val="-6"/>
          <w:lang w:val="sk-SK"/>
        </w:rPr>
        <w:t xml:space="preserve"> a </w:t>
      </w:r>
      <w:r w:rsidRPr="00326E55">
        <w:rPr>
          <w:noProof/>
          <w:spacing w:val="-6"/>
          <w:lang w:val="sk-SK"/>
        </w:rPr>
        <w:t>zdravotná starostlivosť</w:t>
      </w:r>
      <w:r w:rsidR="00326E55" w:rsidRPr="00326E55">
        <w:rPr>
          <w:noProof/>
          <w:spacing w:val="-6"/>
          <w:lang w:val="sk-SK"/>
        </w:rPr>
        <w:t>.</w:t>
      </w:r>
    </w:p>
    <w:p w14:paraId="230C7CED" w14:textId="31FD8A33" w:rsidR="00BF03AA" w:rsidRPr="00326E55" w:rsidRDefault="00FB452D">
      <w:pPr>
        <w:pStyle w:val="P68B1DB1-Normal5"/>
        <w:spacing w:before="120" w:after="120"/>
        <w:jc w:val="both"/>
        <w:rPr>
          <w:bCs/>
          <w:noProof/>
          <w:spacing w:val="-6"/>
          <w:u w:val="single"/>
          <w:lang w:val="sk-SK"/>
        </w:rPr>
      </w:pPr>
      <w:r w:rsidRPr="00326E55">
        <w:rPr>
          <w:noProof/>
          <w:spacing w:val="-6"/>
          <w:lang w:val="sk-SK"/>
        </w:rPr>
        <w:t>Investícia 4 – Investície do projektov obnovy miest zamerané na zníženie situácií marginalizácie</w:t>
      </w:r>
      <w:r w:rsidR="00326E55" w:rsidRPr="00326E55">
        <w:rPr>
          <w:noProof/>
          <w:spacing w:val="-6"/>
          <w:lang w:val="sk-SK"/>
        </w:rPr>
        <w:t xml:space="preserve"> a </w:t>
      </w:r>
      <w:r w:rsidRPr="00326E55">
        <w:rPr>
          <w:noProof/>
          <w:spacing w:val="-6"/>
          <w:lang w:val="sk-SK"/>
        </w:rPr>
        <w:t>sociálnej degradácie</w:t>
      </w:r>
    </w:p>
    <w:p w14:paraId="3121684A" w14:textId="4ED7F6CF"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Cieľom tohto opatrenia je znížiť marginalizáciu</w:t>
      </w:r>
      <w:r w:rsidR="00326E55" w:rsidRPr="00326E55">
        <w:rPr>
          <w:noProof/>
          <w:spacing w:val="-6"/>
          <w:lang w:val="sk-SK"/>
        </w:rPr>
        <w:t xml:space="preserve"> a </w:t>
      </w:r>
      <w:r w:rsidRPr="00326E55">
        <w:rPr>
          <w:noProof/>
          <w:spacing w:val="-6"/>
          <w:lang w:val="sk-SK"/>
        </w:rPr>
        <w:t>zhoršovanie sociál</w:t>
      </w:r>
      <w:r w:rsidRPr="00326E55">
        <w:rPr>
          <w:noProof/>
          <w:spacing w:val="-6"/>
          <w:lang w:val="sk-SK"/>
        </w:rPr>
        <w:t>nej situácie zvýšením sociálnej</w:t>
      </w:r>
      <w:r w:rsidR="00326E55" w:rsidRPr="00326E55">
        <w:rPr>
          <w:noProof/>
          <w:spacing w:val="-6"/>
          <w:lang w:val="sk-SK"/>
        </w:rPr>
        <w:t xml:space="preserve"> a </w:t>
      </w:r>
      <w:r w:rsidRPr="00326E55">
        <w:rPr>
          <w:noProof/>
          <w:spacing w:val="-6"/>
          <w:lang w:val="sk-SK"/>
        </w:rPr>
        <w:t>environmentálnej kvality obcí, ako aj prístupu</w:t>
      </w:r>
      <w:r w:rsidR="00326E55" w:rsidRPr="00326E55">
        <w:rPr>
          <w:noProof/>
          <w:spacing w:val="-6"/>
          <w:lang w:val="sk-SK"/>
        </w:rPr>
        <w:t xml:space="preserve"> k </w:t>
      </w:r>
      <w:r w:rsidRPr="00326E55">
        <w:rPr>
          <w:noProof/>
          <w:spacing w:val="-6"/>
          <w:lang w:val="sk-SK"/>
        </w:rPr>
        <w:t>sociálnym</w:t>
      </w:r>
      <w:r w:rsidR="00326E55" w:rsidRPr="00326E55">
        <w:rPr>
          <w:noProof/>
          <w:spacing w:val="-6"/>
          <w:lang w:val="sk-SK"/>
        </w:rPr>
        <w:t xml:space="preserve"> a </w:t>
      </w:r>
      <w:r w:rsidRPr="00326E55">
        <w:rPr>
          <w:noProof/>
          <w:spacing w:val="-6"/>
          <w:lang w:val="sk-SK"/>
        </w:rPr>
        <w:t>kultúrnym službám. Opatrenie pozostáva</w:t>
      </w:r>
      <w:r w:rsidR="00326E55" w:rsidRPr="00326E55">
        <w:rPr>
          <w:noProof/>
          <w:spacing w:val="-6"/>
          <w:lang w:val="sk-SK"/>
        </w:rPr>
        <w:t xml:space="preserve"> z </w:t>
      </w:r>
      <w:r w:rsidRPr="00326E55">
        <w:rPr>
          <w:noProof/>
          <w:spacing w:val="-6"/>
          <w:lang w:val="sk-SK"/>
        </w:rPr>
        <w:t>obnovy, opätovného použitia</w:t>
      </w:r>
      <w:r w:rsidR="00326E55" w:rsidRPr="00326E55">
        <w:rPr>
          <w:noProof/>
          <w:spacing w:val="-6"/>
          <w:lang w:val="sk-SK"/>
        </w:rPr>
        <w:t xml:space="preserve"> a </w:t>
      </w:r>
      <w:r w:rsidRPr="00326E55">
        <w:rPr>
          <w:noProof/>
          <w:spacing w:val="-6"/>
          <w:lang w:val="sk-SK"/>
        </w:rPr>
        <w:t>zmeny účelu verejných priestorov</w:t>
      </w:r>
      <w:r w:rsidR="00326E55" w:rsidRPr="00326E55">
        <w:rPr>
          <w:noProof/>
          <w:spacing w:val="-6"/>
          <w:lang w:val="sk-SK"/>
        </w:rPr>
        <w:t xml:space="preserve"> a </w:t>
      </w:r>
      <w:r w:rsidRPr="00326E55">
        <w:rPr>
          <w:noProof/>
          <w:spacing w:val="-6"/>
          <w:lang w:val="sk-SK"/>
        </w:rPr>
        <w:t>verejných budov.</w:t>
      </w:r>
    </w:p>
    <w:p w14:paraId="69AAB0B4" w14:textId="5EDEFEF5"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5 – Plány mestskej integrác</w:t>
      </w:r>
      <w:r w:rsidRPr="00326E55">
        <w:rPr>
          <w:noProof/>
          <w:spacing w:val="-6"/>
          <w:lang w:val="sk-SK"/>
        </w:rPr>
        <w:t>ie (všeobecné projekty</w:t>
      </w:r>
      <w:r w:rsidR="00326E55" w:rsidRPr="00326E55">
        <w:rPr>
          <w:noProof/>
          <w:spacing w:val="-6"/>
          <w:lang w:val="sk-SK"/>
        </w:rPr>
        <w:t xml:space="preserve"> a </w:t>
      </w:r>
      <w:r w:rsidRPr="00326E55">
        <w:rPr>
          <w:noProof/>
          <w:spacing w:val="-6"/>
          <w:lang w:val="sk-SK"/>
        </w:rPr>
        <w:t>prekonanie nelegálnych osád na boj proti pracovnému vykorisťovaniu</w:t>
      </w:r>
      <w:r w:rsidR="00326E55" w:rsidRPr="00326E55">
        <w:rPr>
          <w:noProof/>
          <w:spacing w:val="-6"/>
          <w:lang w:val="sk-SK"/>
        </w:rPr>
        <w:t xml:space="preserve"> v </w:t>
      </w:r>
      <w:r w:rsidRPr="00326E55">
        <w:rPr>
          <w:noProof/>
          <w:spacing w:val="-6"/>
          <w:lang w:val="sk-SK"/>
        </w:rPr>
        <w:t>poľnohospodárstve)</w:t>
      </w:r>
    </w:p>
    <w:p w14:paraId="5449D0B7" w14:textId="76B428CF"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regenerovať veľké degradované mestské oblasti. Táto investícia zahŕňa tri typy intervencií: I) všeobecné projekty</w:t>
      </w:r>
      <w:r w:rsidR="00326E55" w:rsidRPr="00326E55">
        <w:rPr>
          <w:noProof/>
          <w:spacing w:val="-6"/>
          <w:lang w:val="sk-SK"/>
        </w:rPr>
        <w:t xml:space="preserve"> v </w:t>
      </w:r>
      <w:r w:rsidRPr="00326E55">
        <w:rPr>
          <w:noProof/>
          <w:spacing w:val="-6"/>
          <w:lang w:val="sk-SK"/>
        </w:rPr>
        <w:t>m</w:t>
      </w:r>
      <w:r w:rsidRPr="00326E55">
        <w:rPr>
          <w:noProof/>
          <w:spacing w:val="-6"/>
          <w:lang w:val="sk-SK"/>
        </w:rPr>
        <w:t>estských integrovaných plánoch so zameraním na údržbu</w:t>
      </w:r>
      <w:r w:rsidR="00326E55" w:rsidRPr="00326E55">
        <w:rPr>
          <w:noProof/>
          <w:spacing w:val="-6"/>
          <w:lang w:val="sk-SK"/>
        </w:rPr>
        <w:t xml:space="preserve"> a </w:t>
      </w:r>
      <w:r w:rsidRPr="00326E55">
        <w:rPr>
          <w:noProof/>
          <w:spacing w:val="-6"/>
          <w:lang w:val="sk-SK"/>
        </w:rPr>
        <w:t>opätovné použitie verejných priestorov</w:t>
      </w:r>
      <w:r w:rsidR="00326E55" w:rsidRPr="00326E55">
        <w:rPr>
          <w:noProof/>
          <w:spacing w:val="-6"/>
          <w:lang w:val="sk-SK"/>
        </w:rPr>
        <w:t xml:space="preserve"> a </w:t>
      </w:r>
      <w:r w:rsidRPr="00326E55">
        <w:rPr>
          <w:noProof/>
          <w:spacing w:val="-6"/>
          <w:lang w:val="sk-SK"/>
        </w:rPr>
        <w:t>budov</w:t>
      </w:r>
      <w:r w:rsidR="00326E55" w:rsidRPr="00326E55">
        <w:rPr>
          <w:noProof/>
          <w:spacing w:val="-6"/>
          <w:lang w:val="sk-SK"/>
        </w:rPr>
        <w:t xml:space="preserve"> a </w:t>
      </w:r>
      <w:r w:rsidRPr="00326E55">
        <w:rPr>
          <w:noProof/>
          <w:spacing w:val="-6"/>
          <w:lang w:val="sk-SK"/>
        </w:rPr>
        <w:t>regeneráciu nedostatočne využívaných alebo nevyužitých mestských oblastí; II) riešenia bývania pre poľnohospodárskych pracovníkov</w:t>
      </w:r>
      <w:r w:rsidR="00326E55" w:rsidRPr="00326E55">
        <w:rPr>
          <w:noProof/>
          <w:spacing w:val="-6"/>
          <w:lang w:val="sk-SK"/>
        </w:rPr>
        <w:t xml:space="preserve"> s </w:t>
      </w:r>
      <w:r w:rsidRPr="00326E55">
        <w:rPr>
          <w:noProof/>
          <w:spacing w:val="-6"/>
          <w:lang w:val="sk-SK"/>
        </w:rPr>
        <w:t>cieľom prekonať nel</w:t>
      </w:r>
      <w:r w:rsidRPr="00326E55">
        <w:rPr>
          <w:noProof/>
          <w:spacing w:val="-6"/>
          <w:lang w:val="sk-SK"/>
        </w:rPr>
        <w:t>egálne osady; III) tematický fond (fond fondov)</w:t>
      </w:r>
      <w:r w:rsidR="00326E55" w:rsidRPr="00326E55">
        <w:rPr>
          <w:noProof/>
          <w:spacing w:val="-6"/>
          <w:lang w:val="sk-SK"/>
        </w:rPr>
        <w:t xml:space="preserve"> v </w:t>
      </w:r>
      <w:r w:rsidRPr="00326E55">
        <w:rPr>
          <w:noProof/>
          <w:spacing w:val="-6"/>
          <w:lang w:val="sk-SK"/>
        </w:rPr>
        <w:t>spolupráci</w:t>
      </w:r>
      <w:r w:rsidR="00326E55" w:rsidRPr="00326E55">
        <w:rPr>
          <w:noProof/>
          <w:spacing w:val="-6"/>
          <w:lang w:val="sk-SK"/>
        </w:rPr>
        <w:t xml:space="preserve"> s </w:t>
      </w:r>
      <w:r w:rsidRPr="00326E55">
        <w:rPr>
          <w:noProof/>
          <w:spacing w:val="-6"/>
          <w:lang w:val="sk-SK"/>
        </w:rPr>
        <w:t>EIB na podporu súkromných investícií do iniciatív obnovy miest, ktoré podporujú klimatickú</w:t>
      </w:r>
      <w:r w:rsidR="00326E55" w:rsidRPr="00326E55">
        <w:rPr>
          <w:noProof/>
          <w:spacing w:val="-6"/>
          <w:lang w:val="sk-SK"/>
        </w:rPr>
        <w:t xml:space="preserve"> a </w:t>
      </w:r>
      <w:r w:rsidRPr="00326E55">
        <w:rPr>
          <w:noProof/>
          <w:spacing w:val="-6"/>
          <w:lang w:val="sk-SK"/>
        </w:rPr>
        <w:t>digitálnu transformáciu.</w:t>
      </w:r>
    </w:p>
    <w:p w14:paraId="2ED8E8D4" w14:textId="77777777"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6 – Inovačný plán pre kvalitu bývania</w:t>
      </w:r>
    </w:p>
    <w:p w14:paraId="379B89D7" w14:textId="71B7A5CC" w:rsidR="00326E55" w:rsidRPr="00326E55" w:rsidRDefault="00FB452D">
      <w:pPr>
        <w:pStyle w:val="P68B1DB1-Normal7"/>
        <w:spacing w:before="120" w:after="120"/>
        <w:jc w:val="both"/>
        <w:rPr>
          <w:noProof/>
          <w:spacing w:val="-6"/>
          <w:lang w:val="sk-SK"/>
        </w:rPr>
      </w:pPr>
      <w:r w:rsidRPr="00326E55">
        <w:rPr>
          <w:noProof/>
          <w:spacing w:val="-6"/>
          <w:lang w:val="sk-SK"/>
        </w:rPr>
        <w:t xml:space="preserve">Cieľom tohto opatrenia je </w:t>
      </w:r>
      <w:r w:rsidRPr="00326E55">
        <w:rPr>
          <w:noProof/>
          <w:spacing w:val="-6"/>
          <w:lang w:val="sk-SK"/>
        </w:rPr>
        <w:t>zvýšiť kvalitu alebo kvantitu nájomného bývania</w:t>
      </w:r>
      <w:r w:rsidR="00326E55" w:rsidRPr="00326E55">
        <w:rPr>
          <w:noProof/>
          <w:spacing w:val="-6"/>
          <w:lang w:val="sk-SK"/>
        </w:rPr>
        <w:t xml:space="preserve"> a </w:t>
      </w:r>
      <w:r w:rsidRPr="00326E55">
        <w:rPr>
          <w:noProof/>
          <w:spacing w:val="-6"/>
          <w:lang w:val="sk-SK"/>
        </w:rPr>
        <w:t>obnoviť znehodnotené oblasti. Investícia pozostáva z: I) obnova (vrátane zásahov</w:t>
      </w:r>
      <w:r w:rsidR="00326E55" w:rsidRPr="00326E55">
        <w:rPr>
          <w:noProof/>
          <w:spacing w:val="-6"/>
          <w:lang w:val="sk-SK"/>
        </w:rPr>
        <w:t xml:space="preserve"> v </w:t>
      </w:r>
      <w:r w:rsidRPr="00326E55">
        <w:rPr>
          <w:noProof/>
          <w:spacing w:val="-6"/>
          <w:lang w:val="sk-SK"/>
        </w:rPr>
        <w:t>oblasti energetickej efektívnosti)</w:t>
      </w:r>
      <w:r w:rsidR="00326E55" w:rsidRPr="00326E55">
        <w:rPr>
          <w:noProof/>
          <w:spacing w:val="-6"/>
          <w:lang w:val="sk-SK"/>
        </w:rPr>
        <w:t xml:space="preserve"> a </w:t>
      </w:r>
      <w:r w:rsidRPr="00326E55">
        <w:rPr>
          <w:noProof/>
          <w:spacing w:val="-6"/>
          <w:lang w:val="sk-SK"/>
        </w:rPr>
        <w:t>rozširovanie nájomného bývania; II) obnova mestských priestorov</w:t>
      </w:r>
      <w:r w:rsidR="00326E55" w:rsidRPr="00326E55">
        <w:rPr>
          <w:noProof/>
          <w:spacing w:val="-6"/>
          <w:lang w:val="sk-SK"/>
        </w:rPr>
        <w:t xml:space="preserve"> a </w:t>
      </w:r>
      <w:r w:rsidRPr="00326E55">
        <w:rPr>
          <w:noProof/>
          <w:spacing w:val="-6"/>
          <w:lang w:val="sk-SK"/>
        </w:rPr>
        <w:t>verejného</w:t>
      </w:r>
      <w:r w:rsidR="00326E55" w:rsidRPr="00326E55">
        <w:rPr>
          <w:noProof/>
          <w:spacing w:val="-6"/>
          <w:lang w:val="sk-SK"/>
        </w:rPr>
        <w:t xml:space="preserve"> a </w:t>
      </w:r>
      <w:r w:rsidRPr="00326E55">
        <w:rPr>
          <w:noProof/>
          <w:spacing w:val="-6"/>
          <w:lang w:val="sk-SK"/>
        </w:rPr>
        <w:t>súkromné</w:t>
      </w:r>
      <w:r w:rsidRPr="00326E55">
        <w:rPr>
          <w:noProof/>
          <w:spacing w:val="-6"/>
          <w:lang w:val="sk-SK"/>
        </w:rPr>
        <w:t>ho majetku; III) podpora prístupnosti</w:t>
      </w:r>
      <w:r w:rsidR="00326E55" w:rsidRPr="00326E55">
        <w:rPr>
          <w:noProof/>
          <w:spacing w:val="-6"/>
          <w:lang w:val="sk-SK"/>
        </w:rPr>
        <w:t xml:space="preserve"> a </w:t>
      </w:r>
      <w:r w:rsidRPr="00326E55">
        <w:rPr>
          <w:noProof/>
          <w:spacing w:val="-6"/>
          <w:lang w:val="sk-SK"/>
        </w:rPr>
        <w:t>bezpečnosti mestských oblastí</w:t>
      </w:r>
      <w:r w:rsidR="00326E55" w:rsidRPr="00326E55">
        <w:rPr>
          <w:noProof/>
          <w:spacing w:val="-6"/>
          <w:lang w:val="sk-SK"/>
        </w:rPr>
        <w:t xml:space="preserve"> a </w:t>
      </w:r>
      <w:r w:rsidRPr="00326E55">
        <w:rPr>
          <w:noProof/>
          <w:spacing w:val="-6"/>
          <w:lang w:val="sk-SK"/>
        </w:rPr>
        <w:t>poskytovanie služieb</w:t>
      </w:r>
      <w:r w:rsidR="00326E55" w:rsidRPr="00326E55">
        <w:rPr>
          <w:noProof/>
          <w:spacing w:val="-6"/>
          <w:lang w:val="sk-SK"/>
        </w:rPr>
        <w:t>.</w:t>
      </w:r>
    </w:p>
    <w:p w14:paraId="1B6D8841" w14:textId="6836216E"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7 – Šport</w:t>
      </w:r>
      <w:r w:rsidR="00326E55" w:rsidRPr="00326E55">
        <w:rPr>
          <w:noProof/>
          <w:spacing w:val="-6"/>
          <w:lang w:val="sk-SK"/>
        </w:rPr>
        <w:t xml:space="preserve"> a </w:t>
      </w:r>
      <w:r w:rsidRPr="00326E55">
        <w:rPr>
          <w:noProof/>
          <w:spacing w:val="-6"/>
          <w:lang w:val="sk-SK"/>
        </w:rPr>
        <w:t>sociálne začlenenie</w:t>
      </w:r>
    </w:p>
    <w:p w14:paraId="5410DD49" w14:textId="20B3299B" w:rsidR="00BF03AA" w:rsidRPr="00326E55" w:rsidRDefault="00FB452D">
      <w:pPr>
        <w:pStyle w:val="P68B1DB1-Normal7"/>
        <w:spacing w:before="120" w:after="120"/>
        <w:jc w:val="both"/>
        <w:rPr>
          <w:noProof/>
          <w:spacing w:val="-6"/>
          <w:lang w:val="sk-SK"/>
        </w:rPr>
        <w:sectPr w:rsidR="00BF03AA" w:rsidRPr="00326E55" w:rsidSect="005F11B9">
          <w:headerReference w:type="even" r:id="rId248"/>
          <w:headerReference w:type="default" r:id="rId249"/>
          <w:footerReference w:type="even" r:id="rId250"/>
          <w:footerReference w:type="default" r:id="rId251"/>
          <w:headerReference w:type="first" r:id="rId252"/>
          <w:footerReference w:type="first" r:id="rId253"/>
          <w:pgSz w:w="11907" w:h="16839"/>
          <w:pgMar w:top="1134" w:right="1417" w:bottom="1134" w:left="1417" w:header="709" w:footer="709" w:gutter="0"/>
          <w:cols w:space="720"/>
          <w:docGrid w:linePitch="360"/>
        </w:sectPr>
      </w:pPr>
      <w:r w:rsidRPr="00326E55">
        <w:rPr>
          <w:noProof/>
          <w:spacing w:val="-6"/>
          <w:lang w:val="sk-SK"/>
        </w:rPr>
        <w:t>Cieľom tohto opatrenia je regenerovať športové zariadenia</w:t>
      </w:r>
      <w:r w:rsidR="00326E55" w:rsidRPr="00326E55">
        <w:rPr>
          <w:noProof/>
          <w:spacing w:val="-6"/>
          <w:lang w:val="sk-SK"/>
        </w:rPr>
        <w:t xml:space="preserve"> a </w:t>
      </w:r>
      <w:r w:rsidRPr="00326E55">
        <w:rPr>
          <w:noProof/>
          <w:spacing w:val="-6"/>
          <w:lang w:val="sk-SK"/>
        </w:rPr>
        <w:t>ich okolie</w:t>
      </w:r>
      <w:r w:rsidR="00326E55" w:rsidRPr="00326E55">
        <w:rPr>
          <w:noProof/>
          <w:spacing w:val="-6"/>
          <w:lang w:val="sk-SK"/>
        </w:rPr>
        <w:t xml:space="preserve"> v </w:t>
      </w:r>
      <w:r w:rsidRPr="00326E55">
        <w:rPr>
          <w:noProof/>
          <w:spacing w:val="-6"/>
          <w:lang w:val="sk-SK"/>
        </w:rPr>
        <w:t>mestských oblastiach. Investícia pozostáva</w:t>
      </w:r>
      <w:r w:rsidR="00326E55" w:rsidRPr="00326E55">
        <w:rPr>
          <w:noProof/>
          <w:spacing w:val="-6"/>
          <w:lang w:val="sk-SK"/>
        </w:rPr>
        <w:t xml:space="preserve"> z </w:t>
      </w:r>
      <w:r w:rsidRPr="00326E55">
        <w:rPr>
          <w:noProof/>
          <w:spacing w:val="-6"/>
          <w:lang w:val="sk-SK"/>
        </w:rPr>
        <w:t>podpory výstavby, obnovy</w:t>
      </w:r>
      <w:r w:rsidR="00326E55" w:rsidRPr="00326E55">
        <w:rPr>
          <w:noProof/>
          <w:spacing w:val="-6"/>
          <w:lang w:val="sk-SK"/>
        </w:rPr>
        <w:t xml:space="preserve"> a </w:t>
      </w:r>
      <w:r w:rsidRPr="00326E55">
        <w:rPr>
          <w:noProof/>
          <w:spacing w:val="-6"/>
          <w:lang w:val="sk-SK"/>
        </w:rPr>
        <w:t xml:space="preserve">renovácie športových zariadení. </w:t>
      </w:r>
    </w:p>
    <w:p w14:paraId="260611C9" w14:textId="32B43446" w:rsidR="00BF03AA" w:rsidRPr="00326E55" w:rsidRDefault="00FB452D">
      <w:pPr>
        <w:pStyle w:val="P68B1DB1-Heading39"/>
        <w:numPr>
          <w:ilvl w:val="2"/>
          <w:numId w:val="0"/>
        </w:numPr>
        <w:ind w:left="850" w:hanging="850"/>
        <w:rPr>
          <w:b/>
          <w:i/>
          <w:noProof/>
          <w:spacing w:val="-6"/>
          <w:u w:val="single"/>
          <w:lang w:val="sk-SK"/>
        </w:rPr>
      </w:pPr>
      <w:r w:rsidRPr="00326E55">
        <w:rPr>
          <w:b/>
          <w:noProof/>
          <w:spacing w:val="-6"/>
          <w:u w:val="single"/>
          <w:lang w:val="sk-SK"/>
        </w:rPr>
        <w:t xml:space="preserve">M.4.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úverom</w:t>
      </w:r>
    </w:p>
    <w:tbl>
      <w:tblPr>
        <w:tblW w:w="17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1789"/>
        <w:gridCol w:w="1340"/>
        <w:gridCol w:w="1789"/>
        <w:gridCol w:w="1545"/>
        <w:gridCol w:w="2023"/>
        <w:gridCol w:w="1373"/>
        <w:gridCol w:w="1373"/>
        <w:gridCol w:w="1224"/>
        <w:gridCol w:w="818"/>
        <w:gridCol w:w="3237"/>
      </w:tblGrid>
      <w:tr w:rsidR="00BF03AA" w:rsidRPr="00326E55" w14:paraId="3F80A29D" w14:textId="77777777">
        <w:trPr>
          <w:trHeight w:val="300"/>
          <w:tblHeader/>
          <w:jc w:val="center"/>
        </w:trPr>
        <w:tc>
          <w:tcPr>
            <w:tcW w:w="1315" w:type="dxa"/>
            <w:vMerge w:val="restart"/>
            <w:shd w:val="clear" w:color="auto" w:fill="BDD7EE"/>
            <w:vAlign w:val="center"/>
            <w:hideMark/>
          </w:tcPr>
          <w:p w14:paraId="51E524CF"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759" w:type="dxa"/>
            <w:vMerge w:val="restart"/>
            <w:shd w:val="clear" w:color="auto" w:fill="BDD7EE"/>
            <w:vAlign w:val="center"/>
            <w:hideMark/>
          </w:tcPr>
          <w:p w14:paraId="5EC1FC67"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 xml:space="preserve">Súvisiace opatrenie </w:t>
            </w:r>
            <w:r w:rsidRPr="00326E55">
              <w:rPr>
                <w:rFonts w:ascii="Times New Roman" w:hAnsi="Times New Roman"/>
                <w:noProof/>
                <w:spacing w:val="-6"/>
                <w:lang w:val="sk-SK"/>
              </w:rPr>
              <w:t>(reforma alebo investícia)</w:t>
            </w:r>
          </w:p>
        </w:tc>
        <w:tc>
          <w:tcPr>
            <w:tcW w:w="1388" w:type="dxa"/>
            <w:vMerge w:val="restart"/>
            <w:shd w:val="clear" w:color="auto" w:fill="BDD7EE"/>
            <w:vAlign w:val="center"/>
            <w:hideMark/>
          </w:tcPr>
          <w:p w14:paraId="52FCE823" w14:textId="5D0B59D9"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731" w:type="dxa"/>
            <w:vMerge w:val="restart"/>
            <w:shd w:val="clear" w:color="auto" w:fill="BDD7EE"/>
            <w:vAlign w:val="center"/>
            <w:hideMark/>
          </w:tcPr>
          <w:p w14:paraId="4B62760F"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559" w:type="dxa"/>
            <w:vMerge w:val="restart"/>
            <w:shd w:val="clear" w:color="auto" w:fill="BDD7EE"/>
            <w:vAlign w:val="center"/>
            <w:hideMark/>
          </w:tcPr>
          <w:p w14:paraId="1B57F425"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Kvalitatívne ukazovatele (pre míľniky)</w:t>
            </w:r>
          </w:p>
        </w:tc>
        <w:tc>
          <w:tcPr>
            <w:tcW w:w="4548" w:type="dxa"/>
            <w:gridSpan w:val="3"/>
            <w:shd w:val="clear" w:color="auto" w:fill="BDD7EE"/>
            <w:vAlign w:val="center"/>
            <w:hideMark/>
          </w:tcPr>
          <w:p w14:paraId="183DE8FD"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Kvantitatívne ukazovatele (pre ciele)</w:t>
            </w:r>
          </w:p>
        </w:tc>
        <w:tc>
          <w:tcPr>
            <w:tcW w:w="1855" w:type="dxa"/>
            <w:gridSpan w:val="2"/>
            <w:shd w:val="clear" w:color="auto" w:fill="BDD7EE"/>
            <w:vAlign w:val="center"/>
            <w:hideMark/>
          </w:tcPr>
          <w:p w14:paraId="1A1FF892"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3603" w:type="dxa"/>
            <w:vMerge w:val="restart"/>
            <w:shd w:val="clear" w:color="auto" w:fill="BDD7EE"/>
            <w:vAlign w:val="center"/>
            <w:hideMark/>
          </w:tcPr>
          <w:p w14:paraId="578FB787" w14:textId="0AE48B3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5564F7C4" w14:textId="77777777">
        <w:trPr>
          <w:trHeight w:val="300"/>
          <w:tblHeader/>
          <w:jc w:val="center"/>
        </w:trPr>
        <w:tc>
          <w:tcPr>
            <w:tcW w:w="1315" w:type="dxa"/>
            <w:vMerge/>
            <w:vAlign w:val="center"/>
            <w:hideMark/>
          </w:tcPr>
          <w:p w14:paraId="44EB4271" w14:textId="77777777" w:rsidR="00BF03AA" w:rsidRPr="00326E55" w:rsidRDefault="00BF03AA">
            <w:pPr>
              <w:jc w:val="center"/>
              <w:rPr>
                <w:rFonts w:ascii="Times New Roman" w:hAnsi="Times New Roman"/>
                <w:b/>
                <w:noProof/>
                <w:color w:val="000000"/>
                <w:spacing w:val="-6"/>
                <w:sz w:val="20"/>
                <w:szCs w:val="20"/>
                <w:lang w:val="sk-SK"/>
              </w:rPr>
            </w:pPr>
          </w:p>
        </w:tc>
        <w:tc>
          <w:tcPr>
            <w:tcW w:w="1759" w:type="dxa"/>
            <w:vMerge/>
            <w:vAlign w:val="center"/>
            <w:hideMark/>
          </w:tcPr>
          <w:p w14:paraId="1060C7FD" w14:textId="77777777" w:rsidR="00BF03AA" w:rsidRPr="00326E55" w:rsidRDefault="00BF03AA">
            <w:pPr>
              <w:jc w:val="center"/>
              <w:rPr>
                <w:rFonts w:ascii="Times New Roman" w:hAnsi="Times New Roman"/>
                <w:b/>
                <w:noProof/>
                <w:color w:val="000000"/>
                <w:spacing w:val="-6"/>
                <w:sz w:val="20"/>
                <w:szCs w:val="20"/>
                <w:lang w:val="sk-SK"/>
              </w:rPr>
            </w:pPr>
          </w:p>
        </w:tc>
        <w:tc>
          <w:tcPr>
            <w:tcW w:w="1388" w:type="dxa"/>
            <w:vMerge/>
            <w:vAlign w:val="center"/>
            <w:hideMark/>
          </w:tcPr>
          <w:p w14:paraId="6BE4EDB4" w14:textId="77777777" w:rsidR="00BF03AA" w:rsidRPr="00326E55" w:rsidRDefault="00BF03AA">
            <w:pPr>
              <w:jc w:val="center"/>
              <w:rPr>
                <w:rFonts w:ascii="Times New Roman" w:hAnsi="Times New Roman"/>
                <w:b/>
                <w:noProof/>
                <w:color w:val="000000"/>
                <w:spacing w:val="-6"/>
                <w:sz w:val="20"/>
                <w:szCs w:val="20"/>
                <w:lang w:val="sk-SK"/>
              </w:rPr>
            </w:pPr>
          </w:p>
        </w:tc>
        <w:tc>
          <w:tcPr>
            <w:tcW w:w="1731" w:type="dxa"/>
            <w:vMerge/>
            <w:vAlign w:val="center"/>
            <w:hideMark/>
          </w:tcPr>
          <w:p w14:paraId="48800674" w14:textId="77777777" w:rsidR="00BF03AA" w:rsidRPr="00326E55" w:rsidRDefault="00BF03AA">
            <w:pPr>
              <w:jc w:val="center"/>
              <w:rPr>
                <w:rFonts w:ascii="Times New Roman" w:hAnsi="Times New Roman"/>
                <w:b/>
                <w:noProof/>
                <w:color w:val="000000"/>
                <w:spacing w:val="-6"/>
                <w:sz w:val="20"/>
                <w:szCs w:val="20"/>
                <w:lang w:val="sk-SK"/>
              </w:rPr>
            </w:pPr>
          </w:p>
        </w:tc>
        <w:tc>
          <w:tcPr>
            <w:tcW w:w="1559" w:type="dxa"/>
            <w:vMerge/>
            <w:vAlign w:val="center"/>
            <w:hideMark/>
          </w:tcPr>
          <w:p w14:paraId="728477EA" w14:textId="77777777" w:rsidR="00BF03AA" w:rsidRPr="00326E55" w:rsidRDefault="00BF03AA">
            <w:pPr>
              <w:jc w:val="center"/>
              <w:rPr>
                <w:rFonts w:ascii="Times New Roman" w:hAnsi="Times New Roman"/>
                <w:b/>
                <w:noProof/>
                <w:color w:val="000000"/>
                <w:spacing w:val="-6"/>
                <w:sz w:val="20"/>
                <w:szCs w:val="20"/>
                <w:lang w:val="sk-SK"/>
              </w:rPr>
            </w:pPr>
          </w:p>
        </w:tc>
        <w:tc>
          <w:tcPr>
            <w:tcW w:w="2187" w:type="dxa"/>
            <w:shd w:val="clear" w:color="auto" w:fill="BDD7EE"/>
            <w:vAlign w:val="center"/>
            <w:hideMark/>
          </w:tcPr>
          <w:p w14:paraId="5EF93BCD"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039" w:type="dxa"/>
            <w:shd w:val="clear" w:color="auto" w:fill="BDD7EE"/>
            <w:vAlign w:val="center"/>
            <w:hideMark/>
          </w:tcPr>
          <w:p w14:paraId="1A78019D"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1322" w:type="dxa"/>
            <w:shd w:val="clear" w:color="auto" w:fill="BDD7EE"/>
            <w:vAlign w:val="center"/>
            <w:hideMark/>
          </w:tcPr>
          <w:p w14:paraId="08E2AB39"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980" w:type="dxa"/>
            <w:shd w:val="clear" w:color="auto" w:fill="BDD7EE"/>
            <w:vAlign w:val="center"/>
            <w:hideMark/>
          </w:tcPr>
          <w:p w14:paraId="7ACF4C3F"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875" w:type="dxa"/>
            <w:shd w:val="clear" w:color="auto" w:fill="BDD7EE"/>
            <w:vAlign w:val="center"/>
            <w:hideMark/>
          </w:tcPr>
          <w:p w14:paraId="7DAD02F8" w14:textId="77777777" w:rsidR="00BF03AA" w:rsidRPr="00326E55" w:rsidRDefault="00FB452D">
            <w:pPr>
              <w:pStyle w:val="P68B1DB1-Normal102"/>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3603" w:type="dxa"/>
            <w:vMerge/>
            <w:vAlign w:val="center"/>
            <w:hideMark/>
          </w:tcPr>
          <w:p w14:paraId="7157EE7C" w14:textId="77777777" w:rsidR="00BF03AA" w:rsidRPr="00326E55" w:rsidRDefault="00BF03AA">
            <w:pPr>
              <w:rPr>
                <w:rFonts w:ascii="Times New Roman" w:hAnsi="Times New Roman"/>
                <w:b/>
                <w:noProof/>
                <w:color w:val="000000"/>
                <w:spacing w:val="-6"/>
                <w:sz w:val="20"/>
                <w:szCs w:val="20"/>
                <w:lang w:val="sk-SK"/>
              </w:rPr>
            </w:pPr>
          </w:p>
        </w:tc>
      </w:tr>
      <w:tr w:rsidR="00BF03AA" w:rsidRPr="00326E55" w14:paraId="5408B55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1D8209A0"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M5C2 – 6</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20B7F66D" w14:textId="09149B40"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Investícia 1</w:t>
            </w:r>
            <w:r w:rsidRPr="00326E55">
              <w:rPr>
                <w:rFonts w:ascii="Times New Roman" w:hAnsi="Times New Roman"/>
                <w:noProof/>
                <w:spacing w:val="-6"/>
                <w:lang w:val="sk-SK"/>
              </w:rPr>
              <w:t xml:space="preserve"> – Podpora zraniteľných osôb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predchádzanie inštitucionalizácii</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4C756905"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4F4AD236" w14:textId="02EF029B"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Opatrenia na podporu zraniteľných osôb</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sociálnych štvrtiach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46F42F4"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3B683C3E"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28DBF9CE"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A0B212A"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498</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38040D1E"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PRVÝ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0E780EF8"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2EE2F61E" w14:textId="4DBCDDD1"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Najmenej 498 sociálnych štvrtí dokončí aspoň jedno</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 xml:space="preserve">týchto opatrení: I) podpora </w:t>
            </w:r>
            <w:r w:rsidRPr="00326E55">
              <w:rPr>
                <w:rFonts w:ascii="Times New Roman" w:hAnsi="Times New Roman"/>
                <w:noProof/>
                <w:spacing w:val="-6"/>
                <w:lang w:val="sk-SK"/>
              </w:rPr>
              <w:t>zraniteľných rodín</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detí; II) podpora samostatného života starších ľudí; III) poskytovanie domácich sociálnych služieb</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zaručiť včasnú podporu prepustenia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zabrániť hospitalizácii; IV) podpora sociálnych pracovníkov.</w:t>
            </w:r>
          </w:p>
        </w:tc>
      </w:tr>
      <w:tr w:rsidR="00BF03AA" w:rsidRPr="00326E55" w14:paraId="7C2BB841"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6D20A4C9"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M5C2 – 8</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185EB459"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 xml:space="preserve">Investícia 2 – </w:t>
            </w:r>
            <w:r w:rsidRPr="00326E55">
              <w:rPr>
                <w:rFonts w:ascii="Times New Roman" w:hAnsi="Times New Roman"/>
                <w:noProof/>
                <w:spacing w:val="-6"/>
                <w:lang w:val="sk-SK"/>
              </w:rPr>
              <w:t>Autonómne modely pre osoby so zdravotným postihnutím</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04398198"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2D2D4DBB" w14:textId="0CB0D9E3"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Prijímatelia absolvovali renováciu domáceho priestoru a/alebo zariadení IKT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odbornou prípravou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digitálnych zručností</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E0BCA89"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6565CE2C"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0DA3571D"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4E51A0F1" w14:textId="1FE5D36E"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3 120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2C981A3D"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PRVÝ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62336415"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6893763C" w14:textId="58DE65A9"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Najmenej 3120 prijím</w:t>
            </w:r>
            <w:r w:rsidRPr="00326E55">
              <w:rPr>
                <w:rFonts w:ascii="Times New Roman" w:hAnsi="Times New Roman"/>
                <w:noProof/>
                <w:spacing w:val="-6"/>
                <w:lang w:val="sk-SK"/>
              </w:rPr>
              <w:t>ateľov dostalo rekonštrukciu domáceho priestoru a/alebo poskytnutie zariadení IKT. Prijímatelia, ktorí dostávajú zariadenia IKT, sa zúčastňujú aj na odbornej príprave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digitálnych zručností.</w:t>
            </w:r>
          </w:p>
        </w:tc>
      </w:tr>
      <w:tr w:rsidR="00BF03AA" w:rsidRPr="00326E55" w14:paraId="61B872D7"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34489B5C"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M5C2 – 10</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607CFB1A" w14:textId="65FE7E5F"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Investícia 3 – Prvé bývanie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poštové stanice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35B9F6C1"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3A3C0994" w14:textId="74C126B5"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Projekty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bývania ako prvé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poštové stanice</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2C4846D6"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6BD251F0"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7E9E47FD"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93CB304"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12 364</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48AC6EE7"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PRVÝ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1A277494" w14:textId="77777777" w:rsidR="00BF03AA" w:rsidRPr="00326E55" w:rsidRDefault="00FB452D">
            <w:pPr>
              <w:pStyle w:val="P68B1DB1-Normal11"/>
              <w:spacing w:before="120"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76B01160" w14:textId="0A253800"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bývanie,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prvom rade bolo podpísaných 1318 individualizovaných projektov ( </w:t>
            </w:r>
            <w:r w:rsidRPr="00326E55">
              <w:rPr>
                <w:rFonts w:ascii="Times New Roman" w:hAnsi="Times New Roman"/>
                <w:i/>
                <w:noProof/>
                <w:spacing w:val="-6"/>
                <w:lang w:val="sk-SK"/>
              </w:rPr>
              <w:t>„progetto personalizzato“), ktoré potvrdzujú</w:t>
            </w:r>
            <w:r w:rsidRPr="00326E55">
              <w:rPr>
                <w:rFonts w:ascii="Times New Roman" w:hAnsi="Times New Roman"/>
                <w:noProof/>
                <w:spacing w:val="-6"/>
                <w:lang w:val="sk-SK"/>
              </w:rPr>
              <w:t xml:space="preserve">, že dočasné </w:t>
            </w:r>
            <w:r w:rsidRPr="00326E55">
              <w:rPr>
                <w:rFonts w:ascii="Times New Roman" w:hAnsi="Times New Roman"/>
                <w:noProof/>
                <w:spacing w:val="-6"/>
                <w:lang w:val="sk-SK"/>
              </w:rPr>
              <w:t>ubytovanie bolo poskytnuté minimálne na 6 mesiacov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maximálne na 24 mesiacov. Okrem toho sa každému príjemcovi poskytne aj 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infraštruktúre príslušného projektu.</w:t>
            </w:r>
          </w:p>
          <w:p w14:paraId="5B97983E" w14:textId="5CD0AAA4" w:rsidR="00BF03AA" w:rsidRPr="00326E55" w:rsidRDefault="00FB452D">
            <w:pPr>
              <w:pStyle w:val="P68B1DB1-Normal12"/>
              <w:spacing w:before="120" w:after="120"/>
              <w:rPr>
                <w:rFonts w:ascii="Times New Roman" w:hAnsi="Times New Roman"/>
                <w:noProof/>
                <w:spacing w:val="-6"/>
                <w:lang w:val="sk-SK"/>
              </w:rPr>
            </w:pPr>
            <w:r w:rsidRPr="00326E55">
              <w:rPr>
                <w:rFonts w:ascii="Times New Roman" w:hAnsi="Times New Roman"/>
                <w:noProof/>
                <w:spacing w:val="-6"/>
                <w:lang w:val="sk-SK"/>
              </w:rPr>
              <w:t>V prípade poštových staníc bolo podpísaných 11046 individualizov</w:t>
            </w:r>
            <w:r w:rsidRPr="00326E55">
              <w:rPr>
                <w:rFonts w:ascii="Times New Roman" w:hAnsi="Times New Roman"/>
                <w:noProof/>
                <w:spacing w:val="-6"/>
                <w:lang w:val="sk-SK"/>
              </w:rPr>
              <w:t xml:space="preserve">aných projektov ( </w:t>
            </w:r>
            <w:r w:rsidRPr="00326E55">
              <w:rPr>
                <w:rFonts w:ascii="Times New Roman" w:hAnsi="Times New Roman"/>
                <w:i/>
                <w:noProof/>
                <w:spacing w:val="-6"/>
                <w:lang w:val="sk-SK"/>
              </w:rPr>
              <w:t>„progetto personalizzato“) potvrdzujúcich</w:t>
            </w:r>
            <w:r w:rsidRPr="00326E55">
              <w:rPr>
                <w:rFonts w:ascii="Times New Roman" w:hAnsi="Times New Roman"/>
                <w:noProof/>
                <w:spacing w:val="-6"/>
                <w:lang w:val="sk-SK"/>
              </w:rPr>
              <w:t>, že služba bola poskytnutá. Každému príjemcovi sa poskytne aj 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na infraštruktúre príslušného projektu.</w:t>
            </w:r>
          </w:p>
        </w:tc>
      </w:tr>
      <w:tr w:rsidR="00BF03AA" w:rsidRPr="00326E55" w14:paraId="4497645A"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C1A86A8"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M5C2 – 11</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0ACD218" w14:textId="08D6D06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Investícia 4 – Investície do projektov obnovy miest </w:t>
            </w:r>
            <w:r w:rsidRPr="00326E55">
              <w:rPr>
                <w:rFonts w:ascii="Times New Roman" w:hAnsi="Times New Roman"/>
                <w:noProof/>
                <w:spacing w:val="-6"/>
                <w:lang w:val="sk-SK"/>
              </w:rPr>
              <w:t>zamerané na zníženie situácií marginalizácie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sociálnej degradácie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104AE53"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Míľnik</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A06431" w14:textId="55ACDEE2"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Zadávanie všetkých verejných zákaziek na investície do obnovy miest</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situácie marginalizácie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sociálnej degradácie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projektmi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cieľmi Mechanizmu na </w:t>
            </w:r>
            <w:r w:rsidRPr="00326E55">
              <w:rPr>
                <w:rFonts w:ascii="Times New Roman" w:hAnsi="Times New Roman"/>
                <w:noProof/>
                <w:spacing w:val="-6"/>
                <w:lang w:val="sk-SK"/>
              </w:rPr>
              <w:t>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vrátane zásady „výrazne nenarušiť“</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33094EC" w14:textId="4CA4CD59"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Oznamovanie všetkých verejných zákaziek na investície do obnovy miest</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situácie marginalizácie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sociálnej degradácie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projektmi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vrátane zásady „výrazne nenarušiť“</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9CE1BDE"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0FF055"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583E12B"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NEUVEDENÉ</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F6204DD"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PRVÝ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616EBE" w14:textId="77777777" w:rsidR="00BF03AA" w:rsidRPr="00326E55" w:rsidRDefault="00FB452D">
            <w:pPr>
              <w:pStyle w:val="P68B1DB1-Normal11"/>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AE274C4" w14:textId="6F287F4D" w:rsidR="00BF03AA" w:rsidRPr="00326E55" w:rsidRDefault="00FB452D">
            <w:pPr>
              <w:spacing w:before="120" w:after="120"/>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lang w:val="sk-SK"/>
              </w:rPr>
              <w:t>Notifikácia všetkých verejných zákaziek zadaných najmenej 300 obciam</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viac ako 15000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obyvateľmi na investície do obnovy miest</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cieľom znížiť situácie marginaliz</w:t>
            </w:r>
            <w:r w:rsidRPr="00326E55">
              <w:rPr>
                <w:rFonts w:ascii="Times New Roman" w:hAnsi="Times New Roman"/>
                <w:noProof/>
                <w:color w:val="006100"/>
                <w:spacing w:val="-6"/>
                <w:sz w:val="20"/>
                <w:lang w:val="sk-SK"/>
              </w:rPr>
              <w:t>ácie</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sociálnej degradácie, pričom projekty sú</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súlade</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cieľmi Mechanizmu na podporu obnovy</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odolnosti vrátane zásady „výrazne nenarušiť“.</w:t>
            </w:r>
          </w:p>
          <w:p w14:paraId="5CA68C3F" w14:textId="72335CFA" w:rsidR="00BF03AA" w:rsidRPr="00326E55" w:rsidRDefault="00FB452D">
            <w:pPr>
              <w:spacing w:before="120" w:after="120"/>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lang w:val="sk-SK"/>
              </w:rPr>
              <w:t>Granty sa udeľujú obciam</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viac ako 15000 obyvateľmi, ktoré nie sú hlavnými mestami provincií, hlavnými obcami pr</w:t>
            </w:r>
            <w:r w:rsidRPr="00326E55">
              <w:rPr>
                <w:rFonts w:ascii="Times New Roman" w:hAnsi="Times New Roman"/>
                <w:noProof/>
                <w:color w:val="006100"/>
                <w:spacing w:val="-6"/>
                <w:sz w:val="20"/>
                <w:lang w:val="sk-SK"/>
              </w:rPr>
              <w:t>ovincie ani sídlom metropolitného mesta.</w:t>
            </w:r>
          </w:p>
          <w:p w14:paraId="7C5F2F44" w14:textId="6D3EF169"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Projekty mestskej výroby pozostávajú aspoň</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jednej</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týchto intervencií:</w:t>
            </w:r>
          </w:p>
          <w:p w14:paraId="6AA5307F" w14:textId="0DD37D13" w:rsidR="00BF03AA" w:rsidRPr="00326E55" w:rsidRDefault="00FB452D">
            <w:pPr>
              <w:pStyle w:val="P68B1DB1-ListParagraph15"/>
              <w:numPr>
                <w:ilvl w:val="0"/>
                <w:numId w:val="95"/>
              </w:numPr>
              <w:spacing w:before="120" w:after="120" w:line="278" w:lineRule="auto"/>
              <w:ind w:left="357" w:hanging="357"/>
              <w:contextualSpacing w:val="0"/>
              <w:jc w:val="both"/>
              <w:rPr>
                <w:rFonts w:ascii="Times New Roman" w:eastAsia="Calibri" w:hAnsi="Times New Roman"/>
                <w:noProof/>
                <w:spacing w:val="-6"/>
                <w:szCs w:val="20"/>
                <w:lang w:val="sk-SK"/>
              </w:rPr>
            </w:pPr>
            <w:r w:rsidRPr="00326E55">
              <w:rPr>
                <w:rFonts w:ascii="Times New Roman" w:hAnsi="Times New Roman"/>
                <w:noProof/>
                <w:spacing w:val="-6"/>
                <w:lang w:val="sk-SK"/>
              </w:rPr>
              <w:t>Opätovné použitie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refunkčnosť verejných priestranstiev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existujúcich stavieb verejných budov na účely verejného záujmu vrátane demolácie </w:t>
            </w:r>
            <w:r w:rsidRPr="00326E55">
              <w:rPr>
                <w:rFonts w:ascii="Times New Roman" w:hAnsi="Times New Roman"/>
                <w:noProof/>
                <w:spacing w:val="-6"/>
                <w:lang w:val="sk-SK"/>
              </w:rPr>
              <w:t>zneužitých prác vykonaných súkromnými osobami bez stavebného povolenia alebo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úplnom rozpore so stavebným povolením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usporiadaním príslušných priestorov;</w:t>
            </w:r>
          </w:p>
          <w:p w14:paraId="5E426E72" w14:textId="504D99BE" w:rsidR="00BF03AA" w:rsidRPr="00326E55" w:rsidRDefault="00FB452D">
            <w:pPr>
              <w:pStyle w:val="P68B1DB1-ListParagraph15"/>
              <w:numPr>
                <w:ilvl w:val="0"/>
                <w:numId w:val="95"/>
              </w:numPr>
              <w:spacing w:before="120" w:after="120" w:line="278" w:lineRule="auto"/>
              <w:ind w:left="357" w:hanging="357"/>
              <w:contextualSpacing w:val="0"/>
              <w:jc w:val="both"/>
              <w:rPr>
                <w:rFonts w:ascii="Times New Roman" w:eastAsia="Calibri" w:hAnsi="Times New Roman"/>
                <w:noProof/>
                <w:spacing w:val="-6"/>
                <w:szCs w:val="20"/>
                <w:lang w:val="sk-SK"/>
              </w:rPr>
            </w:pPr>
            <w:r w:rsidRPr="00326E55">
              <w:rPr>
                <w:rFonts w:ascii="Times New Roman" w:hAnsi="Times New Roman"/>
                <w:noProof/>
                <w:spacing w:val="-6"/>
                <w:lang w:val="sk-SK"/>
              </w:rPr>
              <w:t>Zlepšenie kvality mestskej krajiny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environmentálnej 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prostredníctvom</w:t>
            </w:r>
            <w:r w:rsidRPr="00326E55">
              <w:rPr>
                <w:rFonts w:ascii="Times New Roman" w:hAnsi="Times New Roman"/>
                <w:noProof/>
                <w:spacing w:val="-6"/>
                <w:lang w:val="sk-SK"/>
              </w:rPr>
              <w:t xml:space="preserve"> obnovy budov verejných budov,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osobitným dôrazom na rozvoj sociálnych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kultúrnych, vzdelávacích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didaktických služieb;</w:t>
            </w:r>
          </w:p>
          <w:p w14:paraId="35940459" w14:textId="1BDC9CD4" w:rsidR="00BF03AA" w:rsidRPr="00326E55" w:rsidRDefault="00FB452D">
            <w:pPr>
              <w:pStyle w:val="P68B1DB1-ListParagraph15"/>
              <w:numPr>
                <w:ilvl w:val="0"/>
                <w:numId w:val="95"/>
              </w:numPr>
              <w:spacing w:before="120" w:after="120" w:line="278" w:lineRule="auto"/>
              <w:ind w:left="357" w:hanging="357"/>
              <w:contextualSpacing w:val="0"/>
              <w:jc w:val="both"/>
              <w:rPr>
                <w:rFonts w:ascii="Times New Roman" w:eastAsia="Calibri" w:hAnsi="Times New Roman"/>
                <w:noProof/>
                <w:spacing w:val="-6"/>
                <w:szCs w:val="20"/>
                <w:lang w:val="sk-SK"/>
              </w:rPr>
            </w:pPr>
            <w:r w:rsidRPr="00326E55">
              <w:rPr>
                <w:rFonts w:ascii="Times New Roman" w:hAnsi="Times New Roman"/>
                <w:noProof/>
                <w:spacing w:val="-6"/>
                <w:lang w:val="sk-SK"/>
              </w:rPr>
              <w:t>Ekologické, udržateľné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inteligentné dopravné projekty.</w:t>
            </w:r>
          </w:p>
          <w:p w14:paraId="0A77AA9E" w14:textId="77777777" w:rsidR="00BF03AA" w:rsidRPr="00326E55" w:rsidRDefault="00FB452D">
            <w:pPr>
              <w:pStyle w:val="P68B1DB1-Normal11"/>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Maximálne sumy na obec sú tieto:</w:t>
            </w:r>
          </w:p>
          <w:p w14:paraId="2BD93289" w14:textId="3670A3E6" w:rsidR="00BF03AA" w:rsidRPr="00326E55" w:rsidRDefault="00FB452D">
            <w:pPr>
              <w:spacing w:before="120" w:after="120"/>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lang w:val="sk-SK"/>
              </w:rPr>
              <w:t>5000000 EUR</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pre</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obce</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počtom obyvateľov od</w:t>
            </w:r>
            <w:r w:rsidRPr="00326E55">
              <w:rPr>
                <w:rFonts w:ascii="Times New Roman" w:hAnsi="Times New Roman"/>
                <w:noProof/>
                <w:color w:val="006100"/>
                <w:spacing w:val="-6"/>
                <w:sz w:val="20"/>
                <w:lang w:val="sk-SK"/>
              </w:rPr>
              <w:t xml:space="preserve"> 15000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do 49999;</w:t>
            </w:r>
          </w:p>
          <w:p w14:paraId="46748205" w14:textId="0624B057" w:rsidR="00BF03AA" w:rsidRPr="00326E55" w:rsidRDefault="00FB452D">
            <w:pPr>
              <w:spacing w:before="120" w:after="120"/>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lang w:val="sk-SK"/>
              </w:rPr>
              <w:t>10000000 EUR</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pre</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obce</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počtom obyvateľov od 50000 do 100000;</w:t>
            </w:r>
          </w:p>
          <w:p w14:paraId="7EACC1E5" w14:textId="373D6A29" w:rsidR="00BF03AA" w:rsidRPr="00326E55" w:rsidRDefault="00FB452D">
            <w:pPr>
              <w:spacing w:before="120" w:after="120"/>
              <w:rPr>
                <w:rFonts w:ascii="Times New Roman" w:eastAsia="Calibri" w:hAnsi="Times New Roman"/>
                <w:noProof/>
                <w:color w:val="006100"/>
                <w:spacing w:val="-6"/>
                <w:sz w:val="20"/>
                <w:szCs w:val="20"/>
                <w:lang w:val="sk-SK"/>
              </w:rPr>
            </w:pPr>
            <w:r w:rsidRPr="00326E55">
              <w:rPr>
                <w:rFonts w:ascii="Times New Roman" w:hAnsi="Times New Roman"/>
                <w:noProof/>
                <w:color w:val="006100"/>
                <w:spacing w:val="-6"/>
                <w:sz w:val="20"/>
                <w:lang w:val="sk-SK"/>
              </w:rPr>
              <w:t xml:space="preserve"> 20000000 EUR pre obce</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viac ako 100000 obyvateľmi</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pre obce, ktoré sú hlavnými mestami provincií alebo metropolitnými mestami.</w:t>
            </w:r>
          </w:p>
        </w:tc>
      </w:tr>
      <w:tr w:rsidR="00BF03AA" w:rsidRPr="00326E55" w14:paraId="3403ECE3"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F1BBC4"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M5C2 – 12</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BD3DB3" w14:textId="10A7ADA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4 – Investície do </w:t>
            </w:r>
            <w:r w:rsidRPr="00326E55">
              <w:rPr>
                <w:rFonts w:ascii="Times New Roman" w:hAnsi="Times New Roman"/>
                <w:noProof/>
                <w:spacing w:val="-6"/>
                <w:lang w:val="sk-SK"/>
              </w:rPr>
              <w:t>projektov obnovy miest zamerané na zníženie situácií marginalizácie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sociálnej degradácie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8F4BA4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F9BA6E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Dokončenie projektov na zásahy obnovy miest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15F26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518E5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5CDA32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CF8CDF4"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1</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080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002121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7CA6F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B1F1F63" w14:textId="09262C5B"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Osvedčenia</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ukončení prác</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prípade najmenej</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 xml:space="preserve">1080 projektov </w:t>
            </w:r>
            <w:r w:rsidRPr="00326E55">
              <w:rPr>
                <w:rFonts w:ascii="Times New Roman" w:hAnsi="Times New Roman"/>
                <w:noProof/>
                <w:color w:val="006100"/>
                <w:spacing w:val="-6"/>
                <w:sz w:val="20"/>
                <w:szCs w:val="20"/>
                <w:lang w:val="sk-SK"/>
              </w:rPr>
              <w:t>pokrývajúcich najmenej 1000000 metrov</w:t>
            </w:r>
            <w:r w:rsidRPr="00326E55">
              <w:rPr>
                <w:rFonts w:ascii="Times New Roman" w:hAnsi="Times New Roman"/>
                <w:noProof/>
                <w:spacing w:val="-6"/>
                <w:sz w:val="23"/>
                <w:szCs w:val="23"/>
                <w:lang w:val="sk-SK"/>
              </w:rPr>
              <w:t xml:space="preserve"> štvorcových. </w:t>
            </w:r>
          </w:p>
        </w:tc>
      </w:tr>
      <w:tr w:rsidR="00BF03AA" w:rsidRPr="00326E55" w14:paraId="790FA9FE"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5A384B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M5C2 – 13</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D27994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 – Mestské integrované plány – všeobecné projekty</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32F299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35BF4BA" w14:textId="0E7ADCF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investičného plánu pre projekty obnovy miest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metropolitných oblastiach</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9C8601B" w14:textId="28FC8A6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plánu pre projekty obnovy miest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metropolitných oblastiach</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71BD22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5A4D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0575DF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2BC19B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532F3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4EC17D0F" w14:textId="27DC18D3"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investičnom pláne sa stanoví súbor kritérií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vrátane zásady „vý</w:t>
            </w:r>
            <w:r w:rsidRPr="00326E55">
              <w:rPr>
                <w:rFonts w:ascii="Times New Roman" w:hAnsi="Times New Roman"/>
                <w:noProof/>
                <w:spacing w:val="-6"/>
                <w:lang w:val="sk-SK"/>
              </w:rPr>
              <w:t>razne nenarušiť“. Projekty sa týkajú tohto typu intervencií:</w:t>
            </w:r>
          </w:p>
          <w:p w14:paraId="6FE78F40" w14:textId="40402143"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a) údržba na opätovné použitie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opätovná prevádzka verejných priestorov.</w:t>
            </w:r>
          </w:p>
          <w:p w14:paraId="216F6C2F" w14:textId="12BB341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b) Zlepšenie kvality mestskej dekorácie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environmentálnej štruktúry.</w:t>
            </w:r>
          </w:p>
          <w:p w14:paraId="4A960A22" w14:textId="37C3C8E8"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C) Zlepšenie kvality životného prostred</w:t>
            </w:r>
            <w:r w:rsidRPr="00326E55">
              <w:rPr>
                <w:rFonts w:ascii="Times New Roman" w:hAnsi="Times New Roman"/>
                <w:noProof/>
                <w:spacing w:val="-6"/>
                <w:lang w:val="sk-SK"/>
              </w:rPr>
              <w:t>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digitálneho profilu mestských oblastí.</w:t>
            </w:r>
          </w:p>
        </w:tc>
      </w:tr>
      <w:tr w:rsidR="00BF03AA" w:rsidRPr="00326E55" w14:paraId="046B454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68F967D6"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M5C2 – 14</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4311729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 – Mestské integrované plány – všeobecné projekty</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0F66737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68673BF8" w14:textId="547EFFCC"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Dokončenie integrovaných projektov plánovania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metropolitných mestách</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B74805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1F6C955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Počet </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23AA47F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5697469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047AE3E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7984A88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7141CD3B" w14:textId="4480718B"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ukončení prác vydané pre najmenej 300 integrovaných projektov plánovania vo všetkých 14 metropolitných mestách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celkovou plochou najmenej 3000000 metrov štvorcových.</w:t>
            </w:r>
          </w:p>
        </w:tc>
      </w:tr>
      <w:tr w:rsidR="00BF03AA" w:rsidRPr="00326E55" w14:paraId="2D58023D"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4C629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M5C2 – 15</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7703458" w14:textId="2786BE0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 – Mestské integrované plány – Prekonanie nelegálnych osád</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boji </w:t>
            </w:r>
            <w:r w:rsidRPr="00326E55">
              <w:rPr>
                <w:rFonts w:ascii="Times New Roman" w:hAnsi="Times New Roman"/>
                <w:noProof/>
                <w:spacing w:val="-6"/>
                <w:lang w:val="sk-SK"/>
              </w:rPr>
              <w:t>proti pracovnému vykorisťovaniu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694F1D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B0F28E4" w14:textId="14BC8CC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ministerskej vyhlášky, ktorou sa stanovuje mapovanie nelegálnych osád, sa prijíma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„Tavolo di contrasto allo sfruttamento lavorativo in agricoltura“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prijíma sa ministerská</w:t>
            </w:r>
            <w:r w:rsidRPr="00326E55">
              <w:rPr>
                <w:rFonts w:ascii="Times New Roman" w:hAnsi="Times New Roman"/>
                <w:noProof/>
                <w:spacing w:val="-6"/>
                <w:lang w:val="sk-SK"/>
              </w:rPr>
              <w:t xml:space="preserve"> vyhláška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prideľovaní zdrojov.</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FA06D7E" w14:textId="67866E2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ministerskej vyhlášky</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895839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E62BC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B29FE5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50ECD9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F1AAA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2C236D" w14:textId="2DB4137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Ministerská vyhláška prideľuje zdroje na základe mapovania nelegálnych osád, ktoré realizuje „Tavolo di </w:t>
            </w:r>
            <w:r w:rsidRPr="00326E55">
              <w:rPr>
                <w:rFonts w:ascii="Times New Roman" w:hAnsi="Times New Roman"/>
                <w:noProof/>
                <w:spacing w:val="-6"/>
                <w:lang w:val="sk-SK"/>
              </w:rPr>
              <w:t>contrasto allo sfruttamento lavorativo in agricoltura“. Vymedzí sa štandard dočasných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dlhodobých riešení bývania.</w:t>
            </w:r>
          </w:p>
        </w:tc>
      </w:tr>
      <w:tr w:rsidR="00BF03AA" w:rsidRPr="00326E55" w14:paraId="2F161923"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45A9888"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M5C2 – 16</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29A5FFD" w14:textId="62907E3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 – Mestské integrované plány – prekonanie nelegálnych osád na boj proti pracovnému vykorisťovaniu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7614AC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7F3E71" w14:textId="30D0C4ED"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Projekty týkajúce sa bývania pre pracovníkov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zriadenie platformy</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E8B2FB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CB2884C" w14:textId="77777777" w:rsidR="00BF03AA" w:rsidRPr="00326E55" w:rsidRDefault="00BF03AA">
            <w:pPr>
              <w:jc w:val="center"/>
              <w:rPr>
                <w:rFonts w:ascii="Times New Roman" w:hAnsi="Times New Roman"/>
                <w:noProof/>
                <w:color w:val="006100"/>
                <w:spacing w:val="-6"/>
                <w:sz w:val="20"/>
                <w:szCs w:val="20"/>
                <w:lang w:val="sk-SK"/>
              </w:rPr>
            </w:pP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823BF8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E77518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11</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27F2CF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EDBF4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B130A84" w14:textId="48525C04" w:rsidR="00326E55"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vydané pre 11 projektov, ktoré sa vzťahujú na počet miest požadovaný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dohodách podpísaných </w:t>
            </w:r>
            <w:r w:rsidRPr="00326E55">
              <w:rPr>
                <w:rFonts w:ascii="Times New Roman" w:hAnsi="Times New Roman"/>
                <w:noProof/>
                <w:spacing w:val="-6"/>
                <w:lang w:val="sk-SK"/>
              </w:rPr>
              <w:t>vykonávacími orgánmi.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týchto osvedčeniach sa tiež potvrdzuje, že projekty 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normami týkajúcimi sa bývania vymedzenými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dohodách</w:t>
            </w:r>
            <w:r w:rsidR="00326E55" w:rsidRPr="00326E55">
              <w:rPr>
                <w:rFonts w:ascii="Times New Roman" w:hAnsi="Times New Roman"/>
                <w:noProof/>
                <w:spacing w:val="-6"/>
                <w:lang w:val="sk-SK"/>
              </w:rPr>
              <w:t>.</w:t>
            </w:r>
          </w:p>
          <w:p w14:paraId="7CAA5F47" w14:textId="44D4D0D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Zriadi sa digitálna platforma pre pracovné vykorisťovanie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poľnohospodárstve („Sistema informativo per il contr</w:t>
            </w:r>
            <w:r w:rsidRPr="00326E55">
              <w:rPr>
                <w:rFonts w:ascii="Times New Roman" w:hAnsi="Times New Roman"/>
                <w:noProof/>
                <w:spacing w:val="-6"/>
                <w:lang w:val="sk-SK"/>
              </w:rPr>
              <w:t>asto al caporalato“), ktorá umožní používanie interaktívneho prehľadu.</w:t>
            </w:r>
          </w:p>
        </w:tc>
      </w:tr>
      <w:tr w:rsidR="00BF03AA" w:rsidRPr="00326E55" w14:paraId="0FE3D82F"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DCF0E6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M5C2 – 17</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B67A81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5 – Mestské integrované plány – fond EIB – fond fondu</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A7150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DD7AC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Investičnú stratégiu fondu schvaľuje ministerstvo financií (MEF).</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BB7BE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Investičnú stratégiu fondu schvaľuje</w:t>
            </w:r>
            <w:r w:rsidRPr="00326E55">
              <w:rPr>
                <w:rFonts w:ascii="Times New Roman" w:hAnsi="Times New Roman"/>
                <w:noProof/>
                <w:spacing w:val="-6"/>
                <w:lang w:val="sk-SK"/>
              </w:rPr>
              <w:t xml:space="preserve"> ministerstvo financií (MEF).</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08D50D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864297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597ABC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6A49F5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481CE7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2DA3006" w14:textId="4C7D179B"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V investičnej stratégii fondu sa vymedzuje minimálne: I) povaha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rozsah podporovaných investícií, ktoré podporujú projekty udržateľnej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rozvoja miest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cieľmi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dodržiavaním zásady „výrazne nenarušiť“, ako sa bližšie uvádza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usmernení Komisie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12</w:t>
            </w:r>
            <w:r w:rsidR="00326E55" w:rsidRPr="00326E55">
              <w:rPr>
                <w:rFonts w:ascii="Times New Roman" w:hAnsi="Times New Roman"/>
                <w:noProof/>
                <w:spacing w:val="-6"/>
                <w:lang w:val="sk-SK"/>
              </w:rPr>
              <w:t>. februára</w:t>
            </w:r>
            <w:r w:rsidRPr="00326E55">
              <w:rPr>
                <w:rFonts w:ascii="Times New Roman" w:hAnsi="Times New Roman"/>
                <w:noProof/>
                <w:spacing w:val="-6"/>
                <w:lang w:val="sk-SK"/>
              </w:rPr>
              <w:t xml:space="preserve"> 2021, ii) podporovanými operáciami, iii) dotknutými prijímateľmi, ktorí sú súkromnými </w:t>
            </w:r>
            <w:r w:rsidRPr="00326E55">
              <w:rPr>
                <w:rFonts w:ascii="Times New Roman" w:hAnsi="Times New Roman"/>
                <w:noProof/>
                <w:spacing w:val="-6"/>
                <w:lang w:val="sk-SK"/>
              </w:rPr>
              <w:t>navrhovateľmi finančne sebestačných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ktorých je verejná podpora odôvodnená zlyhaním trhu alebo rizikovým profilom,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ich kritériami oprávnenosti, iv) kritériami oprávnenosti finančných prijímateľov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ich výberom prostredníctvom verejnej</w:t>
            </w:r>
            <w:r w:rsidRPr="00326E55">
              <w:rPr>
                <w:rFonts w:ascii="Times New Roman" w:hAnsi="Times New Roman"/>
                <w:noProof/>
                <w:spacing w:val="-6"/>
                <w:lang w:val="sk-SK"/>
              </w:rPr>
              <w:t xml:space="preserve"> výzvy; v) začlenenie osobitného riadku pre riešenia dôstojného bývania pre pracovníkov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odvetví poľnohospodárstva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priemyslu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 ustanovenia na opätovné investovanie potenciálnych spätných tokov do tých istých politických cieľov,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po roku 2026.</w:t>
            </w:r>
          </w:p>
          <w:p w14:paraId="377147FF" w14:textId="55B65F5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zmluvnej dohode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povereným subjektom, ktorá sa vyžaduje, sa vyžaduje použitie usmernenia týkajúceho sa zásady „výrazne nenarušiť“.</w:t>
            </w:r>
          </w:p>
        </w:tc>
      </w:tr>
      <w:tr w:rsidR="00BF03AA" w:rsidRPr="00326E55" w14:paraId="4ABB4D59"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32E92EAF" w14:textId="7777777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M5C2 – 18</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36B0BE79"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Investícia 5 – Mestské integrované plány – fond EIB – fond fondu</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35880C10"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3F438F10" w14:textId="2B322C51" w:rsidR="00BF03AA" w:rsidRPr="00326E55" w:rsidRDefault="00FB452D">
            <w:pPr>
              <w:pStyle w:val="P68B1DB1-Normal12"/>
              <w:rPr>
                <w:rFonts w:ascii="Times New Roman" w:eastAsia="Calibri" w:hAnsi="Times New Roman" w:cs="Calibri"/>
                <w:noProof/>
                <w:color w:val="000000" w:themeColor="text1"/>
                <w:spacing w:val="-6"/>
                <w:lang w:val="sk-SK"/>
              </w:rPr>
            </w:pPr>
            <w:r w:rsidRPr="00326E55">
              <w:rPr>
                <w:rFonts w:ascii="Times New Roman" w:hAnsi="Times New Roman"/>
                <w:noProof/>
                <w:spacing w:val="-6"/>
                <w:lang w:val="sk-SK"/>
              </w:rPr>
              <w:t>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konečnými </w:t>
            </w:r>
            <w:r w:rsidRPr="00326E55">
              <w:rPr>
                <w:rFonts w:ascii="Times New Roman" w:hAnsi="Times New Roman"/>
                <w:noProof/>
                <w:spacing w:val="-6"/>
                <w:lang w:val="sk-SK"/>
              </w:rPr>
              <w:t>príjemcami na investičnú hodnotu príslušných projektov vo výške najmenej 545 000 000 EUR</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DD43D1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723790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EUR</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58AA1BCC"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0F93D0D"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545</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44A7CA54"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ŠTVRTÝ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7409D19A" w14:textId="77777777" w:rsidR="00BF03AA" w:rsidRPr="00326E55" w:rsidRDefault="00FB452D">
            <w:pPr>
              <w:pStyle w:val="P68B1DB1-Normal11"/>
              <w:jc w:val="center"/>
              <w:rPr>
                <w:rFonts w:ascii="Times New Roman" w:eastAsia="Calibri" w:hAnsi="Times New Roman"/>
                <w:noProof/>
                <w:spacing w:val="-6"/>
                <w:szCs w:val="20"/>
                <w:lang w:val="sk-SK"/>
              </w:rPr>
            </w:pPr>
            <w:r w:rsidRPr="00326E55">
              <w:rPr>
                <w:rFonts w:ascii="Times New Roman" w:hAnsi="Times New Roman"/>
                <w:noProof/>
                <w:spacing w:val="-6"/>
                <w:lang w:val="sk-SK"/>
              </w:rPr>
              <w:t>2025</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37BB0006" w14:textId="27F21A65"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Vybraní finanční sprostredkovatelia musia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financovaní na investičnú </w:t>
            </w:r>
            <w:r w:rsidRPr="00326E55">
              <w:rPr>
                <w:rFonts w:ascii="Times New Roman" w:hAnsi="Times New Roman"/>
                <w:noProof/>
                <w:spacing w:val="-6"/>
                <w:lang w:val="sk-SK"/>
              </w:rPr>
              <w:t>hodnotu príslušných projektov vo výške najmenej 545 000 000 EUR (vrátane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súkromného financovania).</w:t>
            </w:r>
          </w:p>
          <w:p w14:paraId="1BFCC26B" w14:textId="1A9A98F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Ministerstvo hospodárstva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financií dokončí prevod 272 000 000 EUR do Európskej investičnej banky.</w:t>
            </w:r>
          </w:p>
        </w:tc>
      </w:tr>
      <w:tr w:rsidR="00BF03AA" w:rsidRPr="00326E55" w14:paraId="011FBF99"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E933E4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M5C2 – 19</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1C9EA3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6 – Inovačný program pre kvalitu bývania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A2A019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88BC2A4" w14:textId="04CB036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Regióny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autonómne provincie (vrátane obcí a/alebo metropolitných miest nachádzajúcich sa na týchto územiach) podpísali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prestavbe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rozšírení sociálneho bývania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4B6DDD3" w14:textId="7921957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Podpisujú sa dohody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miestnymi orgánmi</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668D61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EEA4CE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D943EB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379AD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F3B530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ED7DED" w14:textId="76F3AE7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Najmenej 15 regiónov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autonómnych provincií (vrátane obcí a/alebo metropolitných miest nachádzajúcich sa na týchto územiach) podpísalo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rekonštrukcii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rozšírení sociálneho bývania</w:t>
            </w:r>
            <w:r w:rsidRPr="00326E55">
              <w:rPr>
                <w:rFonts w:ascii="Times New Roman" w:hAnsi="Times New Roman"/>
                <w:noProof/>
                <w:spacing w:val="-6"/>
                <w:lang w:val="sk-SK"/>
              </w:rPr>
              <w:t>.</w:t>
            </w:r>
          </w:p>
          <w:p w14:paraId="0DC8DEEA" w14:textId="3434E343"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najmenej 15 regiónmi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autonómnymi provinciami zapojenými do projektov</w:t>
            </w:r>
            <w:r w:rsidR="00326E55" w:rsidRPr="00326E55">
              <w:rPr>
                <w:rFonts w:ascii="Times New Roman" w:hAnsi="Times New Roman"/>
                <w:noProof/>
                <w:spacing w:val="-6"/>
                <w:lang w:val="sk-SK"/>
              </w:rPr>
              <w:t>.</w:t>
            </w:r>
          </w:p>
          <w:p w14:paraId="5314B098" w14:textId="448718A2"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Stavby: nové bytové priestory určené na:</w:t>
            </w:r>
          </w:p>
          <w:p w14:paraId="5BC79F11" w14:textId="3CBBD802"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prebudovať, reorganizovať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zvýšiť aktíva určené pre nájomné bývanie,</w:t>
            </w:r>
          </w:p>
          <w:p w14:paraId="142E45F1" w14:textId="50011B1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refunkčnosť oblastí, priestorov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verejného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súkromného majetku aj prostredníctvom obnovy mestskej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sociálno-ekonomickej štruktúry,</w:t>
            </w:r>
          </w:p>
          <w:p w14:paraId="4E3DDE34" w14:textId="269A47A4"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zlepšiť dostupnosť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bezpečnosť mestských oblastí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poskytovanie 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mestských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miestnych infraštruktúr,</w:t>
            </w:r>
          </w:p>
          <w:p w14:paraId="36825ED0" w14:textId="65CB4922"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regenerovať už vybudované oblasti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priestory, zvýši</w:t>
            </w:r>
            <w:r w:rsidRPr="00326E55">
              <w:rPr>
                <w:rFonts w:ascii="Times New Roman" w:hAnsi="Times New Roman"/>
                <w:noProof/>
                <w:spacing w:val="-6"/>
                <w:lang w:val="sk-SK"/>
              </w:rPr>
              <w:t>ť kvalitu životného prostredia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zlepšiť odolnosť proti zmene klímy aj prostredníctvom operácií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vplyvom na zahusťovanie miest,</w:t>
            </w:r>
          </w:p>
          <w:p w14:paraId="427C16F2" w14:textId="66AF8683"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 identifikovať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využívať inovatívne modely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nástroje 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začleňovania, sociálny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mestský blahobyt, ako aj participat</w:t>
            </w:r>
            <w:r w:rsidRPr="00326E55">
              <w:rPr>
                <w:rFonts w:ascii="Times New Roman" w:hAnsi="Times New Roman"/>
                <w:noProof/>
                <w:spacing w:val="-6"/>
                <w:lang w:val="sk-SK"/>
              </w:rPr>
              <w:t>ívne procesy.</w:t>
            </w:r>
          </w:p>
          <w:p w14:paraId="2D892366" w14:textId="7C2BA19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Podporované bytové jednotky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verejné priestory majú využívať činnosti opísané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súvisiacom míľniku.</w:t>
            </w:r>
          </w:p>
        </w:tc>
      </w:tr>
      <w:tr w:rsidR="00BF03AA" w:rsidRPr="00326E55" w14:paraId="0590D536"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A060542" w14:textId="3DF6C4A1"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M5C2 – 20</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404830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Investícia 6 – Inovačný program pre kvalitu bývania </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C24795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E50D75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Počet vybudovaných, zakúpených alebo zrenovovaných bytových jednotiek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E62671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01AD86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0ED57A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C47EF17"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10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000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EAC2E5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E7A38B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B29D6AA" w14:textId="381B978B" w:rsidR="00BF03AA" w:rsidRPr="00326E55" w:rsidRDefault="00FB452D">
            <w:pPr>
              <w:pStyle w:val="P68B1DB1-Normal12"/>
              <w:spacing w:line="278" w:lineRule="auto"/>
              <w:rPr>
                <w:rFonts w:ascii="Times New Roman" w:hAnsi="Times New Roman"/>
                <w:noProof/>
                <w:spacing w:val="-6"/>
                <w:lang w:val="sk-SK"/>
              </w:rPr>
            </w:pPr>
            <w:r w:rsidRPr="00326E55">
              <w:rPr>
                <w:rFonts w:ascii="Times New Roman" w:hAnsi="Times New Roman"/>
                <w:noProof/>
                <w:spacing w:val="-6"/>
                <w:lang w:val="sk-SK"/>
              </w:rPr>
              <w:t>Vybuduje sa, zakúpi alebo zrenovuje najmenej 10000 obytných jednotiek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obnoví sa najmenej 1800000 metrov štvorcových verejných ohybov.</w:t>
            </w:r>
          </w:p>
          <w:p w14:paraId="4A751E07" w14:textId="2C703888" w:rsidR="00BF03AA" w:rsidRPr="00326E55" w:rsidRDefault="00FB452D">
            <w:pPr>
              <w:pStyle w:val="P68B1DB1-Normal12"/>
              <w:spacing w:line="278" w:lineRule="auto"/>
              <w:rPr>
                <w:rFonts w:ascii="Times New Roman" w:hAnsi="Times New Roman"/>
                <w:noProof/>
                <w:spacing w:val="-6"/>
                <w:lang w:val="sk-SK"/>
              </w:rPr>
            </w:pPr>
            <w:r w:rsidRPr="00326E55">
              <w:rPr>
                <w:rFonts w:ascii="Times New Roman" w:hAnsi="Times New Roman"/>
                <w:noProof/>
                <w:spacing w:val="-6"/>
                <w:lang w:val="sk-SK"/>
              </w:rPr>
              <w:t>Aspoň 497 miliónov EUR</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podpory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na</w:t>
            </w:r>
            <w:r w:rsidRPr="00326E55">
              <w:rPr>
                <w:rFonts w:ascii="Times New Roman" w:hAnsi="Times New Roman"/>
                <w:noProof/>
                <w:spacing w:val="-6"/>
                <w:lang w:val="sk-SK"/>
              </w:rPr>
              <w:t xml:space="preserve"> investičné náklady sa vyčlení na obnovu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dosiahnuť energetickú efektívnosť existujúceho bytového fondu alebo verejnej infraštruktúry,</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čoho najmenej 300 miliónov EUR sa vyčlení na obnovu existujúceho bytového fondu zameranú na energetickú efektív</w:t>
            </w:r>
            <w:r w:rsidRPr="00326E55">
              <w:rPr>
                <w:rFonts w:ascii="Times New Roman" w:hAnsi="Times New Roman"/>
                <w:noProof/>
                <w:spacing w:val="-6"/>
                <w:lang w:val="sk-SK"/>
              </w:rPr>
              <w:t>nosť, čo povedie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úsporám primárnej energie vo výške aspoň 30</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p>
          <w:p w14:paraId="0056308A" w14:textId="2160A190" w:rsidR="00BF03AA" w:rsidRPr="00326E55" w:rsidRDefault="00FB452D">
            <w:pPr>
              <w:pStyle w:val="P68B1DB1-Normal12"/>
              <w:spacing w:line="278" w:lineRule="auto"/>
              <w:rPr>
                <w:rFonts w:ascii="Times New Roman" w:hAnsi="Times New Roman"/>
                <w:noProof/>
                <w:spacing w:val="-6"/>
                <w:lang w:val="sk-SK"/>
              </w:rPr>
            </w:pPr>
            <w:r w:rsidRPr="00326E55">
              <w:rPr>
                <w:rFonts w:ascii="Times New Roman" w:hAnsi="Times New Roman"/>
                <w:noProof/>
                <w:spacing w:val="-6"/>
                <w:lang w:val="sk-SK"/>
              </w:rPr>
              <w:t>Podpora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vo výške najmenej 84 miliónov EUR na investičné náklady sa vyčlení na cyklistickú infraštruktúru.</w:t>
            </w:r>
          </w:p>
        </w:tc>
      </w:tr>
      <w:tr w:rsidR="00BF03AA" w:rsidRPr="00326E55" w14:paraId="55039567"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050192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M5C2 – 21</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BE1357C" w14:textId="3B3A04A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7 – Projekt Šport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 začlenenie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9CD9A9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FAF9DF7" w14:textId="5D9FEFC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Zadávanie všetkých verejných zákaziek na projekty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športu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sociálneho začlenenia na základe verejnej výzvy na predkladanie návrhov</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F4BFF25" w14:textId="27001B3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projekty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športu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sociálneho začlenenia</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188165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CCEEB8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92DF8D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3B08B2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6D632D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69A213" w14:textId="5EDE0BFF"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verejných zákaziek, ktoré pozostáva aspoň</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jedného</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týchto prvkov:</w:t>
            </w:r>
          </w:p>
          <w:p w14:paraId="497B7451" w14:textId="5B59250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1. výstavba nových športových zariadení nachádzajúcich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znevýhodnených oblastiach krajiny;</w:t>
            </w:r>
          </w:p>
          <w:p w14:paraId="202A10DC" w14:textId="3FC1780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2.</w:t>
            </w:r>
            <w:r w:rsidRPr="00326E55">
              <w:rPr>
                <w:rFonts w:ascii="Times New Roman" w:hAnsi="Times New Roman"/>
                <w:noProof/>
                <w:spacing w:val="-6"/>
                <w:lang w:val="sk-SK"/>
              </w:rPr>
              <w:t xml:space="preserve"> poskytovanie športového vybavenia vrátane používania technológií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športe;</w:t>
            </w:r>
          </w:p>
          <w:p w14:paraId="08D57BB3" w14:textId="7AB44622" w:rsidR="00BF03AA" w:rsidRPr="00326E55" w:rsidRDefault="00FB452D">
            <w:pPr>
              <w:pStyle w:val="P68B1DB1-Normal11"/>
              <w:rPr>
                <w:rFonts w:ascii="Times New Roman" w:eastAsia="Calibri" w:hAnsi="Times New Roman"/>
                <w:noProof/>
                <w:spacing w:val="-6"/>
                <w:szCs w:val="20"/>
                <w:lang w:val="sk-SK"/>
              </w:rPr>
            </w:pPr>
            <w:r w:rsidRPr="00326E55">
              <w:rPr>
                <w:rFonts w:ascii="Times New Roman" w:hAnsi="Times New Roman"/>
                <w:noProof/>
                <w:spacing w:val="-6"/>
                <w:lang w:val="sk-SK"/>
              </w:rPr>
              <w:t>3. rekvalifikácia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prispôsobenie existujúcich športových zariadení (napríklad: odstránenie architektonických prekážok, energetická účinnosť atď.).</w:t>
            </w:r>
          </w:p>
          <w:p w14:paraId="00F74937" w14:textId="4B1E948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Cieľom projektu je zabezpečiť ob</w:t>
            </w:r>
            <w:r w:rsidRPr="00326E55">
              <w:rPr>
                <w:rFonts w:ascii="Times New Roman" w:hAnsi="Times New Roman"/>
                <w:noProof/>
                <w:spacing w:val="-6"/>
                <w:lang w:val="sk-SK"/>
              </w:rPr>
              <w:t>novu mestských oblastí zameraním sa na športové zariadenia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podporiť sociálne začlenenie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integráciu, najmä</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najodkázanejších oblastiach Talianska.</w:t>
            </w:r>
          </w:p>
          <w:p w14:paraId="29C06586" w14:textId="2112F65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Kritériá výberu zaručujú, že aspoň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investície sa pridelí na nové stavby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príslušnými požiadavkami poznámky pod čiarou </w:t>
            </w:r>
            <w:r w:rsidR="00326E55" w:rsidRPr="00326E55">
              <w:rPr>
                <w:rFonts w:ascii="Times New Roman" w:hAnsi="Times New Roman"/>
                <w:noProof/>
                <w:spacing w:val="-6"/>
                <w:lang w:val="sk-SK"/>
              </w:rPr>
              <w:t>č. </w:t>
            </w:r>
            <w:r w:rsidRPr="00326E55">
              <w:rPr>
                <w:rFonts w:ascii="Times New Roman" w:hAnsi="Times New Roman"/>
                <w:noProof/>
                <w:spacing w:val="-6"/>
                <w:lang w:val="sk-SK"/>
              </w:rPr>
              <w:t>5 prílohy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w:t>
            </w:r>
          </w:p>
        </w:tc>
      </w:tr>
      <w:tr w:rsidR="00BF03AA" w:rsidRPr="00326E55" w14:paraId="4156AF6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5877FF4" w14:textId="77777777" w:rsidR="00BF03AA" w:rsidRPr="00326E55" w:rsidRDefault="00FB452D">
            <w:pPr>
              <w:pStyle w:val="P68B1DB1-Normal11"/>
              <w:jc w:val="center"/>
              <w:rPr>
                <w:rFonts w:ascii="Times New Roman" w:hAnsi="Times New Roman"/>
                <w:noProof/>
                <w:spacing w:val="-6"/>
                <w:szCs w:val="20"/>
                <w:highlight w:val="yellow"/>
                <w:lang w:val="sk-SK"/>
              </w:rPr>
            </w:pPr>
            <w:r w:rsidRPr="00326E55">
              <w:rPr>
                <w:rFonts w:ascii="Times New Roman" w:hAnsi="Times New Roman"/>
                <w:noProof/>
                <w:spacing w:val="-6"/>
                <w:lang w:val="sk-SK"/>
              </w:rPr>
              <w:t>M5C2 – 22</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A44623F" w14:textId="395419A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7 – Šport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sociálne začlenenie </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C79E3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B2BC68A" w14:textId="3A1A9152"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 Vydané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prác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6C520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92E13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CD677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A06FE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7F0D0A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C8135D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25FC8D" w14:textId="7CD48593"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prác </w:t>
            </w:r>
            <w:r w:rsidRPr="00326E55">
              <w:rPr>
                <w:rFonts w:ascii="Times New Roman" w:hAnsi="Times New Roman"/>
                <w:noProof/>
                <w:spacing w:val="-6"/>
                <w:lang w:val="sk-SK"/>
              </w:rPr>
              <w:t>vydané na najmenej 100 zásahov súvisiacich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výstavbou alebo obnovou športových zariadení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celkovou plochou najmenej 200000 metrov štvorcových.</w:t>
            </w:r>
          </w:p>
        </w:tc>
      </w:tr>
    </w:tbl>
    <w:p w14:paraId="3592BCFC" w14:textId="77777777" w:rsidR="00BF03AA" w:rsidRPr="00326E55" w:rsidRDefault="00BF03AA">
      <w:pPr>
        <w:keepNext/>
        <w:tabs>
          <w:tab w:val="left" w:pos="4252"/>
        </w:tabs>
        <w:spacing w:before="720"/>
        <w:jc w:val="both"/>
        <w:rPr>
          <w:rFonts w:ascii="Times New Roman" w:hAnsi="Times New Roman"/>
          <w:i/>
          <w:noProof/>
          <w:spacing w:val="-6"/>
          <w:lang w:val="sk-SK"/>
        </w:rPr>
        <w:sectPr w:rsidR="00BF03AA" w:rsidRPr="00326E55" w:rsidSect="005F11B9">
          <w:headerReference w:type="even" r:id="rId254"/>
          <w:headerReference w:type="default" r:id="rId255"/>
          <w:footerReference w:type="even" r:id="rId256"/>
          <w:footerReference w:type="default" r:id="rId257"/>
          <w:headerReference w:type="first" r:id="rId258"/>
          <w:footerReference w:type="first" r:id="rId259"/>
          <w:pgSz w:w="20160" w:h="12240" w:orient="landscape"/>
          <w:pgMar w:top="1440" w:right="1440" w:bottom="1440" w:left="1440" w:header="709" w:footer="709" w:gutter="0"/>
          <w:cols w:space="720"/>
          <w:docGrid w:linePitch="360"/>
        </w:sectPr>
      </w:pPr>
    </w:p>
    <w:p w14:paraId="5968D17C" w14:textId="25F8DE4A" w:rsidR="00BF03AA" w:rsidRPr="00326E55" w:rsidRDefault="00FB452D">
      <w:pPr>
        <w:pStyle w:val="P68B1DB1-Heading23"/>
        <w:ind w:left="1080"/>
        <w:rPr>
          <w:noProof/>
          <w:spacing w:val="-6"/>
          <w:lang w:val="sk-SK"/>
        </w:rPr>
      </w:pPr>
      <w:r w:rsidRPr="00326E55">
        <w:rPr>
          <w:noProof/>
          <w:spacing w:val="-6"/>
          <w:lang w:val="sk-SK"/>
        </w:rPr>
        <w:t>N. ÚLOHA 5, ZLOŽKA 3: Osobitné intervencie</w:t>
      </w:r>
      <w:r w:rsidR="00326E55" w:rsidRPr="00326E55">
        <w:rPr>
          <w:noProof/>
          <w:spacing w:val="-6"/>
          <w:lang w:val="sk-SK"/>
        </w:rPr>
        <w:t xml:space="preserve"> v </w:t>
      </w:r>
      <w:r w:rsidRPr="00326E55">
        <w:rPr>
          <w:noProof/>
          <w:spacing w:val="-6"/>
          <w:lang w:val="sk-SK"/>
        </w:rPr>
        <w:t xml:space="preserve">záujme </w:t>
      </w:r>
      <w:r w:rsidRPr="00326E55">
        <w:rPr>
          <w:noProof/>
          <w:spacing w:val="-6"/>
          <w:lang w:val="sk-SK"/>
        </w:rPr>
        <w:t>územnej súdržnosti</w:t>
      </w:r>
    </w:p>
    <w:p w14:paraId="5D4241D4" w14:textId="56310A94" w:rsidR="00326E55" w:rsidRPr="00326E55" w:rsidRDefault="00FB452D">
      <w:pPr>
        <w:pStyle w:val="P68B1DB1-Normal7"/>
        <w:tabs>
          <w:tab w:val="left" w:pos="1134"/>
        </w:tabs>
        <w:spacing w:before="120" w:after="120"/>
        <w:jc w:val="both"/>
        <w:rPr>
          <w:noProof/>
          <w:spacing w:val="-6"/>
          <w:lang w:val="sk-SK"/>
        </w:rPr>
      </w:pPr>
      <w:r w:rsidRPr="00326E55">
        <w:rPr>
          <w:noProof/>
          <w:spacing w:val="-6"/>
          <w:lang w:val="sk-SK"/>
        </w:rPr>
        <w:t>Tento komponent plánu obnovy</w:t>
      </w:r>
      <w:r w:rsidR="00326E55" w:rsidRPr="00326E55">
        <w:rPr>
          <w:noProof/>
          <w:spacing w:val="-6"/>
          <w:lang w:val="sk-SK"/>
        </w:rPr>
        <w:t xml:space="preserve"> a </w:t>
      </w:r>
      <w:r w:rsidRPr="00326E55">
        <w:rPr>
          <w:noProof/>
          <w:spacing w:val="-6"/>
          <w:lang w:val="sk-SK"/>
        </w:rPr>
        <w:t>odolnosti zahŕňa dve oblasti intervencie: I) plán odolnosti vnútorných, okrajových</w:t>
      </w:r>
      <w:r w:rsidR="00326E55" w:rsidRPr="00326E55">
        <w:rPr>
          <w:noProof/>
          <w:spacing w:val="-6"/>
          <w:lang w:val="sk-SK"/>
        </w:rPr>
        <w:t xml:space="preserve"> a </w:t>
      </w:r>
      <w:r w:rsidRPr="00326E55">
        <w:rPr>
          <w:noProof/>
          <w:spacing w:val="-6"/>
          <w:lang w:val="sk-SK"/>
        </w:rPr>
        <w:t>horských oblastí; II) Projekty na rozvoj juhu vrátane investícií na boj proti vzdelanostnej chudobe, na konsolidáciu vidi</w:t>
      </w:r>
      <w:r w:rsidRPr="00326E55">
        <w:rPr>
          <w:noProof/>
          <w:spacing w:val="-6"/>
          <w:lang w:val="sk-SK"/>
        </w:rPr>
        <w:t>eckych lekární ako miestnych zdravotníckych služieb, zlepšenie majetku skonfiškovaného</w:t>
      </w:r>
      <w:r w:rsidR="00326E55" w:rsidRPr="00326E55">
        <w:rPr>
          <w:noProof/>
          <w:spacing w:val="-6"/>
          <w:lang w:val="sk-SK"/>
        </w:rPr>
        <w:t xml:space="preserve"> v </w:t>
      </w:r>
      <w:r w:rsidRPr="00326E55">
        <w:rPr>
          <w:noProof/>
          <w:spacing w:val="-6"/>
          <w:lang w:val="sk-SK"/>
        </w:rPr>
        <w:t>dôsledku organizovanej trestnej činnosti</w:t>
      </w:r>
      <w:r w:rsidR="00326E55" w:rsidRPr="00326E55">
        <w:rPr>
          <w:noProof/>
          <w:spacing w:val="-6"/>
          <w:lang w:val="sk-SK"/>
        </w:rPr>
        <w:t xml:space="preserve"> a </w:t>
      </w:r>
      <w:r w:rsidRPr="00326E55">
        <w:rPr>
          <w:noProof/>
          <w:spacing w:val="-6"/>
          <w:lang w:val="sk-SK"/>
        </w:rPr>
        <w:t>investície do infraštruktúry</w:t>
      </w:r>
      <w:r w:rsidR="00326E55" w:rsidRPr="00326E55">
        <w:rPr>
          <w:noProof/>
          <w:spacing w:val="-6"/>
          <w:lang w:val="sk-SK"/>
        </w:rPr>
        <w:t xml:space="preserve"> v </w:t>
      </w:r>
      <w:r w:rsidRPr="00326E55">
        <w:rPr>
          <w:noProof/>
          <w:spacing w:val="-6"/>
          <w:lang w:val="sk-SK"/>
        </w:rPr>
        <w:t>osobitných hospodárskych zónach. Tieto opatrenia sú zamerané na odstránenie územných rozdielo</w:t>
      </w:r>
      <w:r w:rsidRPr="00326E55">
        <w:rPr>
          <w:noProof/>
          <w:spacing w:val="-6"/>
          <w:lang w:val="sk-SK"/>
        </w:rPr>
        <w:t>v</w:t>
      </w:r>
      <w:r w:rsidR="00326E55" w:rsidRPr="00326E55">
        <w:rPr>
          <w:noProof/>
          <w:spacing w:val="-6"/>
          <w:lang w:val="sk-SK"/>
        </w:rPr>
        <w:t xml:space="preserve"> v </w:t>
      </w:r>
      <w:r w:rsidRPr="00326E55">
        <w:rPr>
          <w:noProof/>
          <w:spacing w:val="-6"/>
          <w:lang w:val="sk-SK"/>
        </w:rPr>
        <w:t>troch oblastiach: demografiu</w:t>
      </w:r>
      <w:r w:rsidR="00326E55" w:rsidRPr="00326E55">
        <w:rPr>
          <w:noProof/>
          <w:spacing w:val="-6"/>
          <w:lang w:val="sk-SK"/>
        </w:rPr>
        <w:t xml:space="preserve"> a </w:t>
      </w:r>
      <w:r w:rsidRPr="00326E55">
        <w:rPr>
          <w:noProof/>
          <w:spacing w:val="-6"/>
          <w:lang w:val="sk-SK"/>
        </w:rPr>
        <w:t>služby; rozvoj zručností; investície</w:t>
      </w:r>
      <w:r w:rsidR="00326E55" w:rsidRPr="00326E55">
        <w:rPr>
          <w:noProof/>
          <w:spacing w:val="-6"/>
          <w:lang w:val="sk-SK"/>
        </w:rPr>
        <w:t>.</w:t>
      </w:r>
    </w:p>
    <w:p w14:paraId="3C350E18" w14:textId="0AAF0850" w:rsidR="00326E55" w:rsidRPr="00326E55" w:rsidRDefault="00FB452D">
      <w:pPr>
        <w:tabs>
          <w:tab w:val="left" w:pos="1134"/>
        </w:tabs>
        <w:spacing w:before="120" w:after="120"/>
        <w:jc w:val="both"/>
        <w:rPr>
          <w:rStyle w:val="normaltextrun"/>
          <w:rFonts w:ascii="Times New Roman" w:hAnsi="Times New Roman" w:cs="Times New Roman"/>
          <w:noProof/>
          <w:spacing w:val="-6"/>
          <w:shd w:val="clear" w:color="auto" w:fill="FFFFFF"/>
          <w:lang w:val="sk-SK"/>
        </w:rPr>
      </w:pPr>
      <w:r w:rsidRPr="00326E55">
        <w:rPr>
          <w:rFonts w:ascii="Times New Roman" w:hAnsi="Times New Roman" w:cs="Times New Roman"/>
          <w:noProof/>
          <w:spacing w:val="-6"/>
          <w:lang w:val="sk-SK"/>
        </w:rPr>
        <w:t>Investície</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reformy</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tohto komponentu prispievajú</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plneniu odporúčaní pre jednotlivé krajiny adresovaných Taliansku</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rokoch 2019</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2020 týkajúcich sa potreby „zamerať hospod</w:t>
      </w:r>
      <w:r w:rsidRPr="00326E55">
        <w:rPr>
          <w:rFonts w:ascii="Times New Roman" w:hAnsi="Times New Roman" w:cs="Times New Roman"/>
          <w:noProof/>
          <w:spacing w:val="-6"/>
          <w:lang w:val="sk-SK"/>
        </w:rPr>
        <w:t>ársku politiku súvisiacu</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investíciami na výskum</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inovácie</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 xml:space="preserve">kvalitu infraštruktúry pri zohľadnení regionálnych rozdielov“ (odporúčanie pre jednotlivé krajiny 2019.3); </w:t>
      </w:r>
      <w:r w:rsidRPr="00326E55">
        <w:rPr>
          <w:rStyle w:val="normaltextrun"/>
          <w:rFonts w:ascii="Times New Roman" w:hAnsi="Times New Roman" w:cs="Times New Roman"/>
          <w:noProof/>
          <w:spacing w:val="-6"/>
          <w:shd w:val="clear" w:color="auto" w:fill="FFFFFF"/>
          <w:lang w:val="sk-SK"/>
        </w:rPr>
        <w:t xml:space="preserve">„zlepšiť výsledky vzdelávania“ (odporúčanie pre jednotlivé krajiny 2019.2), „Posilniť </w:t>
      </w:r>
      <w:r w:rsidRPr="00326E55">
        <w:rPr>
          <w:rStyle w:val="normaltextrun"/>
          <w:rFonts w:ascii="Times New Roman" w:hAnsi="Times New Roman" w:cs="Times New Roman"/>
          <w:noProof/>
          <w:spacing w:val="-6"/>
          <w:shd w:val="clear" w:color="auto" w:fill="FFFFFF"/>
          <w:lang w:val="sk-SK"/>
        </w:rPr>
        <w:t>odolnosť</w:t>
      </w:r>
      <w:r w:rsidR="00326E55" w:rsidRPr="00326E55">
        <w:rPr>
          <w:rStyle w:val="normaltextrun"/>
          <w:rFonts w:ascii="Times New Roman" w:hAnsi="Times New Roman" w:cs="Times New Roman"/>
          <w:noProof/>
          <w:spacing w:val="-6"/>
          <w:shd w:val="clear" w:color="auto" w:fill="FFFFFF"/>
          <w:lang w:val="sk-SK"/>
        </w:rPr>
        <w:t xml:space="preserve"> a </w:t>
      </w:r>
      <w:r w:rsidRPr="00326E55">
        <w:rPr>
          <w:rStyle w:val="normaltextrun"/>
          <w:rFonts w:ascii="Times New Roman" w:hAnsi="Times New Roman" w:cs="Times New Roman"/>
          <w:noProof/>
          <w:spacing w:val="-6"/>
          <w:shd w:val="clear" w:color="auto" w:fill="FFFFFF"/>
          <w:lang w:val="sk-SK"/>
        </w:rPr>
        <w:t>kapacitu systému zdravotnej starostlivosti [...]“ (odporúčanie pre jednotlivé krajiny 2020.1); „zabezpečiť primeranú [...]</w:t>
      </w:r>
      <w:r w:rsidR="00326E55" w:rsidRPr="00326E55">
        <w:rPr>
          <w:rStyle w:val="normaltextrun"/>
          <w:rFonts w:ascii="Times New Roman" w:hAnsi="Times New Roman" w:cs="Times New Roman"/>
          <w:noProof/>
          <w:spacing w:val="-6"/>
          <w:shd w:val="clear" w:color="auto" w:fill="FFFFFF"/>
          <w:lang w:val="sk-SK"/>
        </w:rPr>
        <w:t xml:space="preserve"> a </w:t>
      </w:r>
      <w:r w:rsidRPr="00326E55">
        <w:rPr>
          <w:rStyle w:val="normaltextrun"/>
          <w:rFonts w:ascii="Times New Roman" w:hAnsi="Times New Roman" w:cs="Times New Roman"/>
          <w:noProof/>
          <w:spacing w:val="-6"/>
          <w:shd w:val="clear" w:color="auto" w:fill="FFFFFF"/>
          <w:lang w:val="sk-SK"/>
        </w:rPr>
        <w:t>prístup</w:t>
      </w:r>
      <w:r w:rsidR="00326E55" w:rsidRPr="00326E55">
        <w:rPr>
          <w:rStyle w:val="normaltextrun"/>
          <w:rFonts w:ascii="Times New Roman" w:hAnsi="Times New Roman" w:cs="Times New Roman"/>
          <w:noProof/>
          <w:spacing w:val="-6"/>
          <w:shd w:val="clear" w:color="auto" w:fill="FFFFFF"/>
          <w:lang w:val="sk-SK"/>
        </w:rPr>
        <w:t xml:space="preserve"> k </w:t>
      </w:r>
      <w:r w:rsidRPr="00326E55">
        <w:rPr>
          <w:rStyle w:val="normaltextrun"/>
          <w:rFonts w:ascii="Times New Roman" w:hAnsi="Times New Roman" w:cs="Times New Roman"/>
          <w:noProof/>
          <w:spacing w:val="-6"/>
          <w:shd w:val="clear" w:color="auto" w:fill="FFFFFF"/>
          <w:lang w:val="sk-SK"/>
        </w:rPr>
        <w:t>sociálnej ochrane“ (odporúčanie pre jednotlivé krajiny 2020.2)</w:t>
      </w:r>
      <w:r w:rsidR="00326E55" w:rsidRPr="00326E55">
        <w:rPr>
          <w:rStyle w:val="normaltextrun"/>
          <w:rFonts w:ascii="Times New Roman" w:hAnsi="Times New Roman" w:cs="Times New Roman"/>
          <w:noProof/>
          <w:spacing w:val="-6"/>
          <w:shd w:val="clear" w:color="auto" w:fill="FFFFFF"/>
          <w:lang w:val="sk-SK"/>
        </w:rPr>
        <w:t>.</w:t>
      </w:r>
    </w:p>
    <w:p w14:paraId="701031D9" w14:textId="51E43E40" w:rsidR="00BF03AA" w:rsidRPr="00326E55" w:rsidRDefault="00BF03AA">
      <w:pPr>
        <w:spacing w:before="120" w:after="120"/>
        <w:jc w:val="both"/>
        <w:rPr>
          <w:rFonts w:ascii="Times New Roman" w:hAnsi="Times New Roman" w:cs="Times New Roman"/>
          <w:noProof/>
          <w:spacing w:val="-6"/>
          <w:lang w:val="sk-SK"/>
        </w:rPr>
      </w:pPr>
    </w:p>
    <w:p w14:paraId="38554ED0" w14:textId="31DC5450" w:rsidR="00BF03AA" w:rsidRPr="00326E55" w:rsidRDefault="00FB452D">
      <w:pPr>
        <w:pStyle w:val="P68B1DB1-Heading39"/>
        <w:ind w:left="850" w:hanging="850"/>
        <w:rPr>
          <w:b/>
          <w:bCs/>
          <w:i/>
          <w:iCs/>
          <w:noProof/>
          <w:color w:val="156082" w:themeColor="accent1"/>
          <w:spacing w:val="-6"/>
          <w:u w:val="single"/>
          <w:lang w:val="sk-SK"/>
        </w:rPr>
      </w:pPr>
      <w:r w:rsidRPr="00326E55">
        <w:rPr>
          <w:b/>
          <w:noProof/>
          <w:spacing w:val="-6"/>
          <w:u w:val="single"/>
          <w:lang w:val="sk-SK"/>
        </w:rPr>
        <w:t xml:space="preserve">N.1.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w:t>
      </w:r>
      <w:r w:rsidRPr="00326E55">
        <w:rPr>
          <w:b/>
          <w:noProof/>
          <w:spacing w:val="-6"/>
          <w:u w:val="single"/>
          <w:lang w:val="sk-SK"/>
        </w:rPr>
        <w:t>vratnej finančnej podpory</w:t>
      </w:r>
    </w:p>
    <w:p w14:paraId="3BBD5A81" w14:textId="1F7F5BA5" w:rsidR="00BF03AA" w:rsidRPr="00326E55" w:rsidRDefault="00FB452D">
      <w:pPr>
        <w:pStyle w:val="P68B1DB1-Normal5"/>
        <w:spacing w:before="120" w:after="120"/>
        <w:jc w:val="both"/>
        <w:rPr>
          <w:bCs/>
          <w:noProof/>
          <w:spacing w:val="-6"/>
          <w:lang w:val="sk-SK"/>
        </w:rPr>
      </w:pPr>
      <w:r w:rsidRPr="00326E55">
        <w:rPr>
          <w:noProof/>
          <w:spacing w:val="-6"/>
          <w:lang w:val="sk-SK"/>
        </w:rPr>
        <w:t>Investícia 1.1. Vnútorné priestory – 1: Zlepšenie komunitných sociálnych služieb</w:t>
      </w:r>
      <w:r w:rsidR="00326E55" w:rsidRPr="00326E55">
        <w:rPr>
          <w:noProof/>
          <w:spacing w:val="-6"/>
          <w:lang w:val="sk-SK"/>
        </w:rPr>
        <w:t xml:space="preserve"> a </w:t>
      </w:r>
      <w:r w:rsidRPr="00326E55">
        <w:rPr>
          <w:noProof/>
          <w:spacing w:val="-6"/>
          <w:lang w:val="sk-SK"/>
        </w:rPr>
        <w:t>infraštruktúry</w:t>
      </w:r>
    </w:p>
    <w:p w14:paraId="4170855E" w14:textId="35106262" w:rsidR="00326E55" w:rsidRPr="00326E55" w:rsidRDefault="00FB452D">
      <w:pPr>
        <w:pStyle w:val="P68B1DB1-Normal7"/>
        <w:spacing w:before="120" w:after="120"/>
        <w:jc w:val="both"/>
        <w:rPr>
          <w:noProof/>
          <w:spacing w:val="-6"/>
          <w:lang w:val="sk-SK"/>
        </w:rPr>
      </w:pPr>
      <w:r w:rsidRPr="00326E55">
        <w:rPr>
          <w:noProof/>
          <w:spacing w:val="-6"/>
          <w:lang w:val="sk-SK"/>
        </w:rPr>
        <w:t>Cieľom intervencie je riešiť otázky sociálneho vylúčenia</w:t>
      </w:r>
      <w:r w:rsidR="00326E55" w:rsidRPr="00326E55">
        <w:rPr>
          <w:noProof/>
          <w:spacing w:val="-6"/>
          <w:lang w:val="sk-SK"/>
        </w:rPr>
        <w:t xml:space="preserve"> a </w:t>
      </w:r>
      <w:r w:rsidRPr="00326E55">
        <w:rPr>
          <w:noProof/>
          <w:spacing w:val="-6"/>
          <w:lang w:val="sk-SK"/>
        </w:rPr>
        <w:t xml:space="preserve">marginalizácie zintenzívnením poskytovania služieb prostredníctvom </w:t>
      </w:r>
      <w:r w:rsidRPr="00326E55">
        <w:rPr>
          <w:noProof/>
          <w:spacing w:val="-6"/>
          <w:lang w:val="sk-SK"/>
        </w:rPr>
        <w:t>zvýšenia finančných prostriedkov na verejné služby poskytované miestnymi orgánmi (mechanizmus poskytovania pomoci spočíva</w:t>
      </w:r>
      <w:r w:rsidR="00326E55" w:rsidRPr="00326E55">
        <w:rPr>
          <w:noProof/>
          <w:spacing w:val="-6"/>
          <w:lang w:val="sk-SK"/>
        </w:rPr>
        <w:t xml:space="preserve"> v </w:t>
      </w:r>
      <w:r w:rsidRPr="00326E55">
        <w:rPr>
          <w:noProof/>
          <w:spacing w:val="-6"/>
          <w:lang w:val="sk-SK"/>
        </w:rPr>
        <w:t>poskytovaní grantov obciam). Financované projekty sa môžu týkať: služby domácej starostlivosti</w:t>
      </w:r>
      <w:r w:rsidR="00326E55" w:rsidRPr="00326E55">
        <w:rPr>
          <w:noProof/>
          <w:spacing w:val="-6"/>
          <w:lang w:val="sk-SK"/>
        </w:rPr>
        <w:t xml:space="preserve"> o </w:t>
      </w:r>
      <w:r w:rsidRPr="00326E55">
        <w:rPr>
          <w:noProof/>
          <w:spacing w:val="-6"/>
          <w:lang w:val="sk-SK"/>
        </w:rPr>
        <w:t xml:space="preserve">staršie osoby; komunitné zdravotné </w:t>
      </w:r>
      <w:r w:rsidRPr="00326E55">
        <w:rPr>
          <w:noProof/>
          <w:spacing w:val="-6"/>
          <w:lang w:val="sk-SK"/>
        </w:rPr>
        <w:t>sestry</w:t>
      </w:r>
      <w:r w:rsidR="00326E55" w:rsidRPr="00326E55">
        <w:rPr>
          <w:noProof/>
          <w:spacing w:val="-6"/>
          <w:lang w:val="sk-SK"/>
        </w:rPr>
        <w:t xml:space="preserve"> a </w:t>
      </w:r>
      <w:r w:rsidRPr="00326E55">
        <w:rPr>
          <w:noProof/>
          <w:spacing w:val="-6"/>
          <w:lang w:val="sk-SK"/>
        </w:rPr>
        <w:t>pôrodné asistentky; posilnenie malých nemocníc (bez prvej pomoci) alebo niektorých základných služieb (t. j. rádiológie, kardiológie, gynekológie)</w:t>
      </w:r>
      <w:r w:rsidR="00326E55" w:rsidRPr="00326E55">
        <w:rPr>
          <w:noProof/>
          <w:spacing w:val="-6"/>
          <w:lang w:val="sk-SK"/>
        </w:rPr>
        <w:t xml:space="preserve"> a </w:t>
      </w:r>
      <w:r w:rsidRPr="00326E55">
        <w:rPr>
          <w:noProof/>
          <w:spacing w:val="-6"/>
          <w:lang w:val="sk-SK"/>
        </w:rPr>
        <w:t>ambulantných centier; infraštruktúry na záchranu vrtuľníkov; posilnenie centier pre osoby so zdrav</w:t>
      </w:r>
      <w:r w:rsidRPr="00326E55">
        <w:rPr>
          <w:noProof/>
          <w:spacing w:val="-6"/>
          <w:lang w:val="sk-SK"/>
        </w:rPr>
        <w:t>otným postihnutím; poradenské centrá, kultúrne služby, športové služby</w:t>
      </w:r>
      <w:r w:rsidR="00326E55" w:rsidRPr="00326E55">
        <w:rPr>
          <w:noProof/>
          <w:spacing w:val="-6"/>
          <w:lang w:val="sk-SK"/>
        </w:rPr>
        <w:t xml:space="preserve"> a </w:t>
      </w:r>
      <w:r w:rsidRPr="00326E55">
        <w:rPr>
          <w:noProof/>
          <w:spacing w:val="-6"/>
          <w:lang w:val="sk-SK"/>
        </w:rPr>
        <w:t>prijímanie migrantov.</w:t>
      </w:r>
      <w:r w:rsidR="00326E55" w:rsidRPr="00326E55">
        <w:rPr>
          <w:noProof/>
          <w:spacing w:val="-6"/>
          <w:lang w:val="sk-SK"/>
        </w:rPr>
        <w:t xml:space="preserve"> V </w:t>
      </w:r>
      <w:r w:rsidRPr="00326E55">
        <w:rPr>
          <w:noProof/>
          <w:spacing w:val="-6"/>
          <w:lang w:val="sk-SK"/>
        </w:rPr>
        <w:t>rámci intervencie sa predpokladá buď vytvorenie nových služieb</w:t>
      </w:r>
      <w:r w:rsidR="00326E55" w:rsidRPr="00326E55">
        <w:rPr>
          <w:noProof/>
          <w:spacing w:val="-6"/>
          <w:lang w:val="sk-SK"/>
        </w:rPr>
        <w:t xml:space="preserve"> a </w:t>
      </w:r>
      <w:r w:rsidRPr="00326E55">
        <w:rPr>
          <w:noProof/>
          <w:spacing w:val="-6"/>
          <w:lang w:val="sk-SK"/>
        </w:rPr>
        <w:t>infraštruktúr, alebo zlepšenie existujúcich služieb</w:t>
      </w:r>
      <w:r w:rsidR="00326E55" w:rsidRPr="00326E55">
        <w:rPr>
          <w:noProof/>
          <w:spacing w:val="-6"/>
          <w:lang w:val="sk-SK"/>
        </w:rPr>
        <w:t xml:space="preserve"> a </w:t>
      </w:r>
      <w:r w:rsidRPr="00326E55">
        <w:rPr>
          <w:noProof/>
          <w:spacing w:val="-6"/>
          <w:lang w:val="sk-SK"/>
        </w:rPr>
        <w:t>infraštruktúr prostredníctvom zvýšenia p</w:t>
      </w:r>
      <w:r w:rsidRPr="00326E55">
        <w:rPr>
          <w:noProof/>
          <w:spacing w:val="-6"/>
          <w:lang w:val="sk-SK"/>
        </w:rPr>
        <w:t>očtu príjemcov alebo zvýšenia kvality dodávok</w:t>
      </w:r>
      <w:r w:rsidR="00326E55" w:rsidRPr="00326E55">
        <w:rPr>
          <w:noProof/>
          <w:spacing w:val="-6"/>
          <w:lang w:val="sk-SK"/>
        </w:rPr>
        <w:t>.</w:t>
      </w:r>
    </w:p>
    <w:p w14:paraId="7299BA2D" w14:textId="134FF85E" w:rsidR="00BF03AA" w:rsidRPr="00326E55" w:rsidRDefault="00FB452D">
      <w:pPr>
        <w:spacing w:before="120" w:after="120"/>
        <w:jc w:val="both"/>
        <w:rPr>
          <w:rFonts w:ascii="Times New Roman" w:hAnsi="Times New Roman" w:cs="Times New Roman"/>
          <w:b/>
          <w:bCs/>
          <w:noProof/>
          <w:spacing w:val="-6"/>
          <w:lang w:val="sk-SK"/>
        </w:rPr>
      </w:pPr>
      <w:r w:rsidRPr="00326E55">
        <w:rPr>
          <w:rFonts w:ascii="Times New Roman" w:hAnsi="Times New Roman" w:cs="Times New Roman"/>
          <w:noProof/>
          <w:spacing w:val="-6"/>
          <w:lang w:val="sk-SK"/>
        </w:rPr>
        <w:t>S cieľom zabezpečiť, aby opatrenie bolo</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súlade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technickými usmerneniami „nespôsobiť žiadne významné škody“ (2021/C58/01), kritériá oprávnenosti uvedené</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zadávacích podmienkach pre nadchádzajúce výzvy na p</w:t>
      </w:r>
      <w:r w:rsidRPr="00326E55">
        <w:rPr>
          <w:rFonts w:ascii="Times New Roman" w:hAnsi="Times New Roman" w:cs="Times New Roman"/>
          <w:noProof/>
          <w:spacing w:val="-6"/>
          <w:lang w:val="sk-SK"/>
        </w:rPr>
        <w:t>redkladanie projektov nezahŕňajú tento zoznam činností:</w:t>
      </w:r>
      <w:r w:rsidRPr="00326E55">
        <w:rPr>
          <w:rFonts w:ascii="Times New Roman" w:hAnsi="Times New Roman" w:cs="Times New Roman"/>
          <w:noProof/>
          <w:color w:val="FF0000"/>
          <w:spacing w:val="-6"/>
          <w:lang w:val="sk-SK"/>
        </w:rPr>
        <w:t xml:space="preserve"> </w:t>
      </w:r>
      <w:r w:rsidRPr="00326E55">
        <w:rPr>
          <w:rFonts w:ascii="Times New Roman" w:hAnsi="Times New Roman" w:cs="Times New Roman"/>
          <w:noProof/>
          <w:spacing w:val="-6"/>
          <w:lang w:val="sk-SK"/>
        </w:rPr>
        <w:t>I) činnosti súvisiace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fosílnymi palivami vrátane následného použitia</w:t>
      </w:r>
      <w:r w:rsidRPr="00326E55">
        <w:rPr>
          <w:rStyle w:val="FootnoteReference"/>
          <w:rFonts w:ascii="Times New Roman" w:hAnsi="Times New Roman" w:cs="Times New Roman"/>
          <w:noProof/>
          <w:spacing w:val="-6"/>
          <w:lang w:val="sk-SK"/>
        </w:rPr>
        <w:footnoteReference w:id="93"/>
      </w:r>
      <w:r w:rsidRPr="00326E55">
        <w:rPr>
          <w:rFonts w:ascii="Times New Roman" w:hAnsi="Times New Roman" w:cs="Times New Roman"/>
          <w:noProof/>
          <w:spacing w:val="-6"/>
          <w:lang w:val="sk-SK"/>
        </w:rPr>
        <w:t>; II) činností</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systému EÚ na obchodovanie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emisiami (ETS), ktorými sa dosahujú predpokladané emisie skleníkových plynov,</w:t>
      </w:r>
      <w:r w:rsidRPr="00326E55">
        <w:rPr>
          <w:rFonts w:ascii="Times New Roman" w:hAnsi="Times New Roman" w:cs="Times New Roman"/>
          <w:noProof/>
          <w:spacing w:val="-6"/>
          <w:lang w:val="sk-SK"/>
        </w:rPr>
        <w:t xml:space="preserve"> ktoré nie sú nižšie ako príslušné referenčné hodnoty</w:t>
      </w:r>
      <w:r w:rsidRPr="00326E55">
        <w:rPr>
          <w:rStyle w:val="FootnoteReference"/>
          <w:rFonts w:ascii="Times New Roman" w:hAnsi="Times New Roman" w:cs="Times New Roman"/>
          <w:noProof/>
          <w:spacing w:val="-6"/>
          <w:lang w:val="sk-SK"/>
        </w:rPr>
        <w:footnoteReference w:id="94"/>
      </w:r>
      <w:r w:rsidRPr="00326E55">
        <w:rPr>
          <w:rFonts w:ascii="Times New Roman" w:hAnsi="Times New Roman" w:cs="Times New Roman"/>
          <w:noProof/>
          <w:spacing w:val="-6"/>
          <w:lang w:val="sk-SK"/>
        </w:rPr>
        <w:t>; III) činnosti súvisiace so skládkami odpadov, spaľovňami</w:t>
      </w:r>
      <w:r w:rsidRPr="00326E55">
        <w:rPr>
          <w:rStyle w:val="FootnoteReference"/>
          <w:rFonts w:ascii="Times New Roman" w:hAnsi="Times New Roman" w:cs="Times New Roman"/>
          <w:noProof/>
          <w:spacing w:val="-6"/>
          <w:lang w:val="sk-SK"/>
        </w:rPr>
        <w:footnoteReference w:id="95"/>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mechanickými biologickými čistiarňami</w:t>
      </w:r>
      <w:r w:rsidRPr="00326E55">
        <w:rPr>
          <w:rStyle w:val="FootnoteReference"/>
          <w:rFonts w:ascii="Times New Roman" w:hAnsi="Times New Roman" w:cs="Times New Roman"/>
          <w:noProof/>
          <w:spacing w:val="-6"/>
          <w:lang w:val="sk-SK"/>
        </w:rPr>
        <w:footnoteReference w:id="96"/>
      </w:r>
      <w:r w:rsidRPr="00326E55">
        <w:rPr>
          <w:rFonts w:ascii="Times New Roman" w:hAnsi="Times New Roman" w:cs="Times New Roman"/>
          <w:noProof/>
          <w:spacing w:val="-6"/>
          <w:lang w:val="sk-SK"/>
        </w:rPr>
        <w:t>;</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iv) činnosti, pri ktorých dlhodobé zneškodňovanie odpadu môže poškodiť životné prostredie.</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zadáv</w:t>
      </w:r>
      <w:r w:rsidRPr="00326E55">
        <w:rPr>
          <w:rFonts w:ascii="Times New Roman" w:hAnsi="Times New Roman" w:cs="Times New Roman"/>
          <w:noProof/>
          <w:spacing w:val="-6"/>
          <w:lang w:val="sk-SK"/>
        </w:rPr>
        <w:t>acích podmienkach sa okrem toho vyžaduje, aby sa mohli vybrať len tie činnosti, ktoré sú</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súlade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príslušnými právnymi predpismi EÚ</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vnútroštátnymi právnymi predpismi</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oblasti životného prostredia.</w:t>
      </w:r>
    </w:p>
    <w:p w14:paraId="18E753EE" w14:textId="77777777" w:rsidR="00326E55" w:rsidRPr="00326E55" w:rsidRDefault="00FB452D">
      <w:pPr>
        <w:pStyle w:val="P68B1DB1-Normal5"/>
        <w:spacing w:before="120" w:after="120"/>
        <w:jc w:val="both"/>
        <w:rPr>
          <w:noProof/>
          <w:spacing w:val="-6"/>
          <w:lang w:val="sk-SK"/>
        </w:rPr>
      </w:pPr>
      <w:r w:rsidRPr="00326E55">
        <w:rPr>
          <w:noProof/>
          <w:spacing w:val="-6"/>
          <w:lang w:val="sk-SK"/>
        </w:rPr>
        <w:t>Investícia 1.1.2: Územná blízkosť zdravotníckych zaria</w:t>
      </w:r>
      <w:r w:rsidRPr="00326E55">
        <w:rPr>
          <w:noProof/>
          <w:spacing w:val="-6"/>
          <w:lang w:val="sk-SK"/>
        </w:rPr>
        <w:t>dení</w:t>
      </w:r>
    </w:p>
    <w:p w14:paraId="1D00148F" w14:textId="320F8829" w:rsidR="00BF03AA" w:rsidRPr="00326E55" w:rsidRDefault="00FB452D">
      <w:pPr>
        <w:pStyle w:val="P68B1DB1-Normal7"/>
        <w:spacing w:before="120" w:after="120"/>
        <w:jc w:val="both"/>
        <w:rPr>
          <w:b/>
          <w:noProof/>
          <w:spacing w:val="-6"/>
          <w:lang w:val="sk-SK"/>
        </w:rPr>
      </w:pPr>
      <w:r w:rsidRPr="00326E55">
        <w:rPr>
          <w:noProof/>
          <w:spacing w:val="-6"/>
          <w:lang w:val="sk-SK"/>
        </w:rPr>
        <w:t>Cieľom opatrenia je posilniť úlohu vidieckych lekární pri poskytovaní zdravotníckych služieb miestnemu obyvateľstvu, napríklad integrovanú domácu pomoc</w:t>
      </w:r>
      <w:r w:rsidR="00326E55" w:rsidRPr="00326E55">
        <w:rPr>
          <w:noProof/>
          <w:spacing w:val="-6"/>
          <w:lang w:val="sk-SK"/>
        </w:rPr>
        <w:t xml:space="preserve"> a </w:t>
      </w:r>
      <w:r w:rsidRPr="00326E55">
        <w:rPr>
          <w:noProof/>
          <w:spacing w:val="-6"/>
          <w:lang w:val="sk-SK"/>
        </w:rPr>
        <w:t>monitorovanie pacientov,</w:t>
      </w:r>
      <w:r w:rsidR="00326E55" w:rsidRPr="00326E55">
        <w:rPr>
          <w:noProof/>
          <w:spacing w:val="-6"/>
          <w:lang w:val="sk-SK"/>
        </w:rPr>
        <w:t xml:space="preserve"> a </w:t>
      </w:r>
      <w:r w:rsidRPr="00326E55">
        <w:rPr>
          <w:noProof/>
          <w:spacing w:val="-6"/>
          <w:lang w:val="sk-SK"/>
        </w:rPr>
        <w:t>tým uľahčiť interakciu medzi pacientom</w:t>
      </w:r>
      <w:r w:rsidR="00326E55" w:rsidRPr="00326E55">
        <w:rPr>
          <w:noProof/>
          <w:spacing w:val="-6"/>
          <w:lang w:val="sk-SK"/>
        </w:rPr>
        <w:t xml:space="preserve"> a </w:t>
      </w:r>
      <w:r w:rsidRPr="00326E55">
        <w:rPr>
          <w:noProof/>
          <w:spacing w:val="-6"/>
          <w:lang w:val="sk-SK"/>
        </w:rPr>
        <w:t>vnútroštátnym systémom zdravo</w:t>
      </w:r>
      <w:r w:rsidRPr="00326E55">
        <w:rPr>
          <w:noProof/>
          <w:spacing w:val="-6"/>
          <w:lang w:val="sk-SK"/>
        </w:rPr>
        <w:t>tnej starostlivosti. Investícia pozostáva</w:t>
      </w:r>
      <w:r w:rsidR="00326E55" w:rsidRPr="00326E55">
        <w:rPr>
          <w:noProof/>
          <w:spacing w:val="-6"/>
          <w:lang w:val="sk-SK"/>
        </w:rPr>
        <w:t xml:space="preserve"> z </w:t>
      </w:r>
      <w:r w:rsidRPr="00326E55">
        <w:rPr>
          <w:noProof/>
          <w:spacing w:val="-6"/>
          <w:lang w:val="sk-SK"/>
        </w:rPr>
        <w:t>poskytovania finančnej podpory vidieckym lekárňam.</w:t>
      </w:r>
    </w:p>
    <w:p w14:paraId="27218353" w14:textId="77777777" w:rsidR="00BF03AA" w:rsidRPr="00326E55" w:rsidRDefault="00FB452D">
      <w:pPr>
        <w:pStyle w:val="P68B1DB1-Normal5"/>
        <w:jc w:val="both"/>
        <w:rPr>
          <w:bCs/>
          <w:noProof/>
          <w:spacing w:val="-6"/>
          <w:lang w:val="sk-SK"/>
        </w:rPr>
      </w:pPr>
      <w:r w:rsidRPr="00326E55">
        <w:rPr>
          <w:noProof/>
          <w:spacing w:val="-6"/>
          <w:lang w:val="sk-SK"/>
        </w:rPr>
        <w:t>Investícia 1.3: Štruktúrované sociálno-vzdelávacie intervencie na boj proti vzdelanostnej chudobe na juhu, ktoré podporujú tretí sektor</w:t>
      </w:r>
    </w:p>
    <w:p w14:paraId="700F0740" w14:textId="55B062AC"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w:t>
      </w:r>
      <w:r w:rsidRPr="00326E55">
        <w:rPr>
          <w:noProof/>
          <w:spacing w:val="-6"/>
          <w:lang w:val="sk-SK"/>
        </w:rPr>
        <w:t xml:space="preserve"> poskytovať sociálno-vzdelávacie služby maloletým, zlepšiť prístup</w:t>
      </w:r>
      <w:r w:rsidR="00326E55" w:rsidRPr="00326E55">
        <w:rPr>
          <w:noProof/>
          <w:spacing w:val="-6"/>
          <w:lang w:val="sk-SK"/>
        </w:rPr>
        <w:t xml:space="preserve"> k </w:t>
      </w:r>
      <w:r w:rsidRPr="00326E55">
        <w:rPr>
          <w:noProof/>
          <w:spacing w:val="-6"/>
          <w:lang w:val="sk-SK"/>
        </w:rPr>
        <w:t>starostlivosti</w:t>
      </w:r>
      <w:r w:rsidR="00326E55" w:rsidRPr="00326E55">
        <w:rPr>
          <w:noProof/>
          <w:spacing w:val="-6"/>
          <w:lang w:val="sk-SK"/>
        </w:rPr>
        <w:t xml:space="preserve"> o </w:t>
      </w:r>
      <w:r w:rsidRPr="00326E55">
        <w:rPr>
          <w:noProof/>
          <w:spacing w:val="-6"/>
          <w:lang w:val="sk-SK"/>
        </w:rPr>
        <w:t>deti</w:t>
      </w:r>
      <w:r w:rsidR="00326E55" w:rsidRPr="00326E55">
        <w:rPr>
          <w:noProof/>
          <w:spacing w:val="-6"/>
          <w:lang w:val="sk-SK"/>
        </w:rPr>
        <w:t xml:space="preserve"> a </w:t>
      </w:r>
      <w:r w:rsidRPr="00326E55">
        <w:rPr>
          <w:noProof/>
          <w:spacing w:val="-6"/>
          <w:lang w:val="sk-SK"/>
        </w:rPr>
        <w:t>vzdelávacím príležitostiam</w:t>
      </w:r>
      <w:r w:rsidR="00326E55" w:rsidRPr="00326E55">
        <w:rPr>
          <w:noProof/>
          <w:spacing w:val="-6"/>
          <w:lang w:val="sk-SK"/>
        </w:rPr>
        <w:t xml:space="preserve"> a </w:t>
      </w:r>
      <w:r w:rsidRPr="00326E55">
        <w:rPr>
          <w:noProof/>
          <w:spacing w:val="-6"/>
          <w:lang w:val="sk-SK"/>
        </w:rPr>
        <w:t>predchádzať predčasnému ukončeniu školskej dochádzky</w:t>
      </w:r>
      <w:r w:rsidR="00326E55" w:rsidRPr="00326E55">
        <w:rPr>
          <w:noProof/>
          <w:spacing w:val="-6"/>
          <w:lang w:val="sk-SK"/>
        </w:rPr>
        <w:t xml:space="preserve"> a </w:t>
      </w:r>
      <w:r w:rsidRPr="00326E55">
        <w:rPr>
          <w:noProof/>
          <w:spacing w:val="-6"/>
          <w:lang w:val="sk-SK"/>
        </w:rPr>
        <w:t>predčasnému ukončeniu školskej dochádzky. Investícia pozostáva</w:t>
      </w:r>
      <w:r w:rsidR="00326E55" w:rsidRPr="00326E55">
        <w:rPr>
          <w:noProof/>
          <w:spacing w:val="-6"/>
          <w:lang w:val="sk-SK"/>
        </w:rPr>
        <w:t xml:space="preserve"> z </w:t>
      </w:r>
      <w:r w:rsidRPr="00326E55">
        <w:rPr>
          <w:noProof/>
          <w:spacing w:val="-6"/>
          <w:lang w:val="sk-SK"/>
        </w:rPr>
        <w:t xml:space="preserve">činností na </w:t>
      </w:r>
      <w:r w:rsidRPr="00326E55">
        <w:rPr>
          <w:noProof/>
          <w:spacing w:val="-6"/>
          <w:lang w:val="sk-SK"/>
        </w:rPr>
        <w:t>podporu vzdelávania vedených organizáciami tretieho sektora.</w:t>
      </w:r>
    </w:p>
    <w:p w14:paraId="4BB7C4AB" w14:textId="77777777" w:rsidR="00BF03AA" w:rsidRPr="00326E55" w:rsidRDefault="00BF03AA">
      <w:pPr>
        <w:spacing w:before="120" w:after="120"/>
        <w:jc w:val="both"/>
        <w:rPr>
          <w:rFonts w:ascii="Times New Roman" w:hAnsi="Times New Roman" w:cs="Times New Roman"/>
          <w:noProof/>
          <w:spacing w:val="-6"/>
          <w:lang w:val="sk-SK"/>
        </w:rPr>
        <w:sectPr w:rsidR="00BF03AA" w:rsidRPr="00326E55" w:rsidSect="005F11B9">
          <w:headerReference w:type="even" r:id="rId260"/>
          <w:headerReference w:type="default" r:id="rId261"/>
          <w:footerReference w:type="even" r:id="rId262"/>
          <w:footerReference w:type="default" r:id="rId263"/>
          <w:headerReference w:type="first" r:id="rId264"/>
          <w:footerReference w:type="first" r:id="rId265"/>
          <w:pgSz w:w="11907" w:h="16839"/>
          <w:pgMar w:top="720" w:right="720" w:bottom="720" w:left="720" w:header="709" w:footer="709" w:gutter="0"/>
          <w:cols w:space="720"/>
          <w:docGrid w:linePitch="360"/>
        </w:sectPr>
      </w:pPr>
    </w:p>
    <w:p w14:paraId="7336A3EA" w14:textId="166D8074" w:rsidR="00BF03AA" w:rsidRPr="00326E55" w:rsidRDefault="00FB452D">
      <w:pPr>
        <w:pStyle w:val="P68B1DB1-Heading39"/>
        <w:ind w:left="850" w:hanging="850"/>
        <w:rPr>
          <w:b/>
          <w:bCs/>
          <w:i/>
          <w:iCs/>
          <w:noProof/>
          <w:spacing w:val="-6"/>
          <w:lang w:val="sk-SK"/>
        </w:rPr>
      </w:pPr>
      <w:r w:rsidRPr="00326E55">
        <w:rPr>
          <w:b/>
          <w:noProof/>
          <w:spacing w:val="-6"/>
          <w:lang w:val="sk-SK"/>
        </w:rPr>
        <w:t xml:space="preserve">N.2. </w:t>
      </w:r>
      <w:r w:rsidRPr="00326E55">
        <w:rPr>
          <w:noProof/>
          <w:spacing w:val="-6"/>
          <w:lang w:val="sk-SK"/>
        </w:rPr>
        <w:t xml:space="preserve"> </w:t>
      </w:r>
      <w:r w:rsidRPr="00326E55">
        <w:rPr>
          <w:b/>
          <w:noProof/>
          <w:spacing w:val="-6"/>
          <w:lang w:val="sk-SK"/>
        </w:rPr>
        <w:t>Míľniky, ciele, ukazovatele</w:t>
      </w:r>
      <w:r w:rsidR="00326E55" w:rsidRPr="00326E55">
        <w:rPr>
          <w:b/>
          <w:noProof/>
          <w:spacing w:val="-6"/>
          <w:lang w:val="sk-SK"/>
        </w:rPr>
        <w:t xml:space="preserve"> a </w:t>
      </w:r>
      <w:r w:rsidRPr="00326E55">
        <w:rPr>
          <w:b/>
          <w:noProof/>
          <w:spacing w:val="-6"/>
          <w:lang w:val="sk-SK"/>
        </w:rPr>
        <w:t>harmonogram monitorovania</w:t>
      </w:r>
      <w:r w:rsidR="00326E55" w:rsidRPr="00326E55">
        <w:rPr>
          <w:b/>
          <w:noProof/>
          <w:spacing w:val="-6"/>
          <w:lang w:val="sk-SK"/>
        </w:rPr>
        <w:t xml:space="preserve"> a </w:t>
      </w:r>
      <w:r w:rsidRPr="00326E55">
        <w:rPr>
          <w:b/>
          <w:noProof/>
          <w:spacing w:val="-6"/>
          <w:lang w:val="sk-SK"/>
        </w:rPr>
        <w:t>realizácie pre nenávratnú finančnú podporu</w:t>
      </w:r>
    </w:p>
    <w:tbl>
      <w:tblPr>
        <w:tblW w:w="1576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7"/>
        <w:gridCol w:w="1772"/>
        <w:gridCol w:w="1412"/>
        <w:gridCol w:w="1559"/>
        <w:gridCol w:w="1560"/>
        <w:gridCol w:w="1373"/>
        <w:gridCol w:w="1373"/>
        <w:gridCol w:w="1373"/>
        <w:gridCol w:w="1224"/>
        <w:gridCol w:w="812"/>
        <w:gridCol w:w="3271"/>
      </w:tblGrid>
      <w:tr w:rsidR="00BF03AA" w:rsidRPr="00326E55" w14:paraId="4DFB6C73" w14:textId="77777777">
        <w:trPr>
          <w:trHeight w:val="927"/>
          <w:tblHeader/>
        </w:trPr>
        <w:tc>
          <w:tcPr>
            <w:tcW w:w="1207" w:type="dxa"/>
            <w:vMerge w:val="restart"/>
            <w:shd w:val="clear" w:color="auto" w:fill="BDD7EE"/>
            <w:vAlign w:val="center"/>
            <w:hideMark/>
          </w:tcPr>
          <w:p w14:paraId="123B2E96"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772" w:type="dxa"/>
            <w:vMerge w:val="restart"/>
            <w:shd w:val="clear" w:color="auto" w:fill="BDD7EE"/>
            <w:vAlign w:val="center"/>
            <w:hideMark/>
          </w:tcPr>
          <w:p w14:paraId="0376FD9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 xml:space="preserve">Súvisiace </w:t>
            </w:r>
            <w:r w:rsidRPr="00326E55">
              <w:rPr>
                <w:rFonts w:ascii="Times New Roman" w:hAnsi="Times New Roman"/>
                <w:noProof/>
                <w:spacing w:val="-6"/>
                <w:lang w:val="sk-SK"/>
              </w:rPr>
              <w:t>opatrenie (reforma alebo investícia)</w:t>
            </w:r>
          </w:p>
        </w:tc>
        <w:tc>
          <w:tcPr>
            <w:tcW w:w="1412" w:type="dxa"/>
            <w:vMerge w:val="restart"/>
            <w:shd w:val="clear" w:color="auto" w:fill="BDD7EE"/>
            <w:vAlign w:val="center"/>
            <w:hideMark/>
          </w:tcPr>
          <w:p w14:paraId="06EB868A"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559" w:type="dxa"/>
            <w:vMerge w:val="restart"/>
            <w:shd w:val="clear" w:color="auto" w:fill="BDD7EE"/>
            <w:vAlign w:val="center"/>
            <w:hideMark/>
          </w:tcPr>
          <w:p w14:paraId="14951934"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560" w:type="dxa"/>
            <w:vMerge w:val="restart"/>
            <w:shd w:val="clear" w:color="auto" w:fill="BDD7EE"/>
            <w:vAlign w:val="center"/>
            <w:hideMark/>
          </w:tcPr>
          <w:p w14:paraId="36F494CA"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260" w:type="dxa"/>
            <w:gridSpan w:val="3"/>
            <w:shd w:val="clear" w:color="auto" w:fill="BDD7EE"/>
            <w:vAlign w:val="center"/>
            <w:hideMark/>
          </w:tcPr>
          <w:p w14:paraId="5FFCEC5D"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728" w:type="dxa"/>
            <w:gridSpan w:val="2"/>
            <w:shd w:val="clear" w:color="auto" w:fill="BDD7EE"/>
            <w:vAlign w:val="center"/>
            <w:hideMark/>
          </w:tcPr>
          <w:p w14:paraId="0504839B"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3271" w:type="dxa"/>
            <w:vMerge w:val="restart"/>
            <w:shd w:val="clear" w:color="auto" w:fill="BDD7EE"/>
            <w:vAlign w:val="center"/>
            <w:hideMark/>
          </w:tcPr>
          <w:p w14:paraId="1939804B" w14:textId="6039599A"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27677DB2" w14:textId="77777777">
        <w:trPr>
          <w:trHeight w:val="1013"/>
          <w:tblHeader/>
        </w:trPr>
        <w:tc>
          <w:tcPr>
            <w:tcW w:w="1207" w:type="dxa"/>
            <w:vMerge/>
            <w:vAlign w:val="center"/>
            <w:hideMark/>
          </w:tcPr>
          <w:p w14:paraId="417C6240" w14:textId="77777777" w:rsidR="00BF03AA" w:rsidRPr="00326E55" w:rsidRDefault="00BF03AA">
            <w:pPr>
              <w:jc w:val="center"/>
              <w:rPr>
                <w:rFonts w:ascii="Times New Roman" w:hAnsi="Times New Roman"/>
                <w:b/>
                <w:noProof/>
                <w:spacing w:val="-6"/>
                <w:sz w:val="20"/>
                <w:szCs w:val="20"/>
                <w:lang w:val="sk-SK"/>
              </w:rPr>
            </w:pPr>
          </w:p>
        </w:tc>
        <w:tc>
          <w:tcPr>
            <w:tcW w:w="1772" w:type="dxa"/>
            <w:vMerge/>
            <w:vAlign w:val="center"/>
            <w:hideMark/>
          </w:tcPr>
          <w:p w14:paraId="5BD20F5C" w14:textId="77777777" w:rsidR="00BF03AA" w:rsidRPr="00326E55" w:rsidRDefault="00BF03AA">
            <w:pPr>
              <w:jc w:val="center"/>
              <w:rPr>
                <w:rFonts w:ascii="Times New Roman" w:hAnsi="Times New Roman"/>
                <w:b/>
                <w:noProof/>
                <w:spacing w:val="-6"/>
                <w:sz w:val="20"/>
                <w:szCs w:val="20"/>
                <w:lang w:val="sk-SK"/>
              </w:rPr>
            </w:pPr>
          </w:p>
        </w:tc>
        <w:tc>
          <w:tcPr>
            <w:tcW w:w="1412" w:type="dxa"/>
            <w:vMerge/>
            <w:vAlign w:val="center"/>
            <w:hideMark/>
          </w:tcPr>
          <w:p w14:paraId="24A41BA8" w14:textId="77777777" w:rsidR="00BF03AA" w:rsidRPr="00326E55" w:rsidRDefault="00BF03AA">
            <w:pPr>
              <w:jc w:val="center"/>
              <w:rPr>
                <w:rFonts w:ascii="Times New Roman" w:hAnsi="Times New Roman"/>
                <w:b/>
                <w:noProof/>
                <w:spacing w:val="-6"/>
                <w:sz w:val="20"/>
                <w:szCs w:val="20"/>
                <w:lang w:val="sk-SK"/>
              </w:rPr>
            </w:pPr>
          </w:p>
        </w:tc>
        <w:tc>
          <w:tcPr>
            <w:tcW w:w="1559" w:type="dxa"/>
            <w:vMerge/>
            <w:vAlign w:val="center"/>
            <w:hideMark/>
          </w:tcPr>
          <w:p w14:paraId="46C5D0B3" w14:textId="77777777" w:rsidR="00BF03AA" w:rsidRPr="00326E55" w:rsidRDefault="00BF03AA">
            <w:pPr>
              <w:jc w:val="center"/>
              <w:rPr>
                <w:rFonts w:ascii="Times New Roman" w:hAnsi="Times New Roman"/>
                <w:b/>
                <w:noProof/>
                <w:spacing w:val="-6"/>
                <w:sz w:val="20"/>
                <w:szCs w:val="20"/>
                <w:lang w:val="sk-SK"/>
              </w:rPr>
            </w:pPr>
          </w:p>
        </w:tc>
        <w:tc>
          <w:tcPr>
            <w:tcW w:w="1560" w:type="dxa"/>
            <w:vMerge/>
            <w:vAlign w:val="center"/>
            <w:hideMark/>
          </w:tcPr>
          <w:p w14:paraId="2DE4469C" w14:textId="77777777" w:rsidR="00BF03AA" w:rsidRPr="00326E55" w:rsidRDefault="00BF03AA">
            <w:pPr>
              <w:jc w:val="center"/>
              <w:rPr>
                <w:rFonts w:ascii="Times New Roman" w:hAnsi="Times New Roman"/>
                <w:b/>
                <w:noProof/>
                <w:spacing w:val="-6"/>
                <w:sz w:val="20"/>
                <w:szCs w:val="20"/>
                <w:lang w:val="sk-SK"/>
              </w:rPr>
            </w:pPr>
          </w:p>
        </w:tc>
        <w:tc>
          <w:tcPr>
            <w:tcW w:w="1134" w:type="dxa"/>
            <w:shd w:val="clear" w:color="auto" w:fill="BDD7EE"/>
            <w:vAlign w:val="center"/>
            <w:hideMark/>
          </w:tcPr>
          <w:p w14:paraId="29759182"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134" w:type="dxa"/>
            <w:shd w:val="clear" w:color="auto" w:fill="BDD7EE"/>
            <w:vAlign w:val="center"/>
            <w:hideMark/>
          </w:tcPr>
          <w:p w14:paraId="1E5C02F8"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992" w:type="dxa"/>
            <w:shd w:val="clear" w:color="auto" w:fill="BDD7EE"/>
            <w:vAlign w:val="center"/>
            <w:hideMark/>
          </w:tcPr>
          <w:p w14:paraId="4AEA964C"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916" w:type="dxa"/>
            <w:shd w:val="clear" w:color="auto" w:fill="BDD7EE"/>
            <w:vAlign w:val="center"/>
            <w:hideMark/>
          </w:tcPr>
          <w:p w14:paraId="2494AFE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812" w:type="dxa"/>
            <w:shd w:val="clear" w:color="auto" w:fill="BDD7EE"/>
            <w:vAlign w:val="center"/>
            <w:hideMark/>
          </w:tcPr>
          <w:p w14:paraId="772D505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3271" w:type="dxa"/>
            <w:vMerge/>
            <w:vAlign w:val="center"/>
            <w:hideMark/>
          </w:tcPr>
          <w:p w14:paraId="2070EE02" w14:textId="77777777" w:rsidR="00BF03AA" w:rsidRPr="00326E55" w:rsidRDefault="00BF03AA">
            <w:pPr>
              <w:jc w:val="center"/>
              <w:rPr>
                <w:rFonts w:ascii="Times New Roman" w:hAnsi="Times New Roman"/>
                <w:b/>
                <w:noProof/>
                <w:spacing w:val="-6"/>
                <w:sz w:val="20"/>
                <w:szCs w:val="20"/>
                <w:lang w:val="sk-SK"/>
              </w:rPr>
            </w:pPr>
          </w:p>
        </w:tc>
      </w:tr>
      <w:tr w:rsidR="00BF03AA" w:rsidRPr="00326E55" w14:paraId="7567A1AC" w14:textId="77777777">
        <w:trPr>
          <w:trHeight w:val="309"/>
        </w:trPr>
        <w:tc>
          <w:tcPr>
            <w:tcW w:w="1207" w:type="dxa"/>
            <w:shd w:val="clear" w:color="auto" w:fill="C6EFCE"/>
            <w:noWrap/>
            <w:vAlign w:val="center"/>
            <w:hideMark/>
          </w:tcPr>
          <w:p w14:paraId="484DEDA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M5C3 – 1</w:t>
            </w:r>
          </w:p>
        </w:tc>
        <w:tc>
          <w:tcPr>
            <w:tcW w:w="1772" w:type="dxa"/>
            <w:shd w:val="clear" w:color="auto" w:fill="C6EFCE"/>
            <w:noWrap/>
            <w:vAlign w:val="center"/>
            <w:hideMark/>
          </w:tcPr>
          <w:p w14:paraId="70A21CC4" w14:textId="1AAE58D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1.1.1: Vnútorné oblasti – zlepšenie komunitných sociálnych 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infraštruktúry</w:t>
            </w:r>
          </w:p>
        </w:tc>
        <w:tc>
          <w:tcPr>
            <w:tcW w:w="1412" w:type="dxa"/>
            <w:shd w:val="clear" w:color="auto" w:fill="C6EFCE"/>
            <w:noWrap/>
            <w:vAlign w:val="center"/>
            <w:hideMark/>
          </w:tcPr>
          <w:p w14:paraId="16367EE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shd w:val="clear" w:color="auto" w:fill="C6EFCE"/>
            <w:noWrap/>
            <w:vAlign w:val="center"/>
            <w:hideMark/>
          </w:tcPr>
          <w:p w14:paraId="43AEDC0D" w14:textId="13E341C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Zadanie verejnej súťaže na intervencie na zlepšenie sociálnych 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infraštruktúry vo vnútorných oblastiach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podporu lekární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obciach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menej ako 3000 obyvateľmi</w:t>
            </w:r>
          </w:p>
        </w:tc>
        <w:tc>
          <w:tcPr>
            <w:tcW w:w="1560" w:type="dxa"/>
            <w:shd w:val="clear" w:color="auto" w:fill="C6EFCE"/>
            <w:noWrap/>
            <w:vAlign w:val="center"/>
            <w:hideMark/>
          </w:tcPr>
          <w:p w14:paraId="263CB5CB" w14:textId="327A3A1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verejných zákaziek na intervencie</w:t>
            </w:r>
          </w:p>
        </w:tc>
        <w:tc>
          <w:tcPr>
            <w:tcW w:w="1134" w:type="dxa"/>
            <w:shd w:val="clear" w:color="auto" w:fill="C6EFCE"/>
            <w:noWrap/>
            <w:vAlign w:val="center"/>
            <w:hideMark/>
          </w:tcPr>
          <w:p w14:paraId="0216E2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hideMark/>
          </w:tcPr>
          <w:p w14:paraId="430677F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hideMark/>
          </w:tcPr>
          <w:p w14:paraId="6A35BEE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16" w:type="dxa"/>
            <w:shd w:val="clear" w:color="auto" w:fill="C6EFCE"/>
            <w:noWrap/>
            <w:vAlign w:val="center"/>
            <w:hideMark/>
          </w:tcPr>
          <w:p w14:paraId="2AE9E29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12" w:type="dxa"/>
            <w:shd w:val="clear" w:color="auto" w:fill="C6EFCE"/>
            <w:noWrap/>
            <w:vAlign w:val="center"/>
            <w:hideMark/>
          </w:tcPr>
          <w:p w14:paraId="69A75F1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271" w:type="dxa"/>
            <w:shd w:val="clear" w:color="auto" w:fill="C6EFCE"/>
            <w:noWrap/>
            <w:vAlign w:val="center"/>
            <w:hideMark/>
          </w:tcPr>
          <w:p w14:paraId="54F74507" w14:textId="4CF442F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Intervencia vytvorí nové služby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infraštruktúry alebo zlepší existujúce služby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infraštruktúry prostredníctvom </w:t>
            </w:r>
            <w:r w:rsidRPr="00326E55">
              <w:rPr>
                <w:rFonts w:ascii="Times New Roman" w:hAnsi="Times New Roman"/>
                <w:noProof/>
                <w:spacing w:val="-6"/>
                <w:lang w:val="sk-SK"/>
              </w:rPr>
              <w:t>zvýšenia počtu príjemcov alebo zvýšenia kvality dodávok.</w:t>
            </w:r>
          </w:p>
          <w:p w14:paraId="2D1FF150" w14:textId="0A05FFB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Vyhlasovanie všetkých súťažných výziev sa uskutoční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referenčnými podmienkami vrátane kritérií oprávnenosti, ktorými sa zabezpečí, aby vybrané projekty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w:t>
            </w:r>
            <w:r w:rsidRPr="00326E55">
              <w:rPr>
                <w:rFonts w:ascii="Times New Roman" w:hAnsi="Times New Roman"/>
                <w:noProof/>
                <w:spacing w:val="-6"/>
                <w:lang w:val="sk-SK"/>
              </w:rPr>
              <w:t>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p w14:paraId="3D7966C0" w14:textId="661646C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Vnútorné oblasti sú oblasti identifikova</w:t>
            </w:r>
            <w:r w:rsidRPr="00326E55">
              <w:rPr>
                <w:rFonts w:ascii="Times New Roman" w:hAnsi="Times New Roman"/>
                <w:noProof/>
                <w:spacing w:val="-6"/>
                <w:lang w:val="sk-SK"/>
              </w:rPr>
              <w:t>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Strategia Nazionale Aree Interne; Vidiecke lekárne sú vymedzené na základe zákona. 27. marec 1968, č.221.</w:t>
            </w:r>
          </w:p>
        </w:tc>
      </w:tr>
      <w:tr w:rsidR="00BF03AA" w:rsidRPr="00326E55" w14:paraId="3A53744E" w14:textId="77777777">
        <w:trPr>
          <w:trHeight w:val="309"/>
        </w:trPr>
        <w:tc>
          <w:tcPr>
            <w:tcW w:w="1207" w:type="dxa"/>
            <w:shd w:val="clear" w:color="auto" w:fill="C6EFCE"/>
            <w:noWrap/>
            <w:vAlign w:val="center"/>
            <w:hideMark/>
          </w:tcPr>
          <w:p w14:paraId="23B2401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M5C3 – 3</w:t>
            </w:r>
          </w:p>
        </w:tc>
        <w:tc>
          <w:tcPr>
            <w:tcW w:w="1772" w:type="dxa"/>
            <w:shd w:val="clear" w:color="auto" w:fill="C6EFCE"/>
            <w:noWrap/>
            <w:vAlign w:val="center"/>
            <w:hideMark/>
          </w:tcPr>
          <w:p w14:paraId="08518EE5" w14:textId="404042B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1.1.2: Zdravotnícke zariadenia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blízkosti územia</w:t>
            </w:r>
          </w:p>
        </w:tc>
        <w:tc>
          <w:tcPr>
            <w:tcW w:w="1412" w:type="dxa"/>
            <w:shd w:val="clear" w:color="auto" w:fill="C6EFCE"/>
            <w:noWrap/>
            <w:vAlign w:val="center"/>
            <w:hideMark/>
          </w:tcPr>
          <w:p w14:paraId="3BE3A72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hideMark/>
          </w:tcPr>
          <w:p w14:paraId="27916E33" w14:textId="20C8CBA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Podpora vidieckych lekární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obciach, osadách alebo sídlach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menej </w:t>
            </w:r>
            <w:r w:rsidRPr="00326E55">
              <w:rPr>
                <w:rFonts w:ascii="Times New Roman" w:hAnsi="Times New Roman"/>
                <w:noProof/>
                <w:spacing w:val="-6"/>
                <w:lang w:val="sk-SK"/>
              </w:rPr>
              <w:t>ako 5000 obyvateľmi (prvá séria)</w:t>
            </w:r>
          </w:p>
        </w:tc>
        <w:tc>
          <w:tcPr>
            <w:tcW w:w="1560" w:type="dxa"/>
            <w:shd w:val="clear" w:color="auto" w:fill="C6EFCE"/>
            <w:noWrap/>
            <w:vAlign w:val="center"/>
            <w:hideMark/>
          </w:tcPr>
          <w:p w14:paraId="113D4FE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hideMark/>
          </w:tcPr>
          <w:p w14:paraId="782E2AC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34" w:type="dxa"/>
            <w:shd w:val="clear" w:color="auto" w:fill="C6EFCE"/>
            <w:noWrap/>
            <w:vAlign w:val="center"/>
            <w:hideMark/>
          </w:tcPr>
          <w:p w14:paraId="1E2CDFE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noWrap/>
            <w:vAlign w:val="center"/>
            <w:hideMark/>
          </w:tcPr>
          <w:p w14:paraId="3A975ED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500</w:t>
            </w:r>
          </w:p>
        </w:tc>
        <w:tc>
          <w:tcPr>
            <w:tcW w:w="916" w:type="dxa"/>
            <w:shd w:val="clear" w:color="auto" w:fill="C6EFCE"/>
            <w:noWrap/>
            <w:vAlign w:val="center"/>
            <w:hideMark/>
          </w:tcPr>
          <w:p w14:paraId="5C1E2C7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12" w:type="dxa"/>
            <w:shd w:val="clear" w:color="auto" w:fill="C6EFCE"/>
            <w:noWrap/>
            <w:vAlign w:val="center"/>
            <w:hideMark/>
          </w:tcPr>
          <w:p w14:paraId="0C9D446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271" w:type="dxa"/>
            <w:shd w:val="clear" w:color="auto" w:fill="C6EFCE"/>
            <w:noWrap/>
            <w:vAlign w:val="center"/>
            <w:hideMark/>
          </w:tcPr>
          <w:p w14:paraId="0854DA9D" w14:textId="0502AE6C"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Intervencia využíva najmenej 500 vidieckych lekární</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obciach, hamelách alebo sídlach</w:t>
            </w:r>
            <w:r w:rsidR="00326E55" w:rsidRPr="00326E55">
              <w:rPr>
                <w:rFonts w:ascii="Times New Roman" w:hAnsi="Times New Roman"/>
                <w:noProof/>
                <w:color w:val="006100"/>
                <w:spacing w:val="-6"/>
                <w:sz w:val="20"/>
                <w:lang w:val="sk-SK"/>
              </w:rPr>
              <w:t xml:space="preserve"> s </w:t>
            </w:r>
            <w:r w:rsidRPr="00326E55">
              <w:rPr>
                <w:rFonts w:ascii="Times New Roman" w:hAnsi="Times New Roman"/>
                <w:noProof/>
                <w:color w:val="006100"/>
                <w:spacing w:val="-6"/>
                <w:sz w:val="20"/>
                <w:lang w:val="sk-SK"/>
              </w:rPr>
              <w:t>menej ako 5000 obyvateľmi.</w:t>
            </w:r>
          </w:p>
        </w:tc>
      </w:tr>
      <w:tr w:rsidR="00BF03AA" w:rsidRPr="00326E55" w14:paraId="2CEE913C" w14:textId="77777777">
        <w:trPr>
          <w:trHeight w:val="309"/>
        </w:trPr>
        <w:tc>
          <w:tcPr>
            <w:tcW w:w="1207" w:type="dxa"/>
            <w:shd w:val="clear" w:color="auto" w:fill="C6EFCE"/>
            <w:noWrap/>
            <w:vAlign w:val="center"/>
            <w:hideMark/>
          </w:tcPr>
          <w:p w14:paraId="2EA1A1D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M5C3 – 4</w:t>
            </w:r>
          </w:p>
        </w:tc>
        <w:tc>
          <w:tcPr>
            <w:tcW w:w="1772" w:type="dxa"/>
            <w:shd w:val="clear" w:color="auto" w:fill="C6EFCE"/>
            <w:noWrap/>
            <w:vAlign w:val="center"/>
            <w:hideMark/>
          </w:tcPr>
          <w:p w14:paraId="09C97B5D" w14:textId="7BB6F94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1.1.2: Zdravotnícke zariadenia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blízkosti </w:t>
            </w:r>
            <w:r w:rsidRPr="00326E55">
              <w:rPr>
                <w:rFonts w:ascii="Times New Roman" w:hAnsi="Times New Roman"/>
                <w:noProof/>
                <w:spacing w:val="-6"/>
                <w:lang w:val="sk-SK"/>
              </w:rPr>
              <w:t>územia</w:t>
            </w:r>
          </w:p>
        </w:tc>
        <w:tc>
          <w:tcPr>
            <w:tcW w:w="1412" w:type="dxa"/>
            <w:shd w:val="clear" w:color="auto" w:fill="C6EFCE"/>
            <w:noWrap/>
            <w:vAlign w:val="center"/>
            <w:hideMark/>
          </w:tcPr>
          <w:p w14:paraId="118E4740"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559" w:type="dxa"/>
            <w:shd w:val="clear" w:color="auto" w:fill="C6EFCE"/>
            <w:noWrap/>
            <w:vAlign w:val="center"/>
            <w:hideMark/>
          </w:tcPr>
          <w:p w14:paraId="1A501906" w14:textId="7BEE6A82"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Podpora vidieckych lekární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obciach, osadách alebo sídlach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menej ako 5000 obyvateľmi (druhá séria)</w:t>
            </w:r>
          </w:p>
        </w:tc>
        <w:tc>
          <w:tcPr>
            <w:tcW w:w="1560" w:type="dxa"/>
            <w:shd w:val="clear" w:color="auto" w:fill="C6EFCE"/>
            <w:noWrap/>
            <w:vAlign w:val="center"/>
            <w:hideMark/>
          </w:tcPr>
          <w:p w14:paraId="0DDCCC8E" w14:textId="4BEB445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Prijatie vyhlášok, ktorými sa povoľuje konečné vyplatenie</w:t>
            </w:r>
          </w:p>
        </w:tc>
        <w:tc>
          <w:tcPr>
            <w:tcW w:w="1134" w:type="dxa"/>
            <w:shd w:val="clear" w:color="auto" w:fill="C6EFCE"/>
            <w:noWrap/>
            <w:vAlign w:val="center"/>
            <w:hideMark/>
          </w:tcPr>
          <w:p w14:paraId="6AA0211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4" w:type="dxa"/>
            <w:shd w:val="clear" w:color="auto" w:fill="C6EFCE"/>
            <w:noWrap/>
            <w:vAlign w:val="center"/>
            <w:hideMark/>
          </w:tcPr>
          <w:p w14:paraId="1C22C12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shd w:val="clear" w:color="auto" w:fill="C6EFCE"/>
            <w:noWrap/>
            <w:vAlign w:val="center"/>
            <w:hideMark/>
          </w:tcPr>
          <w:p w14:paraId="7C58E5C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16" w:type="dxa"/>
            <w:shd w:val="clear" w:color="auto" w:fill="C6EFCE"/>
            <w:noWrap/>
            <w:vAlign w:val="center"/>
            <w:hideMark/>
          </w:tcPr>
          <w:p w14:paraId="79742A1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12" w:type="dxa"/>
            <w:shd w:val="clear" w:color="auto" w:fill="C6EFCE"/>
            <w:noWrap/>
            <w:vAlign w:val="center"/>
            <w:hideMark/>
          </w:tcPr>
          <w:p w14:paraId="787F4E5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71" w:type="dxa"/>
            <w:shd w:val="clear" w:color="auto" w:fill="C6EFCE"/>
            <w:noWrap/>
            <w:vAlign w:val="center"/>
            <w:hideMark/>
          </w:tcPr>
          <w:p w14:paraId="46EDD419" w14:textId="2FB66142"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 xml:space="preserve">Dekréty, ktorými sa povoľuje </w:t>
            </w:r>
            <w:r w:rsidRPr="00326E55">
              <w:rPr>
                <w:rFonts w:ascii="Times New Roman" w:hAnsi="Times New Roman"/>
                <w:noProof/>
                <w:color w:val="006100"/>
                <w:spacing w:val="-6"/>
                <w:sz w:val="20"/>
                <w:szCs w:val="20"/>
                <w:lang w:val="sk-SK"/>
              </w:rPr>
              <w:t>konečné vyplatenie najmenej 1500 vidieckych lekární</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obciach, osadách alebo sídlach</w:t>
            </w:r>
            <w:r w:rsidR="00326E55" w:rsidRPr="00326E55">
              <w:rPr>
                <w:rFonts w:ascii="Times New Roman" w:hAnsi="Times New Roman"/>
                <w:noProof/>
                <w:color w:val="006100"/>
                <w:spacing w:val="-6"/>
                <w:sz w:val="20"/>
                <w:szCs w:val="20"/>
                <w:lang w:val="sk-SK"/>
              </w:rPr>
              <w:t xml:space="preserve"> s </w:t>
            </w:r>
            <w:r w:rsidRPr="00326E55">
              <w:rPr>
                <w:rFonts w:ascii="Times New Roman" w:hAnsi="Times New Roman"/>
                <w:noProof/>
                <w:color w:val="006100"/>
                <w:spacing w:val="-6"/>
                <w:sz w:val="20"/>
                <w:szCs w:val="20"/>
                <w:lang w:val="sk-SK"/>
              </w:rPr>
              <w:t>menej ako 5000</w:t>
            </w:r>
            <w:r w:rsidRPr="00326E55">
              <w:rPr>
                <w:rFonts w:ascii="Times New Roman" w:hAnsi="Times New Roman"/>
                <w:noProof/>
                <w:spacing w:val="-6"/>
                <w:sz w:val="23"/>
                <w:szCs w:val="23"/>
                <w:lang w:val="sk-SK"/>
              </w:rPr>
              <w:t xml:space="preserve"> obyvateľmi. </w:t>
            </w:r>
          </w:p>
        </w:tc>
      </w:tr>
      <w:tr w:rsidR="00BF03AA" w:rsidRPr="00326E55" w14:paraId="3E088823" w14:textId="77777777">
        <w:trPr>
          <w:trHeight w:val="309"/>
        </w:trPr>
        <w:tc>
          <w:tcPr>
            <w:tcW w:w="1207" w:type="dxa"/>
            <w:shd w:val="clear" w:color="auto" w:fill="C6EFCE"/>
            <w:noWrap/>
            <w:vAlign w:val="center"/>
          </w:tcPr>
          <w:p w14:paraId="57466F9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M5C3 – 8</w:t>
            </w:r>
          </w:p>
        </w:tc>
        <w:tc>
          <w:tcPr>
            <w:tcW w:w="1772" w:type="dxa"/>
            <w:shd w:val="clear" w:color="auto" w:fill="C6EFCE"/>
            <w:noWrap/>
            <w:vAlign w:val="center"/>
          </w:tcPr>
          <w:p w14:paraId="4433773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1.3: Štruktúrované sociálno-vzdelávacie intervencie na boj proti vzdelanostnej chudobe na juhu, ktoré podporujú tretí </w:t>
            </w:r>
            <w:r w:rsidRPr="00326E55">
              <w:rPr>
                <w:rFonts w:ascii="Times New Roman" w:hAnsi="Times New Roman"/>
                <w:noProof/>
                <w:spacing w:val="-6"/>
                <w:lang w:val="sk-SK"/>
              </w:rPr>
              <w:t>sektor</w:t>
            </w:r>
          </w:p>
        </w:tc>
        <w:tc>
          <w:tcPr>
            <w:tcW w:w="1412" w:type="dxa"/>
            <w:shd w:val="clear" w:color="auto" w:fill="C6EFCE"/>
            <w:noWrap/>
            <w:vAlign w:val="center"/>
          </w:tcPr>
          <w:p w14:paraId="0571CC9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79C221C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Podpora vzdelávania pre maloleté osoby (prvá skupina)</w:t>
            </w:r>
          </w:p>
        </w:tc>
        <w:tc>
          <w:tcPr>
            <w:tcW w:w="1560" w:type="dxa"/>
            <w:shd w:val="clear" w:color="auto" w:fill="C6EFCE"/>
            <w:noWrap/>
            <w:vAlign w:val="center"/>
          </w:tcPr>
          <w:p w14:paraId="2797C61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0497035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34" w:type="dxa"/>
            <w:shd w:val="clear" w:color="auto" w:fill="C6EFCE"/>
            <w:noWrap/>
            <w:vAlign w:val="center"/>
          </w:tcPr>
          <w:p w14:paraId="3068408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noWrap/>
            <w:vAlign w:val="center"/>
          </w:tcPr>
          <w:p w14:paraId="2A7F602B"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20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916" w:type="dxa"/>
            <w:shd w:val="clear" w:color="auto" w:fill="C6EFCE"/>
            <w:noWrap/>
            <w:vAlign w:val="center"/>
          </w:tcPr>
          <w:p w14:paraId="73991A2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812" w:type="dxa"/>
            <w:shd w:val="clear" w:color="auto" w:fill="C6EFCE"/>
            <w:noWrap/>
            <w:vAlign w:val="center"/>
          </w:tcPr>
          <w:p w14:paraId="538D1D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271" w:type="dxa"/>
            <w:shd w:val="clear" w:color="auto" w:fill="C6EFCE"/>
            <w:noWrap/>
            <w:vAlign w:val="center"/>
          </w:tcPr>
          <w:p w14:paraId="4C6ECC3E" w14:textId="33171805" w:rsidR="00326E55" w:rsidRPr="00326E55" w:rsidRDefault="00FB452D">
            <w:pPr>
              <w:rPr>
                <w:rFonts w:ascii="Times New Roman" w:hAnsi="Times New Roman"/>
                <w:noProof/>
                <w:color w:val="006100"/>
                <w:spacing w:val="-6"/>
                <w:sz w:val="20"/>
                <w:lang w:val="sk-SK"/>
              </w:rPr>
            </w:pPr>
            <w:r w:rsidRPr="00326E55">
              <w:rPr>
                <w:rFonts w:ascii="Times New Roman" w:hAnsi="Times New Roman"/>
                <w:noProof/>
                <w:color w:val="006100"/>
                <w:spacing w:val="-6"/>
                <w:sz w:val="20"/>
                <w:lang w:val="sk-SK"/>
              </w:rPr>
              <w:t>Podpora vzdelávania sa poskytne najmenej 20000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maloletým vo veku do 17 rokov. Projekty podpory vzdelávania sa zameriavajú na jednu</w:t>
            </w:r>
            <w:r w:rsidR="00326E55" w:rsidRPr="00326E55">
              <w:rPr>
                <w:rFonts w:ascii="Times New Roman" w:hAnsi="Times New Roman"/>
                <w:noProof/>
                <w:color w:val="006100"/>
                <w:spacing w:val="-6"/>
                <w:sz w:val="20"/>
                <w:lang w:val="sk-SK"/>
              </w:rPr>
              <w:t xml:space="preserve"> z </w:t>
            </w:r>
            <w:r w:rsidRPr="00326E55">
              <w:rPr>
                <w:rFonts w:ascii="Times New Roman" w:hAnsi="Times New Roman"/>
                <w:noProof/>
                <w:color w:val="006100"/>
                <w:spacing w:val="-6"/>
                <w:sz w:val="20"/>
                <w:lang w:val="sk-SK"/>
              </w:rPr>
              <w:t xml:space="preserve">týchto </w:t>
            </w:r>
            <w:r w:rsidRPr="00326E55">
              <w:rPr>
                <w:rFonts w:ascii="Times New Roman" w:hAnsi="Times New Roman"/>
                <w:noProof/>
                <w:color w:val="006100"/>
                <w:spacing w:val="-6"/>
                <w:sz w:val="20"/>
                <w:lang w:val="sk-SK"/>
              </w:rPr>
              <w:t>oblastí</w:t>
            </w:r>
            <w:r w:rsidR="00326E55" w:rsidRPr="00326E55">
              <w:rPr>
                <w:rFonts w:ascii="Times New Roman" w:hAnsi="Times New Roman"/>
                <w:noProof/>
                <w:color w:val="006100"/>
                <w:spacing w:val="-6"/>
                <w:sz w:val="20"/>
                <w:lang w:val="sk-SK"/>
              </w:rPr>
              <w:t>:</w:t>
            </w:r>
          </w:p>
          <w:p w14:paraId="3188C47A" w14:textId="2C2FBEBA"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 Intervencie pre deti vo veku nula až šesť rokov zamerané na posilnenie podmienok prístupu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službám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jasliach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materských školách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 podporu rodičovstva</w:t>
            </w:r>
            <w:r w:rsidR="00326E55" w:rsidRPr="00326E55">
              <w:rPr>
                <w:rFonts w:ascii="Times New Roman" w:hAnsi="Times New Roman"/>
                <w:noProof/>
                <w:spacing w:val="-6"/>
                <w:lang w:val="sk-SK"/>
              </w:rPr>
              <w:t>;</w:t>
            </w:r>
          </w:p>
          <w:p w14:paraId="29E3BE57" w14:textId="4653D73B"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 Intervencie pre deti vo veku od 5 do 10 rokov zamerané na zaručenie účinných vzdeláva</w:t>
            </w:r>
            <w:r w:rsidRPr="00326E55">
              <w:rPr>
                <w:rFonts w:ascii="Times New Roman" w:hAnsi="Times New Roman"/>
                <w:noProof/>
                <w:spacing w:val="-6"/>
                <w:lang w:val="sk-SK"/>
              </w:rPr>
              <w:t>cích príležitostí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včasnú prevenciu predčasného ukončenia školskej dochádzky, šikanovania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iných problémových javov</w:t>
            </w:r>
            <w:r w:rsidR="00326E55" w:rsidRPr="00326E55">
              <w:rPr>
                <w:rFonts w:ascii="Times New Roman" w:hAnsi="Times New Roman"/>
                <w:noProof/>
                <w:spacing w:val="-6"/>
                <w:lang w:val="sk-SK"/>
              </w:rPr>
              <w:t>;</w:t>
            </w:r>
          </w:p>
          <w:p w14:paraId="0D4DCA11" w14:textId="3177037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Intervencie pre deti vo veku 11 – 17 rokov, ktorých cieľom je zlepšiť ponuku vzdelávania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predchádzať javu predčasného ukončenia škols</w:t>
            </w:r>
            <w:r w:rsidRPr="00326E55">
              <w:rPr>
                <w:rFonts w:ascii="Times New Roman" w:hAnsi="Times New Roman"/>
                <w:noProof/>
                <w:spacing w:val="-6"/>
                <w:lang w:val="sk-SK"/>
              </w:rPr>
              <w:t>kej dochádzky.</w:t>
            </w:r>
          </w:p>
          <w:p w14:paraId="7C4D9A74" w14:textId="77777777"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Kľúčové prvky verejnej súťaže:</w:t>
            </w:r>
          </w:p>
          <w:p w14:paraId="482B61C1" w14:textId="7D5464ED" w:rsidR="00BF03AA" w:rsidRPr="00326E55" w:rsidRDefault="00FB452D">
            <w:pPr>
              <w:rPr>
                <w:rFonts w:ascii="Times New Roman" w:hAnsi="Times New Roman"/>
                <w:noProof/>
                <w:color w:val="006100"/>
                <w:spacing w:val="-6"/>
                <w:sz w:val="20"/>
                <w:lang w:val="sk-SK"/>
              </w:rPr>
            </w:pPr>
            <w:r w:rsidRPr="00326E55">
              <w:rPr>
                <w:rFonts w:ascii="Times New Roman" w:hAnsi="Times New Roman"/>
                <w:noProof/>
                <w:color w:val="006100"/>
                <w:spacing w:val="-6"/>
                <w:sz w:val="20"/>
                <w:lang w:val="sk-SK"/>
              </w:rPr>
              <w:t xml:space="preserve"> - Verejné oznámenia predstavujú aspoň 50 000 000 EUR</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za</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 xml:space="preserve">každý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lang w:val="sk-SK"/>
              </w:rPr>
              <w:t>— Projekty subjektov tretieho sektora trvajú najmenej jeden rok</w:t>
            </w:r>
            <w:r w:rsidR="00326E55" w:rsidRPr="00326E55">
              <w:rPr>
                <w:rFonts w:ascii="Times New Roman" w:hAnsi="Times New Roman"/>
                <w:noProof/>
                <w:color w:val="006100"/>
                <w:spacing w:val="-6"/>
                <w:sz w:val="20"/>
                <w:lang w:val="sk-SK"/>
              </w:rPr>
              <w:t xml:space="preserve"> a </w:t>
            </w:r>
            <w:r w:rsidRPr="00326E55">
              <w:rPr>
                <w:rFonts w:ascii="Times New Roman" w:hAnsi="Times New Roman"/>
                <w:noProof/>
                <w:color w:val="006100"/>
                <w:spacing w:val="-6"/>
                <w:sz w:val="20"/>
                <w:lang w:val="sk-SK"/>
              </w:rPr>
              <w:t>najviac dva roky.</w:t>
            </w:r>
          </w:p>
          <w:p w14:paraId="43520EA4" w14:textId="01A5E57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Opatrenia sa uskutočnia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regiónoch Abruzzo, Basilicata, </w:t>
            </w:r>
            <w:r w:rsidRPr="00326E55">
              <w:rPr>
                <w:rFonts w:ascii="Times New Roman" w:hAnsi="Times New Roman"/>
                <w:noProof/>
                <w:spacing w:val="-6"/>
                <w:lang w:val="sk-SK"/>
              </w:rPr>
              <w:t>Kampánia, Kalábria, Molise, Apúlia, Sardínia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Sicília.</w:t>
            </w:r>
          </w:p>
        </w:tc>
      </w:tr>
      <w:tr w:rsidR="00BF03AA" w:rsidRPr="00326E55" w14:paraId="6727CD77" w14:textId="77777777">
        <w:trPr>
          <w:trHeight w:val="309"/>
        </w:trPr>
        <w:tc>
          <w:tcPr>
            <w:tcW w:w="1207" w:type="dxa"/>
            <w:shd w:val="clear" w:color="auto" w:fill="C6EFCE"/>
            <w:noWrap/>
            <w:vAlign w:val="center"/>
          </w:tcPr>
          <w:p w14:paraId="685B896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M5C3 – 9</w:t>
            </w:r>
          </w:p>
        </w:tc>
        <w:tc>
          <w:tcPr>
            <w:tcW w:w="1772" w:type="dxa"/>
            <w:shd w:val="clear" w:color="auto" w:fill="C6EFCE"/>
            <w:noWrap/>
            <w:vAlign w:val="center"/>
          </w:tcPr>
          <w:p w14:paraId="1AB2CA0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Investícia1.3: Štruktúrované sociálno-vzdelávacie intervencie na boj proti vzdelanostnej chudobe na juhu, ktoré podporujú tretí sektor</w:t>
            </w:r>
          </w:p>
        </w:tc>
        <w:tc>
          <w:tcPr>
            <w:tcW w:w="1412" w:type="dxa"/>
            <w:shd w:val="clear" w:color="auto" w:fill="C6EFCE"/>
            <w:noWrap/>
            <w:vAlign w:val="center"/>
          </w:tcPr>
          <w:p w14:paraId="57FC217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7E9CA64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Podpora vzdelávania pre maloleté osoby (druhá </w:t>
            </w:r>
            <w:r w:rsidRPr="00326E55">
              <w:rPr>
                <w:rFonts w:ascii="Times New Roman" w:hAnsi="Times New Roman"/>
                <w:noProof/>
                <w:spacing w:val="-6"/>
                <w:lang w:val="sk-SK"/>
              </w:rPr>
              <w:t>skupina)</w:t>
            </w:r>
          </w:p>
        </w:tc>
        <w:tc>
          <w:tcPr>
            <w:tcW w:w="1560" w:type="dxa"/>
            <w:shd w:val="clear" w:color="auto" w:fill="C6EFCE"/>
            <w:noWrap/>
            <w:vAlign w:val="center"/>
          </w:tcPr>
          <w:p w14:paraId="5AA4AA2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7A21177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34" w:type="dxa"/>
            <w:shd w:val="clear" w:color="auto" w:fill="C6EFCE"/>
            <w:noWrap/>
            <w:vAlign w:val="center"/>
          </w:tcPr>
          <w:p w14:paraId="628F6835"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20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992" w:type="dxa"/>
            <w:shd w:val="clear" w:color="auto" w:fill="C6EFCE"/>
            <w:noWrap/>
            <w:vAlign w:val="center"/>
          </w:tcPr>
          <w:p w14:paraId="329DA9DF" w14:textId="77777777" w:rsidR="00BF03AA" w:rsidRPr="00326E55" w:rsidRDefault="00FB452D">
            <w:pPr>
              <w:jc w:val="cente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lang w:val="sk-SK"/>
              </w:rPr>
              <w:t>44</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000</w:t>
            </w:r>
          </w:p>
        </w:tc>
        <w:tc>
          <w:tcPr>
            <w:tcW w:w="916" w:type="dxa"/>
            <w:shd w:val="clear" w:color="auto" w:fill="C6EFCE"/>
            <w:noWrap/>
            <w:vAlign w:val="center"/>
          </w:tcPr>
          <w:p w14:paraId="658AAA1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812" w:type="dxa"/>
            <w:shd w:val="clear" w:color="auto" w:fill="C6EFCE"/>
            <w:noWrap/>
            <w:vAlign w:val="center"/>
          </w:tcPr>
          <w:p w14:paraId="13AB817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271" w:type="dxa"/>
            <w:shd w:val="clear" w:color="auto" w:fill="C6EFCE"/>
            <w:noWrap/>
            <w:vAlign w:val="center"/>
          </w:tcPr>
          <w:p w14:paraId="359318B6" w14:textId="7DB83764"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Registračné formuláre</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potvrdenia</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zápise pre najmenej 44000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szCs w:val="20"/>
                <w:lang w:val="sk-SK"/>
              </w:rPr>
              <w:t>maloletých vo veku od nuly do 17 rokov, ktorým sa poskytuje podpora vzdelávania.</w:t>
            </w:r>
          </w:p>
        </w:tc>
      </w:tr>
    </w:tbl>
    <w:p w14:paraId="7D0235C7"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even" r:id="rId266"/>
          <w:headerReference w:type="default" r:id="rId267"/>
          <w:footerReference w:type="even" r:id="rId268"/>
          <w:footerReference w:type="default" r:id="rId269"/>
          <w:headerReference w:type="first" r:id="rId270"/>
          <w:footerReference w:type="first" r:id="rId271"/>
          <w:pgSz w:w="16839" w:h="11907" w:orient="landscape"/>
          <w:pgMar w:top="720" w:right="720" w:bottom="720" w:left="720" w:header="709" w:footer="709" w:gutter="0"/>
          <w:cols w:space="720"/>
          <w:docGrid w:linePitch="360"/>
        </w:sectPr>
      </w:pPr>
    </w:p>
    <w:p w14:paraId="15177423" w14:textId="77777777" w:rsidR="00326E55" w:rsidRPr="00326E55" w:rsidRDefault="00FB452D">
      <w:pPr>
        <w:pStyle w:val="P68B1DB1-Heading39"/>
        <w:ind w:left="850" w:hanging="850"/>
        <w:rPr>
          <w:b/>
          <w:noProof/>
          <w:spacing w:val="-6"/>
          <w:u w:val="single"/>
          <w:lang w:val="sk-SK"/>
        </w:rPr>
      </w:pPr>
      <w:r w:rsidRPr="00326E55">
        <w:rPr>
          <w:b/>
          <w:noProof/>
          <w:spacing w:val="-6"/>
          <w:u w:val="single"/>
          <w:lang w:val="sk-SK"/>
        </w:rPr>
        <w:t xml:space="preserve">N.3.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27DEFF13" w14:textId="4B1C3B30" w:rsidR="00BF03AA" w:rsidRPr="00326E55" w:rsidRDefault="00FB452D">
      <w:pPr>
        <w:pStyle w:val="P68B1DB1-Normal5"/>
        <w:spacing w:before="120" w:after="120"/>
        <w:jc w:val="both"/>
        <w:rPr>
          <w:noProof/>
          <w:spacing w:val="-6"/>
          <w:lang w:val="sk-SK"/>
        </w:rPr>
      </w:pPr>
      <w:r w:rsidRPr="00326E55">
        <w:rPr>
          <w:noProof/>
          <w:spacing w:val="-6"/>
          <w:lang w:val="sk-SK"/>
        </w:rPr>
        <w:t>Reforma 1: Zjednodušenie postupov</w:t>
      </w:r>
      <w:r w:rsidR="00326E55" w:rsidRPr="00326E55">
        <w:rPr>
          <w:noProof/>
          <w:spacing w:val="-6"/>
          <w:lang w:val="sk-SK"/>
        </w:rPr>
        <w:t xml:space="preserve"> a </w:t>
      </w:r>
      <w:r w:rsidRPr="00326E55">
        <w:rPr>
          <w:noProof/>
          <w:spacing w:val="-6"/>
          <w:lang w:val="sk-SK"/>
        </w:rPr>
        <w:t>posilnenie funkcie komisára</w:t>
      </w:r>
      <w:r w:rsidR="00326E55" w:rsidRPr="00326E55">
        <w:rPr>
          <w:noProof/>
          <w:spacing w:val="-6"/>
          <w:lang w:val="sk-SK"/>
        </w:rPr>
        <w:t xml:space="preserve"> v </w:t>
      </w:r>
      <w:r w:rsidRPr="00326E55">
        <w:rPr>
          <w:noProof/>
          <w:spacing w:val="-6"/>
          <w:lang w:val="sk-SK"/>
        </w:rPr>
        <w:t>osobitných hospodárskych zónach</w:t>
      </w:r>
    </w:p>
    <w:p w14:paraId="633C25D2" w14:textId="5B86F9B7" w:rsidR="00326E55" w:rsidRPr="00326E55" w:rsidRDefault="00FB452D">
      <w:pPr>
        <w:pStyle w:val="P68B1DB1-Normal7"/>
        <w:spacing w:before="120" w:after="120"/>
        <w:jc w:val="both"/>
        <w:rPr>
          <w:noProof/>
          <w:spacing w:val="-6"/>
          <w:lang w:val="sk-SK"/>
        </w:rPr>
      </w:pPr>
      <w:r w:rsidRPr="00326E55">
        <w:rPr>
          <w:noProof/>
          <w:spacing w:val="-6"/>
          <w:lang w:val="sk-SK"/>
        </w:rPr>
        <w:t>Reforma prispeje</w:t>
      </w:r>
      <w:r w:rsidR="00326E55" w:rsidRPr="00326E55">
        <w:rPr>
          <w:noProof/>
          <w:spacing w:val="-6"/>
          <w:lang w:val="sk-SK"/>
        </w:rPr>
        <w:t xml:space="preserve"> k </w:t>
      </w:r>
      <w:r w:rsidRPr="00326E55">
        <w:rPr>
          <w:noProof/>
          <w:spacing w:val="-6"/>
          <w:lang w:val="sk-SK"/>
        </w:rPr>
        <w:t>zjednodušeniu systému riadenia</w:t>
      </w:r>
      <w:r w:rsidR="00326E55" w:rsidRPr="00326E55">
        <w:rPr>
          <w:noProof/>
          <w:spacing w:val="-6"/>
          <w:lang w:val="sk-SK"/>
        </w:rPr>
        <w:t xml:space="preserve"> a </w:t>
      </w:r>
      <w:r w:rsidRPr="00326E55">
        <w:rPr>
          <w:noProof/>
          <w:spacing w:val="-6"/>
          <w:lang w:val="sk-SK"/>
        </w:rPr>
        <w:t>zefektívni čas v</w:t>
      </w:r>
      <w:r w:rsidRPr="00326E55">
        <w:rPr>
          <w:noProof/>
          <w:spacing w:val="-6"/>
          <w:lang w:val="sk-SK"/>
        </w:rPr>
        <w:t>ykonávania intervencií</w:t>
      </w:r>
      <w:r w:rsidR="00326E55" w:rsidRPr="00326E55">
        <w:rPr>
          <w:noProof/>
          <w:spacing w:val="-6"/>
          <w:lang w:val="sk-SK"/>
        </w:rPr>
        <w:t xml:space="preserve"> v </w:t>
      </w:r>
      <w:r w:rsidRPr="00326E55">
        <w:rPr>
          <w:noProof/>
          <w:spacing w:val="-6"/>
          <w:lang w:val="sk-SK"/>
        </w:rPr>
        <w:t>osobitných hospodárskych zónach. Reformou sa zriadi jednotné digitálne kontaktné miesto pre osobitné hospodárske zóny</w:t>
      </w:r>
      <w:r w:rsidR="00326E55" w:rsidRPr="00326E55">
        <w:rPr>
          <w:noProof/>
          <w:spacing w:val="-6"/>
          <w:lang w:val="sk-SK"/>
        </w:rPr>
        <w:t xml:space="preserve"> a </w:t>
      </w:r>
      <w:r w:rsidRPr="00326E55">
        <w:rPr>
          <w:noProof/>
          <w:spacing w:val="-6"/>
          <w:lang w:val="sk-SK"/>
        </w:rPr>
        <w:t>posilní sa úloha Komisie</w:t>
      </w:r>
      <w:r w:rsidR="00326E55" w:rsidRPr="00326E55">
        <w:rPr>
          <w:noProof/>
          <w:spacing w:val="-6"/>
          <w:lang w:val="sk-SK"/>
        </w:rPr>
        <w:t>.</w:t>
      </w:r>
    </w:p>
    <w:p w14:paraId="73B6A1CF" w14:textId="60D4EAAF" w:rsidR="00BF03AA" w:rsidRPr="00326E55" w:rsidRDefault="00FB452D">
      <w:pPr>
        <w:pStyle w:val="P68B1DB1-Normal5"/>
        <w:spacing w:before="120" w:after="120"/>
        <w:jc w:val="both"/>
        <w:rPr>
          <w:bCs/>
          <w:noProof/>
          <w:spacing w:val="-6"/>
          <w:lang w:val="sk-SK"/>
        </w:rPr>
      </w:pPr>
      <w:r w:rsidRPr="00326E55">
        <w:rPr>
          <w:noProof/>
          <w:spacing w:val="-6"/>
          <w:lang w:val="sk-SK"/>
        </w:rPr>
        <w:t>Investícia 1.4: Investície do infraštruktúry pre osobitné hospodárske zóny (SEZ)</w:t>
      </w:r>
    </w:p>
    <w:p w14:paraId="406A69C0" w14:textId="3DA22250" w:rsidR="00BF03AA" w:rsidRPr="00326E55" w:rsidRDefault="00FB452D">
      <w:pPr>
        <w:pStyle w:val="P68B1DB1-Normal7"/>
        <w:spacing w:before="120" w:after="120"/>
        <w:jc w:val="both"/>
        <w:rPr>
          <w:noProof/>
          <w:spacing w:val="-6"/>
          <w:lang w:val="sk-SK"/>
        </w:rPr>
      </w:pPr>
      <w:r w:rsidRPr="00326E55">
        <w:rPr>
          <w:noProof/>
          <w:spacing w:val="-6"/>
          <w:lang w:val="sk-SK"/>
        </w:rPr>
        <w:t>Cieľ</w:t>
      </w:r>
      <w:r w:rsidRPr="00326E55">
        <w:rPr>
          <w:noProof/>
          <w:spacing w:val="-6"/>
          <w:lang w:val="sk-SK"/>
        </w:rPr>
        <w:t>om investície je zabezpečiť vplyv reformy, ktorou sa zavádzajú osobitné hospodárske zóny (SEZ). Investícia pozostáva</w:t>
      </w:r>
      <w:r w:rsidR="00326E55" w:rsidRPr="00326E55">
        <w:rPr>
          <w:noProof/>
          <w:spacing w:val="-6"/>
          <w:lang w:val="sk-SK"/>
        </w:rPr>
        <w:t xml:space="preserve"> z </w:t>
      </w:r>
      <w:r w:rsidRPr="00326E55">
        <w:rPr>
          <w:noProof/>
          <w:spacing w:val="-6"/>
          <w:lang w:val="sk-SK"/>
        </w:rPr>
        <w:t>podpory infraštruktúrnych zásahov</w:t>
      </w:r>
      <w:r w:rsidR="00326E55" w:rsidRPr="00326E55">
        <w:rPr>
          <w:noProof/>
          <w:spacing w:val="-6"/>
          <w:lang w:val="sk-SK"/>
        </w:rPr>
        <w:t xml:space="preserve"> v </w:t>
      </w:r>
      <w:r w:rsidRPr="00326E55">
        <w:rPr>
          <w:noProof/>
          <w:spacing w:val="-6"/>
          <w:lang w:val="sk-SK"/>
        </w:rPr>
        <w:t>okolí prístavných oblastí („prepojenia</w:t>
      </w:r>
      <w:r w:rsidR="00326E55" w:rsidRPr="00326E55">
        <w:rPr>
          <w:noProof/>
          <w:spacing w:val="-6"/>
          <w:lang w:val="sk-SK"/>
        </w:rPr>
        <w:t xml:space="preserve"> s </w:t>
      </w:r>
      <w:r w:rsidRPr="00326E55">
        <w:rPr>
          <w:noProof/>
          <w:spacing w:val="-6"/>
          <w:lang w:val="sk-SK"/>
        </w:rPr>
        <w:t>poslednou míľou“, digitálna logistika, urbanizácia alebo ene</w:t>
      </w:r>
      <w:r w:rsidRPr="00326E55">
        <w:rPr>
          <w:noProof/>
          <w:spacing w:val="-6"/>
          <w:lang w:val="sk-SK"/>
        </w:rPr>
        <w:t>rgetická</w:t>
      </w:r>
      <w:r w:rsidR="00326E55" w:rsidRPr="00326E55">
        <w:rPr>
          <w:noProof/>
          <w:spacing w:val="-6"/>
          <w:lang w:val="sk-SK"/>
        </w:rPr>
        <w:t xml:space="preserve"> a </w:t>
      </w:r>
      <w:r w:rsidRPr="00326E55">
        <w:rPr>
          <w:noProof/>
          <w:spacing w:val="-6"/>
          <w:lang w:val="sk-SK"/>
        </w:rPr>
        <w:t>environmentálna efektívnosť; prístavná infraštruktúra).</w:t>
      </w:r>
    </w:p>
    <w:p w14:paraId="4D67C5CA" w14:textId="77777777" w:rsidR="00BF03AA" w:rsidRPr="00326E55" w:rsidRDefault="00BF03AA">
      <w:pPr>
        <w:spacing w:before="120" w:after="120"/>
        <w:jc w:val="both"/>
        <w:rPr>
          <w:rFonts w:ascii="Times New Roman" w:hAnsi="Times New Roman" w:cs="Times New Roman"/>
          <w:noProof/>
          <w:spacing w:val="-6"/>
          <w:lang w:val="sk-SK"/>
        </w:rPr>
      </w:pPr>
    </w:p>
    <w:p w14:paraId="211BA476" w14:textId="19A4B0FB" w:rsidR="00BF03AA" w:rsidRPr="00326E55" w:rsidRDefault="00FB452D">
      <w:pPr>
        <w:pStyle w:val="P68B1DB1-Normal5"/>
        <w:spacing w:before="120" w:after="120"/>
        <w:jc w:val="both"/>
        <w:rPr>
          <w:noProof/>
          <w:spacing w:val="-6"/>
          <w:lang w:val="sk-SK"/>
        </w:rPr>
      </w:pPr>
      <w:r w:rsidRPr="00326E55">
        <w:rPr>
          <w:noProof/>
          <w:spacing w:val="-6"/>
          <w:lang w:val="sk-SK"/>
        </w:rPr>
        <w:t>Investícia 1.5: Schéma daňových úverov pre investície</w:t>
      </w:r>
      <w:r w:rsidR="00326E55" w:rsidRPr="00326E55">
        <w:rPr>
          <w:noProof/>
          <w:spacing w:val="-6"/>
          <w:lang w:val="sk-SK"/>
        </w:rPr>
        <w:t xml:space="preserve"> v </w:t>
      </w:r>
      <w:r w:rsidRPr="00326E55">
        <w:rPr>
          <w:noProof/>
          <w:spacing w:val="-6"/>
          <w:lang w:val="sk-SK"/>
        </w:rPr>
        <w:t>južnom Taliansku</w:t>
      </w:r>
      <w:r w:rsidR="00326E55" w:rsidRPr="00326E55">
        <w:rPr>
          <w:noProof/>
          <w:spacing w:val="-6"/>
          <w:lang w:val="sk-SK"/>
        </w:rPr>
        <w:t xml:space="preserve"> a </w:t>
      </w:r>
      <w:r w:rsidRPr="00326E55">
        <w:rPr>
          <w:noProof/>
          <w:spacing w:val="-6"/>
          <w:lang w:val="sk-SK"/>
        </w:rPr>
        <w:t>osobitnej hospodárskej zóne (SEZ)</w:t>
      </w:r>
    </w:p>
    <w:p w14:paraId="7E233527" w14:textId="48C7674A" w:rsidR="00326E55" w:rsidRPr="00326E55" w:rsidRDefault="00FB452D">
      <w:pPr>
        <w:pStyle w:val="P68B1DB1-Normal7"/>
        <w:spacing w:before="120" w:after="120"/>
        <w:jc w:val="both"/>
        <w:rPr>
          <w:noProof/>
          <w:spacing w:val="-6"/>
          <w:lang w:val="sk-SK"/>
        </w:rPr>
      </w:pPr>
      <w:r w:rsidRPr="00326E55">
        <w:rPr>
          <w:noProof/>
          <w:spacing w:val="-6"/>
          <w:lang w:val="sk-SK"/>
        </w:rPr>
        <w:t>Cieľom opatrenia je podporiť konkurencieschopnosť</w:t>
      </w:r>
      <w:r w:rsidR="00326E55" w:rsidRPr="00326E55">
        <w:rPr>
          <w:noProof/>
          <w:spacing w:val="-6"/>
          <w:lang w:val="sk-SK"/>
        </w:rPr>
        <w:t xml:space="preserve"> a </w:t>
      </w:r>
      <w:r w:rsidRPr="00326E55">
        <w:rPr>
          <w:noProof/>
          <w:spacing w:val="-6"/>
          <w:lang w:val="sk-SK"/>
        </w:rPr>
        <w:t>udržateľný rast podnikov</w:t>
      </w:r>
      <w:r w:rsidR="00326E55" w:rsidRPr="00326E55">
        <w:rPr>
          <w:noProof/>
          <w:spacing w:val="-6"/>
          <w:lang w:val="sk-SK"/>
        </w:rPr>
        <w:t xml:space="preserve"> v </w:t>
      </w:r>
      <w:r w:rsidRPr="00326E55">
        <w:rPr>
          <w:noProof/>
          <w:spacing w:val="-6"/>
          <w:lang w:val="sk-SK"/>
        </w:rPr>
        <w:t>južných regiónoch a/alebo osobitnej hospodárskej zóne (SEZ) na juhu</w:t>
      </w:r>
      <w:r w:rsidR="00326E55" w:rsidRPr="00326E55">
        <w:rPr>
          <w:noProof/>
          <w:spacing w:val="-6"/>
          <w:lang w:val="sk-SK"/>
        </w:rPr>
        <w:t xml:space="preserve"> a </w:t>
      </w:r>
      <w:r w:rsidRPr="00326E55">
        <w:rPr>
          <w:noProof/>
          <w:spacing w:val="-6"/>
          <w:lang w:val="sk-SK"/>
        </w:rPr>
        <w:t>zároveň stimulovať súkromné investície</w:t>
      </w:r>
      <w:r w:rsidR="00326E55" w:rsidRPr="00326E55">
        <w:rPr>
          <w:noProof/>
          <w:spacing w:val="-6"/>
          <w:lang w:val="sk-SK"/>
        </w:rPr>
        <w:t>.</w:t>
      </w:r>
    </w:p>
    <w:p w14:paraId="4ED7AE1F" w14:textId="32D09F31" w:rsidR="00326E55" w:rsidRPr="00326E55" w:rsidRDefault="00FB452D">
      <w:pPr>
        <w:pStyle w:val="P68B1DB1-Normal7"/>
        <w:spacing w:before="120" w:after="120"/>
        <w:jc w:val="both"/>
        <w:rPr>
          <w:noProof/>
          <w:spacing w:val="-6"/>
          <w:lang w:val="sk-SK"/>
        </w:rPr>
      </w:pPr>
      <w:r w:rsidRPr="00326E55">
        <w:rPr>
          <w:noProof/>
          <w:spacing w:val="-6"/>
          <w:lang w:val="sk-SK"/>
        </w:rPr>
        <w:t>Opatrenie pozostáva zo schémy daňových úverov</w:t>
      </w:r>
      <w:r w:rsidR="00326E55" w:rsidRPr="00326E55">
        <w:rPr>
          <w:noProof/>
          <w:spacing w:val="-6"/>
          <w:lang w:val="sk-SK"/>
        </w:rPr>
        <w:t xml:space="preserve"> a </w:t>
      </w:r>
      <w:r w:rsidRPr="00326E55">
        <w:rPr>
          <w:noProof/>
          <w:spacing w:val="-6"/>
          <w:lang w:val="sk-SK"/>
        </w:rPr>
        <w:t>súvisiacich monitorovacích</w:t>
      </w:r>
      <w:r w:rsidR="00326E55" w:rsidRPr="00326E55">
        <w:rPr>
          <w:noProof/>
          <w:spacing w:val="-6"/>
          <w:lang w:val="sk-SK"/>
        </w:rPr>
        <w:t xml:space="preserve"> a </w:t>
      </w:r>
      <w:r w:rsidRPr="00326E55">
        <w:rPr>
          <w:noProof/>
          <w:spacing w:val="-6"/>
          <w:lang w:val="sk-SK"/>
        </w:rPr>
        <w:t>kontrolných činností</w:t>
      </w:r>
      <w:r w:rsidR="00326E55" w:rsidRPr="00326E55">
        <w:rPr>
          <w:noProof/>
          <w:spacing w:val="-6"/>
          <w:lang w:val="sk-SK"/>
        </w:rPr>
        <w:t>.</w:t>
      </w:r>
    </w:p>
    <w:p w14:paraId="029204E2" w14:textId="27BB1314" w:rsidR="00BF03AA" w:rsidRPr="00326E55" w:rsidRDefault="00BF03AA">
      <w:pPr>
        <w:spacing w:before="120" w:after="120"/>
        <w:jc w:val="both"/>
        <w:rPr>
          <w:rFonts w:ascii="Times New Roman" w:hAnsi="Times New Roman" w:cs="Times New Roman"/>
          <w:i/>
          <w:noProof/>
          <w:color w:val="156082" w:themeColor="accent1"/>
          <w:spacing w:val="-6"/>
          <w:lang w:val="sk-SK"/>
        </w:rPr>
        <w:sectPr w:rsidR="00BF03AA" w:rsidRPr="00326E55" w:rsidSect="005F11B9">
          <w:headerReference w:type="even" r:id="rId272"/>
          <w:headerReference w:type="default" r:id="rId273"/>
          <w:footerReference w:type="even" r:id="rId274"/>
          <w:footerReference w:type="default" r:id="rId275"/>
          <w:headerReference w:type="first" r:id="rId276"/>
          <w:footerReference w:type="first" r:id="rId277"/>
          <w:pgSz w:w="11907" w:h="16839"/>
          <w:pgMar w:top="1440" w:right="1440" w:bottom="1440" w:left="1440" w:header="567" w:footer="567" w:gutter="0"/>
          <w:cols w:space="720"/>
          <w:docGrid w:linePitch="360"/>
        </w:sectPr>
      </w:pPr>
    </w:p>
    <w:p w14:paraId="36D2074D" w14:textId="0DA0C146"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N.4.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 xml:space="preserve">úverom </w:t>
      </w:r>
    </w:p>
    <w:tbl>
      <w:tblPr>
        <w:tblW w:w="1566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701"/>
        <w:gridCol w:w="1276"/>
        <w:gridCol w:w="1559"/>
        <w:gridCol w:w="1701"/>
        <w:gridCol w:w="1276"/>
        <w:gridCol w:w="1276"/>
        <w:gridCol w:w="709"/>
        <w:gridCol w:w="992"/>
        <w:gridCol w:w="709"/>
        <w:gridCol w:w="3049"/>
      </w:tblGrid>
      <w:tr w:rsidR="00BF03AA" w:rsidRPr="00326E55" w14:paraId="42E2C346" w14:textId="77777777">
        <w:trPr>
          <w:trHeight w:val="939"/>
          <w:tblHeader/>
        </w:trPr>
        <w:tc>
          <w:tcPr>
            <w:tcW w:w="1418" w:type="dxa"/>
            <w:vMerge w:val="restart"/>
            <w:shd w:val="clear" w:color="auto" w:fill="BDD7EE"/>
            <w:vAlign w:val="center"/>
            <w:hideMark/>
          </w:tcPr>
          <w:p w14:paraId="326EED7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701" w:type="dxa"/>
            <w:vMerge w:val="restart"/>
            <w:shd w:val="clear" w:color="auto" w:fill="BDD7EE"/>
            <w:vAlign w:val="center"/>
            <w:hideMark/>
          </w:tcPr>
          <w:p w14:paraId="6498CC90"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276" w:type="dxa"/>
            <w:vMerge w:val="restart"/>
            <w:shd w:val="clear" w:color="auto" w:fill="BDD7EE"/>
            <w:vAlign w:val="center"/>
            <w:hideMark/>
          </w:tcPr>
          <w:p w14:paraId="54ECA473" w14:textId="4356814A"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559" w:type="dxa"/>
            <w:vMerge w:val="restart"/>
            <w:shd w:val="clear" w:color="auto" w:fill="BDD7EE"/>
            <w:vAlign w:val="center"/>
            <w:hideMark/>
          </w:tcPr>
          <w:p w14:paraId="156DBE73"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701" w:type="dxa"/>
            <w:vMerge w:val="restart"/>
            <w:shd w:val="clear" w:color="auto" w:fill="BDD7EE"/>
            <w:vAlign w:val="center"/>
            <w:hideMark/>
          </w:tcPr>
          <w:p w14:paraId="2E30001E"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261" w:type="dxa"/>
            <w:gridSpan w:val="3"/>
            <w:shd w:val="clear" w:color="auto" w:fill="BDD7EE"/>
            <w:vAlign w:val="center"/>
            <w:hideMark/>
          </w:tcPr>
          <w:p w14:paraId="02815D89"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 xml:space="preserve">Kvantitatívne </w:t>
            </w:r>
            <w:r w:rsidRPr="00326E55">
              <w:rPr>
                <w:rFonts w:ascii="Times New Roman" w:hAnsi="Times New Roman"/>
                <w:b/>
                <w:noProof/>
                <w:spacing w:val="-6"/>
                <w:sz w:val="20"/>
                <w:lang w:val="sk-SK"/>
              </w:rPr>
              <w:t>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701" w:type="dxa"/>
            <w:gridSpan w:val="2"/>
            <w:shd w:val="clear" w:color="auto" w:fill="BDD7EE"/>
            <w:vAlign w:val="center"/>
            <w:hideMark/>
          </w:tcPr>
          <w:p w14:paraId="37EE140E"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3049" w:type="dxa"/>
            <w:vMerge w:val="restart"/>
            <w:shd w:val="clear" w:color="auto" w:fill="BDD7EE"/>
            <w:vAlign w:val="center"/>
            <w:hideMark/>
          </w:tcPr>
          <w:p w14:paraId="43843B46" w14:textId="452B668C"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3261AC42" w14:textId="77777777">
        <w:trPr>
          <w:trHeight w:val="741"/>
          <w:tblHeader/>
        </w:trPr>
        <w:tc>
          <w:tcPr>
            <w:tcW w:w="1418" w:type="dxa"/>
            <w:vMerge/>
            <w:vAlign w:val="center"/>
            <w:hideMark/>
          </w:tcPr>
          <w:p w14:paraId="106A1BEA" w14:textId="77777777" w:rsidR="00BF03AA" w:rsidRPr="00326E55" w:rsidRDefault="00BF03AA">
            <w:pPr>
              <w:jc w:val="center"/>
              <w:rPr>
                <w:rFonts w:ascii="Times New Roman" w:hAnsi="Times New Roman"/>
                <w:b/>
                <w:noProof/>
                <w:spacing w:val="-6"/>
                <w:sz w:val="20"/>
                <w:szCs w:val="20"/>
                <w:lang w:val="sk-SK"/>
              </w:rPr>
            </w:pPr>
          </w:p>
        </w:tc>
        <w:tc>
          <w:tcPr>
            <w:tcW w:w="1701" w:type="dxa"/>
            <w:vMerge/>
            <w:vAlign w:val="center"/>
            <w:hideMark/>
          </w:tcPr>
          <w:p w14:paraId="51BD9E6C" w14:textId="77777777" w:rsidR="00BF03AA" w:rsidRPr="00326E55" w:rsidRDefault="00BF03AA">
            <w:pPr>
              <w:jc w:val="center"/>
              <w:rPr>
                <w:rFonts w:ascii="Times New Roman" w:hAnsi="Times New Roman"/>
                <w:b/>
                <w:noProof/>
                <w:spacing w:val="-6"/>
                <w:sz w:val="20"/>
                <w:szCs w:val="20"/>
                <w:lang w:val="sk-SK"/>
              </w:rPr>
            </w:pPr>
          </w:p>
        </w:tc>
        <w:tc>
          <w:tcPr>
            <w:tcW w:w="1276" w:type="dxa"/>
            <w:vMerge/>
            <w:vAlign w:val="center"/>
            <w:hideMark/>
          </w:tcPr>
          <w:p w14:paraId="72737AD6" w14:textId="77777777" w:rsidR="00BF03AA" w:rsidRPr="00326E55" w:rsidRDefault="00BF03AA">
            <w:pPr>
              <w:jc w:val="center"/>
              <w:rPr>
                <w:rFonts w:ascii="Times New Roman" w:hAnsi="Times New Roman"/>
                <w:b/>
                <w:noProof/>
                <w:spacing w:val="-6"/>
                <w:sz w:val="20"/>
                <w:szCs w:val="20"/>
                <w:lang w:val="sk-SK"/>
              </w:rPr>
            </w:pPr>
          </w:p>
        </w:tc>
        <w:tc>
          <w:tcPr>
            <w:tcW w:w="1559" w:type="dxa"/>
            <w:vMerge/>
            <w:vAlign w:val="center"/>
            <w:hideMark/>
          </w:tcPr>
          <w:p w14:paraId="533C4945" w14:textId="77777777" w:rsidR="00BF03AA" w:rsidRPr="00326E55" w:rsidRDefault="00BF03AA">
            <w:pPr>
              <w:jc w:val="center"/>
              <w:rPr>
                <w:rFonts w:ascii="Times New Roman" w:hAnsi="Times New Roman"/>
                <w:b/>
                <w:noProof/>
                <w:spacing w:val="-6"/>
                <w:sz w:val="20"/>
                <w:szCs w:val="20"/>
                <w:lang w:val="sk-SK"/>
              </w:rPr>
            </w:pPr>
          </w:p>
        </w:tc>
        <w:tc>
          <w:tcPr>
            <w:tcW w:w="1701" w:type="dxa"/>
            <w:vMerge/>
            <w:vAlign w:val="center"/>
            <w:hideMark/>
          </w:tcPr>
          <w:p w14:paraId="4AD3BAB3" w14:textId="77777777" w:rsidR="00BF03AA" w:rsidRPr="00326E55" w:rsidRDefault="00BF03AA">
            <w:pPr>
              <w:jc w:val="center"/>
              <w:rPr>
                <w:rFonts w:ascii="Times New Roman" w:hAnsi="Times New Roman"/>
                <w:b/>
                <w:noProof/>
                <w:spacing w:val="-6"/>
                <w:sz w:val="20"/>
                <w:szCs w:val="20"/>
                <w:lang w:val="sk-SK"/>
              </w:rPr>
            </w:pPr>
          </w:p>
        </w:tc>
        <w:tc>
          <w:tcPr>
            <w:tcW w:w="1276" w:type="dxa"/>
            <w:shd w:val="clear" w:color="auto" w:fill="BDD7EE"/>
            <w:vAlign w:val="center"/>
            <w:hideMark/>
          </w:tcPr>
          <w:p w14:paraId="37AE4EA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276" w:type="dxa"/>
            <w:shd w:val="clear" w:color="auto" w:fill="BDD7EE"/>
            <w:vAlign w:val="center"/>
            <w:hideMark/>
          </w:tcPr>
          <w:p w14:paraId="350D210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709" w:type="dxa"/>
            <w:shd w:val="clear" w:color="auto" w:fill="BDD7EE"/>
            <w:vAlign w:val="center"/>
            <w:hideMark/>
          </w:tcPr>
          <w:p w14:paraId="53B9161C"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992" w:type="dxa"/>
            <w:shd w:val="clear" w:color="auto" w:fill="BDD7EE"/>
            <w:vAlign w:val="center"/>
            <w:hideMark/>
          </w:tcPr>
          <w:p w14:paraId="7E9200B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09" w:type="dxa"/>
            <w:shd w:val="clear" w:color="auto" w:fill="BDD7EE"/>
            <w:vAlign w:val="center"/>
            <w:hideMark/>
          </w:tcPr>
          <w:p w14:paraId="423276CC"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3049" w:type="dxa"/>
            <w:vMerge/>
            <w:vAlign w:val="center"/>
            <w:hideMark/>
          </w:tcPr>
          <w:p w14:paraId="250455F0" w14:textId="77777777" w:rsidR="00BF03AA" w:rsidRPr="00326E55" w:rsidRDefault="00BF03AA">
            <w:pPr>
              <w:jc w:val="center"/>
              <w:rPr>
                <w:rFonts w:ascii="Times New Roman" w:hAnsi="Times New Roman"/>
                <w:b/>
                <w:noProof/>
                <w:spacing w:val="-6"/>
                <w:sz w:val="20"/>
                <w:szCs w:val="20"/>
                <w:lang w:val="sk-SK"/>
              </w:rPr>
            </w:pPr>
          </w:p>
        </w:tc>
      </w:tr>
      <w:tr w:rsidR="00BF03AA" w:rsidRPr="00326E55" w14:paraId="53DCD781" w14:textId="77777777">
        <w:trPr>
          <w:trHeight w:val="313"/>
        </w:trPr>
        <w:tc>
          <w:tcPr>
            <w:tcW w:w="1418" w:type="dxa"/>
            <w:shd w:val="clear" w:color="auto" w:fill="C6EFCE"/>
            <w:noWrap/>
            <w:vAlign w:val="center"/>
          </w:tcPr>
          <w:p w14:paraId="681A322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M5C3 – 10</w:t>
            </w:r>
          </w:p>
        </w:tc>
        <w:tc>
          <w:tcPr>
            <w:tcW w:w="1701" w:type="dxa"/>
            <w:shd w:val="clear" w:color="auto" w:fill="C6EFCE"/>
            <w:noWrap/>
            <w:vAlign w:val="center"/>
            <w:hideMark/>
          </w:tcPr>
          <w:p w14:paraId="5003A5CA" w14:textId="6F563E2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Reforma1: Zjednodušenie postupov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funkcie komisára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osobitných hospodárskych zónach</w:t>
            </w:r>
          </w:p>
        </w:tc>
        <w:tc>
          <w:tcPr>
            <w:tcW w:w="1276" w:type="dxa"/>
            <w:shd w:val="clear" w:color="auto" w:fill="C6EFCE"/>
            <w:noWrap/>
            <w:vAlign w:val="center"/>
            <w:hideMark/>
          </w:tcPr>
          <w:p w14:paraId="36FC0E2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shd w:val="clear" w:color="auto" w:fill="C6EFCE"/>
            <w:noWrap/>
            <w:vAlign w:val="center"/>
            <w:hideMark/>
          </w:tcPr>
          <w:p w14:paraId="7EB6AFFF" w14:textId="3B34C1F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nariadenia len na postupy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úlohy komisára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osobitných hospodárskych zónach</w:t>
            </w:r>
          </w:p>
        </w:tc>
        <w:tc>
          <w:tcPr>
            <w:tcW w:w="1701" w:type="dxa"/>
            <w:shd w:val="clear" w:color="auto" w:fill="C6EFCE"/>
            <w:noWrap/>
            <w:vAlign w:val="center"/>
            <w:hideMark/>
          </w:tcPr>
          <w:p w14:paraId="418AC9B0" w14:textId="6A87BE3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nariadenia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nariadenia len</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postupoch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posilnení úlohy komisára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osobitných hospodárskych zónach</w:t>
            </w:r>
          </w:p>
        </w:tc>
        <w:tc>
          <w:tcPr>
            <w:tcW w:w="1276" w:type="dxa"/>
            <w:shd w:val="clear" w:color="auto" w:fill="C6EFCE"/>
            <w:noWrap/>
            <w:vAlign w:val="center"/>
          </w:tcPr>
          <w:p w14:paraId="04684F1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30AFCDC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09" w:type="dxa"/>
            <w:shd w:val="clear" w:color="auto" w:fill="C6EFCE"/>
            <w:noWrap/>
            <w:vAlign w:val="center"/>
          </w:tcPr>
          <w:p w14:paraId="6375EE4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hideMark/>
          </w:tcPr>
          <w:p w14:paraId="3E4339B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noWrap/>
            <w:vAlign w:val="center"/>
            <w:hideMark/>
          </w:tcPr>
          <w:p w14:paraId="3409069B"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2021</w:t>
            </w:r>
          </w:p>
        </w:tc>
        <w:tc>
          <w:tcPr>
            <w:tcW w:w="3049" w:type="dxa"/>
            <w:shd w:val="clear" w:color="auto" w:fill="C6EFCE"/>
            <w:noWrap/>
            <w:vAlign w:val="center"/>
            <w:hideMark/>
          </w:tcPr>
          <w:p w14:paraId="594F30D7" w14:textId="7777777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Nariadenie obsahuje: the</w:t>
            </w:r>
          </w:p>
          <w:p w14:paraId="2ED9192F" w14:textId="7E639DDD"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zriadenie jednotného digitálneho kontaktného miesta pre osobitné hospodárske zóny na zjednodušenie postupov; ustanovenia na posilnenie úlohy komisára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ZES</w:t>
            </w:r>
            <w:r w:rsidR="00326E55" w:rsidRPr="00326E55">
              <w:rPr>
                <w:rFonts w:ascii="Times New Roman" w:hAnsi="Times New Roman"/>
                <w:noProof/>
                <w:spacing w:val="-6"/>
                <w:lang w:val="sk-SK"/>
              </w:rPr>
              <w:t>.</w:t>
            </w:r>
          </w:p>
          <w:p w14:paraId="0FB5FDF8" w14:textId="7FF07A68"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Osobitné hospodárske zó</w:t>
            </w:r>
            <w:r w:rsidRPr="00326E55">
              <w:rPr>
                <w:rFonts w:ascii="Times New Roman" w:hAnsi="Times New Roman"/>
                <w:noProof/>
                <w:spacing w:val="-6"/>
                <w:lang w:val="sk-SK"/>
              </w:rPr>
              <w:t>ny sú osobitné oblasti vymedzené zákonnou vyhláškou 91/2017 (uverejnením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úradnom vestníku 141/2017), ktorá bola zmenená na zákon L. 123/2017 (uverejnená</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úradnom vestníku Mezzogiorno 188/2017).</w:t>
            </w:r>
          </w:p>
        </w:tc>
      </w:tr>
      <w:tr w:rsidR="00BF03AA" w:rsidRPr="00326E55" w14:paraId="15981348" w14:textId="77777777">
        <w:trPr>
          <w:trHeight w:val="313"/>
        </w:trPr>
        <w:tc>
          <w:tcPr>
            <w:tcW w:w="1418" w:type="dxa"/>
            <w:shd w:val="clear" w:color="auto" w:fill="C6EFCE"/>
            <w:noWrap/>
            <w:vAlign w:val="center"/>
            <w:hideMark/>
          </w:tcPr>
          <w:p w14:paraId="5A44437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M5C3 – 11</w:t>
            </w:r>
          </w:p>
        </w:tc>
        <w:tc>
          <w:tcPr>
            <w:tcW w:w="1701" w:type="dxa"/>
            <w:shd w:val="clear" w:color="auto" w:fill="C6EFCE"/>
            <w:noWrap/>
            <w:vAlign w:val="center"/>
            <w:hideMark/>
          </w:tcPr>
          <w:p w14:paraId="07DDBAC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 Investície do infraštruktúry pre</w:t>
            </w:r>
            <w:r w:rsidRPr="00326E55">
              <w:rPr>
                <w:rFonts w:ascii="Times New Roman" w:hAnsi="Times New Roman"/>
                <w:noProof/>
                <w:spacing w:val="-6"/>
                <w:lang w:val="sk-SK"/>
              </w:rPr>
              <w:t xml:space="preserve"> osobitnú hospodársku zónu</w:t>
            </w:r>
            <w:r w:rsidRPr="00326E55">
              <w:rPr>
                <w:rFonts w:ascii="Times New Roman" w:hAnsi="Times New Roman"/>
                <w:noProof/>
                <w:spacing w:val="-6"/>
                <w:shd w:val="clear" w:color="auto" w:fill="E6E6E6"/>
                <w:lang w:val="sk-SK"/>
              </w:rPr>
              <w:t xml:space="preserve"> </w:t>
            </w:r>
          </w:p>
        </w:tc>
        <w:tc>
          <w:tcPr>
            <w:tcW w:w="1276" w:type="dxa"/>
            <w:shd w:val="clear" w:color="auto" w:fill="C6EFCE"/>
            <w:noWrap/>
            <w:vAlign w:val="center"/>
            <w:hideMark/>
          </w:tcPr>
          <w:p w14:paraId="6053FA4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559" w:type="dxa"/>
            <w:shd w:val="clear" w:color="auto" w:fill="C6EFCE"/>
            <w:noWrap/>
            <w:vAlign w:val="center"/>
            <w:hideMark/>
          </w:tcPr>
          <w:p w14:paraId="10B54B4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vyhlášok ministerstva, ktorými sa schvaľujú operačné plány pre všetkých osem osobitných hospodárskych zón</w:t>
            </w:r>
          </w:p>
        </w:tc>
        <w:tc>
          <w:tcPr>
            <w:tcW w:w="1701" w:type="dxa"/>
            <w:shd w:val="clear" w:color="auto" w:fill="C6EFCE"/>
            <w:noWrap/>
            <w:vAlign w:val="center"/>
            <w:hideMark/>
          </w:tcPr>
          <w:p w14:paraId="16161307" w14:textId="33BA612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vyhlášky ministerstva.</w:t>
            </w:r>
          </w:p>
        </w:tc>
        <w:tc>
          <w:tcPr>
            <w:tcW w:w="1276" w:type="dxa"/>
            <w:shd w:val="clear" w:color="auto" w:fill="C6EFCE"/>
            <w:noWrap/>
            <w:vAlign w:val="center"/>
            <w:hideMark/>
          </w:tcPr>
          <w:p w14:paraId="67E4AF6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4B2A2E0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709" w:type="dxa"/>
            <w:shd w:val="clear" w:color="auto" w:fill="C6EFCE"/>
            <w:noWrap/>
            <w:vAlign w:val="center"/>
          </w:tcPr>
          <w:p w14:paraId="2C33B48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noWrap/>
            <w:vAlign w:val="center"/>
            <w:hideMark/>
          </w:tcPr>
          <w:p w14:paraId="56A27D6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noWrap/>
            <w:vAlign w:val="center"/>
            <w:hideMark/>
          </w:tcPr>
          <w:p w14:paraId="32B1E61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2021</w:t>
            </w:r>
          </w:p>
        </w:tc>
        <w:tc>
          <w:tcPr>
            <w:tcW w:w="3049" w:type="dxa"/>
            <w:shd w:val="clear" w:color="auto" w:fill="C6EFCE"/>
            <w:noWrap/>
            <w:vAlign w:val="center"/>
            <w:hideMark/>
          </w:tcPr>
          <w:p w14:paraId="6DD58627" w14:textId="50176E05"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Vyhláška prideľuje prostriedky subjektom povereným vykonávaním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vymedzuje osobitné podmienky, aby sa zabránilo akémukoľvek vplyvu intervencií na životné prostredie.</w:t>
            </w:r>
          </w:p>
          <w:p w14:paraId="33887909" w14:textId="6CD8BE9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Vyhlasovanie všetkých súťažných výziev sa uskutoční</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refer</w:t>
            </w:r>
            <w:r w:rsidRPr="00326E55">
              <w:rPr>
                <w:rFonts w:ascii="Times New Roman" w:hAnsi="Times New Roman"/>
                <w:noProof/>
                <w:spacing w:val="-6"/>
                <w:lang w:val="sk-SK"/>
              </w:rPr>
              <w:t>enčnými podmienkami vrátane kritérií oprávnenosti, ktorými sa zabezpečí, aby vybrané projekty boli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technickými usmerneniami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zásade „výrazne nenarušiť“ (2021/C58/01) prostredníctvom použitia zoznamu vylúčených subjektov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požiadavky súladu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w:t>
            </w:r>
            <w:r w:rsidRPr="00326E55">
              <w:rPr>
                <w:rFonts w:ascii="Times New Roman" w:hAnsi="Times New Roman"/>
                <w:noProof/>
                <w:spacing w:val="-6"/>
                <w:lang w:val="sk-SK"/>
              </w:rPr>
              <w:t>íslušnými právnymi predpismi EÚ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vnútroštátnymi právnymi predpismi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životného prostredia.</w:t>
            </w:r>
          </w:p>
        </w:tc>
      </w:tr>
      <w:tr w:rsidR="00BF03AA" w:rsidRPr="00326E55" w14:paraId="2DB7B415" w14:textId="77777777">
        <w:trPr>
          <w:trHeight w:val="313"/>
        </w:trPr>
        <w:tc>
          <w:tcPr>
            <w:tcW w:w="1418" w:type="dxa"/>
            <w:shd w:val="clear" w:color="auto" w:fill="C6EFCE"/>
            <w:noWrap/>
            <w:vAlign w:val="center"/>
          </w:tcPr>
          <w:p w14:paraId="06286FC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M5C3 – 12</w:t>
            </w:r>
          </w:p>
        </w:tc>
        <w:tc>
          <w:tcPr>
            <w:tcW w:w="1701" w:type="dxa"/>
            <w:shd w:val="clear" w:color="auto" w:fill="C6EFCE"/>
            <w:noWrap/>
            <w:vAlign w:val="center"/>
          </w:tcPr>
          <w:p w14:paraId="5855B94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 Investície do infraštruktúry pre osobitnú hospodársku zónu</w:t>
            </w:r>
          </w:p>
        </w:tc>
        <w:tc>
          <w:tcPr>
            <w:tcW w:w="1276" w:type="dxa"/>
            <w:shd w:val="clear" w:color="auto" w:fill="C6EFCE"/>
            <w:noWrap/>
            <w:vAlign w:val="center"/>
          </w:tcPr>
          <w:p w14:paraId="6BB0CBC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788670F9" w14:textId="084526C5"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Začiatok prác na infraštruktúrnych projektoch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osobitnej </w:t>
            </w:r>
            <w:r w:rsidRPr="00326E55">
              <w:rPr>
                <w:rFonts w:ascii="Times New Roman" w:hAnsi="Times New Roman"/>
                <w:noProof/>
                <w:spacing w:val="-6"/>
                <w:lang w:val="sk-SK"/>
              </w:rPr>
              <w:t>hospodárskej zóne</w:t>
            </w:r>
          </w:p>
        </w:tc>
        <w:tc>
          <w:tcPr>
            <w:tcW w:w="1701" w:type="dxa"/>
            <w:shd w:val="clear" w:color="auto" w:fill="C6EFCE"/>
            <w:noWrap/>
            <w:vAlign w:val="center"/>
          </w:tcPr>
          <w:p w14:paraId="58A8FF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664BE7F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090F9C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709" w:type="dxa"/>
            <w:shd w:val="clear" w:color="auto" w:fill="C6EFCE"/>
            <w:noWrap/>
            <w:vAlign w:val="center"/>
          </w:tcPr>
          <w:p w14:paraId="3700CC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53</w:t>
            </w:r>
          </w:p>
        </w:tc>
        <w:tc>
          <w:tcPr>
            <w:tcW w:w="992" w:type="dxa"/>
            <w:shd w:val="clear" w:color="auto" w:fill="C6EFCE"/>
            <w:noWrap/>
            <w:vAlign w:val="center"/>
          </w:tcPr>
          <w:p w14:paraId="34ABA5C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noWrap/>
            <w:vAlign w:val="center"/>
          </w:tcPr>
          <w:p w14:paraId="3802C4E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049" w:type="dxa"/>
            <w:shd w:val="clear" w:color="auto" w:fill="C6EFCE"/>
            <w:noWrap/>
            <w:vAlign w:val="center"/>
          </w:tcPr>
          <w:p w14:paraId="5D482842"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Infraštruktúrne projekty musia byť jednoznačne identifikované ich Codice Locale di Progetto (CLP).</w:t>
            </w:r>
          </w:p>
          <w:p w14:paraId="343D461E"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Práce na najmenej 53 projektoch stanovených vyhláškou, ktorou sa prideľujú prostriedky, sa musia </w:t>
            </w:r>
            <w:r w:rsidRPr="00326E55">
              <w:rPr>
                <w:rFonts w:ascii="Times New Roman" w:hAnsi="Times New Roman"/>
                <w:noProof/>
                <w:spacing w:val="-6"/>
                <w:lang w:val="sk-SK"/>
              </w:rPr>
              <w:t>začať.</w:t>
            </w:r>
          </w:p>
        </w:tc>
      </w:tr>
      <w:tr w:rsidR="00BF03AA" w:rsidRPr="00326E55" w14:paraId="48DFB072" w14:textId="77777777">
        <w:trPr>
          <w:trHeight w:val="313"/>
        </w:trPr>
        <w:tc>
          <w:tcPr>
            <w:tcW w:w="1418" w:type="dxa"/>
            <w:shd w:val="clear" w:color="auto" w:fill="C6EFCE"/>
            <w:noWrap/>
            <w:vAlign w:val="center"/>
          </w:tcPr>
          <w:p w14:paraId="7B84528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M5C3 – 13</w:t>
            </w:r>
          </w:p>
        </w:tc>
        <w:tc>
          <w:tcPr>
            <w:tcW w:w="1701" w:type="dxa"/>
            <w:shd w:val="clear" w:color="auto" w:fill="C6EFCE"/>
            <w:noWrap/>
            <w:vAlign w:val="center"/>
          </w:tcPr>
          <w:p w14:paraId="1E5F217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 Investície do infraštruktúry pre osobitnú hospodársku zónu</w:t>
            </w:r>
          </w:p>
        </w:tc>
        <w:tc>
          <w:tcPr>
            <w:tcW w:w="1276" w:type="dxa"/>
            <w:shd w:val="clear" w:color="auto" w:fill="C6EFCE"/>
            <w:noWrap/>
            <w:vAlign w:val="center"/>
          </w:tcPr>
          <w:p w14:paraId="4294C2C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60021F1E" w14:textId="20AD3FC5" w:rsidR="00BF03AA" w:rsidRPr="00326E55" w:rsidRDefault="00FB452D">
            <w:pPr>
              <w:pStyle w:val="P68B1DB1-Normal12"/>
              <w:jc w:val="center"/>
              <w:rPr>
                <w:rFonts w:ascii="Times New Roman" w:eastAsia="Calibri" w:hAnsi="Times New Roman"/>
                <w:noProof/>
                <w:spacing w:val="-6"/>
                <w:lang w:val="sk-SK"/>
              </w:rPr>
            </w:pPr>
            <w:r w:rsidRPr="00326E55">
              <w:rPr>
                <w:rFonts w:ascii="Times New Roman" w:hAnsi="Times New Roman"/>
                <w:noProof/>
                <w:spacing w:val="-6"/>
                <w:lang w:val="sk-SK"/>
              </w:rPr>
              <w:t>Dokončenie infraštruktúrnych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osobitnej hospodárskej zóne</w:t>
            </w:r>
          </w:p>
        </w:tc>
        <w:tc>
          <w:tcPr>
            <w:tcW w:w="1701" w:type="dxa"/>
            <w:shd w:val="clear" w:color="auto" w:fill="C6EFCE"/>
            <w:noWrap/>
            <w:vAlign w:val="center"/>
          </w:tcPr>
          <w:p w14:paraId="4C70AA4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9411A3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276" w:type="dxa"/>
            <w:shd w:val="clear" w:color="auto" w:fill="C6EFCE"/>
            <w:noWrap/>
            <w:vAlign w:val="center"/>
          </w:tcPr>
          <w:p w14:paraId="71989C0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709" w:type="dxa"/>
            <w:shd w:val="clear" w:color="auto" w:fill="C6EFCE"/>
            <w:noWrap/>
            <w:vAlign w:val="center"/>
          </w:tcPr>
          <w:p w14:paraId="06A7B5A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46</w:t>
            </w:r>
          </w:p>
        </w:tc>
        <w:tc>
          <w:tcPr>
            <w:tcW w:w="992" w:type="dxa"/>
            <w:shd w:val="clear" w:color="auto" w:fill="C6EFCE"/>
            <w:noWrap/>
            <w:vAlign w:val="center"/>
          </w:tcPr>
          <w:p w14:paraId="6AEFB4B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noWrap/>
            <w:vAlign w:val="center"/>
          </w:tcPr>
          <w:p w14:paraId="08F5629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049" w:type="dxa"/>
            <w:shd w:val="clear" w:color="auto" w:fill="C6EFCE"/>
            <w:noWrap/>
            <w:vAlign w:val="center"/>
          </w:tcPr>
          <w:p w14:paraId="48D33F99" w14:textId="2F46C409"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ukončení prác sa vydávajú pre </w:t>
            </w:r>
            <w:r w:rsidRPr="00326E55">
              <w:rPr>
                <w:rFonts w:ascii="Times New Roman" w:hAnsi="Times New Roman"/>
                <w:noProof/>
                <w:spacing w:val="-6"/>
                <w:lang w:val="sk-SK"/>
              </w:rPr>
              <w:t>najmenej 46 projektov stanovených vyhláškou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pridelení zdrojov, ktoré sú jednoznačne identifikované ich Codice Locale di Progetto (CLP). Zoznam dokončených projektov obsahuje:</w:t>
            </w:r>
          </w:p>
          <w:p w14:paraId="6B3BB223" w14:textId="77777777" w:rsidR="00BF03AA" w:rsidRPr="00326E55" w:rsidRDefault="00FB452D">
            <w:pPr>
              <w:pStyle w:val="P68B1DB1-ListParagraph15"/>
              <w:numPr>
                <w:ilvl w:val="0"/>
                <w:numId w:val="36"/>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Porto di Salerno. Oblastný portuale. Consolidamento ed adeguamento funzionale d</w:t>
            </w:r>
            <w:r w:rsidRPr="00326E55">
              <w:rPr>
                <w:rFonts w:ascii="Times New Roman" w:hAnsi="Times New Roman"/>
                <w:noProof/>
                <w:spacing w:val="-6"/>
                <w:lang w:val="sk-SK"/>
              </w:rPr>
              <w:t>i alcuni moli e banchine (CLP: G51B21003170006)</w:t>
            </w:r>
          </w:p>
          <w:p w14:paraId="6C2DD595" w14:textId="77777777" w:rsidR="00BF03AA" w:rsidRPr="00326E55" w:rsidRDefault="00FB452D">
            <w:pPr>
              <w:pStyle w:val="P68B1DB1-ListParagraph15"/>
              <w:numPr>
                <w:ilvl w:val="0"/>
                <w:numId w:val="36"/>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Porto di Napoli. Oblastný portuale. Prolungamento e rafforzamento della diga Duca D’Aosta (CLP: G65F20001560006)</w:t>
            </w:r>
          </w:p>
          <w:p w14:paraId="3567B27C" w14:textId="0D540804" w:rsidR="00BF03AA" w:rsidRPr="00326E55" w:rsidRDefault="00FB452D">
            <w:pPr>
              <w:pStyle w:val="P68B1DB1-ListParagraph15"/>
              <w:numPr>
                <w:ilvl w:val="0"/>
                <w:numId w:val="36"/>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 xml:space="preserve">Porto di Salerno. Dragaggio del porto commerciale di Salerno e del canale di ingresso – fase 2 </w:t>
            </w:r>
            <w:r w:rsidRPr="00326E55">
              <w:rPr>
                <w:rFonts w:ascii="Times New Roman" w:hAnsi="Times New Roman"/>
                <w:noProof/>
                <w:spacing w:val="-6"/>
                <w:lang w:val="sk-SK"/>
              </w:rPr>
              <w:t>– Molo di ponente (CLP: G51B21003160006)</w:t>
            </w:r>
          </w:p>
          <w:p w14:paraId="6A1BD5A3" w14:textId="2505C3A2" w:rsidR="00BF03AA" w:rsidRPr="00326E55" w:rsidRDefault="00FB452D">
            <w:pPr>
              <w:pStyle w:val="P68B1DB1-ListParagraph15"/>
              <w:numPr>
                <w:ilvl w:val="0"/>
                <w:numId w:val="36"/>
              </w:numPr>
              <w:spacing w:before="120" w:after="120" w:line="240" w:lineRule="auto"/>
              <w:jc w:val="both"/>
              <w:rPr>
                <w:rFonts w:ascii="Times New Roman" w:hAnsi="Times New Roman"/>
                <w:noProof/>
                <w:spacing w:val="-6"/>
                <w:szCs w:val="20"/>
                <w:lang w:val="sk-SK"/>
              </w:rPr>
            </w:pPr>
            <w:r w:rsidRPr="00326E55">
              <w:rPr>
                <w:rFonts w:ascii="Times New Roman" w:hAnsi="Times New Roman"/>
                <w:noProof/>
                <w:spacing w:val="-6"/>
                <w:lang w:val="sk-SK"/>
              </w:rPr>
              <w:t>Porto Canale Di Cagliari. Oblastný portuale. Avamporti: realizzazione di nuovi banchinamenti per l’ormeggio di navi Traghetto roll-off, ro-ro (CLP: D21G06000020003)</w:t>
            </w:r>
          </w:p>
        </w:tc>
      </w:tr>
      <w:tr w:rsidR="00BF03AA" w:rsidRPr="00326E55" w14:paraId="6EE55BF5" w14:textId="77777777">
        <w:trPr>
          <w:trHeight w:val="313"/>
        </w:trPr>
        <w:tc>
          <w:tcPr>
            <w:tcW w:w="1418" w:type="dxa"/>
            <w:shd w:val="clear" w:color="auto" w:fill="C6EFCE"/>
            <w:noWrap/>
            <w:vAlign w:val="center"/>
          </w:tcPr>
          <w:p w14:paraId="4880E446" w14:textId="014CB753" w:rsidR="00BF03AA" w:rsidRPr="00326E55" w:rsidRDefault="00FB452D">
            <w:pPr>
              <w:pStyle w:val="P68B1DB1-Normal11"/>
              <w:jc w:val="center"/>
              <w:rPr>
                <w:rFonts w:ascii="Times New Roman" w:hAnsi="Times New Roman"/>
                <w:noProof/>
                <w:spacing w:val="-6"/>
                <w:highlight w:val="yellow"/>
                <w:lang w:val="sk-SK"/>
              </w:rPr>
            </w:pPr>
            <w:r w:rsidRPr="00326E55">
              <w:rPr>
                <w:rFonts w:ascii="Times New Roman" w:hAnsi="Times New Roman"/>
                <w:noProof/>
                <w:spacing w:val="-6"/>
                <w:lang w:val="sk-SK"/>
              </w:rPr>
              <w:t>M5C3 – 14</w:t>
            </w:r>
          </w:p>
        </w:tc>
        <w:tc>
          <w:tcPr>
            <w:tcW w:w="1701" w:type="dxa"/>
            <w:shd w:val="clear" w:color="auto" w:fill="C6EFCE"/>
            <w:noWrap/>
            <w:vAlign w:val="center"/>
          </w:tcPr>
          <w:p w14:paraId="13C229A0" w14:textId="0780474A" w:rsidR="00BF03AA" w:rsidRPr="00326E55" w:rsidRDefault="00FB452D">
            <w:pPr>
              <w:pStyle w:val="P68B1DB1-Normal11"/>
              <w:jc w:val="center"/>
              <w:rPr>
                <w:rFonts w:ascii="Times New Roman" w:hAnsi="Times New Roman"/>
                <w:noProof/>
                <w:spacing w:val="-6"/>
                <w:highlight w:val="yellow"/>
                <w:lang w:val="sk-SK"/>
              </w:rPr>
            </w:pPr>
            <w:r w:rsidRPr="00326E55">
              <w:rPr>
                <w:rFonts w:ascii="Times New Roman" w:hAnsi="Times New Roman"/>
                <w:noProof/>
                <w:spacing w:val="-6"/>
                <w:lang w:val="sk-SK"/>
              </w:rPr>
              <w:t xml:space="preserve">Investícia 1.5: Schéma daňových úverov </w:t>
            </w:r>
            <w:r w:rsidRPr="00326E55">
              <w:rPr>
                <w:rFonts w:ascii="Times New Roman" w:hAnsi="Times New Roman"/>
                <w:noProof/>
                <w:spacing w:val="-6"/>
                <w:lang w:val="sk-SK"/>
              </w:rPr>
              <w:t>pre investície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južnom Taliansku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osobitnej hospodárskej zóne (SEZ)</w:t>
            </w:r>
          </w:p>
        </w:tc>
        <w:tc>
          <w:tcPr>
            <w:tcW w:w="1276" w:type="dxa"/>
            <w:shd w:val="clear" w:color="auto" w:fill="C6EFCE"/>
            <w:noWrap/>
            <w:vAlign w:val="center"/>
          </w:tcPr>
          <w:p w14:paraId="1AC38A96" w14:textId="5034A2F7" w:rsidR="00BF03AA" w:rsidRPr="00326E55" w:rsidRDefault="00FB452D">
            <w:pPr>
              <w:pStyle w:val="P68B1DB1-Normal11"/>
              <w:jc w:val="center"/>
              <w:rPr>
                <w:rFonts w:ascii="Times New Roman" w:hAnsi="Times New Roman"/>
                <w:noProof/>
                <w:spacing w:val="-6"/>
                <w:highlight w:val="yellow"/>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5AA85D74" w14:textId="0C36D817"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Daňové úľavy pre južné Taliansko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osobitnú hospodársku zónu (SEZ) </w:t>
            </w:r>
          </w:p>
        </w:tc>
        <w:tc>
          <w:tcPr>
            <w:tcW w:w="1701" w:type="dxa"/>
            <w:shd w:val="clear" w:color="auto" w:fill="C6EFCE"/>
            <w:noWrap/>
            <w:vAlign w:val="center"/>
          </w:tcPr>
          <w:p w14:paraId="0816177E" w14:textId="3BD6617D" w:rsidR="00BF03AA" w:rsidRPr="00326E55" w:rsidRDefault="00FB452D">
            <w:pPr>
              <w:pStyle w:val="P68B1DB1-Normal11"/>
              <w:jc w:val="center"/>
              <w:rPr>
                <w:rFonts w:ascii="Times New Roman" w:hAnsi="Times New Roman"/>
                <w:noProof/>
                <w:spacing w:val="-6"/>
                <w:highlight w:val="yellow"/>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528FE2E9" w14:textId="0198BE14" w:rsidR="00BF03AA" w:rsidRPr="00326E55" w:rsidRDefault="00FB452D">
            <w:pPr>
              <w:pStyle w:val="P68B1DB1-Normal11"/>
              <w:jc w:val="center"/>
              <w:rPr>
                <w:rFonts w:ascii="Times New Roman" w:hAnsi="Times New Roman"/>
                <w:noProof/>
                <w:spacing w:val="-6"/>
                <w:highlight w:val="yellow"/>
                <w:lang w:val="sk-SK"/>
              </w:rPr>
            </w:pPr>
            <w:r w:rsidRPr="00326E55">
              <w:rPr>
                <w:rFonts w:ascii="Times New Roman" w:hAnsi="Times New Roman"/>
                <w:noProof/>
                <w:spacing w:val="-6"/>
                <w:lang w:val="sk-SK"/>
              </w:rPr>
              <w:t>Výška poskytnutých zdrojov (v EUR)</w:t>
            </w:r>
          </w:p>
        </w:tc>
        <w:tc>
          <w:tcPr>
            <w:tcW w:w="1276" w:type="dxa"/>
            <w:shd w:val="clear" w:color="auto" w:fill="C6EFCE"/>
            <w:noWrap/>
            <w:vAlign w:val="center"/>
          </w:tcPr>
          <w:p w14:paraId="7500EFF0" w14:textId="2976A4A4" w:rsidR="00BF03AA" w:rsidRPr="00326E55" w:rsidRDefault="00FB452D">
            <w:pPr>
              <w:pStyle w:val="P68B1DB1-Normal11"/>
              <w:jc w:val="center"/>
              <w:rPr>
                <w:rFonts w:ascii="Times New Roman" w:hAnsi="Times New Roman"/>
                <w:noProof/>
                <w:spacing w:val="-6"/>
                <w:highlight w:val="yellow"/>
                <w:lang w:val="sk-SK"/>
              </w:rPr>
            </w:pPr>
            <w:r w:rsidRPr="00326E55">
              <w:rPr>
                <w:rFonts w:ascii="Times New Roman" w:hAnsi="Times New Roman"/>
                <w:noProof/>
                <w:spacing w:val="-6"/>
                <w:lang w:val="sk-SK"/>
              </w:rPr>
              <w:t>0</w:t>
            </w:r>
          </w:p>
        </w:tc>
        <w:tc>
          <w:tcPr>
            <w:tcW w:w="709" w:type="dxa"/>
            <w:shd w:val="clear" w:color="auto" w:fill="C6EFCE"/>
            <w:noWrap/>
            <w:vAlign w:val="center"/>
          </w:tcPr>
          <w:p w14:paraId="4001CE96" w14:textId="039D5FE6" w:rsidR="00BF03AA" w:rsidRPr="00326E55" w:rsidRDefault="00FB452D">
            <w:pPr>
              <w:pStyle w:val="P68B1DB1-Normal12"/>
              <w:jc w:val="center"/>
              <w:rPr>
                <w:rFonts w:ascii="Times New Roman" w:hAnsi="Times New Roman"/>
                <w:noProof/>
                <w:spacing w:val="-6"/>
                <w:highlight w:val="yellow"/>
                <w:lang w:val="sk-SK"/>
              </w:rPr>
            </w:pPr>
            <w:r w:rsidRPr="00326E55">
              <w:rPr>
                <w:rFonts w:ascii="Times New Roman" w:hAnsi="Times New Roman"/>
                <w:noProof/>
                <w:spacing w:val="-6"/>
                <w:lang w:val="sk-SK"/>
              </w:rPr>
              <w:t>500 000 000</w:t>
            </w:r>
          </w:p>
        </w:tc>
        <w:tc>
          <w:tcPr>
            <w:tcW w:w="992" w:type="dxa"/>
            <w:shd w:val="clear" w:color="auto" w:fill="C6EFCE"/>
            <w:noWrap/>
            <w:vAlign w:val="center"/>
          </w:tcPr>
          <w:p w14:paraId="205F28D6" w14:textId="5F6B1B6D" w:rsidR="00BF03AA" w:rsidRPr="00326E55" w:rsidRDefault="00FB452D">
            <w:pPr>
              <w:pStyle w:val="P68B1DB1-Normal11"/>
              <w:jc w:val="center"/>
              <w:rPr>
                <w:rFonts w:ascii="Times New Roman" w:hAnsi="Times New Roman"/>
                <w:noProof/>
                <w:spacing w:val="-6"/>
                <w:highlight w:val="yellow"/>
                <w:lang w:val="sk-SK"/>
              </w:rPr>
            </w:pPr>
            <w:r w:rsidRPr="00326E55">
              <w:rPr>
                <w:rFonts w:ascii="Times New Roman" w:hAnsi="Times New Roman"/>
                <w:noProof/>
                <w:spacing w:val="-6"/>
                <w:lang w:val="sk-SK"/>
              </w:rPr>
              <w:t>DRUHÝ ŠTVRŤROK</w:t>
            </w:r>
          </w:p>
        </w:tc>
        <w:tc>
          <w:tcPr>
            <w:tcW w:w="709" w:type="dxa"/>
            <w:shd w:val="clear" w:color="auto" w:fill="C6EFCE"/>
            <w:noWrap/>
            <w:vAlign w:val="center"/>
          </w:tcPr>
          <w:p w14:paraId="7DAE5322" w14:textId="6E4B4E40" w:rsidR="00BF03AA" w:rsidRPr="00326E55" w:rsidRDefault="00FB452D">
            <w:pPr>
              <w:pStyle w:val="P68B1DB1-Normal11"/>
              <w:jc w:val="center"/>
              <w:rPr>
                <w:rFonts w:ascii="Times New Roman" w:hAnsi="Times New Roman"/>
                <w:noProof/>
                <w:spacing w:val="-6"/>
                <w:highlight w:val="yellow"/>
                <w:lang w:val="sk-SK"/>
              </w:rPr>
            </w:pPr>
            <w:r w:rsidRPr="00326E55">
              <w:rPr>
                <w:rFonts w:ascii="Times New Roman" w:hAnsi="Times New Roman"/>
                <w:noProof/>
                <w:spacing w:val="-6"/>
                <w:lang w:val="sk-SK"/>
              </w:rPr>
              <w:t>2026</w:t>
            </w:r>
          </w:p>
        </w:tc>
        <w:tc>
          <w:tcPr>
            <w:tcW w:w="3049" w:type="dxa"/>
            <w:shd w:val="clear" w:color="auto" w:fill="C6EFCE"/>
            <w:noWrap/>
            <w:vAlign w:val="center"/>
          </w:tcPr>
          <w:p w14:paraId="30289040" w14:textId="1018BCB0"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Poskytnutie daňových úverov vo výške najmenej 500 000 000 EUR firmám na investície vo výške najmenej </w:t>
            </w:r>
            <w:r w:rsidRPr="00326E55">
              <w:rPr>
                <w:rFonts w:ascii="Times New Roman" w:hAnsi="Times New Roman"/>
                <w:noProof/>
                <w:spacing w:val="-6"/>
                <w:szCs w:val="20"/>
                <w:lang w:val="sk-SK"/>
              </w:rPr>
              <w:t>150000 EUR uskutočnené</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rokoch</w:t>
            </w:r>
            <w:r w:rsidRPr="00326E55">
              <w:rPr>
                <w:rFonts w:ascii="Times New Roman" w:hAnsi="Times New Roman"/>
                <w:noProof/>
                <w:spacing w:val="-6"/>
                <w:lang w:val="sk-SK"/>
              </w:rPr>
              <w:t xml:space="preserve"> 2022 až 2025</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južných regiónoch</w:t>
            </w:r>
            <w:r w:rsidR="00326E55" w:rsidRPr="00326E55">
              <w:rPr>
                <w:rFonts w:ascii="Times New Roman" w:hAnsi="Times New Roman"/>
                <w:noProof/>
                <w:spacing w:val="-6"/>
                <w:lang w:val="sk-SK"/>
              </w:rPr>
              <w:t xml:space="preserve"> a v </w:t>
            </w:r>
            <w:r w:rsidRPr="00326E55">
              <w:rPr>
                <w:rFonts w:ascii="Times New Roman" w:hAnsi="Times New Roman"/>
                <w:noProof/>
                <w:spacing w:val="-6"/>
                <w:lang w:val="sk-SK"/>
              </w:rPr>
              <w:t>osobitnej hospodárskej zóne (SEZ) na juhu.</w:t>
            </w:r>
          </w:p>
          <w:p w14:paraId="78EFC37B"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Opatrenie sa zameriava na tieto riadky inve</w:t>
            </w:r>
            <w:r w:rsidRPr="00326E55">
              <w:rPr>
                <w:rFonts w:ascii="Times New Roman" w:hAnsi="Times New Roman"/>
                <w:noProof/>
                <w:spacing w:val="-6"/>
                <w:lang w:val="sk-SK"/>
              </w:rPr>
              <w:t>stícií:</w:t>
            </w:r>
          </w:p>
          <w:p w14:paraId="212B4703" w14:textId="05A16792" w:rsidR="00BF03AA" w:rsidRPr="00326E55" w:rsidRDefault="00FB452D">
            <w:pPr>
              <w:pStyle w:val="P68B1DB1-Normal12"/>
              <w:numPr>
                <w:ilvl w:val="0"/>
                <w:numId w:val="94"/>
              </w:numPr>
              <w:spacing w:line="279" w:lineRule="auto"/>
              <w:rPr>
                <w:rFonts w:ascii="Times New Roman" w:hAnsi="Times New Roman"/>
                <w:noProof/>
                <w:spacing w:val="-6"/>
                <w:lang w:val="sk-SK"/>
              </w:rPr>
            </w:pPr>
            <w:r w:rsidRPr="00326E55">
              <w:rPr>
                <w:rFonts w:ascii="Times New Roman" w:hAnsi="Times New Roman"/>
                <w:noProof/>
                <w:spacing w:val="-6"/>
                <w:lang w:val="sk-SK"/>
              </w:rPr>
              <w:t>Výrobné systémy (vrátane akéhokoľvek zariadenia prísne pripojeného</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zariadeniam/strojom tvoriacim systém) riadené prostredníctvom digitálnych zariadení schopných vykonávať jednu alebo viac fáz cyklu výrobku.</w:t>
            </w:r>
          </w:p>
          <w:p w14:paraId="1450055A" w14:textId="0DD0C293" w:rsidR="00BF03AA" w:rsidRPr="00326E55" w:rsidRDefault="00FB452D">
            <w:pPr>
              <w:pStyle w:val="P68B1DB1-Normal12"/>
              <w:numPr>
                <w:ilvl w:val="0"/>
                <w:numId w:val="94"/>
              </w:numPr>
              <w:spacing w:line="279" w:lineRule="auto"/>
              <w:rPr>
                <w:rFonts w:ascii="Times New Roman" w:hAnsi="Times New Roman"/>
                <w:noProof/>
                <w:spacing w:val="-6"/>
                <w:lang w:val="sk-SK"/>
              </w:rPr>
            </w:pPr>
            <w:r w:rsidRPr="00326E55">
              <w:rPr>
                <w:rFonts w:ascii="Times New Roman" w:hAnsi="Times New Roman"/>
                <w:noProof/>
                <w:spacing w:val="-6"/>
                <w:lang w:val="sk-SK"/>
              </w:rPr>
              <w:t>Systémy automatizácie výroby, ktoré zah</w:t>
            </w:r>
            <w:r w:rsidRPr="00326E55">
              <w:rPr>
                <w:rFonts w:ascii="Times New Roman" w:hAnsi="Times New Roman"/>
                <w:noProof/>
                <w:spacing w:val="-6"/>
                <w:lang w:val="sk-SK"/>
              </w:rPr>
              <w:t>ŕňajú používanie robotov, snímačov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komponentov na zvýšenie úrovne flexibility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efektívnosti výrobných liniek.</w:t>
            </w:r>
          </w:p>
          <w:p w14:paraId="5CE9F734" w14:textId="12CACB9E" w:rsidR="00BF03AA" w:rsidRPr="00326E55" w:rsidRDefault="00FB452D">
            <w:pPr>
              <w:pStyle w:val="P68B1DB1-Normal12"/>
              <w:numPr>
                <w:ilvl w:val="0"/>
                <w:numId w:val="94"/>
              </w:numPr>
              <w:spacing w:line="279" w:lineRule="auto"/>
              <w:rPr>
                <w:rFonts w:ascii="Times New Roman" w:hAnsi="Times New Roman"/>
                <w:noProof/>
                <w:spacing w:val="-6"/>
                <w:lang w:val="sk-SK"/>
              </w:rPr>
            </w:pPr>
            <w:r w:rsidRPr="00326E55">
              <w:rPr>
                <w:rFonts w:ascii="Times New Roman" w:hAnsi="Times New Roman"/>
                <w:noProof/>
                <w:spacing w:val="-6"/>
                <w:lang w:val="sk-SK"/>
              </w:rPr>
              <w:t>Hardvér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softvér vrátane tých, ktoré sú založené na platformách cloud computingu, určené na: organizácia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spracovanie veľkých množstiev </w:t>
            </w:r>
            <w:r w:rsidRPr="00326E55">
              <w:rPr>
                <w:rFonts w:ascii="Times New Roman" w:hAnsi="Times New Roman"/>
                <w:noProof/>
                <w:spacing w:val="-6"/>
                <w:lang w:val="sk-SK"/>
              </w:rPr>
              <w:t>údajov; riadenie rozhraní vrátane multimediálnych rozhraní; využívanie pokročilých snímačov na spracovanie komplexných informácií; optimalizácia spracovania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hľadiska energetiky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súkromia; poskytovanie pomoci na diaľku pre špecializované vybavenie.</w:t>
            </w:r>
          </w:p>
          <w:p w14:paraId="16BD77DC" w14:textId="4C9AFC17" w:rsidR="00BF03AA" w:rsidRPr="00326E55" w:rsidRDefault="00FB452D">
            <w:pPr>
              <w:pStyle w:val="P68B1DB1-Normal12"/>
              <w:numPr>
                <w:ilvl w:val="0"/>
                <w:numId w:val="94"/>
              </w:numPr>
              <w:spacing w:line="279" w:lineRule="auto"/>
              <w:rPr>
                <w:rFonts w:ascii="Times New Roman" w:hAnsi="Times New Roman"/>
                <w:noProof/>
                <w:spacing w:val="-6"/>
                <w:lang w:val="sk-SK"/>
              </w:rPr>
            </w:pPr>
            <w:r w:rsidRPr="00326E55">
              <w:rPr>
                <w:rFonts w:ascii="Times New Roman" w:hAnsi="Times New Roman"/>
                <w:noProof/>
                <w:spacing w:val="-6"/>
                <w:lang w:val="sk-SK"/>
              </w:rPr>
              <w:t>Elekt</w:t>
            </w:r>
            <w:r w:rsidRPr="00326E55">
              <w:rPr>
                <w:rFonts w:ascii="Times New Roman" w:hAnsi="Times New Roman"/>
                <w:noProof/>
                <w:spacing w:val="-6"/>
                <w:lang w:val="sk-SK"/>
              </w:rPr>
              <w:t>ronické nástroje na vytváranie prototypov a/alebo pokročilá výroba zameraná na vykonávanie digitálnych procesov, napríklad: 3D tlač, laserové rezanie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CNC mletie.</w:t>
            </w:r>
          </w:p>
          <w:p w14:paraId="7DABF0F6" w14:textId="45F0F71F" w:rsidR="00BF03AA" w:rsidRPr="00326E55" w:rsidRDefault="00FB452D">
            <w:pPr>
              <w:pStyle w:val="P68B1DB1-Normal12"/>
              <w:numPr>
                <w:ilvl w:val="0"/>
                <w:numId w:val="94"/>
              </w:numPr>
              <w:spacing w:line="279" w:lineRule="auto"/>
              <w:rPr>
                <w:rFonts w:ascii="Times New Roman" w:hAnsi="Times New Roman"/>
                <w:noProof/>
                <w:spacing w:val="-6"/>
                <w:lang w:val="sk-SK"/>
              </w:rPr>
            </w:pPr>
            <w:r w:rsidRPr="00326E55">
              <w:rPr>
                <w:rFonts w:ascii="Times New Roman" w:hAnsi="Times New Roman"/>
                <w:noProof/>
                <w:spacing w:val="-6"/>
                <w:lang w:val="sk-SK"/>
              </w:rPr>
              <w:t>Špecializovaný tovar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zariadenia na poskytovanie pokročilých služieb alebo na vykonávanie v</w:t>
            </w:r>
            <w:r w:rsidRPr="00326E55">
              <w:rPr>
                <w:rFonts w:ascii="Times New Roman" w:hAnsi="Times New Roman"/>
                <w:noProof/>
                <w:spacing w:val="-6"/>
                <w:lang w:val="sk-SK"/>
              </w:rPr>
              <w:t>ýskumných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vývojových činností.</w:t>
            </w:r>
          </w:p>
          <w:p w14:paraId="195F0F94" w14:textId="22ECA7F5" w:rsidR="00BF03AA" w:rsidRPr="00326E55" w:rsidRDefault="00FB452D">
            <w:pPr>
              <w:pStyle w:val="P68B1DB1-Normal12"/>
              <w:rPr>
                <w:rFonts w:ascii="Times New Roman" w:hAnsi="Times New Roman"/>
                <w:noProof/>
                <w:spacing w:val="-6"/>
                <w:highlight w:val="yellow"/>
                <w:lang w:val="sk-SK"/>
              </w:rPr>
            </w:pPr>
            <w:r w:rsidRPr="00326E55">
              <w:rPr>
                <w:rFonts w:ascii="Times New Roman" w:hAnsi="Times New Roman"/>
                <w:noProof/>
                <w:spacing w:val="-6"/>
                <w:lang w:val="sk-SK"/>
              </w:rPr>
              <w:t>V prípade cieľa sa neberú do úvahy žiadne spoločnosti pôsobiace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odvetviach činnosti označených kódmi NACE 01, 08, 17, 19, 20, 22, 23, 24, 29, 30, 35, 38, 41, 42, 43, 49, 50</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51. </w:t>
            </w:r>
          </w:p>
        </w:tc>
      </w:tr>
    </w:tbl>
    <w:p w14:paraId="7005B2DF" w14:textId="77777777" w:rsidR="00BF03AA" w:rsidRPr="00326E55" w:rsidRDefault="00BF03AA">
      <w:pPr>
        <w:spacing w:before="120" w:after="120"/>
        <w:rPr>
          <w:rFonts w:ascii="Times New Roman" w:hAnsi="Times New Roman"/>
          <w:noProof/>
          <w:spacing w:val="-6"/>
          <w:lang w:val="sk-SK"/>
        </w:rPr>
        <w:sectPr w:rsidR="00BF03AA" w:rsidRPr="00326E55" w:rsidSect="005F11B9">
          <w:headerReference w:type="default" r:id="rId278"/>
          <w:footerReference w:type="default" r:id="rId279"/>
          <w:pgSz w:w="16839" w:h="11907" w:orient="landscape"/>
          <w:pgMar w:top="1440" w:right="1440" w:bottom="1440" w:left="1440" w:header="567" w:footer="567" w:gutter="0"/>
          <w:cols w:space="720"/>
          <w:docGrid w:linePitch="360"/>
        </w:sectPr>
      </w:pPr>
    </w:p>
    <w:p w14:paraId="5478DC90" w14:textId="3F65111B" w:rsidR="00BF03AA" w:rsidRPr="00326E55" w:rsidRDefault="00FB452D">
      <w:pPr>
        <w:pStyle w:val="P68B1DB1-Heading23"/>
        <w:ind w:left="1080"/>
        <w:rPr>
          <w:noProof/>
          <w:spacing w:val="-6"/>
          <w:lang w:val="sk-SK"/>
        </w:rPr>
      </w:pPr>
      <w:r w:rsidRPr="00326E55">
        <w:rPr>
          <w:noProof/>
          <w:spacing w:val="-6"/>
          <w:lang w:val="sk-SK"/>
        </w:rPr>
        <w:t>O. ÚLOHA 6 ZLOŽKA 1: Blízke siete, zariadenia</w:t>
      </w:r>
      <w:r w:rsidR="00326E55" w:rsidRPr="00326E55">
        <w:rPr>
          <w:noProof/>
          <w:spacing w:val="-6"/>
          <w:lang w:val="sk-SK"/>
        </w:rPr>
        <w:t xml:space="preserve"> a </w:t>
      </w:r>
      <w:r w:rsidRPr="00326E55">
        <w:rPr>
          <w:noProof/>
          <w:spacing w:val="-6"/>
          <w:lang w:val="sk-SK"/>
        </w:rPr>
        <w:t>telemedicína pre pomoc</w:t>
      </w:r>
      <w:r w:rsidR="00326E55" w:rsidRPr="00326E55">
        <w:rPr>
          <w:noProof/>
          <w:spacing w:val="-6"/>
          <w:lang w:val="sk-SK"/>
        </w:rPr>
        <w:t xml:space="preserve"> v </w:t>
      </w:r>
      <w:r w:rsidRPr="00326E55">
        <w:rPr>
          <w:noProof/>
          <w:spacing w:val="-6"/>
          <w:lang w:val="sk-SK"/>
        </w:rPr>
        <w:t>oblasti územnej zdravotnej starostlivosti</w:t>
      </w:r>
    </w:p>
    <w:p w14:paraId="48693E21" w14:textId="328CCB7B" w:rsidR="00326E55" w:rsidRPr="00326E55" w:rsidRDefault="00FB452D">
      <w:pPr>
        <w:pStyle w:val="P68B1DB1-Normal7"/>
        <w:spacing w:before="120"/>
        <w:jc w:val="both"/>
        <w:rPr>
          <w:noProof/>
          <w:spacing w:val="-6"/>
          <w:lang w:val="sk-SK"/>
        </w:rPr>
      </w:pPr>
      <w:r w:rsidRPr="00326E55">
        <w:rPr>
          <w:noProof/>
          <w:spacing w:val="-6"/>
          <w:lang w:val="sk-SK"/>
        </w:rPr>
        <w:t xml:space="preserve">Cieľom tejto zložky je posilniť taliansku štátnu zdravotnú službu (NHS) okrem iného posilnením ochrany pred zdravotnými </w:t>
      </w:r>
      <w:r w:rsidRPr="00326E55">
        <w:rPr>
          <w:noProof/>
          <w:spacing w:val="-6"/>
          <w:lang w:val="sk-SK"/>
        </w:rPr>
        <w:t>rizikami súvisiacimi so životným prostredím</w:t>
      </w:r>
      <w:r w:rsidR="00326E55" w:rsidRPr="00326E55">
        <w:rPr>
          <w:noProof/>
          <w:spacing w:val="-6"/>
          <w:lang w:val="sk-SK"/>
        </w:rPr>
        <w:t xml:space="preserve"> a </w:t>
      </w:r>
      <w:r w:rsidRPr="00326E55">
        <w:rPr>
          <w:noProof/>
          <w:spacing w:val="-6"/>
          <w:lang w:val="sk-SK"/>
        </w:rPr>
        <w:t>zmenou klímy</w:t>
      </w:r>
      <w:r w:rsidR="00326E55" w:rsidRPr="00326E55">
        <w:rPr>
          <w:noProof/>
          <w:spacing w:val="-6"/>
          <w:lang w:val="sk-SK"/>
        </w:rPr>
        <w:t xml:space="preserve"> a </w:t>
      </w:r>
      <w:r w:rsidRPr="00326E55">
        <w:rPr>
          <w:noProof/>
          <w:spacing w:val="-6"/>
          <w:lang w:val="sk-SK"/>
        </w:rPr>
        <w:t>lepšou reakciou na potreby komunít, pokiaľ ide</w:t>
      </w:r>
      <w:r w:rsidR="00326E55" w:rsidRPr="00326E55">
        <w:rPr>
          <w:noProof/>
          <w:spacing w:val="-6"/>
          <w:lang w:val="sk-SK"/>
        </w:rPr>
        <w:t xml:space="preserve"> o </w:t>
      </w:r>
      <w:r w:rsidRPr="00326E55">
        <w:rPr>
          <w:noProof/>
          <w:spacing w:val="-6"/>
          <w:lang w:val="sk-SK"/>
        </w:rPr>
        <w:t>miestnu starostlivosť</w:t>
      </w:r>
      <w:r w:rsidR="00326E55" w:rsidRPr="00326E55">
        <w:rPr>
          <w:noProof/>
          <w:spacing w:val="-6"/>
          <w:lang w:val="sk-SK"/>
        </w:rPr>
        <w:t xml:space="preserve"> a </w:t>
      </w:r>
      <w:r w:rsidRPr="00326E55">
        <w:rPr>
          <w:noProof/>
          <w:spacing w:val="-6"/>
          <w:lang w:val="sk-SK"/>
        </w:rPr>
        <w:t>pomoc. Miestna zdravotná pomoc je roztrieštená</w:t>
      </w:r>
      <w:r w:rsidR="00326E55" w:rsidRPr="00326E55">
        <w:rPr>
          <w:noProof/>
          <w:spacing w:val="-6"/>
          <w:lang w:val="sk-SK"/>
        </w:rPr>
        <w:t xml:space="preserve"> a </w:t>
      </w:r>
      <w:r w:rsidRPr="00326E55">
        <w:rPr>
          <w:noProof/>
          <w:spacing w:val="-6"/>
          <w:lang w:val="sk-SK"/>
        </w:rPr>
        <w:t>podlieha regionálnym rozdielom, ktoré vedú</w:t>
      </w:r>
      <w:r w:rsidR="00326E55" w:rsidRPr="00326E55">
        <w:rPr>
          <w:noProof/>
          <w:spacing w:val="-6"/>
          <w:lang w:val="sk-SK"/>
        </w:rPr>
        <w:t xml:space="preserve"> k </w:t>
      </w:r>
      <w:r w:rsidRPr="00326E55">
        <w:rPr>
          <w:noProof/>
          <w:spacing w:val="-6"/>
          <w:lang w:val="sk-SK"/>
        </w:rPr>
        <w:t>rôznym úrovniam poskytovania</w:t>
      </w:r>
      <w:r w:rsidRPr="00326E55">
        <w:rPr>
          <w:noProof/>
          <w:spacing w:val="-6"/>
          <w:lang w:val="sk-SK"/>
        </w:rPr>
        <w:t xml:space="preserve"> zdravotnej starostlivosti</w:t>
      </w:r>
      <w:r w:rsidR="00326E55" w:rsidRPr="00326E55">
        <w:rPr>
          <w:noProof/>
          <w:spacing w:val="-6"/>
          <w:lang w:val="sk-SK"/>
        </w:rPr>
        <w:t xml:space="preserve"> a </w:t>
      </w:r>
      <w:r w:rsidRPr="00326E55">
        <w:rPr>
          <w:noProof/>
          <w:spacing w:val="-6"/>
          <w:lang w:val="sk-SK"/>
        </w:rPr>
        <w:t>výsledkom</w:t>
      </w:r>
      <w:r w:rsidR="00326E55" w:rsidRPr="00326E55">
        <w:rPr>
          <w:noProof/>
          <w:spacing w:val="-6"/>
          <w:lang w:val="sk-SK"/>
        </w:rPr>
        <w:t xml:space="preserve"> v </w:t>
      </w:r>
      <w:r w:rsidRPr="00326E55">
        <w:rPr>
          <w:noProof/>
          <w:spacing w:val="-6"/>
          <w:lang w:val="sk-SK"/>
        </w:rPr>
        <w:t>oblasti zdravia</w:t>
      </w:r>
      <w:r w:rsidR="00326E55" w:rsidRPr="00326E55">
        <w:rPr>
          <w:noProof/>
          <w:spacing w:val="-6"/>
          <w:lang w:val="sk-SK"/>
        </w:rPr>
        <w:t xml:space="preserve"> v </w:t>
      </w:r>
      <w:r w:rsidRPr="00326E55">
        <w:rPr>
          <w:noProof/>
          <w:spacing w:val="-6"/>
          <w:lang w:val="sk-SK"/>
        </w:rPr>
        <w:t>jednotlivých regiónoch. Poskytovanie integrovaných služieb domácej starostlivosti sa považuje za nízke</w:t>
      </w:r>
      <w:r w:rsidR="00326E55" w:rsidRPr="00326E55">
        <w:rPr>
          <w:noProof/>
          <w:spacing w:val="-6"/>
          <w:lang w:val="sk-SK"/>
        </w:rPr>
        <w:t xml:space="preserve"> a </w:t>
      </w:r>
      <w:r w:rsidRPr="00326E55">
        <w:rPr>
          <w:noProof/>
          <w:spacing w:val="-6"/>
          <w:lang w:val="sk-SK"/>
        </w:rPr>
        <w:t>rôzni poskytovatelia zdravotnej</w:t>
      </w:r>
      <w:r w:rsidR="00326E55" w:rsidRPr="00326E55">
        <w:rPr>
          <w:noProof/>
          <w:spacing w:val="-6"/>
          <w:lang w:val="sk-SK"/>
        </w:rPr>
        <w:t xml:space="preserve"> a </w:t>
      </w:r>
      <w:r w:rsidRPr="00326E55">
        <w:rPr>
          <w:noProof/>
          <w:spacing w:val="-6"/>
          <w:lang w:val="sk-SK"/>
        </w:rPr>
        <w:t>sociálnej starostlivosti sa považujú len za slabo integrov</w:t>
      </w:r>
      <w:r w:rsidRPr="00326E55">
        <w:rPr>
          <w:noProof/>
          <w:spacing w:val="-6"/>
          <w:lang w:val="sk-SK"/>
        </w:rPr>
        <w:t>aných. Okrem toho schopnosť talianskej národnej zdravotnej služby (NHS) riešiť zdravotné riziká súvisiace</w:t>
      </w:r>
      <w:r w:rsidR="00326E55" w:rsidRPr="00326E55">
        <w:rPr>
          <w:noProof/>
          <w:spacing w:val="-6"/>
          <w:lang w:val="sk-SK"/>
        </w:rPr>
        <w:t xml:space="preserve"> s </w:t>
      </w:r>
      <w:r w:rsidRPr="00326E55">
        <w:rPr>
          <w:noProof/>
          <w:spacing w:val="-6"/>
          <w:lang w:val="sk-SK"/>
        </w:rPr>
        <w:t>vystavením životného prostredia</w:t>
      </w:r>
      <w:r w:rsidR="00326E55" w:rsidRPr="00326E55">
        <w:rPr>
          <w:noProof/>
          <w:spacing w:val="-6"/>
          <w:lang w:val="sk-SK"/>
        </w:rPr>
        <w:t xml:space="preserve"> a </w:t>
      </w:r>
      <w:r w:rsidRPr="00326E55">
        <w:rPr>
          <w:noProof/>
          <w:spacing w:val="-6"/>
          <w:lang w:val="sk-SK"/>
        </w:rPr>
        <w:t>zmenou klímy bola testovaná niekoľkými environmentálnymi krízami</w:t>
      </w:r>
      <w:r w:rsidR="00326E55" w:rsidRPr="00326E55">
        <w:rPr>
          <w:noProof/>
          <w:spacing w:val="-6"/>
          <w:lang w:val="sk-SK"/>
        </w:rPr>
        <w:t xml:space="preserve"> a </w:t>
      </w:r>
      <w:r w:rsidRPr="00326E55">
        <w:rPr>
          <w:noProof/>
          <w:spacing w:val="-6"/>
          <w:lang w:val="sk-SK"/>
        </w:rPr>
        <w:t xml:space="preserve">núdzovými situáciami, ktoré poukázali na výzvy </w:t>
      </w:r>
      <w:r w:rsidRPr="00326E55">
        <w:rPr>
          <w:noProof/>
          <w:spacing w:val="-6"/>
          <w:lang w:val="sk-SK"/>
        </w:rPr>
        <w:t>spôsobené nedostatkom dostatočných preventívnych opatrení. Cieľom tohto komponentu talianskeho plánu obnovy</w:t>
      </w:r>
      <w:r w:rsidR="00326E55" w:rsidRPr="00326E55">
        <w:rPr>
          <w:noProof/>
          <w:spacing w:val="-6"/>
          <w:lang w:val="sk-SK"/>
        </w:rPr>
        <w:t xml:space="preserve"> a </w:t>
      </w:r>
      <w:r w:rsidRPr="00326E55">
        <w:rPr>
          <w:noProof/>
          <w:spacing w:val="-6"/>
          <w:lang w:val="sk-SK"/>
        </w:rPr>
        <w:t>odolnosti je posilniť taliansku národnú zdravotnú službu (NHS) okrem iného posilnením ochrany pred zdravotnými rizikami súvisiacimi so životným pr</w:t>
      </w:r>
      <w:r w:rsidRPr="00326E55">
        <w:rPr>
          <w:noProof/>
          <w:spacing w:val="-6"/>
          <w:lang w:val="sk-SK"/>
        </w:rPr>
        <w:t>ostredím</w:t>
      </w:r>
      <w:r w:rsidR="00326E55" w:rsidRPr="00326E55">
        <w:rPr>
          <w:noProof/>
          <w:spacing w:val="-6"/>
          <w:lang w:val="sk-SK"/>
        </w:rPr>
        <w:t xml:space="preserve"> a </w:t>
      </w:r>
      <w:r w:rsidRPr="00326E55">
        <w:rPr>
          <w:noProof/>
          <w:spacing w:val="-6"/>
          <w:lang w:val="sk-SK"/>
        </w:rPr>
        <w:t>zmenou klímy</w:t>
      </w:r>
      <w:r w:rsidR="00326E55" w:rsidRPr="00326E55">
        <w:rPr>
          <w:noProof/>
          <w:spacing w:val="-6"/>
          <w:lang w:val="sk-SK"/>
        </w:rPr>
        <w:t xml:space="preserve"> a </w:t>
      </w:r>
      <w:r w:rsidRPr="00326E55">
        <w:rPr>
          <w:noProof/>
          <w:spacing w:val="-6"/>
          <w:lang w:val="sk-SK"/>
        </w:rPr>
        <w:t>lepšou reakciou na potreby komunít, pokiaľ ide</w:t>
      </w:r>
      <w:r w:rsidR="00326E55" w:rsidRPr="00326E55">
        <w:rPr>
          <w:noProof/>
          <w:spacing w:val="-6"/>
          <w:lang w:val="sk-SK"/>
        </w:rPr>
        <w:t xml:space="preserve"> o </w:t>
      </w:r>
      <w:r w:rsidRPr="00326E55">
        <w:rPr>
          <w:noProof/>
          <w:spacing w:val="-6"/>
          <w:lang w:val="sk-SK"/>
        </w:rPr>
        <w:t>miestnu starostlivosť</w:t>
      </w:r>
      <w:r w:rsidR="00326E55" w:rsidRPr="00326E55">
        <w:rPr>
          <w:noProof/>
          <w:spacing w:val="-6"/>
          <w:lang w:val="sk-SK"/>
        </w:rPr>
        <w:t xml:space="preserve"> a </w:t>
      </w:r>
      <w:r w:rsidRPr="00326E55">
        <w:rPr>
          <w:noProof/>
          <w:spacing w:val="-6"/>
          <w:lang w:val="sk-SK"/>
        </w:rPr>
        <w:t>pomoc</w:t>
      </w:r>
      <w:r w:rsidR="00326E55" w:rsidRPr="00326E55">
        <w:rPr>
          <w:noProof/>
          <w:spacing w:val="-6"/>
          <w:lang w:val="sk-SK"/>
        </w:rPr>
        <w:t>.</w:t>
      </w:r>
    </w:p>
    <w:p w14:paraId="42C68C86" w14:textId="6B626BC9" w:rsidR="00BF03AA" w:rsidRPr="00326E55" w:rsidRDefault="00FB452D">
      <w:pPr>
        <w:pStyle w:val="P68B1DB1-Normal7"/>
        <w:spacing w:before="120"/>
        <w:jc w:val="both"/>
        <w:rPr>
          <w:noProof/>
          <w:spacing w:val="-6"/>
          <w:lang w:val="sk-SK"/>
        </w:rPr>
      </w:pPr>
      <w:r w:rsidRPr="00326E55">
        <w:rPr>
          <w:noProof/>
          <w:spacing w:val="-6"/>
          <w:lang w:val="sk-SK"/>
        </w:rPr>
        <w:t>Investície</w:t>
      </w:r>
      <w:r w:rsidR="00326E55" w:rsidRPr="00326E55">
        <w:rPr>
          <w:noProof/>
          <w:spacing w:val="-6"/>
          <w:lang w:val="sk-SK"/>
        </w:rPr>
        <w:t xml:space="preserve"> a </w:t>
      </w:r>
      <w:r w:rsidRPr="00326E55">
        <w:rPr>
          <w:noProof/>
          <w:spacing w:val="-6"/>
          <w:lang w:val="sk-SK"/>
        </w:rPr>
        <w:t>reformy tohto komponentu prispievajú</w:t>
      </w:r>
      <w:r w:rsidR="00326E55" w:rsidRPr="00326E55">
        <w:rPr>
          <w:noProof/>
          <w:spacing w:val="-6"/>
          <w:lang w:val="sk-SK"/>
        </w:rPr>
        <w:t xml:space="preserve"> k </w:t>
      </w:r>
      <w:r w:rsidRPr="00326E55">
        <w:rPr>
          <w:noProof/>
          <w:spacing w:val="-6"/>
          <w:lang w:val="sk-SK"/>
        </w:rPr>
        <w:t>plneniu odporúčaní pre danú krajinu adresovaných Taliansku</w:t>
      </w:r>
      <w:r w:rsidR="00326E55" w:rsidRPr="00326E55">
        <w:rPr>
          <w:noProof/>
          <w:spacing w:val="-6"/>
          <w:lang w:val="sk-SK"/>
        </w:rPr>
        <w:t xml:space="preserve"> v </w:t>
      </w:r>
      <w:r w:rsidRPr="00326E55">
        <w:rPr>
          <w:noProof/>
          <w:spacing w:val="-6"/>
          <w:lang w:val="sk-SK"/>
        </w:rPr>
        <w:t>rokoch 2019</w:t>
      </w:r>
      <w:r w:rsidR="00326E55" w:rsidRPr="00326E55">
        <w:rPr>
          <w:noProof/>
          <w:spacing w:val="-6"/>
          <w:lang w:val="sk-SK"/>
        </w:rPr>
        <w:t xml:space="preserve"> a </w:t>
      </w:r>
      <w:r w:rsidRPr="00326E55">
        <w:rPr>
          <w:noProof/>
          <w:spacing w:val="-6"/>
          <w:lang w:val="sk-SK"/>
        </w:rPr>
        <w:t>2020, ktoré sa týkajú p</w:t>
      </w:r>
      <w:r w:rsidRPr="00326E55">
        <w:rPr>
          <w:noProof/>
          <w:spacing w:val="-6"/>
          <w:lang w:val="sk-SK"/>
        </w:rPr>
        <w:t>otreby</w:t>
      </w:r>
      <w:r w:rsidRPr="00326E55">
        <w:rPr>
          <w:noProof/>
          <w:color w:val="333333"/>
          <w:spacing w:val="-6"/>
          <w:lang w:val="sk-SK"/>
        </w:rPr>
        <w:t xml:space="preserve"> „zamerať hospodársku politiku súvisiacu</w:t>
      </w:r>
      <w:r w:rsidR="00326E55" w:rsidRPr="00326E55">
        <w:rPr>
          <w:noProof/>
          <w:color w:val="333333"/>
          <w:spacing w:val="-6"/>
          <w:lang w:val="sk-SK"/>
        </w:rPr>
        <w:t xml:space="preserve"> s </w:t>
      </w:r>
      <w:r w:rsidRPr="00326E55">
        <w:rPr>
          <w:noProof/>
          <w:color w:val="333333"/>
          <w:spacing w:val="-6"/>
          <w:lang w:val="sk-SK"/>
        </w:rPr>
        <w:t>investíciami na výskum</w:t>
      </w:r>
      <w:r w:rsidR="00326E55" w:rsidRPr="00326E55">
        <w:rPr>
          <w:noProof/>
          <w:color w:val="333333"/>
          <w:spacing w:val="-6"/>
          <w:lang w:val="sk-SK"/>
        </w:rPr>
        <w:t xml:space="preserve"> a </w:t>
      </w:r>
      <w:r w:rsidRPr="00326E55">
        <w:rPr>
          <w:noProof/>
          <w:color w:val="333333"/>
          <w:spacing w:val="-6"/>
          <w:lang w:val="sk-SK"/>
        </w:rPr>
        <w:t>inovácie</w:t>
      </w:r>
      <w:r w:rsidR="00326E55" w:rsidRPr="00326E55">
        <w:rPr>
          <w:noProof/>
          <w:color w:val="333333"/>
          <w:spacing w:val="-6"/>
          <w:lang w:val="sk-SK"/>
        </w:rPr>
        <w:t xml:space="preserve"> a </w:t>
      </w:r>
      <w:r w:rsidRPr="00326E55">
        <w:rPr>
          <w:noProof/>
          <w:color w:val="333333"/>
          <w:spacing w:val="-6"/>
          <w:lang w:val="sk-SK"/>
        </w:rPr>
        <w:t>kvalitu infraštruktúry</w:t>
      </w:r>
      <w:r w:rsidR="00326E55" w:rsidRPr="00326E55">
        <w:rPr>
          <w:noProof/>
          <w:color w:val="333333"/>
          <w:spacing w:val="-6"/>
          <w:lang w:val="sk-SK"/>
        </w:rPr>
        <w:t xml:space="preserve"> s </w:t>
      </w:r>
      <w:r w:rsidRPr="00326E55">
        <w:rPr>
          <w:noProof/>
          <w:color w:val="333333"/>
          <w:spacing w:val="-6"/>
          <w:lang w:val="sk-SK"/>
        </w:rPr>
        <w:t>prihliadnutím na regionálne rozdiely</w:t>
      </w:r>
      <w:r w:rsidRPr="00326E55">
        <w:rPr>
          <w:noProof/>
          <w:spacing w:val="-6"/>
          <w:lang w:val="sk-SK"/>
        </w:rPr>
        <w:t xml:space="preserve"> (odporúčanie pre danú krajinu </w:t>
      </w:r>
      <w:r w:rsidR="00326E55" w:rsidRPr="00326E55">
        <w:rPr>
          <w:noProof/>
          <w:spacing w:val="-6"/>
          <w:lang w:val="sk-SK"/>
        </w:rPr>
        <w:t>č. </w:t>
      </w:r>
      <w:r w:rsidRPr="00326E55">
        <w:rPr>
          <w:noProof/>
          <w:spacing w:val="-6"/>
          <w:lang w:val="sk-SK"/>
        </w:rPr>
        <w:t>3, 2019), posilniť odolnosť</w:t>
      </w:r>
      <w:r w:rsidR="00326E55" w:rsidRPr="00326E55">
        <w:rPr>
          <w:noProof/>
          <w:spacing w:val="-6"/>
          <w:lang w:val="sk-SK"/>
        </w:rPr>
        <w:t xml:space="preserve"> a </w:t>
      </w:r>
      <w:r w:rsidRPr="00326E55">
        <w:rPr>
          <w:noProof/>
          <w:spacing w:val="-6"/>
          <w:lang w:val="sk-SK"/>
        </w:rPr>
        <w:t>kapacitu systému zdravotnej starostlivosti</w:t>
      </w:r>
      <w:r w:rsidR="00326E55" w:rsidRPr="00326E55">
        <w:rPr>
          <w:noProof/>
          <w:spacing w:val="-6"/>
          <w:lang w:val="sk-SK"/>
        </w:rPr>
        <w:t xml:space="preserve"> v </w:t>
      </w:r>
      <w:r w:rsidRPr="00326E55">
        <w:rPr>
          <w:noProof/>
          <w:spacing w:val="-6"/>
          <w:lang w:val="sk-SK"/>
        </w:rPr>
        <w:t>oblasti zdravotníckych pracovníkov, kritických zdravotníckych výrobkov</w:t>
      </w:r>
      <w:r w:rsidR="00326E55" w:rsidRPr="00326E55">
        <w:rPr>
          <w:noProof/>
          <w:spacing w:val="-6"/>
          <w:lang w:val="sk-SK"/>
        </w:rPr>
        <w:t xml:space="preserve"> a </w:t>
      </w:r>
      <w:r w:rsidRPr="00326E55">
        <w:rPr>
          <w:noProof/>
          <w:spacing w:val="-6"/>
          <w:lang w:val="sk-SK"/>
        </w:rPr>
        <w:t xml:space="preserve">infraštruktúry“ (odporúčanie pre danú krajinu </w:t>
      </w:r>
      <w:r w:rsidR="00326E55" w:rsidRPr="00326E55">
        <w:rPr>
          <w:noProof/>
          <w:spacing w:val="-6"/>
          <w:lang w:val="sk-SK"/>
        </w:rPr>
        <w:t>č. </w:t>
      </w:r>
      <w:r w:rsidRPr="00326E55">
        <w:rPr>
          <w:noProof/>
          <w:spacing w:val="-6"/>
          <w:lang w:val="sk-SK"/>
        </w:rPr>
        <w:t>1, 2020)</w:t>
      </w:r>
      <w:r w:rsidR="00326E55" w:rsidRPr="00326E55">
        <w:rPr>
          <w:noProof/>
          <w:spacing w:val="-6"/>
          <w:lang w:val="sk-SK"/>
        </w:rPr>
        <w:t xml:space="preserve"> a </w:t>
      </w:r>
      <w:r w:rsidRPr="00326E55">
        <w:rPr>
          <w:noProof/>
          <w:spacing w:val="-6"/>
          <w:lang w:val="sk-SK"/>
        </w:rPr>
        <w:t>„zamerať investície na zelenú</w:t>
      </w:r>
      <w:r w:rsidR="00326E55" w:rsidRPr="00326E55">
        <w:rPr>
          <w:noProof/>
          <w:spacing w:val="-6"/>
          <w:lang w:val="sk-SK"/>
        </w:rPr>
        <w:t xml:space="preserve"> a </w:t>
      </w:r>
      <w:r w:rsidRPr="00326E55">
        <w:rPr>
          <w:noProof/>
          <w:spacing w:val="-6"/>
          <w:lang w:val="sk-SK"/>
        </w:rPr>
        <w:t>digitálnu transformáciu, najmä na [...] posilnenú digitálnu infraštruktúru</w:t>
      </w:r>
      <w:r w:rsidR="00326E55" w:rsidRPr="00326E55">
        <w:rPr>
          <w:noProof/>
          <w:spacing w:val="-6"/>
          <w:lang w:val="sk-SK"/>
        </w:rPr>
        <w:t xml:space="preserve"> s </w:t>
      </w:r>
      <w:r w:rsidRPr="00326E55">
        <w:rPr>
          <w:noProof/>
          <w:spacing w:val="-6"/>
          <w:lang w:val="sk-SK"/>
        </w:rPr>
        <w:t>cieľom zabezpe</w:t>
      </w:r>
      <w:r w:rsidRPr="00326E55">
        <w:rPr>
          <w:noProof/>
          <w:spacing w:val="-6"/>
          <w:lang w:val="sk-SK"/>
        </w:rPr>
        <w:t xml:space="preserve">čiť poskytovanie základných služieb“ (odporúčanie pre danú krajinu </w:t>
      </w:r>
      <w:r w:rsidR="00326E55" w:rsidRPr="00326E55">
        <w:rPr>
          <w:noProof/>
          <w:spacing w:val="-6"/>
          <w:lang w:val="sk-SK"/>
        </w:rPr>
        <w:t>č. </w:t>
      </w:r>
      <w:r w:rsidRPr="00326E55">
        <w:rPr>
          <w:noProof/>
          <w:spacing w:val="-6"/>
          <w:lang w:val="sk-SK"/>
        </w:rPr>
        <w:t>3, 2020).</w:t>
      </w:r>
    </w:p>
    <w:p w14:paraId="5609C499" w14:textId="77777777" w:rsidR="00BF03AA" w:rsidRPr="00326E55" w:rsidRDefault="00BF03AA">
      <w:pPr>
        <w:spacing w:before="120"/>
        <w:jc w:val="both"/>
        <w:rPr>
          <w:rFonts w:ascii="Times New Roman" w:hAnsi="Times New Roman" w:cs="Times New Roman"/>
          <w:noProof/>
          <w:spacing w:val="-6"/>
          <w:lang w:val="sk-SK"/>
        </w:rPr>
      </w:pPr>
    </w:p>
    <w:p w14:paraId="4FC80C34" w14:textId="4D96CCA1" w:rsidR="00BF03AA" w:rsidRPr="00326E55" w:rsidRDefault="00FB452D">
      <w:pPr>
        <w:pStyle w:val="P68B1DB1-Heading39"/>
        <w:ind w:left="850" w:hanging="850"/>
        <w:rPr>
          <w:b/>
          <w:bCs/>
          <w:i/>
          <w:iCs/>
          <w:noProof/>
          <w:color w:val="156082" w:themeColor="accent1"/>
          <w:spacing w:val="-6"/>
          <w:u w:val="single"/>
          <w:lang w:val="sk-SK"/>
        </w:rPr>
      </w:pPr>
      <w:r w:rsidRPr="00326E55">
        <w:rPr>
          <w:b/>
          <w:noProof/>
          <w:spacing w:val="-6"/>
          <w:u w:val="single"/>
          <w:lang w:val="sk-SK"/>
        </w:rPr>
        <w:t xml:space="preserve">O.1.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nenávratnej finančnej podpory</w:t>
      </w:r>
    </w:p>
    <w:p w14:paraId="488912F0" w14:textId="77777777" w:rsidR="00BF03AA" w:rsidRPr="00326E55" w:rsidRDefault="00FB452D">
      <w:pPr>
        <w:pStyle w:val="P68B1DB1-Normal26"/>
        <w:spacing w:before="120" w:after="120"/>
        <w:jc w:val="both"/>
        <w:rPr>
          <w:noProof/>
          <w:spacing w:val="-6"/>
          <w:lang w:val="sk-SK"/>
        </w:rPr>
      </w:pPr>
      <w:r w:rsidRPr="00326E55">
        <w:rPr>
          <w:noProof/>
          <w:spacing w:val="-6"/>
          <w:lang w:val="sk-SK"/>
        </w:rPr>
        <w:t>NEUVEDENÉ</w:t>
      </w:r>
    </w:p>
    <w:p w14:paraId="4DA8582E" w14:textId="78DBB98B"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O.2.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 pre nenávratnú fina</w:t>
      </w:r>
      <w:r w:rsidRPr="00326E55">
        <w:rPr>
          <w:b/>
          <w:noProof/>
          <w:spacing w:val="-6"/>
          <w:u w:val="single"/>
          <w:lang w:val="sk-SK"/>
        </w:rPr>
        <w:t>nčnú podporu</w:t>
      </w:r>
    </w:p>
    <w:p w14:paraId="4E4BB221" w14:textId="77777777" w:rsidR="00BF03AA" w:rsidRPr="00326E55" w:rsidRDefault="00FB452D">
      <w:pPr>
        <w:pStyle w:val="P68B1DB1-Normal26"/>
        <w:spacing w:before="120" w:after="120"/>
        <w:jc w:val="both"/>
        <w:rPr>
          <w:noProof/>
          <w:spacing w:val="-6"/>
          <w:lang w:val="sk-SK"/>
        </w:rPr>
      </w:pPr>
      <w:r w:rsidRPr="00326E55">
        <w:rPr>
          <w:noProof/>
          <w:spacing w:val="-6"/>
          <w:lang w:val="sk-SK"/>
        </w:rPr>
        <w:t>NEUVEDENÉ</w:t>
      </w:r>
    </w:p>
    <w:p w14:paraId="48FD7886" w14:textId="77777777" w:rsidR="00BF03AA" w:rsidRPr="00326E55" w:rsidRDefault="00FB452D">
      <w:pPr>
        <w:pStyle w:val="P68B1DB1-Normal7"/>
        <w:spacing w:after="200" w:line="276" w:lineRule="auto"/>
        <w:rPr>
          <w:noProof/>
          <w:spacing w:val="-6"/>
          <w:lang w:val="sk-SK"/>
        </w:rPr>
      </w:pPr>
      <w:r w:rsidRPr="00326E55">
        <w:rPr>
          <w:noProof/>
          <w:spacing w:val="-6"/>
          <w:lang w:val="sk-SK"/>
        </w:rPr>
        <w:br w:type="page"/>
      </w:r>
    </w:p>
    <w:p w14:paraId="7CB51C83" w14:textId="77777777" w:rsidR="00326E55" w:rsidRPr="00326E55" w:rsidRDefault="00FB452D">
      <w:pPr>
        <w:pStyle w:val="P68B1DB1-Heading39"/>
        <w:numPr>
          <w:ilvl w:val="2"/>
          <w:numId w:val="0"/>
        </w:numPr>
        <w:ind w:left="850" w:hanging="850"/>
        <w:rPr>
          <w:b/>
          <w:noProof/>
          <w:spacing w:val="-6"/>
          <w:u w:val="single"/>
          <w:lang w:val="sk-SK"/>
        </w:rPr>
      </w:pPr>
      <w:r w:rsidRPr="00326E55">
        <w:rPr>
          <w:b/>
          <w:noProof/>
          <w:spacing w:val="-6"/>
          <w:u w:val="single"/>
          <w:lang w:val="sk-SK"/>
        </w:rPr>
        <w:t xml:space="preserve">O.3.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53E67864" w14:textId="1464DE69"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Reforma 1: Vymedzenie nového organizačného modelu siete územnej zdravotnej pomoci.</w:t>
      </w:r>
    </w:p>
    <w:p w14:paraId="4BA5700A" w14:textId="19BEF83E"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 xml:space="preserve">Reforma predstavuje prípravný prvok pre investície komponentu. Vytvorí nový model </w:t>
      </w:r>
      <w:r w:rsidRPr="00326E55">
        <w:rPr>
          <w:noProof/>
          <w:spacing w:val="-6"/>
          <w:lang w:val="sk-SK"/>
        </w:rPr>
        <w:t>územnej zdravotnej pomoci</w:t>
      </w:r>
      <w:r w:rsidR="00326E55" w:rsidRPr="00326E55">
        <w:rPr>
          <w:noProof/>
          <w:spacing w:val="-6"/>
          <w:lang w:val="sk-SK"/>
        </w:rPr>
        <w:t xml:space="preserve"> a </w:t>
      </w:r>
      <w:r w:rsidRPr="00326E55">
        <w:rPr>
          <w:noProof/>
          <w:spacing w:val="-6"/>
          <w:lang w:val="sk-SK"/>
        </w:rPr>
        <w:t>vytvorí novú inštitucionálnu štruktúru prevencie zdravia, životného prostredia</w:t>
      </w:r>
      <w:r w:rsidR="00326E55" w:rsidRPr="00326E55">
        <w:rPr>
          <w:noProof/>
          <w:spacing w:val="-6"/>
          <w:lang w:val="sk-SK"/>
        </w:rPr>
        <w:t xml:space="preserve"> a </w:t>
      </w:r>
      <w:r w:rsidRPr="00326E55">
        <w:rPr>
          <w:noProof/>
          <w:spacing w:val="-6"/>
          <w:lang w:val="sk-SK"/>
        </w:rPr>
        <w:t>klímy. To sa dosiahne prostredníctvom:</w:t>
      </w:r>
    </w:p>
    <w:p w14:paraId="24C81610" w14:textId="73845BA0" w:rsidR="00BF03AA" w:rsidRPr="00326E55" w:rsidRDefault="00FB452D">
      <w:pPr>
        <w:pStyle w:val="P68B1DB1-Normal7"/>
        <w:numPr>
          <w:ilvl w:val="0"/>
          <w:numId w:val="48"/>
        </w:numPr>
        <w:spacing w:before="120" w:after="120" w:line="240" w:lineRule="auto"/>
        <w:ind w:left="360"/>
        <w:jc w:val="both"/>
        <w:rPr>
          <w:noProof/>
          <w:spacing w:val="-6"/>
          <w:lang w:val="sk-SK"/>
        </w:rPr>
      </w:pPr>
      <w:r w:rsidRPr="00326E55">
        <w:rPr>
          <w:noProof/>
          <w:spacing w:val="-6"/>
          <w:lang w:val="sk-SK"/>
        </w:rPr>
        <w:t>Vytvorenie nového organizačného modelu siete územnej zdravotnej pomoci prostredníctvom vymedzenia regulačnéh</w:t>
      </w:r>
      <w:r w:rsidRPr="00326E55">
        <w:rPr>
          <w:noProof/>
          <w:spacing w:val="-6"/>
          <w:lang w:val="sk-SK"/>
        </w:rPr>
        <w:t>o rámca,</w:t>
      </w:r>
      <w:r w:rsidR="00326E55" w:rsidRPr="00326E55">
        <w:rPr>
          <w:noProof/>
          <w:spacing w:val="-6"/>
          <w:lang w:val="sk-SK"/>
        </w:rPr>
        <w:t xml:space="preserve"> v </w:t>
      </w:r>
      <w:r w:rsidRPr="00326E55">
        <w:rPr>
          <w:noProof/>
          <w:spacing w:val="-6"/>
          <w:lang w:val="sk-SK"/>
        </w:rPr>
        <w:t>ktorom sa určia štrukturálne, technologické</w:t>
      </w:r>
      <w:r w:rsidR="00326E55" w:rsidRPr="00326E55">
        <w:rPr>
          <w:noProof/>
          <w:spacing w:val="-6"/>
          <w:lang w:val="sk-SK"/>
        </w:rPr>
        <w:t xml:space="preserve"> a </w:t>
      </w:r>
      <w:r w:rsidRPr="00326E55">
        <w:rPr>
          <w:noProof/>
          <w:spacing w:val="-6"/>
          <w:lang w:val="sk-SK"/>
        </w:rPr>
        <w:t>organizačné normy.</w:t>
      </w:r>
    </w:p>
    <w:p w14:paraId="2B0322E7" w14:textId="1650D581" w:rsidR="00BF03AA" w:rsidRPr="00326E55" w:rsidRDefault="00FB452D">
      <w:pPr>
        <w:pStyle w:val="P68B1DB1-Normal7"/>
        <w:numPr>
          <w:ilvl w:val="0"/>
          <w:numId w:val="48"/>
        </w:numPr>
        <w:spacing w:before="120" w:after="120" w:line="240" w:lineRule="auto"/>
        <w:ind w:left="360"/>
        <w:jc w:val="both"/>
        <w:rPr>
          <w:noProof/>
          <w:spacing w:val="-6"/>
          <w:lang w:val="sk-SK"/>
        </w:rPr>
      </w:pPr>
      <w:r w:rsidRPr="00326E55">
        <w:rPr>
          <w:noProof/>
          <w:spacing w:val="-6"/>
          <w:lang w:val="sk-SK"/>
        </w:rPr>
        <w:t>Vymedzenie novej inštitucionálnej štruktúry prevencie zdravia, životného prostredia</w:t>
      </w:r>
      <w:r w:rsidR="00326E55" w:rsidRPr="00326E55">
        <w:rPr>
          <w:noProof/>
          <w:spacing w:val="-6"/>
          <w:lang w:val="sk-SK"/>
        </w:rPr>
        <w:t xml:space="preserve"> a </w:t>
      </w:r>
      <w:r w:rsidRPr="00326E55">
        <w:rPr>
          <w:noProof/>
          <w:spacing w:val="-6"/>
          <w:lang w:val="sk-SK"/>
        </w:rPr>
        <w:t>klímy na základe integrovaného prístupu („jedno zdravie“)</w:t>
      </w:r>
      <w:r w:rsidR="00326E55" w:rsidRPr="00326E55">
        <w:rPr>
          <w:noProof/>
          <w:spacing w:val="-6"/>
          <w:lang w:val="sk-SK"/>
        </w:rPr>
        <w:t xml:space="preserve"> a </w:t>
      </w:r>
      <w:r w:rsidRPr="00326E55">
        <w:rPr>
          <w:noProof/>
          <w:spacing w:val="-6"/>
          <w:lang w:val="sk-SK"/>
        </w:rPr>
        <w:t>holistickej vízie („Planetárne zdr</w:t>
      </w:r>
      <w:r w:rsidRPr="00326E55">
        <w:rPr>
          <w:noProof/>
          <w:spacing w:val="-6"/>
          <w:lang w:val="sk-SK"/>
        </w:rPr>
        <w:t>avie“).</w:t>
      </w:r>
    </w:p>
    <w:p w14:paraId="325ECF83" w14:textId="77777777"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1.1: Komunitné zdravotnícke domy na zlepšenie územnej zdravotnej pomoci.</w:t>
      </w:r>
    </w:p>
    <w:p w14:paraId="63C58857" w14:textId="77777777" w:rsidR="00326E55" w:rsidRPr="00326E55" w:rsidRDefault="00FB452D">
      <w:pPr>
        <w:pStyle w:val="P68B1DB1-Normal7"/>
        <w:spacing w:before="120" w:after="120"/>
        <w:jc w:val="both"/>
        <w:rPr>
          <w:noProof/>
          <w:spacing w:val="-6"/>
          <w:lang w:val="sk-SK"/>
        </w:rPr>
      </w:pPr>
      <w:r w:rsidRPr="00326E55">
        <w:rPr>
          <w:noProof/>
          <w:spacing w:val="-6"/>
          <w:lang w:val="sk-SK"/>
        </w:rPr>
        <w:t>Cieľom opatrenia je zriadiť komunitné zdravotnícke domy</w:t>
      </w:r>
      <w:r w:rsidR="00326E55" w:rsidRPr="00326E55">
        <w:rPr>
          <w:noProof/>
          <w:spacing w:val="-6"/>
          <w:lang w:val="sk-SK"/>
        </w:rPr>
        <w:t>.</w:t>
      </w:r>
    </w:p>
    <w:p w14:paraId="40A10F79" w14:textId="58FA8E5B" w:rsidR="00BF03AA" w:rsidRPr="00326E55" w:rsidRDefault="00FB452D">
      <w:pPr>
        <w:pStyle w:val="P68B1DB1-Normal7"/>
        <w:spacing w:before="120" w:after="120"/>
        <w:jc w:val="both"/>
        <w:rPr>
          <w:rFonts w:eastAsia="Calibri"/>
          <w:noProof/>
          <w:spacing w:val="-6"/>
          <w:lang w:val="sk-SK"/>
        </w:rPr>
      </w:pPr>
      <w:r w:rsidRPr="00326E55">
        <w:rPr>
          <w:noProof/>
          <w:spacing w:val="-6"/>
          <w:lang w:val="sk-SK"/>
        </w:rPr>
        <w:t>Investícia pozostáva</w:t>
      </w:r>
      <w:r w:rsidR="00326E55" w:rsidRPr="00326E55">
        <w:rPr>
          <w:noProof/>
          <w:spacing w:val="-6"/>
          <w:lang w:val="sk-SK"/>
        </w:rPr>
        <w:t xml:space="preserve"> z </w:t>
      </w:r>
      <w:r w:rsidRPr="00326E55">
        <w:rPr>
          <w:noProof/>
          <w:spacing w:val="-6"/>
          <w:lang w:val="sk-SK"/>
        </w:rPr>
        <w:t>aktivácie</w:t>
      </w:r>
      <w:r w:rsidR="00326E55" w:rsidRPr="00326E55">
        <w:rPr>
          <w:noProof/>
          <w:spacing w:val="-6"/>
          <w:lang w:val="sk-SK"/>
        </w:rPr>
        <w:t xml:space="preserve"> a </w:t>
      </w:r>
      <w:r w:rsidRPr="00326E55">
        <w:rPr>
          <w:noProof/>
          <w:spacing w:val="-6"/>
          <w:lang w:val="sk-SK"/>
        </w:rPr>
        <w:t>agregácie služieb primárnej starostlivosti, ako aj</w:t>
      </w:r>
      <w:r w:rsidR="00326E55" w:rsidRPr="00326E55">
        <w:rPr>
          <w:noProof/>
          <w:spacing w:val="-6"/>
          <w:lang w:val="sk-SK"/>
        </w:rPr>
        <w:t xml:space="preserve"> z </w:t>
      </w:r>
      <w:r w:rsidRPr="00326E55">
        <w:rPr>
          <w:noProof/>
          <w:spacing w:val="-6"/>
          <w:lang w:val="sk-SK"/>
        </w:rPr>
        <w:t>vytvorenia (energet</w:t>
      </w:r>
      <w:r w:rsidRPr="00326E55">
        <w:rPr>
          <w:noProof/>
          <w:spacing w:val="-6"/>
          <w:lang w:val="sk-SK"/>
        </w:rPr>
        <w:t>icky efektívnych) stredísk poskytovania pomoci pre integrovanú reakciu na potreby starostlivosti.</w:t>
      </w:r>
    </w:p>
    <w:p w14:paraId="7DDB7E61" w14:textId="2EC83092" w:rsidR="00BF03AA" w:rsidRPr="00326E55" w:rsidRDefault="00FB452D">
      <w:pPr>
        <w:pStyle w:val="P68B1DB1-Normal5"/>
        <w:spacing w:before="120" w:after="120"/>
        <w:jc w:val="both"/>
        <w:rPr>
          <w:rFonts w:eastAsia="Calibri"/>
          <w:bCs/>
          <w:noProof/>
          <w:spacing w:val="-6"/>
          <w:lang w:val="sk-SK"/>
        </w:rPr>
      </w:pPr>
      <w:r w:rsidRPr="00326E55">
        <w:rPr>
          <w:noProof/>
          <w:spacing w:val="-6"/>
          <w:lang w:val="sk-SK"/>
        </w:rPr>
        <w:t>Investícia 1.2: Domov ako prvé miesto starostlivosti</w:t>
      </w:r>
      <w:r w:rsidR="00326E55" w:rsidRPr="00326E55">
        <w:rPr>
          <w:noProof/>
          <w:spacing w:val="-6"/>
          <w:lang w:val="sk-SK"/>
        </w:rPr>
        <w:t xml:space="preserve"> a </w:t>
      </w:r>
      <w:r w:rsidRPr="00326E55">
        <w:rPr>
          <w:noProof/>
          <w:spacing w:val="-6"/>
          <w:lang w:val="sk-SK"/>
        </w:rPr>
        <w:t>telemedicíny</w:t>
      </w:r>
    </w:p>
    <w:p w14:paraId="73A22D70" w14:textId="07D466F0" w:rsidR="00326E55" w:rsidRPr="00326E55" w:rsidRDefault="00FB452D">
      <w:pPr>
        <w:pStyle w:val="P68B1DB1-Normal7"/>
        <w:spacing w:before="120" w:after="120"/>
        <w:jc w:val="both"/>
        <w:rPr>
          <w:noProof/>
          <w:spacing w:val="-6"/>
          <w:lang w:val="sk-SK"/>
        </w:rPr>
      </w:pPr>
      <w:r w:rsidRPr="00326E55">
        <w:rPr>
          <w:noProof/>
          <w:spacing w:val="-6"/>
          <w:lang w:val="sk-SK"/>
        </w:rPr>
        <w:t>Cieľom opatrenia je podporiť domácu starostlivosť</w:t>
      </w:r>
      <w:r w:rsidR="00326E55" w:rsidRPr="00326E55">
        <w:rPr>
          <w:noProof/>
          <w:spacing w:val="-6"/>
          <w:lang w:val="sk-SK"/>
        </w:rPr>
        <w:t xml:space="preserve"> a </w:t>
      </w:r>
      <w:r w:rsidRPr="00326E55">
        <w:rPr>
          <w:noProof/>
          <w:spacing w:val="-6"/>
          <w:lang w:val="sk-SK"/>
        </w:rPr>
        <w:t xml:space="preserve">rozsiahle zavádzanie telemedicínskych </w:t>
      </w:r>
      <w:r w:rsidRPr="00326E55">
        <w:rPr>
          <w:noProof/>
          <w:spacing w:val="-6"/>
          <w:lang w:val="sk-SK"/>
        </w:rPr>
        <w:t>riešení</w:t>
      </w:r>
      <w:r w:rsidR="00326E55" w:rsidRPr="00326E55">
        <w:rPr>
          <w:noProof/>
          <w:spacing w:val="-6"/>
          <w:lang w:val="sk-SK"/>
        </w:rPr>
        <w:t xml:space="preserve"> a </w:t>
      </w:r>
      <w:r w:rsidRPr="00326E55">
        <w:rPr>
          <w:noProof/>
          <w:spacing w:val="-6"/>
          <w:lang w:val="sk-SK"/>
        </w:rPr>
        <w:t>podporiť inovácie</w:t>
      </w:r>
      <w:r w:rsidR="00326E55" w:rsidRPr="00326E55">
        <w:rPr>
          <w:noProof/>
          <w:spacing w:val="-6"/>
          <w:lang w:val="sk-SK"/>
        </w:rPr>
        <w:t xml:space="preserve"> v </w:t>
      </w:r>
      <w:r w:rsidRPr="00326E55">
        <w:rPr>
          <w:noProof/>
          <w:spacing w:val="-6"/>
          <w:lang w:val="sk-SK"/>
        </w:rPr>
        <w:t>oblasti zdravotnej starostlivosti</w:t>
      </w:r>
      <w:r w:rsidR="00326E55" w:rsidRPr="00326E55">
        <w:rPr>
          <w:noProof/>
          <w:spacing w:val="-6"/>
          <w:lang w:val="sk-SK"/>
        </w:rPr>
        <w:t>.</w:t>
      </w:r>
    </w:p>
    <w:p w14:paraId="67553074" w14:textId="44CDD53C" w:rsidR="00BF03AA" w:rsidRPr="00326E55" w:rsidRDefault="00FB452D">
      <w:pPr>
        <w:pStyle w:val="P68B1DB1-Normal7"/>
        <w:spacing w:before="120" w:after="120"/>
        <w:jc w:val="both"/>
        <w:rPr>
          <w:noProof/>
          <w:spacing w:val="-6"/>
          <w:lang w:val="sk-SK"/>
        </w:rPr>
      </w:pPr>
      <w:r w:rsidRPr="00326E55">
        <w:rPr>
          <w:noProof/>
          <w:spacing w:val="-6"/>
          <w:lang w:val="sk-SK"/>
        </w:rPr>
        <w:t>Investícia pozostáva</w:t>
      </w:r>
      <w:r w:rsidR="00326E55" w:rsidRPr="00326E55">
        <w:rPr>
          <w:noProof/>
          <w:spacing w:val="-6"/>
          <w:lang w:val="sk-SK"/>
        </w:rPr>
        <w:t xml:space="preserve"> z </w:t>
      </w:r>
      <w:r w:rsidRPr="00326E55">
        <w:rPr>
          <w:noProof/>
          <w:spacing w:val="-6"/>
          <w:lang w:val="sk-SK"/>
        </w:rPr>
        <w:t>hardvéru</w:t>
      </w:r>
      <w:r w:rsidR="00326E55" w:rsidRPr="00326E55">
        <w:rPr>
          <w:noProof/>
          <w:spacing w:val="-6"/>
          <w:lang w:val="sk-SK"/>
        </w:rPr>
        <w:t xml:space="preserve"> a </w:t>
      </w:r>
      <w:r w:rsidRPr="00326E55">
        <w:rPr>
          <w:noProof/>
          <w:spacing w:val="-6"/>
          <w:lang w:val="sk-SK"/>
        </w:rPr>
        <w:t>zvýšeného poskytovania služieb, zriadenia územných koordinačných centier („CentraliOperae Territoriali“), financovania projektov diagnostiky</w:t>
      </w:r>
      <w:r w:rsidR="00326E55" w:rsidRPr="00326E55">
        <w:rPr>
          <w:noProof/>
          <w:spacing w:val="-6"/>
          <w:lang w:val="sk-SK"/>
        </w:rPr>
        <w:t xml:space="preserve"> a </w:t>
      </w:r>
      <w:r w:rsidRPr="00326E55">
        <w:rPr>
          <w:noProof/>
          <w:spacing w:val="-6"/>
          <w:lang w:val="sk-SK"/>
        </w:rPr>
        <w:t>monitorovania,</w:t>
      </w:r>
      <w:r w:rsidRPr="00326E55">
        <w:rPr>
          <w:noProof/>
          <w:spacing w:val="-6"/>
          <w:lang w:val="sk-SK"/>
        </w:rPr>
        <w:t xml:space="preserve"> vytvorenia národnej platformy na skríning projektov telemedicíny</w:t>
      </w:r>
      <w:r w:rsidR="00326E55" w:rsidRPr="00326E55">
        <w:rPr>
          <w:noProof/>
          <w:spacing w:val="-6"/>
          <w:lang w:val="sk-SK"/>
        </w:rPr>
        <w:t xml:space="preserve"> a </w:t>
      </w:r>
      <w:r w:rsidRPr="00326E55">
        <w:rPr>
          <w:noProof/>
          <w:spacing w:val="-6"/>
          <w:lang w:val="sk-SK"/>
        </w:rPr>
        <w:t>ad hoc výskumných iniciatív</w:t>
      </w:r>
      <w:r w:rsidR="00326E55" w:rsidRPr="00326E55">
        <w:rPr>
          <w:noProof/>
          <w:spacing w:val="-6"/>
          <w:lang w:val="sk-SK"/>
        </w:rPr>
        <w:t xml:space="preserve"> v </w:t>
      </w:r>
      <w:r w:rsidRPr="00326E55">
        <w:rPr>
          <w:noProof/>
          <w:spacing w:val="-6"/>
          <w:lang w:val="sk-SK"/>
        </w:rPr>
        <w:t>oblasti digitálnych technológií zdravotnej</w:t>
      </w:r>
      <w:r w:rsidR="00326E55" w:rsidRPr="00326E55">
        <w:rPr>
          <w:noProof/>
          <w:spacing w:val="-6"/>
          <w:lang w:val="sk-SK"/>
        </w:rPr>
        <w:t xml:space="preserve"> a </w:t>
      </w:r>
      <w:r w:rsidRPr="00326E55">
        <w:rPr>
          <w:noProof/>
          <w:spacing w:val="-6"/>
          <w:lang w:val="sk-SK"/>
        </w:rPr>
        <w:t>inej starostlivosti.</w:t>
      </w:r>
    </w:p>
    <w:p w14:paraId="4A30AF80" w14:textId="18F23ED6" w:rsidR="00BF03AA" w:rsidRPr="00326E55" w:rsidRDefault="00FB452D">
      <w:pPr>
        <w:pStyle w:val="P68B1DB1-Normal5"/>
        <w:spacing w:before="120" w:after="120"/>
        <w:jc w:val="both"/>
        <w:rPr>
          <w:rFonts w:eastAsia="Calibri"/>
          <w:noProof/>
          <w:spacing w:val="-6"/>
          <w:lang w:val="sk-SK"/>
        </w:rPr>
      </w:pPr>
      <w:r w:rsidRPr="00326E55">
        <w:rPr>
          <w:noProof/>
          <w:spacing w:val="-6"/>
          <w:lang w:val="sk-SK"/>
        </w:rPr>
        <w:t>Investícia 1.3: Posilnenie strednej zdravotnej starostlivosti</w:t>
      </w:r>
      <w:r w:rsidR="00326E55" w:rsidRPr="00326E55">
        <w:rPr>
          <w:noProof/>
          <w:spacing w:val="-6"/>
          <w:lang w:val="sk-SK"/>
        </w:rPr>
        <w:t xml:space="preserve"> a </w:t>
      </w:r>
      <w:r w:rsidRPr="00326E55">
        <w:rPr>
          <w:noProof/>
          <w:spacing w:val="-6"/>
          <w:lang w:val="sk-SK"/>
        </w:rPr>
        <w:t>jej zariadení (komunitné nem</w:t>
      </w:r>
      <w:r w:rsidRPr="00326E55">
        <w:rPr>
          <w:noProof/>
          <w:spacing w:val="-6"/>
          <w:lang w:val="sk-SK"/>
        </w:rPr>
        <w:t>ocnice)</w:t>
      </w:r>
    </w:p>
    <w:p w14:paraId="48C9A7C7" w14:textId="77777777" w:rsidR="00BF03AA" w:rsidRPr="00326E55" w:rsidRDefault="00FB452D">
      <w:pPr>
        <w:pStyle w:val="P68B1DB1-Normal7"/>
        <w:spacing w:before="120" w:after="120"/>
        <w:jc w:val="both"/>
        <w:rPr>
          <w:noProof/>
          <w:spacing w:val="-6"/>
          <w:lang w:val="sk-SK"/>
        </w:rPr>
      </w:pPr>
      <w:r w:rsidRPr="00326E55">
        <w:rPr>
          <w:noProof/>
          <w:spacing w:val="-6"/>
          <w:lang w:val="sk-SK"/>
        </w:rPr>
        <w:t>Cieľom opatrenia je zvýšiť počet sprostredkovateľských zdravotníckych zariadení.</w:t>
      </w:r>
    </w:p>
    <w:p w14:paraId="7B3654CE" w14:textId="2730B482" w:rsidR="00BF03AA" w:rsidRPr="00326E55" w:rsidRDefault="00FB452D">
      <w:pPr>
        <w:pStyle w:val="P68B1DB1-Normal7"/>
        <w:spacing w:before="120" w:after="120"/>
        <w:jc w:val="both"/>
        <w:rPr>
          <w:noProof/>
          <w:spacing w:val="-6"/>
          <w:lang w:val="sk-SK"/>
        </w:rPr>
        <w:sectPr w:rsidR="00BF03AA" w:rsidRPr="00326E55" w:rsidSect="00726CF9">
          <w:headerReference w:type="even" r:id="rId280"/>
          <w:headerReference w:type="default" r:id="rId281"/>
          <w:footerReference w:type="even" r:id="rId282"/>
          <w:footerReference w:type="default" r:id="rId283"/>
          <w:headerReference w:type="first" r:id="rId284"/>
          <w:footerReference w:type="first" r:id="rId285"/>
          <w:pgSz w:w="11906" w:h="16838"/>
          <w:pgMar w:top="1440" w:right="1440" w:bottom="1440" w:left="1440" w:header="708" w:footer="708" w:gutter="0"/>
          <w:cols w:space="708"/>
          <w:docGrid w:linePitch="360"/>
        </w:sectPr>
      </w:pPr>
      <w:r w:rsidRPr="00326E55">
        <w:rPr>
          <w:noProof/>
          <w:spacing w:val="-6"/>
          <w:lang w:val="sk-SK"/>
        </w:rPr>
        <w:t>Investícia pozostáva</w:t>
      </w:r>
      <w:r w:rsidR="00326E55" w:rsidRPr="00326E55">
        <w:rPr>
          <w:noProof/>
          <w:spacing w:val="-6"/>
          <w:lang w:val="sk-SK"/>
        </w:rPr>
        <w:t xml:space="preserve"> z </w:t>
      </w:r>
      <w:r w:rsidRPr="00326E55">
        <w:rPr>
          <w:noProof/>
          <w:spacing w:val="-6"/>
          <w:lang w:val="sk-SK"/>
        </w:rPr>
        <w:t>vytvorenia komunitných nemocníc</w:t>
      </w:r>
      <w:r w:rsidR="00326E55" w:rsidRPr="00326E55">
        <w:rPr>
          <w:noProof/>
          <w:spacing w:val="-6"/>
          <w:lang w:val="sk-SK"/>
        </w:rPr>
        <w:t xml:space="preserve"> a </w:t>
      </w:r>
      <w:r w:rsidRPr="00326E55">
        <w:rPr>
          <w:noProof/>
          <w:spacing w:val="-6"/>
          <w:lang w:val="sk-SK"/>
        </w:rPr>
        <w:t>zdravotníckych zariadení pre pacientov, ktorí si po epiz</w:t>
      </w:r>
      <w:r w:rsidRPr="00326E55">
        <w:rPr>
          <w:noProof/>
          <w:spacing w:val="-6"/>
          <w:lang w:val="sk-SK"/>
        </w:rPr>
        <w:t>óde malej ostrosti alebo recidíve chronických ochorení vyžadujú nízku intenzitu</w:t>
      </w:r>
      <w:r w:rsidR="00326E55" w:rsidRPr="00326E55">
        <w:rPr>
          <w:noProof/>
          <w:spacing w:val="-6"/>
          <w:lang w:val="sk-SK"/>
        </w:rPr>
        <w:t xml:space="preserve"> a </w:t>
      </w:r>
      <w:r w:rsidRPr="00326E55">
        <w:rPr>
          <w:noProof/>
          <w:spacing w:val="-6"/>
          <w:lang w:val="sk-SK"/>
        </w:rPr>
        <w:t>krátkodobé klinické intervencie.</w:t>
      </w:r>
    </w:p>
    <w:p w14:paraId="6E606908" w14:textId="6F2097EC"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O.4.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 xml:space="preserve">úverom </w:t>
      </w:r>
    </w:p>
    <w:tbl>
      <w:tblPr>
        <w:tblW w:w="1511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701"/>
        <w:gridCol w:w="1134"/>
        <w:gridCol w:w="1417"/>
        <w:gridCol w:w="1363"/>
        <w:gridCol w:w="948"/>
        <w:gridCol w:w="950"/>
        <w:gridCol w:w="992"/>
        <w:gridCol w:w="992"/>
        <w:gridCol w:w="709"/>
        <w:gridCol w:w="3634"/>
      </w:tblGrid>
      <w:tr w:rsidR="00BF03AA" w:rsidRPr="00326E55" w14:paraId="290CD921" w14:textId="77777777">
        <w:trPr>
          <w:trHeight w:val="945"/>
          <w:tblHeader/>
        </w:trPr>
        <w:tc>
          <w:tcPr>
            <w:tcW w:w="1277" w:type="dxa"/>
            <w:vMerge w:val="restart"/>
            <w:shd w:val="clear" w:color="auto" w:fill="BDD7EE"/>
            <w:vAlign w:val="center"/>
          </w:tcPr>
          <w:p w14:paraId="03AA3E0A"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701" w:type="dxa"/>
            <w:vMerge w:val="restart"/>
            <w:shd w:val="clear" w:color="auto" w:fill="BDD7EE"/>
            <w:vAlign w:val="center"/>
          </w:tcPr>
          <w:p w14:paraId="351AA8ED"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w:t>
            </w:r>
            <w:r w:rsidRPr="00326E55">
              <w:rPr>
                <w:rFonts w:ascii="Times New Roman" w:hAnsi="Times New Roman"/>
                <w:noProof/>
                <w:spacing w:val="-6"/>
                <w:lang w:val="sk-SK"/>
              </w:rPr>
              <w:t xml:space="preserve"> alebo investícia)</w:t>
            </w:r>
          </w:p>
        </w:tc>
        <w:tc>
          <w:tcPr>
            <w:tcW w:w="1134" w:type="dxa"/>
            <w:vMerge w:val="restart"/>
            <w:shd w:val="clear" w:color="auto" w:fill="BDD7EE"/>
            <w:vAlign w:val="center"/>
          </w:tcPr>
          <w:p w14:paraId="5ACF54C7"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417" w:type="dxa"/>
            <w:vMerge w:val="restart"/>
            <w:shd w:val="clear" w:color="auto" w:fill="BDD7EE"/>
            <w:vAlign w:val="center"/>
          </w:tcPr>
          <w:p w14:paraId="5EF43779"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363" w:type="dxa"/>
            <w:vMerge w:val="restart"/>
            <w:shd w:val="clear" w:color="auto" w:fill="BDD7EE"/>
            <w:vAlign w:val="center"/>
          </w:tcPr>
          <w:p w14:paraId="5A010D59" w14:textId="2C18D93A"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2890" w:type="dxa"/>
            <w:gridSpan w:val="3"/>
            <w:shd w:val="clear" w:color="auto" w:fill="BDD7EE"/>
            <w:vAlign w:val="center"/>
          </w:tcPr>
          <w:p w14:paraId="7569FADA" w14:textId="77777777" w:rsidR="00BF03AA" w:rsidRPr="00326E55" w:rsidRDefault="00FB452D">
            <w:pPr>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701" w:type="dxa"/>
            <w:gridSpan w:val="2"/>
            <w:shd w:val="clear" w:color="auto" w:fill="BDD7EE"/>
            <w:vAlign w:val="center"/>
          </w:tcPr>
          <w:p w14:paraId="7DC97022" w14:textId="77777777"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3634" w:type="dxa"/>
            <w:vMerge w:val="restart"/>
            <w:shd w:val="clear" w:color="auto" w:fill="BDD7EE"/>
            <w:vAlign w:val="center"/>
          </w:tcPr>
          <w:p w14:paraId="33DFBAC5" w14:textId="20439C26" w:rsidR="00BF03AA" w:rsidRPr="00326E55" w:rsidRDefault="00FB452D">
            <w:pPr>
              <w:pStyle w:val="P68B1DB1-Normal1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0D229F00" w14:textId="77777777">
        <w:trPr>
          <w:trHeight w:val="737"/>
          <w:tblHeader/>
        </w:trPr>
        <w:tc>
          <w:tcPr>
            <w:tcW w:w="1277" w:type="dxa"/>
            <w:vMerge/>
            <w:vAlign w:val="center"/>
          </w:tcPr>
          <w:p w14:paraId="6CF29E5A" w14:textId="77777777" w:rsidR="00BF03AA" w:rsidRPr="00326E55" w:rsidRDefault="00BF03AA">
            <w:pPr>
              <w:jc w:val="center"/>
              <w:rPr>
                <w:rFonts w:ascii="Times New Roman" w:hAnsi="Times New Roman"/>
                <w:noProof/>
                <w:spacing w:val="-6"/>
                <w:sz w:val="20"/>
                <w:szCs w:val="20"/>
                <w:lang w:val="sk-SK"/>
              </w:rPr>
            </w:pPr>
          </w:p>
        </w:tc>
        <w:tc>
          <w:tcPr>
            <w:tcW w:w="1701" w:type="dxa"/>
            <w:vMerge/>
            <w:vAlign w:val="center"/>
          </w:tcPr>
          <w:p w14:paraId="32B1DAF5" w14:textId="77777777" w:rsidR="00BF03AA" w:rsidRPr="00326E55" w:rsidRDefault="00BF03AA">
            <w:pPr>
              <w:jc w:val="center"/>
              <w:rPr>
                <w:rFonts w:ascii="Times New Roman" w:hAnsi="Times New Roman"/>
                <w:noProof/>
                <w:spacing w:val="-6"/>
                <w:sz w:val="20"/>
                <w:szCs w:val="20"/>
                <w:lang w:val="sk-SK"/>
              </w:rPr>
            </w:pPr>
          </w:p>
        </w:tc>
        <w:tc>
          <w:tcPr>
            <w:tcW w:w="1134" w:type="dxa"/>
            <w:vMerge/>
            <w:vAlign w:val="center"/>
          </w:tcPr>
          <w:p w14:paraId="6C29B102" w14:textId="77777777" w:rsidR="00BF03AA" w:rsidRPr="00326E55" w:rsidRDefault="00BF03AA">
            <w:pPr>
              <w:jc w:val="center"/>
              <w:rPr>
                <w:rFonts w:ascii="Times New Roman" w:hAnsi="Times New Roman"/>
                <w:noProof/>
                <w:spacing w:val="-6"/>
                <w:sz w:val="20"/>
                <w:szCs w:val="20"/>
                <w:lang w:val="sk-SK"/>
              </w:rPr>
            </w:pPr>
          </w:p>
        </w:tc>
        <w:tc>
          <w:tcPr>
            <w:tcW w:w="1417" w:type="dxa"/>
            <w:vMerge/>
            <w:vAlign w:val="center"/>
          </w:tcPr>
          <w:p w14:paraId="167888EC" w14:textId="77777777" w:rsidR="00BF03AA" w:rsidRPr="00326E55" w:rsidRDefault="00BF03AA">
            <w:pPr>
              <w:jc w:val="center"/>
              <w:rPr>
                <w:rFonts w:ascii="Times New Roman" w:hAnsi="Times New Roman"/>
                <w:noProof/>
                <w:spacing w:val="-6"/>
                <w:sz w:val="20"/>
                <w:szCs w:val="20"/>
                <w:lang w:val="sk-SK"/>
              </w:rPr>
            </w:pPr>
          </w:p>
        </w:tc>
        <w:tc>
          <w:tcPr>
            <w:tcW w:w="1363" w:type="dxa"/>
            <w:vMerge/>
            <w:vAlign w:val="center"/>
          </w:tcPr>
          <w:p w14:paraId="29298E7E" w14:textId="77777777" w:rsidR="00BF03AA" w:rsidRPr="00326E55" w:rsidRDefault="00BF03AA">
            <w:pPr>
              <w:jc w:val="center"/>
              <w:rPr>
                <w:rFonts w:ascii="Times New Roman" w:hAnsi="Times New Roman"/>
                <w:noProof/>
                <w:spacing w:val="-6"/>
                <w:sz w:val="20"/>
                <w:szCs w:val="20"/>
                <w:lang w:val="sk-SK"/>
              </w:rPr>
            </w:pPr>
          </w:p>
        </w:tc>
        <w:tc>
          <w:tcPr>
            <w:tcW w:w="948" w:type="dxa"/>
            <w:shd w:val="clear" w:color="auto" w:fill="BDD7EE"/>
            <w:vAlign w:val="center"/>
          </w:tcPr>
          <w:p w14:paraId="3A4C3990"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Merná jednotka</w:t>
            </w:r>
          </w:p>
        </w:tc>
        <w:tc>
          <w:tcPr>
            <w:tcW w:w="950" w:type="dxa"/>
            <w:shd w:val="clear" w:color="auto" w:fill="BDD7EE"/>
            <w:vAlign w:val="center"/>
          </w:tcPr>
          <w:p w14:paraId="19490F39"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Základná</w:t>
            </w:r>
          </w:p>
        </w:tc>
        <w:tc>
          <w:tcPr>
            <w:tcW w:w="992" w:type="dxa"/>
            <w:shd w:val="clear" w:color="auto" w:fill="BDD7EE"/>
            <w:vAlign w:val="center"/>
          </w:tcPr>
          <w:p w14:paraId="22D9C33E"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Cieľ</w:t>
            </w:r>
          </w:p>
        </w:tc>
        <w:tc>
          <w:tcPr>
            <w:tcW w:w="992" w:type="dxa"/>
            <w:shd w:val="clear" w:color="auto" w:fill="BDD7EE"/>
            <w:vAlign w:val="center"/>
          </w:tcPr>
          <w:p w14:paraId="1723EA95"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Štvrtina</w:t>
            </w:r>
          </w:p>
        </w:tc>
        <w:tc>
          <w:tcPr>
            <w:tcW w:w="709" w:type="dxa"/>
            <w:shd w:val="clear" w:color="auto" w:fill="BDD7EE"/>
            <w:vAlign w:val="center"/>
          </w:tcPr>
          <w:p w14:paraId="57EB0D6D" w14:textId="77777777" w:rsidR="00BF03AA" w:rsidRPr="00326E55" w:rsidRDefault="00FB452D">
            <w:pPr>
              <w:pStyle w:val="P68B1DB1-Normal10"/>
              <w:jc w:val="center"/>
              <w:rPr>
                <w:rFonts w:ascii="Times New Roman" w:hAnsi="Times New Roman"/>
                <w:bCs/>
                <w:noProof/>
                <w:spacing w:val="-6"/>
                <w:szCs w:val="20"/>
                <w:lang w:val="sk-SK"/>
              </w:rPr>
            </w:pPr>
            <w:r w:rsidRPr="00326E55">
              <w:rPr>
                <w:rFonts w:ascii="Times New Roman" w:hAnsi="Times New Roman"/>
                <w:noProof/>
                <w:spacing w:val="-6"/>
                <w:lang w:val="sk-SK"/>
              </w:rPr>
              <w:t>Rok</w:t>
            </w:r>
          </w:p>
        </w:tc>
        <w:tc>
          <w:tcPr>
            <w:tcW w:w="3634" w:type="dxa"/>
            <w:vMerge/>
            <w:vAlign w:val="center"/>
          </w:tcPr>
          <w:p w14:paraId="6F6EEA62" w14:textId="77777777" w:rsidR="00BF03AA" w:rsidRPr="00326E55" w:rsidRDefault="00BF03AA">
            <w:pPr>
              <w:rPr>
                <w:rFonts w:ascii="Times New Roman" w:hAnsi="Times New Roman"/>
                <w:noProof/>
                <w:spacing w:val="-6"/>
                <w:sz w:val="20"/>
                <w:szCs w:val="20"/>
                <w:lang w:val="sk-SK"/>
              </w:rPr>
            </w:pPr>
          </w:p>
        </w:tc>
      </w:tr>
      <w:tr w:rsidR="00BF03AA" w:rsidRPr="00326E55" w14:paraId="323E5F3E" w14:textId="77777777">
        <w:trPr>
          <w:trHeight w:val="315"/>
        </w:trPr>
        <w:tc>
          <w:tcPr>
            <w:tcW w:w="1277" w:type="dxa"/>
            <w:shd w:val="clear" w:color="auto" w:fill="C6EFCE"/>
            <w:vAlign w:val="center"/>
          </w:tcPr>
          <w:p w14:paraId="043A7DF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M6C1 – 1</w:t>
            </w:r>
          </w:p>
        </w:tc>
        <w:tc>
          <w:tcPr>
            <w:tcW w:w="1701" w:type="dxa"/>
            <w:shd w:val="clear" w:color="auto" w:fill="C6EFCE"/>
            <w:vAlign w:val="center"/>
          </w:tcPr>
          <w:p w14:paraId="52FF6B0F" w14:textId="50524B1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w:t>
            </w:r>
            <w:r w:rsidRPr="00326E55">
              <w:rPr>
                <w:rFonts w:ascii="Times New Roman" w:hAnsi="Times New Roman"/>
                <w:noProof/>
                <w:spacing w:val="-6"/>
                <w:lang w:val="sk-SK"/>
              </w:rPr>
              <w:t xml:space="preserve"> Vymedzenie nového organizačného modelu siete územnej zdravotnej pomoci</w:t>
            </w:r>
          </w:p>
        </w:tc>
        <w:tc>
          <w:tcPr>
            <w:tcW w:w="1134" w:type="dxa"/>
            <w:shd w:val="clear" w:color="auto" w:fill="C6EFCE"/>
            <w:vAlign w:val="center"/>
          </w:tcPr>
          <w:p w14:paraId="2BBB01B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vAlign w:val="center"/>
          </w:tcPr>
          <w:p w14:paraId="403E304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sekundárnych právnych predpisov (ministerského dekrétu), ktoré predpokladajú reformu organizácie zdravotnej starostlivosti.</w:t>
            </w:r>
          </w:p>
        </w:tc>
        <w:tc>
          <w:tcPr>
            <w:tcW w:w="1363" w:type="dxa"/>
            <w:shd w:val="clear" w:color="auto" w:fill="C6EFCE"/>
            <w:vAlign w:val="center"/>
          </w:tcPr>
          <w:p w14:paraId="2CCE3F33" w14:textId="43DF4E1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nadobudnutí účinnosti právnych predpisov </w:t>
            </w:r>
          </w:p>
        </w:tc>
        <w:tc>
          <w:tcPr>
            <w:tcW w:w="948" w:type="dxa"/>
            <w:shd w:val="clear" w:color="auto" w:fill="C6EFCE"/>
            <w:vAlign w:val="center"/>
          </w:tcPr>
          <w:p w14:paraId="7F5B5E9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0" w:type="dxa"/>
            <w:shd w:val="clear" w:color="auto" w:fill="C6EFCE"/>
            <w:vAlign w:val="center"/>
          </w:tcPr>
          <w:p w14:paraId="6F48C99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566B17C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657CDAE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01E5C78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34" w:type="dxa"/>
            <w:shd w:val="clear" w:color="auto" w:fill="C6EFCE"/>
            <w:vAlign w:val="center"/>
          </w:tcPr>
          <w:p w14:paraId="67252F95" w14:textId="73806B44"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Nadobudnutie účinnosti sekundárnych právnych predpisov (ministerská vyhláška),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ktorých sa stanovuje:</w:t>
            </w:r>
          </w:p>
          <w:p w14:paraId="189F4C4A" w14:textId="72D4C5EE"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Vymedzenie nového organizačného modelu siete územnej zdravo</w:t>
            </w:r>
            <w:r w:rsidRPr="00326E55">
              <w:rPr>
                <w:rFonts w:ascii="Times New Roman" w:hAnsi="Times New Roman"/>
                <w:noProof/>
                <w:spacing w:val="-6"/>
                <w:lang w:val="sk-SK"/>
              </w:rPr>
              <w:t>tnej pomoci prostredníctvom vymedzenia regulačného rámca, ktorý identifikuje štrukturálne, technologické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organizačné normy vo všetkých regiónoch, vymedzenie novej inštitucionálnej štruktúry prevencie zdravia, životného prostredia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klímy podľa prístupu „</w:t>
            </w:r>
            <w:r w:rsidRPr="00326E55">
              <w:rPr>
                <w:rFonts w:ascii="Times New Roman" w:hAnsi="Times New Roman"/>
                <w:noProof/>
                <w:spacing w:val="-6"/>
                <w:lang w:val="sk-SK"/>
              </w:rPr>
              <w:t>jedno zdravie“.</w:t>
            </w:r>
          </w:p>
        </w:tc>
      </w:tr>
      <w:tr w:rsidR="00BF03AA" w:rsidRPr="00326E55" w14:paraId="3299CA0C" w14:textId="77777777">
        <w:trPr>
          <w:trHeight w:val="315"/>
        </w:trPr>
        <w:tc>
          <w:tcPr>
            <w:tcW w:w="1277" w:type="dxa"/>
            <w:shd w:val="clear" w:color="auto" w:fill="C6EFCE"/>
            <w:vAlign w:val="center"/>
          </w:tcPr>
          <w:p w14:paraId="1DD895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M6C1 – 2</w:t>
            </w:r>
          </w:p>
        </w:tc>
        <w:tc>
          <w:tcPr>
            <w:tcW w:w="1701" w:type="dxa"/>
            <w:shd w:val="clear" w:color="auto" w:fill="C6EFCE"/>
            <w:vAlign w:val="center"/>
          </w:tcPr>
          <w:p w14:paraId="18E78B7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1.1: Komunitné zdravotnícke domy na zlepšenie územnej zdravotnej pomoci</w:t>
            </w:r>
          </w:p>
        </w:tc>
        <w:tc>
          <w:tcPr>
            <w:tcW w:w="1134" w:type="dxa"/>
            <w:shd w:val="clear" w:color="auto" w:fill="C6EFCE"/>
            <w:vAlign w:val="center"/>
          </w:tcPr>
          <w:p w14:paraId="05DF582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vAlign w:val="center"/>
          </w:tcPr>
          <w:p w14:paraId="6444F7C0" w14:textId="10A2A36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Schválenie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inštitucionálnom rozvoji </w:t>
            </w:r>
          </w:p>
        </w:tc>
        <w:tc>
          <w:tcPr>
            <w:tcW w:w="1363" w:type="dxa"/>
            <w:shd w:val="clear" w:color="auto" w:fill="C6EFCE"/>
            <w:vAlign w:val="center"/>
          </w:tcPr>
          <w:p w14:paraId="44E17411" w14:textId="6DE3424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schválení ministerstvom zdravotníctva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regiónov</w:t>
            </w:r>
          </w:p>
        </w:tc>
        <w:tc>
          <w:tcPr>
            <w:tcW w:w="948" w:type="dxa"/>
            <w:shd w:val="clear" w:color="auto" w:fill="C6EFCE"/>
            <w:vAlign w:val="center"/>
          </w:tcPr>
          <w:p w14:paraId="182E788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0" w:type="dxa"/>
            <w:shd w:val="clear" w:color="auto" w:fill="C6EFCE"/>
            <w:vAlign w:val="center"/>
          </w:tcPr>
          <w:p w14:paraId="49D3CB4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5D297D7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1BC00E7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31F692F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34" w:type="dxa"/>
            <w:shd w:val="clear" w:color="auto" w:fill="C6EFCE"/>
            <w:vAlign w:val="center"/>
          </w:tcPr>
          <w:p w14:paraId="5B71C581" w14:textId="4B580627"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Schválenie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(Contratto Istituzionale di Sviluppo)</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talianskym ministerstvom zdravotníctva ako zodpovedným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vykonávajúcim orgánom</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účasťou regionálnych správnych orgánov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ostatnými zainteresov</w:t>
            </w:r>
            <w:r w:rsidRPr="00326E55">
              <w:rPr>
                <w:rFonts w:ascii="Times New Roman" w:hAnsi="Times New Roman"/>
                <w:noProof/>
                <w:spacing w:val="-6"/>
                <w:lang w:val="sk-SK"/>
              </w:rPr>
              <w:t>anými subjektmi pre zdravotnícke zariadenia Spoločenstva:</w:t>
            </w:r>
          </w:p>
          <w:p w14:paraId="32DE689B" w14:textId="42E72EF8" w:rsidR="00326E55"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Zmluva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je nástroj riadenia, ktorý obsahuje zoznam všetkých vhodných strán určených na realizáciu Domu zdravotnej starostlivosti Spoločenstva na zlepšenie územnej zdravotne</w:t>
            </w:r>
            <w:r w:rsidRPr="00326E55">
              <w:rPr>
                <w:rFonts w:ascii="Times New Roman" w:hAnsi="Times New Roman"/>
                <w:noProof/>
                <w:spacing w:val="-6"/>
                <w:lang w:val="sk-SK"/>
              </w:rPr>
              <w:t>j pomoci.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zmluve sa určia aj povinnosti, ktoré každý taliansky región prevezme, aby zaručil dosiahnutie očakávaných výsledkov týkajúcich sa komunitného zdravotníckeho domu</w:t>
            </w:r>
            <w:r w:rsidR="00326E55" w:rsidRPr="00326E55">
              <w:rPr>
                <w:rFonts w:ascii="Times New Roman" w:hAnsi="Times New Roman"/>
                <w:noProof/>
                <w:spacing w:val="-6"/>
                <w:lang w:val="sk-SK"/>
              </w:rPr>
              <w:t>.</w:t>
            </w:r>
          </w:p>
          <w:p w14:paraId="071458A8" w14:textId="7219818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 Cieľom zmluvy bolo podporiť územnú súdržnosť, rozvoj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hospodársky rast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urýchl</w:t>
            </w:r>
            <w:r w:rsidRPr="00326E55">
              <w:rPr>
                <w:rFonts w:ascii="Times New Roman" w:hAnsi="Times New Roman"/>
                <w:noProof/>
                <w:spacing w:val="-6"/>
                <w:lang w:val="sk-SK"/>
              </w:rPr>
              <w:t>iť vykonávanie komplexných intervencií. Zmluva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je obzvlášť užitočná pri veľkých projektoch alebo investíciách vyjadrených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jednotlivých intervenciách, ktoré sú navzájom funkčne prepojené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ktoré si vyžadujú integrovaný prístup</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využívanie európskych investičných štrukturálnych fondov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národných fondov, ktoré sú zahrnuté aj</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plánoch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operačných programoch financovaných</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vnútroštátnych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európskych zdrojov.</w:t>
            </w:r>
          </w:p>
        </w:tc>
      </w:tr>
      <w:tr w:rsidR="00BF03AA" w:rsidRPr="00326E55" w14:paraId="70949CE6" w14:textId="77777777">
        <w:trPr>
          <w:trHeight w:val="315"/>
        </w:trPr>
        <w:tc>
          <w:tcPr>
            <w:tcW w:w="1277" w:type="dxa"/>
            <w:shd w:val="clear" w:color="auto" w:fill="C6EFCE"/>
            <w:vAlign w:val="center"/>
          </w:tcPr>
          <w:p w14:paraId="50E8FDD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M6C1 – 3</w:t>
            </w:r>
          </w:p>
        </w:tc>
        <w:tc>
          <w:tcPr>
            <w:tcW w:w="1701" w:type="dxa"/>
            <w:shd w:val="clear" w:color="auto" w:fill="C6EFCE"/>
            <w:vAlign w:val="center"/>
          </w:tcPr>
          <w:p w14:paraId="155FB00D" w14:textId="77777777" w:rsidR="00BF03AA" w:rsidRPr="00326E55" w:rsidRDefault="00FB452D">
            <w:pPr>
              <w:pStyle w:val="P68B1DB1-Normal11"/>
              <w:jc w:val="center"/>
              <w:rPr>
                <w:rFonts w:ascii="Times New Roman" w:hAnsi="Times New Roman"/>
                <w:noProof/>
                <w:spacing w:val="-6"/>
                <w:szCs w:val="20"/>
                <w:lang w:val="sk-SK"/>
              </w:rPr>
            </w:pPr>
            <w:bookmarkStart w:id="21" w:name="_Hlk160472482"/>
            <w:r w:rsidRPr="00326E55">
              <w:rPr>
                <w:rFonts w:ascii="Times New Roman" w:hAnsi="Times New Roman"/>
                <w:noProof/>
                <w:spacing w:val="-6"/>
                <w:lang w:val="sk-SK"/>
              </w:rPr>
              <w:t xml:space="preserve">Investícia 1.1: Komunitné zdravotnícke domy na zlepšenie </w:t>
            </w:r>
            <w:r w:rsidRPr="00326E55">
              <w:rPr>
                <w:rFonts w:ascii="Times New Roman" w:hAnsi="Times New Roman"/>
                <w:noProof/>
                <w:spacing w:val="-6"/>
                <w:lang w:val="sk-SK"/>
              </w:rPr>
              <w:t>územnej zdravotnej pomoci</w:t>
            </w:r>
            <w:bookmarkEnd w:id="21"/>
          </w:p>
        </w:tc>
        <w:tc>
          <w:tcPr>
            <w:tcW w:w="1134" w:type="dxa"/>
            <w:shd w:val="clear" w:color="auto" w:fill="C6EFCE"/>
            <w:vAlign w:val="center"/>
          </w:tcPr>
          <w:p w14:paraId="12F18F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shd w:val="clear" w:color="auto" w:fill="C6EFCE"/>
            <w:vAlign w:val="center"/>
          </w:tcPr>
          <w:p w14:paraId="5808009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Služby komunitných zdravotníckych domov sa aktivujú </w:t>
            </w:r>
          </w:p>
        </w:tc>
        <w:tc>
          <w:tcPr>
            <w:tcW w:w="1363" w:type="dxa"/>
            <w:shd w:val="clear" w:color="auto" w:fill="C6EFCE"/>
            <w:vAlign w:val="center"/>
          </w:tcPr>
          <w:p w14:paraId="460C6C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8" w:type="dxa"/>
            <w:shd w:val="clear" w:color="auto" w:fill="C6EFCE"/>
            <w:vAlign w:val="center"/>
          </w:tcPr>
          <w:p w14:paraId="65A7EF2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50" w:type="dxa"/>
            <w:shd w:val="clear" w:color="auto" w:fill="C6EFCE"/>
            <w:vAlign w:val="center"/>
          </w:tcPr>
          <w:p w14:paraId="768DAFE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34A25F3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1 038</w:t>
            </w:r>
          </w:p>
        </w:tc>
        <w:tc>
          <w:tcPr>
            <w:tcW w:w="992" w:type="dxa"/>
            <w:shd w:val="clear" w:color="auto" w:fill="C6EFCE"/>
            <w:vAlign w:val="center"/>
          </w:tcPr>
          <w:p w14:paraId="542B148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13C023B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634" w:type="dxa"/>
            <w:shd w:val="clear" w:color="auto" w:fill="C6EFCE"/>
            <w:vAlign w:val="center"/>
          </w:tcPr>
          <w:p w14:paraId="4D26E9B0" w14:textId="125A480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Správy nezávislých odborníkov potvrdzujúce aktiváciu služieb podľa noriem vymedzených povinnými položkami tabuľky 4</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oddiele 5 </w:t>
            </w:r>
            <w:r w:rsidRPr="00326E55">
              <w:rPr>
                <w:rFonts w:ascii="Times New Roman" w:hAnsi="Times New Roman"/>
                <w:noProof/>
                <w:spacing w:val="-6"/>
                <w:lang w:val="sk-SK"/>
              </w:rPr>
              <w:t>prílohy 1</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DM</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23</w:t>
            </w:r>
            <w:r w:rsidR="00326E55" w:rsidRPr="00326E55">
              <w:rPr>
                <w:rFonts w:ascii="Times New Roman" w:hAnsi="Times New Roman"/>
                <w:noProof/>
                <w:spacing w:val="-6"/>
                <w:lang w:val="sk-SK"/>
              </w:rPr>
              <w:t>. mája</w:t>
            </w:r>
            <w:r w:rsidRPr="00326E55">
              <w:rPr>
                <w:rFonts w:ascii="Times New Roman" w:hAnsi="Times New Roman"/>
                <w:noProof/>
                <w:spacing w:val="-6"/>
                <w:lang w:val="sk-SK"/>
              </w:rPr>
              <w:t xml:space="preserve"> 2022 </w:t>
            </w:r>
            <w:r w:rsidR="00326E55" w:rsidRPr="00326E55">
              <w:rPr>
                <w:rFonts w:ascii="Times New Roman" w:hAnsi="Times New Roman"/>
                <w:noProof/>
                <w:spacing w:val="-6"/>
                <w:lang w:val="sk-SK"/>
              </w:rPr>
              <w:t>č. </w:t>
            </w:r>
            <w:r w:rsidRPr="00326E55">
              <w:rPr>
                <w:rFonts w:ascii="Times New Roman" w:hAnsi="Times New Roman"/>
                <w:noProof/>
                <w:spacing w:val="-6"/>
                <w:lang w:val="sk-SK"/>
              </w:rPr>
              <w:t>77</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1038 komunitných zdravotníckych domoch.</w:t>
            </w:r>
          </w:p>
          <w:p w14:paraId="68DFE658" w14:textId="4388231D"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Aspoň 50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podpory</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na investičné náklady sa vyčlení na výstavbu nových budov (pole intervencie 025 ter)</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požiadavka</w:t>
            </w:r>
            <w:r w:rsidRPr="00326E55">
              <w:rPr>
                <w:rFonts w:ascii="Times New Roman" w:hAnsi="Times New Roman"/>
                <w:noProof/>
                <w:spacing w:val="-6"/>
                <w:lang w:val="sk-SK"/>
              </w:rPr>
              <w:t xml:space="preserve">mi poznámky pod čiarou </w:t>
            </w:r>
            <w:r w:rsidR="00326E55" w:rsidRPr="00326E55">
              <w:rPr>
                <w:rFonts w:ascii="Times New Roman" w:hAnsi="Times New Roman"/>
                <w:noProof/>
                <w:spacing w:val="-6"/>
                <w:lang w:val="sk-SK"/>
              </w:rPr>
              <w:t>č. </w:t>
            </w:r>
            <w:r w:rsidRPr="00326E55">
              <w:rPr>
                <w:rFonts w:ascii="Times New Roman" w:hAnsi="Times New Roman"/>
                <w:noProof/>
                <w:spacing w:val="-6"/>
                <w:lang w:val="sk-SK"/>
              </w:rPr>
              <w:t>5 prílohy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 (EÚ) 2021/241 alebo na obnovu budov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energetickou efektívnosťou (pole intervencie 026), ktoré certifikoval nezávislý odborník.</w:t>
            </w:r>
          </w:p>
        </w:tc>
      </w:tr>
      <w:tr w:rsidR="00BF03AA" w:rsidRPr="00326E55" w14:paraId="0629FBAF" w14:textId="77777777">
        <w:trPr>
          <w:trHeight w:val="315"/>
        </w:trPr>
        <w:tc>
          <w:tcPr>
            <w:tcW w:w="1277" w:type="dxa"/>
            <w:shd w:val="clear" w:color="auto" w:fill="C6EFCE"/>
            <w:vAlign w:val="center"/>
          </w:tcPr>
          <w:p w14:paraId="1054291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M6C1 – 4</w:t>
            </w:r>
          </w:p>
        </w:tc>
        <w:tc>
          <w:tcPr>
            <w:tcW w:w="1701" w:type="dxa"/>
            <w:shd w:val="clear" w:color="auto" w:fill="C6EFCE"/>
            <w:vAlign w:val="center"/>
          </w:tcPr>
          <w:p w14:paraId="07B8B21F" w14:textId="3D75347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1.2: Domov ako prvé miesto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telemedicíny</w:t>
            </w:r>
          </w:p>
        </w:tc>
        <w:tc>
          <w:tcPr>
            <w:tcW w:w="1134" w:type="dxa"/>
            <w:shd w:val="clear" w:color="auto" w:fill="C6EFCE"/>
            <w:vAlign w:val="center"/>
          </w:tcPr>
          <w:p w14:paraId="5395F82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vAlign w:val="center"/>
          </w:tcPr>
          <w:p w14:paraId="3B5E909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Schválenie usmernení obsahujúcich digitálny model vykonávania domácej starostlivosti</w:t>
            </w:r>
          </w:p>
        </w:tc>
        <w:tc>
          <w:tcPr>
            <w:tcW w:w="1363" w:type="dxa"/>
            <w:shd w:val="clear" w:color="auto" w:fill="C6EFCE"/>
            <w:vAlign w:val="center"/>
          </w:tcPr>
          <w:p w14:paraId="35DCE9B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Usmernenia schválené ministerstvom zdravotníctva</w:t>
            </w:r>
          </w:p>
        </w:tc>
        <w:tc>
          <w:tcPr>
            <w:tcW w:w="948" w:type="dxa"/>
            <w:shd w:val="clear" w:color="auto" w:fill="C6EFCE"/>
            <w:vAlign w:val="center"/>
          </w:tcPr>
          <w:p w14:paraId="76FDC4B3"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0" w:type="dxa"/>
            <w:shd w:val="clear" w:color="auto" w:fill="C6EFCE"/>
            <w:vAlign w:val="center"/>
          </w:tcPr>
          <w:p w14:paraId="006FF6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626270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757BC6A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28815B0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34" w:type="dxa"/>
            <w:shd w:val="clear" w:color="auto" w:fill="C6EFCE"/>
            <w:vAlign w:val="center"/>
          </w:tcPr>
          <w:p w14:paraId="058CD091" w14:textId="20B42254"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Usmerneniami sa zefektívnia procesy potrebné na </w:t>
            </w:r>
            <w:r w:rsidRPr="00326E55">
              <w:rPr>
                <w:rFonts w:ascii="Times New Roman" w:hAnsi="Times New Roman"/>
                <w:noProof/>
                <w:spacing w:val="-6"/>
                <w:lang w:val="sk-SK"/>
              </w:rPr>
              <w:t>zlepšenie domácej starostlivosti prostredníctvom rozvoja techník diaľkového monitorovania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automatizácie domácností.</w:t>
            </w:r>
          </w:p>
        </w:tc>
      </w:tr>
      <w:tr w:rsidR="00BF03AA" w:rsidRPr="00326E55" w14:paraId="56DF5091" w14:textId="77777777">
        <w:trPr>
          <w:trHeight w:val="315"/>
        </w:trPr>
        <w:tc>
          <w:tcPr>
            <w:tcW w:w="1277" w:type="dxa"/>
            <w:shd w:val="clear" w:color="auto" w:fill="C6EFCE"/>
            <w:vAlign w:val="center"/>
          </w:tcPr>
          <w:p w14:paraId="13A9141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M6C1 – 5</w:t>
            </w:r>
          </w:p>
        </w:tc>
        <w:tc>
          <w:tcPr>
            <w:tcW w:w="1701" w:type="dxa"/>
            <w:shd w:val="clear" w:color="auto" w:fill="C6EFCE"/>
            <w:vAlign w:val="center"/>
          </w:tcPr>
          <w:p w14:paraId="58753E1A" w14:textId="41C03F65"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1.2: Domov ako prvé miesto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telemedicíny</w:t>
            </w:r>
          </w:p>
        </w:tc>
        <w:tc>
          <w:tcPr>
            <w:tcW w:w="1134" w:type="dxa"/>
            <w:shd w:val="clear" w:color="auto" w:fill="C6EFCE"/>
            <w:vAlign w:val="center"/>
          </w:tcPr>
          <w:p w14:paraId="24DC53A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vAlign w:val="center"/>
          </w:tcPr>
          <w:p w14:paraId="3382BA5D" w14:textId="2C3949C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Zmluva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inštitucionálnom rozvoji schválená </w:t>
            </w:r>
            <w:r w:rsidRPr="00326E55">
              <w:rPr>
                <w:rFonts w:ascii="Times New Roman" w:hAnsi="Times New Roman"/>
                <w:noProof/>
                <w:spacing w:val="-6"/>
                <w:lang w:val="sk-SK"/>
              </w:rPr>
              <w:t>ministerstvom zdravotníctva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regiónov </w:t>
            </w:r>
          </w:p>
        </w:tc>
        <w:tc>
          <w:tcPr>
            <w:tcW w:w="1363" w:type="dxa"/>
            <w:shd w:val="clear" w:color="auto" w:fill="C6EFCE"/>
            <w:vAlign w:val="center"/>
          </w:tcPr>
          <w:p w14:paraId="39344333" w14:textId="0F45471C"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schválenej zmluve</w:t>
            </w:r>
          </w:p>
        </w:tc>
        <w:tc>
          <w:tcPr>
            <w:tcW w:w="948" w:type="dxa"/>
            <w:shd w:val="clear" w:color="auto" w:fill="C6EFCE"/>
            <w:vAlign w:val="center"/>
          </w:tcPr>
          <w:p w14:paraId="2502C4F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0" w:type="dxa"/>
            <w:shd w:val="clear" w:color="auto" w:fill="C6EFCE"/>
            <w:vAlign w:val="center"/>
          </w:tcPr>
          <w:p w14:paraId="764AC52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2D79E3A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381E3A2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7AAAD45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34" w:type="dxa"/>
            <w:shd w:val="clear" w:color="auto" w:fill="C6EFCE"/>
            <w:vAlign w:val="center"/>
          </w:tcPr>
          <w:p w14:paraId="06A21C4D" w14:textId="68119A0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Schválenie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(Contratto Istituzionale di Sviluppo)</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talianskym ministerstvom zdravotníctva ako </w:t>
            </w:r>
            <w:r w:rsidRPr="00326E55">
              <w:rPr>
                <w:rFonts w:ascii="Times New Roman" w:hAnsi="Times New Roman"/>
                <w:noProof/>
                <w:spacing w:val="-6"/>
                <w:lang w:val="sk-SK"/>
              </w:rPr>
              <w:t>zodpovedným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vykonávajúcim orgánom</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účasťou regionálnych správnych orgánov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ostatnými subjektmi zaoberajúcimi sa domácou starostlivosťou.</w:t>
            </w:r>
          </w:p>
          <w:p w14:paraId="14247D15" w14:textId="3E156B73"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zmluve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sa pre každú intervenciu alebo kategóriu intervencií stanoví časový har</w:t>
            </w:r>
            <w:r w:rsidRPr="00326E55">
              <w:rPr>
                <w:rFonts w:ascii="Times New Roman" w:hAnsi="Times New Roman"/>
                <w:noProof/>
                <w:spacing w:val="-6"/>
                <w:lang w:val="sk-SK"/>
              </w:rPr>
              <w:t>monogram, povinnosti dodávateľov, hodnotiace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monitorovacie kritériá</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sankcie za každý nesúlad. Vymedzujú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ňom aj podmienky potenciálneho čiastočného zrušenia financovania intervencií alebo pridelenia príslušných zdrojov inej úrovni verejnej správy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 so zásadou subsidiarity.</w:t>
            </w:r>
          </w:p>
        </w:tc>
      </w:tr>
      <w:tr w:rsidR="00BF03AA" w:rsidRPr="00326E55" w14:paraId="72F4BD0B" w14:textId="77777777">
        <w:trPr>
          <w:trHeight w:val="315"/>
        </w:trPr>
        <w:tc>
          <w:tcPr>
            <w:tcW w:w="1277" w:type="dxa"/>
            <w:shd w:val="clear" w:color="auto" w:fill="C6EFCE"/>
            <w:vAlign w:val="center"/>
          </w:tcPr>
          <w:p w14:paraId="50229E8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M6C1 – 6</w:t>
            </w:r>
          </w:p>
        </w:tc>
        <w:tc>
          <w:tcPr>
            <w:tcW w:w="1701" w:type="dxa"/>
            <w:shd w:val="clear" w:color="auto" w:fill="C6EFCE"/>
            <w:vAlign w:val="center"/>
          </w:tcPr>
          <w:p w14:paraId="5B2837F8" w14:textId="4F64EA0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1.2: Domov ako prvé miesto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telemedicíny</w:t>
            </w:r>
          </w:p>
        </w:tc>
        <w:tc>
          <w:tcPr>
            <w:tcW w:w="1134" w:type="dxa"/>
            <w:shd w:val="clear" w:color="auto" w:fill="C6EFCE"/>
            <w:vAlign w:val="center"/>
          </w:tcPr>
          <w:p w14:paraId="30F8154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7" w:type="dxa"/>
            <w:shd w:val="clear" w:color="auto" w:fill="C6EFCE"/>
            <w:vAlign w:val="center"/>
          </w:tcPr>
          <w:p w14:paraId="385481F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Liečba domácej starostlivosti </w:t>
            </w:r>
          </w:p>
        </w:tc>
        <w:tc>
          <w:tcPr>
            <w:tcW w:w="1363" w:type="dxa"/>
            <w:shd w:val="clear" w:color="auto" w:fill="C6EFCE"/>
            <w:vAlign w:val="center"/>
          </w:tcPr>
          <w:p w14:paraId="1D0A6CF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8" w:type="dxa"/>
            <w:shd w:val="clear" w:color="auto" w:fill="C6EFCE"/>
            <w:vAlign w:val="center"/>
          </w:tcPr>
          <w:p w14:paraId="34024A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50" w:type="dxa"/>
            <w:shd w:val="clear" w:color="auto" w:fill="C6EFCE"/>
            <w:vAlign w:val="center"/>
          </w:tcPr>
          <w:p w14:paraId="56F84CC7" w14:textId="0B2D255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645</w:t>
            </w:r>
            <w:r w:rsidRPr="00326E55">
              <w:rPr>
                <w:rFonts w:ascii="Times New Roman" w:hAnsi="Times New Roman"/>
                <w:noProof/>
                <w:spacing w:val="-6"/>
                <w:szCs w:val="20"/>
                <w:lang w:val="sk-SK"/>
              </w:rPr>
              <w:t xml:space="preserve"> </w:t>
            </w:r>
            <w:r w:rsidRPr="00326E55">
              <w:rPr>
                <w:rFonts w:ascii="Times New Roman" w:hAnsi="Times New Roman"/>
                <w:noProof/>
                <w:spacing w:val="-6"/>
                <w:lang w:val="sk-SK"/>
              </w:rPr>
              <w:t>590</w:t>
            </w:r>
          </w:p>
        </w:tc>
        <w:tc>
          <w:tcPr>
            <w:tcW w:w="992" w:type="dxa"/>
            <w:shd w:val="clear" w:color="auto" w:fill="C6EFCE"/>
            <w:vAlign w:val="center"/>
          </w:tcPr>
          <w:p w14:paraId="0EA65E64" w14:textId="5A3D709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1</w:t>
            </w:r>
            <w:r w:rsidRPr="00326E55">
              <w:rPr>
                <w:rFonts w:ascii="Times New Roman" w:hAnsi="Times New Roman"/>
                <w:noProof/>
                <w:spacing w:val="-6"/>
                <w:szCs w:val="20"/>
                <w:lang w:val="sk-SK"/>
              </w:rPr>
              <w:t xml:space="preserve"> </w:t>
            </w:r>
            <w:r w:rsidRPr="00326E55">
              <w:rPr>
                <w:rFonts w:ascii="Times New Roman" w:hAnsi="Times New Roman"/>
                <w:noProof/>
                <w:spacing w:val="-6"/>
                <w:lang w:val="sk-SK"/>
              </w:rPr>
              <w:t>487</w:t>
            </w:r>
            <w:r w:rsidRPr="00326E55">
              <w:rPr>
                <w:rFonts w:ascii="Times New Roman" w:hAnsi="Times New Roman"/>
                <w:noProof/>
                <w:spacing w:val="-6"/>
                <w:szCs w:val="20"/>
                <w:lang w:val="sk-SK"/>
              </w:rPr>
              <w:t xml:space="preserve"> </w:t>
            </w:r>
            <w:r w:rsidRPr="00326E55">
              <w:rPr>
                <w:rFonts w:ascii="Times New Roman" w:hAnsi="Times New Roman"/>
                <w:noProof/>
                <w:spacing w:val="-6"/>
                <w:lang w:val="sk-SK"/>
              </w:rPr>
              <w:t>590</w:t>
            </w:r>
          </w:p>
        </w:tc>
        <w:tc>
          <w:tcPr>
            <w:tcW w:w="992" w:type="dxa"/>
            <w:shd w:val="clear" w:color="auto" w:fill="C6EFCE"/>
            <w:vAlign w:val="center"/>
          </w:tcPr>
          <w:p w14:paraId="1F7FCB9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04B3231A"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634" w:type="dxa"/>
            <w:shd w:val="clear" w:color="auto" w:fill="C6EFCE"/>
            <w:vAlign w:val="center"/>
          </w:tcPr>
          <w:p w14:paraId="6756407C" w14:textId="1BE2588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Poskytovanie domácej starostlivosti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osoby staršie ako</w:t>
            </w:r>
            <w:r w:rsidRPr="00326E55">
              <w:rPr>
                <w:rFonts w:ascii="Times New Roman" w:hAnsi="Times New Roman"/>
                <w:noProof/>
                <w:spacing w:val="-6"/>
                <w:lang w:val="sk-SK"/>
              </w:rPr>
              <w:t xml:space="preserve"> 65 rokov musí dosiahnuť ročnú hodnotu najmenej 1487590 nameranú ukazovateľom SIAD05bis – „Vykonávanie 65 rokov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SIAD (Sistema informativo Assistenza domiciliare)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pomere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staršej populácii“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prehľade Agenas.</w:t>
            </w:r>
          </w:p>
        </w:tc>
      </w:tr>
      <w:tr w:rsidR="00BF03AA" w:rsidRPr="00326E55" w14:paraId="521A5D94" w14:textId="77777777">
        <w:trPr>
          <w:trHeight w:val="315"/>
        </w:trPr>
        <w:tc>
          <w:tcPr>
            <w:tcW w:w="1277" w:type="dxa"/>
            <w:shd w:val="clear" w:color="auto" w:fill="C6EFCE"/>
            <w:vAlign w:val="center"/>
          </w:tcPr>
          <w:p w14:paraId="320553B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M6C1 – 7</w:t>
            </w:r>
          </w:p>
        </w:tc>
        <w:tc>
          <w:tcPr>
            <w:tcW w:w="1701" w:type="dxa"/>
            <w:shd w:val="clear" w:color="auto" w:fill="C6EFCE"/>
            <w:vAlign w:val="center"/>
          </w:tcPr>
          <w:p w14:paraId="1168A185" w14:textId="135187B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1.2: Domov ako prvé </w:t>
            </w:r>
            <w:r w:rsidRPr="00326E55">
              <w:rPr>
                <w:rFonts w:ascii="Times New Roman" w:hAnsi="Times New Roman"/>
                <w:noProof/>
                <w:spacing w:val="-6"/>
                <w:lang w:val="sk-SK"/>
              </w:rPr>
              <w:t>miesto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telemedicíny</w:t>
            </w:r>
          </w:p>
        </w:tc>
        <w:tc>
          <w:tcPr>
            <w:tcW w:w="1134" w:type="dxa"/>
            <w:shd w:val="clear" w:color="auto" w:fill="C6EFCE"/>
            <w:vAlign w:val="center"/>
          </w:tcPr>
          <w:p w14:paraId="7609143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shd w:val="clear" w:color="auto" w:fill="C6EFCE"/>
            <w:vAlign w:val="center"/>
          </w:tcPr>
          <w:p w14:paraId="5559D5A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Plne funkčné koordinačné centrá (druhá séria)</w:t>
            </w:r>
          </w:p>
        </w:tc>
        <w:tc>
          <w:tcPr>
            <w:tcW w:w="1363" w:type="dxa"/>
            <w:shd w:val="clear" w:color="auto" w:fill="C6EFCE"/>
            <w:vAlign w:val="center"/>
          </w:tcPr>
          <w:p w14:paraId="726646C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8" w:type="dxa"/>
            <w:shd w:val="clear" w:color="auto" w:fill="C6EFCE"/>
            <w:vAlign w:val="center"/>
          </w:tcPr>
          <w:p w14:paraId="58B520D8"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50" w:type="dxa"/>
            <w:shd w:val="clear" w:color="auto" w:fill="C6EFCE"/>
            <w:vAlign w:val="center"/>
          </w:tcPr>
          <w:p w14:paraId="37B9EA4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725E015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480</w:t>
            </w:r>
          </w:p>
        </w:tc>
        <w:tc>
          <w:tcPr>
            <w:tcW w:w="992" w:type="dxa"/>
            <w:shd w:val="clear" w:color="auto" w:fill="C6EFCE"/>
            <w:vAlign w:val="center"/>
          </w:tcPr>
          <w:p w14:paraId="1B65FBA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vAlign w:val="center"/>
          </w:tcPr>
          <w:p w14:paraId="32745DE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634" w:type="dxa"/>
            <w:shd w:val="clear" w:color="auto" w:fill="C6EFCE"/>
            <w:vAlign w:val="center"/>
          </w:tcPr>
          <w:p w14:paraId="354278A0" w14:textId="6EB8086C"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 xml:space="preserve">Kľúčovým bodom tohto zásahu je uvedenie do prevádzky najmenej 480 územných koordinačných centier („CentraliOperae </w:t>
            </w:r>
            <w:r w:rsidRPr="00326E55">
              <w:rPr>
                <w:rFonts w:ascii="Times New Roman" w:hAnsi="Times New Roman"/>
                <w:noProof/>
                <w:spacing w:val="-6"/>
                <w:lang w:val="sk-SK"/>
              </w:rPr>
              <w:t>Territoriali“)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úlohou koordinovať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prepájať rôzne územné, sociálno-zdravotnícke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nemocničné zdravotnícke služby, ako aj sieť pre naliehavé prípady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zabezpečiť kontinuitu, dostupnosť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integráciu starostlivosti.</w:t>
            </w:r>
          </w:p>
        </w:tc>
      </w:tr>
      <w:tr w:rsidR="00BF03AA" w:rsidRPr="00326E55" w14:paraId="4D681010" w14:textId="77777777">
        <w:trPr>
          <w:trHeight w:val="315"/>
        </w:trPr>
        <w:tc>
          <w:tcPr>
            <w:tcW w:w="1277" w:type="dxa"/>
            <w:shd w:val="clear" w:color="auto" w:fill="C6EFCE"/>
            <w:vAlign w:val="center"/>
          </w:tcPr>
          <w:p w14:paraId="5884CD3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M6C1 – 8</w:t>
            </w:r>
          </w:p>
        </w:tc>
        <w:tc>
          <w:tcPr>
            <w:tcW w:w="1701" w:type="dxa"/>
            <w:shd w:val="clear" w:color="auto" w:fill="C6EFCE"/>
            <w:vAlign w:val="center"/>
          </w:tcPr>
          <w:p w14:paraId="79C241CC" w14:textId="0E938FF4"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1.2: Domov </w:t>
            </w:r>
            <w:r w:rsidRPr="00326E55">
              <w:rPr>
                <w:rFonts w:ascii="Times New Roman" w:hAnsi="Times New Roman"/>
                <w:noProof/>
                <w:spacing w:val="-6"/>
                <w:lang w:val="sk-SK"/>
              </w:rPr>
              <w:t>ako prvé miesto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telemedicíny</w:t>
            </w:r>
          </w:p>
        </w:tc>
        <w:tc>
          <w:tcPr>
            <w:tcW w:w="1134" w:type="dxa"/>
            <w:shd w:val="clear" w:color="auto" w:fill="C6EFCE"/>
            <w:vAlign w:val="center"/>
          </w:tcPr>
          <w:p w14:paraId="2C63287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shd w:val="clear" w:color="auto" w:fill="C6EFCE"/>
            <w:vAlign w:val="center"/>
          </w:tcPr>
          <w:p w14:paraId="73154D80" w14:textId="5983F06A"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Aspoň jeden projekt telemedicíny pridelený každému regiónu (vzhľadom na projekty, ktoré sa budú realizovať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jednotlivých regiónoch, ako aj projekty, ktoré sa môžu rozvíjať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konzorcií medzi regiónmi</w:t>
            </w:r>
            <w:r w:rsidRPr="00326E55">
              <w:rPr>
                <w:rFonts w:ascii="Times New Roman" w:hAnsi="Times New Roman"/>
                <w:noProof/>
                <w:spacing w:val="-6"/>
                <w:lang w:val="sk-SK"/>
              </w:rPr>
              <w:t>)</w:t>
            </w:r>
          </w:p>
        </w:tc>
        <w:tc>
          <w:tcPr>
            <w:tcW w:w="1363" w:type="dxa"/>
            <w:shd w:val="clear" w:color="auto" w:fill="C6EFCE"/>
            <w:vAlign w:val="center"/>
          </w:tcPr>
          <w:p w14:paraId="134B1EA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8" w:type="dxa"/>
            <w:shd w:val="clear" w:color="auto" w:fill="C6EFCE"/>
            <w:vAlign w:val="center"/>
          </w:tcPr>
          <w:p w14:paraId="43E325D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50" w:type="dxa"/>
            <w:shd w:val="clear" w:color="auto" w:fill="C6EFCE"/>
            <w:vAlign w:val="center"/>
          </w:tcPr>
          <w:p w14:paraId="7C30502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64808D5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w:t>
            </w:r>
          </w:p>
        </w:tc>
        <w:tc>
          <w:tcPr>
            <w:tcW w:w="992" w:type="dxa"/>
            <w:shd w:val="clear" w:color="auto" w:fill="C6EFCE"/>
            <w:vAlign w:val="center"/>
          </w:tcPr>
          <w:p w14:paraId="32BBF97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vAlign w:val="center"/>
          </w:tcPr>
          <w:p w14:paraId="705ED59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2023</w:t>
            </w:r>
          </w:p>
        </w:tc>
        <w:tc>
          <w:tcPr>
            <w:tcW w:w="3634" w:type="dxa"/>
            <w:shd w:val="clear" w:color="auto" w:fill="C6EFCE"/>
            <w:vAlign w:val="center"/>
          </w:tcPr>
          <w:p w14:paraId="013445D8" w14:textId="5D116A66"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Národná stratégia telemedicíny podporuje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financuje rozvoj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rozširovanie nových projektov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riešení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telemedicíny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regionálnych systémov zdravotnej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ako taká predstavuje kľúčový </w:t>
            </w:r>
            <w:r w:rsidRPr="00326E55">
              <w:rPr>
                <w:rFonts w:ascii="Times New Roman" w:hAnsi="Times New Roman"/>
                <w:noProof/>
                <w:spacing w:val="-6"/>
                <w:lang w:val="sk-SK"/>
              </w:rPr>
              <w:t>(technologický) faktor umožňujúci vykonávanie posilneného prístupu</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zdravotnej starostlivosti na diaľku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osobitným zameraním na chronických pacientov.</w:t>
            </w:r>
          </w:p>
        </w:tc>
      </w:tr>
      <w:tr w:rsidR="00BF03AA" w:rsidRPr="00326E55" w14:paraId="02CF8ED2" w14:textId="77777777">
        <w:trPr>
          <w:trHeight w:val="315"/>
        </w:trPr>
        <w:tc>
          <w:tcPr>
            <w:tcW w:w="1277" w:type="dxa"/>
            <w:shd w:val="clear" w:color="auto" w:fill="C6EFCE"/>
            <w:vAlign w:val="center"/>
          </w:tcPr>
          <w:p w14:paraId="2C3D102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M6C1 – 9</w:t>
            </w:r>
          </w:p>
        </w:tc>
        <w:tc>
          <w:tcPr>
            <w:tcW w:w="1701" w:type="dxa"/>
            <w:shd w:val="clear" w:color="auto" w:fill="C6EFCE"/>
            <w:vAlign w:val="center"/>
          </w:tcPr>
          <w:p w14:paraId="3DA275E6" w14:textId="2A0AA13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1.2: Domov ako prvé miesto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telemedicíny</w:t>
            </w:r>
          </w:p>
        </w:tc>
        <w:tc>
          <w:tcPr>
            <w:tcW w:w="1134" w:type="dxa"/>
            <w:shd w:val="clear" w:color="auto" w:fill="C6EFCE"/>
            <w:vAlign w:val="center"/>
          </w:tcPr>
          <w:p w14:paraId="1C91D37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Cieľ </w:t>
            </w:r>
          </w:p>
        </w:tc>
        <w:tc>
          <w:tcPr>
            <w:tcW w:w="1417" w:type="dxa"/>
            <w:shd w:val="clear" w:color="auto" w:fill="C6EFCE"/>
            <w:vAlign w:val="center"/>
          </w:tcPr>
          <w:p w14:paraId="21697C8E" w14:textId="00172346"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 xml:space="preserve">Pomoc </w:t>
            </w:r>
            <w:r w:rsidRPr="00326E55">
              <w:rPr>
                <w:rFonts w:ascii="Times New Roman" w:hAnsi="Times New Roman"/>
                <w:noProof/>
                <w:spacing w:val="-6"/>
                <w:lang w:val="sk-SK"/>
              </w:rPr>
              <w:t>prostredníctvom nástrojov telemedicíny t</w:t>
            </w:r>
          </w:p>
        </w:tc>
        <w:tc>
          <w:tcPr>
            <w:tcW w:w="1363" w:type="dxa"/>
            <w:shd w:val="clear" w:color="auto" w:fill="C6EFCE"/>
            <w:vAlign w:val="center"/>
          </w:tcPr>
          <w:p w14:paraId="66DC19A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8" w:type="dxa"/>
            <w:shd w:val="clear" w:color="auto" w:fill="C6EFCE"/>
            <w:vAlign w:val="center"/>
          </w:tcPr>
          <w:p w14:paraId="24D0A26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50" w:type="dxa"/>
            <w:shd w:val="clear" w:color="auto" w:fill="C6EFCE"/>
            <w:vAlign w:val="center"/>
          </w:tcPr>
          <w:p w14:paraId="72F37D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021B913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300 000</w:t>
            </w:r>
          </w:p>
        </w:tc>
        <w:tc>
          <w:tcPr>
            <w:tcW w:w="992" w:type="dxa"/>
            <w:shd w:val="clear" w:color="auto" w:fill="C6EFCE"/>
            <w:vAlign w:val="center"/>
          </w:tcPr>
          <w:p w14:paraId="769E264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9" w:type="dxa"/>
            <w:shd w:val="clear" w:color="auto" w:fill="C6EFCE"/>
            <w:vAlign w:val="center"/>
          </w:tcPr>
          <w:p w14:paraId="2C2F0F9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634" w:type="dxa"/>
            <w:shd w:val="clear" w:color="auto" w:fill="C6EFCE"/>
            <w:vAlign w:val="center"/>
          </w:tcPr>
          <w:p w14:paraId="2476F631" w14:textId="6D4F6E9B"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Ukazovateľ pomoci prostredníctvom nástrojov telemedicíny na základe ukazovateľov Národnej platformy telemedicíny (PNT)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monitorovaný prostredníctvom prehľadu Agenas </w:t>
            </w:r>
            <w:r w:rsidRPr="00326E55">
              <w:rPr>
                <w:rFonts w:ascii="Times New Roman" w:hAnsi="Times New Roman"/>
                <w:noProof/>
                <w:spacing w:val="-6"/>
                <w:lang w:val="sk-SK"/>
              </w:rPr>
              <w:t>musí dosiahnuť hodnotu najmenej 300000 osôb.</w:t>
            </w:r>
          </w:p>
        </w:tc>
      </w:tr>
      <w:tr w:rsidR="00BF03AA" w:rsidRPr="00326E55" w14:paraId="006419D8" w14:textId="77777777">
        <w:trPr>
          <w:trHeight w:val="315"/>
        </w:trPr>
        <w:tc>
          <w:tcPr>
            <w:tcW w:w="1277" w:type="dxa"/>
            <w:shd w:val="clear" w:color="auto" w:fill="C6EFCE"/>
            <w:vAlign w:val="center"/>
          </w:tcPr>
          <w:p w14:paraId="6FA6B9A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M6C1 – 10</w:t>
            </w:r>
          </w:p>
        </w:tc>
        <w:tc>
          <w:tcPr>
            <w:tcW w:w="1701" w:type="dxa"/>
            <w:shd w:val="clear" w:color="auto" w:fill="C6EFCE"/>
            <w:vAlign w:val="center"/>
          </w:tcPr>
          <w:p w14:paraId="6A2DDBD8" w14:textId="5E1A8A22"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1.3: Posilnenie strednej zdravotnej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jej zariadení (komunitné nemocnice)</w:t>
            </w:r>
          </w:p>
        </w:tc>
        <w:tc>
          <w:tcPr>
            <w:tcW w:w="1134" w:type="dxa"/>
            <w:shd w:val="clear" w:color="auto" w:fill="C6EFCE"/>
            <w:vAlign w:val="center"/>
          </w:tcPr>
          <w:p w14:paraId="7C57CEA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vAlign w:val="center"/>
          </w:tcPr>
          <w:p w14:paraId="4F9FA6B2" w14:textId="0CCB1710"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Schválenie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(Contratto Istituzionale di Sviluppo)</w:t>
            </w:r>
          </w:p>
        </w:tc>
        <w:tc>
          <w:tcPr>
            <w:tcW w:w="1363" w:type="dxa"/>
            <w:shd w:val="clear" w:color="auto" w:fill="C6EFCE"/>
            <w:vAlign w:val="center"/>
          </w:tcPr>
          <w:p w14:paraId="3ACAE630" w14:textId="5F0BBF3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schválení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w:t>
            </w:r>
          </w:p>
        </w:tc>
        <w:tc>
          <w:tcPr>
            <w:tcW w:w="948" w:type="dxa"/>
            <w:shd w:val="clear" w:color="auto" w:fill="C6EFCE"/>
            <w:vAlign w:val="center"/>
          </w:tcPr>
          <w:p w14:paraId="14ED8C0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50" w:type="dxa"/>
            <w:shd w:val="clear" w:color="auto" w:fill="C6EFCE"/>
            <w:vAlign w:val="center"/>
          </w:tcPr>
          <w:p w14:paraId="7821415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2ED519F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shd w:val="clear" w:color="auto" w:fill="C6EFCE"/>
            <w:vAlign w:val="center"/>
          </w:tcPr>
          <w:p w14:paraId="40523E1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2E251A5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3634" w:type="dxa"/>
            <w:shd w:val="clear" w:color="auto" w:fill="C6EFCE"/>
            <w:vAlign w:val="center"/>
          </w:tcPr>
          <w:p w14:paraId="6070BD4B" w14:textId="2BD481B8"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Schválenie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(Contratto Istituzionale di Sviluppo)</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talianskym ministerstvom zdravotníctva ako zodpovedným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vykonávajúcim </w:t>
            </w:r>
            <w:r w:rsidRPr="00326E55">
              <w:rPr>
                <w:rFonts w:ascii="Times New Roman" w:hAnsi="Times New Roman"/>
                <w:noProof/>
                <w:spacing w:val="-6"/>
                <w:lang w:val="sk-SK"/>
              </w:rPr>
              <w:t>orgánom</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účasťou regionálnych správ spolu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ostatnými zainteresovanými subjektmi pre nemocnice Spoločenstva.</w:t>
            </w:r>
          </w:p>
          <w:p w14:paraId="601AD4D7" w14:textId="04F1B061"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zmluve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sa uvedú všetky vhodné lokality určené pre investície, ako aj záväzky, ktoré každý región prevezme, aby zaru</w:t>
            </w:r>
            <w:r w:rsidRPr="00326E55">
              <w:rPr>
                <w:rFonts w:ascii="Times New Roman" w:hAnsi="Times New Roman"/>
                <w:noProof/>
                <w:spacing w:val="-6"/>
                <w:lang w:val="sk-SK"/>
              </w:rPr>
              <w:t>čil dosiahnutie predpokladaného výsledku.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porušenia ktorýmkoľvek regiónom ministerstvo zdravotníctva postúpi komisárovi „ad acta“.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technologický park zariadení, t. j. všetky nástroje, licencie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prepojenia, uprednostnia sa súhrnné me</w:t>
            </w:r>
            <w:r w:rsidRPr="00326E55">
              <w:rPr>
                <w:rFonts w:ascii="Times New Roman" w:hAnsi="Times New Roman"/>
                <w:noProof/>
                <w:spacing w:val="-6"/>
                <w:lang w:val="sk-SK"/>
              </w:rPr>
              <w:t>tódy obstarávania.</w:t>
            </w:r>
          </w:p>
        </w:tc>
      </w:tr>
      <w:tr w:rsidR="00BF03AA" w:rsidRPr="00326E55" w14:paraId="2F1C3985" w14:textId="77777777">
        <w:trPr>
          <w:trHeight w:val="315"/>
        </w:trPr>
        <w:tc>
          <w:tcPr>
            <w:tcW w:w="1277" w:type="dxa"/>
            <w:shd w:val="clear" w:color="auto" w:fill="C6EFCE"/>
            <w:vAlign w:val="center"/>
          </w:tcPr>
          <w:p w14:paraId="1B402FD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M6C1 – 11</w:t>
            </w:r>
          </w:p>
        </w:tc>
        <w:tc>
          <w:tcPr>
            <w:tcW w:w="1701" w:type="dxa"/>
            <w:shd w:val="clear" w:color="auto" w:fill="C6EFCE"/>
            <w:vAlign w:val="center"/>
          </w:tcPr>
          <w:p w14:paraId="0878F434" w14:textId="203513D1"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1.3: Posilnenie strednej zdravotnej starostlivosti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jej zariadení (komunitné nemocnice)</w:t>
            </w:r>
          </w:p>
        </w:tc>
        <w:tc>
          <w:tcPr>
            <w:tcW w:w="1134" w:type="dxa"/>
            <w:shd w:val="clear" w:color="auto" w:fill="C6EFCE"/>
            <w:vAlign w:val="center"/>
          </w:tcPr>
          <w:p w14:paraId="233D124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shd w:val="clear" w:color="auto" w:fill="C6EFCE"/>
            <w:vAlign w:val="center"/>
          </w:tcPr>
          <w:p w14:paraId="78F23D9F" w14:textId="2CB56D1D"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Komunitné nemocnice renovované, prepojené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technologicky vybavené </w:t>
            </w:r>
          </w:p>
        </w:tc>
        <w:tc>
          <w:tcPr>
            <w:tcW w:w="1363" w:type="dxa"/>
            <w:shd w:val="clear" w:color="auto" w:fill="C6EFCE"/>
            <w:vAlign w:val="center"/>
          </w:tcPr>
          <w:p w14:paraId="0033003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48" w:type="dxa"/>
            <w:shd w:val="clear" w:color="auto" w:fill="C6EFCE"/>
            <w:vAlign w:val="center"/>
          </w:tcPr>
          <w:p w14:paraId="3F9AFBF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50" w:type="dxa"/>
            <w:shd w:val="clear" w:color="auto" w:fill="C6EFCE"/>
            <w:vAlign w:val="center"/>
          </w:tcPr>
          <w:p w14:paraId="37C20ED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shd w:val="clear" w:color="auto" w:fill="C6EFCE"/>
            <w:vAlign w:val="center"/>
          </w:tcPr>
          <w:p w14:paraId="2AC07F5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307</w:t>
            </w:r>
          </w:p>
        </w:tc>
        <w:tc>
          <w:tcPr>
            <w:tcW w:w="992" w:type="dxa"/>
            <w:shd w:val="clear" w:color="auto" w:fill="C6EFCE"/>
            <w:vAlign w:val="center"/>
          </w:tcPr>
          <w:p w14:paraId="35E0E9C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9" w:type="dxa"/>
            <w:shd w:val="clear" w:color="auto" w:fill="C6EFCE"/>
            <w:vAlign w:val="center"/>
          </w:tcPr>
          <w:p w14:paraId="1075E06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634" w:type="dxa"/>
            <w:shd w:val="clear" w:color="auto" w:fill="C6EFCE"/>
            <w:vAlign w:val="center"/>
          </w:tcPr>
          <w:p w14:paraId="152E5FC1" w14:textId="24D3DEC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 xml:space="preserve">Správy </w:t>
            </w:r>
            <w:r w:rsidRPr="00326E55">
              <w:rPr>
                <w:rFonts w:ascii="Times New Roman" w:hAnsi="Times New Roman"/>
                <w:noProof/>
                <w:spacing w:val="-6"/>
                <w:lang w:val="sk-SK"/>
              </w:rPr>
              <w:t>nezávislých odborníkov potvrdzujúce aktiváciu služieb podľa noriem vymedzených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oddiele 11 prílohy 1</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DM 23</w:t>
            </w:r>
            <w:r w:rsidR="00326E55" w:rsidRPr="00326E55">
              <w:rPr>
                <w:rFonts w:ascii="Times New Roman" w:hAnsi="Times New Roman"/>
                <w:noProof/>
                <w:spacing w:val="-6"/>
                <w:lang w:val="sk-SK"/>
              </w:rPr>
              <w:t>. mája</w:t>
            </w:r>
            <w:r w:rsidRPr="00326E55">
              <w:rPr>
                <w:rFonts w:ascii="Times New Roman" w:hAnsi="Times New Roman"/>
                <w:noProof/>
                <w:spacing w:val="-6"/>
                <w:lang w:val="sk-SK"/>
              </w:rPr>
              <w:t xml:space="preserve"> 2022 </w:t>
            </w:r>
            <w:r w:rsidR="00326E55" w:rsidRPr="00326E55">
              <w:rPr>
                <w:rFonts w:ascii="Times New Roman" w:hAnsi="Times New Roman"/>
                <w:noProof/>
                <w:spacing w:val="-6"/>
                <w:lang w:val="sk-SK"/>
              </w:rPr>
              <w:t>č. </w:t>
            </w:r>
            <w:r w:rsidRPr="00326E55">
              <w:rPr>
                <w:rFonts w:ascii="Times New Roman" w:hAnsi="Times New Roman"/>
                <w:noProof/>
                <w:spacing w:val="-6"/>
                <w:lang w:val="sk-SK"/>
              </w:rPr>
              <w:t>77 aspoň</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307 komunitných nemocniciach.</w:t>
            </w:r>
          </w:p>
        </w:tc>
      </w:tr>
    </w:tbl>
    <w:p w14:paraId="68D764F4" w14:textId="77777777" w:rsidR="00BF03AA" w:rsidRPr="00326E55" w:rsidRDefault="00BF03AA">
      <w:pPr>
        <w:keepNext/>
        <w:tabs>
          <w:tab w:val="left" w:pos="4252"/>
        </w:tabs>
        <w:spacing w:before="720"/>
        <w:jc w:val="both"/>
        <w:rPr>
          <w:rFonts w:ascii="Times New Roman" w:hAnsi="Times New Roman"/>
          <w:i/>
          <w:noProof/>
          <w:spacing w:val="-6"/>
          <w:lang w:val="sk-SK"/>
        </w:rPr>
        <w:sectPr w:rsidR="00BF03AA" w:rsidRPr="00326E55" w:rsidSect="005F11B9">
          <w:headerReference w:type="even" r:id="rId286"/>
          <w:headerReference w:type="default" r:id="rId287"/>
          <w:footerReference w:type="even" r:id="rId288"/>
          <w:footerReference w:type="default" r:id="rId289"/>
          <w:headerReference w:type="first" r:id="rId290"/>
          <w:footerReference w:type="first" r:id="rId291"/>
          <w:pgSz w:w="16839" w:h="11907" w:orient="landscape"/>
          <w:pgMar w:top="1417" w:right="1134" w:bottom="1417" w:left="1134" w:header="709" w:footer="709" w:gutter="0"/>
          <w:cols w:space="720"/>
          <w:docGrid w:linePitch="360"/>
        </w:sectPr>
      </w:pPr>
    </w:p>
    <w:p w14:paraId="2A48C2FA" w14:textId="3BE86AA6" w:rsidR="00BF03AA" w:rsidRPr="00326E55" w:rsidRDefault="00FB452D">
      <w:pPr>
        <w:pStyle w:val="P68B1DB1-Heading23"/>
        <w:ind w:left="1080"/>
        <w:rPr>
          <w:noProof/>
          <w:spacing w:val="-6"/>
          <w:lang w:val="sk-SK"/>
        </w:rPr>
      </w:pPr>
      <w:r w:rsidRPr="00326E55">
        <w:rPr>
          <w:noProof/>
          <w:spacing w:val="-6"/>
          <w:lang w:val="sk-SK"/>
        </w:rPr>
        <w:t xml:space="preserve">P. ÚLOHA 6 ZLOŽKA 2: </w:t>
      </w:r>
      <w:r w:rsidRPr="00326E55">
        <w:rPr>
          <w:noProof/>
          <w:spacing w:val="-6"/>
          <w:lang w:val="sk-SK"/>
        </w:rPr>
        <w:t>Inovácie, výskum</w:t>
      </w:r>
      <w:r w:rsidR="00326E55" w:rsidRPr="00326E55">
        <w:rPr>
          <w:noProof/>
          <w:spacing w:val="-6"/>
          <w:lang w:val="sk-SK"/>
        </w:rPr>
        <w:t xml:space="preserve"> a </w:t>
      </w:r>
      <w:r w:rsidRPr="00326E55">
        <w:rPr>
          <w:noProof/>
          <w:spacing w:val="-6"/>
          <w:lang w:val="sk-SK"/>
        </w:rPr>
        <w:t>digitalizácia vnútroštátnych služieb zdravotnej starostlivosti</w:t>
      </w:r>
    </w:p>
    <w:p w14:paraId="446CBE99" w14:textId="2512CBF2" w:rsidR="00BF03AA" w:rsidRPr="00326E55" w:rsidRDefault="00FB452D">
      <w:pPr>
        <w:pStyle w:val="P68B1DB1-Normal7"/>
        <w:spacing w:before="120" w:after="120"/>
        <w:jc w:val="both"/>
        <w:rPr>
          <w:noProof/>
          <w:spacing w:val="-6"/>
          <w:lang w:val="sk-SK"/>
        </w:rPr>
      </w:pPr>
      <w:r w:rsidRPr="00326E55">
        <w:rPr>
          <w:noProof/>
          <w:spacing w:val="-6"/>
          <w:lang w:val="sk-SK"/>
        </w:rPr>
        <w:t>Cieľom tohto komponentu talianskeho plánu obnovy</w:t>
      </w:r>
      <w:r w:rsidR="00326E55" w:rsidRPr="00326E55">
        <w:rPr>
          <w:noProof/>
          <w:spacing w:val="-6"/>
          <w:lang w:val="sk-SK"/>
        </w:rPr>
        <w:t xml:space="preserve"> a </w:t>
      </w:r>
      <w:r w:rsidRPr="00326E55">
        <w:rPr>
          <w:noProof/>
          <w:spacing w:val="-6"/>
          <w:lang w:val="sk-SK"/>
        </w:rPr>
        <w:t>odolnosti je zabezpečiť potrebné základné podmienky pre väčšiu odolnosť vnútroštátnych služieb zdravotnej starostlivosti pr</w:t>
      </w:r>
      <w:r w:rsidRPr="00326E55">
        <w:rPr>
          <w:noProof/>
          <w:spacing w:val="-6"/>
          <w:lang w:val="sk-SK"/>
        </w:rPr>
        <w:t>ostredníctvom: I) nahradenie zastaraných zdravotníckych technológií</w:t>
      </w:r>
      <w:r w:rsidR="00326E55" w:rsidRPr="00326E55">
        <w:rPr>
          <w:noProof/>
          <w:spacing w:val="-6"/>
          <w:lang w:val="sk-SK"/>
        </w:rPr>
        <w:t xml:space="preserve"> v </w:t>
      </w:r>
      <w:r w:rsidRPr="00326E55">
        <w:rPr>
          <w:noProof/>
          <w:spacing w:val="-6"/>
          <w:lang w:val="sk-SK"/>
        </w:rPr>
        <w:t>nemocniciach; II) rozvoj významného štrukturálneho zlepšenia bezpečnosti nemocničných budov; III) zlepšenie zdravotníckych informačných systémov</w:t>
      </w:r>
      <w:r w:rsidR="00326E55" w:rsidRPr="00326E55">
        <w:rPr>
          <w:noProof/>
          <w:spacing w:val="-6"/>
          <w:lang w:val="sk-SK"/>
        </w:rPr>
        <w:t xml:space="preserve"> a </w:t>
      </w:r>
      <w:r w:rsidRPr="00326E55">
        <w:rPr>
          <w:noProof/>
          <w:spacing w:val="-6"/>
          <w:lang w:val="sk-SK"/>
        </w:rPr>
        <w:t>digitálnych nástrojov; IV) podpora</w:t>
      </w:r>
      <w:r w:rsidR="00326E55" w:rsidRPr="00326E55">
        <w:rPr>
          <w:noProof/>
          <w:spacing w:val="-6"/>
          <w:lang w:val="sk-SK"/>
        </w:rPr>
        <w:t xml:space="preserve"> a </w:t>
      </w:r>
      <w:r w:rsidRPr="00326E55">
        <w:rPr>
          <w:noProof/>
          <w:spacing w:val="-6"/>
          <w:lang w:val="sk-SK"/>
        </w:rPr>
        <w:t>po</w:t>
      </w:r>
      <w:r w:rsidRPr="00326E55">
        <w:rPr>
          <w:noProof/>
          <w:spacing w:val="-6"/>
          <w:lang w:val="sk-SK"/>
        </w:rPr>
        <w:t>silňovanie sektora vedeckého výskumu; v) posilnenie ľudských zdrojov.</w:t>
      </w:r>
    </w:p>
    <w:p w14:paraId="14B72277" w14:textId="68BCE1DD" w:rsidR="00326E55" w:rsidRPr="00326E55" w:rsidRDefault="00FB452D">
      <w:pPr>
        <w:pStyle w:val="P68B1DB1-Normal7"/>
        <w:spacing w:before="120" w:after="120"/>
        <w:jc w:val="both"/>
        <w:rPr>
          <w:noProof/>
          <w:spacing w:val="-6"/>
          <w:lang w:val="sk-SK"/>
        </w:rPr>
      </w:pPr>
      <w:r w:rsidRPr="00326E55">
        <w:rPr>
          <w:noProof/>
          <w:spacing w:val="-6"/>
          <w:lang w:val="sk-SK"/>
        </w:rPr>
        <w:t>Investície</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rámci tohto komponentu prispievajú</w:t>
      </w:r>
      <w:r w:rsidR="00326E55" w:rsidRPr="00326E55">
        <w:rPr>
          <w:noProof/>
          <w:spacing w:val="-6"/>
          <w:lang w:val="sk-SK"/>
        </w:rPr>
        <w:t xml:space="preserve"> k </w:t>
      </w:r>
      <w:r w:rsidRPr="00326E55">
        <w:rPr>
          <w:noProof/>
          <w:spacing w:val="-6"/>
          <w:lang w:val="sk-SK"/>
        </w:rPr>
        <w:t>plneniu odporúčaní pre danú krajinu adresovaných Taliansku</w:t>
      </w:r>
      <w:r w:rsidR="00326E55" w:rsidRPr="00326E55">
        <w:rPr>
          <w:noProof/>
          <w:spacing w:val="-6"/>
          <w:lang w:val="sk-SK"/>
        </w:rPr>
        <w:t xml:space="preserve"> v </w:t>
      </w:r>
      <w:r w:rsidRPr="00326E55">
        <w:rPr>
          <w:noProof/>
          <w:spacing w:val="-6"/>
          <w:lang w:val="sk-SK"/>
        </w:rPr>
        <w:t>rokoch 2020</w:t>
      </w:r>
      <w:r w:rsidR="00326E55" w:rsidRPr="00326E55">
        <w:rPr>
          <w:noProof/>
          <w:spacing w:val="-6"/>
          <w:lang w:val="sk-SK"/>
        </w:rPr>
        <w:t xml:space="preserve"> a </w:t>
      </w:r>
      <w:r w:rsidRPr="00326E55">
        <w:rPr>
          <w:noProof/>
          <w:spacing w:val="-6"/>
          <w:lang w:val="sk-SK"/>
        </w:rPr>
        <w:t>2019 týkajúcich sa potreby „posilniť odolnosť</w:t>
      </w:r>
      <w:r w:rsidR="00326E55" w:rsidRPr="00326E55">
        <w:rPr>
          <w:noProof/>
          <w:spacing w:val="-6"/>
          <w:lang w:val="sk-SK"/>
        </w:rPr>
        <w:t xml:space="preserve"> a </w:t>
      </w:r>
      <w:r w:rsidRPr="00326E55">
        <w:rPr>
          <w:noProof/>
          <w:spacing w:val="-6"/>
          <w:lang w:val="sk-SK"/>
        </w:rPr>
        <w:t>kap</w:t>
      </w:r>
      <w:r w:rsidRPr="00326E55">
        <w:rPr>
          <w:noProof/>
          <w:spacing w:val="-6"/>
          <w:lang w:val="sk-SK"/>
        </w:rPr>
        <w:t>acitu systému zdravotnej starostlivosti</w:t>
      </w:r>
      <w:r w:rsidR="00326E55" w:rsidRPr="00326E55">
        <w:rPr>
          <w:noProof/>
          <w:spacing w:val="-6"/>
          <w:lang w:val="sk-SK"/>
        </w:rPr>
        <w:t xml:space="preserve"> v </w:t>
      </w:r>
      <w:r w:rsidRPr="00326E55">
        <w:rPr>
          <w:noProof/>
          <w:spacing w:val="-6"/>
          <w:lang w:val="sk-SK"/>
        </w:rPr>
        <w:t>oblasti zdravotníckych pracovníkov, kritických zdravotníckych výrobkov</w:t>
      </w:r>
      <w:r w:rsidR="00326E55" w:rsidRPr="00326E55">
        <w:rPr>
          <w:noProof/>
          <w:spacing w:val="-6"/>
          <w:lang w:val="sk-SK"/>
        </w:rPr>
        <w:t xml:space="preserve"> a </w:t>
      </w:r>
      <w:r w:rsidRPr="00326E55">
        <w:rPr>
          <w:noProof/>
          <w:spacing w:val="-6"/>
          <w:lang w:val="sk-SK"/>
        </w:rPr>
        <w:t xml:space="preserve">infraštruktúry“ (odporúčanie pre danú krajinu </w:t>
      </w:r>
      <w:r w:rsidR="00326E55" w:rsidRPr="00326E55">
        <w:rPr>
          <w:noProof/>
          <w:spacing w:val="-6"/>
          <w:lang w:val="sk-SK"/>
        </w:rPr>
        <w:t>č. </w:t>
      </w:r>
      <w:r w:rsidRPr="00326E55">
        <w:rPr>
          <w:noProof/>
          <w:spacing w:val="-6"/>
          <w:lang w:val="sk-SK"/>
        </w:rPr>
        <w:t>1, 2020), „zamerať investície na zelenú</w:t>
      </w:r>
      <w:r w:rsidR="00326E55" w:rsidRPr="00326E55">
        <w:rPr>
          <w:noProof/>
          <w:spacing w:val="-6"/>
          <w:lang w:val="sk-SK"/>
        </w:rPr>
        <w:t xml:space="preserve"> a </w:t>
      </w:r>
      <w:r w:rsidRPr="00326E55">
        <w:rPr>
          <w:noProof/>
          <w:spacing w:val="-6"/>
          <w:lang w:val="sk-SK"/>
        </w:rPr>
        <w:t xml:space="preserve">digitálnu transformáciu, najmä na [...] posilnenú </w:t>
      </w:r>
      <w:r w:rsidRPr="00326E55">
        <w:rPr>
          <w:noProof/>
          <w:spacing w:val="-6"/>
          <w:lang w:val="sk-SK"/>
        </w:rPr>
        <w:t>digitálnu infraštruktúru</w:t>
      </w:r>
      <w:r w:rsidR="00326E55" w:rsidRPr="00326E55">
        <w:rPr>
          <w:noProof/>
          <w:spacing w:val="-6"/>
          <w:lang w:val="sk-SK"/>
        </w:rPr>
        <w:t xml:space="preserve"> s </w:t>
      </w:r>
      <w:r w:rsidRPr="00326E55">
        <w:rPr>
          <w:noProof/>
          <w:spacing w:val="-6"/>
          <w:lang w:val="sk-SK"/>
        </w:rPr>
        <w:t xml:space="preserve">cieľom zabezpečiť poskytovanie základných služieb“ (odporúčanie pre danú krajinu </w:t>
      </w:r>
      <w:r w:rsidR="00326E55" w:rsidRPr="00326E55">
        <w:rPr>
          <w:noProof/>
          <w:spacing w:val="-6"/>
          <w:lang w:val="sk-SK"/>
        </w:rPr>
        <w:t>č. </w:t>
      </w:r>
      <w:r w:rsidRPr="00326E55">
        <w:rPr>
          <w:noProof/>
          <w:spacing w:val="-6"/>
          <w:lang w:val="sk-SK"/>
        </w:rPr>
        <w:t>3, 2020)</w:t>
      </w:r>
      <w:r w:rsidR="00326E55" w:rsidRPr="00326E55">
        <w:rPr>
          <w:noProof/>
          <w:spacing w:val="-6"/>
          <w:lang w:val="sk-SK"/>
        </w:rPr>
        <w:t xml:space="preserve"> a </w:t>
      </w:r>
      <w:r w:rsidRPr="00326E55">
        <w:rPr>
          <w:noProof/>
          <w:spacing w:val="-6"/>
          <w:lang w:val="sk-SK"/>
        </w:rPr>
        <w:t>„zamerať hospodársku politiku súvisiacu</w:t>
      </w:r>
      <w:r w:rsidR="00326E55" w:rsidRPr="00326E55">
        <w:rPr>
          <w:noProof/>
          <w:spacing w:val="-6"/>
          <w:lang w:val="sk-SK"/>
        </w:rPr>
        <w:t xml:space="preserve"> s </w:t>
      </w:r>
      <w:r w:rsidRPr="00326E55">
        <w:rPr>
          <w:noProof/>
          <w:spacing w:val="-6"/>
          <w:lang w:val="sk-SK"/>
        </w:rPr>
        <w:t>investíciami na výskum</w:t>
      </w:r>
      <w:r w:rsidR="00326E55" w:rsidRPr="00326E55">
        <w:rPr>
          <w:noProof/>
          <w:spacing w:val="-6"/>
          <w:lang w:val="sk-SK"/>
        </w:rPr>
        <w:t xml:space="preserve"> a </w:t>
      </w:r>
      <w:r w:rsidRPr="00326E55">
        <w:rPr>
          <w:noProof/>
          <w:spacing w:val="-6"/>
          <w:lang w:val="sk-SK"/>
        </w:rPr>
        <w:t>inovácie</w:t>
      </w:r>
      <w:r w:rsidR="00326E55" w:rsidRPr="00326E55">
        <w:rPr>
          <w:noProof/>
          <w:spacing w:val="-6"/>
          <w:lang w:val="sk-SK"/>
        </w:rPr>
        <w:t xml:space="preserve"> a </w:t>
      </w:r>
      <w:r w:rsidRPr="00326E55">
        <w:rPr>
          <w:noProof/>
          <w:spacing w:val="-6"/>
          <w:lang w:val="sk-SK"/>
        </w:rPr>
        <w:t>kvalitu infraštruktúry, pričom sa zohľadnia aj regionáln</w:t>
      </w:r>
      <w:r w:rsidRPr="00326E55">
        <w:rPr>
          <w:noProof/>
          <w:spacing w:val="-6"/>
          <w:lang w:val="sk-SK"/>
        </w:rPr>
        <w:t xml:space="preserve">e rozdiely“ (odporúčanie pre jednotlivé krajiny </w:t>
      </w:r>
      <w:r w:rsidR="00326E55" w:rsidRPr="00326E55">
        <w:rPr>
          <w:noProof/>
          <w:spacing w:val="-6"/>
          <w:lang w:val="sk-SK"/>
        </w:rPr>
        <w:t>č. </w:t>
      </w:r>
      <w:r w:rsidRPr="00326E55">
        <w:rPr>
          <w:noProof/>
          <w:spacing w:val="-6"/>
          <w:lang w:val="sk-SK"/>
        </w:rPr>
        <w:t>3, 2019)</w:t>
      </w:r>
      <w:r w:rsidR="00326E55" w:rsidRPr="00326E55">
        <w:rPr>
          <w:noProof/>
          <w:spacing w:val="-6"/>
          <w:lang w:val="sk-SK"/>
        </w:rPr>
        <w:t>.</w:t>
      </w:r>
    </w:p>
    <w:p w14:paraId="07ACD82C" w14:textId="080075E2" w:rsidR="00BF03AA" w:rsidRPr="00326E55" w:rsidRDefault="00BF03AA">
      <w:pPr>
        <w:spacing w:before="120" w:after="120"/>
        <w:jc w:val="both"/>
        <w:rPr>
          <w:rFonts w:ascii="Times New Roman" w:hAnsi="Times New Roman" w:cs="Times New Roman"/>
          <w:noProof/>
          <w:spacing w:val="-6"/>
          <w:lang w:val="sk-SK"/>
        </w:rPr>
      </w:pPr>
    </w:p>
    <w:p w14:paraId="0CEDC842" w14:textId="11A0A3F2"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P.1.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nenávratnej finančnej podpory</w:t>
      </w:r>
    </w:p>
    <w:p w14:paraId="19284F44" w14:textId="609067FE" w:rsidR="00BF03AA" w:rsidRPr="00326E55" w:rsidRDefault="00FB452D">
      <w:pPr>
        <w:pStyle w:val="P68B1DB1-Normal5"/>
        <w:spacing w:before="120" w:after="120"/>
        <w:jc w:val="both"/>
        <w:rPr>
          <w:noProof/>
          <w:spacing w:val="-6"/>
          <w:lang w:val="sk-SK"/>
        </w:rPr>
      </w:pPr>
      <w:r w:rsidRPr="00326E55">
        <w:rPr>
          <w:noProof/>
          <w:spacing w:val="-6"/>
          <w:lang w:val="sk-SK"/>
        </w:rPr>
        <w:t>Reforma 1: Revidovať</w:t>
      </w:r>
      <w:r w:rsidR="00326E55" w:rsidRPr="00326E55">
        <w:rPr>
          <w:noProof/>
          <w:spacing w:val="-6"/>
          <w:lang w:val="sk-SK"/>
        </w:rPr>
        <w:t xml:space="preserve"> a </w:t>
      </w:r>
      <w:r w:rsidRPr="00326E55">
        <w:rPr>
          <w:noProof/>
          <w:spacing w:val="-6"/>
          <w:lang w:val="sk-SK"/>
        </w:rPr>
        <w:t>aktualizovať súčasný právny rámec Vedeckých ústavov pre nemocničnú starostlivosť</w:t>
      </w:r>
      <w:r w:rsidR="00326E55" w:rsidRPr="00326E55">
        <w:rPr>
          <w:noProof/>
          <w:spacing w:val="-6"/>
          <w:lang w:val="sk-SK"/>
        </w:rPr>
        <w:t xml:space="preserve"> a </w:t>
      </w:r>
      <w:r w:rsidRPr="00326E55">
        <w:rPr>
          <w:noProof/>
          <w:spacing w:val="-6"/>
          <w:lang w:val="sk-SK"/>
        </w:rPr>
        <w:t xml:space="preserve">starostlivosť </w:t>
      </w:r>
      <w:r w:rsidRPr="00326E55">
        <w:rPr>
          <w:noProof/>
          <w:spacing w:val="-6"/>
          <w:lang w:val="sk-SK"/>
        </w:rPr>
        <w:t>(IRCCS)</w:t>
      </w:r>
    </w:p>
    <w:p w14:paraId="550517E6" w14:textId="1691C6A8" w:rsidR="00326E55" w:rsidRPr="00326E55" w:rsidRDefault="00FB452D">
      <w:pPr>
        <w:pStyle w:val="P68B1DB1-Normal7"/>
        <w:spacing w:before="120"/>
        <w:jc w:val="both"/>
        <w:rPr>
          <w:noProof/>
          <w:spacing w:val="-6"/>
          <w:lang w:val="sk-SK"/>
        </w:rPr>
      </w:pPr>
      <w:r w:rsidRPr="00326E55">
        <w:rPr>
          <w:noProof/>
          <w:spacing w:val="-6"/>
          <w:lang w:val="sk-SK"/>
        </w:rPr>
        <w:t>Cieľom reformy je reorganizácia siete vedeckých ústavov pre nemocničnú</w:t>
      </w:r>
      <w:r w:rsidR="00326E55" w:rsidRPr="00326E55">
        <w:rPr>
          <w:noProof/>
          <w:spacing w:val="-6"/>
          <w:lang w:val="sk-SK"/>
        </w:rPr>
        <w:t xml:space="preserve"> a </w:t>
      </w:r>
      <w:r w:rsidRPr="00326E55">
        <w:rPr>
          <w:noProof/>
          <w:spacing w:val="-6"/>
          <w:lang w:val="sk-SK"/>
        </w:rPr>
        <w:t>zdravotnú starostlivosť (IRCCS)</w:t>
      </w:r>
      <w:r w:rsidR="00326E55" w:rsidRPr="00326E55">
        <w:rPr>
          <w:noProof/>
          <w:spacing w:val="-6"/>
          <w:lang w:val="sk-SK"/>
        </w:rPr>
        <w:t xml:space="preserve"> s </w:t>
      </w:r>
      <w:r w:rsidRPr="00326E55">
        <w:rPr>
          <w:noProof/>
          <w:spacing w:val="-6"/>
          <w:lang w:val="sk-SK"/>
        </w:rPr>
        <w:t>cieľom i) zlepšiť kvalitu vnútroštátneho systému zdravotnej starostlivosti (NHS), ii) zlepšiť vzťah medzi zdravím</w:t>
      </w:r>
      <w:r w:rsidR="00326E55" w:rsidRPr="00326E55">
        <w:rPr>
          <w:noProof/>
          <w:spacing w:val="-6"/>
          <w:lang w:val="sk-SK"/>
        </w:rPr>
        <w:t xml:space="preserve"> a </w:t>
      </w:r>
      <w:r w:rsidRPr="00326E55">
        <w:rPr>
          <w:noProof/>
          <w:spacing w:val="-6"/>
          <w:lang w:val="sk-SK"/>
        </w:rPr>
        <w:t>výskumom</w:t>
      </w:r>
      <w:r w:rsidR="00326E55" w:rsidRPr="00326E55">
        <w:rPr>
          <w:noProof/>
          <w:spacing w:val="-6"/>
          <w:lang w:val="sk-SK"/>
        </w:rPr>
        <w:t xml:space="preserve"> a </w:t>
      </w:r>
      <w:r w:rsidRPr="00326E55">
        <w:rPr>
          <w:noProof/>
          <w:spacing w:val="-6"/>
          <w:lang w:val="sk-SK"/>
        </w:rPr>
        <w:t>iii) prehodnot</w:t>
      </w:r>
      <w:r w:rsidRPr="00326E55">
        <w:rPr>
          <w:noProof/>
          <w:spacing w:val="-6"/>
          <w:lang w:val="sk-SK"/>
        </w:rPr>
        <w:t>iť právny režim IRCCS</w:t>
      </w:r>
      <w:r w:rsidR="00326E55" w:rsidRPr="00326E55">
        <w:rPr>
          <w:noProof/>
          <w:spacing w:val="-6"/>
          <w:lang w:val="sk-SK"/>
        </w:rPr>
        <w:t xml:space="preserve"> a </w:t>
      </w:r>
      <w:r w:rsidRPr="00326E55">
        <w:rPr>
          <w:noProof/>
          <w:spacing w:val="-6"/>
          <w:lang w:val="sk-SK"/>
        </w:rPr>
        <w:t>výskumné politiky</w:t>
      </w:r>
      <w:r w:rsidR="00326E55" w:rsidRPr="00326E55">
        <w:rPr>
          <w:noProof/>
          <w:spacing w:val="-6"/>
          <w:lang w:val="sk-SK"/>
        </w:rPr>
        <w:t xml:space="preserve"> v </w:t>
      </w:r>
      <w:r w:rsidRPr="00326E55">
        <w:rPr>
          <w:noProof/>
          <w:spacing w:val="-6"/>
          <w:lang w:val="sk-SK"/>
        </w:rPr>
        <w:t>rámci právomocí talianskeho ministerstva zdravotníctva</w:t>
      </w:r>
      <w:r w:rsidR="00326E55" w:rsidRPr="00326E55">
        <w:rPr>
          <w:noProof/>
          <w:spacing w:val="-6"/>
          <w:lang w:val="sk-SK"/>
        </w:rPr>
        <w:t>.</w:t>
      </w:r>
    </w:p>
    <w:p w14:paraId="2BF65FC1" w14:textId="596C170E" w:rsidR="00326E55" w:rsidRPr="00326E55" w:rsidRDefault="00FB452D">
      <w:pPr>
        <w:pStyle w:val="P68B1DB1-Normal7"/>
        <w:spacing w:before="120"/>
        <w:jc w:val="both"/>
        <w:rPr>
          <w:noProof/>
          <w:spacing w:val="-6"/>
          <w:lang w:val="sk-SK"/>
        </w:rPr>
      </w:pPr>
      <w:r w:rsidRPr="00326E55">
        <w:rPr>
          <w:noProof/>
          <w:spacing w:val="-6"/>
          <w:lang w:val="sk-SK"/>
        </w:rPr>
        <w:t>Reformou sa zlepší riadenie verejných IRCCS i) zlepšením strategického riadenia, ii) lepším vymedzením právomocí</w:t>
      </w:r>
      <w:r w:rsidR="00326E55" w:rsidRPr="00326E55">
        <w:rPr>
          <w:noProof/>
          <w:spacing w:val="-6"/>
          <w:lang w:val="sk-SK"/>
        </w:rPr>
        <w:t xml:space="preserve"> a </w:t>
      </w:r>
      <w:r w:rsidRPr="00326E55">
        <w:rPr>
          <w:noProof/>
          <w:spacing w:val="-6"/>
          <w:lang w:val="sk-SK"/>
        </w:rPr>
        <w:t>oblastí pôsobnosti</w:t>
      </w:r>
      <w:r w:rsidR="00326E55" w:rsidRPr="00326E55">
        <w:rPr>
          <w:noProof/>
          <w:spacing w:val="-6"/>
          <w:lang w:val="sk-SK"/>
        </w:rPr>
        <w:t xml:space="preserve"> a </w:t>
      </w:r>
      <w:r w:rsidRPr="00326E55">
        <w:rPr>
          <w:noProof/>
          <w:spacing w:val="-6"/>
          <w:lang w:val="sk-SK"/>
        </w:rPr>
        <w:t>iii) komplexným vyme</w:t>
      </w:r>
      <w:r w:rsidRPr="00326E55">
        <w:rPr>
          <w:noProof/>
          <w:spacing w:val="-6"/>
          <w:lang w:val="sk-SK"/>
        </w:rPr>
        <w:t>dzením pravidiel týkajúcich sa postavenia vedeckého riaditeľa verejných IRCCS</w:t>
      </w:r>
      <w:r w:rsidR="00326E55" w:rsidRPr="00326E55">
        <w:rPr>
          <w:noProof/>
          <w:spacing w:val="-6"/>
          <w:lang w:val="sk-SK"/>
        </w:rPr>
        <w:t xml:space="preserve"> a </w:t>
      </w:r>
      <w:r w:rsidRPr="00326E55">
        <w:rPr>
          <w:noProof/>
          <w:spacing w:val="-6"/>
          <w:lang w:val="sk-SK"/>
        </w:rPr>
        <w:t>výskumných pracovníkov</w:t>
      </w:r>
      <w:r w:rsidR="00326E55" w:rsidRPr="00326E55">
        <w:rPr>
          <w:noProof/>
          <w:spacing w:val="-6"/>
          <w:lang w:val="sk-SK"/>
        </w:rPr>
        <w:t>.</w:t>
      </w:r>
    </w:p>
    <w:p w14:paraId="3A0B33A6" w14:textId="40F890F4" w:rsidR="00BF03AA" w:rsidRPr="00326E55" w:rsidRDefault="00FB452D">
      <w:pPr>
        <w:pStyle w:val="P68B1DB1-Normal7"/>
        <w:spacing w:before="120"/>
        <w:jc w:val="both"/>
        <w:rPr>
          <w:bCs/>
          <w:iCs/>
          <w:noProof/>
          <w:spacing w:val="-6"/>
          <w:lang w:val="sk-SK"/>
        </w:rPr>
      </w:pPr>
      <w:r w:rsidRPr="00326E55">
        <w:rPr>
          <w:noProof/>
          <w:spacing w:val="-6"/>
          <w:lang w:val="sk-SK"/>
        </w:rPr>
        <w:t>A napokon, osobitné čiastkové opatrenie, ktoré rozlišuje IRCCS na základe ich činnosti (jednoodborný alebo všeobecný), vytvára integrovanú sieť IRCCS</w:t>
      </w:r>
      <w:r w:rsidR="00326E55" w:rsidRPr="00326E55">
        <w:rPr>
          <w:noProof/>
          <w:spacing w:val="-6"/>
          <w:lang w:val="sk-SK"/>
        </w:rPr>
        <w:t xml:space="preserve"> a </w:t>
      </w:r>
      <w:r w:rsidRPr="00326E55">
        <w:rPr>
          <w:noProof/>
          <w:spacing w:val="-6"/>
          <w:lang w:val="sk-SK"/>
        </w:rPr>
        <w:t>uľahčuje výmenu odborných znalostí medzi samotnými IRCCS</w:t>
      </w:r>
      <w:r w:rsidR="00326E55" w:rsidRPr="00326E55">
        <w:rPr>
          <w:noProof/>
          <w:spacing w:val="-6"/>
          <w:lang w:val="sk-SK"/>
        </w:rPr>
        <w:t xml:space="preserve"> a </w:t>
      </w:r>
      <w:r w:rsidRPr="00326E55">
        <w:rPr>
          <w:noProof/>
          <w:spacing w:val="-6"/>
          <w:lang w:val="sk-SK"/>
        </w:rPr>
        <w:t>inými štruktúrami talianskeho NHS.</w:t>
      </w:r>
    </w:p>
    <w:p w14:paraId="5AC94B42" w14:textId="46A9B978" w:rsidR="00BF03AA" w:rsidRPr="00326E55" w:rsidRDefault="00FB452D">
      <w:pPr>
        <w:pStyle w:val="P68B1DB1-Normal5"/>
        <w:spacing w:before="120" w:after="120"/>
        <w:jc w:val="both"/>
        <w:rPr>
          <w:bCs/>
          <w:iCs/>
          <w:noProof/>
          <w:spacing w:val="-6"/>
          <w:lang w:val="sk-SK"/>
        </w:rPr>
      </w:pPr>
      <w:r w:rsidRPr="00326E55">
        <w:rPr>
          <w:noProof/>
          <w:spacing w:val="-6"/>
          <w:lang w:val="sk-SK"/>
        </w:rPr>
        <w:t>Investícia 2.1: Posilnenie</w:t>
      </w:r>
      <w:r w:rsidR="00326E55" w:rsidRPr="00326E55">
        <w:rPr>
          <w:noProof/>
          <w:spacing w:val="-6"/>
          <w:lang w:val="sk-SK"/>
        </w:rPr>
        <w:t xml:space="preserve"> a </w:t>
      </w:r>
      <w:r w:rsidRPr="00326E55">
        <w:rPr>
          <w:noProof/>
          <w:spacing w:val="-6"/>
          <w:lang w:val="sk-SK"/>
        </w:rPr>
        <w:t>posilnenie biomedicínskeho výskumu NHS</w:t>
      </w:r>
    </w:p>
    <w:p w14:paraId="74DF3971" w14:textId="77777777" w:rsidR="00326E55" w:rsidRPr="00326E55" w:rsidRDefault="00FB452D">
      <w:pPr>
        <w:pStyle w:val="P68B1DB1-Normal7"/>
        <w:spacing w:before="120" w:after="120"/>
        <w:jc w:val="both"/>
        <w:rPr>
          <w:noProof/>
          <w:spacing w:val="-6"/>
          <w:lang w:val="sk-SK"/>
        </w:rPr>
      </w:pPr>
      <w:r w:rsidRPr="00326E55">
        <w:rPr>
          <w:noProof/>
          <w:spacing w:val="-6"/>
          <w:lang w:val="sk-SK"/>
        </w:rPr>
        <w:t>Cieľom opatrenia je zvýšiť financovanie systému biomedicínskeho výskumu</w:t>
      </w:r>
      <w:r w:rsidR="00326E55" w:rsidRPr="00326E55">
        <w:rPr>
          <w:noProof/>
          <w:spacing w:val="-6"/>
          <w:lang w:val="sk-SK"/>
        </w:rPr>
        <w:t>.</w:t>
      </w:r>
    </w:p>
    <w:p w14:paraId="2DADDB2A" w14:textId="582DBCD9" w:rsidR="00BF03AA" w:rsidRPr="00326E55" w:rsidRDefault="00FB452D">
      <w:pPr>
        <w:pStyle w:val="P68B1DB1-Normal7"/>
        <w:spacing w:before="120" w:after="120"/>
        <w:jc w:val="both"/>
        <w:rPr>
          <w:noProof/>
          <w:spacing w:val="-6"/>
          <w:lang w:val="sk-SK"/>
        </w:rPr>
      </w:pPr>
      <w:r w:rsidRPr="00326E55">
        <w:rPr>
          <w:noProof/>
          <w:spacing w:val="-6"/>
          <w:lang w:val="sk-SK"/>
        </w:rPr>
        <w:t>Investícia pozostáva</w:t>
      </w:r>
      <w:r w:rsidRPr="00326E55">
        <w:rPr>
          <w:noProof/>
          <w:color w:val="000000" w:themeColor="text1"/>
          <w:spacing w:val="-6"/>
          <w:lang w:val="sk-SK"/>
        </w:rPr>
        <w:t>z</w:t>
      </w:r>
      <w:r w:rsidRPr="00326E55">
        <w:rPr>
          <w:noProof/>
          <w:color w:val="000000" w:themeColor="text1"/>
          <w:spacing w:val="-6"/>
          <w:lang w:val="sk-SK"/>
        </w:rPr>
        <w:t xml:space="preserve"> vyváženia projektov overovania koncepcie, ako aj</w:t>
      </w:r>
      <w:r w:rsidR="00326E55" w:rsidRPr="00326E55">
        <w:rPr>
          <w:noProof/>
          <w:color w:val="000000" w:themeColor="text1"/>
          <w:spacing w:val="-6"/>
          <w:lang w:val="sk-SK"/>
        </w:rPr>
        <w:t xml:space="preserve"> z </w:t>
      </w:r>
      <w:r w:rsidRPr="00326E55">
        <w:rPr>
          <w:noProof/>
          <w:color w:val="000000" w:themeColor="text1"/>
          <w:spacing w:val="-6"/>
          <w:lang w:val="sk-SK"/>
        </w:rPr>
        <w:t>financovania výskumných iniciatív</w:t>
      </w:r>
      <w:r w:rsidR="00326E55" w:rsidRPr="00326E55">
        <w:rPr>
          <w:noProof/>
          <w:color w:val="000000" w:themeColor="text1"/>
          <w:spacing w:val="-6"/>
          <w:lang w:val="sk-SK"/>
        </w:rPr>
        <w:t xml:space="preserve"> v </w:t>
      </w:r>
      <w:r w:rsidRPr="00326E55">
        <w:rPr>
          <w:noProof/>
          <w:color w:val="000000" w:themeColor="text1"/>
          <w:spacing w:val="-6"/>
          <w:lang w:val="sk-SK"/>
        </w:rPr>
        <w:t>oblasti zriedkavých chorôb, zriedkavých druhov rakoviny</w:t>
      </w:r>
      <w:r w:rsidR="00326E55" w:rsidRPr="00326E55">
        <w:rPr>
          <w:noProof/>
          <w:color w:val="000000" w:themeColor="text1"/>
          <w:spacing w:val="-6"/>
          <w:lang w:val="sk-SK"/>
        </w:rPr>
        <w:t xml:space="preserve"> a </w:t>
      </w:r>
      <w:r w:rsidRPr="00326E55">
        <w:rPr>
          <w:noProof/>
          <w:spacing w:val="-6"/>
          <w:lang w:val="sk-SK"/>
        </w:rPr>
        <w:t>iných chorôb</w:t>
      </w:r>
      <w:r w:rsidR="00326E55" w:rsidRPr="00326E55">
        <w:rPr>
          <w:noProof/>
          <w:spacing w:val="-6"/>
          <w:lang w:val="sk-SK"/>
        </w:rPr>
        <w:t xml:space="preserve"> s </w:t>
      </w:r>
      <w:r w:rsidRPr="00326E55">
        <w:rPr>
          <w:noProof/>
          <w:spacing w:val="-6"/>
          <w:lang w:val="sk-SK"/>
        </w:rPr>
        <w:t>veľkým vplyvom na zdravie.</w:t>
      </w:r>
    </w:p>
    <w:p w14:paraId="3E6A265D" w14:textId="77777777" w:rsidR="00BF03AA" w:rsidRPr="00326E55" w:rsidRDefault="00BF03AA">
      <w:pPr>
        <w:spacing w:before="120" w:after="120"/>
        <w:ind w:left="709"/>
        <w:jc w:val="both"/>
        <w:rPr>
          <w:rFonts w:ascii="Times New Roman" w:hAnsi="Times New Roman"/>
          <w:noProof/>
          <w:spacing w:val="-6"/>
          <w:lang w:val="sk-SK"/>
        </w:rPr>
      </w:pPr>
    </w:p>
    <w:p w14:paraId="27272648" w14:textId="7E386CE4" w:rsidR="00BF03AA" w:rsidRPr="00326E55" w:rsidRDefault="00FB452D">
      <w:pPr>
        <w:pStyle w:val="P68B1DB1-Normal5"/>
        <w:spacing w:before="120" w:after="120"/>
        <w:jc w:val="both"/>
        <w:rPr>
          <w:iCs/>
          <w:noProof/>
          <w:spacing w:val="-6"/>
          <w:lang w:val="sk-SK"/>
        </w:rPr>
      </w:pPr>
      <w:r w:rsidRPr="00326E55">
        <w:rPr>
          <w:noProof/>
          <w:spacing w:val="-6"/>
          <w:lang w:val="sk-SK"/>
        </w:rPr>
        <w:t>Investícia 2.2: Rozvoj technicko-profesijných, digitálnych</w:t>
      </w:r>
      <w:r w:rsidR="00326E55" w:rsidRPr="00326E55">
        <w:rPr>
          <w:noProof/>
          <w:spacing w:val="-6"/>
          <w:lang w:val="sk-SK"/>
        </w:rPr>
        <w:t xml:space="preserve"> a </w:t>
      </w:r>
      <w:r w:rsidRPr="00326E55">
        <w:rPr>
          <w:noProof/>
          <w:spacing w:val="-6"/>
          <w:lang w:val="sk-SK"/>
        </w:rPr>
        <w:t>manažérskych zručností odborníkov</w:t>
      </w:r>
      <w:r w:rsidR="00326E55" w:rsidRPr="00326E55">
        <w:rPr>
          <w:noProof/>
          <w:spacing w:val="-6"/>
          <w:lang w:val="sk-SK"/>
        </w:rPr>
        <w:t xml:space="preserve"> v </w:t>
      </w:r>
      <w:r w:rsidRPr="00326E55">
        <w:rPr>
          <w:noProof/>
          <w:spacing w:val="-6"/>
          <w:lang w:val="sk-SK"/>
        </w:rPr>
        <w:t>systéme zdravotnej starostlivosti</w:t>
      </w:r>
    </w:p>
    <w:p w14:paraId="72F8CF1F" w14:textId="38182962" w:rsidR="00BF03AA" w:rsidRPr="00326E55" w:rsidRDefault="00FB452D">
      <w:pPr>
        <w:pStyle w:val="P68B1DB1-Normal7"/>
        <w:spacing w:before="120" w:after="120"/>
        <w:jc w:val="both"/>
        <w:rPr>
          <w:noProof/>
          <w:spacing w:val="-6"/>
          <w:lang w:val="sk-SK"/>
        </w:rPr>
      </w:pPr>
      <w:r w:rsidRPr="00326E55">
        <w:rPr>
          <w:noProof/>
          <w:spacing w:val="-6"/>
          <w:lang w:val="sk-SK"/>
        </w:rPr>
        <w:t>Táto investícia pozostáva zo zvýšenia štipendií na konkrétny kurz všeobecnej medicíny; spustenie plánu odbornej prípravy</w:t>
      </w:r>
      <w:r w:rsidR="00326E55" w:rsidRPr="00326E55">
        <w:rPr>
          <w:noProof/>
          <w:spacing w:val="-6"/>
          <w:lang w:val="sk-SK"/>
        </w:rPr>
        <w:t xml:space="preserve"> v </w:t>
      </w:r>
      <w:r w:rsidRPr="00326E55">
        <w:rPr>
          <w:noProof/>
          <w:spacing w:val="-6"/>
          <w:lang w:val="sk-SK"/>
        </w:rPr>
        <w:t>oblasti bezpečnosti nemocničných infekcií pre všetkých zamestna</w:t>
      </w:r>
      <w:r w:rsidRPr="00326E55">
        <w:rPr>
          <w:noProof/>
          <w:spacing w:val="-6"/>
          <w:lang w:val="sk-SK"/>
        </w:rPr>
        <w:t>ncov NHS; aktivácia cesty odbornej prípravy pre pracovníkov</w:t>
      </w:r>
      <w:r w:rsidR="00326E55" w:rsidRPr="00326E55">
        <w:rPr>
          <w:noProof/>
          <w:spacing w:val="-6"/>
          <w:lang w:val="sk-SK"/>
        </w:rPr>
        <w:t xml:space="preserve"> s </w:t>
      </w:r>
      <w:r w:rsidRPr="00326E55">
        <w:rPr>
          <w:noProof/>
          <w:spacing w:val="-6"/>
          <w:lang w:val="sk-SK"/>
        </w:rPr>
        <w:t>najvyššími úlohami</w:t>
      </w:r>
      <w:r w:rsidR="00326E55" w:rsidRPr="00326E55">
        <w:rPr>
          <w:noProof/>
          <w:spacing w:val="-6"/>
          <w:lang w:val="sk-SK"/>
        </w:rPr>
        <w:t xml:space="preserve"> v </w:t>
      </w:r>
      <w:r w:rsidRPr="00326E55">
        <w:rPr>
          <w:noProof/>
          <w:spacing w:val="-6"/>
          <w:lang w:val="sk-SK"/>
        </w:rPr>
        <w:t>orgánoch NHS</w:t>
      </w:r>
      <w:r w:rsidR="00326E55" w:rsidRPr="00326E55">
        <w:rPr>
          <w:noProof/>
          <w:spacing w:val="-6"/>
          <w:lang w:val="sk-SK"/>
        </w:rPr>
        <w:t xml:space="preserve"> v </w:t>
      </w:r>
      <w:r w:rsidRPr="00326E55">
        <w:rPr>
          <w:noProof/>
          <w:spacing w:val="-6"/>
          <w:lang w:val="sk-SK"/>
        </w:rPr>
        <w:t>oblasti riadiacich</w:t>
      </w:r>
      <w:r w:rsidR="00326E55" w:rsidRPr="00326E55">
        <w:rPr>
          <w:noProof/>
          <w:spacing w:val="-6"/>
          <w:lang w:val="sk-SK"/>
        </w:rPr>
        <w:t xml:space="preserve"> a </w:t>
      </w:r>
      <w:r w:rsidRPr="00326E55">
        <w:rPr>
          <w:noProof/>
          <w:spacing w:val="-6"/>
          <w:lang w:val="sk-SK"/>
        </w:rPr>
        <w:t>digitálnych zručností</w:t>
      </w:r>
      <w:r w:rsidR="00326E55" w:rsidRPr="00326E55">
        <w:rPr>
          <w:noProof/>
          <w:spacing w:val="-6"/>
          <w:lang w:val="sk-SK"/>
        </w:rPr>
        <w:t xml:space="preserve"> a </w:t>
      </w:r>
      <w:r w:rsidRPr="00326E55">
        <w:rPr>
          <w:noProof/>
          <w:spacing w:val="-6"/>
          <w:lang w:val="sk-SK"/>
        </w:rPr>
        <w:t>financovanie zmlúv</w:t>
      </w:r>
      <w:r w:rsidR="00326E55" w:rsidRPr="00326E55">
        <w:rPr>
          <w:noProof/>
          <w:spacing w:val="-6"/>
          <w:lang w:val="sk-SK"/>
        </w:rPr>
        <w:t xml:space="preserve"> o </w:t>
      </w:r>
      <w:r w:rsidRPr="00326E55">
        <w:rPr>
          <w:noProof/>
          <w:spacing w:val="-6"/>
          <w:lang w:val="sk-SK"/>
        </w:rPr>
        <w:t>špecializovanej lekárskej odbornej príprave.</w:t>
      </w:r>
    </w:p>
    <w:p w14:paraId="01BDB4B3" w14:textId="47843A78" w:rsidR="00BF03AA" w:rsidRPr="00326E55" w:rsidRDefault="00BF03AA">
      <w:pPr>
        <w:spacing w:before="120" w:after="120"/>
        <w:jc w:val="both"/>
        <w:rPr>
          <w:rFonts w:ascii="Times New Roman" w:hAnsi="Times New Roman"/>
          <w:noProof/>
          <w:spacing w:val="-6"/>
          <w:lang w:val="sk-SK"/>
        </w:rPr>
        <w:sectPr w:rsidR="00BF03AA" w:rsidRPr="00326E55" w:rsidSect="005F11B9">
          <w:headerReference w:type="even" r:id="rId292"/>
          <w:headerReference w:type="default" r:id="rId293"/>
          <w:footerReference w:type="even" r:id="rId294"/>
          <w:footerReference w:type="default" r:id="rId295"/>
          <w:headerReference w:type="first" r:id="rId296"/>
          <w:footerReference w:type="first" r:id="rId297"/>
          <w:pgSz w:w="11907" w:h="16839"/>
          <w:pgMar w:top="1134" w:right="1417" w:bottom="1134" w:left="1417" w:header="709" w:footer="709" w:gutter="0"/>
          <w:cols w:space="720"/>
          <w:docGrid w:linePitch="360"/>
        </w:sectPr>
      </w:pPr>
    </w:p>
    <w:p w14:paraId="65C9F3B8" w14:textId="7D955808" w:rsidR="00BF03AA" w:rsidRPr="00326E55" w:rsidRDefault="00FB452D">
      <w:pPr>
        <w:pStyle w:val="P68B1DB1-Heading368"/>
        <w:ind w:left="850" w:hanging="850"/>
        <w:rPr>
          <w:noProof/>
          <w:spacing w:val="-6"/>
          <w:lang w:val="sk-SK"/>
        </w:rPr>
      </w:pPr>
      <w:r w:rsidRPr="00326E55">
        <w:rPr>
          <w:noProof/>
          <w:spacing w:val="-6"/>
          <w:lang w:val="sk-SK"/>
        </w:rPr>
        <w:t xml:space="preserve">P.2. </w:t>
      </w:r>
      <w:r w:rsidRPr="00326E55">
        <w:rPr>
          <w:noProof/>
          <w:spacing w:val="-6"/>
          <w:lang w:val="sk-SK"/>
        </w:rPr>
        <w:tab/>
        <w:t>Míľniky, ciele, ukazovatele</w:t>
      </w:r>
      <w:r w:rsidR="00326E55" w:rsidRPr="00326E55">
        <w:rPr>
          <w:noProof/>
          <w:spacing w:val="-6"/>
          <w:lang w:val="sk-SK"/>
        </w:rPr>
        <w:t xml:space="preserve"> a </w:t>
      </w:r>
      <w:r w:rsidRPr="00326E55">
        <w:rPr>
          <w:noProof/>
          <w:spacing w:val="-6"/>
          <w:lang w:val="sk-SK"/>
        </w:rPr>
        <w:t>harmonogram monitorovania</w:t>
      </w:r>
      <w:r w:rsidR="00326E55" w:rsidRPr="00326E55">
        <w:rPr>
          <w:noProof/>
          <w:spacing w:val="-6"/>
          <w:lang w:val="sk-SK"/>
        </w:rPr>
        <w:t xml:space="preserve"> a </w:t>
      </w:r>
      <w:r w:rsidRPr="00326E55">
        <w:rPr>
          <w:noProof/>
          <w:spacing w:val="-6"/>
          <w:lang w:val="sk-SK"/>
        </w:rPr>
        <w:t>realizácie pre nenávratnú finančnú podporu</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2014"/>
        <w:gridCol w:w="1294"/>
        <w:gridCol w:w="1870"/>
        <w:gridCol w:w="1726"/>
        <w:gridCol w:w="1007"/>
        <w:gridCol w:w="1151"/>
        <w:gridCol w:w="863"/>
        <w:gridCol w:w="862"/>
        <w:gridCol w:w="719"/>
        <w:gridCol w:w="2933"/>
      </w:tblGrid>
      <w:tr w:rsidR="00BF03AA" w:rsidRPr="00326E55" w14:paraId="3745E2E7" w14:textId="77777777">
        <w:trPr>
          <w:trHeight w:val="927"/>
          <w:tblHeader/>
        </w:trPr>
        <w:tc>
          <w:tcPr>
            <w:tcW w:w="1176" w:type="dxa"/>
            <w:vMerge w:val="restart"/>
            <w:shd w:val="clear" w:color="auto" w:fill="BDD7EE"/>
            <w:vAlign w:val="center"/>
            <w:hideMark/>
          </w:tcPr>
          <w:p w14:paraId="0F97B8A2"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2014" w:type="dxa"/>
            <w:vMerge w:val="restart"/>
            <w:shd w:val="clear" w:color="auto" w:fill="BDD7EE"/>
            <w:vAlign w:val="center"/>
            <w:hideMark/>
          </w:tcPr>
          <w:p w14:paraId="4A92E0B7"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294" w:type="dxa"/>
            <w:vMerge w:val="restart"/>
            <w:shd w:val="clear" w:color="auto" w:fill="BDD7EE"/>
            <w:vAlign w:val="center"/>
            <w:hideMark/>
          </w:tcPr>
          <w:p w14:paraId="7FC3995A"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870" w:type="dxa"/>
            <w:vMerge w:val="restart"/>
            <w:shd w:val="clear" w:color="auto" w:fill="BDD7EE"/>
            <w:vAlign w:val="center"/>
            <w:hideMark/>
          </w:tcPr>
          <w:p w14:paraId="0DDF1FD6"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726" w:type="dxa"/>
            <w:vMerge w:val="restart"/>
            <w:shd w:val="clear" w:color="auto" w:fill="BDD7EE"/>
            <w:vAlign w:val="center"/>
            <w:hideMark/>
          </w:tcPr>
          <w:p w14:paraId="43D51E3F" w14:textId="77777777" w:rsidR="00BF03AA" w:rsidRPr="00326E55" w:rsidRDefault="00FB452D">
            <w:pPr>
              <w:spacing w:before="120" w:after="120"/>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021" w:type="dxa"/>
            <w:gridSpan w:val="3"/>
            <w:shd w:val="clear" w:color="auto" w:fill="BDD7EE"/>
            <w:vAlign w:val="center"/>
            <w:hideMark/>
          </w:tcPr>
          <w:p w14:paraId="61F637FE" w14:textId="77777777" w:rsidR="00BF03AA" w:rsidRPr="00326E55" w:rsidRDefault="00FB452D">
            <w:pPr>
              <w:spacing w:before="120" w:after="120"/>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581" w:type="dxa"/>
            <w:gridSpan w:val="2"/>
            <w:shd w:val="clear" w:color="auto" w:fill="BDD7EE"/>
            <w:vAlign w:val="center"/>
            <w:hideMark/>
          </w:tcPr>
          <w:p w14:paraId="3DCEF4B3"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2933" w:type="dxa"/>
            <w:vMerge w:val="restart"/>
            <w:shd w:val="clear" w:color="auto" w:fill="BDD7EE"/>
            <w:vAlign w:val="center"/>
            <w:hideMark/>
          </w:tcPr>
          <w:p w14:paraId="478E404F" w14:textId="0C1D2458"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51BBF346" w14:textId="77777777">
        <w:trPr>
          <w:trHeight w:val="703"/>
          <w:tblHeader/>
        </w:trPr>
        <w:tc>
          <w:tcPr>
            <w:tcW w:w="1176" w:type="dxa"/>
            <w:vMerge/>
            <w:vAlign w:val="center"/>
            <w:hideMark/>
          </w:tcPr>
          <w:p w14:paraId="0F1E8758" w14:textId="77777777" w:rsidR="00BF03AA" w:rsidRPr="00326E55" w:rsidRDefault="00BF03AA">
            <w:pPr>
              <w:spacing w:before="120" w:after="120"/>
              <w:jc w:val="center"/>
              <w:rPr>
                <w:rFonts w:ascii="Times New Roman" w:hAnsi="Times New Roman"/>
                <w:b/>
                <w:bCs/>
                <w:noProof/>
                <w:spacing w:val="-6"/>
                <w:sz w:val="20"/>
                <w:szCs w:val="20"/>
                <w:lang w:val="sk-SK"/>
              </w:rPr>
            </w:pPr>
          </w:p>
        </w:tc>
        <w:tc>
          <w:tcPr>
            <w:tcW w:w="2014" w:type="dxa"/>
            <w:vMerge/>
            <w:vAlign w:val="center"/>
            <w:hideMark/>
          </w:tcPr>
          <w:p w14:paraId="213B0320" w14:textId="77777777" w:rsidR="00BF03AA" w:rsidRPr="00326E55" w:rsidRDefault="00BF03AA">
            <w:pPr>
              <w:spacing w:before="120" w:after="120"/>
              <w:jc w:val="center"/>
              <w:rPr>
                <w:rFonts w:ascii="Times New Roman" w:hAnsi="Times New Roman"/>
                <w:b/>
                <w:bCs/>
                <w:noProof/>
                <w:spacing w:val="-6"/>
                <w:sz w:val="20"/>
                <w:szCs w:val="20"/>
                <w:lang w:val="sk-SK"/>
              </w:rPr>
            </w:pPr>
          </w:p>
        </w:tc>
        <w:tc>
          <w:tcPr>
            <w:tcW w:w="1294" w:type="dxa"/>
            <w:vMerge/>
            <w:vAlign w:val="center"/>
            <w:hideMark/>
          </w:tcPr>
          <w:p w14:paraId="6FF3B964" w14:textId="77777777" w:rsidR="00BF03AA" w:rsidRPr="00326E55" w:rsidRDefault="00BF03AA">
            <w:pPr>
              <w:spacing w:before="120" w:after="120"/>
              <w:jc w:val="center"/>
              <w:rPr>
                <w:rFonts w:ascii="Times New Roman" w:hAnsi="Times New Roman"/>
                <w:b/>
                <w:bCs/>
                <w:noProof/>
                <w:spacing w:val="-6"/>
                <w:sz w:val="20"/>
                <w:szCs w:val="20"/>
                <w:lang w:val="sk-SK"/>
              </w:rPr>
            </w:pPr>
          </w:p>
        </w:tc>
        <w:tc>
          <w:tcPr>
            <w:tcW w:w="1870" w:type="dxa"/>
            <w:vMerge/>
            <w:vAlign w:val="center"/>
            <w:hideMark/>
          </w:tcPr>
          <w:p w14:paraId="741C1834" w14:textId="77777777" w:rsidR="00BF03AA" w:rsidRPr="00326E55" w:rsidRDefault="00BF03AA">
            <w:pPr>
              <w:spacing w:before="120" w:after="120"/>
              <w:jc w:val="center"/>
              <w:rPr>
                <w:rFonts w:ascii="Times New Roman" w:hAnsi="Times New Roman"/>
                <w:b/>
                <w:bCs/>
                <w:noProof/>
                <w:spacing w:val="-6"/>
                <w:sz w:val="20"/>
                <w:szCs w:val="20"/>
                <w:lang w:val="sk-SK"/>
              </w:rPr>
            </w:pPr>
          </w:p>
        </w:tc>
        <w:tc>
          <w:tcPr>
            <w:tcW w:w="1726" w:type="dxa"/>
            <w:vMerge/>
            <w:vAlign w:val="center"/>
            <w:hideMark/>
          </w:tcPr>
          <w:p w14:paraId="74D96BDD" w14:textId="77777777" w:rsidR="00BF03AA" w:rsidRPr="00326E55" w:rsidRDefault="00BF03AA">
            <w:pPr>
              <w:spacing w:before="120" w:after="120"/>
              <w:jc w:val="center"/>
              <w:rPr>
                <w:rFonts w:ascii="Times New Roman" w:hAnsi="Times New Roman"/>
                <w:b/>
                <w:bCs/>
                <w:noProof/>
                <w:spacing w:val="-6"/>
                <w:sz w:val="20"/>
                <w:szCs w:val="20"/>
                <w:lang w:val="sk-SK"/>
              </w:rPr>
            </w:pPr>
          </w:p>
        </w:tc>
        <w:tc>
          <w:tcPr>
            <w:tcW w:w="1007" w:type="dxa"/>
            <w:shd w:val="clear" w:color="auto" w:fill="BDD7EE"/>
            <w:vAlign w:val="center"/>
            <w:hideMark/>
          </w:tcPr>
          <w:p w14:paraId="540BE98E"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151" w:type="dxa"/>
            <w:shd w:val="clear" w:color="auto" w:fill="BDD7EE"/>
            <w:vAlign w:val="center"/>
            <w:hideMark/>
          </w:tcPr>
          <w:p w14:paraId="680BD88E"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863" w:type="dxa"/>
            <w:shd w:val="clear" w:color="auto" w:fill="BDD7EE"/>
            <w:vAlign w:val="center"/>
            <w:hideMark/>
          </w:tcPr>
          <w:p w14:paraId="297FB5F9"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862" w:type="dxa"/>
            <w:shd w:val="clear" w:color="auto" w:fill="BDD7EE"/>
            <w:vAlign w:val="center"/>
            <w:hideMark/>
          </w:tcPr>
          <w:p w14:paraId="2374EB00"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19" w:type="dxa"/>
            <w:shd w:val="clear" w:color="auto" w:fill="BDD7EE"/>
            <w:vAlign w:val="center"/>
            <w:hideMark/>
          </w:tcPr>
          <w:p w14:paraId="576814CC"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933" w:type="dxa"/>
            <w:vMerge/>
            <w:vAlign w:val="center"/>
            <w:hideMark/>
          </w:tcPr>
          <w:p w14:paraId="4EF2BFFC" w14:textId="77777777" w:rsidR="00BF03AA" w:rsidRPr="00326E55" w:rsidRDefault="00BF03AA">
            <w:pPr>
              <w:spacing w:before="120" w:after="120"/>
              <w:rPr>
                <w:rFonts w:ascii="Times New Roman" w:hAnsi="Times New Roman"/>
                <w:b/>
                <w:bCs/>
                <w:noProof/>
                <w:spacing w:val="-6"/>
                <w:sz w:val="20"/>
                <w:szCs w:val="20"/>
                <w:lang w:val="sk-SK"/>
              </w:rPr>
            </w:pPr>
          </w:p>
        </w:tc>
      </w:tr>
      <w:tr w:rsidR="00BF03AA" w:rsidRPr="00326E55" w14:paraId="2A4304C8" w14:textId="77777777">
        <w:trPr>
          <w:trHeight w:val="309"/>
        </w:trPr>
        <w:tc>
          <w:tcPr>
            <w:tcW w:w="1176" w:type="dxa"/>
            <w:shd w:val="clear" w:color="auto" w:fill="C6EFCE"/>
            <w:noWrap/>
            <w:vAlign w:val="center"/>
          </w:tcPr>
          <w:p w14:paraId="32709E4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M6C2 – 1</w:t>
            </w:r>
          </w:p>
        </w:tc>
        <w:tc>
          <w:tcPr>
            <w:tcW w:w="2014" w:type="dxa"/>
            <w:shd w:val="clear" w:color="auto" w:fill="C6EFCE"/>
            <w:noWrap/>
            <w:vAlign w:val="center"/>
          </w:tcPr>
          <w:p w14:paraId="25748EBD" w14:textId="5303223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Reforma 1: Revidovať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aktualizovať súčasný právny rámec Vedeckých ústavov pre </w:t>
            </w:r>
            <w:r w:rsidRPr="00326E55">
              <w:rPr>
                <w:rFonts w:ascii="Times New Roman" w:hAnsi="Times New Roman"/>
                <w:noProof/>
                <w:spacing w:val="-6"/>
                <w:lang w:val="sk-SK"/>
              </w:rPr>
              <w:t>nemocničnú starostlivosť</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starostlivosť (IRCCS)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výskumné politiky ministerstva zdravotníctva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posilniť prepojenie medzi výskumom, inováciami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zdravotnou starostlivosťou</w:t>
            </w:r>
          </w:p>
        </w:tc>
        <w:tc>
          <w:tcPr>
            <w:tcW w:w="1294" w:type="dxa"/>
            <w:shd w:val="clear" w:color="auto" w:fill="C6EFCE"/>
            <w:noWrap/>
            <w:vAlign w:val="center"/>
          </w:tcPr>
          <w:p w14:paraId="0394C20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870" w:type="dxa"/>
            <w:shd w:val="clear" w:color="auto" w:fill="C6EFCE"/>
            <w:noWrap/>
            <w:vAlign w:val="center"/>
          </w:tcPr>
          <w:p w14:paraId="7CE53AF2" w14:textId="710B5D3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legislatívneho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reorganizácii </w:t>
            </w:r>
            <w:r w:rsidRPr="00326E55">
              <w:rPr>
                <w:rFonts w:ascii="Times New Roman" w:hAnsi="Times New Roman"/>
                <w:noProof/>
                <w:spacing w:val="-6"/>
                <w:lang w:val="sk-SK"/>
              </w:rPr>
              <w:t>nariadení, ktorými sa riadia vedecké inštitúty hospitalizácie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starostlivosti (IRCSS)</w:t>
            </w:r>
          </w:p>
        </w:tc>
        <w:tc>
          <w:tcPr>
            <w:tcW w:w="1726" w:type="dxa"/>
            <w:shd w:val="clear" w:color="auto" w:fill="C6EFCE"/>
            <w:noWrap/>
            <w:vAlign w:val="center"/>
          </w:tcPr>
          <w:p w14:paraId="01134809" w14:textId="28AFB613"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Ustanovenie dekrétu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w:t>
            </w:r>
          </w:p>
        </w:tc>
        <w:tc>
          <w:tcPr>
            <w:tcW w:w="1007" w:type="dxa"/>
            <w:shd w:val="clear" w:color="auto" w:fill="C6EFCE"/>
            <w:noWrap/>
            <w:vAlign w:val="center"/>
          </w:tcPr>
          <w:p w14:paraId="5BBF26F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51" w:type="dxa"/>
            <w:shd w:val="clear" w:color="auto" w:fill="C6EFCE"/>
            <w:noWrap/>
            <w:vAlign w:val="center"/>
          </w:tcPr>
          <w:p w14:paraId="4F466CD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63" w:type="dxa"/>
            <w:shd w:val="clear" w:color="auto" w:fill="C6EFCE"/>
            <w:noWrap/>
            <w:vAlign w:val="center"/>
          </w:tcPr>
          <w:p w14:paraId="5BCAE96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62" w:type="dxa"/>
            <w:shd w:val="clear" w:color="auto" w:fill="C6EFCE"/>
            <w:noWrap/>
            <w:vAlign w:val="center"/>
          </w:tcPr>
          <w:p w14:paraId="1269A23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19" w:type="dxa"/>
            <w:shd w:val="clear" w:color="auto" w:fill="C6EFCE"/>
            <w:noWrap/>
            <w:vAlign w:val="center"/>
          </w:tcPr>
          <w:p w14:paraId="7981B50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2022</w:t>
            </w:r>
          </w:p>
        </w:tc>
        <w:tc>
          <w:tcPr>
            <w:tcW w:w="2933" w:type="dxa"/>
            <w:shd w:val="clear" w:color="auto" w:fill="C6EFCE"/>
            <w:noWrap/>
            <w:vAlign w:val="center"/>
          </w:tcPr>
          <w:p w14:paraId="0009E612" w14:textId="24DCBD55"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Reformou sa reorganizuje sieť IRCCS</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zlepšiť kvalitu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excelentnos</w:t>
            </w:r>
            <w:r w:rsidRPr="00326E55">
              <w:rPr>
                <w:rFonts w:ascii="Times New Roman" w:hAnsi="Times New Roman"/>
                <w:noProof/>
                <w:spacing w:val="-6"/>
                <w:lang w:val="sk-SK"/>
              </w:rPr>
              <w:t>ť NHS, zlepšiť vzťah medzi zdravím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výskumom, prehodnotiť právny režim IRCCS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výskumné politiky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právomoci talianskeho ministerstva zdravotníctva.</w:t>
            </w:r>
          </w:p>
          <w:p w14:paraId="16CBFA03" w14:textId="56DCB8E4"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Reforma zahŕňa opatrenia na: I) posilniť prepojenie medzi výskumom, inováciami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zdravotnou starostl</w:t>
            </w:r>
            <w:r w:rsidRPr="00326E55">
              <w:rPr>
                <w:rFonts w:ascii="Times New Roman" w:hAnsi="Times New Roman"/>
                <w:noProof/>
                <w:spacing w:val="-6"/>
                <w:lang w:val="sk-SK"/>
              </w:rPr>
              <w:t>ivosťou; II) zlepšiť riadenie verejných IRCCS zlepšením strategického riadenia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lepším vymedzením právomocí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oblastí pôsobnosti.</w:t>
            </w:r>
          </w:p>
        </w:tc>
      </w:tr>
      <w:tr w:rsidR="00BF03AA" w:rsidRPr="00326E55" w14:paraId="75B5FA6C" w14:textId="77777777">
        <w:trPr>
          <w:trHeight w:val="309"/>
        </w:trPr>
        <w:tc>
          <w:tcPr>
            <w:tcW w:w="1176" w:type="dxa"/>
            <w:shd w:val="clear" w:color="auto" w:fill="C6EFCE"/>
            <w:noWrap/>
            <w:vAlign w:val="center"/>
            <w:hideMark/>
          </w:tcPr>
          <w:p w14:paraId="681B3CE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M6C2 – 2</w:t>
            </w:r>
          </w:p>
        </w:tc>
        <w:tc>
          <w:tcPr>
            <w:tcW w:w="2014" w:type="dxa"/>
            <w:shd w:val="clear" w:color="auto" w:fill="C6EFCE"/>
            <w:noWrap/>
            <w:vAlign w:val="center"/>
            <w:hideMark/>
          </w:tcPr>
          <w:p w14:paraId="77FD104F" w14:textId="641FC77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2.1: Posilnenie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biomedicínskeho výskumu NHS</w:t>
            </w:r>
          </w:p>
        </w:tc>
        <w:tc>
          <w:tcPr>
            <w:tcW w:w="1294" w:type="dxa"/>
            <w:shd w:val="clear" w:color="auto" w:fill="C6EFCE"/>
            <w:noWrap/>
            <w:vAlign w:val="center"/>
            <w:hideMark/>
          </w:tcPr>
          <w:p w14:paraId="42679A1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870" w:type="dxa"/>
            <w:shd w:val="clear" w:color="auto" w:fill="C6EFCE"/>
            <w:noWrap/>
            <w:vAlign w:val="center"/>
            <w:hideMark/>
          </w:tcPr>
          <w:p w14:paraId="1B8F33B5" w14:textId="5CEF8988"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Výskumné projekty financované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w:t>
            </w:r>
            <w:r w:rsidRPr="00326E55">
              <w:rPr>
                <w:rFonts w:ascii="Times New Roman" w:hAnsi="Times New Roman"/>
                <w:noProof/>
                <w:spacing w:val="-6"/>
                <w:lang w:val="sk-SK"/>
              </w:rPr>
              <w:t>boja proti rakovine (Dôkaz koncepcie)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zriedkavých druhov rakoviny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chorôb</w:t>
            </w:r>
          </w:p>
        </w:tc>
        <w:tc>
          <w:tcPr>
            <w:tcW w:w="1726" w:type="dxa"/>
            <w:shd w:val="clear" w:color="auto" w:fill="C6EFCE"/>
            <w:noWrap/>
            <w:vAlign w:val="center"/>
          </w:tcPr>
          <w:p w14:paraId="5FBF67F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7" w:type="dxa"/>
            <w:shd w:val="clear" w:color="auto" w:fill="C6EFCE"/>
            <w:noWrap/>
            <w:vAlign w:val="center"/>
            <w:hideMark/>
          </w:tcPr>
          <w:p w14:paraId="4D03637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1" w:type="dxa"/>
            <w:shd w:val="clear" w:color="auto" w:fill="C6EFCE"/>
            <w:noWrap/>
            <w:vAlign w:val="center"/>
            <w:hideMark/>
          </w:tcPr>
          <w:p w14:paraId="160AA63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63" w:type="dxa"/>
            <w:shd w:val="clear" w:color="auto" w:fill="C6EFCE"/>
            <w:noWrap/>
            <w:vAlign w:val="center"/>
            <w:hideMark/>
          </w:tcPr>
          <w:p w14:paraId="31966BDC"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200</w:t>
            </w:r>
          </w:p>
        </w:tc>
        <w:tc>
          <w:tcPr>
            <w:tcW w:w="862" w:type="dxa"/>
            <w:shd w:val="clear" w:color="auto" w:fill="C6EFCE"/>
            <w:noWrap/>
            <w:vAlign w:val="center"/>
            <w:hideMark/>
          </w:tcPr>
          <w:p w14:paraId="72B4AA64"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9" w:type="dxa"/>
            <w:shd w:val="clear" w:color="auto" w:fill="C6EFCE"/>
            <w:noWrap/>
            <w:vAlign w:val="center"/>
            <w:hideMark/>
          </w:tcPr>
          <w:p w14:paraId="17F9A58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933" w:type="dxa"/>
            <w:shd w:val="clear" w:color="auto" w:fill="C6EFCE"/>
            <w:noWrap/>
            <w:vAlign w:val="center"/>
            <w:hideMark/>
          </w:tcPr>
          <w:p w14:paraId="5F4F2459" w14:textId="53959BD6"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Pridelenie finančných prostriedkov na výskumné projekty</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oblasti zriedkavých chorôb</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zriedkavých druhov rakoviny</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dôkazov</w:t>
            </w:r>
            <w:r w:rsidR="00326E55" w:rsidRPr="00326E55">
              <w:rPr>
                <w:rFonts w:ascii="Times New Roman" w:hAnsi="Times New Roman"/>
                <w:noProof/>
                <w:color w:val="006100"/>
                <w:spacing w:val="-6"/>
                <w:sz w:val="20"/>
                <w:szCs w:val="20"/>
                <w:lang w:val="sk-SK"/>
              </w:rPr>
              <w:t xml:space="preserve"> o </w:t>
            </w:r>
            <w:r w:rsidRPr="00326E55">
              <w:rPr>
                <w:rFonts w:ascii="Times New Roman" w:hAnsi="Times New Roman"/>
                <w:noProof/>
                <w:color w:val="006100"/>
                <w:spacing w:val="-6"/>
                <w:sz w:val="20"/>
                <w:szCs w:val="20"/>
                <w:lang w:val="sk-SK"/>
              </w:rPr>
              <w:t xml:space="preserve">koncepcii (PoC). </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Poskytovanie finančných prostriedkov na výskumné projekty PoC</w:t>
            </w:r>
            <w:r w:rsidR="00326E55" w:rsidRPr="00326E55">
              <w:rPr>
                <w:rFonts w:ascii="Times New Roman" w:hAnsi="Times New Roman"/>
                <w:noProof/>
                <w:color w:val="006100"/>
                <w:spacing w:val="-6"/>
                <w:sz w:val="20"/>
                <w:szCs w:val="20"/>
                <w:lang w:val="sk-SK"/>
              </w:rPr>
              <w:t xml:space="preserve"> a v </w:t>
            </w:r>
            <w:r w:rsidRPr="00326E55">
              <w:rPr>
                <w:rFonts w:ascii="Times New Roman" w:hAnsi="Times New Roman"/>
                <w:noProof/>
                <w:color w:val="006100"/>
                <w:spacing w:val="-6"/>
                <w:sz w:val="20"/>
                <w:szCs w:val="20"/>
                <w:lang w:val="sk-SK"/>
              </w:rPr>
              <w:t>oblasti zriedkavých chorôb</w:t>
            </w:r>
            <w:r w:rsidR="00326E55" w:rsidRPr="00326E55">
              <w:rPr>
                <w:rFonts w:ascii="Times New Roman" w:hAnsi="Times New Roman"/>
                <w:noProof/>
                <w:color w:val="006100"/>
                <w:spacing w:val="-6"/>
                <w:sz w:val="20"/>
                <w:szCs w:val="20"/>
                <w:lang w:val="sk-SK"/>
              </w:rPr>
              <w:t xml:space="preserve"> a </w:t>
            </w:r>
            <w:r w:rsidRPr="00326E55">
              <w:rPr>
                <w:rFonts w:ascii="Times New Roman" w:hAnsi="Times New Roman"/>
                <w:noProof/>
                <w:color w:val="006100"/>
                <w:spacing w:val="-6"/>
                <w:sz w:val="20"/>
                <w:szCs w:val="20"/>
                <w:lang w:val="sk-SK"/>
              </w:rPr>
              <w:t>zriedkavých druhov rakoviny sa uskutočňuje prostredníctvom postupu verejného obstarávania.</w:t>
            </w:r>
          </w:p>
          <w:p w14:paraId="7A32460B"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Najmenej 200 výskumných projektov dostalo prvú tran</w:t>
            </w:r>
            <w:r w:rsidRPr="00326E55">
              <w:rPr>
                <w:rFonts w:ascii="Times New Roman" w:hAnsi="Times New Roman"/>
                <w:noProof/>
                <w:spacing w:val="-6"/>
                <w:lang w:val="sk-SK"/>
              </w:rPr>
              <w:t>žu financovania.</w:t>
            </w:r>
          </w:p>
        </w:tc>
      </w:tr>
      <w:tr w:rsidR="00BF03AA" w:rsidRPr="00326E55" w14:paraId="0DAEBDAF" w14:textId="77777777">
        <w:trPr>
          <w:trHeight w:val="309"/>
        </w:trPr>
        <w:tc>
          <w:tcPr>
            <w:tcW w:w="1176" w:type="dxa"/>
            <w:shd w:val="clear" w:color="auto" w:fill="C6EFCE"/>
            <w:noWrap/>
            <w:vAlign w:val="center"/>
          </w:tcPr>
          <w:p w14:paraId="6154E6C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M6C2 – 3</w:t>
            </w:r>
          </w:p>
        </w:tc>
        <w:tc>
          <w:tcPr>
            <w:tcW w:w="2014" w:type="dxa"/>
            <w:shd w:val="clear" w:color="auto" w:fill="C6EFCE"/>
            <w:noWrap/>
            <w:vAlign w:val="center"/>
          </w:tcPr>
          <w:p w14:paraId="1125A57A" w14:textId="61DCAE0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2.1: Posilnenie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posilnenie biomedicínskeho výskumu NHS</w:t>
            </w:r>
          </w:p>
        </w:tc>
        <w:tc>
          <w:tcPr>
            <w:tcW w:w="1294" w:type="dxa"/>
            <w:shd w:val="clear" w:color="auto" w:fill="C6EFCE"/>
            <w:noWrap/>
            <w:vAlign w:val="center"/>
          </w:tcPr>
          <w:p w14:paraId="6C49FC9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870" w:type="dxa"/>
            <w:shd w:val="clear" w:color="auto" w:fill="C6EFCE"/>
            <w:noWrap/>
            <w:vAlign w:val="center"/>
          </w:tcPr>
          <w:p w14:paraId="6D6CA47E" w14:textId="635A54A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Výskumné projekty financované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chorôb</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veľkým vplyvom na zdravie</w:t>
            </w:r>
          </w:p>
        </w:tc>
        <w:tc>
          <w:tcPr>
            <w:tcW w:w="1726" w:type="dxa"/>
            <w:shd w:val="clear" w:color="auto" w:fill="C6EFCE"/>
            <w:noWrap/>
            <w:vAlign w:val="center"/>
          </w:tcPr>
          <w:p w14:paraId="7BEF5C0C"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007" w:type="dxa"/>
            <w:shd w:val="clear" w:color="auto" w:fill="C6EFCE"/>
            <w:noWrap/>
            <w:vAlign w:val="center"/>
          </w:tcPr>
          <w:p w14:paraId="28AB3651"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1151" w:type="dxa"/>
            <w:shd w:val="clear" w:color="auto" w:fill="C6EFCE"/>
            <w:noWrap/>
            <w:vAlign w:val="center"/>
          </w:tcPr>
          <w:p w14:paraId="4B4F81F0"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863" w:type="dxa"/>
            <w:shd w:val="clear" w:color="auto" w:fill="C6EFCE"/>
            <w:noWrap/>
            <w:vAlign w:val="center"/>
          </w:tcPr>
          <w:p w14:paraId="4438BD1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324</w:t>
            </w:r>
          </w:p>
        </w:tc>
        <w:tc>
          <w:tcPr>
            <w:tcW w:w="862" w:type="dxa"/>
            <w:shd w:val="clear" w:color="auto" w:fill="C6EFCE"/>
            <w:noWrap/>
            <w:vAlign w:val="center"/>
          </w:tcPr>
          <w:p w14:paraId="4FBADA3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9" w:type="dxa"/>
            <w:shd w:val="clear" w:color="auto" w:fill="C6EFCE"/>
            <w:noWrap/>
            <w:vAlign w:val="center"/>
          </w:tcPr>
          <w:p w14:paraId="4E527F65"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2933" w:type="dxa"/>
            <w:shd w:val="clear" w:color="auto" w:fill="C6EFCE"/>
            <w:noWrap/>
            <w:vAlign w:val="center"/>
          </w:tcPr>
          <w:p w14:paraId="4DEE127E" w14:textId="11333CF1" w:rsidR="00BF03AA" w:rsidRPr="00326E55" w:rsidRDefault="00FB452D">
            <w:pPr>
              <w:rPr>
                <w:rFonts w:ascii="Times New Roman" w:hAnsi="Times New Roman"/>
                <w:noProof/>
                <w:color w:val="006100"/>
                <w:spacing w:val="-6"/>
                <w:sz w:val="20"/>
                <w:szCs w:val="20"/>
                <w:lang w:val="sk-SK"/>
              </w:rPr>
            </w:pPr>
            <w:r w:rsidRPr="00326E55">
              <w:rPr>
                <w:rFonts w:ascii="Times New Roman" w:hAnsi="Times New Roman"/>
                <w:noProof/>
                <w:color w:val="006100"/>
                <w:spacing w:val="-6"/>
                <w:sz w:val="20"/>
                <w:szCs w:val="20"/>
                <w:lang w:val="sk-SK"/>
              </w:rPr>
              <w:t xml:space="preserve">Pridelenie finančných prostriedkov na </w:t>
            </w:r>
            <w:r w:rsidRPr="00326E55">
              <w:rPr>
                <w:rFonts w:ascii="Times New Roman" w:hAnsi="Times New Roman"/>
                <w:noProof/>
                <w:color w:val="006100"/>
                <w:spacing w:val="-6"/>
                <w:sz w:val="20"/>
                <w:szCs w:val="20"/>
                <w:lang w:val="sk-SK"/>
              </w:rPr>
              <w:t>výskumné projekty</w:t>
            </w:r>
            <w:r w:rsidR="00326E55" w:rsidRPr="00326E55">
              <w:rPr>
                <w:rFonts w:ascii="Times New Roman" w:hAnsi="Times New Roman"/>
                <w:noProof/>
                <w:color w:val="006100"/>
                <w:spacing w:val="-6"/>
                <w:sz w:val="20"/>
                <w:szCs w:val="20"/>
                <w:lang w:val="sk-SK"/>
              </w:rPr>
              <w:t xml:space="preserve"> v </w:t>
            </w:r>
            <w:r w:rsidRPr="00326E55">
              <w:rPr>
                <w:rFonts w:ascii="Times New Roman" w:hAnsi="Times New Roman"/>
                <w:noProof/>
                <w:color w:val="006100"/>
                <w:spacing w:val="-6"/>
                <w:sz w:val="20"/>
                <w:szCs w:val="20"/>
                <w:lang w:val="sk-SK"/>
              </w:rPr>
              <w:t>oblasti chorôb</w:t>
            </w:r>
            <w:r w:rsidR="00326E55" w:rsidRPr="00326E55">
              <w:rPr>
                <w:rFonts w:ascii="Times New Roman" w:hAnsi="Times New Roman"/>
                <w:noProof/>
                <w:color w:val="006100"/>
                <w:spacing w:val="-6"/>
                <w:sz w:val="20"/>
                <w:szCs w:val="20"/>
                <w:lang w:val="sk-SK"/>
              </w:rPr>
              <w:t xml:space="preserve"> s </w:t>
            </w:r>
            <w:r w:rsidRPr="00326E55">
              <w:rPr>
                <w:rFonts w:ascii="Times New Roman" w:hAnsi="Times New Roman"/>
                <w:noProof/>
                <w:color w:val="006100"/>
                <w:spacing w:val="-6"/>
                <w:sz w:val="20"/>
                <w:szCs w:val="20"/>
                <w:lang w:val="sk-SK"/>
              </w:rPr>
              <w:t>veľkým vplyvom na zdravie.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100"/>
                <w:spacing w:val="-6"/>
                <w:sz w:val="20"/>
                <w:szCs w:val="20"/>
                <w:lang w:val="sk-SK"/>
              </w:rPr>
              <w:t>Poskytovanie finančných prostriedkov na výskumné projekty týkajúce sa chorôb</w:t>
            </w:r>
            <w:r w:rsidR="00326E55" w:rsidRPr="00326E55">
              <w:rPr>
                <w:rFonts w:ascii="Times New Roman" w:hAnsi="Times New Roman"/>
                <w:noProof/>
                <w:color w:val="006100"/>
                <w:spacing w:val="-6"/>
                <w:sz w:val="20"/>
                <w:szCs w:val="20"/>
                <w:lang w:val="sk-SK"/>
              </w:rPr>
              <w:t xml:space="preserve"> s </w:t>
            </w:r>
            <w:r w:rsidRPr="00326E55">
              <w:rPr>
                <w:rFonts w:ascii="Times New Roman" w:hAnsi="Times New Roman"/>
                <w:noProof/>
                <w:color w:val="006100"/>
                <w:spacing w:val="-6"/>
                <w:sz w:val="20"/>
                <w:szCs w:val="20"/>
                <w:lang w:val="sk-SK"/>
              </w:rPr>
              <w:t>veľkým vplyvom na zdravie sa uskutočňuje prostredníctvom postupu verejného obstarávania.</w:t>
            </w:r>
          </w:p>
          <w:p w14:paraId="41484C95" w14:textId="77777777"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Najmenej 324 výskumnýc</w:t>
            </w:r>
            <w:r w:rsidRPr="00326E55">
              <w:rPr>
                <w:rFonts w:ascii="Times New Roman" w:hAnsi="Times New Roman"/>
                <w:noProof/>
                <w:spacing w:val="-6"/>
                <w:lang w:val="sk-SK"/>
              </w:rPr>
              <w:t>h projektov dostalo prvú tranžu financovania.</w:t>
            </w:r>
          </w:p>
        </w:tc>
      </w:tr>
      <w:tr w:rsidR="00BF03AA" w:rsidRPr="00326E55" w14:paraId="1B55A8A7" w14:textId="77777777">
        <w:trPr>
          <w:trHeight w:val="309"/>
        </w:trPr>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A092C1"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M6C2 – 16</w:t>
            </w:r>
          </w:p>
        </w:tc>
        <w:tc>
          <w:tcPr>
            <w:tcW w:w="20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AD8DF" w14:textId="15B2FA02"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Investícia 2.2: Rozvoj technicko-profesijných, digitálnych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manažérskych zručností odborníkov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systéme zdravotnej starostlivosti</w:t>
            </w:r>
          </w:p>
        </w:tc>
        <w:tc>
          <w:tcPr>
            <w:tcW w:w="129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EA5E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8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03071" w14:textId="0ECC07BB"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Odborná príprava zdravotníckych pracovníkov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w:t>
            </w:r>
            <w:r w:rsidRPr="00326E55">
              <w:rPr>
                <w:rFonts w:ascii="Times New Roman" w:hAnsi="Times New Roman"/>
                <w:noProof/>
                <w:spacing w:val="-6"/>
                <w:lang w:val="sk-SK"/>
              </w:rPr>
              <w:t>manažérskych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digitálnych zručností </w:t>
            </w:r>
          </w:p>
        </w:tc>
        <w:tc>
          <w:tcPr>
            <w:tcW w:w="17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0F337E"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0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375DD0"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1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6C3C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8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0E974"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4 500</w:t>
            </w: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8EA4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03ED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9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6CB64" w14:textId="716109C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účasti na kurzoch odbornej prípravy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manažérskych alebo digitálnych zručnostiach pre 4500 zamestnancov Národnej zdravotnej služby. </w:t>
            </w:r>
          </w:p>
        </w:tc>
      </w:tr>
      <w:tr w:rsidR="00BF03AA" w:rsidRPr="00326E55" w14:paraId="0B83B39C" w14:textId="77777777">
        <w:trPr>
          <w:trHeight w:val="309"/>
        </w:trPr>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33C2BE"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M6C2 – 17</w:t>
            </w:r>
          </w:p>
        </w:tc>
        <w:tc>
          <w:tcPr>
            <w:tcW w:w="20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C2D615" w14:textId="7C7824C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Investícia 2.2: </w:t>
            </w:r>
            <w:r w:rsidRPr="00326E55">
              <w:rPr>
                <w:rFonts w:ascii="Times New Roman" w:hAnsi="Times New Roman"/>
                <w:noProof/>
                <w:spacing w:val="-6"/>
                <w:lang w:val="sk-SK"/>
              </w:rPr>
              <w:t>Rozvoj technicko-profesijných, digitálnych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manažérskych zručností odborníkov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systéme zdravotnej starostlivosti</w:t>
            </w:r>
          </w:p>
        </w:tc>
        <w:tc>
          <w:tcPr>
            <w:tcW w:w="129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9B9C0C"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8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BE6FF1" w14:textId="0B68904A"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 xml:space="preserve"> — Zadanie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odbornej príprave lekárov špecialistov</w:t>
            </w:r>
          </w:p>
        </w:tc>
        <w:tc>
          <w:tcPr>
            <w:tcW w:w="17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96CDB"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00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31F482"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11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7E0F19"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0</w:t>
            </w:r>
          </w:p>
        </w:tc>
        <w:tc>
          <w:tcPr>
            <w:tcW w:w="8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15ECE6"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4 200</w:t>
            </w: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E23F3"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1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25E671" w14:textId="77777777" w:rsidR="00BF03AA" w:rsidRPr="00326E55" w:rsidRDefault="00FB452D">
            <w:pPr>
              <w:pStyle w:val="P68B1DB1-Normal11"/>
              <w:jc w:val="center"/>
              <w:rPr>
                <w:rFonts w:ascii="Times New Roman" w:hAnsi="Times New Roman"/>
                <w:noProof/>
                <w:spacing w:val="-6"/>
                <w:lang w:val="sk-SK"/>
              </w:rPr>
            </w:pPr>
            <w:r w:rsidRPr="00326E55">
              <w:rPr>
                <w:rFonts w:ascii="Times New Roman" w:hAnsi="Times New Roman"/>
                <w:noProof/>
                <w:spacing w:val="-6"/>
                <w:lang w:val="sk-SK"/>
              </w:rPr>
              <w:t>2026</w:t>
            </w:r>
          </w:p>
        </w:tc>
        <w:tc>
          <w:tcPr>
            <w:tcW w:w="29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62344" w14:textId="1271A99B"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Zadanie 4200 päťročných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odbornej príprave lekárov špecialistov</w:t>
            </w:r>
          </w:p>
        </w:tc>
      </w:tr>
    </w:tbl>
    <w:p w14:paraId="03AF95FB" w14:textId="77777777" w:rsidR="00BF03AA" w:rsidRPr="00326E55" w:rsidRDefault="00BF03AA">
      <w:pPr>
        <w:spacing w:before="120" w:after="120"/>
        <w:ind w:left="709"/>
        <w:jc w:val="both"/>
        <w:rPr>
          <w:rFonts w:ascii="Times New Roman" w:hAnsi="Times New Roman"/>
          <w:noProof/>
          <w:spacing w:val="-6"/>
          <w:lang w:val="sk-SK"/>
        </w:rPr>
      </w:pPr>
    </w:p>
    <w:p w14:paraId="02196287" w14:textId="77777777" w:rsidR="00BF03AA" w:rsidRPr="00326E55" w:rsidRDefault="00BF03AA">
      <w:pPr>
        <w:spacing w:before="120" w:after="120"/>
        <w:ind w:left="709"/>
        <w:jc w:val="both"/>
        <w:rPr>
          <w:rFonts w:ascii="Times New Roman" w:hAnsi="Times New Roman"/>
          <w:noProof/>
          <w:spacing w:val="-6"/>
          <w:lang w:val="sk-SK"/>
        </w:rPr>
        <w:sectPr w:rsidR="00BF03AA" w:rsidRPr="00326E55" w:rsidSect="005F11B9">
          <w:headerReference w:type="even" r:id="rId298"/>
          <w:headerReference w:type="default" r:id="rId299"/>
          <w:footerReference w:type="even" r:id="rId300"/>
          <w:footerReference w:type="default" r:id="rId301"/>
          <w:headerReference w:type="first" r:id="rId302"/>
          <w:footerReference w:type="first" r:id="rId303"/>
          <w:pgSz w:w="16839" w:h="11907" w:orient="landscape"/>
          <w:pgMar w:top="720" w:right="720" w:bottom="720" w:left="720" w:header="709" w:footer="709" w:gutter="0"/>
          <w:cols w:space="720"/>
          <w:docGrid w:linePitch="360"/>
        </w:sectPr>
      </w:pPr>
    </w:p>
    <w:p w14:paraId="2D04DE37" w14:textId="77777777" w:rsidR="00326E55" w:rsidRPr="00326E55" w:rsidRDefault="00FB452D">
      <w:pPr>
        <w:pStyle w:val="P68B1DB1-Heading39"/>
        <w:ind w:left="850" w:hanging="850"/>
        <w:rPr>
          <w:b/>
          <w:noProof/>
          <w:spacing w:val="-6"/>
          <w:u w:val="single"/>
          <w:lang w:val="sk-SK"/>
        </w:rPr>
      </w:pPr>
      <w:r w:rsidRPr="00326E55">
        <w:rPr>
          <w:b/>
          <w:noProof/>
          <w:spacing w:val="-6"/>
          <w:u w:val="single"/>
          <w:lang w:val="sk-SK"/>
        </w:rPr>
        <w:t xml:space="preserve">P.3. </w:t>
      </w:r>
      <w:r w:rsidRPr="00326E55">
        <w:rPr>
          <w:noProof/>
          <w:spacing w:val="-6"/>
          <w:lang w:val="sk-SK"/>
        </w:rPr>
        <w:t xml:space="preserve"> </w:t>
      </w:r>
      <w:r w:rsidRPr="00326E55">
        <w:rPr>
          <w:b/>
          <w:noProof/>
          <w:spacing w:val="-6"/>
          <w:u w:val="single"/>
          <w:lang w:val="sk-SK"/>
        </w:rPr>
        <w:t>Opis reforiem</w:t>
      </w:r>
      <w:r w:rsidR="00326E55" w:rsidRPr="00326E55">
        <w:rPr>
          <w:b/>
          <w:noProof/>
          <w:spacing w:val="-6"/>
          <w:u w:val="single"/>
          <w:lang w:val="sk-SK"/>
        </w:rPr>
        <w:t xml:space="preserve"> a </w:t>
      </w:r>
      <w:r w:rsidRPr="00326E55">
        <w:rPr>
          <w:b/>
          <w:noProof/>
          <w:spacing w:val="-6"/>
          <w:u w:val="single"/>
          <w:lang w:val="sk-SK"/>
        </w:rPr>
        <w:t>investícií</w:t>
      </w:r>
      <w:r w:rsidR="00326E55" w:rsidRPr="00326E55">
        <w:rPr>
          <w:b/>
          <w:noProof/>
          <w:spacing w:val="-6"/>
          <w:u w:val="single"/>
          <w:lang w:val="sk-SK"/>
        </w:rPr>
        <w:t xml:space="preserve"> v </w:t>
      </w:r>
      <w:r w:rsidRPr="00326E55">
        <w:rPr>
          <w:b/>
          <w:noProof/>
          <w:spacing w:val="-6"/>
          <w:u w:val="single"/>
          <w:lang w:val="sk-SK"/>
        </w:rPr>
        <w:t>rámci úverového financovania</w:t>
      </w:r>
    </w:p>
    <w:p w14:paraId="5B4001A7" w14:textId="1C9220E6" w:rsidR="00BF03AA" w:rsidRPr="00326E55" w:rsidRDefault="00FB452D">
      <w:pPr>
        <w:pStyle w:val="P68B1DB1-Normal5"/>
        <w:spacing w:before="120" w:after="120"/>
        <w:jc w:val="both"/>
        <w:rPr>
          <w:noProof/>
          <w:spacing w:val="-6"/>
          <w:lang w:val="sk-SK"/>
        </w:rPr>
      </w:pPr>
      <w:r w:rsidRPr="00326E55">
        <w:rPr>
          <w:noProof/>
          <w:spacing w:val="-6"/>
          <w:lang w:val="sk-SK"/>
        </w:rPr>
        <w:t>Investícia 1.1: Digitálna aktualizácia technologického vybavenia nemocníc</w:t>
      </w:r>
    </w:p>
    <w:p w14:paraId="21F0415A" w14:textId="5D105686" w:rsidR="00326E55" w:rsidRPr="00326E55" w:rsidRDefault="00FB452D">
      <w:pPr>
        <w:pStyle w:val="P68B1DB1-Normal7"/>
        <w:spacing w:before="120" w:after="120"/>
        <w:jc w:val="both"/>
        <w:rPr>
          <w:noProof/>
          <w:spacing w:val="-6"/>
          <w:lang w:val="sk-SK"/>
        </w:rPr>
      </w:pPr>
      <w:r w:rsidRPr="00326E55">
        <w:rPr>
          <w:noProof/>
          <w:spacing w:val="-6"/>
          <w:lang w:val="sk-SK"/>
        </w:rPr>
        <w:t xml:space="preserve">Cieľom </w:t>
      </w:r>
      <w:r w:rsidRPr="00326E55">
        <w:rPr>
          <w:noProof/>
          <w:spacing w:val="-6"/>
          <w:lang w:val="sk-SK"/>
        </w:rPr>
        <w:t>opatrenia je zvýšiť produktivitu zdravotníckeho personálu, zlepšiť kvalitu procesov, zaistiť bezpečnosť pacientov</w:t>
      </w:r>
      <w:r w:rsidR="00326E55" w:rsidRPr="00326E55">
        <w:rPr>
          <w:noProof/>
          <w:spacing w:val="-6"/>
          <w:lang w:val="sk-SK"/>
        </w:rPr>
        <w:t xml:space="preserve"> a </w:t>
      </w:r>
      <w:r w:rsidRPr="00326E55">
        <w:rPr>
          <w:noProof/>
          <w:spacing w:val="-6"/>
          <w:lang w:val="sk-SK"/>
        </w:rPr>
        <w:t>poskytovanie vysokokvalitných služieb</w:t>
      </w:r>
      <w:r w:rsidR="00326E55" w:rsidRPr="00326E55">
        <w:rPr>
          <w:noProof/>
          <w:spacing w:val="-6"/>
          <w:lang w:val="sk-SK"/>
        </w:rPr>
        <w:t>.</w:t>
      </w:r>
    </w:p>
    <w:p w14:paraId="3DFDA06E" w14:textId="2750FD29" w:rsidR="00BF03AA" w:rsidRPr="00326E55" w:rsidRDefault="00FB452D">
      <w:pPr>
        <w:pStyle w:val="P68B1DB1-Normal7"/>
        <w:spacing w:before="120" w:after="120"/>
        <w:jc w:val="both"/>
        <w:rPr>
          <w:bCs/>
          <w:iCs/>
          <w:noProof/>
          <w:spacing w:val="-6"/>
          <w:lang w:val="sk-SK"/>
        </w:rPr>
      </w:pPr>
      <w:r w:rsidRPr="00326E55">
        <w:rPr>
          <w:noProof/>
          <w:spacing w:val="-6"/>
          <w:lang w:val="sk-SK"/>
        </w:rPr>
        <w:t>Investícia pozostáva</w:t>
      </w:r>
      <w:r w:rsidR="00326E55" w:rsidRPr="00326E55">
        <w:rPr>
          <w:noProof/>
          <w:spacing w:val="-6"/>
          <w:lang w:val="sk-SK"/>
        </w:rPr>
        <w:t xml:space="preserve"> z </w:t>
      </w:r>
      <w:r w:rsidRPr="00326E55">
        <w:rPr>
          <w:noProof/>
          <w:spacing w:val="-6"/>
          <w:lang w:val="sk-SK"/>
        </w:rPr>
        <w:t>modernizácie veľkých zdravotníckych zariadení, informatizácie procesov nemocní</w:t>
      </w:r>
      <w:r w:rsidRPr="00326E55">
        <w:rPr>
          <w:noProof/>
          <w:spacing w:val="-6"/>
          <w:lang w:val="sk-SK"/>
        </w:rPr>
        <w:t>c</w:t>
      </w:r>
      <w:r w:rsidR="00326E55" w:rsidRPr="00326E55">
        <w:rPr>
          <w:noProof/>
          <w:spacing w:val="-6"/>
          <w:lang w:val="sk-SK"/>
        </w:rPr>
        <w:t xml:space="preserve"> s </w:t>
      </w:r>
      <w:r w:rsidRPr="00326E55">
        <w:rPr>
          <w:noProof/>
          <w:spacing w:val="-6"/>
          <w:lang w:val="sk-SK"/>
        </w:rPr>
        <w:t>oddelením pre núdzové situácie prvej</w:t>
      </w:r>
      <w:r w:rsidR="00326E55" w:rsidRPr="00326E55">
        <w:rPr>
          <w:noProof/>
          <w:spacing w:val="-6"/>
          <w:lang w:val="sk-SK"/>
        </w:rPr>
        <w:t xml:space="preserve"> a </w:t>
      </w:r>
      <w:r w:rsidRPr="00326E55">
        <w:rPr>
          <w:noProof/>
          <w:spacing w:val="-6"/>
          <w:lang w:val="sk-SK"/>
        </w:rPr>
        <w:t>druhej úrovne („Dipartimenti Emergenza e Accettazione“, DEA)</w:t>
      </w:r>
      <w:r w:rsidR="00326E55" w:rsidRPr="00326E55">
        <w:rPr>
          <w:noProof/>
          <w:spacing w:val="-6"/>
          <w:lang w:val="sk-SK"/>
        </w:rPr>
        <w:t xml:space="preserve"> a </w:t>
      </w:r>
      <w:r w:rsidRPr="00326E55">
        <w:rPr>
          <w:noProof/>
          <w:spacing w:val="-6"/>
          <w:lang w:val="sk-SK"/>
        </w:rPr>
        <w:t>zvýšenia počtu lôžok</w:t>
      </w:r>
      <w:r w:rsidR="00326E55" w:rsidRPr="00326E55">
        <w:rPr>
          <w:noProof/>
          <w:spacing w:val="-6"/>
          <w:lang w:val="sk-SK"/>
        </w:rPr>
        <w:t xml:space="preserve"> v </w:t>
      </w:r>
      <w:r w:rsidRPr="00326E55">
        <w:rPr>
          <w:noProof/>
          <w:spacing w:val="-6"/>
          <w:lang w:val="sk-SK"/>
        </w:rPr>
        <w:t>jednotkách intenzívnej</w:t>
      </w:r>
      <w:r w:rsidR="00326E55" w:rsidRPr="00326E55">
        <w:rPr>
          <w:noProof/>
          <w:spacing w:val="-6"/>
          <w:lang w:val="sk-SK"/>
        </w:rPr>
        <w:t xml:space="preserve"> a </w:t>
      </w:r>
      <w:r w:rsidRPr="00326E55">
        <w:rPr>
          <w:noProof/>
          <w:spacing w:val="-6"/>
          <w:lang w:val="sk-SK"/>
        </w:rPr>
        <w:t>polointenzívnej starostlivosti</w:t>
      </w:r>
      <w:r w:rsidR="00326E55" w:rsidRPr="00326E55">
        <w:rPr>
          <w:noProof/>
          <w:spacing w:val="-6"/>
          <w:lang w:val="sk-SK"/>
        </w:rPr>
        <w:t xml:space="preserve"> v </w:t>
      </w:r>
      <w:r w:rsidRPr="00326E55">
        <w:rPr>
          <w:noProof/>
          <w:spacing w:val="-6"/>
          <w:lang w:val="sk-SK"/>
        </w:rPr>
        <w:t>nemocniciach štátnej zdravotnej starostlivosti.</w:t>
      </w:r>
    </w:p>
    <w:p w14:paraId="46007BCB" w14:textId="2DE3D753" w:rsidR="00BF03AA" w:rsidRPr="00326E55" w:rsidRDefault="00FB452D">
      <w:pPr>
        <w:pStyle w:val="P68B1DB1-Normal5"/>
        <w:spacing w:before="120" w:after="120"/>
        <w:jc w:val="both"/>
        <w:rPr>
          <w:noProof/>
          <w:spacing w:val="-6"/>
          <w:lang w:val="sk-SK"/>
        </w:rPr>
      </w:pPr>
      <w:r w:rsidRPr="00326E55">
        <w:rPr>
          <w:noProof/>
          <w:spacing w:val="-6"/>
          <w:lang w:val="sk-SK"/>
        </w:rPr>
        <w:t xml:space="preserve">Investícia 1.2: </w:t>
      </w:r>
      <w:r w:rsidRPr="00326E55">
        <w:rPr>
          <w:noProof/>
          <w:spacing w:val="-6"/>
          <w:lang w:val="sk-SK"/>
        </w:rPr>
        <w:t>Smerom</w:t>
      </w:r>
      <w:r w:rsidR="00326E55" w:rsidRPr="00326E55">
        <w:rPr>
          <w:noProof/>
          <w:spacing w:val="-6"/>
          <w:lang w:val="sk-SK"/>
        </w:rPr>
        <w:t xml:space="preserve"> k </w:t>
      </w:r>
      <w:r w:rsidRPr="00326E55">
        <w:rPr>
          <w:noProof/>
          <w:spacing w:val="-6"/>
          <w:lang w:val="sk-SK"/>
        </w:rPr>
        <w:t>bezpečnej</w:t>
      </w:r>
      <w:r w:rsidR="00326E55" w:rsidRPr="00326E55">
        <w:rPr>
          <w:noProof/>
          <w:spacing w:val="-6"/>
          <w:lang w:val="sk-SK"/>
        </w:rPr>
        <w:t xml:space="preserve"> a </w:t>
      </w:r>
      <w:r w:rsidRPr="00326E55">
        <w:rPr>
          <w:noProof/>
          <w:spacing w:val="-6"/>
          <w:lang w:val="sk-SK"/>
        </w:rPr>
        <w:t>udržateľnej nemocnici</w:t>
      </w:r>
    </w:p>
    <w:p w14:paraId="1B9A00CD" w14:textId="61B63983" w:rsidR="00BF03AA" w:rsidRPr="00326E55" w:rsidRDefault="00FB452D">
      <w:pPr>
        <w:pStyle w:val="P68B1DB1-Normal7"/>
        <w:spacing w:before="120" w:after="120"/>
        <w:jc w:val="both"/>
        <w:rPr>
          <w:noProof/>
          <w:spacing w:val="-6"/>
          <w:lang w:val="sk-SK"/>
        </w:rPr>
      </w:pPr>
      <w:r w:rsidRPr="00326E55">
        <w:rPr>
          <w:noProof/>
          <w:spacing w:val="-6"/>
          <w:lang w:val="sk-SK"/>
        </w:rPr>
        <w:t>Cieľom tohto opatrenia je zvýšiť bezpečnosť nemocníc prostredníctvom seizmickej modernizácie nemocníc</w:t>
      </w:r>
      <w:r w:rsidR="00326E55" w:rsidRPr="00326E55">
        <w:rPr>
          <w:noProof/>
          <w:spacing w:val="-6"/>
          <w:lang w:val="sk-SK"/>
        </w:rPr>
        <w:t xml:space="preserve"> a </w:t>
      </w:r>
      <w:r w:rsidRPr="00326E55">
        <w:rPr>
          <w:noProof/>
          <w:spacing w:val="-6"/>
          <w:lang w:val="sk-SK"/>
        </w:rPr>
        <w:t>viacročnej intervencie na obnovu</w:t>
      </w:r>
      <w:r w:rsidR="00326E55" w:rsidRPr="00326E55">
        <w:rPr>
          <w:noProof/>
          <w:spacing w:val="-6"/>
          <w:lang w:val="sk-SK"/>
        </w:rPr>
        <w:t xml:space="preserve"> a </w:t>
      </w:r>
      <w:r w:rsidRPr="00326E55">
        <w:rPr>
          <w:noProof/>
          <w:spacing w:val="-6"/>
          <w:lang w:val="sk-SK"/>
        </w:rPr>
        <w:t>modernizáciu fyzického</w:t>
      </w:r>
      <w:r w:rsidR="00326E55" w:rsidRPr="00326E55">
        <w:rPr>
          <w:noProof/>
          <w:spacing w:val="-6"/>
          <w:lang w:val="sk-SK"/>
        </w:rPr>
        <w:t xml:space="preserve"> a </w:t>
      </w:r>
      <w:r w:rsidRPr="00326E55">
        <w:rPr>
          <w:noProof/>
          <w:spacing w:val="-6"/>
          <w:lang w:val="sk-SK"/>
        </w:rPr>
        <w:t>technologického rámca nehnuteľností verejného zdr</w:t>
      </w:r>
      <w:r w:rsidRPr="00326E55">
        <w:rPr>
          <w:noProof/>
          <w:spacing w:val="-6"/>
          <w:lang w:val="sk-SK"/>
        </w:rPr>
        <w:t>avia.</w:t>
      </w:r>
    </w:p>
    <w:p w14:paraId="7E1D7B15" w14:textId="26F7320C" w:rsidR="00BF03AA" w:rsidRPr="00326E55" w:rsidRDefault="00FB452D">
      <w:pPr>
        <w:pStyle w:val="P68B1DB1-Normal5"/>
        <w:spacing w:before="120" w:after="120" w:line="278" w:lineRule="auto"/>
        <w:jc w:val="both"/>
        <w:rPr>
          <w:noProof/>
          <w:spacing w:val="-6"/>
          <w:lang w:val="sk-SK"/>
        </w:rPr>
      </w:pPr>
      <w:r w:rsidRPr="00326E55">
        <w:rPr>
          <w:noProof/>
          <w:spacing w:val="-6"/>
          <w:lang w:val="sk-SK"/>
        </w:rPr>
        <w:t>Investícia 1.3: Posilnenie technologickej infraštruktúry</w:t>
      </w:r>
      <w:r w:rsidR="00326E55" w:rsidRPr="00326E55">
        <w:rPr>
          <w:noProof/>
          <w:spacing w:val="-6"/>
          <w:lang w:val="sk-SK"/>
        </w:rPr>
        <w:t xml:space="preserve"> a </w:t>
      </w:r>
      <w:r w:rsidRPr="00326E55">
        <w:rPr>
          <w:noProof/>
          <w:spacing w:val="-6"/>
          <w:lang w:val="sk-SK"/>
        </w:rPr>
        <w:t>nástrojov na zber údajov, spracovanie údajov, analýzu</w:t>
      </w:r>
      <w:r w:rsidR="00326E55" w:rsidRPr="00326E55">
        <w:rPr>
          <w:noProof/>
          <w:spacing w:val="-6"/>
          <w:lang w:val="sk-SK"/>
        </w:rPr>
        <w:t xml:space="preserve"> a </w:t>
      </w:r>
      <w:r w:rsidRPr="00326E55">
        <w:rPr>
          <w:noProof/>
          <w:spacing w:val="-6"/>
          <w:lang w:val="sk-SK"/>
        </w:rPr>
        <w:t>simuláciu údajov</w:t>
      </w:r>
    </w:p>
    <w:p w14:paraId="4C07C0D3" w14:textId="64C5D7FE" w:rsidR="00BF03AA" w:rsidRPr="00326E55" w:rsidRDefault="00FB452D">
      <w:pPr>
        <w:pStyle w:val="P68B1DB1-Normal7"/>
        <w:spacing w:before="120" w:after="120"/>
        <w:jc w:val="both"/>
        <w:rPr>
          <w:noProof/>
          <w:spacing w:val="-6"/>
          <w:u w:val="single"/>
          <w:lang w:val="sk-SK"/>
        </w:rPr>
      </w:pPr>
      <w:r w:rsidRPr="00326E55">
        <w:rPr>
          <w:noProof/>
          <w:spacing w:val="-6"/>
          <w:lang w:val="sk-SK"/>
        </w:rPr>
        <w:t>Cieľom tohto opatrenia je zlepšiť poskytovanie starostlivosti, analýzu zdravotnej starostlivosti</w:t>
      </w:r>
      <w:r w:rsidR="00326E55" w:rsidRPr="00326E55">
        <w:rPr>
          <w:noProof/>
          <w:spacing w:val="-6"/>
          <w:lang w:val="sk-SK"/>
        </w:rPr>
        <w:t xml:space="preserve"> a </w:t>
      </w:r>
      <w:r w:rsidRPr="00326E55">
        <w:rPr>
          <w:noProof/>
          <w:spacing w:val="-6"/>
          <w:lang w:val="sk-SK"/>
        </w:rPr>
        <w:t>prognostickú kapaci</w:t>
      </w:r>
      <w:r w:rsidRPr="00326E55">
        <w:rPr>
          <w:noProof/>
          <w:spacing w:val="-6"/>
          <w:lang w:val="sk-SK"/>
        </w:rPr>
        <w:t>tu talianskeho NHS. Investícia pozostáva</w:t>
      </w:r>
      <w:r w:rsidR="00326E55" w:rsidRPr="00326E55">
        <w:rPr>
          <w:noProof/>
          <w:spacing w:val="-6"/>
          <w:lang w:val="sk-SK"/>
        </w:rPr>
        <w:t xml:space="preserve"> z </w:t>
      </w:r>
      <w:r w:rsidRPr="00326E55">
        <w:rPr>
          <w:noProof/>
          <w:spacing w:val="-6"/>
          <w:lang w:val="sk-SK"/>
        </w:rPr>
        <w:t>posilnenia infraštruktúry</w:t>
      </w:r>
      <w:r w:rsidR="00326E55" w:rsidRPr="00326E55">
        <w:rPr>
          <w:noProof/>
          <w:spacing w:val="-6"/>
          <w:lang w:val="sk-SK"/>
        </w:rPr>
        <w:t xml:space="preserve"> a </w:t>
      </w:r>
      <w:r w:rsidRPr="00326E55">
        <w:rPr>
          <w:noProof/>
          <w:spacing w:val="-6"/>
          <w:lang w:val="sk-SK"/>
        </w:rPr>
        <w:t>využívania existujúcich elektronických zdravotných záznamov (EHR)</w:t>
      </w:r>
      <w:r w:rsidR="00326E55" w:rsidRPr="00326E55">
        <w:rPr>
          <w:noProof/>
          <w:spacing w:val="-6"/>
          <w:lang w:val="sk-SK"/>
        </w:rPr>
        <w:t xml:space="preserve"> a </w:t>
      </w:r>
      <w:r w:rsidRPr="00326E55">
        <w:rPr>
          <w:noProof/>
          <w:spacing w:val="-6"/>
          <w:lang w:val="sk-SK"/>
        </w:rPr>
        <w:t>posilnenia infraštruktúry</w:t>
      </w:r>
      <w:r w:rsidR="00326E55" w:rsidRPr="00326E55">
        <w:rPr>
          <w:noProof/>
          <w:spacing w:val="-6"/>
          <w:lang w:val="sk-SK"/>
        </w:rPr>
        <w:t xml:space="preserve"> a </w:t>
      </w:r>
      <w:r w:rsidRPr="00326E55">
        <w:rPr>
          <w:noProof/>
          <w:spacing w:val="-6"/>
          <w:lang w:val="sk-SK"/>
        </w:rPr>
        <w:t>technologických</w:t>
      </w:r>
      <w:r w:rsidR="00326E55" w:rsidRPr="00326E55">
        <w:rPr>
          <w:noProof/>
          <w:spacing w:val="-6"/>
          <w:lang w:val="sk-SK"/>
        </w:rPr>
        <w:t xml:space="preserve"> a </w:t>
      </w:r>
      <w:r w:rsidRPr="00326E55">
        <w:rPr>
          <w:noProof/>
          <w:spacing w:val="-6"/>
          <w:lang w:val="sk-SK"/>
        </w:rPr>
        <w:t>analytických nástrojov ministerstva zdravotníctva.</w:t>
      </w:r>
    </w:p>
    <w:p w14:paraId="607D4394" w14:textId="263FB9F9" w:rsidR="00BF03AA" w:rsidRPr="00326E55" w:rsidRDefault="00FB452D">
      <w:pPr>
        <w:pStyle w:val="P68B1DB1-Normal5"/>
        <w:spacing w:before="120" w:after="120"/>
        <w:jc w:val="both"/>
        <w:rPr>
          <w:iCs/>
          <w:noProof/>
          <w:spacing w:val="-6"/>
          <w:lang w:val="sk-SK"/>
        </w:rPr>
      </w:pPr>
      <w:r w:rsidRPr="00326E55">
        <w:rPr>
          <w:noProof/>
          <w:spacing w:val="-6"/>
          <w:lang w:val="sk-SK"/>
        </w:rPr>
        <w:t>Investícia 2.2: Rozv</w:t>
      </w:r>
      <w:r w:rsidRPr="00326E55">
        <w:rPr>
          <w:noProof/>
          <w:spacing w:val="-6"/>
          <w:lang w:val="sk-SK"/>
        </w:rPr>
        <w:t>oj technicko-profesijných, digitálnych</w:t>
      </w:r>
      <w:r w:rsidR="00326E55" w:rsidRPr="00326E55">
        <w:rPr>
          <w:noProof/>
          <w:spacing w:val="-6"/>
          <w:lang w:val="sk-SK"/>
        </w:rPr>
        <w:t xml:space="preserve"> a </w:t>
      </w:r>
      <w:r w:rsidRPr="00326E55">
        <w:rPr>
          <w:noProof/>
          <w:spacing w:val="-6"/>
          <w:lang w:val="sk-SK"/>
        </w:rPr>
        <w:t>manažérskych zručností odborníkov</w:t>
      </w:r>
      <w:r w:rsidR="00326E55" w:rsidRPr="00326E55">
        <w:rPr>
          <w:noProof/>
          <w:spacing w:val="-6"/>
          <w:lang w:val="sk-SK"/>
        </w:rPr>
        <w:t xml:space="preserve"> v </w:t>
      </w:r>
      <w:r w:rsidRPr="00326E55">
        <w:rPr>
          <w:noProof/>
          <w:spacing w:val="-6"/>
          <w:lang w:val="sk-SK"/>
        </w:rPr>
        <w:t>systéme zdravotnej starostlivosti</w:t>
      </w:r>
    </w:p>
    <w:p w14:paraId="694154A4" w14:textId="63D007AD" w:rsidR="00BF03AA" w:rsidRPr="00326E55" w:rsidRDefault="00FB452D">
      <w:pPr>
        <w:pStyle w:val="P68B1DB1-Normal7"/>
        <w:spacing w:before="120" w:after="120"/>
        <w:jc w:val="both"/>
        <w:rPr>
          <w:noProof/>
          <w:spacing w:val="-6"/>
          <w:lang w:val="sk-SK"/>
        </w:rPr>
      </w:pPr>
      <w:r w:rsidRPr="00326E55">
        <w:rPr>
          <w:noProof/>
          <w:spacing w:val="-6"/>
          <w:lang w:val="sk-SK"/>
        </w:rPr>
        <w:t>Táto investícia pozostáva zo zvýšenia štipendií na konkrétny kurz všeobecnej medicíny; spustenie plánu odbornej prípravy</w:t>
      </w:r>
      <w:r w:rsidR="00326E55" w:rsidRPr="00326E55">
        <w:rPr>
          <w:noProof/>
          <w:spacing w:val="-6"/>
          <w:lang w:val="sk-SK"/>
        </w:rPr>
        <w:t xml:space="preserve"> v </w:t>
      </w:r>
      <w:r w:rsidRPr="00326E55">
        <w:rPr>
          <w:noProof/>
          <w:spacing w:val="-6"/>
          <w:lang w:val="sk-SK"/>
        </w:rPr>
        <w:t>oblasti bezpečnosti ne</w:t>
      </w:r>
      <w:r w:rsidRPr="00326E55">
        <w:rPr>
          <w:noProof/>
          <w:spacing w:val="-6"/>
          <w:lang w:val="sk-SK"/>
        </w:rPr>
        <w:t>mocničných infekcií pre všetkých zamestnancov NHS; aktivácia cesty odbornej prípravy pre pracovníkov</w:t>
      </w:r>
      <w:r w:rsidR="00326E55" w:rsidRPr="00326E55">
        <w:rPr>
          <w:noProof/>
          <w:spacing w:val="-6"/>
          <w:lang w:val="sk-SK"/>
        </w:rPr>
        <w:t xml:space="preserve"> s </w:t>
      </w:r>
      <w:r w:rsidRPr="00326E55">
        <w:rPr>
          <w:noProof/>
          <w:spacing w:val="-6"/>
          <w:lang w:val="sk-SK"/>
        </w:rPr>
        <w:t>najvyššími úlohami</w:t>
      </w:r>
      <w:r w:rsidR="00326E55" w:rsidRPr="00326E55">
        <w:rPr>
          <w:noProof/>
          <w:spacing w:val="-6"/>
          <w:lang w:val="sk-SK"/>
        </w:rPr>
        <w:t xml:space="preserve"> v </w:t>
      </w:r>
      <w:r w:rsidRPr="00326E55">
        <w:rPr>
          <w:noProof/>
          <w:spacing w:val="-6"/>
          <w:lang w:val="sk-SK"/>
        </w:rPr>
        <w:t>orgánoch NHS</w:t>
      </w:r>
      <w:r w:rsidR="00326E55" w:rsidRPr="00326E55">
        <w:rPr>
          <w:noProof/>
          <w:spacing w:val="-6"/>
          <w:lang w:val="sk-SK"/>
        </w:rPr>
        <w:t xml:space="preserve"> v </w:t>
      </w:r>
      <w:r w:rsidRPr="00326E55">
        <w:rPr>
          <w:noProof/>
          <w:spacing w:val="-6"/>
          <w:lang w:val="sk-SK"/>
        </w:rPr>
        <w:t>oblasti riadiacich</w:t>
      </w:r>
      <w:r w:rsidR="00326E55" w:rsidRPr="00326E55">
        <w:rPr>
          <w:noProof/>
          <w:spacing w:val="-6"/>
          <w:lang w:val="sk-SK"/>
        </w:rPr>
        <w:t xml:space="preserve"> a </w:t>
      </w:r>
      <w:r w:rsidRPr="00326E55">
        <w:rPr>
          <w:noProof/>
          <w:spacing w:val="-6"/>
          <w:lang w:val="sk-SK"/>
        </w:rPr>
        <w:t>digitálnych zručností</w:t>
      </w:r>
      <w:r w:rsidR="00326E55" w:rsidRPr="00326E55">
        <w:rPr>
          <w:noProof/>
          <w:spacing w:val="-6"/>
          <w:lang w:val="sk-SK"/>
        </w:rPr>
        <w:t xml:space="preserve"> a </w:t>
      </w:r>
      <w:r w:rsidRPr="00326E55">
        <w:rPr>
          <w:noProof/>
          <w:spacing w:val="-6"/>
          <w:lang w:val="sk-SK"/>
        </w:rPr>
        <w:t>financovanie zmlúv</w:t>
      </w:r>
      <w:r w:rsidR="00326E55" w:rsidRPr="00326E55">
        <w:rPr>
          <w:noProof/>
          <w:spacing w:val="-6"/>
          <w:lang w:val="sk-SK"/>
        </w:rPr>
        <w:t xml:space="preserve"> o </w:t>
      </w:r>
      <w:r w:rsidRPr="00326E55">
        <w:rPr>
          <w:noProof/>
          <w:spacing w:val="-6"/>
          <w:lang w:val="sk-SK"/>
        </w:rPr>
        <w:t>špecializovanej lekárskej odbornej príprave.</w:t>
      </w:r>
    </w:p>
    <w:p w14:paraId="4096784E" w14:textId="77777777" w:rsidR="00BF03AA" w:rsidRPr="00326E55" w:rsidRDefault="00BF03AA">
      <w:pPr>
        <w:spacing w:before="120" w:after="120"/>
        <w:jc w:val="both"/>
        <w:rPr>
          <w:rFonts w:ascii="Times New Roman" w:hAnsi="Times New Roman" w:cs="Times New Roman"/>
          <w:noProof/>
          <w:spacing w:val="-6"/>
          <w:lang w:val="sk-SK"/>
        </w:rPr>
        <w:sectPr w:rsidR="00BF03AA" w:rsidRPr="00326E55" w:rsidSect="005F11B9">
          <w:headerReference w:type="even" r:id="rId304"/>
          <w:headerReference w:type="default" r:id="rId305"/>
          <w:footerReference w:type="even" r:id="rId306"/>
          <w:footerReference w:type="default" r:id="rId307"/>
          <w:headerReference w:type="first" r:id="rId308"/>
          <w:footerReference w:type="first" r:id="rId309"/>
          <w:pgSz w:w="11907" w:h="16839"/>
          <w:pgMar w:top="1134" w:right="1417" w:bottom="1134" w:left="1417" w:header="709" w:footer="709" w:gutter="0"/>
          <w:cols w:space="720"/>
          <w:docGrid w:linePitch="360"/>
        </w:sectPr>
      </w:pPr>
    </w:p>
    <w:p w14:paraId="6792259F" w14:textId="1D9F7701" w:rsidR="00BF03AA" w:rsidRPr="00326E55" w:rsidRDefault="00FB452D">
      <w:pPr>
        <w:pStyle w:val="P68B1DB1-Heading39"/>
        <w:ind w:left="850" w:hanging="850"/>
        <w:rPr>
          <w:b/>
          <w:bCs/>
          <w:i/>
          <w:iCs/>
          <w:noProof/>
          <w:spacing w:val="-6"/>
          <w:u w:val="single"/>
          <w:lang w:val="sk-SK"/>
        </w:rPr>
      </w:pPr>
      <w:r w:rsidRPr="00326E55">
        <w:rPr>
          <w:b/>
          <w:noProof/>
          <w:spacing w:val="-6"/>
          <w:u w:val="single"/>
          <w:lang w:val="sk-SK"/>
        </w:rPr>
        <w:t xml:space="preserve">P.4. </w:t>
      </w:r>
      <w:r w:rsidRPr="00326E55">
        <w:rPr>
          <w:noProof/>
          <w:spacing w:val="-6"/>
          <w:lang w:val="sk-SK"/>
        </w:rPr>
        <w:t xml:space="preserve"> </w:t>
      </w:r>
      <w:r w:rsidRPr="00326E55">
        <w:rPr>
          <w:b/>
          <w:noProof/>
          <w:spacing w:val="-6"/>
          <w:u w:val="single"/>
          <w:lang w:val="sk-SK"/>
        </w:rPr>
        <w:t>Míľniky, ciele, ukazovatele</w:t>
      </w:r>
      <w:r w:rsidR="00326E55" w:rsidRPr="00326E55">
        <w:rPr>
          <w:b/>
          <w:noProof/>
          <w:spacing w:val="-6"/>
          <w:u w:val="single"/>
          <w:lang w:val="sk-SK"/>
        </w:rPr>
        <w:t xml:space="preserve"> a </w:t>
      </w:r>
      <w:r w:rsidRPr="00326E55">
        <w:rPr>
          <w:b/>
          <w:noProof/>
          <w:spacing w:val="-6"/>
          <w:u w:val="single"/>
          <w:lang w:val="sk-SK"/>
        </w:rPr>
        <w:t>harmonogram monitorovania</w:t>
      </w:r>
      <w:r w:rsidR="00326E55" w:rsidRPr="00326E55">
        <w:rPr>
          <w:b/>
          <w:noProof/>
          <w:spacing w:val="-6"/>
          <w:u w:val="single"/>
          <w:lang w:val="sk-SK"/>
        </w:rPr>
        <w:t xml:space="preserve"> a </w:t>
      </w:r>
      <w:r w:rsidRPr="00326E55">
        <w:rPr>
          <w:b/>
          <w:noProof/>
          <w:spacing w:val="-6"/>
          <w:u w:val="single"/>
          <w:lang w:val="sk-SK"/>
        </w:rPr>
        <w:t>realizácie</w:t>
      </w:r>
      <w:r w:rsidR="00326E55" w:rsidRPr="00326E55">
        <w:rPr>
          <w:b/>
          <w:noProof/>
          <w:spacing w:val="-6"/>
          <w:u w:val="single"/>
          <w:lang w:val="sk-SK"/>
        </w:rPr>
        <w:t xml:space="preserve"> v </w:t>
      </w:r>
      <w:r w:rsidRPr="00326E55">
        <w:rPr>
          <w:b/>
          <w:noProof/>
          <w:spacing w:val="-6"/>
          <w:u w:val="single"/>
          <w:lang w:val="sk-SK"/>
        </w:rPr>
        <w:t>súvislosti</w:t>
      </w:r>
      <w:r w:rsidR="00326E55" w:rsidRPr="00326E55">
        <w:rPr>
          <w:b/>
          <w:noProof/>
          <w:spacing w:val="-6"/>
          <w:u w:val="single"/>
          <w:lang w:val="sk-SK"/>
        </w:rPr>
        <w:t xml:space="preserve"> s </w:t>
      </w:r>
      <w:r w:rsidRPr="00326E55">
        <w:rPr>
          <w:b/>
          <w:noProof/>
          <w:spacing w:val="-6"/>
          <w:u w:val="single"/>
          <w:lang w:val="sk-SK"/>
        </w:rPr>
        <w:t xml:space="preserve">úverom </w:t>
      </w:r>
    </w:p>
    <w:tbl>
      <w:tblPr>
        <w:tblW w:w="53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1418"/>
        <w:gridCol w:w="1134"/>
        <w:gridCol w:w="1559"/>
        <w:gridCol w:w="1701"/>
        <w:gridCol w:w="1276"/>
        <w:gridCol w:w="1134"/>
        <w:gridCol w:w="1276"/>
        <w:gridCol w:w="865"/>
        <w:gridCol w:w="721"/>
        <w:gridCol w:w="2881"/>
      </w:tblGrid>
      <w:tr w:rsidR="00BF03AA" w:rsidRPr="00326E55" w14:paraId="10063AAD" w14:textId="77777777">
        <w:trPr>
          <w:trHeight w:val="939"/>
          <w:tblHeader/>
          <w:jc w:val="center"/>
        </w:trPr>
        <w:tc>
          <w:tcPr>
            <w:tcW w:w="1140" w:type="dxa"/>
            <w:vMerge w:val="restart"/>
            <w:shd w:val="clear" w:color="auto" w:fill="BDD7EE"/>
            <w:vAlign w:val="center"/>
            <w:hideMark/>
          </w:tcPr>
          <w:p w14:paraId="6CBA2411"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Poradové číslo</w:t>
            </w:r>
          </w:p>
        </w:tc>
        <w:tc>
          <w:tcPr>
            <w:tcW w:w="1418" w:type="dxa"/>
            <w:vMerge w:val="restart"/>
            <w:shd w:val="clear" w:color="auto" w:fill="BDD7EE"/>
            <w:vAlign w:val="center"/>
            <w:hideMark/>
          </w:tcPr>
          <w:p w14:paraId="3C06A22D"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Súvisiace opatrenie (reforma alebo investícia)</w:t>
            </w:r>
          </w:p>
        </w:tc>
        <w:tc>
          <w:tcPr>
            <w:tcW w:w="1134" w:type="dxa"/>
            <w:vMerge w:val="restart"/>
            <w:shd w:val="clear" w:color="auto" w:fill="BDD7EE"/>
            <w:vAlign w:val="center"/>
            <w:hideMark/>
          </w:tcPr>
          <w:p w14:paraId="658877E1"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Míľnik/cieľ</w:t>
            </w:r>
          </w:p>
        </w:tc>
        <w:tc>
          <w:tcPr>
            <w:tcW w:w="1559" w:type="dxa"/>
            <w:vMerge w:val="restart"/>
            <w:shd w:val="clear" w:color="auto" w:fill="BDD7EE"/>
            <w:vAlign w:val="center"/>
            <w:hideMark/>
          </w:tcPr>
          <w:p w14:paraId="3F6BE348"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Názov</w:t>
            </w:r>
          </w:p>
        </w:tc>
        <w:tc>
          <w:tcPr>
            <w:tcW w:w="1701" w:type="dxa"/>
            <w:vMerge w:val="restart"/>
            <w:shd w:val="clear" w:color="auto" w:fill="BDD7EE"/>
            <w:vAlign w:val="center"/>
            <w:hideMark/>
          </w:tcPr>
          <w:p w14:paraId="28FB1441" w14:textId="77777777" w:rsidR="00BF03AA" w:rsidRPr="00326E55" w:rsidRDefault="00FB452D">
            <w:pPr>
              <w:spacing w:before="120" w:after="120"/>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 xml:space="preserve">Kvalitatívne </w:t>
            </w:r>
            <w:r w:rsidRPr="00326E55">
              <w:rPr>
                <w:rFonts w:ascii="Times New Roman" w:hAnsi="Times New Roman"/>
                <w:b/>
                <w:noProof/>
                <w:spacing w:val="-6"/>
                <w:sz w:val="20"/>
                <w:lang w:val="sk-SK"/>
              </w:rPr>
              <w:t>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686" w:type="dxa"/>
            <w:gridSpan w:val="3"/>
            <w:shd w:val="clear" w:color="auto" w:fill="BDD7EE"/>
            <w:vAlign w:val="center"/>
            <w:hideMark/>
          </w:tcPr>
          <w:p w14:paraId="4344C5F3" w14:textId="77777777" w:rsidR="00BF03AA" w:rsidRPr="00326E55" w:rsidRDefault="00FB452D">
            <w:pPr>
              <w:spacing w:before="120" w:after="120"/>
              <w:jc w:val="center"/>
              <w:rPr>
                <w:rFonts w:ascii="Times New Roman" w:hAnsi="Times New Roman"/>
                <w:b/>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586" w:type="dxa"/>
            <w:gridSpan w:val="2"/>
            <w:shd w:val="clear" w:color="auto" w:fill="BDD7EE"/>
            <w:vAlign w:val="center"/>
            <w:hideMark/>
          </w:tcPr>
          <w:p w14:paraId="406AC7EE"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Orientačný harmonogram dokončenia</w:t>
            </w:r>
          </w:p>
        </w:tc>
        <w:tc>
          <w:tcPr>
            <w:tcW w:w="2881" w:type="dxa"/>
            <w:vMerge w:val="restart"/>
            <w:shd w:val="clear" w:color="auto" w:fill="BDD7EE"/>
            <w:vAlign w:val="center"/>
            <w:hideMark/>
          </w:tcPr>
          <w:p w14:paraId="5B84C855" w14:textId="21C3583D"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259553DC" w14:textId="77777777">
        <w:trPr>
          <w:trHeight w:val="883"/>
          <w:tblHeader/>
          <w:jc w:val="center"/>
        </w:trPr>
        <w:tc>
          <w:tcPr>
            <w:tcW w:w="1140" w:type="dxa"/>
            <w:vMerge/>
            <w:vAlign w:val="center"/>
            <w:hideMark/>
          </w:tcPr>
          <w:p w14:paraId="5A05B17F" w14:textId="77777777" w:rsidR="00BF03AA" w:rsidRPr="00326E55" w:rsidRDefault="00BF03AA">
            <w:pPr>
              <w:spacing w:before="120" w:after="120"/>
              <w:jc w:val="center"/>
              <w:rPr>
                <w:rFonts w:ascii="Times New Roman" w:hAnsi="Times New Roman"/>
                <w:b/>
                <w:noProof/>
                <w:spacing w:val="-6"/>
                <w:sz w:val="20"/>
                <w:szCs w:val="20"/>
                <w:lang w:val="sk-SK"/>
              </w:rPr>
            </w:pPr>
          </w:p>
        </w:tc>
        <w:tc>
          <w:tcPr>
            <w:tcW w:w="1418" w:type="dxa"/>
            <w:vMerge/>
            <w:vAlign w:val="center"/>
            <w:hideMark/>
          </w:tcPr>
          <w:p w14:paraId="27774D40" w14:textId="77777777" w:rsidR="00BF03AA" w:rsidRPr="00326E55" w:rsidRDefault="00BF03AA">
            <w:pPr>
              <w:spacing w:before="120" w:after="120"/>
              <w:jc w:val="center"/>
              <w:rPr>
                <w:rFonts w:ascii="Times New Roman" w:hAnsi="Times New Roman"/>
                <w:b/>
                <w:noProof/>
                <w:spacing w:val="-6"/>
                <w:sz w:val="20"/>
                <w:szCs w:val="20"/>
                <w:lang w:val="sk-SK"/>
              </w:rPr>
            </w:pPr>
          </w:p>
        </w:tc>
        <w:tc>
          <w:tcPr>
            <w:tcW w:w="1134" w:type="dxa"/>
            <w:vMerge/>
            <w:vAlign w:val="center"/>
            <w:hideMark/>
          </w:tcPr>
          <w:p w14:paraId="26DB4A3F" w14:textId="77777777" w:rsidR="00BF03AA" w:rsidRPr="00326E55" w:rsidRDefault="00BF03AA">
            <w:pPr>
              <w:spacing w:before="120" w:after="120"/>
              <w:jc w:val="center"/>
              <w:rPr>
                <w:rFonts w:ascii="Times New Roman" w:hAnsi="Times New Roman"/>
                <w:b/>
                <w:noProof/>
                <w:spacing w:val="-6"/>
                <w:sz w:val="20"/>
                <w:szCs w:val="20"/>
                <w:lang w:val="sk-SK"/>
              </w:rPr>
            </w:pPr>
          </w:p>
        </w:tc>
        <w:tc>
          <w:tcPr>
            <w:tcW w:w="1559" w:type="dxa"/>
            <w:vMerge/>
            <w:vAlign w:val="center"/>
            <w:hideMark/>
          </w:tcPr>
          <w:p w14:paraId="45BC1CFE" w14:textId="77777777" w:rsidR="00BF03AA" w:rsidRPr="00326E55" w:rsidRDefault="00BF03AA">
            <w:pPr>
              <w:spacing w:before="120" w:after="120"/>
              <w:jc w:val="center"/>
              <w:rPr>
                <w:rFonts w:ascii="Times New Roman" w:hAnsi="Times New Roman"/>
                <w:b/>
                <w:noProof/>
                <w:spacing w:val="-6"/>
                <w:sz w:val="20"/>
                <w:szCs w:val="20"/>
                <w:lang w:val="sk-SK"/>
              </w:rPr>
            </w:pPr>
          </w:p>
        </w:tc>
        <w:tc>
          <w:tcPr>
            <w:tcW w:w="1701" w:type="dxa"/>
            <w:vMerge/>
            <w:vAlign w:val="center"/>
            <w:hideMark/>
          </w:tcPr>
          <w:p w14:paraId="5CB10866" w14:textId="77777777" w:rsidR="00BF03AA" w:rsidRPr="00326E55" w:rsidRDefault="00BF03AA">
            <w:pPr>
              <w:spacing w:before="120" w:after="120"/>
              <w:jc w:val="center"/>
              <w:rPr>
                <w:rFonts w:ascii="Times New Roman" w:hAnsi="Times New Roman"/>
                <w:b/>
                <w:noProof/>
                <w:spacing w:val="-6"/>
                <w:sz w:val="20"/>
                <w:szCs w:val="20"/>
                <w:lang w:val="sk-SK"/>
              </w:rPr>
            </w:pPr>
          </w:p>
        </w:tc>
        <w:tc>
          <w:tcPr>
            <w:tcW w:w="1276" w:type="dxa"/>
            <w:shd w:val="clear" w:color="auto" w:fill="BDD7EE"/>
            <w:vAlign w:val="center"/>
            <w:hideMark/>
          </w:tcPr>
          <w:p w14:paraId="0E9C1FE1"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Merná jednotka</w:t>
            </w:r>
          </w:p>
        </w:tc>
        <w:tc>
          <w:tcPr>
            <w:tcW w:w="1134" w:type="dxa"/>
            <w:shd w:val="clear" w:color="auto" w:fill="BDD7EE"/>
            <w:vAlign w:val="center"/>
            <w:hideMark/>
          </w:tcPr>
          <w:p w14:paraId="167FA0A8"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Základná</w:t>
            </w:r>
          </w:p>
        </w:tc>
        <w:tc>
          <w:tcPr>
            <w:tcW w:w="1276" w:type="dxa"/>
            <w:shd w:val="clear" w:color="auto" w:fill="BDD7EE"/>
            <w:vAlign w:val="center"/>
            <w:hideMark/>
          </w:tcPr>
          <w:p w14:paraId="3942FD10"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865" w:type="dxa"/>
            <w:shd w:val="clear" w:color="auto" w:fill="BDD7EE"/>
            <w:vAlign w:val="center"/>
            <w:hideMark/>
          </w:tcPr>
          <w:p w14:paraId="59F312D9"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Štvrtina</w:t>
            </w:r>
          </w:p>
        </w:tc>
        <w:tc>
          <w:tcPr>
            <w:tcW w:w="721" w:type="dxa"/>
            <w:shd w:val="clear" w:color="auto" w:fill="BDD7EE"/>
            <w:vAlign w:val="center"/>
            <w:hideMark/>
          </w:tcPr>
          <w:p w14:paraId="5D26E5F9" w14:textId="77777777" w:rsidR="00BF03AA" w:rsidRPr="00326E55" w:rsidRDefault="00FB452D">
            <w:pPr>
              <w:pStyle w:val="P68B1DB1-Normal10"/>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Rok</w:t>
            </w:r>
          </w:p>
        </w:tc>
        <w:tc>
          <w:tcPr>
            <w:tcW w:w="2881" w:type="dxa"/>
            <w:vMerge/>
            <w:vAlign w:val="center"/>
            <w:hideMark/>
          </w:tcPr>
          <w:p w14:paraId="385164D0" w14:textId="77777777" w:rsidR="00BF03AA" w:rsidRPr="00326E55" w:rsidRDefault="00BF03AA">
            <w:pPr>
              <w:spacing w:before="120" w:after="120"/>
              <w:rPr>
                <w:rFonts w:ascii="Times New Roman" w:hAnsi="Times New Roman"/>
                <w:b/>
                <w:noProof/>
                <w:spacing w:val="-6"/>
                <w:sz w:val="20"/>
                <w:szCs w:val="20"/>
                <w:lang w:val="sk-SK"/>
              </w:rPr>
            </w:pPr>
          </w:p>
        </w:tc>
      </w:tr>
      <w:tr w:rsidR="00BF03AA" w:rsidRPr="00326E55" w14:paraId="3F40E53E" w14:textId="77777777">
        <w:trPr>
          <w:trHeight w:val="313"/>
          <w:jc w:val="center"/>
        </w:trPr>
        <w:tc>
          <w:tcPr>
            <w:tcW w:w="1140" w:type="dxa"/>
            <w:shd w:val="clear" w:color="auto" w:fill="C6EFCE"/>
            <w:noWrap/>
            <w:vAlign w:val="center"/>
          </w:tcPr>
          <w:p w14:paraId="6CBEDFA8"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M6C2 – 4</w:t>
            </w:r>
          </w:p>
        </w:tc>
        <w:tc>
          <w:tcPr>
            <w:tcW w:w="1418" w:type="dxa"/>
            <w:shd w:val="clear" w:color="auto" w:fill="C6EFCE"/>
            <w:noWrap/>
            <w:vAlign w:val="center"/>
          </w:tcPr>
          <w:p w14:paraId="71972DD5"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 xml:space="preserve">Investícia 1.1: Digitálna aktualizácia technologického </w:t>
            </w:r>
            <w:r w:rsidRPr="00326E55">
              <w:rPr>
                <w:rFonts w:ascii="Times New Roman" w:hAnsi="Times New Roman"/>
                <w:noProof/>
                <w:spacing w:val="-6"/>
                <w:lang w:val="sk-SK"/>
              </w:rPr>
              <w:t>vybavenia nemocníc</w:t>
            </w:r>
          </w:p>
        </w:tc>
        <w:tc>
          <w:tcPr>
            <w:tcW w:w="1134" w:type="dxa"/>
            <w:shd w:val="clear" w:color="auto" w:fill="C6EFCE"/>
            <w:noWrap/>
            <w:vAlign w:val="center"/>
          </w:tcPr>
          <w:p w14:paraId="4FC643AE"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Míľnik</w:t>
            </w:r>
          </w:p>
        </w:tc>
        <w:tc>
          <w:tcPr>
            <w:tcW w:w="1559" w:type="dxa"/>
            <w:shd w:val="clear" w:color="auto" w:fill="C6EFCE"/>
            <w:noWrap/>
            <w:vAlign w:val="center"/>
          </w:tcPr>
          <w:p w14:paraId="041F5B6E" w14:textId="77777777"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Plán reorganizácie schválený ministerstvom zdravotníctva/talianskymi regiónmi </w:t>
            </w:r>
          </w:p>
        </w:tc>
        <w:tc>
          <w:tcPr>
            <w:tcW w:w="1701" w:type="dxa"/>
            <w:shd w:val="clear" w:color="auto" w:fill="C6EFCE"/>
            <w:noWrap/>
            <w:vAlign w:val="center"/>
          </w:tcPr>
          <w:p w14:paraId="4203500C" w14:textId="3298646F"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schválení</w:t>
            </w:r>
          </w:p>
        </w:tc>
        <w:tc>
          <w:tcPr>
            <w:tcW w:w="1276" w:type="dxa"/>
            <w:shd w:val="clear" w:color="auto" w:fill="C6EFCE"/>
            <w:noWrap/>
            <w:vAlign w:val="center"/>
          </w:tcPr>
          <w:p w14:paraId="1422A1F9"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0FAC771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66629370"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865" w:type="dxa"/>
            <w:shd w:val="clear" w:color="auto" w:fill="C6EFCE"/>
            <w:noWrap/>
            <w:vAlign w:val="center"/>
          </w:tcPr>
          <w:p w14:paraId="6EBF0BD9"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ŠTVRTÝ ŠTVRŤROK</w:t>
            </w:r>
          </w:p>
        </w:tc>
        <w:tc>
          <w:tcPr>
            <w:tcW w:w="721" w:type="dxa"/>
            <w:shd w:val="clear" w:color="auto" w:fill="C6EFCE"/>
            <w:noWrap/>
            <w:vAlign w:val="center"/>
          </w:tcPr>
          <w:p w14:paraId="32366DB5"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2021</w:t>
            </w:r>
          </w:p>
        </w:tc>
        <w:tc>
          <w:tcPr>
            <w:tcW w:w="2881" w:type="dxa"/>
            <w:shd w:val="clear" w:color="auto" w:fill="C6EFCE"/>
            <w:noWrap/>
            <w:vAlign w:val="center"/>
          </w:tcPr>
          <w:p w14:paraId="6D1B858E" w14:textId="154D4FBF" w:rsidR="00BF03AA" w:rsidRPr="00326E55" w:rsidRDefault="00FB452D">
            <w:pPr>
              <w:pStyle w:val="P68B1DB1-Normal103"/>
              <w:spacing w:before="120" w:after="120"/>
              <w:rPr>
                <w:rFonts w:ascii="Times New Roman" w:hAnsi="Times New Roman"/>
                <w:noProof/>
                <w:spacing w:val="-6"/>
                <w:szCs w:val="20"/>
                <w:lang w:val="sk-SK"/>
              </w:rPr>
            </w:pPr>
            <w:r w:rsidRPr="00326E55">
              <w:rPr>
                <w:rFonts w:ascii="Times New Roman" w:hAnsi="Times New Roman"/>
                <w:noProof/>
                <w:spacing w:val="-6"/>
                <w:lang w:val="sk-SK"/>
              </w:rPr>
              <w:t xml:space="preserve">Schválenie plánu reorganizácie na posilnenie kapacity nemocníc NHS primerane </w:t>
            </w:r>
            <w:r w:rsidRPr="00326E55">
              <w:rPr>
                <w:rFonts w:ascii="Times New Roman" w:hAnsi="Times New Roman"/>
                <w:noProof/>
                <w:spacing w:val="-6"/>
                <w:lang w:val="sk-SK"/>
              </w:rPr>
              <w:t>riešiť pandemické núdzové situácie zvýšením počtu lôžok</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jednotkách intenzívnej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menej intenzívnej starostlivosti.</w:t>
            </w:r>
          </w:p>
          <w:p w14:paraId="53DF7964" w14:textId="5D005750" w:rsidR="00BF03AA" w:rsidRPr="00326E55" w:rsidRDefault="00FB452D">
            <w:pPr>
              <w:pStyle w:val="P68B1DB1-Normal103"/>
              <w:spacing w:before="120" w:after="120"/>
              <w:rPr>
                <w:rFonts w:ascii="Times New Roman" w:hAnsi="Times New Roman"/>
                <w:noProof/>
                <w:spacing w:val="-6"/>
                <w:szCs w:val="20"/>
                <w:lang w:val="sk-SK"/>
              </w:rPr>
            </w:pPr>
            <w:r w:rsidRPr="00326E55">
              <w:rPr>
                <w:rFonts w:ascii="Times New Roman" w:hAnsi="Times New Roman"/>
                <w:noProof/>
                <w:spacing w:val="-6"/>
                <w:lang w:val="sk-SK"/>
              </w:rPr>
              <w:t>Plán reorganizácie nemocníc zvýši počet lôžok dostupných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jednotkách intenzívnej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polointenzívnej starostlivosti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nemocniciach NHS.</w:t>
            </w:r>
          </w:p>
        </w:tc>
      </w:tr>
      <w:tr w:rsidR="00BF03AA" w:rsidRPr="00326E55" w14:paraId="3B4E4407" w14:textId="77777777">
        <w:trPr>
          <w:trHeight w:val="313"/>
          <w:jc w:val="center"/>
        </w:trPr>
        <w:tc>
          <w:tcPr>
            <w:tcW w:w="1140" w:type="dxa"/>
            <w:shd w:val="clear" w:color="auto" w:fill="C6EFCE"/>
            <w:noWrap/>
            <w:vAlign w:val="center"/>
          </w:tcPr>
          <w:p w14:paraId="37A7554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M6C2 – 5</w:t>
            </w:r>
          </w:p>
        </w:tc>
        <w:tc>
          <w:tcPr>
            <w:tcW w:w="1418" w:type="dxa"/>
            <w:shd w:val="clear" w:color="auto" w:fill="C6EFCE"/>
            <w:noWrap/>
            <w:vAlign w:val="center"/>
          </w:tcPr>
          <w:p w14:paraId="297FC297"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1.1: Digitálna aktualizácia technologického vybavenia nemocníc</w:t>
            </w:r>
          </w:p>
        </w:tc>
        <w:tc>
          <w:tcPr>
            <w:tcW w:w="1134" w:type="dxa"/>
            <w:shd w:val="clear" w:color="auto" w:fill="C6EFCE"/>
            <w:noWrap/>
            <w:vAlign w:val="center"/>
          </w:tcPr>
          <w:p w14:paraId="2558D201"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Míľnik</w:t>
            </w:r>
          </w:p>
        </w:tc>
        <w:tc>
          <w:tcPr>
            <w:tcW w:w="1559" w:type="dxa"/>
            <w:shd w:val="clear" w:color="auto" w:fill="C6EFCE"/>
            <w:noWrap/>
            <w:vAlign w:val="center"/>
          </w:tcPr>
          <w:p w14:paraId="5B7D3E36" w14:textId="2CEAEA16"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 Schválenie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inštitucionálnom rozvoji </w:t>
            </w:r>
          </w:p>
        </w:tc>
        <w:tc>
          <w:tcPr>
            <w:tcW w:w="1701" w:type="dxa"/>
            <w:shd w:val="clear" w:color="auto" w:fill="C6EFCE"/>
            <w:noWrap/>
            <w:vAlign w:val="center"/>
          </w:tcPr>
          <w:p w14:paraId="6EC89341" w14:textId="53C2E235" w:rsidR="00BF03AA" w:rsidRPr="00326E55" w:rsidRDefault="00FB452D">
            <w:pPr>
              <w:pStyle w:val="P68B1DB1-Normal103"/>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Oznámenie ministerstva zdravotníctva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talianskych regiónov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podpise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w:t>
            </w:r>
          </w:p>
        </w:tc>
        <w:tc>
          <w:tcPr>
            <w:tcW w:w="1276" w:type="dxa"/>
            <w:shd w:val="clear" w:color="auto" w:fill="C6EFCE"/>
            <w:noWrap/>
            <w:vAlign w:val="center"/>
          </w:tcPr>
          <w:p w14:paraId="1FC60533"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0AC22E40"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567513FB"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865" w:type="dxa"/>
            <w:shd w:val="clear" w:color="auto" w:fill="C6EFCE"/>
            <w:noWrap/>
            <w:vAlign w:val="center"/>
          </w:tcPr>
          <w:p w14:paraId="648C7001"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7AB1BEC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2022</w:t>
            </w:r>
          </w:p>
        </w:tc>
        <w:tc>
          <w:tcPr>
            <w:tcW w:w="2881" w:type="dxa"/>
            <w:shd w:val="clear" w:color="auto" w:fill="C6EFCE"/>
            <w:noWrap/>
            <w:vAlign w:val="center"/>
          </w:tcPr>
          <w:p w14:paraId="0FF21359" w14:textId="1D4CC0E4" w:rsidR="00BF03AA" w:rsidRPr="00326E55" w:rsidRDefault="00FB452D">
            <w:pPr>
              <w:pStyle w:val="P68B1DB1-Normal103"/>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Schválenie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(Contratto Istituzionale di Sviluppo)</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talianskym ministerstvom zdravotníctva ako zodpovedným</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vykonávajúcim orgánom</w:t>
            </w:r>
            <w:r w:rsidR="00326E55" w:rsidRPr="00326E55">
              <w:rPr>
                <w:rFonts w:ascii="Times New Roman" w:hAnsi="Times New Roman"/>
                <w:noProof/>
                <w:spacing w:val="-6"/>
                <w:lang w:val="sk-SK"/>
              </w:rPr>
              <w:t xml:space="preserve"> a s </w:t>
            </w:r>
            <w:r w:rsidRPr="00326E55">
              <w:rPr>
                <w:rFonts w:ascii="Times New Roman" w:hAnsi="Times New Roman"/>
                <w:noProof/>
                <w:spacing w:val="-6"/>
                <w:lang w:val="sk-SK"/>
              </w:rPr>
              <w:t>účasťou regionálnych správ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ďalších kľúčových </w:t>
            </w:r>
            <w:r w:rsidRPr="00326E55">
              <w:rPr>
                <w:rFonts w:ascii="Times New Roman" w:hAnsi="Times New Roman"/>
                <w:noProof/>
                <w:spacing w:val="-6"/>
                <w:lang w:val="sk-SK"/>
              </w:rPr>
              <w:t>zainteresovaných strán.</w:t>
            </w:r>
          </w:p>
          <w:p w14:paraId="54DCF275" w14:textId="4A6B5473" w:rsidR="00BF03AA" w:rsidRPr="00326E55" w:rsidRDefault="00FB452D">
            <w:pPr>
              <w:pStyle w:val="P68B1DB1-Normal103"/>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Zmluva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je nástroj určený súčasnými vnútroštátnymi právnymi predpismi (kombinované ustanovenia článkov 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6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88</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31</w:t>
            </w:r>
            <w:r w:rsidR="00326E55" w:rsidRPr="00326E55">
              <w:rPr>
                <w:rFonts w:ascii="Times New Roman" w:hAnsi="Times New Roman"/>
                <w:noProof/>
                <w:spacing w:val="-6"/>
                <w:lang w:val="sk-SK"/>
              </w:rPr>
              <w:t>. mája</w:t>
            </w:r>
            <w:r w:rsidRPr="00326E55">
              <w:rPr>
                <w:rFonts w:ascii="Times New Roman" w:hAnsi="Times New Roman"/>
                <w:noProof/>
                <w:spacing w:val="-6"/>
                <w:lang w:val="sk-SK"/>
              </w:rPr>
              <w:t xml:space="preserve"> 2011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článku 7 legislatívneho dekrétu </w:t>
            </w:r>
            <w:r w:rsidR="00326E55" w:rsidRPr="00326E55">
              <w:rPr>
                <w:rFonts w:ascii="Times New Roman" w:hAnsi="Times New Roman"/>
                <w:noProof/>
                <w:spacing w:val="-6"/>
                <w:lang w:val="sk-SK"/>
              </w:rPr>
              <w:t>č. </w:t>
            </w:r>
            <w:r w:rsidRPr="00326E55">
              <w:rPr>
                <w:rFonts w:ascii="Times New Roman" w:hAnsi="Times New Roman"/>
                <w:noProof/>
                <w:spacing w:val="-6"/>
                <w:lang w:val="sk-SK"/>
              </w:rPr>
              <w:t>91</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20</w:t>
            </w:r>
            <w:r w:rsidR="00326E55" w:rsidRPr="00326E55">
              <w:rPr>
                <w:rFonts w:ascii="Times New Roman" w:hAnsi="Times New Roman"/>
                <w:noProof/>
                <w:spacing w:val="-6"/>
                <w:lang w:val="sk-SK"/>
              </w:rPr>
              <w:t>. júna</w:t>
            </w:r>
            <w:r w:rsidRPr="00326E55">
              <w:rPr>
                <w:rFonts w:ascii="Times New Roman" w:hAnsi="Times New Roman"/>
                <w:noProof/>
                <w:spacing w:val="-6"/>
                <w:lang w:val="sk-SK"/>
              </w:rPr>
              <w:t xml:space="preserve"> 2</w:t>
            </w:r>
            <w:r w:rsidRPr="00326E55">
              <w:rPr>
                <w:rFonts w:ascii="Times New Roman" w:hAnsi="Times New Roman"/>
                <w:noProof/>
                <w:spacing w:val="-6"/>
                <w:lang w:val="sk-SK"/>
              </w:rPr>
              <w:t xml:space="preserve">017, zákonom </w:t>
            </w:r>
            <w:r w:rsidR="00326E55" w:rsidRPr="00326E55">
              <w:rPr>
                <w:rFonts w:ascii="Times New Roman" w:hAnsi="Times New Roman"/>
                <w:noProof/>
                <w:spacing w:val="-6"/>
                <w:lang w:val="sk-SK"/>
              </w:rPr>
              <w:t>č. </w:t>
            </w:r>
            <w:r w:rsidRPr="00326E55">
              <w:rPr>
                <w:rFonts w:ascii="Times New Roman" w:hAnsi="Times New Roman"/>
                <w:noProof/>
                <w:spacing w:val="-6"/>
                <w:lang w:val="sk-SK"/>
              </w:rPr>
              <w:t>123</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3</w:t>
            </w:r>
            <w:r w:rsidR="00326E55" w:rsidRPr="00326E55">
              <w:rPr>
                <w:rFonts w:ascii="Times New Roman" w:hAnsi="Times New Roman"/>
                <w:noProof/>
                <w:spacing w:val="-6"/>
                <w:lang w:val="sk-SK"/>
              </w:rPr>
              <w:t>. augusta</w:t>
            </w:r>
            <w:r w:rsidRPr="00326E55">
              <w:rPr>
                <w:rFonts w:ascii="Times New Roman" w:hAnsi="Times New Roman"/>
                <w:noProof/>
                <w:spacing w:val="-6"/>
                <w:lang w:val="sk-SK"/>
              </w:rPr>
              <w:t xml:space="preserve"> 2017) na urýchlenie realizácie strategických projektov, ktoré sú navzájom funkčne prepojené.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zmluve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inštitucionálnom rozvoji sa uvedú všetky vhodné lokality určené pre iinvestície, ako aj záväzky, ktoré každý región pre</w:t>
            </w:r>
            <w:r w:rsidRPr="00326E55">
              <w:rPr>
                <w:rFonts w:ascii="Times New Roman" w:hAnsi="Times New Roman"/>
                <w:noProof/>
                <w:spacing w:val="-6"/>
                <w:lang w:val="sk-SK"/>
              </w:rPr>
              <w:t>vezme, aby zaručil dosiahnutie očakávaného výsledku.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porušenia ktorýmkoľvek regiónom ministerstvo zdravotníctva postúpi komisárovi „ad acta“.</w:t>
            </w:r>
          </w:p>
        </w:tc>
      </w:tr>
      <w:tr w:rsidR="00BF03AA" w:rsidRPr="00326E55" w14:paraId="58B5F9F4" w14:textId="77777777">
        <w:trPr>
          <w:trHeight w:val="313"/>
          <w:jc w:val="center"/>
        </w:trPr>
        <w:tc>
          <w:tcPr>
            <w:tcW w:w="1140" w:type="dxa"/>
            <w:shd w:val="clear" w:color="auto" w:fill="C6EFCE"/>
            <w:noWrap/>
            <w:vAlign w:val="center"/>
          </w:tcPr>
          <w:p w14:paraId="44948BFF"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M6C2 – 6</w:t>
            </w:r>
          </w:p>
        </w:tc>
        <w:tc>
          <w:tcPr>
            <w:tcW w:w="1418" w:type="dxa"/>
            <w:shd w:val="clear" w:color="auto" w:fill="C6EFCE"/>
            <w:noWrap/>
            <w:vAlign w:val="center"/>
          </w:tcPr>
          <w:p w14:paraId="11CB8C1B"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1.1: Digitálna aktualizácia technologického vybavenia nemocníc</w:t>
            </w:r>
          </w:p>
        </w:tc>
        <w:tc>
          <w:tcPr>
            <w:tcW w:w="1134" w:type="dxa"/>
            <w:shd w:val="clear" w:color="auto" w:fill="C6EFCE"/>
            <w:noWrap/>
            <w:vAlign w:val="center"/>
          </w:tcPr>
          <w:p w14:paraId="48CAB2D0"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233AA896" w14:textId="08A6FD8D"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 xml:space="preserve">Dodanie veľkých diagnostických zariadení </w:t>
            </w:r>
          </w:p>
        </w:tc>
        <w:tc>
          <w:tcPr>
            <w:tcW w:w="1701" w:type="dxa"/>
            <w:shd w:val="clear" w:color="auto" w:fill="C6EFCE"/>
            <w:noWrap/>
            <w:vAlign w:val="center"/>
          </w:tcPr>
          <w:p w14:paraId="1C623FDC"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0038ABB3"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Počet</w:t>
            </w:r>
          </w:p>
        </w:tc>
        <w:tc>
          <w:tcPr>
            <w:tcW w:w="1134" w:type="dxa"/>
            <w:shd w:val="clear" w:color="auto" w:fill="C6EFCE"/>
            <w:noWrap/>
            <w:vAlign w:val="center"/>
          </w:tcPr>
          <w:p w14:paraId="191F9E2A"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0</w:t>
            </w:r>
          </w:p>
        </w:tc>
        <w:tc>
          <w:tcPr>
            <w:tcW w:w="1276" w:type="dxa"/>
            <w:shd w:val="clear" w:color="auto" w:fill="C6EFCE"/>
            <w:noWrap/>
            <w:vAlign w:val="center"/>
          </w:tcPr>
          <w:p w14:paraId="6D036435" w14:textId="211AF9F9"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3 100</w:t>
            </w:r>
          </w:p>
        </w:tc>
        <w:tc>
          <w:tcPr>
            <w:tcW w:w="865" w:type="dxa"/>
            <w:shd w:val="clear" w:color="auto" w:fill="C6EFCE"/>
            <w:noWrap/>
            <w:vAlign w:val="center"/>
          </w:tcPr>
          <w:p w14:paraId="3628413E" w14:textId="77777777" w:rsidR="00BF03AA" w:rsidRPr="00326E55" w:rsidRDefault="00FB452D">
            <w:pPr>
              <w:pStyle w:val="P68B1DB1-Normal103"/>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415BBA78" w14:textId="77777777" w:rsidR="00BF03AA" w:rsidRPr="00326E55" w:rsidRDefault="00FB452D">
            <w:pPr>
              <w:pStyle w:val="P68B1DB1-Normal103"/>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881" w:type="dxa"/>
            <w:shd w:val="clear" w:color="auto" w:fill="C6EFCE"/>
            <w:noWrap/>
            <w:vAlign w:val="center"/>
          </w:tcPr>
          <w:p w14:paraId="770D6A5A" w14:textId="08ED8577" w:rsidR="00BF03AA" w:rsidRPr="00326E55" w:rsidRDefault="00FB452D">
            <w:pPr>
              <w:pStyle w:val="P68B1DB1-Normal104"/>
              <w:spacing w:before="120" w:after="120"/>
              <w:rPr>
                <w:rFonts w:ascii="Times New Roman" w:hAnsi="Times New Roman"/>
                <w:noProof/>
                <w:color w:val="006100"/>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vykonaní testu alebo povolenia na používanie pre 3100 veľkých diagnostických zariadení. Počet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typológie vybavenia, ktoré sa má dodať, sú: 290 zariadení (NM</w:t>
            </w:r>
            <w:r w:rsidRPr="00326E55">
              <w:rPr>
                <w:rFonts w:ascii="Times New Roman" w:hAnsi="Times New Roman"/>
                <w:noProof/>
                <w:spacing w:val="-6"/>
                <w:lang w:val="sk-SK"/>
              </w:rPr>
              <w:t>R – jadrová magnetická rezonancia – 1,5 T alebo viac; Lineárne urýchľovače; Pet/CT – pozitrónová emisná tomografia/počítačová tomografia); 655 zariadení (Angiografia; Kamery gama, kamery Gamma/CT – počítačová tomografia; CT – počítačová tomografia); 2155 z</w:t>
            </w:r>
            <w:r w:rsidRPr="00326E55">
              <w:rPr>
                <w:rFonts w:ascii="Times New Roman" w:hAnsi="Times New Roman"/>
                <w:noProof/>
                <w:spacing w:val="-6"/>
                <w:lang w:val="sk-SK"/>
              </w:rPr>
              <w:t>ariadení (pevné röntgenové systémy; Mamografia; Ultrazvuk).</w:t>
            </w:r>
          </w:p>
        </w:tc>
      </w:tr>
      <w:tr w:rsidR="00BF03AA" w:rsidRPr="00326E55" w14:paraId="7910B201" w14:textId="77777777">
        <w:trPr>
          <w:trHeight w:val="313"/>
          <w:jc w:val="center"/>
        </w:trPr>
        <w:tc>
          <w:tcPr>
            <w:tcW w:w="1140" w:type="dxa"/>
            <w:shd w:val="clear" w:color="auto" w:fill="C6EFCE"/>
            <w:noWrap/>
            <w:vAlign w:val="center"/>
          </w:tcPr>
          <w:p w14:paraId="5842D7D6"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M6C2 – 7</w:t>
            </w:r>
          </w:p>
        </w:tc>
        <w:tc>
          <w:tcPr>
            <w:tcW w:w="1418" w:type="dxa"/>
            <w:shd w:val="clear" w:color="auto" w:fill="C6EFCE"/>
            <w:noWrap/>
            <w:vAlign w:val="center"/>
          </w:tcPr>
          <w:p w14:paraId="175F108D"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1.1: Digitálna aktualizácia technologického vybavenia nemocníc</w:t>
            </w:r>
          </w:p>
        </w:tc>
        <w:tc>
          <w:tcPr>
            <w:tcW w:w="1134" w:type="dxa"/>
            <w:shd w:val="clear" w:color="auto" w:fill="C6EFCE"/>
            <w:noWrap/>
            <w:vAlign w:val="center"/>
          </w:tcPr>
          <w:p w14:paraId="350AA29A"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Míľnik</w:t>
            </w:r>
          </w:p>
        </w:tc>
        <w:tc>
          <w:tcPr>
            <w:tcW w:w="1559" w:type="dxa"/>
            <w:shd w:val="clear" w:color="auto" w:fill="C6EFCE"/>
            <w:noWrap/>
            <w:vAlign w:val="center"/>
          </w:tcPr>
          <w:p w14:paraId="740CBC51"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Zadávanie všetkých verejných zákaziek</w:t>
            </w:r>
          </w:p>
        </w:tc>
        <w:tc>
          <w:tcPr>
            <w:tcW w:w="1701" w:type="dxa"/>
            <w:shd w:val="clear" w:color="auto" w:fill="C6EFCE"/>
            <w:noWrap/>
            <w:vAlign w:val="center"/>
          </w:tcPr>
          <w:p w14:paraId="27A16F7B"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Oznámenie všetkých zadaných verejných zákaziek.</w:t>
            </w:r>
          </w:p>
        </w:tc>
        <w:tc>
          <w:tcPr>
            <w:tcW w:w="1276" w:type="dxa"/>
            <w:shd w:val="clear" w:color="auto" w:fill="C6EFCE"/>
            <w:noWrap/>
            <w:vAlign w:val="center"/>
          </w:tcPr>
          <w:p w14:paraId="773E857E"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34941B60"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30EAFB3B"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865" w:type="dxa"/>
            <w:shd w:val="clear" w:color="auto" w:fill="C6EFCE"/>
            <w:noWrap/>
            <w:vAlign w:val="center"/>
          </w:tcPr>
          <w:p w14:paraId="41B4D99B"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ŠTVRTÝ ŠTVRŤROK</w:t>
            </w:r>
          </w:p>
        </w:tc>
        <w:tc>
          <w:tcPr>
            <w:tcW w:w="721" w:type="dxa"/>
            <w:shd w:val="clear" w:color="auto" w:fill="C6EFCE"/>
            <w:noWrap/>
            <w:vAlign w:val="center"/>
          </w:tcPr>
          <w:p w14:paraId="520CDA9C"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2022</w:t>
            </w:r>
          </w:p>
        </w:tc>
        <w:tc>
          <w:tcPr>
            <w:tcW w:w="2881" w:type="dxa"/>
            <w:shd w:val="clear" w:color="auto" w:fill="C6EFCE"/>
            <w:noWrap/>
            <w:vAlign w:val="center"/>
          </w:tcPr>
          <w:p w14:paraId="522B8191" w14:textId="6BB2FF15" w:rsidR="00BF03AA" w:rsidRPr="00326E55" w:rsidRDefault="00FB452D">
            <w:pPr>
              <w:pStyle w:val="P68B1DB1-Normal103"/>
              <w:spacing w:before="120" w:after="120"/>
              <w:rPr>
                <w:rFonts w:ascii="Times New Roman" w:hAnsi="Times New Roman"/>
                <w:noProof/>
                <w:spacing w:val="-6"/>
                <w:szCs w:val="20"/>
                <w:lang w:val="sk-SK"/>
              </w:rPr>
            </w:pPr>
            <w:r w:rsidRPr="00326E55">
              <w:rPr>
                <w:rFonts w:ascii="Times New Roman" w:hAnsi="Times New Roman"/>
                <w:noProof/>
                <w:spacing w:val="-6"/>
                <w:lang w:val="sk-SK"/>
              </w:rPr>
              <w:t>Uverejňovanie postupov verejného obstarávania (rámcová dohoda Consip)</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uzatváranie zmlúv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poskytovateľmi služieb</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digitalizácia nemocníc zaradených do úrovne DEA 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w:t>
            </w:r>
          </w:p>
          <w:p w14:paraId="6A166AEB" w14:textId="362BBC47" w:rsidR="00BF03AA" w:rsidRPr="00326E55" w:rsidRDefault="00FB452D">
            <w:pPr>
              <w:pStyle w:val="P68B1DB1-Normal103"/>
              <w:spacing w:before="120" w:after="120"/>
              <w:rPr>
                <w:rFonts w:ascii="Times New Roman" w:hAnsi="Times New Roman"/>
                <w:noProof/>
                <w:color w:val="006100"/>
                <w:spacing w:val="-6"/>
                <w:szCs w:val="20"/>
                <w:lang w:val="sk-SK"/>
              </w:rPr>
            </w:pPr>
            <w:r w:rsidRPr="00326E55">
              <w:rPr>
                <w:rFonts w:ascii="Times New Roman" w:hAnsi="Times New Roman"/>
                <w:noProof/>
                <w:spacing w:val="-6"/>
                <w:lang w:val="sk-SK"/>
              </w:rPr>
              <w:t>Zmluvy zahŕňajú nákup: a) Centrum spracovania údajo</w:t>
            </w:r>
            <w:r w:rsidRPr="00326E55">
              <w:rPr>
                <w:rFonts w:ascii="Times New Roman" w:hAnsi="Times New Roman"/>
                <w:noProof/>
                <w:spacing w:val="-6"/>
                <w:lang w:val="sk-SK"/>
              </w:rPr>
              <w:t>v (DPC) vrátane IKT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akýchkoľvek pomocných prác potrebných na dosiahnutie informatizácie celej nemocničnej štruktúry b) nadobudnutie hardvérovej a/alebo softvérovej informačnej technológie, elektromedicínskych technológií, ako aj ďalších technológií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aký</w:t>
            </w:r>
            <w:r w:rsidRPr="00326E55">
              <w:rPr>
                <w:rFonts w:ascii="Times New Roman" w:hAnsi="Times New Roman"/>
                <w:noProof/>
                <w:spacing w:val="-6"/>
                <w:lang w:val="sk-SK"/>
              </w:rPr>
              <w:t>chkoľvek doplnkových prác potrebných na dosiahnutie informatizácie nemocničných oddelení. Posúdenie súčasnej úrovne digitalizácie, ktoré predchádza vykonávaniu intervencie, umožní doladiť toto hodnotenie podľa skutočných potrieb každého regiónu/každej nemo</w:t>
            </w:r>
            <w:r w:rsidRPr="00326E55">
              <w:rPr>
                <w:rFonts w:ascii="Times New Roman" w:hAnsi="Times New Roman"/>
                <w:noProof/>
                <w:spacing w:val="-6"/>
                <w:lang w:val="sk-SK"/>
              </w:rPr>
              <w:t>cnice.</w:t>
            </w:r>
          </w:p>
        </w:tc>
      </w:tr>
      <w:tr w:rsidR="00BF03AA" w:rsidRPr="00326E55" w14:paraId="58E7E03A" w14:textId="77777777">
        <w:trPr>
          <w:trHeight w:val="313"/>
          <w:jc w:val="center"/>
        </w:trPr>
        <w:tc>
          <w:tcPr>
            <w:tcW w:w="1140" w:type="dxa"/>
            <w:shd w:val="clear" w:color="auto" w:fill="C6EFCE"/>
            <w:noWrap/>
            <w:vAlign w:val="center"/>
          </w:tcPr>
          <w:p w14:paraId="1089BB24"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M6C2 – 8</w:t>
            </w:r>
          </w:p>
        </w:tc>
        <w:tc>
          <w:tcPr>
            <w:tcW w:w="1418" w:type="dxa"/>
            <w:shd w:val="clear" w:color="auto" w:fill="C6EFCE"/>
            <w:noWrap/>
            <w:vAlign w:val="center"/>
          </w:tcPr>
          <w:p w14:paraId="0EDD016A"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1.1: Digitálna aktualizácia technologického vybavenia nemocníc</w:t>
            </w:r>
          </w:p>
        </w:tc>
        <w:tc>
          <w:tcPr>
            <w:tcW w:w="1134" w:type="dxa"/>
            <w:shd w:val="clear" w:color="auto" w:fill="C6EFCE"/>
            <w:noWrap/>
            <w:vAlign w:val="center"/>
          </w:tcPr>
          <w:p w14:paraId="4F8BEEDD"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46576655" w14:textId="2F732C56"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Nemocnice sú digitalizované (DEA – Núdzové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prijímacie oddelenia – úroveň 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úroveň II)</w:t>
            </w:r>
          </w:p>
        </w:tc>
        <w:tc>
          <w:tcPr>
            <w:tcW w:w="1701" w:type="dxa"/>
            <w:shd w:val="clear" w:color="auto" w:fill="C6EFCE"/>
            <w:noWrap/>
            <w:vAlign w:val="center"/>
          </w:tcPr>
          <w:p w14:paraId="21FDA0C0"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A0C9F5F" w14:textId="77777777"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shd w:val="clear" w:color="auto" w:fill="C6EFCE"/>
            <w:noWrap/>
            <w:vAlign w:val="center"/>
          </w:tcPr>
          <w:p w14:paraId="714ACD22"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0</w:t>
            </w:r>
          </w:p>
        </w:tc>
        <w:tc>
          <w:tcPr>
            <w:tcW w:w="1276" w:type="dxa"/>
            <w:shd w:val="clear" w:color="auto" w:fill="C6EFCE"/>
            <w:noWrap/>
            <w:vAlign w:val="center"/>
          </w:tcPr>
          <w:p w14:paraId="5DAC9872"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280</w:t>
            </w:r>
          </w:p>
        </w:tc>
        <w:tc>
          <w:tcPr>
            <w:tcW w:w="865" w:type="dxa"/>
            <w:shd w:val="clear" w:color="auto" w:fill="C6EFCE"/>
            <w:noWrap/>
            <w:vAlign w:val="center"/>
          </w:tcPr>
          <w:p w14:paraId="41613A6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ŠTVRTÝ ŠTVRŤROK</w:t>
            </w:r>
          </w:p>
        </w:tc>
        <w:tc>
          <w:tcPr>
            <w:tcW w:w="721" w:type="dxa"/>
            <w:shd w:val="clear" w:color="auto" w:fill="C6EFCE"/>
            <w:noWrap/>
            <w:vAlign w:val="center"/>
          </w:tcPr>
          <w:p w14:paraId="4A0B992D"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2025</w:t>
            </w:r>
          </w:p>
        </w:tc>
        <w:tc>
          <w:tcPr>
            <w:tcW w:w="2881" w:type="dxa"/>
            <w:shd w:val="clear" w:color="auto" w:fill="C6EFCE"/>
            <w:noWrap/>
            <w:vAlign w:val="center"/>
          </w:tcPr>
          <w:p w14:paraId="3A003FEB" w14:textId="35407B5E" w:rsidR="00BF03AA" w:rsidRPr="00326E55" w:rsidRDefault="00FB452D">
            <w:pPr>
              <w:pStyle w:val="P68B1DB1-Normal104"/>
              <w:spacing w:before="120" w:after="120"/>
              <w:rPr>
                <w:rFonts w:ascii="Times New Roman" w:hAnsi="Times New Roman"/>
                <w:noProof/>
                <w:spacing w:val="-6"/>
                <w:lang w:val="sk-SK"/>
              </w:rPr>
            </w:pPr>
            <w:r w:rsidRPr="00326E55">
              <w:rPr>
                <w:rFonts w:ascii="Times New Roman" w:hAnsi="Times New Roman"/>
                <w:noProof/>
                <w:spacing w:val="-6"/>
                <w:lang w:val="sk-SK"/>
              </w:rPr>
              <w:t xml:space="preserve">Cieľ sa dosiahne vtedy, </w:t>
            </w:r>
            <w:r w:rsidRPr="00326E55">
              <w:rPr>
                <w:rFonts w:ascii="Times New Roman" w:hAnsi="Times New Roman"/>
                <w:noProof/>
                <w:spacing w:val="-6"/>
                <w:lang w:val="sk-SK"/>
              </w:rPr>
              <w:t>keď sa digitalizácia každého oddelenia pre núdzové situácie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prijímanie prvej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druhej úrovne (DEA) zvýši aspoň</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jednu etapu podľa modelu osvojenia elektronických lekárskych záznamov (Emram) osvedčeného správou spoločnosti pre informačné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riadiace systé</w:t>
            </w:r>
            <w:r w:rsidRPr="00326E55">
              <w:rPr>
                <w:rFonts w:ascii="Times New Roman" w:hAnsi="Times New Roman"/>
                <w:noProof/>
                <w:spacing w:val="-6"/>
                <w:lang w:val="sk-SK"/>
              </w:rPr>
              <w:t>my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zdravotnej starostlivosti (HIMMS), ktorá dosiahne fázu dva alebo viac na stupnici zrelosti pre najmenej 50 DEA.</w:t>
            </w:r>
          </w:p>
          <w:p w14:paraId="36A0FBC7" w14:textId="18110BFB" w:rsidR="00BF03AA" w:rsidRPr="00326E55" w:rsidRDefault="00FB452D">
            <w:pPr>
              <w:pStyle w:val="P68B1DB1-Normal104"/>
              <w:spacing w:before="120" w:after="120"/>
              <w:rPr>
                <w:rFonts w:ascii="Times New Roman" w:hAnsi="Times New Roman"/>
                <w:noProof/>
                <w:color w:val="006100"/>
                <w:spacing w:val="-6"/>
                <w:lang w:val="sk-SK"/>
              </w:rPr>
            </w:pPr>
            <w:bookmarkStart w:id="22" w:name="_Hlk149126432"/>
            <w:r w:rsidRPr="00326E55">
              <w:rPr>
                <w:rFonts w:ascii="Times New Roman" w:hAnsi="Times New Roman"/>
                <w:noProof/>
                <w:spacing w:val="-6"/>
                <w:lang w:val="sk-SK"/>
              </w:rPr>
              <w:t>Povolené sú nástroje obstarávania, ktoré sprístupnila Consip („Concessionaria Servizi Informativi Pubblici“) – okrem tých, ktoré bo</w:t>
            </w:r>
            <w:r w:rsidRPr="00326E55">
              <w:rPr>
                <w:rFonts w:ascii="Times New Roman" w:hAnsi="Times New Roman"/>
                <w:noProof/>
                <w:spacing w:val="-6"/>
                <w:lang w:val="sk-SK"/>
              </w:rPr>
              <w:t>li uzavreté</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31. decembru 2022, ako aj elektronický trh verejnej správy (Mepa) alebo dynamický systém obstarávania verejnej správy (SDAPA) pre doplnkové nákupy.</w:t>
            </w:r>
            <w:bookmarkEnd w:id="22"/>
          </w:p>
        </w:tc>
      </w:tr>
      <w:tr w:rsidR="00BF03AA" w:rsidRPr="00326E55" w14:paraId="11C7CF8E" w14:textId="77777777">
        <w:trPr>
          <w:trHeight w:val="313"/>
          <w:jc w:val="center"/>
        </w:trPr>
        <w:tc>
          <w:tcPr>
            <w:tcW w:w="1140" w:type="dxa"/>
            <w:shd w:val="clear" w:color="auto" w:fill="C6EFCE"/>
            <w:noWrap/>
            <w:vAlign w:val="center"/>
          </w:tcPr>
          <w:p w14:paraId="5291F03A"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M6C2 – 9</w:t>
            </w:r>
          </w:p>
        </w:tc>
        <w:tc>
          <w:tcPr>
            <w:tcW w:w="1418" w:type="dxa"/>
            <w:shd w:val="clear" w:color="auto" w:fill="C6EFCE"/>
            <w:noWrap/>
            <w:vAlign w:val="center"/>
          </w:tcPr>
          <w:p w14:paraId="43B9D522"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1.1: Digitálna aktualizácia technologického vybavenia nemocníc</w:t>
            </w:r>
          </w:p>
        </w:tc>
        <w:tc>
          <w:tcPr>
            <w:tcW w:w="1134" w:type="dxa"/>
            <w:shd w:val="clear" w:color="auto" w:fill="C6EFCE"/>
            <w:noWrap/>
            <w:vAlign w:val="center"/>
          </w:tcPr>
          <w:p w14:paraId="4B32610D"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66C2188C" w14:textId="21C88E63" w:rsidR="00BF03AA" w:rsidRPr="00326E55" w:rsidRDefault="00FB452D">
            <w:pPr>
              <w:pStyle w:val="P68B1DB1-Normal104"/>
              <w:spacing w:before="120" w:after="120"/>
              <w:jc w:val="center"/>
              <w:rPr>
                <w:rFonts w:ascii="Times New Roman" w:hAnsi="Times New Roman"/>
                <w:noProof/>
                <w:spacing w:val="-6"/>
                <w:lang w:val="sk-SK"/>
              </w:rPr>
            </w:pPr>
            <w:r w:rsidRPr="00326E55">
              <w:rPr>
                <w:rFonts w:ascii="Times New Roman" w:hAnsi="Times New Roman"/>
                <w:noProof/>
                <w:spacing w:val="-6"/>
                <w:lang w:val="sk-SK"/>
              </w:rPr>
              <w:t>Dodatočné lôžka poskytované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ICU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menej intenzívna starostlivosť</w:t>
            </w:r>
          </w:p>
        </w:tc>
        <w:tc>
          <w:tcPr>
            <w:tcW w:w="1701" w:type="dxa"/>
            <w:shd w:val="clear" w:color="auto" w:fill="C6EFCE"/>
            <w:noWrap/>
            <w:vAlign w:val="center"/>
          </w:tcPr>
          <w:p w14:paraId="3F34911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5EB01911" w14:textId="77777777" w:rsidR="00BF03AA" w:rsidRPr="00326E55" w:rsidRDefault="00FB452D">
            <w:pPr>
              <w:pStyle w:val="P68B1DB1-Normal104"/>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 xml:space="preserve">Počet </w:t>
            </w:r>
          </w:p>
        </w:tc>
        <w:tc>
          <w:tcPr>
            <w:tcW w:w="1134" w:type="dxa"/>
            <w:shd w:val="clear" w:color="auto" w:fill="C6EFCE"/>
            <w:noWrap/>
            <w:vAlign w:val="center"/>
          </w:tcPr>
          <w:p w14:paraId="24BE93F8" w14:textId="77777777" w:rsidR="00BF03AA" w:rsidRPr="00326E55" w:rsidRDefault="00BF03AA">
            <w:pPr>
              <w:spacing w:before="120" w:after="120"/>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3E3F4F0F"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5 922</w:t>
            </w:r>
          </w:p>
        </w:tc>
        <w:tc>
          <w:tcPr>
            <w:tcW w:w="865" w:type="dxa"/>
            <w:shd w:val="clear" w:color="auto" w:fill="C6EFCE"/>
            <w:noWrap/>
            <w:vAlign w:val="center"/>
          </w:tcPr>
          <w:p w14:paraId="1DC8D49C"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3C911633"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2026</w:t>
            </w:r>
          </w:p>
        </w:tc>
        <w:tc>
          <w:tcPr>
            <w:tcW w:w="2881" w:type="dxa"/>
            <w:shd w:val="clear" w:color="auto" w:fill="C6EFCE"/>
            <w:noWrap/>
            <w:vAlign w:val="center"/>
          </w:tcPr>
          <w:p w14:paraId="250D7ED7" w14:textId="45C099D1" w:rsidR="00BF03AA" w:rsidRPr="00326E55" w:rsidRDefault="00FB452D">
            <w:pPr>
              <w:pStyle w:val="P68B1DB1-Normal104"/>
              <w:spacing w:before="120" w:after="120"/>
              <w:rPr>
                <w:rFonts w:ascii="Times New Roman" w:eastAsia="Calibri" w:hAnsi="Times New Roman"/>
                <w:noProof/>
                <w:spacing w:val="-6"/>
                <w:lang w:val="sk-SK"/>
              </w:rPr>
            </w:pPr>
            <w:r w:rsidRPr="00326E55">
              <w:rPr>
                <w:rFonts w:ascii="Times New Roman" w:hAnsi="Times New Roman"/>
                <w:noProof/>
                <w:spacing w:val="-6"/>
                <w:lang w:val="sk-SK"/>
              </w:rPr>
              <w:t>Dôkaz</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zásahov na zabezpečenie alebo konverziu aspoň 5922 lôžok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lôžok intenzívnej starostlivosti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polointenzívnom priestore so súvi</w:t>
            </w:r>
            <w:r w:rsidRPr="00326E55">
              <w:rPr>
                <w:rFonts w:ascii="Times New Roman" w:hAnsi="Times New Roman"/>
                <w:noProof/>
                <w:spacing w:val="-6"/>
                <w:lang w:val="sk-SK"/>
              </w:rPr>
              <w:t>siacim vetracím zariadením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 xml:space="preserve">príslušným nariadením (článok 2 zákona </w:t>
            </w:r>
            <w:r w:rsidR="00326E55" w:rsidRPr="00326E55">
              <w:rPr>
                <w:rFonts w:ascii="Times New Roman" w:hAnsi="Times New Roman"/>
                <w:noProof/>
                <w:spacing w:val="-6"/>
                <w:lang w:val="sk-SK"/>
              </w:rPr>
              <w:t>č. </w:t>
            </w:r>
            <w:r w:rsidRPr="00326E55">
              <w:rPr>
                <w:rFonts w:ascii="Times New Roman" w:hAnsi="Times New Roman"/>
                <w:noProof/>
                <w:spacing w:val="-6"/>
                <w:lang w:val="sk-SK"/>
              </w:rPr>
              <w:t>34/2020). Zabezpečenie lôžok intenzívnej starostlivosti musí predstavovať aspoň 40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celkového počtu lôžok, ktoré sú na základe tohto opatrenia</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dispozícii.</w:t>
            </w:r>
          </w:p>
        </w:tc>
      </w:tr>
      <w:tr w:rsidR="00BF03AA" w:rsidRPr="00326E55" w14:paraId="3FAD3A56" w14:textId="77777777">
        <w:trPr>
          <w:trHeight w:val="313"/>
          <w:jc w:val="center"/>
        </w:trPr>
        <w:tc>
          <w:tcPr>
            <w:tcW w:w="1140" w:type="dxa"/>
            <w:shd w:val="clear" w:color="auto" w:fill="C6EFCE"/>
            <w:noWrap/>
            <w:vAlign w:val="center"/>
          </w:tcPr>
          <w:p w14:paraId="39723F12"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M6C2 – 10</w:t>
            </w:r>
          </w:p>
        </w:tc>
        <w:tc>
          <w:tcPr>
            <w:tcW w:w="1418" w:type="dxa"/>
            <w:shd w:val="clear" w:color="auto" w:fill="C6EFCE"/>
            <w:noWrap/>
            <w:vAlign w:val="center"/>
          </w:tcPr>
          <w:p w14:paraId="6EEA7020" w14:textId="1730117E"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1.2: Smerom</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bezpečnej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udržateľnej nemocnici</w:t>
            </w:r>
          </w:p>
        </w:tc>
        <w:tc>
          <w:tcPr>
            <w:tcW w:w="1134" w:type="dxa"/>
            <w:shd w:val="clear" w:color="auto" w:fill="C6EFCE"/>
            <w:noWrap/>
            <w:vAlign w:val="center"/>
          </w:tcPr>
          <w:p w14:paraId="32DC6C9E"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4D3FBFF1" w14:textId="28028AA4"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Antiseizmické zásahy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nemocničných zariadeniach sú dokončené</w:t>
            </w:r>
          </w:p>
        </w:tc>
        <w:tc>
          <w:tcPr>
            <w:tcW w:w="1701" w:type="dxa"/>
            <w:shd w:val="clear" w:color="auto" w:fill="C6EFCE"/>
            <w:noWrap/>
            <w:vAlign w:val="center"/>
          </w:tcPr>
          <w:p w14:paraId="21B35286"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7771AD93" w14:textId="77777777"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shd w:val="clear" w:color="auto" w:fill="C6EFCE"/>
            <w:noWrap/>
            <w:vAlign w:val="center"/>
          </w:tcPr>
          <w:p w14:paraId="5F1CEADE"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0</w:t>
            </w:r>
          </w:p>
        </w:tc>
        <w:tc>
          <w:tcPr>
            <w:tcW w:w="1276" w:type="dxa"/>
            <w:shd w:val="clear" w:color="auto" w:fill="C6EFCE"/>
            <w:noWrap/>
            <w:vAlign w:val="center"/>
          </w:tcPr>
          <w:p w14:paraId="736B3A43" w14:textId="77777777" w:rsidR="00BF03AA" w:rsidRPr="00326E55" w:rsidRDefault="00FB452D">
            <w:pPr>
              <w:pStyle w:val="P68B1DB1-Normal103"/>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84</w:t>
            </w:r>
          </w:p>
        </w:tc>
        <w:tc>
          <w:tcPr>
            <w:tcW w:w="865" w:type="dxa"/>
            <w:shd w:val="clear" w:color="auto" w:fill="C6EFCE"/>
            <w:noWrap/>
            <w:vAlign w:val="center"/>
          </w:tcPr>
          <w:p w14:paraId="73A70097"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68CEA28E"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2026</w:t>
            </w:r>
          </w:p>
        </w:tc>
        <w:tc>
          <w:tcPr>
            <w:tcW w:w="2881" w:type="dxa"/>
            <w:shd w:val="clear" w:color="auto" w:fill="C6EFCE"/>
            <w:noWrap/>
            <w:vAlign w:val="center"/>
          </w:tcPr>
          <w:p w14:paraId="5A3F0B9C" w14:textId="42E3EEA7" w:rsidR="00BF03AA" w:rsidRPr="00326E55" w:rsidRDefault="00FB452D">
            <w:pPr>
              <w:pStyle w:val="P68B1DB1-Normal104"/>
              <w:spacing w:before="120" w:after="120"/>
              <w:rPr>
                <w:rFonts w:ascii="Times New Roman" w:hAnsi="Times New Roman"/>
                <w:noProof/>
                <w:spacing w:val="-6"/>
                <w:lang w:val="sk-SK"/>
              </w:rPr>
            </w:pPr>
            <w:r w:rsidRPr="00326E55">
              <w:rPr>
                <w:rFonts w:ascii="Times New Roman" w:hAnsi="Times New Roman"/>
                <w:noProof/>
                <w:spacing w:val="-6"/>
                <w:lang w:val="sk-SK"/>
              </w:rPr>
              <w:t>Správa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dokončenej štruktúre alebo 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statickom teste vydané pre najmenej 84 </w:t>
            </w:r>
            <w:r w:rsidRPr="00326E55">
              <w:rPr>
                <w:rFonts w:ascii="Times New Roman" w:hAnsi="Times New Roman"/>
                <w:noProof/>
                <w:spacing w:val="-6"/>
                <w:lang w:val="sk-SK"/>
              </w:rPr>
              <w:t>antiseizmických zásahov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nemocničných zariadeniach.</w:t>
            </w:r>
          </w:p>
        </w:tc>
      </w:tr>
      <w:tr w:rsidR="00BF03AA" w:rsidRPr="00326E55" w14:paraId="14F63673" w14:textId="77777777">
        <w:trPr>
          <w:trHeight w:val="313"/>
          <w:jc w:val="center"/>
        </w:trPr>
        <w:tc>
          <w:tcPr>
            <w:tcW w:w="1140" w:type="dxa"/>
            <w:shd w:val="clear" w:color="auto" w:fill="C6EFCE"/>
            <w:noWrap/>
            <w:vAlign w:val="center"/>
          </w:tcPr>
          <w:p w14:paraId="73A3C6D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M6C2 – 10 8</w:t>
            </w:r>
          </w:p>
        </w:tc>
        <w:tc>
          <w:tcPr>
            <w:tcW w:w="1418" w:type="dxa"/>
            <w:shd w:val="clear" w:color="auto" w:fill="C6EFCE"/>
            <w:noWrap/>
            <w:vAlign w:val="center"/>
          </w:tcPr>
          <w:p w14:paraId="6D0FF886" w14:textId="07FD4BA6" w:rsidR="00BF03AA" w:rsidRPr="00326E55" w:rsidRDefault="00FB452D">
            <w:pPr>
              <w:pStyle w:val="P68B1DB1-Normal103"/>
              <w:spacing w:before="120" w:after="120" w:line="276" w:lineRule="auto"/>
              <w:jc w:val="center"/>
              <w:rPr>
                <w:rFonts w:ascii="Times New Roman" w:hAnsi="Times New Roman"/>
                <w:noProof/>
                <w:spacing w:val="-6"/>
                <w:szCs w:val="20"/>
                <w:lang w:val="sk-SK"/>
              </w:rPr>
            </w:pPr>
            <w:bookmarkStart w:id="23" w:name="_Hlk160472567"/>
            <w:r w:rsidRPr="00326E55">
              <w:rPr>
                <w:rFonts w:ascii="Times New Roman" w:hAnsi="Times New Roman"/>
                <w:noProof/>
                <w:spacing w:val="-6"/>
                <w:lang w:val="sk-SK"/>
              </w:rPr>
              <w:t>Investícia 1.2: Smerom</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bezpečnej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udržateľnej nemocnici</w:t>
            </w:r>
            <w:bookmarkEnd w:id="23"/>
          </w:p>
        </w:tc>
        <w:tc>
          <w:tcPr>
            <w:tcW w:w="1134" w:type="dxa"/>
            <w:shd w:val="clear" w:color="auto" w:fill="C6EFCE"/>
            <w:noWrap/>
            <w:vAlign w:val="center"/>
          </w:tcPr>
          <w:p w14:paraId="18BE2564" w14:textId="77777777" w:rsidR="00BF03AA" w:rsidRPr="00326E55" w:rsidRDefault="00FB452D">
            <w:pPr>
              <w:pStyle w:val="P68B1DB1-Normal104"/>
              <w:jc w:val="center"/>
              <w:rPr>
                <w:rFonts w:ascii="Times New Roman" w:hAnsi="Times New Roman"/>
                <w:noProof/>
                <w:spacing w:val="-6"/>
                <w:lang w:val="sk-SK"/>
              </w:rPr>
            </w:pPr>
            <w:r w:rsidRPr="00326E55">
              <w:rPr>
                <w:rFonts w:ascii="Times New Roman" w:hAnsi="Times New Roman"/>
                <w:noProof/>
                <w:spacing w:val="-6"/>
                <w:lang w:val="sk-SK"/>
              </w:rPr>
              <w:t xml:space="preserve">Cieľ </w:t>
            </w:r>
          </w:p>
        </w:tc>
        <w:tc>
          <w:tcPr>
            <w:tcW w:w="1559" w:type="dxa"/>
            <w:shd w:val="clear" w:color="auto" w:fill="C6EFCE"/>
            <w:noWrap/>
            <w:vAlign w:val="center"/>
          </w:tcPr>
          <w:p w14:paraId="51AD38C8" w14:textId="26FDEC33" w:rsidR="00BF03AA" w:rsidRPr="00326E55" w:rsidRDefault="00FB452D">
            <w:pPr>
              <w:pStyle w:val="P68B1DB1-Normal104"/>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Vyplácanie zdrojov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odolnosti na projekty podľa článku 20 finančného zákona 67/88 – Healthcare </w:t>
            </w:r>
            <w:r w:rsidRPr="00326E55">
              <w:rPr>
                <w:rFonts w:ascii="Times New Roman" w:hAnsi="Times New Roman"/>
                <w:noProof/>
                <w:spacing w:val="-6"/>
                <w:lang w:val="sk-SK"/>
              </w:rPr>
              <w:t>Building</w:t>
            </w:r>
          </w:p>
        </w:tc>
        <w:tc>
          <w:tcPr>
            <w:tcW w:w="1701" w:type="dxa"/>
            <w:shd w:val="clear" w:color="auto" w:fill="C6EFCE"/>
            <w:noWrap/>
            <w:vAlign w:val="center"/>
          </w:tcPr>
          <w:p w14:paraId="7D68271F" w14:textId="77777777" w:rsidR="00BF03AA" w:rsidRPr="00326E55" w:rsidRDefault="00FB452D">
            <w:pPr>
              <w:pStyle w:val="P68B1DB1-Normal104"/>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FB1C1A1" w14:textId="77777777" w:rsidR="00BF03AA" w:rsidRPr="00326E55" w:rsidRDefault="00FB452D">
            <w:pPr>
              <w:pStyle w:val="P68B1DB1-Normal104"/>
              <w:jc w:val="center"/>
              <w:rPr>
                <w:rFonts w:ascii="Times New Roman" w:eastAsia="Calibri" w:hAnsi="Times New Roman"/>
                <w:noProof/>
                <w:spacing w:val="-6"/>
                <w:lang w:val="sk-SK"/>
              </w:rPr>
            </w:pPr>
            <w:r w:rsidRPr="00326E55">
              <w:rPr>
                <w:rFonts w:ascii="Times New Roman" w:hAnsi="Times New Roman"/>
                <w:noProof/>
                <w:spacing w:val="-6"/>
                <w:lang w:val="sk-SK"/>
              </w:rPr>
              <w:t>Počet</w:t>
            </w:r>
          </w:p>
        </w:tc>
        <w:tc>
          <w:tcPr>
            <w:tcW w:w="1134" w:type="dxa"/>
            <w:shd w:val="clear" w:color="auto" w:fill="C6EFCE"/>
            <w:noWrap/>
            <w:vAlign w:val="center"/>
          </w:tcPr>
          <w:p w14:paraId="015E1097" w14:textId="77777777" w:rsidR="00BF03AA" w:rsidRPr="00326E55" w:rsidRDefault="00FB452D">
            <w:pPr>
              <w:pStyle w:val="P68B1DB1-Normal104"/>
              <w:jc w:val="center"/>
              <w:rPr>
                <w:rFonts w:ascii="Times New Roman" w:hAnsi="Times New Roman"/>
                <w:noProof/>
                <w:spacing w:val="-6"/>
                <w:lang w:val="sk-SK"/>
              </w:rPr>
            </w:pPr>
            <w:r w:rsidRPr="00326E55">
              <w:rPr>
                <w:rFonts w:ascii="Times New Roman" w:hAnsi="Times New Roman"/>
                <w:noProof/>
                <w:spacing w:val="-6"/>
                <w:lang w:val="sk-SK"/>
              </w:rPr>
              <w:t>0</w:t>
            </w:r>
          </w:p>
        </w:tc>
        <w:tc>
          <w:tcPr>
            <w:tcW w:w="1276" w:type="dxa"/>
            <w:shd w:val="clear" w:color="auto" w:fill="C6EFCE"/>
            <w:noWrap/>
            <w:vAlign w:val="center"/>
          </w:tcPr>
          <w:p w14:paraId="10AF0ED4" w14:textId="560E5B77" w:rsidR="00BF03AA" w:rsidRPr="00326E55" w:rsidRDefault="00FB452D">
            <w:pPr>
              <w:pStyle w:val="P68B1DB1-Normal16"/>
              <w:jc w:val="center"/>
              <w:rPr>
                <w:rFonts w:ascii="Times New Roman" w:hAnsi="Times New Roman"/>
                <w:noProof/>
                <w:color w:val="006600"/>
                <w:spacing w:val="-6"/>
                <w:lang w:val="sk-SK"/>
              </w:rPr>
            </w:pPr>
            <w:r w:rsidRPr="00326E55">
              <w:rPr>
                <w:rFonts w:ascii="Times New Roman" w:hAnsi="Times New Roman"/>
                <w:noProof/>
                <w:color w:val="006600"/>
                <w:spacing w:val="-6"/>
                <w:lang w:val="sk-SK"/>
              </w:rPr>
              <w:t>225</w:t>
            </w:r>
            <w:r w:rsidRPr="00326E55">
              <w:rPr>
                <w:rFonts w:ascii="Times New Roman" w:hAnsi="Times New Roman"/>
                <w:noProof/>
                <w:color w:val="006100"/>
                <w:spacing w:val="-6"/>
                <w:lang w:val="sk-SK"/>
              </w:rPr>
              <w:t xml:space="preserve"> </w:t>
            </w:r>
            <w:r w:rsidRPr="00326E55">
              <w:rPr>
                <w:rFonts w:ascii="Times New Roman" w:hAnsi="Times New Roman"/>
                <w:noProof/>
                <w:color w:val="006600"/>
                <w:spacing w:val="-6"/>
                <w:lang w:val="sk-SK"/>
              </w:rPr>
              <w:t>000</w:t>
            </w:r>
            <w:r w:rsidRPr="00326E55">
              <w:rPr>
                <w:rFonts w:ascii="Times New Roman" w:hAnsi="Times New Roman"/>
                <w:noProof/>
                <w:color w:val="006100"/>
                <w:spacing w:val="-6"/>
                <w:lang w:val="sk-SK"/>
              </w:rPr>
              <w:t xml:space="preserve"> </w:t>
            </w:r>
            <w:r w:rsidRPr="00326E55">
              <w:rPr>
                <w:rFonts w:ascii="Times New Roman" w:hAnsi="Times New Roman"/>
                <w:noProof/>
                <w:color w:val="006600"/>
                <w:spacing w:val="-6"/>
                <w:lang w:val="sk-SK"/>
              </w:rPr>
              <w:t>000</w:t>
            </w:r>
          </w:p>
        </w:tc>
        <w:tc>
          <w:tcPr>
            <w:tcW w:w="865" w:type="dxa"/>
            <w:shd w:val="clear" w:color="auto" w:fill="C6EFCE"/>
            <w:noWrap/>
            <w:vAlign w:val="center"/>
          </w:tcPr>
          <w:p w14:paraId="26D8A7AC" w14:textId="77777777" w:rsidR="00BF03AA" w:rsidRPr="00326E55" w:rsidRDefault="00FB452D">
            <w:pPr>
              <w:pStyle w:val="P68B1DB1-Normal103"/>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60A5297E" w14:textId="77777777" w:rsidR="00BF03AA" w:rsidRPr="00326E55" w:rsidRDefault="00FB452D">
            <w:pPr>
              <w:pStyle w:val="P68B1DB1-Normal103"/>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2881" w:type="dxa"/>
            <w:shd w:val="clear" w:color="auto" w:fill="C6EFCE"/>
            <w:noWrap/>
            <w:vAlign w:val="center"/>
          </w:tcPr>
          <w:p w14:paraId="3B35AB37" w14:textId="49336717" w:rsidR="00BF03AA" w:rsidRPr="00326E55" w:rsidRDefault="00FB452D">
            <w:pPr>
              <w:pStyle w:val="P68B1DB1-Normal104"/>
              <w:rPr>
                <w:rFonts w:ascii="Times New Roman" w:eastAsia="Calibri" w:hAnsi="Times New Roman"/>
                <w:noProof/>
                <w:spacing w:val="-6"/>
                <w:lang w:val="sk-SK"/>
              </w:rPr>
            </w:pPr>
            <w:r w:rsidRPr="00326E55">
              <w:rPr>
                <w:rFonts w:ascii="Times New Roman" w:hAnsi="Times New Roman"/>
                <w:noProof/>
                <w:spacing w:val="-6"/>
                <w:lang w:val="sk-SK"/>
              </w:rPr>
              <w:t>Doklad</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platbe vo výške 225 000 000 EUR na vykonanie intervencií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obnovy budov a/alebo technologickej modernizácie zdravotníckych zariadení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programovými dohodami podľa člán</w:t>
            </w:r>
            <w:r w:rsidRPr="00326E55">
              <w:rPr>
                <w:rFonts w:ascii="Times New Roman" w:hAnsi="Times New Roman"/>
                <w:noProof/>
                <w:spacing w:val="-6"/>
                <w:lang w:val="sk-SK"/>
              </w:rPr>
              <w:t>ku 20 L. 67/88, ktoré vykonáva ministerstvo zdravotníctva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 regiónom alebo autonómnou provinciou.</w:t>
            </w:r>
          </w:p>
        </w:tc>
      </w:tr>
      <w:tr w:rsidR="00BF03AA" w:rsidRPr="00326E55" w14:paraId="5B5BB4DF" w14:textId="77777777">
        <w:trPr>
          <w:trHeight w:val="313"/>
          <w:jc w:val="center"/>
        </w:trPr>
        <w:tc>
          <w:tcPr>
            <w:tcW w:w="1140" w:type="dxa"/>
            <w:shd w:val="clear" w:color="auto" w:fill="C6EFCE"/>
            <w:noWrap/>
            <w:vAlign w:val="center"/>
          </w:tcPr>
          <w:p w14:paraId="4493889C"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M6C2 – 11</w:t>
            </w:r>
          </w:p>
        </w:tc>
        <w:tc>
          <w:tcPr>
            <w:tcW w:w="1418" w:type="dxa"/>
            <w:shd w:val="clear" w:color="auto" w:fill="C6EFCE"/>
            <w:noWrap/>
            <w:vAlign w:val="center"/>
          </w:tcPr>
          <w:p w14:paraId="6AEC904D" w14:textId="5E8E1E4B"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1.3: Posilnenie technologickej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nástrojov na zber údajov, spracovanie údajov, analýzu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simuláciu údajov</w:t>
            </w:r>
          </w:p>
        </w:tc>
        <w:tc>
          <w:tcPr>
            <w:tcW w:w="1134" w:type="dxa"/>
            <w:shd w:val="clear" w:color="auto" w:fill="C6EFCE"/>
            <w:noWrap/>
            <w:vAlign w:val="center"/>
          </w:tcPr>
          <w:p w14:paraId="1068CCB1"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1F815960" w14:textId="77777777" w:rsidR="00BF03AA" w:rsidRPr="00326E55" w:rsidRDefault="00FB452D">
            <w:pPr>
              <w:pStyle w:val="P68B1DB1-Normal103"/>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Všeobecní lekári, ktorí vypĺňajú elektronickú zdravotnú evidenciu.</w:t>
            </w:r>
          </w:p>
        </w:tc>
        <w:tc>
          <w:tcPr>
            <w:tcW w:w="1701" w:type="dxa"/>
            <w:shd w:val="clear" w:color="auto" w:fill="C6EFCE"/>
            <w:noWrap/>
            <w:vAlign w:val="center"/>
          </w:tcPr>
          <w:p w14:paraId="404E7EC2"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E61ABE0" w14:textId="77777777"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Percento </w:t>
            </w:r>
          </w:p>
        </w:tc>
        <w:tc>
          <w:tcPr>
            <w:tcW w:w="1134" w:type="dxa"/>
            <w:shd w:val="clear" w:color="auto" w:fill="C6EFCE"/>
            <w:noWrap/>
            <w:vAlign w:val="center"/>
          </w:tcPr>
          <w:p w14:paraId="240B6A39"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0</w:t>
            </w:r>
          </w:p>
        </w:tc>
        <w:tc>
          <w:tcPr>
            <w:tcW w:w="1276" w:type="dxa"/>
            <w:shd w:val="clear" w:color="auto" w:fill="C6EFCE"/>
            <w:noWrap/>
            <w:vAlign w:val="center"/>
          </w:tcPr>
          <w:p w14:paraId="64F6C8D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85</w:t>
            </w:r>
          </w:p>
        </w:tc>
        <w:tc>
          <w:tcPr>
            <w:tcW w:w="865" w:type="dxa"/>
            <w:shd w:val="clear" w:color="auto" w:fill="C6EFCE"/>
            <w:noWrap/>
            <w:vAlign w:val="center"/>
          </w:tcPr>
          <w:p w14:paraId="6A850DBE"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ŠTVRTÝ ŠTVRŤROK</w:t>
            </w:r>
          </w:p>
        </w:tc>
        <w:tc>
          <w:tcPr>
            <w:tcW w:w="721" w:type="dxa"/>
            <w:shd w:val="clear" w:color="auto" w:fill="C6EFCE"/>
            <w:noWrap/>
            <w:vAlign w:val="center"/>
          </w:tcPr>
          <w:p w14:paraId="0D6D2019"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2025</w:t>
            </w:r>
          </w:p>
        </w:tc>
        <w:tc>
          <w:tcPr>
            <w:tcW w:w="2881" w:type="dxa"/>
            <w:shd w:val="clear" w:color="auto" w:fill="C6EFCE"/>
            <w:noWrap/>
            <w:vAlign w:val="center"/>
          </w:tcPr>
          <w:p w14:paraId="2E750C0A" w14:textId="3C9A1D77" w:rsidR="00BF03AA" w:rsidRPr="00326E55" w:rsidRDefault="00FB452D">
            <w:pPr>
              <w:pStyle w:val="P68B1DB1-Normal104"/>
              <w:spacing w:before="120" w:after="120"/>
              <w:rPr>
                <w:rFonts w:ascii="Times New Roman" w:hAnsi="Times New Roman"/>
                <w:noProof/>
                <w:spacing w:val="-6"/>
                <w:lang w:val="sk-SK"/>
              </w:rPr>
            </w:pPr>
            <w:r w:rsidRPr="00326E55">
              <w:rPr>
                <w:rFonts w:ascii="Times New Roman" w:hAnsi="Times New Roman"/>
                <w:noProof/>
                <w:spacing w:val="-6"/>
                <w:lang w:val="sk-SK"/>
              </w:rPr>
              <w:t>Všeobecný lekár (MMG/PLS) používajúci elektronický zdravotný záznam (EHR) dosahujúci aspoň 85</w:t>
            </w:r>
            <w:r w:rsidR="00326E55" w:rsidRPr="00326E55">
              <w:rPr>
                <w:rFonts w:ascii="Times New Roman" w:hAnsi="Times New Roman"/>
                <w:noProof/>
                <w:spacing w:val="-6"/>
                <w:lang w:val="sk-SK"/>
              </w:rPr>
              <w:t> % z </w:t>
            </w:r>
            <w:r w:rsidRPr="00326E55">
              <w:rPr>
                <w:rFonts w:ascii="Times New Roman" w:hAnsi="Times New Roman"/>
                <w:noProof/>
                <w:spacing w:val="-6"/>
                <w:lang w:val="sk-SK"/>
              </w:rPr>
              <w:t>celkového počtu. Cieľ sa dosiahne overením h</w:t>
            </w:r>
            <w:r w:rsidRPr="00326E55">
              <w:rPr>
                <w:rFonts w:ascii="Times New Roman" w:hAnsi="Times New Roman"/>
                <w:noProof/>
                <w:spacing w:val="-6"/>
                <w:lang w:val="sk-SK"/>
              </w:rPr>
              <w:t>odnoty ukazovateľa 2 uvedeného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2</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dekrétu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8</w:t>
            </w:r>
            <w:r w:rsidR="00326E55" w:rsidRPr="00326E55">
              <w:rPr>
                <w:rFonts w:ascii="Times New Roman" w:hAnsi="Times New Roman"/>
                <w:noProof/>
                <w:spacing w:val="-6"/>
                <w:lang w:val="sk-SK"/>
              </w:rPr>
              <w:t>. augusta</w:t>
            </w:r>
            <w:r w:rsidRPr="00326E55">
              <w:rPr>
                <w:rFonts w:ascii="Times New Roman" w:hAnsi="Times New Roman"/>
                <w:noProof/>
                <w:spacing w:val="-6"/>
                <w:lang w:val="sk-SK"/>
              </w:rPr>
              <w:t xml:space="preserve"> 2022 na prehľade monitorovania elektronických zdravotných záznamov na vnútroštátnej úrovni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zmenami. </w:t>
            </w:r>
          </w:p>
        </w:tc>
      </w:tr>
      <w:tr w:rsidR="00BF03AA" w:rsidRPr="00326E55" w14:paraId="7EF2B9FB" w14:textId="77777777">
        <w:trPr>
          <w:trHeight w:val="313"/>
          <w:jc w:val="center"/>
        </w:trPr>
        <w:tc>
          <w:tcPr>
            <w:tcW w:w="1140" w:type="dxa"/>
            <w:shd w:val="clear" w:color="auto" w:fill="C6EFCE"/>
            <w:noWrap/>
            <w:vAlign w:val="center"/>
          </w:tcPr>
          <w:p w14:paraId="6836B5A9" w14:textId="77777777" w:rsidR="00BF03AA" w:rsidRPr="00326E55" w:rsidRDefault="00FB452D">
            <w:pPr>
              <w:pStyle w:val="P68B1DB1-Normal12"/>
              <w:spacing w:before="120" w:after="120"/>
              <w:jc w:val="center"/>
              <w:rPr>
                <w:rFonts w:ascii="Times New Roman" w:hAnsi="Times New Roman"/>
                <w:noProof/>
                <w:spacing w:val="-6"/>
                <w:lang w:val="sk-SK"/>
              </w:rPr>
            </w:pPr>
            <w:r w:rsidRPr="00326E55">
              <w:rPr>
                <w:rFonts w:ascii="Times New Roman" w:hAnsi="Times New Roman"/>
                <w:noProof/>
                <w:spacing w:val="-6"/>
                <w:lang w:val="sk-SK"/>
              </w:rPr>
              <w:t>M6C2 – 12</w:t>
            </w:r>
          </w:p>
        </w:tc>
        <w:tc>
          <w:tcPr>
            <w:tcW w:w="1418" w:type="dxa"/>
            <w:shd w:val="clear" w:color="auto" w:fill="C6EFCE"/>
            <w:noWrap/>
            <w:vAlign w:val="center"/>
          </w:tcPr>
          <w:p w14:paraId="15E40EC1" w14:textId="71A0531E"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1.3: Posilnenie technologickej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nástrojov na zber</w:t>
            </w:r>
            <w:r w:rsidRPr="00326E55">
              <w:rPr>
                <w:rFonts w:ascii="Times New Roman" w:hAnsi="Times New Roman"/>
                <w:noProof/>
                <w:spacing w:val="-6"/>
                <w:lang w:val="sk-SK"/>
              </w:rPr>
              <w:t xml:space="preserve"> údajov, spracovanie údajov, analýzu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simuláciu údajov</w:t>
            </w:r>
          </w:p>
        </w:tc>
        <w:tc>
          <w:tcPr>
            <w:tcW w:w="1134" w:type="dxa"/>
            <w:shd w:val="clear" w:color="auto" w:fill="C6EFCE"/>
            <w:noWrap/>
            <w:vAlign w:val="center"/>
          </w:tcPr>
          <w:p w14:paraId="6916CD57"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Míľnik</w:t>
            </w:r>
          </w:p>
        </w:tc>
        <w:tc>
          <w:tcPr>
            <w:tcW w:w="1559" w:type="dxa"/>
            <w:shd w:val="clear" w:color="auto" w:fill="C6EFCE"/>
            <w:noWrap/>
            <w:vAlign w:val="center"/>
          </w:tcPr>
          <w:p w14:paraId="2AD06A88" w14:textId="093D52E7" w:rsidR="00BF03AA" w:rsidRPr="00326E55" w:rsidRDefault="00FB452D">
            <w:pPr>
              <w:pStyle w:val="P68B1DB1-Normal104"/>
              <w:spacing w:before="120" w:after="120"/>
              <w:jc w:val="center"/>
              <w:rPr>
                <w:rFonts w:ascii="Times New Roman" w:hAnsi="Times New Roman"/>
                <w:noProof/>
                <w:spacing w:val="-6"/>
                <w:lang w:val="sk-SK"/>
              </w:rPr>
            </w:pPr>
            <w:r w:rsidRPr="00326E55">
              <w:rPr>
                <w:rFonts w:ascii="Times New Roman" w:hAnsi="Times New Roman"/>
                <w:noProof/>
                <w:spacing w:val="-6"/>
                <w:lang w:val="sk-SK"/>
              </w:rPr>
              <w:t>Systém kariet zdravotného poistenia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infraštruktúra pre interoperabilitu elektronických zdravotných záznamov sú</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prevádzke.</w:t>
            </w:r>
          </w:p>
        </w:tc>
        <w:tc>
          <w:tcPr>
            <w:tcW w:w="1701" w:type="dxa"/>
            <w:shd w:val="clear" w:color="auto" w:fill="C6EFCE"/>
            <w:noWrap/>
            <w:vAlign w:val="center"/>
          </w:tcPr>
          <w:p w14:paraId="1893BAC6" w14:textId="714F9811" w:rsidR="00BF03AA" w:rsidRPr="00326E55" w:rsidRDefault="00FB452D">
            <w:pPr>
              <w:spacing w:before="120" w:after="120"/>
              <w:jc w:val="center"/>
              <w:rPr>
                <w:rFonts w:ascii="Times New Roman" w:hAnsi="Times New Roman"/>
                <w:noProof/>
                <w:spacing w:val="-6"/>
                <w:sz w:val="20"/>
                <w:szCs w:val="20"/>
                <w:lang w:val="sk-SK"/>
              </w:rPr>
            </w:pPr>
            <w:r w:rsidRPr="00326E55">
              <w:rPr>
                <w:rFonts w:ascii="Times New Roman" w:hAnsi="Times New Roman"/>
                <w:noProof/>
                <w:color w:val="006600"/>
                <w:spacing w:val="-6"/>
                <w:sz w:val="20"/>
                <w:szCs w:val="20"/>
                <w:lang w:val="sk-SK"/>
              </w:rPr>
              <w:t>Uvedenie do prevádzky systému preukazov zdravotného poistenia</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noProof/>
                <w:color w:val="006600"/>
                <w:spacing w:val="-6"/>
                <w:sz w:val="20"/>
                <w:szCs w:val="20"/>
                <w:lang w:val="sk-SK"/>
              </w:rPr>
              <w:t xml:space="preserve">a </w:t>
            </w:r>
            <w:r w:rsidRPr="00326E55">
              <w:rPr>
                <w:rFonts w:ascii="Times New Roman" w:hAnsi="Times New Roman"/>
                <w:noProof/>
                <w:color w:val="006600"/>
                <w:spacing w:val="-6"/>
                <w:sz w:val="20"/>
                <w:szCs w:val="20"/>
                <w:lang w:val="sk-SK"/>
              </w:rPr>
              <w:t>infraštruktúry pre interoperabilitu elektronických zdravotných záznamov.</w:t>
            </w:r>
          </w:p>
        </w:tc>
        <w:tc>
          <w:tcPr>
            <w:tcW w:w="1276" w:type="dxa"/>
            <w:shd w:val="clear" w:color="auto" w:fill="C6EFCE"/>
            <w:noWrap/>
            <w:vAlign w:val="center"/>
          </w:tcPr>
          <w:p w14:paraId="76710FD3"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134" w:type="dxa"/>
            <w:shd w:val="clear" w:color="auto" w:fill="C6EFCE"/>
            <w:noWrap/>
            <w:vAlign w:val="center"/>
          </w:tcPr>
          <w:p w14:paraId="6A78FFF2"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3EFFCF24"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865" w:type="dxa"/>
            <w:shd w:val="clear" w:color="auto" w:fill="C6EFCE"/>
            <w:noWrap/>
            <w:vAlign w:val="center"/>
          </w:tcPr>
          <w:p w14:paraId="76BA64F4"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67BFCC6A"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2026</w:t>
            </w:r>
          </w:p>
        </w:tc>
        <w:tc>
          <w:tcPr>
            <w:tcW w:w="2881" w:type="dxa"/>
            <w:shd w:val="clear" w:color="auto" w:fill="C6EFCE"/>
            <w:noWrap/>
            <w:vAlign w:val="center"/>
          </w:tcPr>
          <w:p w14:paraId="4411EE60" w14:textId="4AF2F65C" w:rsidR="00BF03AA" w:rsidRPr="00326E55" w:rsidRDefault="00FB452D">
            <w:pPr>
              <w:spacing w:before="120" w:after="120"/>
              <w:rPr>
                <w:rFonts w:ascii="Times New Roman" w:eastAsia="Calibri" w:hAnsi="Times New Roman"/>
                <w:noProof/>
                <w:color w:val="006600"/>
                <w:spacing w:val="-6"/>
                <w:sz w:val="20"/>
                <w:szCs w:val="20"/>
                <w:lang w:val="sk-SK"/>
              </w:rPr>
            </w:pPr>
            <w:r w:rsidRPr="00326E55">
              <w:rPr>
                <w:rFonts w:ascii="Times New Roman" w:hAnsi="Times New Roman"/>
                <w:noProof/>
                <w:color w:val="006600"/>
                <w:spacing w:val="-6"/>
                <w:sz w:val="20"/>
                <w:szCs w:val="20"/>
                <w:lang w:val="sk-SK"/>
              </w:rPr>
              <w:t>Osvedčenia</w:t>
            </w:r>
            <w:r w:rsidR="00326E55" w:rsidRPr="00326E55">
              <w:rPr>
                <w:rFonts w:ascii="Times New Roman" w:hAnsi="Times New Roman"/>
                <w:noProof/>
                <w:color w:val="006600"/>
                <w:spacing w:val="-6"/>
                <w:sz w:val="20"/>
                <w:szCs w:val="20"/>
                <w:lang w:val="sk-SK"/>
              </w:rPr>
              <w:t xml:space="preserve"> o </w:t>
            </w:r>
            <w:r w:rsidRPr="00326E55">
              <w:rPr>
                <w:rFonts w:ascii="Times New Roman" w:hAnsi="Times New Roman"/>
                <w:noProof/>
                <w:color w:val="006600"/>
                <w:spacing w:val="-6"/>
                <w:sz w:val="20"/>
                <w:szCs w:val="20"/>
                <w:lang w:val="sk-SK"/>
              </w:rPr>
              <w:t>skúškach potvrdzujúce uvedenie systému karty zdravotného poistenia do prevádzky</w:t>
            </w:r>
            <w:r w:rsidR="00326E55" w:rsidRPr="00326E55">
              <w:rPr>
                <w:rFonts w:ascii="Times New Roman" w:hAnsi="Times New Roman"/>
                <w:noProof/>
                <w:color w:val="006600"/>
                <w:spacing w:val="-6"/>
                <w:sz w:val="20"/>
                <w:szCs w:val="20"/>
                <w:lang w:val="sk-SK"/>
              </w:rPr>
              <w:t xml:space="preserve"> a </w:t>
            </w:r>
            <w:r w:rsidRPr="00326E55">
              <w:rPr>
                <w:rFonts w:ascii="Times New Roman" w:hAnsi="Times New Roman"/>
                <w:noProof/>
                <w:color w:val="006600"/>
                <w:spacing w:val="-6"/>
                <w:sz w:val="20"/>
                <w:szCs w:val="20"/>
                <w:lang w:val="sk-SK"/>
              </w:rPr>
              <w:t xml:space="preserve">infraštruktúry pre interoperabilitu </w:t>
            </w:r>
            <w:r w:rsidRPr="00326E55">
              <w:rPr>
                <w:rFonts w:ascii="Times New Roman" w:hAnsi="Times New Roman"/>
                <w:noProof/>
                <w:color w:val="006600"/>
                <w:spacing w:val="-6"/>
                <w:sz w:val="20"/>
                <w:szCs w:val="20"/>
                <w:lang w:val="sk-SK"/>
              </w:rPr>
              <w:t>elektronických zdravotných záznamov</w:t>
            </w:r>
            <w:r w:rsidR="00326E55" w:rsidRPr="00326E55">
              <w:rPr>
                <w:rFonts w:ascii="Times New Roman" w:hAnsi="Times New Roman"/>
                <w:noProof/>
                <w:color w:val="006600"/>
                <w:spacing w:val="-6"/>
                <w:sz w:val="20"/>
                <w:szCs w:val="20"/>
                <w:lang w:val="sk-SK"/>
              </w:rPr>
              <w:t xml:space="preserve"> a </w:t>
            </w:r>
            <w:r w:rsidRPr="00326E55">
              <w:rPr>
                <w:rFonts w:ascii="Times New Roman" w:hAnsi="Times New Roman"/>
                <w:noProof/>
                <w:color w:val="006600"/>
                <w:spacing w:val="-6"/>
                <w:sz w:val="20"/>
                <w:szCs w:val="20"/>
                <w:lang w:val="sk-SK"/>
              </w:rPr>
              <w:t>zavedenie „ecosistema Dati Sanitari“ (EDS)..</w:t>
            </w:r>
          </w:p>
        </w:tc>
      </w:tr>
      <w:tr w:rsidR="00BF03AA" w:rsidRPr="00326E55" w14:paraId="091128D8" w14:textId="77777777">
        <w:trPr>
          <w:trHeight w:val="313"/>
          <w:jc w:val="center"/>
        </w:trPr>
        <w:tc>
          <w:tcPr>
            <w:tcW w:w="114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D5BB9C"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M6C2 – 13</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8B1906" w14:textId="2DA41AC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1.3: Posilnenie technologickej infraštruktúry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nástrojov na zber údajov, spracovanie údajov, analýzu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simuláciu údajov</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BF4B7" w14:textId="77777777" w:rsidR="00BF03AA" w:rsidRPr="00326E55" w:rsidRDefault="00FB452D">
            <w:pPr>
              <w:pStyle w:val="P68B1DB1-Normal104"/>
              <w:spacing w:before="120" w:after="120"/>
              <w:jc w:val="center"/>
              <w:rPr>
                <w:rFonts w:ascii="Times New Roman" w:hAnsi="Times New Roman"/>
                <w:noProof/>
                <w:color w:val="006100"/>
                <w:spacing w:val="-6"/>
                <w:lang w:val="sk-SK"/>
              </w:rPr>
            </w:pPr>
            <w:r w:rsidRPr="00326E55">
              <w:rPr>
                <w:rFonts w:ascii="Times New Roman" w:hAnsi="Times New Roman"/>
                <w:noProof/>
                <w:spacing w:val="-6"/>
                <w:lang w:val="sk-SK"/>
              </w:rPr>
              <w:t>Cieľ</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F7DBC9" w14:textId="1589BDA3" w:rsidR="00BF03AA" w:rsidRPr="00326E55" w:rsidRDefault="00FB452D">
            <w:pPr>
              <w:pStyle w:val="P68B1DB1-Normal104"/>
              <w:spacing w:before="120" w:after="120"/>
              <w:jc w:val="center"/>
              <w:rPr>
                <w:rFonts w:ascii="Times New Roman" w:eastAsia="Calibri" w:hAnsi="Times New Roman"/>
                <w:noProof/>
                <w:spacing w:val="-6"/>
                <w:lang w:val="sk-SK"/>
              </w:rPr>
            </w:pPr>
            <w:r w:rsidRPr="00326E55">
              <w:rPr>
                <w:rFonts w:ascii="Times New Roman" w:hAnsi="Times New Roman"/>
                <w:noProof/>
                <w:spacing w:val="-6"/>
                <w:lang w:val="sk-SK"/>
              </w:rPr>
              <w:t xml:space="preserve">V prípade väčšiny zdravotných záznamov sa používa elektronický zdravotný záznam. </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B7768E"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4BD278" w14:textId="77777777" w:rsidR="00BF03AA" w:rsidRPr="00326E55" w:rsidRDefault="00FB452D">
            <w:pPr>
              <w:pStyle w:val="P68B1DB1-Normal103"/>
              <w:spacing w:before="120" w:after="120"/>
              <w:jc w:val="center"/>
              <w:rPr>
                <w:rFonts w:ascii="Times New Roman" w:eastAsia="Arial" w:hAnsi="Times New Roman"/>
                <w:noProof/>
                <w:spacing w:val="-6"/>
                <w:szCs w:val="20"/>
                <w:lang w:val="sk-SK"/>
              </w:rPr>
            </w:pPr>
            <w:r w:rsidRPr="00326E55">
              <w:rPr>
                <w:rFonts w:ascii="Times New Roman" w:hAnsi="Times New Roman"/>
                <w:noProof/>
                <w:spacing w:val="-6"/>
                <w:lang w:val="sk-SK"/>
              </w:rPr>
              <w:t>Percento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617D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0</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E6F90"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90</w:t>
            </w:r>
          </w:p>
        </w:tc>
        <w:tc>
          <w:tcPr>
            <w:tcW w:w="8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AA338"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DRUHÝ ŠTVRŤROK</w:t>
            </w:r>
          </w:p>
        </w:tc>
        <w:tc>
          <w:tcPr>
            <w:tcW w:w="7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46A81"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2026</w:t>
            </w:r>
          </w:p>
        </w:tc>
        <w:tc>
          <w:tcPr>
            <w:tcW w:w="28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375051" w14:textId="03FD4C2E" w:rsidR="00BF03AA" w:rsidRPr="00326E55" w:rsidRDefault="00FB452D">
            <w:pPr>
              <w:pStyle w:val="P68B1DB1-Normal104"/>
              <w:spacing w:before="120" w:after="120"/>
              <w:rPr>
                <w:rFonts w:ascii="Times New Roman" w:eastAsia="Calibri" w:hAnsi="Times New Roman"/>
                <w:noProof/>
                <w:spacing w:val="-6"/>
                <w:lang w:val="sk-SK"/>
              </w:rPr>
            </w:pPr>
            <w:r w:rsidRPr="00326E55">
              <w:rPr>
                <w:rFonts w:ascii="Times New Roman" w:hAnsi="Times New Roman"/>
                <w:noProof/>
                <w:spacing w:val="-6"/>
                <w:lang w:val="sk-SK"/>
              </w:rPr>
              <w:t>Produkcia pôvodných dokumentov týkajúcich sa elektronických zdravotných záznamov</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celkového počtu dokumentov musí dosiahnuť 90</w:t>
            </w:r>
            <w:r w:rsidR="00326E55" w:rsidRPr="00326E55">
              <w:rPr>
                <w:rFonts w:ascii="Times New Roman" w:hAnsi="Times New Roman"/>
                <w:noProof/>
                <w:spacing w:val="-6"/>
                <w:lang w:val="sk-SK"/>
              </w:rPr>
              <w:t> %</w:t>
            </w:r>
            <w:r w:rsidRPr="00326E55">
              <w:rPr>
                <w:rFonts w:ascii="Times New Roman" w:hAnsi="Times New Roman"/>
                <w:noProof/>
                <w:spacing w:val="-6"/>
                <w:lang w:val="sk-SK"/>
              </w:rPr>
              <w:t>.</w:t>
            </w:r>
            <w:r w:rsidRPr="00326E55">
              <w:rPr>
                <w:rFonts w:ascii="Times New Roman" w:hAnsi="Times New Roman"/>
                <w:noProof/>
                <w:spacing w:val="-6"/>
                <w:lang w:val="sk-SK"/>
              </w:rPr>
              <w:t xml:space="preserve"> Cieľ sa dosiahne overením na prehľade monitorovania elektronických zdravotných záznamov, hodnoty ukazovateľa 1 uvedeného</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prílohe 2</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dekrétu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8</w:t>
            </w:r>
            <w:r w:rsidR="00326E55" w:rsidRPr="00326E55">
              <w:rPr>
                <w:rFonts w:ascii="Times New Roman" w:hAnsi="Times New Roman"/>
                <w:noProof/>
                <w:spacing w:val="-6"/>
                <w:lang w:val="sk-SK"/>
              </w:rPr>
              <w:t>. augusta</w:t>
            </w:r>
            <w:r w:rsidRPr="00326E55">
              <w:rPr>
                <w:rFonts w:ascii="Times New Roman" w:hAnsi="Times New Roman"/>
                <w:noProof/>
                <w:spacing w:val="-6"/>
                <w:lang w:val="sk-SK"/>
              </w:rPr>
              <w:t xml:space="preserve"> 2022 na vnútroštátnej úrovni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zmien,</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aspoň</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týmito dokumentmi: Prepúšťací list</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nemocnice; správa</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pohotovostnej miestnosti; laboratórnu správu; rádiologická správa; správa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patologickej anatómii.</w:t>
            </w:r>
          </w:p>
        </w:tc>
      </w:tr>
      <w:tr w:rsidR="00BF03AA" w:rsidRPr="00326E55" w14:paraId="1B5BCAA2" w14:textId="77777777">
        <w:trPr>
          <w:trHeight w:val="313"/>
          <w:jc w:val="center"/>
        </w:trPr>
        <w:tc>
          <w:tcPr>
            <w:tcW w:w="1140" w:type="dxa"/>
            <w:shd w:val="clear" w:color="auto" w:fill="C6EFCE"/>
            <w:noWrap/>
            <w:vAlign w:val="center"/>
          </w:tcPr>
          <w:p w14:paraId="72588BDB"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M6C2 – 14</w:t>
            </w:r>
          </w:p>
        </w:tc>
        <w:tc>
          <w:tcPr>
            <w:tcW w:w="1418" w:type="dxa"/>
            <w:shd w:val="clear" w:color="auto" w:fill="C6EFCE"/>
            <w:noWrap/>
            <w:vAlign w:val="center"/>
          </w:tcPr>
          <w:p w14:paraId="49FA42E6" w14:textId="4B4538F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2.2: Rozvoj technicko-profesijných, digitálnych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manažérskych zručností odborníkov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systéme zdravotnej </w:t>
            </w:r>
            <w:r w:rsidRPr="00326E55">
              <w:rPr>
                <w:rFonts w:ascii="Times New Roman" w:hAnsi="Times New Roman"/>
                <w:noProof/>
                <w:spacing w:val="-6"/>
                <w:lang w:val="sk-SK"/>
              </w:rPr>
              <w:t>starostlivosti</w:t>
            </w:r>
          </w:p>
        </w:tc>
        <w:tc>
          <w:tcPr>
            <w:tcW w:w="1134" w:type="dxa"/>
            <w:shd w:val="clear" w:color="auto" w:fill="C6EFCE"/>
            <w:noWrap/>
            <w:vAlign w:val="center"/>
          </w:tcPr>
          <w:p w14:paraId="20E55297"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189E26F3" w14:textId="7DA4B8AF" w:rsidR="00BF03AA" w:rsidRPr="00326E55" w:rsidRDefault="00FB452D">
            <w:pPr>
              <w:pStyle w:val="P68B1DB1-Normal103"/>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Udeľujú sa štipendiá na špecifickú odbornú prípravu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všeobecnej lekárskej praxe.</w:t>
            </w:r>
          </w:p>
        </w:tc>
        <w:tc>
          <w:tcPr>
            <w:tcW w:w="1701" w:type="dxa"/>
            <w:shd w:val="clear" w:color="auto" w:fill="C6EFCE"/>
            <w:noWrap/>
            <w:vAlign w:val="center"/>
          </w:tcPr>
          <w:p w14:paraId="064905A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3A6BB00A" w14:textId="77777777"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shd w:val="clear" w:color="auto" w:fill="C6EFCE"/>
            <w:noWrap/>
            <w:vAlign w:val="center"/>
          </w:tcPr>
          <w:p w14:paraId="504D4294"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0</w:t>
            </w:r>
          </w:p>
        </w:tc>
        <w:tc>
          <w:tcPr>
            <w:tcW w:w="1276" w:type="dxa"/>
            <w:shd w:val="clear" w:color="auto" w:fill="C6EFCE"/>
            <w:noWrap/>
            <w:vAlign w:val="center"/>
          </w:tcPr>
          <w:p w14:paraId="3F000487" w14:textId="77777777" w:rsidR="00BF03AA" w:rsidRPr="00326E55" w:rsidRDefault="00FB452D">
            <w:pPr>
              <w:spacing w:before="120" w:after="120"/>
              <w:jc w:val="center"/>
              <w:rPr>
                <w:rFonts w:ascii="Times New Roman" w:hAnsi="Times New Roman"/>
                <w:noProof/>
                <w:color w:val="006100"/>
                <w:spacing w:val="-6"/>
                <w:sz w:val="20"/>
                <w:szCs w:val="20"/>
                <w:lang w:val="sk-SK"/>
              </w:rPr>
            </w:pPr>
            <w:r w:rsidRPr="00326E55">
              <w:rPr>
                <w:rFonts w:ascii="Times New Roman" w:hAnsi="Times New Roman"/>
                <w:noProof/>
                <w:color w:val="006600"/>
                <w:spacing w:val="-6"/>
                <w:sz w:val="20"/>
                <w:lang w:val="sk-SK"/>
              </w:rPr>
              <w:t>1</w:t>
            </w:r>
            <w:r w:rsidRPr="00326E55">
              <w:rPr>
                <w:rFonts w:ascii="Times New Roman" w:hAnsi="Times New Roman"/>
                <w:noProof/>
                <w:spacing w:val="-6"/>
                <w:sz w:val="23"/>
                <w:szCs w:val="23"/>
                <w:lang w:val="sk-SK"/>
              </w:rPr>
              <w:t xml:space="preserve"> </w:t>
            </w:r>
            <w:r w:rsidRPr="00326E55">
              <w:rPr>
                <w:rFonts w:ascii="Times New Roman" w:hAnsi="Times New Roman"/>
                <w:noProof/>
                <w:color w:val="006600"/>
                <w:spacing w:val="-6"/>
                <w:sz w:val="20"/>
                <w:lang w:val="sk-SK"/>
              </w:rPr>
              <w:t>800</w:t>
            </w:r>
          </w:p>
        </w:tc>
        <w:tc>
          <w:tcPr>
            <w:tcW w:w="865" w:type="dxa"/>
            <w:shd w:val="clear" w:color="auto" w:fill="C6EFCE"/>
            <w:noWrap/>
            <w:vAlign w:val="center"/>
          </w:tcPr>
          <w:p w14:paraId="7EBA83E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5464604F"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2023</w:t>
            </w:r>
          </w:p>
        </w:tc>
        <w:tc>
          <w:tcPr>
            <w:tcW w:w="2881" w:type="dxa"/>
            <w:shd w:val="clear" w:color="auto" w:fill="C6EFCE"/>
            <w:noWrap/>
            <w:vAlign w:val="center"/>
          </w:tcPr>
          <w:p w14:paraId="29CF9389" w14:textId="4054461F" w:rsidR="00BF03AA" w:rsidRPr="00326E55" w:rsidRDefault="00FB452D">
            <w:pPr>
              <w:pStyle w:val="P68B1DB1-Normal103"/>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 xml:space="preserve">Touto investíciou sa zvýšia štipendiá na konkrétny kurz všeobecnej medicíny, čím sa zaručí ukončenie </w:t>
            </w:r>
            <w:r w:rsidRPr="00326E55">
              <w:rPr>
                <w:rFonts w:ascii="Times New Roman" w:hAnsi="Times New Roman"/>
                <w:noProof/>
                <w:spacing w:val="-6"/>
                <w:lang w:val="sk-SK"/>
              </w:rPr>
              <w:t>troch trojročných cyklov odbornej prípravy.</w:t>
            </w:r>
          </w:p>
        </w:tc>
      </w:tr>
      <w:tr w:rsidR="00BF03AA" w:rsidRPr="00326E55" w14:paraId="6141FF9A" w14:textId="77777777">
        <w:trPr>
          <w:trHeight w:val="313"/>
          <w:jc w:val="center"/>
        </w:trPr>
        <w:tc>
          <w:tcPr>
            <w:tcW w:w="1140" w:type="dxa"/>
            <w:shd w:val="clear" w:color="auto" w:fill="C6EFCE"/>
            <w:noWrap/>
            <w:vAlign w:val="center"/>
          </w:tcPr>
          <w:p w14:paraId="2B7976DA" w14:textId="77777777" w:rsidR="00BF03AA" w:rsidRPr="00326E55" w:rsidRDefault="00FB452D">
            <w:pPr>
              <w:pStyle w:val="P68B1DB1-Normal11"/>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M6C2 – 15</w:t>
            </w:r>
          </w:p>
        </w:tc>
        <w:tc>
          <w:tcPr>
            <w:tcW w:w="1418" w:type="dxa"/>
            <w:shd w:val="clear" w:color="auto" w:fill="C6EFCE"/>
            <w:noWrap/>
            <w:vAlign w:val="center"/>
          </w:tcPr>
          <w:p w14:paraId="6DD16667" w14:textId="5E54987F"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Investícia 2.2: Rozvoj technicko-profesijných, digitálnych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manažérskych zručností odborníkov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systéme zdravotnej starostlivosti</w:t>
            </w:r>
          </w:p>
        </w:tc>
        <w:tc>
          <w:tcPr>
            <w:tcW w:w="1134" w:type="dxa"/>
            <w:shd w:val="clear" w:color="auto" w:fill="C6EFCE"/>
            <w:noWrap/>
            <w:vAlign w:val="center"/>
          </w:tcPr>
          <w:p w14:paraId="15527C20"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Cieľ</w:t>
            </w:r>
          </w:p>
        </w:tc>
        <w:tc>
          <w:tcPr>
            <w:tcW w:w="1559" w:type="dxa"/>
            <w:shd w:val="clear" w:color="auto" w:fill="C6EFCE"/>
            <w:noWrap/>
            <w:vAlign w:val="center"/>
          </w:tcPr>
          <w:p w14:paraId="18709119" w14:textId="2BB3E106" w:rsidR="00BF03AA" w:rsidRPr="00326E55" w:rsidRDefault="00FB452D">
            <w:pPr>
              <w:pStyle w:val="P68B1DB1-Normal103"/>
              <w:spacing w:before="120" w:after="120"/>
              <w:jc w:val="center"/>
              <w:rPr>
                <w:rFonts w:ascii="Times New Roman" w:hAnsi="Times New Roman"/>
                <w:noProof/>
                <w:spacing w:val="-6"/>
                <w:szCs w:val="20"/>
                <w:lang w:val="sk-SK"/>
              </w:rPr>
            </w:pPr>
            <w:r w:rsidRPr="00326E55">
              <w:rPr>
                <w:rFonts w:ascii="Times New Roman" w:hAnsi="Times New Roman"/>
                <w:noProof/>
                <w:spacing w:val="-6"/>
                <w:lang w:val="sk-SK"/>
              </w:rPr>
              <w:t>Udeľujú sa ďalšie štipendiá na osobitnú odbornú prípravu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všeobecnej lekárskej praxe.</w:t>
            </w:r>
          </w:p>
        </w:tc>
        <w:tc>
          <w:tcPr>
            <w:tcW w:w="1701" w:type="dxa"/>
            <w:shd w:val="clear" w:color="auto" w:fill="C6EFCE"/>
            <w:noWrap/>
            <w:vAlign w:val="center"/>
          </w:tcPr>
          <w:p w14:paraId="317B2BC6"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5D4B0D8A" w14:textId="77777777" w:rsidR="00BF03AA" w:rsidRPr="00326E55" w:rsidRDefault="00FB452D">
            <w:pPr>
              <w:pStyle w:val="P68B1DB1-Normal103"/>
              <w:spacing w:before="120" w:after="120"/>
              <w:jc w:val="center"/>
              <w:rPr>
                <w:rFonts w:ascii="Times New Roman" w:eastAsia="Calibri" w:hAnsi="Times New Roman"/>
                <w:noProof/>
                <w:spacing w:val="-6"/>
                <w:szCs w:val="20"/>
                <w:lang w:val="sk-SK"/>
              </w:rPr>
            </w:pPr>
            <w:r w:rsidRPr="00326E55">
              <w:rPr>
                <w:rFonts w:ascii="Times New Roman" w:hAnsi="Times New Roman"/>
                <w:noProof/>
                <w:spacing w:val="-6"/>
                <w:lang w:val="sk-SK"/>
              </w:rPr>
              <w:t xml:space="preserve">Počet </w:t>
            </w:r>
          </w:p>
        </w:tc>
        <w:tc>
          <w:tcPr>
            <w:tcW w:w="1134" w:type="dxa"/>
            <w:shd w:val="clear" w:color="auto" w:fill="C6EFCE"/>
            <w:noWrap/>
            <w:vAlign w:val="center"/>
          </w:tcPr>
          <w:p w14:paraId="23535355" w14:textId="77777777" w:rsidR="00BF03AA" w:rsidRPr="00326E55" w:rsidRDefault="00FB452D">
            <w:pPr>
              <w:spacing w:before="120" w:after="120"/>
              <w:jc w:val="center"/>
              <w:rPr>
                <w:rFonts w:ascii="Times New Roman" w:hAnsi="Times New Roman"/>
                <w:noProof/>
                <w:color w:val="006100"/>
                <w:spacing w:val="-6"/>
                <w:sz w:val="20"/>
                <w:szCs w:val="20"/>
                <w:lang w:val="sk-SK"/>
              </w:rPr>
            </w:pPr>
            <w:r w:rsidRPr="00326E55">
              <w:rPr>
                <w:rFonts w:ascii="Times New Roman" w:hAnsi="Times New Roman"/>
                <w:noProof/>
                <w:color w:val="006600"/>
                <w:spacing w:val="-6"/>
                <w:sz w:val="20"/>
                <w:lang w:val="sk-SK"/>
              </w:rPr>
              <w:t>1</w:t>
            </w:r>
            <w:r w:rsidRPr="00326E55">
              <w:rPr>
                <w:rFonts w:ascii="Times New Roman" w:hAnsi="Times New Roman"/>
                <w:noProof/>
                <w:spacing w:val="-6"/>
                <w:sz w:val="23"/>
                <w:szCs w:val="23"/>
                <w:lang w:val="sk-SK"/>
              </w:rPr>
              <w:t xml:space="preserve"> </w:t>
            </w:r>
            <w:r w:rsidRPr="00326E55">
              <w:rPr>
                <w:rFonts w:ascii="Times New Roman" w:hAnsi="Times New Roman"/>
                <w:noProof/>
                <w:color w:val="006600"/>
                <w:spacing w:val="-6"/>
                <w:sz w:val="20"/>
                <w:lang w:val="sk-SK"/>
              </w:rPr>
              <w:t>800</w:t>
            </w:r>
          </w:p>
        </w:tc>
        <w:tc>
          <w:tcPr>
            <w:tcW w:w="1276" w:type="dxa"/>
            <w:shd w:val="clear" w:color="auto" w:fill="C6EFCE"/>
            <w:noWrap/>
            <w:vAlign w:val="center"/>
          </w:tcPr>
          <w:p w14:paraId="4EB0A272" w14:textId="77777777" w:rsidR="00BF03AA" w:rsidRPr="00326E55" w:rsidRDefault="00FB452D">
            <w:pPr>
              <w:spacing w:before="120" w:after="120"/>
              <w:jc w:val="center"/>
              <w:rPr>
                <w:rFonts w:ascii="Times New Roman" w:hAnsi="Times New Roman"/>
                <w:noProof/>
                <w:color w:val="006100"/>
                <w:spacing w:val="-6"/>
                <w:sz w:val="20"/>
                <w:szCs w:val="20"/>
                <w:lang w:val="sk-SK"/>
              </w:rPr>
            </w:pPr>
            <w:r w:rsidRPr="00326E55">
              <w:rPr>
                <w:rFonts w:ascii="Times New Roman" w:hAnsi="Times New Roman"/>
                <w:noProof/>
                <w:color w:val="006600"/>
                <w:spacing w:val="-6"/>
                <w:sz w:val="20"/>
                <w:lang w:val="sk-SK"/>
              </w:rPr>
              <w:t>2</w:t>
            </w:r>
            <w:r w:rsidRPr="00326E55">
              <w:rPr>
                <w:rFonts w:ascii="Times New Roman" w:hAnsi="Times New Roman"/>
                <w:noProof/>
                <w:spacing w:val="-6"/>
                <w:sz w:val="23"/>
                <w:szCs w:val="23"/>
                <w:lang w:val="sk-SK"/>
              </w:rPr>
              <w:t xml:space="preserve"> </w:t>
            </w:r>
            <w:r w:rsidRPr="00326E55">
              <w:rPr>
                <w:rFonts w:ascii="Times New Roman" w:hAnsi="Times New Roman"/>
                <w:noProof/>
                <w:color w:val="006600"/>
                <w:spacing w:val="-6"/>
                <w:sz w:val="20"/>
                <w:lang w:val="sk-SK"/>
              </w:rPr>
              <w:t>700</w:t>
            </w:r>
          </w:p>
        </w:tc>
        <w:tc>
          <w:tcPr>
            <w:tcW w:w="865" w:type="dxa"/>
            <w:shd w:val="clear" w:color="auto" w:fill="C6EFCE"/>
            <w:noWrap/>
            <w:vAlign w:val="center"/>
          </w:tcPr>
          <w:p w14:paraId="6954BC97"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DRUHÝ ŠTVRŤROK</w:t>
            </w:r>
          </w:p>
        </w:tc>
        <w:tc>
          <w:tcPr>
            <w:tcW w:w="721" w:type="dxa"/>
            <w:shd w:val="clear" w:color="auto" w:fill="C6EFCE"/>
            <w:noWrap/>
            <w:vAlign w:val="center"/>
          </w:tcPr>
          <w:p w14:paraId="72D3CA23" w14:textId="77777777" w:rsidR="00BF03AA" w:rsidRPr="00326E55" w:rsidRDefault="00FB452D">
            <w:pPr>
              <w:pStyle w:val="P68B1DB1-Normal103"/>
              <w:spacing w:before="120" w:after="120"/>
              <w:jc w:val="center"/>
              <w:rPr>
                <w:rFonts w:ascii="Times New Roman" w:hAnsi="Times New Roman"/>
                <w:noProof/>
                <w:color w:val="006100"/>
                <w:spacing w:val="-6"/>
                <w:szCs w:val="20"/>
                <w:lang w:val="sk-SK"/>
              </w:rPr>
            </w:pPr>
            <w:r w:rsidRPr="00326E55">
              <w:rPr>
                <w:rFonts w:ascii="Times New Roman" w:hAnsi="Times New Roman"/>
                <w:noProof/>
                <w:spacing w:val="-6"/>
                <w:lang w:val="sk-SK"/>
              </w:rPr>
              <w:t>2024</w:t>
            </w:r>
          </w:p>
        </w:tc>
        <w:tc>
          <w:tcPr>
            <w:tcW w:w="2881" w:type="dxa"/>
            <w:shd w:val="clear" w:color="auto" w:fill="C6EFCE"/>
            <w:noWrap/>
            <w:vAlign w:val="center"/>
          </w:tcPr>
          <w:p w14:paraId="41FEA663" w14:textId="77777777" w:rsidR="00BF03AA" w:rsidRPr="00326E55" w:rsidRDefault="00FB452D">
            <w:pPr>
              <w:pStyle w:val="P68B1DB1-Normal103"/>
              <w:spacing w:before="120" w:after="120"/>
              <w:rPr>
                <w:rFonts w:ascii="Times New Roman" w:eastAsia="Calibri" w:hAnsi="Times New Roman"/>
                <w:noProof/>
                <w:spacing w:val="-6"/>
                <w:szCs w:val="20"/>
                <w:lang w:val="sk-SK"/>
              </w:rPr>
            </w:pPr>
            <w:r w:rsidRPr="00326E55">
              <w:rPr>
                <w:rFonts w:ascii="Times New Roman" w:hAnsi="Times New Roman"/>
                <w:noProof/>
                <w:spacing w:val="-6"/>
                <w:lang w:val="sk-SK"/>
              </w:rPr>
              <w:t>Touto investíciou sa zvýšia štipendiá na konkrétny kurz všeobecnej medicíny, čím sa zaručí ukončenie troch trojročných cyklov odbornej prípravy.</w:t>
            </w:r>
          </w:p>
        </w:tc>
      </w:tr>
    </w:tbl>
    <w:p w14:paraId="7C05B642" w14:textId="77777777" w:rsidR="00BF03AA" w:rsidRPr="00326E55" w:rsidRDefault="00BF03AA">
      <w:pPr>
        <w:pStyle w:val="Text1"/>
        <w:ind w:left="0"/>
        <w:rPr>
          <w:rFonts w:eastAsiaTheme="majorEastAsia"/>
          <w:b/>
          <w:bCs/>
          <w:smallCaps/>
          <w:noProof/>
          <w:spacing w:val="-6"/>
          <w:szCs w:val="28"/>
          <w:lang w:val="sk-SK"/>
        </w:rPr>
        <w:sectPr w:rsidR="00BF03AA" w:rsidRPr="00326E55" w:rsidSect="005F11B9">
          <w:headerReference w:type="even" r:id="rId310"/>
          <w:headerReference w:type="default" r:id="rId311"/>
          <w:footerReference w:type="even" r:id="rId312"/>
          <w:footerReference w:type="default" r:id="rId313"/>
          <w:headerReference w:type="first" r:id="rId314"/>
          <w:footerReference w:type="first" r:id="rId315"/>
          <w:pgSz w:w="16839" w:h="11907" w:orient="landscape"/>
          <w:pgMar w:top="1440" w:right="1440" w:bottom="1440" w:left="1440" w:header="567" w:footer="567" w:gutter="0"/>
          <w:cols w:space="720"/>
          <w:docGrid w:linePitch="360"/>
        </w:sectPr>
      </w:pPr>
    </w:p>
    <w:p w14:paraId="2912CA9F" w14:textId="1E8DDE12" w:rsidR="00BF03AA" w:rsidRPr="00326E55" w:rsidRDefault="00FB452D">
      <w:pPr>
        <w:pStyle w:val="P68B1DB1-Heading23"/>
        <w:ind w:left="1080"/>
        <w:rPr>
          <w:bCs/>
          <w:noProof/>
          <w:spacing w:val="-6"/>
          <w:lang w:val="sk-SK"/>
        </w:rPr>
      </w:pPr>
      <w:r w:rsidRPr="00326E55">
        <w:rPr>
          <w:noProof/>
          <w:spacing w:val="-6"/>
          <w:lang w:val="sk-SK"/>
        </w:rPr>
        <w:t>Q.MISSION 7: REPowerEU</w:t>
      </w:r>
    </w:p>
    <w:p w14:paraId="50F407CF" w14:textId="1605B42F" w:rsidR="00BF03AA" w:rsidRPr="00326E55" w:rsidRDefault="00FB452D">
      <w:pPr>
        <w:pStyle w:val="P68B1DB1-paragraph105"/>
        <w:spacing w:before="0" w:beforeAutospacing="0" w:after="120" w:afterAutospacing="0"/>
        <w:jc w:val="both"/>
        <w:textAlignment w:val="baseline"/>
        <w:rPr>
          <w:noProof/>
          <w:spacing w:val="-6"/>
          <w:lang w:val="sk-SK"/>
        </w:rPr>
      </w:pPr>
      <w:r w:rsidRPr="00326E55">
        <w:rPr>
          <w:noProof/>
          <w:spacing w:val="-6"/>
          <w:lang w:val="sk-SK"/>
        </w:rPr>
        <w:t>Cieľom kapitoly REPowerEU je posilniť distribučné prepravné</w:t>
      </w:r>
      <w:r w:rsidR="00326E55" w:rsidRPr="00326E55">
        <w:rPr>
          <w:noProof/>
          <w:spacing w:val="-6"/>
          <w:lang w:val="sk-SK"/>
        </w:rPr>
        <w:t xml:space="preserve"> a </w:t>
      </w:r>
      <w:r w:rsidRPr="00326E55">
        <w:rPr>
          <w:noProof/>
          <w:spacing w:val="-6"/>
          <w:lang w:val="sk-SK"/>
        </w:rPr>
        <w:t>distribučné siete vrátane sietí súvisiacich</w:t>
      </w:r>
      <w:r w:rsidR="00326E55" w:rsidRPr="00326E55">
        <w:rPr>
          <w:noProof/>
          <w:spacing w:val="-6"/>
          <w:lang w:val="sk-SK"/>
        </w:rPr>
        <w:t xml:space="preserve"> s </w:t>
      </w:r>
      <w:r w:rsidRPr="00326E55">
        <w:rPr>
          <w:noProof/>
          <w:spacing w:val="-6"/>
          <w:lang w:val="sk-SK"/>
        </w:rPr>
        <w:t>plynom; urýchlenie výroby energie</w:t>
      </w:r>
      <w:r w:rsidR="00326E55" w:rsidRPr="00326E55">
        <w:rPr>
          <w:noProof/>
          <w:spacing w:val="-6"/>
          <w:lang w:val="sk-SK"/>
        </w:rPr>
        <w:t xml:space="preserve"> z </w:t>
      </w:r>
      <w:r w:rsidRPr="00326E55">
        <w:rPr>
          <w:noProof/>
          <w:spacing w:val="-6"/>
          <w:lang w:val="sk-SK"/>
        </w:rPr>
        <w:t xml:space="preserve">obnoviteľných zdrojov, zníženie </w:t>
      </w:r>
      <w:r w:rsidRPr="00326E55">
        <w:rPr>
          <w:noProof/>
          <w:spacing w:val="-6"/>
          <w:lang w:val="sk-SK"/>
        </w:rPr>
        <w:t>dopytu po energii, zvýšenie energetickej efektívnosti</w:t>
      </w:r>
      <w:r w:rsidR="00326E55" w:rsidRPr="00326E55">
        <w:rPr>
          <w:noProof/>
          <w:spacing w:val="-6"/>
          <w:lang w:val="sk-SK"/>
        </w:rPr>
        <w:t xml:space="preserve"> a </w:t>
      </w:r>
      <w:r w:rsidRPr="00326E55">
        <w:rPr>
          <w:noProof/>
          <w:spacing w:val="-6"/>
          <w:lang w:val="sk-SK"/>
        </w:rPr>
        <w:t>vytváranie zručností vo verejnom</w:t>
      </w:r>
      <w:r w:rsidR="00326E55" w:rsidRPr="00326E55">
        <w:rPr>
          <w:noProof/>
          <w:spacing w:val="-6"/>
          <w:lang w:val="sk-SK"/>
        </w:rPr>
        <w:t xml:space="preserve"> a </w:t>
      </w:r>
      <w:r w:rsidRPr="00326E55">
        <w:rPr>
          <w:noProof/>
          <w:spacing w:val="-6"/>
          <w:lang w:val="sk-SK"/>
        </w:rPr>
        <w:t>súkromnom sektore pre zelenú transformáciu; podpora hodnotových reťazcov energie</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a </w:t>
      </w:r>
      <w:r w:rsidRPr="00326E55">
        <w:rPr>
          <w:noProof/>
          <w:spacing w:val="-6"/>
          <w:lang w:val="sk-SK"/>
        </w:rPr>
        <w:t>vodíka prostredníctvom opatrení uľahčujúcich prístup</w:t>
      </w:r>
      <w:r w:rsidR="00326E55" w:rsidRPr="00326E55">
        <w:rPr>
          <w:noProof/>
          <w:spacing w:val="-6"/>
          <w:lang w:val="sk-SK"/>
        </w:rPr>
        <w:t xml:space="preserve"> k </w:t>
      </w:r>
      <w:r w:rsidRPr="00326E55">
        <w:rPr>
          <w:noProof/>
          <w:spacing w:val="-6"/>
          <w:lang w:val="sk-SK"/>
        </w:rPr>
        <w:t>úve</w:t>
      </w:r>
      <w:r w:rsidRPr="00326E55">
        <w:rPr>
          <w:noProof/>
          <w:spacing w:val="-6"/>
          <w:lang w:val="sk-SK"/>
        </w:rPr>
        <w:t>rom</w:t>
      </w:r>
      <w:r w:rsidR="00326E55" w:rsidRPr="00326E55">
        <w:rPr>
          <w:noProof/>
          <w:spacing w:val="-6"/>
          <w:lang w:val="sk-SK"/>
        </w:rPr>
        <w:t xml:space="preserve"> a </w:t>
      </w:r>
      <w:r w:rsidRPr="00326E55">
        <w:rPr>
          <w:noProof/>
          <w:spacing w:val="-6"/>
          <w:lang w:val="sk-SK"/>
        </w:rPr>
        <w:t>daňovým dobropisom.</w:t>
      </w:r>
    </w:p>
    <w:p w14:paraId="3CDC6611" w14:textId="31544230" w:rsidR="00BF03AA" w:rsidRPr="00326E55" w:rsidRDefault="00FB452D">
      <w:pPr>
        <w:pStyle w:val="P68B1DB1-paragraph105"/>
        <w:spacing w:before="0" w:beforeAutospacing="0" w:after="120" w:afterAutospacing="0"/>
        <w:jc w:val="both"/>
        <w:textAlignment w:val="baseline"/>
        <w:rPr>
          <w:noProof/>
          <w:spacing w:val="-6"/>
          <w:lang w:val="sk-SK"/>
        </w:rPr>
      </w:pPr>
      <w:r w:rsidRPr="00326E55">
        <w:rPr>
          <w:noProof/>
          <w:spacing w:val="-6"/>
          <w:lang w:val="sk-SK"/>
        </w:rPr>
        <w:t>Komponent sa zameriava na odporúčania pre danú krajinu adresované Taliansku</w:t>
      </w:r>
      <w:r w:rsidR="00326E55" w:rsidRPr="00326E55">
        <w:rPr>
          <w:noProof/>
          <w:spacing w:val="-6"/>
          <w:lang w:val="sk-SK"/>
        </w:rPr>
        <w:t xml:space="preserve"> v </w:t>
      </w:r>
      <w:r w:rsidRPr="00326E55">
        <w:rPr>
          <w:noProof/>
          <w:spacing w:val="-6"/>
          <w:lang w:val="sk-SK"/>
        </w:rPr>
        <w:t>rokoch 2022</w:t>
      </w:r>
      <w:r w:rsidR="00326E55" w:rsidRPr="00326E55">
        <w:rPr>
          <w:noProof/>
          <w:spacing w:val="-6"/>
          <w:lang w:val="sk-SK"/>
        </w:rPr>
        <w:t xml:space="preserve"> a </w:t>
      </w:r>
      <w:r w:rsidRPr="00326E55">
        <w:rPr>
          <w:noProof/>
          <w:spacing w:val="-6"/>
          <w:lang w:val="sk-SK"/>
        </w:rPr>
        <w:t>2023. Jeho cieľom je najmä urýchliť zavádzanie dodatočnej kapacity energie</w:t>
      </w:r>
      <w:r w:rsidR="00326E55" w:rsidRPr="00326E55">
        <w:rPr>
          <w:noProof/>
          <w:spacing w:val="-6"/>
          <w:lang w:val="sk-SK"/>
        </w:rPr>
        <w:t xml:space="preserve"> z </w:t>
      </w:r>
      <w:r w:rsidRPr="00326E55">
        <w:rPr>
          <w:noProof/>
          <w:spacing w:val="-6"/>
          <w:lang w:val="sk-SK"/>
        </w:rPr>
        <w:t>obnoviteľných zdrojov investovaním do veľkých projektov elekt</w:t>
      </w:r>
      <w:r w:rsidRPr="00326E55">
        <w:rPr>
          <w:noProof/>
          <w:spacing w:val="-6"/>
          <w:lang w:val="sk-SK"/>
        </w:rPr>
        <w:t>rických prepojení (konkrétne do dvoch prepojení spájajúcich Sardíniu</w:t>
      </w:r>
      <w:r w:rsidR="00326E55" w:rsidRPr="00326E55">
        <w:rPr>
          <w:noProof/>
          <w:spacing w:val="-6"/>
          <w:lang w:val="sk-SK"/>
        </w:rPr>
        <w:t xml:space="preserve"> a </w:t>
      </w:r>
      <w:r w:rsidRPr="00326E55">
        <w:rPr>
          <w:noProof/>
          <w:spacing w:val="-6"/>
          <w:lang w:val="sk-SK"/>
        </w:rPr>
        <w:t>Sicíliu</w:t>
      </w:r>
      <w:r w:rsidR="00326E55" w:rsidRPr="00326E55">
        <w:rPr>
          <w:noProof/>
          <w:spacing w:val="-6"/>
          <w:lang w:val="sk-SK"/>
        </w:rPr>
        <w:t xml:space="preserve"> s </w:t>
      </w:r>
      <w:r w:rsidRPr="00326E55">
        <w:rPr>
          <w:noProof/>
          <w:spacing w:val="-6"/>
          <w:lang w:val="sk-SK"/>
        </w:rPr>
        <w:t>pevninou), modernizácie vnútroštátnej prenosovej sústavy</w:t>
      </w:r>
      <w:r w:rsidR="00326E55" w:rsidRPr="00326E55">
        <w:rPr>
          <w:noProof/>
          <w:spacing w:val="-6"/>
          <w:lang w:val="sk-SK"/>
        </w:rPr>
        <w:t xml:space="preserve"> a </w:t>
      </w:r>
      <w:r w:rsidRPr="00326E55">
        <w:rPr>
          <w:noProof/>
          <w:spacing w:val="-6"/>
          <w:lang w:val="sk-SK"/>
        </w:rPr>
        <w:t>zefektívnenia povoľovacích postupov. Prispieva</w:t>
      </w:r>
      <w:r w:rsidR="00326E55" w:rsidRPr="00326E55">
        <w:rPr>
          <w:noProof/>
          <w:spacing w:val="-6"/>
          <w:lang w:val="sk-SK"/>
        </w:rPr>
        <w:t xml:space="preserve"> k </w:t>
      </w:r>
      <w:r w:rsidRPr="00326E55">
        <w:rPr>
          <w:noProof/>
          <w:spacing w:val="-6"/>
          <w:lang w:val="sk-SK"/>
        </w:rPr>
        <w:t>zvyšovaniu kapacity vnútornej prepravy plynu</w:t>
      </w:r>
      <w:r w:rsidR="00326E55" w:rsidRPr="00326E55">
        <w:rPr>
          <w:noProof/>
          <w:spacing w:val="-6"/>
          <w:lang w:val="sk-SK"/>
        </w:rPr>
        <w:t xml:space="preserve"> s </w:t>
      </w:r>
      <w:r w:rsidRPr="00326E55">
        <w:rPr>
          <w:noProof/>
          <w:spacing w:val="-6"/>
          <w:lang w:val="sk-SK"/>
        </w:rPr>
        <w:t>cieľom prekonať úzke</w:t>
      </w:r>
      <w:r w:rsidRPr="00326E55">
        <w:rPr>
          <w:noProof/>
          <w:spacing w:val="-6"/>
          <w:lang w:val="sk-SK"/>
        </w:rPr>
        <w:t xml:space="preserve"> miesta, diverzifikovať dovoz energie</w:t>
      </w:r>
      <w:r w:rsidR="00326E55" w:rsidRPr="00326E55">
        <w:rPr>
          <w:noProof/>
          <w:spacing w:val="-6"/>
          <w:lang w:val="sk-SK"/>
        </w:rPr>
        <w:t xml:space="preserve"> a </w:t>
      </w:r>
      <w:r w:rsidRPr="00326E55">
        <w:rPr>
          <w:noProof/>
          <w:spacing w:val="-6"/>
          <w:lang w:val="sk-SK"/>
        </w:rPr>
        <w:t>posilniť bezpečnosť dodávok. Podporuje udržateľnú mobilitu znížením dotácií škodlivých pre životné prostredie</w:t>
      </w:r>
      <w:r w:rsidR="00326E55" w:rsidRPr="00326E55">
        <w:rPr>
          <w:noProof/>
          <w:spacing w:val="-6"/>
          <w:lang w:val="sk-SK"/>
        </w:rPr>
        <w:t xml:space="preserve"> a </w:t>
      </w:r>
      <w:r w:rsidRPr="00326E55">
        <w:rPr>
          <w:noProof/>
          <w:spacing w:val="-6"/>
          <w:lang w:val="sk-SK"/>
        </w:rPr>
        <w:t>posilnením železničného parku. Pomáha znižovať závislosť od fosílnych palív elektrifikáciou spotreby dom</w:t>
      </w:r>
      <w:r w:rsidRPr="00326E55">
        <w:rPr>
          <w:noProof/>
          <w:spacing w:val="-6"/>
          <w:lang w:val="sk-SK"/>
        </w:rPr>
        <w:t>ácností</w:t>
      </w:r>
      <w:r w:rsidR="00326E55" w:rsidRPr="00326E55">
        <w:rPr>
          <w:noProof/>
          <w:spacing w:val="-6"/>
          <w:lang w:val="sk-SK"/>
        </w:rPr>
        <w:t xml:space="preserve"> a </w:t>
      </w:r>
      <w:r w:rsidRPr="00326E55">
        <w:rPr>
          <w:noProof/>
          <w:spacing w:val="-6"/>
          <w:lang w:val="sk-SK"/>
        </w:rPr>
        <w:t>zvyšovaním odolnosti siete. Prispieva</w:t>
      </w:r>
      <w:r w:rsidR="00326E55" w:rsidRPr="00326E55">
        <w:rPr>
          <w:noProof/>
          <w:spacing w:val="-6"/>
          <w:lang w:val="sk-SK"/>
        </w:rPr>
        <w:t xml:space="preserve"> k </w:t>
      </w:r>
      <w:r w:rsidRPr="00326E55">
        <w:rPr>
          <w:noProof/>
          <w:spacing w:val="-6"/>
          <w:lang w:val="sk-SK"/>
        </w:rPr>
        <w:t>zvyšovaniu energetickej efektívnosti</w:t>
      </w:r>
      <w:r w:rsidR="00326E55" w:rsidRPr="00326E55">
        <w:rPr>
          <w:noProof/>
          <w:spacing w:val="-6"/>
          <w:lang w:val="sk-SK"/>
        </w:rPr>
        <w:t xml:space="preserve"> v </w:t>
      </w:r>
      <w:r w:rsidRPr="00326E55">
        <w:rPr>
          <w:noProof/>
          <w:spacing w:val="-6"/>
          <w:lang w:val="sk-SK"/>
        </w:rPr>
        <w:t>rezidenčnom</w:t>
      </w:r>
      <w:r w:rsidR="00326E55" w:rsidRPr="00326E55">
        <w:rPr>
          <w:noProof/>
          <w:spacing w:val="-6"/>
          <w:lang w:val="sk-SK"/>
        </w:rPr>
        <w:t xml:space="preserve"> a </w:t>
      </w:r>
      <w:r w:rsidRPr="00326E55">
        <w:rPr>
          <w:noProof/>
          <w:spacing w:val="-6"/>
          <w:lang w:val="sk-SK"/>
        </w:rPr>
        <w:t>podnikovom sektore,</w:t>
      </w:r>
      <w:r w:rsidR="00326E55" w:rsidRPr="00326E55">
        <w:rPr>
          <w:noProof/>
          <w:spacing w:val="-6"/>
          <w:lang w:val="sk-SK"/>
        </w:rPr>
        <w:t xml:space="preserve"> a </w:t>
      </w:r>
      <w:r w:rsidRPr="00326E55">
        <w:rPr>
          <w:noProof/>
          <w:spacing w:val="-6"/>
          <w:lang w:val="sk-SK"/>
        </w:rPr>
        <w:t>to aj prostredníctvom cielených systémov stimulov</w:t>
      </w:r>
      <w:r w:rsidR="00326E55" w:rsidRPr="00326E55">
        <w:rPr>
          <w:noProof/>
          <w:spacing w:val="-6"/>
          <w:lang w:val="sk-SK"/>
        </w:rPr>
        <w:t xml:space="preserve"> a </w:t>
      </w:r>
      <w:r w:rsidRPr="00326E55">
        <w:rPr>
          <w:noProof/>
          <w:spacing w:val="-6"/>
          <w:lang w:val="sk-SK"/>
        </w:rPr>
        <w:t>finančných nástrojov. Napokon zahŕňa reformy</w:t>
      </w:r>
      <w:r w:rsidR="00326E55" w:rsidRPr="00326E55">
        <w:rPr>
          <w:noProof/>
          <w:spacing w:val="-6"/>
          <w:lang w:val="sk-SK"/>
        </w:rPr>
        <w:t xml:space="preserve"> a </w:t>
      </w:r>
      <w:r w:rsidRPr="00326E55">
        <w:rPr>
          <w:noProof/>
          <w:spacing w:val="-6"/>
          <w:lang w:val="sk-SK"/>
        </w:rPr>
        <w:t xml:space="preserve">investície na zlepšenie </w:t>
      </w:r>
      <w:r w:rsidRPr="00326E55">
        <w:rPr>
          <w:noProof/>
          <w:spacing w:val="-6"/>
          <w:lang w:val="sk-SK"/>
        </w:rPr>
        <w:t>poskytovania</w:t>
      </w:r>
      <w:r w:rsidR="00326E55" w:rsidRPr="00326E55">
        <w:rPr>
          <w:noProof/>
          <w:spacing w:val="-6"/>
          <w:lang w:val="sk-SK"/>
        </w:rPr>
        <w:t xml:space="preserve"> a </w:t>
      </w:r>
      <w:r w:rsidRPr="00326E55">
        <w:rPr>
          <w:noProof/>
          <w:spacing w:val="-6"/>
          <w:lang w:val="sk-SK"/>
        </w:rPr>
        <w:t>získavania zručností potrebných na zelenú transformáciu,</w:t>
      </w:r>
      <w:r w:rsidR="00326E55" w:rsidRPr="00326E55">
        <w:rPr>
          <w:noProof/>
          <w:spacing w:val="-6"/>
          <w:lang w:val="sk-SK"/>
        </w:rPr>
        <w:t xml:space="preserve"> a </w:t>
      </w:r>
      <w:r w:rsidRPr="00326E55">
        <w:rPr>
          <w:noProof/>
          <w:spacing w:val="-6"/>
          <w:lang w:val="sk-SK"/>
        </w:rPr>
        <w:t>to</w:t>
      </w:r>
      <w:r w:rsidR="00326E55" w:rsidRPr="00326E55">
        <w:rPr>
          <w:noProof/>
          <w:spacing w:val="-6"/>
          <w:lang w:val="sk-SK"/>
        </w:rPr>
        <w:t xml:space="preserve"> v </w:t>
      </w:r>
      <w:r w:rsidRPr="00326E55">
        <w:rPr>
          <w:noProof/>
          <w:spacing w:val="-6"/>
          <w:lang w:val="sk-SK"/>
        </w:rPr>
        <w:t>súkromnom aj vo verejnom sektore.</w:t>
      </w:r>
    </w:p>
    <w:p w14:paraId="6E447A28" w14:textId="60F93B61" w:rsidR="00BF03AA" w:rsidRPr="00326E55" w:rsidRDefault="00FB452D">
      <w:pPr>
        <w:pStyle w:val="P68B1DB1-paragraph105"/>
        <w:spacing w:before="0" w:beforeAutospacing="0" w:after="120" w:afterAutospacing="0"/>
        <w:jc w:val="both"/>
        <w:textAlignment w:val="baseline"/>
        <w:rPr>
          <w:rFonts w:eastAsia="Calibri"/>
          <w:noProof/>
          <w:spacing w:val="-6"/>
          <w:lang w:val="sk-SK"/>
        </w:rPr>
      </w:pPr>
      <w:r w:rsidRPr="00326E55">
        <w:rPr>
          <w:noProof/>
          <w:spacing w:val="-6"/>
          <w:lang w:val="sk-SK"/>
        </w:rPr>
        <w:t>Deväť projektov má cezhraničný rozmer. Tri</w:t>
      </w:r>
      <w:r w:rsidR="00326E55" w:rsidRPr="00326E55">
        <w:rPr>
          <w:noProof/>
          <w:spacing w:val="-6"/>
          <w:lang w:val="sk-SK"/>
        </w:rPr>
        <w:t xml:space="preserve"> z </w:t>
      </w:r>
      <w:r w:rsidRPr="00326E55">
        <w:rPr>
          <w:noProof/>
          <w:spacing w:val="-6"/>
          <w:lang w:val="sk-SK"/>
        </w:rPr>
        <w:t>nich majú priamy cezhraničný vplyv: 1. investícia prispievajúca</w:t>
      </w:r>
      <w:r w:rsidR="00326E55" w:rsidRPr="00326E55">
        <w:rPr>
          <w:noProof/>
          <w:spacing w:val="-6"/>
          <w:lang w:val="sk-SK"/>
        </w:rPr>
        <w:t xml:space="preserve"> k </w:t>
      </w:r>
      <w:r w:rsidRPr="00326E55">
        <w:rPr>
          <w:noProof/>
          <w:spacing w:val="-6"/>
          <w:lang w:val="sk-SK"/>
        </w:rPr>
        <w:t>výstavbe elektrického prepojenia</w:t>
      </w:r>
      <w:r w:rsidRPr="00326E55">
        <w:rPr>
          <w:noProof/>
          <w:spacing w:val="-6"/>
          <w:lang w:val="sk-SK"/>
        </w:rPr>
        <w:t xml:space="preserve"> medzi Sardíniou, Korzikou</w:t>
      </w:r>
      <w:r w:rsidR="00326E55" w:rsidRPr="00326E55">
        <w:rPr>
          <w:noProof/>
          <w:spacing w:val="-6"/>
          <w:lang w:val="sk-SK"/>
        </w:rPr>
        <w:t xml:space="preserve"> a </w:t>
      </w:r>
      <w:r w:rsidRPr="00326E55">
        <w:rPr>
          <w:noProof/>
          <w:spacing w:val="-6"/>
          <w:lang w:val="sk-SK"/>
        </w:rPr>
        <w:t>Toskánskom; 3. investícia do kompresorovej stanice, ktorá zvýši vývoz plynu do strednej Európy. Iné projekty nepriamo prospievajú cezhraničným členským štátom tým, že riešia vnútorné prekážky pri prenose</w:t>
      </w:r>
      <w:r w:rsidR="00326E55" w:rsidRPr="00326E55">
        <w:rPr>
          <w:noProof/>
          <w:spacing w:val="-6"/>
          <w:lang w:val="sk-SK"/>
        </w:rPr>
        <w:t xml:space="preserve"> a </w:t>
      </w:r>
      <w:r w:rsidRPr="00326E55">
        <w:rPr>
          <w:noProof/>
          <w:spacing w:val="-6"/>
          <w:lang w:val="sk-SK"/>
        </w:rPr>
        <w:t>distribúcii energie</w:t>
      </w:r>
      <w:r w:rsidR="00326E55" w:rsidRPr="00326E55">
        <w:rPr>
          <w:noProof/>
          <w:spacing w:val="-6"/>
          <w:lang w:val="sk-SK"/>
        </w:rPr>
        <w:t xml:space="preserve"> a </w:t>
      </w:r>
      <w:r w:rsidRPr="00326E55">
        <w:rPr>
          <w:noProof/>
          <w:spacing w:val="-6"/>
          <w:lang w:val="sk-SK"/>
        </w:rPr>
        <w:t>zvyšujú efektívnosť</w:t>
      </w:r>
      <w:r w:rsidR="00326E55" w:rsidRPr="00326E55">
        <w:rPr>
          <w:noProof/>
          <w:spacing w:val="-6"/>
          <w:lang w:val="sk-SK"/>
        </w:rPr>
        <w:t xml:space="preserve"> a </w:t>
      </w:r>
      <w:r w:rsidRPr="00326E55">
        <w:rPr>
          <w:noProof/>
          <w:spacing w:val="-6"/>
          <w:lang w:val="sk-SK"/>
        </w:rPr>
        <w:t>odolnosť sústavy.</w:t>
      </w:r>
    </w:p>
    <w:p w14:paraId="540F4485" w14:textId="3F4363D1" w:rsidR="00BF03AA" w:rsidRPr="00326E55" w:rsidRDefault="00FB452D">
      <w:pPr>
        <w:pStyle w:val="P68B1DB1-Normal7"/>
        <w:spacing w:after="120"/>
        <w:jc w:val="both"/>
        <w:rPr>
          <w:noProof/>
          <w:spacing w:val="-6"/>
          <w:lang w:val="sk-SK"/>
        </w:rPr>
      </w:pPr>
      <w:r w:rsidRPr="00326E55">
        <w:rPr>
          <w:noProof/>
          <w:spacing w:val="-6"/>
          <w:lang w:val="sk-SK"/>
        </w:rPr>
        <w:t>Očakáva sa, že žiadne opatrenie</w:t>
      </w:r>
      <w:r w:rsidR="00326E55" w:rsidRPr="00326E55">
        <w:rPr>
          <w:noProof/>
          <w:spacing w:val="-6"/>
          <w:lang w:val="sk-SK"/>
        </w:rPr>
        <w:t xml:space="preserve"> v </w:t>
      </w:r>
      <w:r w:rsidRPr="00326E55">
        <w:rPr>
          <w:noProof/>
          <w:spacing w:val="-6"/>
          <w:lang w:val="sk-SK"/>
        </w:rPr>
        <w:t>tomto komponente výrazne nenaruší environmentálne ciele</w:t>
      </w:r>
      <w:r w:rsidR="00326E55" w:rsidRPr="00326E55">
        <w:rPr>
          <w:noProof/>
          <w:spacing w:val="-6"/>
          <w:lang w:val="sk-SK"/>
        </w:rPr>
        <w:t xml:space="preserve"> v </w:t>
      </w:r>
      <w:r w:rsidRPr="00326E55">
        <w:rPr>
          <w:noProof/>
          <w:spacing w:val="-6"/>
          <w:lang w:val="sk-SK"/>
        </w:rPr>
        <w:t>zmysle článku 17 nariadenia (EÚ) 2020/852, pričom sa zohľadní opis opatrení</w:t>
      </w:r>
      <w:r w:rsidR="00326E55" w:rsidRPr="00326E55">
        <w:rPr>
          <w:noProof/>
          <w:spacing w:val="-6"/>
          <w:lang w:val="sk-SK"/>
        </w:rPr>
        <w:t xml:space="preserve"> a </w:t>
      </w:r>
      <w:r w:rsidRPr="00326E55">
        <w:rPr>
          <w:noProof/>
          <w:spacing w:val="-6"/>
          <w:lang w:val="sk-SK"/>
        </w:rPr>
        <w:t>zmierňujúcich krokov stanovených</w:t>
      </w:r>
      <w:r w:rsidR="00326E55" w:rsidRPr="00326E55">
        <w:rPr>
          <w:noProof/>
          <w:spacing w:val="-6"/>
          <w:lang w:val="sk-SK"/>
        </w:rPr>
        <w:t xml:space="preserve"> v </w:t>
      </w:r>
      <w:r w:rsidRPr="00326E55">
        <w:rPr>
          <w:noProof/>
          <w:spacing w:val="-6"/>
          <w:lang w:val="sk-SK"/>
        </w:rPr>
        <w:t>pláne obno</w:t>
      </w:r>
      <w:r w:rsidRPr="00326E55">
        <w:rPr>
          <w:noProof/>
          <w:spacing w:val="-6"/>
          <w:lang w:val="sk-SK"/>
        </w:rPr>
        <w:t>vy</w:t>
      </w:r>
      <w:r w:rsidR="00326E55" w:rsidRPr="00326E55">
        <w:rPr>
          <w:noProof/>
          <w:spacing w:val="-6"/>
          <w:lang w:val="sk-SK"/>
        </w:rPr>
        <w:t xml:space="preserve"> a </w:t>
      </w:r>
      <w:r w:rsidRPr="00326E55">
        <w:rPr>
          <w:noProof/>
          <w:spacing w:val="-6"/>
          <w:lang w:val="sk-SK"/>
        </w:rPr>
        <w:t>odolnosti</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 xml:space="preserve">technickým usmernením „výrazne nenarušiť“ [ </w:t>
      </w:r>
      <w:r w:rsidRPr="00326E55">
        <w:rPr>
          <w:noProof/>
          <w:color w:val="000000" w:themeColor="text1"/>
          <w:spacing w:val="-6"/>
          <w:lang w:val="sk-SK"/>
        </w:rPr>
        <w:t>C</w:t>
      </w:r>
      <w:r w:rsidRPr="00326E55">
        <w:rPr>
          <w:noProof/>
          <w:spacing w:val="-6"/>
          <w:lang w:val="sk-SK"/>
        </w:rPr>
        <w:t>(2023) 6454 final],</w:t>
      </w:r>
      <w:r w:rsidRPr="00326E55">
        <w:rPr>
          <w:noProof/>
          <w:color w:val="000000" w:themeColor="text1"/>
          <w:spacing w:val="-6"/>
          <w:lang w:val="sk-SK"/>
        </w:rPr>
        <w:t>zatiaľ</w:t>
      </w:r>
      <w:r w:rsidRPr="00326E55">
        <w:rPr>
          <w:noProof/>
          <w:spacing w:val="-6"/>
          <w:lang w:val="sk-SK"/>
        </w:rPr>
        <w:t xml:space="preserve"> čo zásada „výrazne nenarušiť“ sa nevzťahuje na investíciu 13 – fáza 1 Jadranskej línie (kompresorová stanica Sulmona</w:t>
      </w:r>
      <w:r w:rsidR="00326E55" w:rsidRPr="00326E55">
        <w:rPr>
          <w:noProof/>
          <w:spacing w:val="-6"/>
          <w:lang w:val="sk-SK"/>
        </w:rPr>
        <w:t xml:space="preserve"> a </w:t>
      </w:r>
      <w:r w:rsidRPr="00326E55">
        <w:rPr>
          <w:noProof/>
          <w:spacing w:val="-6"/>
          <w:lang w:val="sk-SK"/>
        </w:rPr>
        <w:t>plynovod Sestino – Minerbio)</w:t>
      </w:r>
      <w:r w:rsidR="00326E55" w:rsidRPr="00326E55">
        <w:rPr>
          <w:noProof/>
          <w:spacing w:val="-6"/>
          <w:lang w:val="sk-SK"/>
        </w:rPr>
        <w:t xml:space="preserve"> a </w:t>
      </w:r>
      <w:r w:rsidRPr="00326E55">
        <w:rPr>
          <w:noProof/>
          <w:spacing w:val="-6"/>
          <w:lang w:val="sk-SK"/>
        </w:rPr>
        <w:t>investíci</w:t>
      </w:r>
      <w:r w:rsidRPr="00326E55">
        <w:rPr>
          <w:noProof/>
          <w:spacing w:val="-6"/>
          <w:lang w:val="sk-SK"/>
        </w:rPr>
        <w:t>u 14 – Cezhraničná infraštruktúra na vývoz plynu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článkom 21c ods. 6 pf nariadenia (EÚ) 2021/241.</w:t>
      </w:r>
    </w:p>
    <w:p w14:paraId="68C4830C" w14:textId="5124900C" w:rsidR="00BF03AA" w:rsidRPr="00326E55" w:rsidRDefault="00FB452D">
      <w:pPr>
        <w:pStyle w:val="P68B1DB1-Heading368"/>
        <w:ind w:left="850" w:hanging="850"/>
        <w:rPr>
          <w:noProof/>
          <w:spacing w:val="-6"/>
          <w:lang w:val="sk-SK"/>
        </w:rPr>
      </w:pPr>
      <w:r w:rsidRPr="00326E55">
        <w:rPr>
          <w:noProof/>
          <w:spacing w:val="-6"/>
          <w:lang w:val="sk-SK"/>
        </w:rPr>
        <w:t xml:space="preserve">OTÁZKA Č. 1. </w:t>
      </w:r>
      <w:r w:rsidRPr="00326E55">
        <w:rPr>
          <w:noProof/>
          <w:spacing w:val="-6"/>
          <w:lang w:val="sk-SK"/>
        </w:rPr>
        <w:tab/>
        <w:t>Opis reforiem</w:t>
      </w:r>
      <w:r w:rsidR="00326E55" w:rsidRPr="00326E55">
        <w:rPr>
          <w:noProof/>
          <w:spacing w:val="-6"/>
          <w:lang w:val="sk-SK"/>
        </w:rPr>
        <w:t xml:space="preserve"> a </w:t>
      </w:r>
      <w:r w:rsidRPr="00326E55">
        <w:rPr>
          <w:noProof/>
          <w:spacing w:val="-6"/>
          <w:lang w:val="sk-SK"/>
        </w:rPr>
        <w:t>investícií</w:t>
      </w:r>
      <w:r w:rsidR="00326E55" w:rsidRPr="00326E55">
        <w:rPr>
          <w:noProof/>
          <w:spacing w:val="-6"/>
          <w:lang w:val="sk-SK"/>
        </w:rPr>
        <w:t xml:space="preserve"> v </w:t>
      </w:r>
      <w:r w:rsidRPr="00326E55">
        <w:rPr>
          <w:noProof/>
          <w:spacing w:val="-6"/>
          <w:lang w:val="sk-SK"/>
        </w:rPr>
        <w:t>rámci nenávratnej finančnej podpory</w:t>
      </w:r>
    </w:p>
    <w:p w14:paraId="662C6370" w14:textId="77777777" w:rsidR="00326E55" w:rsidRPr="00326E55" w:rsidRDefault="00FB452D">
      <w:pPr>
        <w:pStyle w:val="Heading4"/>
        <w:rPr>
          <w:rStyle w:val="normaltextrun"/>
          <w:rFonts w:ascii="Times New Roman" w:hAnsi="Times New Roman" w:cs="Times New Roman"/>
          <w:b/>
          <w:i w:val="0"/>
          <w:noProof/>
          <w:color w:val="000000" w:themeColor="text1"/>
          <w:spacing w:val="-6"/>
          <w:lang w:val="sk-SK"/>
        </w:rPr>
      </w:pPr>
      <w:r w:rsidRPr="00326E55">
        <w:rPr>
          <w:rStyle w:val="normaltextrun"/>
          <w:rFonts w:ascii="Times New Roman" w:hAnsi="Times New Roman" w:cs="Times New Roman"/>
          <w:b/>
          <w:i w:val="0"/>
          <w:noProof/>
          <w:color w:val="000000" w:themeColor="text1"/>
          <w:spacing w:val="-6"/>
          <w:lang w:val="sk-SK"/>
        </w:rPr>
        <w:t>Reforma 1. Zefektívnenie povoľovacích postupov pre energiu</w:t>
      </w:r>
      <w:r w:rsidR="00326E55" w:rsidRPr="00326E55">
        <w:rPr>
          <w:rStyle w:val="normaltextrun"/>
          <w:rFonts w:ascii="Times New Roman" w:hAnsi="Times New Roman" w:cs="Times New Roman"/>
          <w:b/>
          <w:i w:val="0"/>
          <w:noProof/>
          <w:color w:val="000000" w:themeColor="text1"/>
          <w:spacing w:val="-6"/>
          <w:lang w:val="sk-SK"/>
        </w:rPr>
        <w:t xml:space="preserve"> z </w:t>
      </w:r>
      <w:r w:rsidRPr="00326E55">
        <w:rPr>
          <w:rStyle w:val="normaltextrun"/>
          <w:rFonts w:ascii="Times New Roman" w:hAnsi="Times New Roman" w:cs="Times New Roman"/>
          <w:b/>
          <w:i w:val="0"/>
          <w:noProof/>
          <w:color w:val="000000" w:themeColor="text1"/>
          <w:spacing w:val="-6"/>
          <w:lang w:val="sk-SK"/>
        </w:rPr>
        <w:t>obnoviteľných zdrojov na centrálnej</w:t>
      </w:r>
      <w:r w:rsidR="00326E55" w:rsidRPr="00326E55">
        <w:rPr>
          <w:rStyle w:val="normaltextrun"/>
          <w:rFonts w:ascii="Times New Roman" w:hAnsi="Times New Roman" w:cs="Times New Roman"/>
          <w:b/>
          <w:i w:val="0"/>
          <w:noProof/>
          <w:color w:val="000000" w:themeColor="text1"/>
          <w:spacing w:val="-6"/>
          <w:lang w:val="sk-SK"/>
        </w:rPr>
        <w:t xml:space="preserve"> a </w:t>
      </w:r>
      <w:r w:rsidRPr="00326E55">
        <w:rPr>
          <w:rStyle w:val="normaltextrun"/>
          <w:rFonts w:ascii="Times New Roman" w:hAnsi="Times New Roman" w:cs="Times New Roman"/>
          <w:b/>
          <w:i w:val="0"/>
          <w:noProof/>
          <w:color w:val="000000" w:themeColor="text1"/>
          <w:spacing w:val="-6"/>
          <w:lang w:val="sk-SK"/>
        </w:rPr>
        <w:t>miestnej úrovni</w:t>
      </w:r>
    </w:p>
    <w:p w14:paraId="32E99E39" w14:textId="7D98B388" w:rsidR="00BF03AA" w:rsidRPr="00326E55" w:rsidRDefault="00FB452D">
      <w:pPr>
        <w:pStyle w:val="P68B1DB1-Text143"/>
        <w:spacing w:before="0"/>
        <w:ind w:left="0"/>
        <w:rPr>
          <w:noProof/>
          <w:spacing w:val="-6"/>
          <w:lang w:val="sk-SK"/>
        </w:rPr>
      </w:pPr>
      <w:r w:rsidRPr="00326E55">
        <w:rPr>
          <w:rFonts w:eastAsiaTheme="minorHAnsi"/>
          <w:noProof/>
          <w:spacing w:val="-6"/>
          <w:kern w:val="2"/>
          <w:lang w:val="sk-SK"/>
        </w:rPr>
        <w:t>Cieľom tejto reformy je konsolidovať</w:t>
      </w:r>
      <w:r w:rsidR="00326E55" w:rsidRPr="00326E55">
        <w:rPr>
          <w:rFonts w:eastAsiaTheme="minorHAnsi"/>
          <w:noProof/>
          <w:spacing w:val="-6"/>
          <w:kern w:val="2"/>
          <w:lang w:val="sk-SK"/>
        </w:rPr>
        <w:t xml:space="preserve"> a </w:t>
      </w:r>
      <w:r w:rsidRPr="00326E55">
        <w:rPr>
          <w:rFonts w:eastAsiaTheme="minorHAnsi"/>
          <w:noProof/>
          <w:spacing w:val="-6"/>
          <w:kern w:val="2"/>
          <w:lang w:val="sk-SK"/>
        </w:rPr>
        <w:t>zefektívniť existujúce právne predpisy</w:t>
      </w:r>
      <w:r w:rsidR="00326E55" w:rsidRPr="00326E55">
        <w:rPr>
          <w:rFonts w:eastAsiaTheme="minorHAnsi"/>
          <w:noProof/>
          <w:spacing w:val="-6"/>
          <w:kern w:val="2"/>
          <w:lang w:val="sk-SK"/>
        </w:rPr>
        <w:t xml:space="preserve"> a </w:t>
      </w:r>
      <w:r w:rsidRPr="00326E55">
        <w:rPr>
          <w:rFonts w:eastAsiaTheme="minorHAnsi"/>
          <w:noProof/>
          <w:spacing w:val="-6"/>
          <w:kern w:val="2"/>
          <w:lang w:val="sk-SK"/>
        </w:rPr>
        <w:t>ustanovenia upravujúce povoľovanie obnoviteľných zdrojov energie. Reforma spočíva</w:t>
      </w:r>
      <w:r w:rsidR="00326E55" w:rsidRPr="00326E55">
        <w:rPr>
          <w:rFonts w:eastAsiaTheme="minorHAnsi"/>
          <w:noProof/>
          <w:spacing w:val="-6"/>
          <w:kern w:val="2"/>
          <w:lang w:val="sk-SK"/>
        </w:rPr>
        <w:t xml:space="preserve"> v </w:t>
      </w:r>
      <w:r w:rsidRPr="00326E55">
        <w:rPr>
          <w:rFonts w:eastAsiaTheme="minorHAnsi"/>
          <w:noProof/>
          <w:spacing w:val="-6"/>
          <w:kern w:val="2"/>
          <w:lang w:val="sk-SK"/>
        </w:rPr>
        <w:t>prijatí</w:t>
      </w:r>
      <w:r w:rsidR="00326E55" w:rsidRPr="00326E55">
        <w:rPr>
          <w:rFonts w:eastAsiaTheme="minorHAnsi"/>
          <w:noProof/>
          <w:spacing w:val="-6"/>
          <w:kern w:val="2"/>
          <w:lang w:val="sk-SK"/>
        </w:rPr>
        <w:t xml:space="preserve"> a </w:t>
      </w:r>
      <w:r w:rsidRPr="00326E55">
        <w:rPr>
          <w:rFonts w:eastAsiaTheme="minorHAnsi"/>
          <w:noProof/>
          <w:spacing w:val="-6"/>
          <w:kern w:val="2"/>
          <w:lang w:val="sk-SK"/>
        </w:rPr>
        <w:t>nadobudnutí účinnosti právne</w:t>
      </w:r>
      <w:r w:rsidRPr="00326E55">
        <w:rPr>
          <w:rFonts w:eastAsiaTheme="minorHAnsi"/>
          <w:noProof/>
          <w:spacing w:val="-6"/>
          <w:kern w:val="2"/>
          <w:lang w:val="sk-SK"/>
        </w:rPr>
        <w:t>ho aktu (známeho aj</w:t>
      </w:r>
      <w:r w:rsidRPr="00326E55">
        <w:rPr>
          <w:noProof/>
          <w:spacing w:val="-6"/>
          <w:lang w:val="sk-SK"/>
        </w:rPr>
        <w:t xml:space="preserve"> ako </w:t>
      </w:r>
      <w:r w:rsidRPr="00326E55">
        <w:rPr>
          <w:i/>
          <w:noProof/>
          <w:spacing w:val="-6"/>
          <w:lang w:val="sk-SK"/>
        </w:rPr>
        <w:t>Testo Unico</w:t>
      </w:r>
      <w:r w:rsidRPr="00326E55">
        <w:rPr>
          <w:noProof/>
          <w:spacing w:val="-6"/>
          <w:lang w:val="sk-SK"/>
        </w:rPr>
        <w:t xml:space="preserve">), ktorým sa </w:t>
      </w:r>
      <w:r w:rsidRPr="00326E55">
        <w:rPr>
          <w:rFonts w:eastAsiaTheme="minorHAnsi"/>
          <w:noProof/>
          <w:spacing w:val="-6"/>
          <w:kern w:val="2"/>
          <w:lang w:val="sk-SK"/>
        </w:rPr>
        <w:t>zhromažďujú, zostavujú</w:t>
      </w:r>
      <w:r w:rsidR="00326E55" w:rsidRPr="00326E55">
        <w:rPr>
          <w:rFonts w:eastAsiaTheme="minorHAnsi"/>
          <w:noProof/>
          <w:spacing w:val="-6"/>
          <w:kern w:val="2"/>
          <w:lang w:val="sk-SK"/>
        </w:rPr>
        <w:t xml:space="preserve"> a </w:t>
      </w:r>
      <w:r w:rsidRPr="00326E55">
        <w:rPr>
          <w:rFonts w:eastAsiaTheme="minorHAnsi"/>
          <w:noProof/>
          <w:spacing w:val="-6"/>
          <w:kern w:val="2"/>
          <w:lang w:val="sk-SK"/>
        </w:rPr>
        <w:t>konsolidujú normy</w:t>
      </w:r>
      <w:r w:rsidRPr="00326E55">
        <w:rPr>
          <w:noProof/>
          <w:spacing w:val="-6"/>
          <w:lang w:val="sk-SK"/>
        </w:rPr>
        <w:t xml:space="preserve"> </w:t>
      </w:r>
      <w:r w:rsidRPr="00326E55">
        <w:rPr>
          <w:rFonts w:eastAsiaTheme="minorHAnsi"/>
          <w:noProof/>
          <w:spacing w:val="-6"/>
          <w:kern w:val="2"/>
          <w:lang w:val="sk-SK"/>
        </w:rPr>
        <w:t>upravujúce povoľovanie obnoviteľných zdrojov energie</w:t>
      </w:r>
      <w:r w:rsidR="00326E55" w:rsidRPr="00326E55">
        <w:rPr>
          <w:rFonts w:eastAsiaTheme="minorHAnsi"/>
          <w:noProof/>
          <w:spacing w:val="-6"/>
          <w:kern w:val="2"/>
          <w:lang w:val="sk-SK"/>
        </w:rPr>
        <w:t xml:space="preserve"> a </w:t>
      </w:r>
      <w:r w:rsidRPr="00326E55">
        <w:rPr>
          <w:rFonts w:eastAsiaTheme="minorHAnsi"/>
          <w:noProof/>
          <w:spacing w:val="-6"/>
          <w:kern w:val="2"/>
          <w:lang w:val="sk-SK"/>
        </w:rPr>
        <w:t>ktorým sa nahrádzajú predchádzajúce právne predpisy</w:t>
      </w:r>
      <w:r w:rsidR="00326E55" w:rsidRPr="00326E55">
        <w:rPr>
          <w:rFonts w:eastAsiaTheme="minorHAnsi"/>
          <w:noProof/>
          <w:spacing w:val="-6"/>
          <w:kern w:val="2"/>
          <w:lang w:val="sk-SK"/>
        </w:rPr>
        <w:t xml:space="preserve"> v </w:t>
      </w:r>
      <w:r w:rsidRPr="00326E55">
        <w:rPr>
          <w:rFonts w:eastAsiaTheme="minorHAnsi"/>
          <w:noProof/>
          <w:spacing w:val="-6"/>
          <w:kern w:val="2"/>
          <w:lang w:val="sk-SK"/>
        </w:rPr>
        <w:t>tejto oblasti. Cieľom reformy je tiež stanoviť právny rá</w:t>
      </w:r>
      <w:r w:rsidRPr="00326E55">
        <w:rPr>
          <w:rFonts w:eastAsiaTheme="minorHAnsi"/>
          <w:noProof/>
          <w:spacing w:val="-6"/>
          <w:kern w:val="2"/>
          <w:lang w:val="sk-SK"/>
        </w:rPr>
        <w:t>mec na identifikáciu „oblastí zrýchlenia výroby energie</w:t>
      </w:r>
      <w:r w:rsidR="00326E55" w:rsidRPr="00326E55">
        <w:rPr>
          <w:rFonts w:eastAsiaTheme="minorHAnsi"/>
          <w:noProof/>
          <w:spacing w:val="-6"/>
          <w:kern w:val="2"/>
          <w:lang w:val="sk-SK"/>
        </w:rPr>
        <w:t xml:space="preserve"> z </w:t>
      </w:r>
      <w:r w:rsidRPr="00326E55">
        <w:rPr>
          <w:rFonts w:eastAsiaTheme="minorHAnsi"/>
          <w:noProof/>
          <w:spacing w:val="-6"/>
          <w:kern w:val="2"/>
          <w:lang w:val="sk-SK"/>
        </w:rPr>
        <w:t>obnoviteľných zdrojov“</w:t>
      </w:r>
      <w:r w:rsidR="00326E55" w:rsidRPr="00326E55">
        <w:rPr>
          <w:rFonts w:eastAsiaTheme="minorHAnsi"/>
          <w:noProof/>
          <w:spacing w:val="-6"/>
          <w:kern w:val="2"/>
          <w:lang w:val="sk-SK"/>
        </w:rPr>
        <w:t xml:space="preserve"> a </w:t>
      </w:r>
      <w:r w:rsidRPr="00326E55">
        <w:rPr>
          <w:rFonts w:eastAsiaTheme="minorHAnsi"/>
          <w:noProof/>
          <w:spacing w:val="-6"/>
          <w:kern w:val="2"/>
          <w:lang w:val="sk-SK"/>
        </w:rPr>
        <w:t>vytvoriť jednotnú digitálnu platformu na podávanie žiadostí</w:t>
      </w:r>
      <w:r w:rsidR="00326E55" w:rsidRPr="00326E55">
        <w:rPr>
          <w:rFonts w:eastAsiaTheme="minorHAnsi"/>
          <w:noProof/>
          <w:spacing w:val="-6"/>
          <w:kern w:val="2"/>
          <w:lang w:val="sk-SK"/>
        </w:rPr>
        <w:t xml:space="preserve"> o </w:t>
      </w:r>
      <w:r w:rsidRPr="00326E55">
        <w:rPr>
          <w:rFonts w:eastAsiaTheme="minorHAnsi"/>
          <w:noProof/>
          <w:spacing w:val="-6"/>
          <w:kern w:val="2"/>
          <w:lang w:val="sk-SK"/>
        </w:rPr>
        <w:t>povolenia na inštaláciu obnoviteľných zdrojov energie na vnútroštátnej</w:t>
      </w:r>
      <w:r w:rsidR="00326E55" w:rsidRPr="00326E55">
        <w:rPr>
          <w:rFonts w:eastAsiaTheme="minorHAnsi"/>
          <w:noProof/>
          <w:spacing w:val="-6"/>
          <w:kern w:val="2"/>
          <w:lang w:val="sk-SK"/>
        </w:rPr>
        <w:t xml:space="preserve"> a </w:t>
      </w:r>
      <w:r w:rsidRPr="00326E55">
        <w:rPr>
          <w:rFonts w:eastAsiaTheme="minorHAnsi"/>
          <w:noProof/>
          <w:spacing w:val="-6"/>
          <w:kern w:val="2"/>
          <w:lang w:val="sk-SK"/>
        </w:rPr>
        <w:t>nižšej úrovni.</w:t>
      </w:r>
    </w:p>
    <w:p w14:paraId="4767BB09" w14:textId="77777777" w:rsidR="00BF03AA" w:rsidRPr="00326E55" w:rsidRDefault="00FB452D">
      <w:pPr>
        <w:pStyle w:val="Heading4"/>
        <w:numPr>
          <w:ilvl w:val="3"/>
          <w:numId w:val="0"/>
        </w:numPr>
        <w:spacing w:line="240" w:lineRule="auto"/>
        <w:rPr>
          <w:rStyle w:val="normaltextrun"/>
          <w:rFonts w:ascii="Times New Roman" w:eastAsiaTheme="minorEastAsia" w:hAnsi="Times New Roman" w:cs="Times New Roman"/>
          <w:b/>
          <w:i w:val="0"/>
          <w:iCs w:val="0"/>
          <w:noProof/>
          <w:snapToGrid w:val="0"/>
          <w:color w:val="000000" w:themeColor="text1"/>
          <w:spacing w:val="-6"/>
          <w:sz w:val="0"/>
          <w:szCs w:val="0"/>
          <w:u w:color="000000"/>
          <w:bdr w:val="none" w:sz="0" w:space="0" w:color="000000"/>
          <w:shd w:val="clear" w:color="000000" w:fill="000000"/>
          <w:lang w:val="sk-SK"/>
        </w:rPr>
      </w:pPr>
      <w:r w:rsidRPr="00326E55">
        <w:rPr>
          <w:rFonts w:ascii="Times New Roman" w:hAnsi="Times New Roman"/>
          <w:noProof/>
          <w:spacing w:val="-6"/>
          <w:lang w:val="sk-SK"/>
        </w:rPr>
        <w:br w:type="page"/>
      </w:r>
      <w:r w:rsidRPr="00326E55">
        <w:rPr>
          <w:rStyle w:val="normaltextrun"/>
          <w:rFonts w:ascii="Times New Roman" w:hAnsi="Times New Roman" w:cs="Times New Roman"/>
          <w:b/>
          <w:i w:val="0"/>
          <w:noProof/>
          <w:color w:val="000000" w:themeColor="text1"/>
          <w:spacing w:val="-6"/>
          <w:lang w:val="sk-SK"/>
        </w:rPr>
        <w:t xml:space="preserve">Reforma 2. Zníženie </w:t>
      </w:r>
      <w:r w:rsidRPr="00326E55">
        <w:rPr>
          <w:rStyle w:val="normaltextrun"/>
          <w:rFonts w:ascii="Times New Roman" w:hAnsi="Times New Roman" w:cs="Times New Roman"/>
          <w:b/>
          <w:i w:val="0"/>
          <w:noProof/>
          <w:color w:val="000000" w:themeColor="text1"/>
          <w:spacing w:val="-6"/>
          <w:lang w:val="sk-SK"/>
        </w:rPr>
        <w:t>dotácií škodlivých pre životné prostredie</w:t>
      </w:r>
    </w:p>
    <w:p w14:paraId="717F294D" w14:textId="534DC8E9" w:rsidR="00BF03AA" w:rsidRPr="00326E55" w:rsidRDefault="00FB452D">
      <w:pPr>
        <w:pStyle w:val="P68B1DB1-Normal27"/>
        <w:spacing w:after="120" w:line="240" w:lineRule="auto"/>
        <w:jc w:val="both"/>
        <w:rPr>
          <w:noProof/>
          <w:spacing w:val="-6"/>
          <w:lang w:val="sk-SK"/>
        </w:rPr>
      </w:pPr>
      <w:r w:rsidRPr="00326E55">
        <w:rPr>
          <w:noProof/>
          <w:spacing w:val="-6"/>
          <w:lang w:val="sk-SK"/>
        </w:rPr>
        <w:t>Cieľom tejto reformy je viesť</w:t>
      </w:r>
      <w:r w:rsidR="00326E55" w:rsidRPr="00326E55">
        <w:rPr>
          <w:noProof/>
          <w:spacing w:val="-6"/>
          <w:lang w:val="sk-SK"/>
        </w:rPr>
        <w:t xml:space="preserve"> k </w:t>
      </w:r>
      <w:r w:rsidRPr="00326E55">
        <w:rPr>
          <w:noProof/>
          <w:spacing w:val="-6"/>
          <w:lang w:val="sk-SK"/>
        </w:rPr>
        <w:t>zníženiu environmentálne škodlivých dotácií na základe Katalógu environmentálne škodlivých subvencií</w:t>
      </w:r>
      <w:r w:rsidR="00326E55" w:rsidRPr="00326E55">
        <w:rPr>
          <w:noProof/>
          <w:spacing w:val="-6"/>
          <w:lang w:val="sk-SK"/>
        </w:rPr>
        <w:t xml:space="preserve"> z </w:t>
      </w:r>
      <w:r w:rsidRPr="00326E55">
        <w:rPr>
          <w:noProof/>
          <w:spacing w:val="-6"/>
          <w:lang w:val="sk-SK"/>
        </w:rPr>
        <w:t>roku 2022, ktorý uverejnil MASE. Reforma pozostáva</w:t>
      </w:r>
      <w:r w:rsidR="00326E55" w:rsidRPr="00326E55">
        <w:rPr>
          <w:noProof/>
          <w:spacing w:val="-6"/>
          <w:lang w:val="sk-SK"/>
        </w:rPr>
        <w:t xml:space="preserve"> z </w:t>
      </w:r>
      <w:r w:rsidRPr="00326E55">
        <w:rPr>
          <w:noProof/>
          <w:spacing w:val="-6"/>
          <w:lang w:val="sk-SK"/>
        </w:rPr>
        <w:t>prijatia správy</w:t>
      </w:r>
      <w:r w:rsidR="00326E55" w:rsidRPr="00326E55">
        <w:rPr>
          <w:noProof/>
          <w:spacing w:val="-6"/>
          <w:lang w:val="sk-SK"/>
        </w:rPr>
        <w:t xml:space="preserve"> o </w:t>
      </w:r>
      <w:r w:rsidRPr="00326E55">
        <w:rPr>
          <w:noProof/>
          <w:spacing w:val="-6"/>
          <w:lang w:val="sk-SK"/>
        </w:rPr>
        <w:t>konzultá</w:t>
      </w:r>
      <w:r w:rsidRPr="00326E55">
        <w:rPr>
          <w:noProof/>
          <w:spacing w:val="-6"/>
          <w:lang w:val="sk-SK"/>
        </w:rPr>
        <w:t>cii so zainteresovanými stranami</w:t>
      </w:r>
      <w:r w:rsidR="00326E55" w:rsidRPr="00326E55">
        <w:rPr>
          <w:noProof/>
          <w:spacing w:val="-6"/>
          <w:lang w:val="sk-SK"/>
        </w:rPr>
        <w:t xml:space="preserve"> a </w:t>
      </w:r>
      <w:r w:rsidRPr="00326E55">
        <w:rPr>
          <w:noProof/>
          <w:spacing w:val="-6"/>
          <w:lang w:val="sk-SK"/>
        </w:rPr>
        <w:t>právnych aktov.</w:t>
      </w:r>
    </w:p>
    <w:p w14:paraId="3660516E" w14:textId="09A2670D" w:rsidR="00BF03AA" w:rsidRPr="00326E55" w:rsidRDefault="00FB452D">
      <w:pPr>
        <w:pStyle w:val="Heading4"/>
        <w:spacing w:line="240" w:lineRule="auto"/>
        <w:ind w:left="850" w:hanging="850"/>
        <w:rPr>
          <w:rStyle w:val="normaltextrun"/>
          <w:rFonts w:ascii="Times New Roman" w:eastAsiaTheme="minorEastAsia" w:hAnsi="Times New Roman" w:cs="Times New Roman"/>
          <w:b/>
          <w:i w:val="0"/>
          <w:iCs w:val="0"/>
          <w:noProof/>
          <w:color w:val="000000" w:themeColor="text1"/>
          <w:spacing w:val="-6"/>
          <w:lang w:val="sk-SK"/>
        </w:rPr>
      </w:pPr>
      <w:r w:rsidRPr="00326E55">
        <w:rPr>
          <w:rStyle w:val="normaltextrun"/>
          <w:rFonts w:ascii="Times New Roman" w:hAnsi="Times New Roman" w:cs="Times New Roman"/>
          <w:b/>
          <w:i w:val="0"/>
          <w:noProof/>
          <w:color w:val="000000" w:themeColor="text1"/>
          <w:spacing w:val="-6"/>
          <w:lang w:val="sk-SK"/>
        </w:rPr>
        <w:t>Reforma 3. Zníženie nákladov na pripojenie</w:t>
      </w:r>
      <w:r w:rsidR="00326E55" w:rsidRPr="00326E55">
        <w:rPr>
          <w:rStyle w:val="normaltextrun"/>
          <w:rFonts w:ascii="Times New Roman" w:hAnsi="Times New Roman" w:cs="Times New Roman"/>
          <w:b/>
          <w:i w:val="0"/>
          <w:noProof/>
          <w:color w:val="000000" w:themeColor="text1"/>
          <w:spacing w:val="-6"/>
          <w:lang w:val="sk-SK"/>
        </w:rPr>
        <w:t xml:space="preserve"> k </w:t>
      </w:r>
      <w:r w:rsidRPr="00326E55">
        <w:rPr>
          <w:rStyle w:val="normaltextrun"/>
          <w:rFonts w:ascii="Times New Roman" w:hAnsi="Times New Roman" w:cs="Times New Roman"/>
          <w:b/>
          <w:i w:val="0"/>
          <w:noProof/>
          <w:color w:val="000000" w:themeColor="text1"/>
          <w:spacing w:val="-6"/>
          <w:lang w:val="sk-SK"/>
        </w:rPr>
        <w:t>plynárenskej sieti biometánu</w:t>
      </w:r>
    </w:p>
    <w:p w14:paraId="2820B683" w14:textId="6B81EE9D" w:rsidR="00BF03AA" w:rsidRPr="00326E55" w:rsidRDefault="00FB452D">
      <w:pPr>
        <w:pStyle w:val="P68B1DB1-Text1106"/>
        <w:spacing w:before="0"/>
        <w:ind w:left="0"/>
        <w:rPr>
          <w:noProof/>
          <w:spacing w:val="-6"/>
          <w:lang w:val="sk-SK"/>
        </w:rPr>
      </w:pPr>
      <w:r w:rsidRPr="00326E55">
        <w:rPr>
          <w:noProof/>
          <w:spacing w:val="-6"/>
          <w:lang w:val="sk-SK"/>
        </w:rPr>
        <w:t>Cieľom reformy je uľahčiť začlenenie biometánu do energetického systému</w:t>
      </w:r>
      <w:r w:rsidR="00326E55" w:rsidRPr="00326E55">
        <w:rPr>
          <w:noProof/>
          <w:spacing w:val="-6"/>
          <w:lang w:val="sk-SK"/>
        </w:rPr>
        <w:t xml:space="preserve"> a </w:t>
      </w:r>
      <w:r w:rsidRPr="00326E55">
        <w:rPr>
          <w:noProof/>
          <w:spacing w:val="-6"/>
          <w:lang w:val="sk-SK"/>
        </w:rPr>
        <w:t>trhu</w:t>
      </w:r>
      <w:r w:rsidR="00326E55" w:rsidRPr="00326E55">
        <w:rPr>
          <w:noProof/>
          <w:spacing w:val="-6"/>
          <w:lang w:val="sk-SK"/>
        </w:rPr>
        <w:t xml:space="preserve"> s </w:t>
      </w:r>
      <w:r w:rsidRPr="00326E55">
        <w:rPr>
          <w:noProof/>
          <w:spacing w:val="-6"/>
          <w:lang w:val="sk-SK"/>
        </w:rPr>
        <w:t>energiou</w:t>
      </w:r>
      <w:r w:rsidR="00326E55" w:rsidRPr="00326E55">
        <w:rPr>
          <w:noProof/>
          <w:spacing w:val="-6"/>
          <w:lang w:val="sk-SK"/>
        </w:rPr>
        <w:t xml:space="preserve"> a </w:t>
      </w:r>
      <w:r w:rsidRPr="00326E55">
        <w:rPr>
          <w:noProof/>
          <w:spacing w:val="-6"/>
          <w:lang w:val="sk-SK"/>
        </w:rPr>
        <w:t xml:space="preserve">vytvoriť novú udržateľnú výrobnú </w:t>
      </w:r>
      <w:r w:rsidRPr="00326E55">
        <w:rPr>
          <w:noProof/>
          <w:spacing w:val="-6"/>
          <w:lang w:val="sk-SK"/>
        </w:rPr>
        <w:t>kapacitu biometánu</w:t>
      </w:r>
      <w:r w:rsidR="00326E55" w:rsidRPr="00326E55">
        <w:rPr>
          <w:noProof/>
          <w:spacing w:val="-6"/>
          <w:lang w:val="sk-SK"/>
        </w:rPr>
        <w:t xml:space="preserve"> v </w:t>
      </w:r>
      <w:r w:rsidRPr="00326E55">
        <w:rPr>
          <w:noProof/>
          <w:spacing w:val="-6"/>
          <w:lang w:val="sk-SK"/>
        </w:rPr>
        <w:t>súlade so smernicou (EÚ) 2018/2001 (smernica</w:t>
      </w:r>
      <w:r w:rsidR="00326E55" w:rsidRPr="00326E55">
        <w:rPr>
          <w:noProof/>
          <w:spacing w:val="-6"/>
          <w:lang w:val="sk-SK"/>
        </w:rPr>
        <w:t xml:space="preserve"> o </w:t>
      </w:r>
      <w:r w:rsidRPr="00326E55">
        <w:rPr>
          <w:noProof/>
          <w:spacing w:val="-6"/>
          <w:lang w:val="sk-SK"/>
        </w:rPr>
        <w:t>obnoviteľných zdrojoch energie)</w:t>
      </w:r>
      <w:r w:rsidR="00326E55" w:rsidRPr="00326E55">
        <w:rPr>
          <w:noProof/>
          <w:spacing w:val="-6"/>
          <w:lang w:val="sk-SK"/>
        </w:rPr>
        <w:t xml:space="preserve"> a </w:t>
      </w:r>
      <w:r w:rsidRPr="00326E55">
        <w:rPr>
          <w:noProof/>
          <w:spacing w:val="-6"/>
          <w:lang w:val="sk-SK"/>
        </w:rPr>
        <w:t>jej delegovanými aktmi,</w:t>
      </w:r>
      <w:r w:rsidR="00326E55" w:rsidRPr="00326E55">
        <w:rPr>
          <w:noProof/>
          <w:spacing w:val="-6"/>
          <w:lang w:val="sk-SK"/>
        </w:rPr>
        <w:t xml:space="preserve"> a </w:t>
      </w:r>
      <w:r w:rsidRPr="00326E55">
        <w:rPr>
          <w:noProof/>
          <w:spacing w:val="-6"/>
          <w:lang w:val="sk-SK"/>
        </w:rPr>
        <w:t>najmä podporiť flexibilitu</w:t>
      </w:r>
      <w:r w:rsidR="00326E55" w:rsidRPr="00326E55">
        <w:rPr>
          <w:noProof/>
          <w:spacing w:val="-6"/>
          <w:lang w:val="sk-SK"/>
        </w:rPr>
        <w:t xml:space="preserve"> a </w:t>
      </w:r>
      <w:r w:rsidRPr="00326E55">
        <w:rPr>
          <w:noProof/>
          <w:spacing w:val="-6"/>
          <w:lang w:val="sk-SK"/>
        </w:rPr>
        <w:t>efektívnosť siete zemného plynu uľahčením konverzie na biometán. Reforma spočíva</w:t>
      </w:r>
      <w:r w:rsidR="00326E55" w:rsidRPr="00326E55">
        <w:rPr>
          <w:noProof/>
          <w:spacing w:val="-6"/>
          <w:lang w:val="sk-SK"/>
        </w:rPr>
        <w:t xml:space="preserve"> v </w:t>
      </w:r>
      <w:r w:rsidRPr="00326E55">
        <w:rPr>
          <w:noProof/>
          <w:spacing w:val="-6"/>
          <w:lang w:val="sk-SK"/>
        </w:rPr>
        <w:t>nadobudnutí účin</w:t>
      </w:r>
      <w:r w:rsidRPr="00326E55">
        <w:rPr>
          <w:noProof/>
          <w:spacing w:val="-6"/>
          <w:lang w:val="sk-SK"/>
        </w:rPr>
        <w:t>nosti právnych aktov na zníženie nákladov na pripojenie udržateľných zariadení na výrobu biometánu</w:t>
      </w:r>
      <w:r w:rsidR="00326E55" w:rsidRPr="00326E55">
        <w:rPr>
          <w:noProof/>
          <w:spacing w:val="-6"/>
          <w:lang w:val="sk-SK"/>
        </w:rPr>
        <w:t xml:space="preserve"> a </w:t>
      </w:r>
      <w:r w:rsidRPr="00326E55">
        <w:rPr>
          <w:noProof/>
          <w:spacing w:val="-6"/>
          <w:lang w:val="sk-SK"/>
        </w:rPr>
        <w:t>na podporu investícií zameraných na zavádzanie udržateľného biometánu</w:t>
      </w:r>
      <w:r w:rsidR="00326E55" w:rsidRPr="00326E55">
        <w:rPr>
          <w:noProof/>
          <w:spacing w:val="-6"/>
          <w:lang w:val="sk-SK"/>
        </w:rPr>
        <w:t xml:space="preserve"> v </w:t>
      </w:r>
      <w:r w:rsidRPr="00326E55">
        <w:rPr>
          <w:noProof/>
          <w:spacing w:val="-6"/>
          <w:lang w:val="sk-SK"/>
        </w:rPr>
        <w:t>sieťach zemného plynu.</w:t>
      </w:r>
    </w:p>
    <w:p w14:paraId="0A06995C" w14:textId="1CA50C9E" w:rsidR="00BF03AA" w:rsidRPr="00326E55" w:rsidRDefault="00FB452D">
      <w:pPr>
        <w:pStyle w:val="P68B1DB1-Heading4107"/>
        <w:rPr>
          <w:noProof/>
          <w:spacing w:val="-6"/>
          <w:lang w:val="sk-SK"/>
        </w:rPr>
      </w:pPr>
      <w:r w:rsidRPr="00326E55">
        <w:rPr>
          <w:noProof/>
          <w:spacing w:val="-6"/>
          <w:lang w:val="sk-SK"/>
        </w:rPr>
        <w:t>Reforma 4. Zmiernenie finančného rizika spojeného</w:t>
      </w:r>
      <w:r w:rsidR="00326E55" w:rsidRPr="00326E55">
        <w:rPr>
          <w:noProof/>
          <w:spacing w:val="-6"/>
          <w:lang w:val="sk-SK"/>
        </w:rPr>
        <w:t xml:space="preserve"> s </w:t>
      </w:r>
      <w:r w:rsidRPr="00326E55">
        <w:rPr>
          <w:noProof/>
          <w:spacing w:val="-6"/>
          <w:lang w:val="sk-SK"/>
        </w:rPr>
        <w:t>obnovite</w:t>
      </w:r>
      <w:r w:rsidRPr="00326E55">
        <w:rPr>
          <w:noProof/>
          <w:spacing w:val="-6"/>
          <w:lang w:val="sk-SK"/>
        </w:rPr>
        <w:t>ľnými zmluvami</w:t>
      </w:r>
      <w:r w:rsidR="00326E55" w:rsidRPr="00326E55">
        <w:rPr>
          <w:noProof/>
          <w:spacing w:val="-6"/>
          <w:lang w:val="sk-SK"/>
        </w:rPr>
        <w:t xml:space="preserve"> o </w:t>
      </w:r>
      <w:r w:rsidRPr="00326E55">
        <w:rPr>
          <w:noProof/>
          <w:spacing w:val="-6"/>
          <w:lang w:val="sk-SK"/>
        </w:rPr>
        <w:t>nákupe elektriny (zmluvy</w:t>
      </w:r>
      <w:r w:rsidR="00326E55" w:rsidRPr="00326E55">
        <w:rPr>
          <w:noProof/>
          <w:spacing w:val="-6"/>
          <w:lang w:val="sk-SK"/>
        </w:rPr>
        <w:t xml:space="preserve"> o </w:t>
      </w:r>
      <w:r w:rsidRPr="00326E55">
        <w:rPr>
          <w:noProof/>
          <w:spacing w:val="-6"/>
          <w:lang w:val="sk-SK"/>
        </w:rPr>
        <w:t>nákupe elektrickej energie)</w:t>
      </w:r>
    </w:p>
    <w:p w14:paraId="073A078A" w14:textId="536F9D64" w:rsidR="00326E55" w:rsidRPr="00326E55" w:rsidRDefault="00FB452D">
      <w:pPr>
        <w:pStyle w:val="P68B1DB1-Text143"/>
        <w:spacing w:before="0"/>
        <w:ind w:left="0"/>
        <w:rPr>
          <w:noProof/>
          <w:spacing w:val="-6"/>
          <w:lang w:val="sk-SK"/>
        </w:rPr>
      </w:pPr>
      <w:r w:rsidRPr="00326E55">
        <w:rPr>
          <w:noProof/>
          <w:spacing w:val="-6"/>
          <w:lang w:val="sk-SK"/>
        </w:rPr>
        <w:t>Cieľom reformy je vytvoriť systém záruk na zmiernenie finančného rizika spojeného so zmluvami</w:t>
      </w:r>
      <w:r w:rsidR="00326E55" w:rsidRPr="00326E55">
        <w:rPr>
          <w:noProof/>
          <w:spacing w:val="-6"/>
          <w:lang w:val="sk-SK"/>
        </w:rPr>
        <w:t xml:space="preserve"> o </w:t>
      </w:r>
      <w:r w:rsidRPr="00326E55">
        <w:rPr>
          <w:noProof/>
          <w:spacing w:val="-6"/>
          <w:lang w:val="sk-SK"/>
        </w:rPr>
        <w:t>nákupe energie</w:t>
      </w:r>
      <w:r w:rsidR="00326E55" w:rsidRPr="00326E55">
        <w:rPr>
          <w:noProof/>
          <w:spacing w:val="-6"/>
          <w:lang w:val="sk-SK"/>
        </w:rPr>
        <w:t xml:space="preserve"> z </w:t>
      </w:r>
      <w:r w:rsidRPr="00326E55">
        <w:rPr>
          <w:noProof/>
          <w:spacing w:val="-6"/>
          <w:lang w:val="sk-SK"/>
        </w:rPr>
        <w:t>obnoviteľných zdrojov na obdobie najmenej troch rokov</w:t>
      </w:r>
      <w:r w:rsidR="00326E55" w:rsidRPr="00326E55">
        <w:rPr>
          <w:noProof/>
          <w:spacing w:val="-6"/>
          <w:lang w:val="sk-SK"/>
        </w:rPr>
        <w:t>.</w:t>
      </w:r>
    </w:p>
    <w:p w14:paraId="204C3061" w14:textId="77777777" w:rsidR="00326E55" w:rsidRPr="00326E55" w:rsidRDefault="00FB452D">
      <w:pPr>
        <w:pStyle w:val="P68B1DB1-Text143"/>
        <w:spacing w:before="0"/>
        <w:ind w:left="0"/>
        <w:rPr>
          <w:noProof/>
          <w:spacing w:val="-6"/>
          <w:lang w:val="sk-SK"/>
        </w:rPr>
      </w:pPr>
      <w:r w:rsidRPr="00326E55">
        <w:rPr>
          <w:noProof/>
          <w:spacing w:val="-6"/>
          <w:lang w:val="sk-SK"/>
        </w:rPr>
        <w:t>Reforma bude sle</w:t>
      </w:r>
      <w:r w:rsidRPr="00326E55">
        <w:rPr>
          <w:noProof/>
          <w:spacing w:val="-6"/>
          <w:lang w:val="sk-SK"/>
        </w:rPr>
        <w:t>dovať tieto ciele</w:t>
      </w:r>
      <w:r w:rsidR="00326E55" w:rsidRPr="00326E55">
        <w:rPr>
          <w:noProof/>
          <w:spacing w:val="-6"/>
          <w:lang w:val="sk-SK"/>
        </w:rPr>
        <w:t>:</w:t>
      </w:r>
    </w:p>
    <w:p w14:paraId="65C260A5" w14:textId="2B50D571" w:rsidR="00326E55" w:rsidRPr="00326E55" w:rsidRDefault="00FB452D">
      <w:pPr>
        <w:pStyle w:val="P68B1DB1-Text143"/>
        <w:numPr>
          <w:ilvl w:val="0"/>
          <w:numId w:val="45"/>
        </w:numPr>
        <w:spacing w:before="0"/>
        <w:rPr>
          <w:noProof/>
          <w:spacing w:val="-6"/>
          <w:lang w:val="sk-SK"/>
        </w:rPr>
      </w:pPr>
      <w:r w:rsidRPr="00326E55">
        <w:rPr>
          <w:noProof/>
          <w:spacing w:val="-6"/>
          <w:lang w:val="sk-SK"/>
        </w:rPr>
        <w:t>požadovať, aby každý prevádzkovateľ zaručil čiastočné krytie protihodnoty zmlúv</w:t>
      </w:r>
      <w:r w:rsidR="00326E55" w:rsidRPr="00326E55">
        <w:rPr>
          <w:noProof/>
          <w:spacing w:val="-6"/>
          <w:lang w:val="sk-SK"/>
        </w:rPr>
        <w:t xml:space="preserve"> o </w:t>
      </w:r>
      <w:r w:rsidRPr="00326E55">
        <w:rPr>
          <w:noProof/>
          <w:spacing w:val="-6"/>
          <w:lang w:val="sk-SK"/>
        </w:rPr>
        <w:t>nákupe elektriny prostredníctvom záručných nástrojov poskytnutých na trhu</w:t>
      </w:r>
      <w:r w:rsidR="00326E55" w:rsidRPr="00326E55">
        <w:rPr>
          <w:noProof/>
          <w:spacing w:val="-6"/>
          <w:lang w:val="sk-SK"/>
        </w:rPr>
        <w:t xml:space="preserve"> s </w:t>
      </w:r>
      <w:r w:rsidRPr="00326E55">
        <w:rPr>
          <w:noProof/>
          <w:spacing w:val="-6"/>
          <w:lang w:val="sk-SK"/>
        </w:rPr>
        <w:t>elektrickou energiou</w:t>
      </w:r>
      <w:r w:rsidR="00326E55" w:rsidRPr="00326E55">
        <w:rPr>
          <w:noProof/>
          <w:spacing w:val="-6"/>
          <w:lang w:val="sk-SK"/>
        </w:rPr>
        <w:t>;</w:t>
      </w:r>
    </w:p>
    <w:p w14:paraId="2591FC23" w14:textId="03899E20" w:rsidR="00BF03AA" w:rsidRPr="00326E55" w:rsidRDefault="00FB452D">
      <w:pPr>
        <w:pStyle w:val="P68B1DB1-Text143"/>
        <w:numPr>
          <w:ilvl w:val="0"/>
          <w:numId w:val="45"/>
        </w:numPr>
        <w:spacing w:before="0"/>
        <w:rPr>
          <w:noProof/>
          <w:spacing w:val="-6"/>
          <w:lang w:val="sk-SK"/>
        </w:rPr>
      </w:pPr>
      <w:r w:rsidRPr="00326E55">
        <w:rPr>
          <w:noProof/>
          <w:spacing w:val="-6"/>
          <w:lang w:val="sk-SK"/>
        </w:rPr>
        <w:t xml:space="preserve">zaviesť opatrenia na zmiernenie rizika zlyhania vrátane </w:t>
      </w:r>
      <w:r w:rsidRPr="00326E55">
        <w:rPr>
          <w:noProof/>
          <w:spacing w:val="-6"/>
          <w:lang w:val="sk-SK"/>
        </w:rPr>
        <w:t>požiadaviek</w:t>
      </w:r>
      <w:r w:rsidR="00326E55" w:rsidRPr="00326E55">
        <w:rPr>
          <w:noProof/>
          <w:spacing w:val="-6"/>
          <w:lang w:val="sk-SK"/>
        </w:rPr>
        <w:t xml:space="preserve"> a </w:t>
      </w:r>
      <w:r w:rsidRPr="00326E55">
        <w:rPr>
          <w:noProof/>
          <w:spacing w:val="-6"/>
          <w:lang w:val="sk-SK"/>
        </w:rPr>
        <w:t>obmedzení na uchádzača</w:t>
      </w:r>
      <w:r w:rsidR="00326E55" w:rsidRPr="00326E55">
        <w:rPr>
          <w:noProof/>
          <w:spacing w:val="-6"/>
          <w:lang w:val="sk-SK"/>
        </w:rPr>
        <w:t xml:space="preserve"> a </w:t>
      </w:r>
      <w:r w:rsidRPr="00326E55">
        <w:rPr>
          <w:noProof/>
          <w:spacing w:val="-6"/>
          <w:lang w:val="sk-SK"/>
        </w:rPr>
        <w:t>regulačných sankcií</w:t>
      </w:r>
      <w:r w:rsidR="00326E55" w:rsidRPr="00326E55">
        <w:rPr>
          <w:noProof/>
          <w:spacing w:val="-6"/>
          <w:lang w:val="sk-SK"/>
        </w:rPr>
        <w:t xml:space="preserve"> v </w:t>
      </w:r>
      <w:r w:rsidRPr="00326E55">
        <w:rPr>
          <w:noProof/>
          <w:spacing w:val="-6"/>
          <w:lang w:val="sk-SK"/>
        </w:rPr>
        <w:t>prípade zlyhania výrobcu;</w:t>
      </w:r>
    </w:p>
    <w:p w14:paraId="2919DAB0" w14:textId="4E714BAA" w:rsidR="00326E55" w:rsidRPr="00326E55" w:rsidRDefault="00FB452D">
      <w:pPr>
        <w:pStyle w:val="P68B1DB1-Text143"/>
        <w:numPr>
          <w:ilvl w:val="0"/>
          <w:numId w:val="45"/>
        </w:numPr>
        <w:spacing w:before="0"/>
        <w:rPr>
          <w:noProof/>
          <w:spacing w:val="-6"/>
          <w:lang w:val="sk-SK"/>
        </w:rPr>
      </w:pPr>
      <w:r w:rsidRPr="00326E55">
        <w:rPr>
          <w:noProof/>
          <w:spacing w:val="-6"/>
          <w:lang w:val="sk-SK"/>
        </w:rPr>
        <w:t>určiť inštitucionálny subjekt, ktorý prevezme úlohu predávajúceho/kupujúceho poslednej inštancie, ktorý by prevzal od zlyhávajúcej protistrany</w:t>
      </w:r>
      <w:r w:rsidR="00326E55" w:rsidRPr="00326E55">
        <w:rPr>
          <w:noProof/>
          <w:spacing w:val="-6"/>
          <w:lang w:val="sk-SK"/>
        </w:rPr>
        <w:t xml:space="preserve"> a </w:t>
      </w:r>
      <w:r w:rsidRPr="00326E55">
        <w:rPr>
          <w:noProof/>
          <w:spacing w:val="-6"/>
          <w:lang w:val="sk-SK"/>
        </w:rPr>
        <w:t>zabezpečil plnenie povin</w:t>
      </w:r>
      <w:r w:rsidRPr="00326E55">
        <w:rPr>
          <w:noProof/>
          <w:spacing w:val="-6"/>
          <w:lang w:val="sk-SK"/>
        </w:rPr>
        <w:t>ností prevzatých voči vykonávajúcej protistrane</w:t>
      </w:r>
      <w:r w:rsidR="00326E55" w:rsidRPr="00326E55">
        <w:rPr>
          <w:noProof/>
          <w:spacing w:val="-6"/>
          <w:lang w:val="sk-SK"/>
        </w:rPr>
        <w:t>.</w:t>
      </w:r>
    </w:p>
    <w:p w14:paraId="3FC40882" w14:textId="583FF7FF" w:rsidR="00BF03AA" w:rsidRPr="00326E55" w:rsidRDefault="00FB452D">
      <w:pPr>
        <w:pStyle w:val="P68B1DB1-Heading4107"/>
        <w:spacing w:line="240" w:lineRule="auto"/>
        <w:ind w:left="850" w:hanging="850"/>
        <w:rPr>
          <w:noProof/>
          <w:spacing w:val="-6"/>
          <w:lang w:val="sk-SK"/>
        </w:rPr>
      </w:pPr>
      <w:bookmarkStart w:id="24" w:name="_Hlk160472416"/>
      <w:r w:rsidRPr="00326E55">
        <w:rPr>
          <w:noProof/>
          <w:spacing w:val="-6"/>
          <w:lang w:val="sk-SK"/>
        </w:rPr>
        <w:t>Reforma 5. Plán pre nové zručnosti – Prechody</w:t>
      </w:r>
    </w:p>
    <w:bookmarkEnd w:id="24"/>
    <w:p w14:paraId="5E872CCE" w14:textId="120E5B0A" w:rsidR="00BF03AA" w:rsidRPr="00326E55" w:rsidRDefault="00FB452D">
      <w:pPr>
        <w:pStyle w:val="P68B1DB1-Normal7"/>
        <w:spacing w:after="120" w:line="240" w:lineRule="auto"/>
        <w:jc w:val="both"/>
        <w:rPr>
          <w:rFonts w:eastAsia="Times New Roman"/>
          <w:noProof/>
          <w:spacing w:val="-6"/>
          <w:lang w:val="sk-SK"/>
        </w:rPr>
      </w:pPr>
      <w:r w:rsidRPr="00326E55">
        <w:rPr>
          <w:noProof/>
          <w:spacing w:val="-6"/>
          <w:lang w:val="sk-SK"/>
        </w:rPr>
        <w:t>Cieľom reformy je lepšie zosúladiť programy odbornej prípravy</w:t>
      </w:r>
      <w:r w:rsidR="00326E55" w:rsidRPr="00326E55">
        <w:rPr>
          <w:noProof/>
          <w:spacing w:val="-6"/>
          <w:lang w:val="sk-SK"/>
        </w:rPr>
        <w:t xml:space="preserve"> s </w:t>
      </w:r>
      <w:r w:rsidRPr="00326E55">
        <w:rPr>
          <w:noProof/>
          <w:spacing w:val="-6"/>
          <w:lang w:val="sk-SK"/>
        </w:rPr>
        <w:t>potrebami trhu práce</w:t>
      </w:r>
      <w:r w:rsidR="00326E55" w:rsidRPr="00326E55">
        <w:rPr>
          <w:noProof/>
          <w:spacing w:val="-6"/>
          <w:lang w:val="sk-SK"/>
        </w:rPr>
        <w:t xml:space="preserve"> s </w:t>
      </w:r>
      <w:r w:rsidRPr="00326E55">
        <w:rPr>
          <w:noProof/>
          <w:spacing w:val="-6"/>
          <w:lang w:val="sk-SK"/>
        </w:rPr>
        <w:t>cieľom bojovať proti nesúladu medzi ponúkanými</w:t>
      </w:r>
      <w:r w:rsidR="00326E55" w:rsidRPr="00326E55">
        <w:rPr>
          <w:noProof/>
          <w:spacing w:val="-6"/>
          <w:lang w:val="sk-SK"/>
        </w:rPr>
        <w:t xml:space="preserve"> a </w:t>
      </w:r>
      <w:r w:rsidRPr="00326E55">
        <w:rPr>
          <w:noProof/>
          <w:spacing w:val="-6"/>
          <w:lang w:val="sk-SK"/>
        </w:rPr>
        <w:t>požadovanými zručnosťami</w:t>
      </w:r>
      <w:r w:rsidR="00326E55" w:rsidRPr="00326E55">
        <w:rPr>
          <w:noProof/>
          <w:spacing w:val="-6"/>
          <w:lang w:val="sk-SK"/>
        </w:rPr>
        <w:t xml:space="preserve"> s </w:t>
      </w:r>
      <w:r w:rsidRPr="00326E55">
        <w:rPr>
          <w:noProof/>
          <w:spacing w:val="-6"/>
          <w:lang w:val="sk-SK"/>
        </w:rPr>
        <w:t>osobitným dôrazom na zelené</w:t>
      </w:r>
      <w:r w:rsidR="00326E55" w:rsidRPr="00326E55">
        <w:rPr>
          <w:noProof/>
          <w:spacing w:val="-6"/>
          <w:lang w:val="sk-SK"/>
        </w:rPr>
        <w:t xml:space="preserve"> a </w:t>
      </w:r>
      <w:r w:rsidRPr="00326E55">
        <w:rPr>
          <w:noProof/>
          <w:spacing w:val="-6"/>
          <w:lang w:val="sk-SK"/>
        </w:rPr>
        <w:t>digitálne zručnosti. Táto reforma spočíva</w:t>
      </w:r>
      <w:r w:rsidR="00326E55" w:rsidRPr="00326E55">
        <w:rPr>
          <w:noProof/>
          <w:spacing w:val="-6"/>
          <w:lang w:val="sk-SK"/>
        </w:rPr>
        <w:t xml:space="preserve"> v </w:t>
      </w:r>
      <w:r w:rsidRPr="00326E55">
        <w:rPr>
          <w:noProof/>
          <w:spacing w:val="-6"/>
          <w:lang w:val="sk-SK"/>
        </w:rPr>
        <w:t>prijatí</w:t>
      </w:r>
      <w:r w:rsidR="00326E55" w:rsidRPr="00326E55">
        <w:rPr>
          <w:noProof/>
          <w:spacing w:val="-6"/>
          <w:lang w:val="sk-SK"/>
        </w:rPr>
        <w:t xml:space="preserve"> a </w:t>
      </w:r>
      <w:r w:rsidRPr="00326E55">
        <w:rPr>
          <w:noProof/>
          <w:spacing w:val="-6"/>
          <w:lang w:val="sk-SK"/>
        </w:rPr>
        <w:t>nadobudnutí účinnosti právnych aktov na vnútroštátnej úrovni, ktorými sa aktualizuje nový plán zručností („Piano Nuove Competenze – Transizioni“)</w:t>
      </w:r>
      <w:r w:rsidR="00326E55" w:rsidRPr="00326E55">
        <w:rPr>
          <w:noProof/>
          <w:spacing w:val="-6"/>
          <w:lang w:val="sk-SK"/>
        </w:rPr>
        <w:t xml:space="preserve"> a </w:t>
      </w:r>
      <w:r w:rsidRPr="00326E55">
        <w:rPr>
          <w:noProof/>
          <w:spacing w:val="-6"/>
          <w:lang w:val="sk-SK"/>
        </w:rPr>
        <w:t>regionálne právne akt</w:t>
      </w:r>
      <w:r w:rsidRPr="00326E55">
        <w:rPr>
          <w:noProof/>
          <w:spacing w:val="-6"/>
          <w:lang w:val="sk-SK"/>
        </w:rPr>
        <w:t>y.</w:t>
      </w:r>
    </w:p>
    <w:p w14:paraId="02CEC2EA" w14:textId="77777777" w:rsidR="00BF03AA" w:rsidRPr="00326E55" w:rsidRDefault="00FB452D">
      <w:pPr>
        <w:pStyle w:val="Heading4"/>
        <w:spacing w:line="240" w:lineRule="auto"/>
        <w:ind w:left="850" w:hanging="850"/>
        <w:rPr>
          <w:rStyle w:val="normaltextrun"/>
          <w:rFonts w:ascii="Times New Roman" w:eastAsiaTheme="minorEastAsia" w:hAnsi="Times New Roman" w:cs="Times New Roman"/>
          <w:b/>
          <w:i w:val="0"/>
          <w:iCs w:val="0"/>
          <w:noProof/>
          <w:color w:val="000000" w:themeColor="text1"/>
          <w:spacing w:val="-6"/>
          <w:lang w:val="sk-SK"/>
        </w:rPr>
      </w:pPr>
      <w:r w:rsidRPr="00326E55">
        <w:rPr>
          <w:rStyle w:val="normaltextrun"/>
          <w:rFonts w:ascii="Times New Roman" w:hAnsi="Times New Roman" w:cs="Times New Roman"/>
          <w:b/>
          <w:i w:val="0"/>
          <w:noProof/>
          <w:color w:val="000000" w:themeColor="text1"/>
          <w:spacing w:val="-6"/>
          <w:lang w:val="sk-SK"/>
        </w:rPr>
        <w:t>Investícia 1. Rozšírené opatrenie: Inteligentné sústavy</w:t>
      </w:r>
    </w:p>
    <w:p w14:paraId="511849F2" w14:textId="37FD89CD" w:rsidR="00BF03AA" w:rsidRPr="00326E55" w:rsidRDefault="00FB452D">
      <w:pPr>
        <w:pStyle w:val="Text1"/>
        <w:spacing w:before="0"/>
        <w:ind w:left="0"/>
        <w:rPr>
          <w:noProof/>
          <w:spacing w:val="-6"/>
          <w:lang w:val="sk-SK"/>
        </w:rPr>
      </w:pPr>
      <w:r w:rsidRPr="00326E55">
        <w:rPr>
          <w:noProof/>
          <w:spacing w:val="-6"/>
          <w:lang w:val="sk-SK"/>
        </w:rPr>
        <w:t>Cieľom tejto investície je digitalizovať elektrickú distribučnú sieť ako rozšírenie investície 2.1 (Posilnenie inteligentných sietí)</w:t>
      </w:r>
      <w:r w:rsidR="00326E55" w:rsidRPr="00326E55">
        <w:rPr>
          <w:noProof/>
          <w:spacing w:val="-6"/>
          <w:lang w:val="sk-SK"/>
        </w:rPr>
        <w:t xml:space="preserve"> v </w:t>
      </w:r>
      <w:r w:rsidRPr="00326E55">
        <w:rPr>
          <w:noProof/>
          <w:spacing w:val="-6"/>
          <w:lang w:val="sk-SK"/>
        </w:rPr>
        <w:t>rámci komponentu 2 úlohy 2. Investícia pozostáva</w:t>
      </w:r>
      <w:r w:rsidR="00326E55" w:rsidRPr="00326E55">
        <w:rPr>
          <w:noProof/>
          <w:spacing w:val="-6"/>
          <w:lang w:val="sk-SK"/>
        </w:rPr>
        <w:t xml:space="preserve"> z </w:t>
      </w:r>
      <w:r w:rsidRPr="00326E55">
        <w:rPr>
          <w:noProof/>
          <w:spacing w:val="-6"/>
          <w:lang w:val="sk-SK"/>
        </w:rPr>
        <w:t>intervencií</w:t>
      </w:r>
      <w:r w:rsidRPr="00326E55">
        <w:rPr>
          <w:noProof/>
          <w:spacing w:val="-6"/>
          <w:lang w:val="sk-SK"/>
        </w:rPr>
        <w:t xml:space="preserve"> týkajúcich sa častí siete stredného</w:t>
      </w:r>
      <w:r w:rsidR="00326E55" w:rsidRPr="00326E55">
        <w:rPr>
          <w:noProof/>
          <w:spacing w:val="-6"/>
          <w:lang w:val="sk-SK"/>
        </w:rPr>
        <w:t xml:space="preserve"> a </w:t>
      </w:r>
      <w:r w:rsidRPr="00326E55">
        <w:rPr>
          <w:noProof/>
          <w:spacing w:val="-6"/>
          <w:lang w:val="sk-SK"/>
        </w:rPr>
        <w:t>nízkeho napätia, čím sa elektrifikuje spotreba energie najmenej</w:t>
      </w:r>
      <w:r w:rsidR="00326E55" w:rsidRPr="00326E55">
        <w:rPr>
          <w:noProof/>
          <w:spacing w:val="-6"/>
          <w:lang w:val="sk-SK"/>
        </w:rPr>
        <w:t xml:space="preserve"> o </w:t>
      </w:r>
      <w:r w:rsidRPr="00326E55">
        <w:rPr>
          <w:noProof/>
          <w:spacing w:val="-6"/>
          <w:lang w:val="sk-SK"/>
        </w:rPr>
        <w:t>230000 obyvateľov vyššia, ako sa predpokladalo</w:t>
      </w:r>
      <w:r w:rsidR="00326E55" w:rsidRPr="00326E55">
        <w:rPr>
          <w:noProof/>
          <w:spacing w:val="-6"/>
          <w:lang w:val="sk-SK"/>
        </w:rPr>
        <w:t xml:space="preserve"> v </w:t>
      </w:r>
      <w:r w:rsidRPr="00326E55">
        <w:rPr>
          <w:noProof/>
          <w:spacing w:val="-6"/>
          <w:lang w:val="sk-SK"/>
        </w:rPr>
        <w:t>opatrení M2C2.</w:t>
      </w:r>
    </w:p>
    <w:p w14:paraId="2BD9B8F0" w14:textId="77777777" w:rsidR="00BF03AA" w:rsidRPr="00326E55" w:rsidRDefault="00FB452D">
      <w:pPr>
        <w:pStyle w:val="Heading4"/>
        <w:spacing w:line="240" w:lineRule="auto"/>
        <w:ind w:left="850" w:hanging="850"/>
        <w:jc w:val="both"/>
        <w:rPr>
          <w:rStyle w:val="normaltextrun"/>
          <w:rFonts w:ascii="Times New Roman" w:hAnsi="Times New Roman" w:cs="Times New Roman"/>
          <w:b/>
          <w:i w:val="0"/>
          <w:iCs w:val="0"/>
          <w:noProof/>
          <w:color w:val="000000" w:themeColor="text1"/>
          <w:spacing w:val="-6"/>
          <w:lang w:val="sk-SK"/>
        </w:rPr>
      </w:pPr>
      <w:r w:rsidRPr="00326E55">
        <w:rPr>
          <w:rStyle w:val="normaltextrun"/>
          <w:rFonts w:ascii="Times New Roman" w:hAnsi="Times New Roman" w:cs="Times New Roman"/>
          <w:b/>
          <w:i w:val="0"/>
          <w:noProof/>
          <w:color w:val="000000" w:themeColor="text1"/>
          <w:spacing w:val="-6"/>
          <w:lang w:val="sk-SK"/>
        </w:rPr>
        <w:t>Investícia 2. Rozšírenie opatrenia: Intervencie na zvýšenie odolnosti elektrizačnej sús</w:t>
      </w:r>
      <w:r w:rsidRPr="00326E55">
        <w:rPr>
          <w:rStyle w:val="normaltextrun"/>
          <w:rFonts w:ascii="Times New Roman" w:hAnsi="Times New Roman" w:cs="Times New Roman"/>
          <w:b/>
          <w:i w:val="0"/>
          <w:noProof/>
          <w:color w:val="000000" w:themeColor="text1"/>
          <w:spacing w:val="-6"/>
          <w:lang w:val="sk-SK"/>
        </w:rPr>
        <w:t>tavy</w:t>
      </w:r>
    </w:p>
    <w:p w14:paraId="5A988882" w14:textId="48FFF593" w:rsidR="00BF03AA" w:rsidRPr="00326E55" w:rsidRDefault="00FB452D">
      <w:pPr>
        <w:pStyle w:val="P68B1DB1-Text143"/>
        <w:spacing w:before="0"/>
        <w:ind w:left="0"/>
        <w:rPr>
          <w:noProof/>
          <w:spacing w:val="-6"/>
          <w:lang w:val="sk-SK"/>
        </w:rPr>
      </w:pPr>
      <w:r w:rsidRPr="00326E55">
        <w:rPr>
          <w:noProof/>
          <w:spacing w:val="-6"/>
          <w:lang w:val="sk-SK"/>
        </w:rPr>
        <w:t>Cieľom tejto investície je zvýšiť odolnosť elektrizačnej sústavy voči extrémnym poveternostným javom ako zvýšenie investície 2.2</w:t>
      </w:r>
      <w:r w:rsidR="00326E55" w:rsidRPr="00326E55">
        <w:rPr>
          <w:noProof/>
          <w:spacing w:val="-6"/>
          <w:lang w:val="sk-SK"/>
        </w:rPr>
        <w:t xml:space="preserve"> v </w:t>
      </w:r>
      <w:r w:rsidRPr="00326E55">
        <w:rPr>
          <w:noProof/>
          <w:spacing w:val="-6"/>
          <w:lang w:val="sk-SK"/>
        </w:rPr>
        <w:t>rámci komponentu 2 úlohy 2. Investícia pozostáva</w:t>
      </w:r>
      <w:r w:rsidR="00326E55" w:rsidRPr="00326E55">
        <w:rPr>
          <w:noProof/>
          <w:spacing w:val="-6"/>
          <w:lang w:val="sk-SK"/>
        </w:rPr>
        <w:t xml:space="preserve"> z </w:t>
      </w:r>
      <w:r w:rsidRPr="00326E55">
        <w:rPr>
          <w:noProof/>
          <w:spacing w:val="-6"/>
          <w:lang w:val="sk-SK"/>
        </w:rPr>
        <w:t>poskytovania grantov prevádzkovateľom prenosových</w:t>
      </w:r>
      <w:r w:rsidR="00326E55" w:rsidRPr="00326E55">
        <w:rPr>
          <w:noProof/>
          <w:spacing w:val="-6"/>
          <w:lang w:val="sk-SK"/>
        </w:rPr>
        <w:t xml:space="preserve"> a </w:t>
      </w:r>
      <w:r w:rsidRPr="00326E55">
        <w:rPr>
          <w:noProof/>
          <w:spacing w:val="-6"/>
          <w:lang w:val="sk-SK"/>
        </w:rPr>
        <w:t xml:space="preserve">distribučných </w:t>
      </w:r>
      <w:r w:rsidRPr="00326E55">
        <w:rPr>
          <w:noProof/>
          <w:spacing w:val="-6"/>
          <w:lang w:val="sk-SK"/>
        </w:rPr>
        <w:t>sústav na práce na elektrickej infraštruktúre zodpovedajúce zvýšenej odolnosti aspoň 648 km elektrickej siete nad rámec toho, čo sa už predpokladá</w:t>
      </w:r>
      <w:r w:rsidR="00326E55" w:rsidRPr="00326E55">
        <w:rPr>
          <w:noProof/>
          <w:spacing w:val="-6"/>
          <w:lang w:val="sk-SK"/>
        </w:rPr>
        <w:t xml:space="preserve"> v </w:t>
      </w:r>
      <w:r w:rsidRPr="00326E55">
        <w:rPr>
          <w:noProof/>
          <w:spacing w:val="-6"/>
          <w:lang w:val="sk-SK"/>
        </w:rPr>
        <w:t>opatrení M2C2.</w:t>
      </w:r>
    </w:p>
    <w:p w14:paraId="28B9BB58" w14:textId="08679DCE" w:rsidR="00BF03AA" w:rsidRPr="00326E55" w:rsidRDefault="00FB452D">
      <w:pPr>
        <w:pStyle w:val="P68B1DB1-Heading4107"/>
        <w:spacing w:line="240" w:lineRule="auto"/>
        <w:jc w:val="both"/>
        <w:rPr>
          <w:noProof/>
          <w:spacing w:val="-6"/>
          <w:lang w:val="sk-SK"/>
        </w:rPr>
      </w:pPr>
      <w:r w:rsidRPr="00326E55">
        <w:rPr>
          <w:noProof/>
          <w:spacing w:val="-6"/>
          <w:lang w:val="sk-SK"/>
        </w:rPr>
        <w:t>Investícia 3. Rozšírenie opatrenia: Výroba vodíka</w:t>
      </w:r>
      <w:r w:rsidR="00326E55" w:rsidRPr="00326E55">
        <w:rPr>
          <w:noProof/>
          <w:spacing w:val="-6"/>
          <w:lang w:val="sk-SK"/>
        </w:rPr>
        <w:t xml:space="preserve"> v </w:t>
      </w:r>
      <w:r w:rsidRPr="00326E55">
        <w:rPr>
          <w:noProof/>
          <w:spacing w:val="-6"/>
          <w:lang w:val="sk-SK"/>
        </w:rPr>
        <w:t>opustených priemyselných lokalitách (Hyd</w:t>
      </w:r>
      <w:r w:rsidRPr="00326E55">
        <w:rPr>
          <w:noProof/>
          <w:spacing w:val="-6"/>
          <w:lang w:val="sk-SK"/>
        </w:rPr>
        <w:t>rogen Valleys)</w:t>
      </w:r>
    </w:p>
    <w:p w14:paraId="7854E9D2" w14:textId="0B2CF0CA" w:rsidR="00BF03AA" w:rsidRPr="00326E55" w:rsidRDefault="00FB452D">
      <w:pPr>
        <w:pStyle w:val="P68B1DB1-Text143"/>
        <w:spacing w:before="0"/>
        <w:ind w:left="0"/>
        <w:rPr>
          <w:noProof/>
          <w:spacing w:val="-6"/>
          <w:lang w:val="sk-SK"/>
        </w:rPr>
      </w:pPr>
      <w:r w:rsidRPr="00326E55">
        <w:rPr>
          <w:noProof/>
          <w:spacing w:val="-6"/>
          <w:lang w:val="sk-SK"/>
        </w:rPr>
        <w:t>Cieľom tejto investície je vytvoriť nové vodíkové údolia, t. j. miestnu výrobu</w:t>
      </w:r>
      <w:r w:rsidR="00326E55" w:rsidRPr="00326E55">
        <w:rPr>
          <w:noProof/>
          <w:spacing w:val="-6"/>
          <w:lang w:val="sk-SK"/>
        </w:rPr>
        <w:t xml:space="preserve"> a </w:t>
      </w:r>
      <w:r w:rsidRPr="00326E55">
        <w:rPr>
          <w:noProof/>
          <w:spacing w:val="-6"/>
          <w:lang w:val="sk-SK"/>
        </w:rPr>
        <w:t>využívanie vodíka</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v </w:t>
      </w:r>
      <w:r w:rsidRPr="00326E55">
        <w:rPr>
          <w:noProof/>
          <w:spacing w:val="-6"/>
          <w:lang w:val="sk-SK"/>
        </w:rPr>
        <w:t>priemysle, MSP</w:t>
      </w:r>
      <w:r w:rsidR="00326E55" w:rsidRPr="00326E55">
        <w:rPr>
          <w:noProof/>
          <w:spacing w:val="-6"/>
          <w:lang w:val="sk-SK"/>
        </w:rPr>
        <w:t xml:space="preserve"> a </w:t>
      </w:r>
      <w:r w:rsidRPr="00326E55">
        <w:rPr>
          <w:noProof/>
          <w:spacing w:val="-6"/>
          <w:lang w:val="sk-SK"/>
        </w:rPr>
        <w:t>miestnej doprave, ako rozšírenie investície 3.1</w:t>
      </w:r>
      <w:r w:rsidR="00326E55" w:rsidRPr="00326E55">
        <w:rPr>
          <w:noProof/>
          <w:spacing w:val="-6"/>
          <w:lang w:val="sk-SK"/>
        </w:rPr>
        <w:t xml:space="preserve"> v </w:t>
      </w:r>
      <w:r w:rsidRPr="00326E55">
        <w:rPr>
          <w:noProof/>
          <w:spacing w:val="-6"/>
          <w:lang w:val="sk-SK"/>
        </w:rPr>
        <w:t>rámci komponentu 2 úlohy 2. Investícia do rozšíre</w:t>
      </w:r>
      <w:r w:rsidRPr="00326E55">
        <w:rPr>
          <w:noProof/>
          <w:spacing w:val="-6"/>
          <w:lang w:val="sk-SK"/>
        </w:rPr>
        <w:t>nia pozostáva</w:t>
      </w:r>
      <w:r w:rsidR="00326E55" w:rsidRPr="00326E55">
        <w:rPr>
          <w:noProof/>
          <w:spacing w:val="-6"/>
          <w:lang w:val="sk-SK"/>
        </w:rPr>
        <w:t xml:space="preserve"> z </w:t>
      </w:r>
      <w:r w:rsidRPr="00326E55">
        <w:rPr>
          <w:noProof/>
          <w:spacing w:val="-6"/>
          <w:lang w:val="sk-SK"/>
        </w:rPr>
        <w:t>realizácie dvoch ďalších projektov na výrobu vodíka</w:t>
      </w:r>
      <w:r w:rsidR="00326E55" w:rsidRPr="00326E55">
        <w:rPr>
          <w:noProof/>
          <w:spacing w:val="-6"/>
          <w:lang w:val="sk-SK"/>
        </w:rPr>
        <w:t xml:space="preserve"> v </w:t>
      </w:r>
      <w:r w:rsidRPr="00326E55">
        <w:rPr>
          <w:noProof/>
          <w:spacing w:val="-6"/>
          <w:lang w:val="sk-SK"/>
        </w:rPr>
        <w:t>opustených priemyselných oblastiach</w:t>
      </w:r>
      <w:r w:rsidR="00326E55" w:rsidRPr="00326E55">
        <w:rPr>
          <w:noProof/>
          <w:spacing w:val="-6"/>
          <w:lang w:val="sk-SK"/>
        </w:rPr>
        <w:t xml:space="preserve"> v </w:t>
      </w:r>
      <w:r w:rsidRPr="00326E55">
        <w:rPr>
          <w:noProof/>
          <w:spacing w:val="-6"/>
          <w:lang w:val="sk-SK"/>
        </w:rPr>
        <w:t>porovnaní</w:t>
      </w:r>
      <w:r w:rsidR="00326E55" w:rsidRPr="00326E55">
        <w:rPr>
          <w:noProof/>
          <w:spacing w:val="-6"/>
          <w:lang w:val="sk-SK"/>
        </w:rPr>
        <w:t xml:space="preserve"> s </w:t>
      </w:r>
      <w:r w:rsidRPr="00326E55">
        <w:rPr>
          <w:noProof/>
          <w:spacing w:val="-6"/>
          <w:lang w:val="sk-SK"/>
        </w:rPr>
        <w:t>projektmi plánovanými</w:t>
      </w:r>
      <w:r w:rsidR="00326E55" w:rsidRPr="00326E55">
        <w:rPr>
          <w:noProof/>
          <w:spacing w:val="-6"/>
          <w:lang w:val="sk-SK"/>
        </w:rPr>
        <w:t xml:space="preserve"> v </w:t>
      </w:r>
      <w:r w:rsidRPr="00326E55">
        <w:rPr>
          <w:noProof/>
          <w:spacing w:val="-6"/>
          <w:lang w:val="sk-SK"/>
        </w:rPr>
        <w:t>investícii 3.1</w:t>
      </w:r>
      <w:r w:rsidR="00326E55" w:rsidRPr="00326E55">
        <w:rPr>
          <w:noProof/>
          <w:spacing w:val="-6"/>
          <w:lang w:val="sk-SK"/>
        </w:rPr>
        <w:t xml:space="preserve"> v </w:t>
      </w:r>
      <w:r w:rsidRPr="00326E55">
        <w:rPr>
          <w:noProof/>
          <w:spacing w:val="-6"/>
          <w:lang w:val="sk-SK"/>
        </w:rPr>
        <w:t>komponente 2 úlohy 2.</w:t>
      </w:r>
    </w:p>
    <w:p w14:paraId="6C9B08BC" w14:textId="77777777" w:rsidR="00BF03AA" w:rsidRPr="00326E55" w:rsidRDefault="00FB452D">
      <w:pPr>
        <w:pStyle w:val="P68B1DB1-Heading4107"/>
        <w:ind w:left="850" w:hanging="850"/>
        <w:rPr>
          <w:noProof/>
          <w:spacing w:val="-6"/>
          <w:lang w:val="sk-SK"/>
        </w:rPr>
      </w:pPr>
      <w:r w:rsidRPr="00326E55">
        <w:rPr>
          <w:noProof/>
          <w:spacing w:val="-6"/>
          <w:lang w:val="sk-SK"/>
        </w:rPr>
        <w:t>Investícia 4. Tyrrhenský odkaz</w:t>
      </w:r>
    </w:p>
    <w:p w14:paraId="12AB006C" w14:textId="22ACB194" w:rsidR="00BF03AA" w:rsidRPr="00326E55" w:rsidRDefault="00FB452D">
      <w:pPr>
        <w:pStyle w:val="P68B1DB1-Text143"/>
        <w:spacing w:before="0"/>
        <w:ind w:left="0"/>
        <w:rPr>
          <w:noProof/>
          <w:spacing w:val="-6"/>
          <w:lang w:val="sk-SK"/>
        </w:rPr>
      </w:pPr>
      <w:r w:rsidRPr="00326E55">
        <w:rPr>
          <w:noProof/>
          <w:spacing w:val="-6"/>
          <w:lang w:val="sk-SK"/>
        </w:rPr>
        <w:t>Cieľom tejto investície je zvýšiť integrác</w:t>
      </w:r>
      <w:r w:rsidRPr="00326E55">
        <w:rPr>
          <w:noProof/>
          <w:spacing w:val="-6"/>
          <w:lang w:val="sk-SK"/>
        </w:rPr>
        <w:t>iu južného Talianska do národnej prenosovej sústavy. Táto investícia pozostáva</w:t>
      </w:r>
      <w:r w:rsidR="00326E55" w:rsidRPr="00326E55">
        <w:rPr>
          <w:noProof/>
          <w:spacing w:val="-6"/>
          <w:lang w:val="sk-SK"/>
        </w:rPr>
        <w:t xml:space="preserve"> z </w:t>
      </w:r>
      <w:r w:rsidRPr="00326E55">
        <w:rPr>
          <w:noProof/>
          <w:spacing w:val="-6"/>
          <w:lang w:val="sk-SK"/>
        </w:rPr>
        <w:t>výstavby „východného prepojovacieho vedenia“ Tyrrhenského spojenia medzi Sicíliou</w:t>
      </w:r>
      <w:r w:rsidR="00326E55" w:rsidRPr="00326E55">
        <w:rPr>
          <w:noProof/>
          <w:spacing w:val="-6"/>
          <w:lang w:val="sk-SK"/>
        </w:rPr>
        <w:t xml:space="preserve"> a </w:t>
      </w:r>
      <w:r w:rsidRPr="00326E55">
        <w:rPr>
          <w:noProof/>
          <w:spacing w:val="-6"/>
          <w:lang w:val="sk-SK"/>
        </w:rPr>
        <w:t>Kampániou, najmä inštalácie káblov jednosmerného prúdu bod-bod (HVDC) medzi mestami Eboli</w:t>
      </w:r>
      <w:r w:rsidR="00326E55" w:rsidRPr="00326E55">
        <w:rPr>
          <w:noProof/>
          <w:spacing w:val="-6"/>
          <w:lang w:val="sk-SK"/>
        </w:rPr>
        <w:t xml:space="preserve"> a </w:t>
      </w:r>
      <w:r w:rsidRPr="00326E55">
        <w:rPr>
          <w:noProof/>
          <w:spacing w:val="-6"/>
          <w:lang w:val="sk-SK"/>
        </w:rPr>
        <w:t>Caracoli.</w:t>
      </w:r>
    </w:p>
    <w:p w14:paraId="453BE6E8" w14:textId="77777777" w:rsidR="00BF03AA" w:rsidRPr="00326E55" w:rsidRDefault="00FB452D">
      <w:pPr>
        <w:pStyle w:val="P68B1DB1-Normal5"/>
        <w:rPr>
          <w:noProof/>
          <w:spacing w:val="-6"/>
          <w:lang w:val="sk-SK"/>
        </w:rPr>
      </w:pPr>
      <w:r w:rsidRPr="00326E55">
        <w:rPr>
          <w:noProof/>
          <w:spacing w:val="-6"/>
          <w:lang w:val="sk-SK"/>
        </w:rPr>
        <w:t>Investícia 5. SA.CO.I.3</w:t>
      </w:r>
    </w:p>
    <w:p w14:paraId="26162A8C" w14:textId="7872C0FC" w:rsidR="00BF03AA" w:rsidRPr="00326E55" w:rsidRDefault="00FB452D">
      <w:pPr>
        <w:pStyle w:val="P68B1DB1-Text143"/>
        <w:spacing w:before="0"/>
        <w:ind w:left="0"/>
        <w:rPr>
          <w:noProof/>
          <w:spacing w:val="-6"/>
          <w:lang w:val="sk-SK"/>
        </w:rPr>
      </w:pPr>
      <w:r w:rsidRPr="00326E55">
        <w:rPr>
          <w:noProof/>
          <w:spacing w:val="-6"/>
          <w:lang w:val="sk-SK"/>
        </w:rPr>
        <w:t>Cieľom tejto investície je modernizovať elektrickú prenosovú infraštruktúru spájajúcu Sardíniu so zvyškom Talianska cez Korziku</w:t>
      </w:r>
      <w:r w:rsidR="00326E55" w:rsidRPr="00326E55">
        <w:rPr>
          <w:noProof/>
          <w:spacing w:val="-6"/>
          <w:lang w:val="sk-SK"/>
        </w:rPr>
        <w:t xml:space="preserve"> a </w:t>
      </w:r>
      <w:r w:rsidRPr="00326E55">
        <w:rPr>
          <w:noProof/>
          <w:spacing w:val="-6"/>
          <w:lang w:val="sk-SK"/>
        </w:rPr>
        <w:t>zvýšiť jej integráciu do vnútroštátnej prenosovej sústavy. Táto investícia pozostáva</w:t>
      </w:r>
      <w:r w:rsidR="00326E55" w:rsidRPr="00326E55">
        <w:rPr>
          <w:noProof/>
          <w:spacing w:val="-6"/>
          <w:lang w:val="sk-SK"/>
        </w:rPr>
        <w:t xml:space="preserve"> z </w:t>
      </w:r>
      <w:r w:rsidRPr="00326E55">
        <w:rPr>
          <w:noProof/>
          <w:spacing w:val="-6"/>
          <w:lang w:val="sk-SK"/>
        </w:rPr>
        <w:t>výst</w:t>
      </w:r>
      <w:r w:rsidRPr="00326E55">
        <w:rPr>
          <w:noProof/>
          <w:spacing w:val="-6"/>
          <w:lang w:val="sk-SK"/>
        </w:rPr>
        <w:t>avby plášťov (vonkajšia infraštruktúra) premenných staníc</w:t>
      </w:r>
      <w:r w:rsidR="00326E55" w:rsidRPr="00326E55">
        <w:rPr>
          <w:noProof/>
          <w:spacing w:val="-6"/>
          <w:lang w:val="sk-SK"/>
        </w:rPr>
        <w:t xml:space="preserve"> v </w:t>
      </w:r>
      <w:r w:rsidRPr="00326E55">
        <w:rPr>
          <w:noProof/>
          <w:spacing w:val="-6"/>
          <w:lang w:val="sk-SK"/>
        </w:rPr>
        <w:t>Codrongianos</w:t>
      </w:r>
      <w:r w:rsidR="00326E55" w:rsidRPr="00326E55">
        <w:rPr>
          <w:noProof/>
          <w:spacing w:val="-6"/>
          <w:lang w:val="sk-SK"/>
        </w:rPr>
        <w:t xml:space="preserve"> a </w:t>
      </w:r>
      <w:r w:rsidRPr="00326E55">
        <w:rPr>
          <w:noProof/>
          <w:spacing w:val="-6"/>
          <w:lang w:val="sk-SK"/>
        </w:rPr>
        <w:t>Suvereto pre projekt prepojenia „Sardínsko – Korzika – Taliansko 3“.</w:t>
      </w:r>
    </w:p>
    <w:p w14:paraId="375D10A5" w14:textId="77777777" w:rsidR="00326E55" w:rsidRPr="00326E55" w:rsidRDefault="00FB452D">
      <w:pPr>
        <w:pStyle w:val="P68B1DB1-Heading4108"/>
        <w:rPr>
          <w:noProof/>
          <w:spacing w:val="-6"/>
          <w:lang w:val="sk-SK"/>
        </w:rPr>
      </w:pPr>
      <w:r w:rsidRPr="00326E55">
        <w:rPr>
          <w:noProof/>
          <w:spacing w:val="-6"/>
          <w:lang w:val="sk-SK"/>
        </w:rPr>
        <w:t>Investícia 7. Inteligentná národná prenosová sústava</w:t>
      </w:r>
    </w:p>
    <w:p w14:paraId="162A6483" w14:textId="4FEFA36B" w:rsidR="00BF03AA" w:rsidRPr="00326E55" w:rsidRDefault="00FB452D">
      <w:pPr>
        <w:pStyle w:val="P68B1DB1-Text143"/>
        <w:spacing w:before="0"/>
        <w:ind w:left="0"/>
        <w:rPr>
          <w:noProof/>
          <w:spacing w:val="-6"/>
          <w:lang w:val="sk-SK"/>
        </w:rPr>
      </w:pPr>
      <w:r w:rsidRPr="00326E55">
        <w:rPr>
          <w:noProof/>
          <w:spacing w:val="-6"/>
          <w:lang w:val="sk-SK"/>
        </w:rPr>
        <w:t>Cieľom tejto investície je digitalizovať vnútroštátnu preno</w:t>
      </w:r>
      <w:r w:rsidRPr="00326E55">
        <w:rPr>
          <w:noProof/>
          <w:spacing w:val="-6"/>
          <w:lang w:val="sk-SK"/>
        </w:rPr>
        <w:t>sovú sieť</w:t>
      </w:r>
      <w:r w:rsidR="00326E55" w:rsidRPr="00326E55">
        <w:rPr>
          <w:noProof/>
          <w:spacing w:val="-6"/>
          <w:lang w:val="sk-SK"/>
        </w:rPr>
        <w:t xml:space="preserve"> a </w:t>
      </w:r>
      <w:r w:rsidRPr="00326E55">
        <w:rPr>
          <w:noProof/>
          <w:spacing w:val="-6"/>
          <w:lang w:val="sk-SK"/>
        </w:rPr>
        <w:t>zlepšiť riadiacu</w:t>
      </w:r>
      <w:r w:rsidR="00326E55" w:rsidRPr="00326E55">
        <w:rPr>
          <w:noProof/>
          <w:spacing w:val="-6"/>
          <w:lang w:val="sk-SK"/>
        </w:rPr>
        <w:t xml:space="preserve"> a </w:t>
      </w:r>
      <w:r w:rsidRPr="00326E55">
        <w:rPr>
          <w:noProof/>
          <w:spacing w:val="-6"/>
          <w:lang w:val="sk-SK"/>
        </w:rPr>
        <w:t>kontrolnú sústavu prevádzkovanú prevádzkovateľom prepravnej siete. Investícia pozostáva</w:t>
      </w:r>
      <w:r w:rsidR="00326E55" w:rsidRPr="00326E55">
        <w:rPr>
          <w:noProof/>
          <w:spacing w:val="-6"/>
          <w:lang w:val="sk-SK"/>
        </w:rPr>
        <w:t xml:space="preserve"> z </w:t>
      </w:r>
      <w:r w:rsidRPr="00326E55">
        <w:rPr>
          <w:noProof/>
          <w:spacing w:val="-6"/>
          <w:lang w:val="sk-SK"/>
        </w:rPr>
        <w:t>inštalácie zabezpečeného protokolu 104</w:t>
      </w:r>
      <w:r w:rsidR="00326E55" w:rsidRPr="00326E55">
        <w:rPr>
          <w:noProof/>
          <w:spacing w:val="-6"/>
          <w:lang w:val="sk-SK"/>
        </w:rPr>
        <w:t xml:space="preserve"> a </w:t>
      </w:r>
      <w:r w:rsidRPr="00326E55">
        <w:rPr>
          <w:noProof/>
          <w:spacing w:val="-6"/>
          <w:lang w:val="sk-SK"/>
        </w:rPr>
        <w:t>zariadenia 5G alebo architektúry IKT</w:t>
      </w:r>
      <w:r w:rsidR="00326E55" w:rsidRPr="00326E55">
        <w:rPr>
          <w:noProof/>
          <w:spacing w:val="-6"/>
          <w:lang w:val="sk-SK"/>
        </w:rPr>
        <w:t xml:space="preserve"> v </w:t>
      </w:r>
      <w:r w:rsidRPr="00326E55">
        <w:rPr>
          <w:noProof/>
          <w:spacing w:val="-6"/>
          <w:lang w:val="sk-SK"/>
        </w:rPr>
        <w:t>elektrických staniciach, ako aj</w:t>
      </w:r>
      <w:r w:rsidR="00326E55" w:rsidRPr="00326E55">
        <w:rPr>
          <w:noProof/>
          <w:spacing w:val="-6"/>
          <w:lang w:val="sk-SK"/>
        </w:rPr>
        <w:t xml:space="preserve"> z </w:t>
      </w:r>
      <w:r w:rsidRPr="00326E55">
        <w:rPr>
          <w:noProof/>
          <w:spacing w:val="-6"/>
          <w:lang w:val="sk-SK"/>
        </w:rPr>
        <w:t>priemyselných monitor</w:t>
      </w:r>
      <w:r w:rsidRPr="00326E55">
        <w:rPr>
          <w:noProof/>
          <w:spacing w:val="-6"/>
          <w:lang w:val="sk-SK"/>
        </w:rPr>
        <w:t>ovacích systémov internetu vecí na elektrických stožiaroch.</w:t>
      </w:r>
    </w:p>
    <w:p w14:paraId="735EBBF2" w14:textId="6FE0A0C3" w:rsidR="00BF03AA" w:rsidRPr="00326E55" w:rsidRDefault="00FB452D">
      <w:pPr>
        <w:pStyle w:val="P68B1DB1-Heading4109"/>
        <w:ind w:left="850" w:hanging="850"/>
        <w:rPr>
          <w:b/>
          <w:bCs/>
          <w:i w:val="0"/>
          <w:iCs w:val="0"/>
          <w:noProof/>
          <w:color w:val="000000" w:themeColor="text1"/>
          <w:spacing w:val="-6"/>
          <w:lang w:val="sk-SK"/>
        </w:rPr>
      </w:pPr>
      <w:r w:rsidRPr="00326E55">
        <w:rPr>
          <w:noProof/>
          <w:spacing w:val="-6"/>
          <w:lang w:val="sk-SK"/>
        </w:rPr>
        <w:t xml:space="preserve"> </w:t>
      </w:r>
      <w:r w:rsidRPr="00326E55">
        <w:rPr>
          <w:b/>
          <w:i w:val="0"/>
          <w:iCs w:val="0"/>
          <w:noProof/>
          <w:color w:val="000000" w:themeColor="text1"/>
          <w:spacing w:val="-6"/>
          <w:lang w:val="sk-SK"/>
        </w:rPr>
        <w:t>Investícia 8. Udržateľné, obehové</w:t>
      </w:r>
      <w:r w:rsidR="00326E55" w:rsidRPr="00326E55">
        <w:rPr>
          <w:b/>
          <w:i w:val="0"/>
          <w:iCs w:val="0"/>
          <w:noProof/>
          <w:color w:val="000000" w:themeColor="text1"/>
          <w:spacing w:val="-6"/>
          <w:lang w:val="sk-SK"/>
        </w:rPr>
        <w:t xml:space="preserve"> a </w:t>
      </w:r>
      <w:r w:rsidRPr="00326E55">
        <w:rPr>
          <w:b/>
          <w:i w:val="0"/>
          <w:iCs w:val="0"/>
          <w:noProof/>
          <w:color w:val="000000" w:themeColor="text1"/>
          <w:spacing w:val="-6"/>
          <w:lang w:val="sk-SK"/>
        </w:rPr>
        <w:t>bezpečné dodávky kritických surovín</w:t>
      </w:r>
    </w:p>
    <w:p w14:paraId="52AEA6FB" w14:textId="1EB88CE5" w:rsidR="00326E55" w:rsidRPr="00326E55" w:rsidRDefault="00FB452D">
      <w:pPr>
        <w:pStyle w:val="P68B1DB1-Text143"/>
        <w:spacing w:before="0"/>
        <w:ind w:left="0"/>
        <w:rPr>
          <w:noProof/>
          <w:spacing w:val="-6"/>
          <w:lang w:val="sk-SK"/>
        </w:rPr>
      </w:pPr>
      <w:r w:rsidRPr="00326E55">
        <w:rPr>
          <w:noProof/>
          <w:spacing w:val="-6"/>
          <w:lang w:val="sk-SK"/>
        </w:rPr>
        <w:t>Cieľom tejto investície je podporiť zhodnocovanie</w:t>
      </w:r>
      <w:r w:rsidR="00326E55" w:rsidRPr="00326E55">
        <w:rPr>
          <w:noProof/>
          <w:spacing w:val="-6"/>
          <w:lang w:val="sk-SK"/>
        </w:rPr>
        <w:t xml:space="preserve"> a </w:t>
      </w:r>
      <w:r w:rsidRPr="00326E55">
        <w:rPr>
          <w:noProof/>
          <w:spacing w:val="-6"/>
          <w:lang w:val="sk-SK"/>
        </w:rPr>
        <w:t>recykláciu kritických surovín,</w:t>
      </w:r>
      <w:r w:rsidR="00326E55" w:rsidRPr="00326E55">
        <w:rPr>
          <w:noProof/>
          <w:spacing w:val="-6"/>
          <w:lang w:val="sk-SK"/>
        </w:rPr>
        <w:t xml:space="preserve"> a </w:t>
      </w:r>
      <w:r w:rsidRPr="00326E55">
        <w:rPr>
          <w:noProof/>
          <w:spacing w:val="-6"/>
          <w:lang w:val="sk-SK"/>
        </w:rPr>
        <w:t>tým aj hodnotových reťazcov kritických</w:t>
      </w:r>
      <w:r w:rsidRPr="00326E55">
        <w:rPr>
          <w:noProof/>
          <w:spacing w:val="-6"/>
          <w:lang w:val="sk-SK"/>
        </w:rPr>
        <w:t xml:space="preserve"> surovín</w:t>
      </w:r>
      <w:r w:rsidR="00326E55" w:rsidRPr="00326E55">
        <w:rPr>
          <w:noProof/>
          <w:spacing w:val="-6"/>
          <w:lang w:val="sk-SK"/>
        </w:rPr>
        <w:t xml:space="preserve"> a </w:t>
      </w:r>
      <w:r w:rsidRPr="00326E55">
        <w:rPr>
          <w:noProof/>
          <w:spacing w:val="-6"/>
          <w:lang w:val="sk-SK"/>
        </w:rPr>
        <w:t>technológií spojených so zelenou transformáciou. Investícia pozostáva</w:t>
      </w:r>
      <w:r w:rsidR="00326E55" w:rsidRPr="00326E55">
        <w:rPr>
          <w:noProof/>
          <w:spacing w:val="-6"/>
          <w:lang w:val="sk-SK"/>
        </w:rPr>
        <w:t xml:space="preserve"> z </w:t>
      </w:r>
      <w:r w:rsidRPr="00326E55">
        <w:rPr>
          <w:noProof/>
          <w:spacing w:val="-6"/>
          <w:lang w:val="sk-SK"/>
        </w:rPr>
        <w:t>analýzy budúcich potrieb kritických surovín</w:t>
      </w:r>
      <w:r w:rsidR="00326E55" w:rsidRPr="00326E55">
        <w:rPr>
          <w:noProof/>
          <w:spacing w:val="-6"/>
          <w:lang w:val="sk-SK"/>
        </w:rPr>
        <w:t xml:space="preserve"> a </w:t>
      </w:r>
      <w:r w:rsidRPr="00326E55">
        <w:rPr>
          <w:noProof/>
          <w:spacing w:val="-6"/>
          <w:lang w:val="sk-SK"/>
        </w:rPr>
        <w:t>potenciálu ekodizajnu na zníženie ich dopytu, ako aj</w:t>
      </w:r>
      <w:r w:rsidR="00326E55" w:rsidRPr="00326E55">
        <w:rPr>
          <w:noProof/>
          <w:spacing w:val="-6"/>
          <w:lang w:val="sk-SK"/>
        </w:rPr>
        <w:t xml:space="preserve"> z </w:t>
      </w:r>
      <w:r w:rsidRPr="00326E55">
        <w:rPr>
          <w:noProof/>
          <w:spacing w:val="-6"/>
          <w:lang w:val="sk-SK"/>
        </w:rPr>
        <w:t>podpory vytvorenia verejnej databázy na lokalizáciu „mestských baní“</w:t>
      </w:r>
      <w:r w:rsidR="00326E55" w:rsidRPr="00326E55">
        <w:rPr>
          <w:noProof/>
          <w:spacing w:val="-6"/>
          <w:lang w:val="sk-SK"/>
        </w:rPr>
        <w:t xml:space="preserve"> a </w:t>
      </w:r>
      <w:r w:rsidRPr="00326E55">
        <w:rPr>
          <w:noProof/>
          <w:spacing w:val="-6"/>
          <w:lang w:val="sk-SK"/>
        </w:rPr>
        <w:t>o</w:t>
      </w:r>
      <w:r w:rsidRPr="00326E55">
        <w:rPr>
          <w:noProof/>
          <w:spacing w:val="-6"/>
          <w:lang w:val="sk-SK"/>
        </w:rPr>
        <w:t>dpadu</w:t>
      </w:r>
      <w:r w:rsidR="00326E55" w:rsidRPr="00326E55">
        <w:rPr>
          <w:noProof/>
          <w:spacing w:val="-6"/>
          <w:lang w:val="sk-SK"/>
        </w:rPr>
        <w:t xml:space="preserve"> v </w:t>
      </w:r>
      <w:r w:rsidRPr="00326E55">
        <w:rPr>
          <w:noProof/>
          <w:spacing w:val="-6"/>
          <w:lang w:val="sk-SK"/>
        </w:rPr>
        <w:t>opustených baniach. Zahŕňa aj financovanie projektov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v </w:t>
      </w:r>
      <w:r w:rsidRPr="00326E55">
        <w:rPr>
          <w:noProof/>
          <w:spacing w:val="-6"/>
          <w:lang w:val="sk-SK"/>
        </w:rPr>
        <w:t>oblasti ekodizajnu</w:t>
      </w:r>
      <w:r w:rsidR="00326E55" w:rsidRPr="00326E55">
        <w:rPr>
          <w:noProof/>
          <w:spacing w:val="-6"/>
          <w:lang w:val="sk-SK"/>
        </w:rPr>
        <w:t xml:space="preserve"> a </w:t>
      </w:r>
      <w:r w:rsidRPr="00326E55">
        <w:rPr>
          <w:noProof/>
          <w:spacing w:val="-6"/>
          <w:lang w:val="sk-SK"/>
        </w:rPr>
        <w:t>recyklácie odpadu</w:t>
      </w:r>
      <w:r w:rsidR="00326E55" w:rsidRPr="00326E55">
        <w:rPr>
          <w:noProof/>
          <w:spacing w:val="-6"/>
          <w:lang w:val="sk-SK"/>
        </w:rPr>
        <w:t xml:space="preserve"> z </w:t>
      </w:r>
      <w:r w:rsidRPr="00326E55">
        <w:rPr>
          <w:noProof/>
          <w:spacing w:val="-6"/>
          <w:lang w:val="sk-SK"/>
        </w:rPr>
        <w:t>elektrických</w:t>
      </w:r>
      <w:r w:rsidR="00326E55" w:rsidRPr="00326E55">
        <w:rPr>
          <w:noProof/>
          <w:spacing w:val="-6"/>
          <w:lang w:val="sk-SK"/>
        </w:rPr>
        <w:t xml:space="preserve"> a </w:t>
      </w:r>
      <w:r w:rsidRPr="00326E55">
        <w:rPr>
          <w:noProof/>
          <w:spacing w:val="-6"/>
          <w:lang w:val="sk-SK"/>
        </w:rPr>
        <w:t>elektronických zariadení, ako aj vybavenie laboratórií na vytvorenie jednotného centra pre mestskú ťažbu</w:t>
      </w:r>
      <w:r w:rsidR="00326E55" w:rsidRPr="00326E55">
        <w:rPr>
          <w:noProof/>
          <w:spacing w:val="-6"/>
          <w:lang w:val="sk-SK"/>
        </w:rPr>
        <w:t xml:space="preserve"> a </w:t>
      </w:r>
      <w:r w:rsidRPr="00326E55">
        <w:rPr>
          <w:noProof/>
          <w:spacing w:val="-6"/>
          <w:lang w:val="sk-SK"/>
        </w:rPr>
        <w:t>ekodizajn</w:t>
      </w:r>
      <w:r w:rsidR="00326E55" w:rsidRPr="00326E55">
        <w:rPr>
          <w:noProof/>
          <w:spacing w:val="-6"/>
          <w:lang w:val="sk-SK"/>
        </w:rPr>
        <w:t>.</w:t>
      </w:r>
    </w:p>
    <w:p w14:paraId="53F814D1" w14:textId="3ACC16F1" w:rsidR="00BF03AA" w:rsidRPr="00326E55" w:rsidRDefault="00FB452D">
      <w:pPr>
        <w:pStyle w:val="P68B1DB1-Normal5"/>
        <w:spacing w:after="120"/>
        <w:ind w:right="-45"/>
        <w:jc w:val="both"/>
        <w:rPr>
          <w:bCs/>
          <w:noProof/>
          <w:color w:val="000000" w:themeColor="text1"/>
          <w:spacing w:val="-6"/>
          <w:lang w:val="sk-SK"/>
        </w:rPr>
      </w:pPr>
      <w:r w:rsidRPr="00326E55">
        <w:rPr>
          <w:noProof/>
          <w:spacing w:val="-6"/>
          <w:lang w:val="sk-SK"/>
        </w:rPr>
        <w:t>In</w:t>
      </w:r>
      <w:r w:rsidRPr="00326E55">
        <w:rPr>
          <w:noProof/>
          <w:spacing w:val="-6"/>
          <w:lang w:val="sk-SK"/>
        </w:rPr>
        <w:t>vestícia 10. Pilotný projekt</w:t>
      </w:r>
      <w:r w:rsidR="00326E55" w:rsidRPr="00326E55">
        <w:rPr>
          <w:noProof/>
          <w:spacing w:val="-6"/>
          <w:lang w:val="sk-SK"/>
        </w:rPr>
        <w:t xml:space="preserve"> v </w:t>
      </w:r>
      <w:r w:rsidRPr="00326E55">
        <w:rPr>
          <w:noProof/>
          <w:spacing w:val="-6"/>
          <w:lang w:val="sk-SK"/>
        </w:rPr>
        <w:t>oblasti zručností „Crescere Green“</w:t>
      </w:r>
    </w:p>
    <w:p w14:paraId="6F4383C5" w14:textId="05D7F377" w:rsidR="00BF03AA" w:rsidRPr="00326E55" w:rsidRDefault="00FB452D">
      <w:pPr>
        <w:pStyle w:val="P68B1DB1-Normal7"/>
        <w:spacing w:after="120"/>
        <w:jc w:val="both"/>
        <w:rPr>
          <w:noProof/>
          <w:color w:val="000000" w:themeColor="text1"/>
          <w:spacing w:val="-6"/>
          <w:lang w:val="sk-SK"/>
        </w:rPr>
      </w:pPr>
      <w:r w:rsidRPr="00326E55">
        <w:rPr>
          <w:noProof/>
          <w:spacing w:val="-6"/>
          <w:lang w:val="sk-SK"/>
        </w:rPr>
        <w:t xml:space="preserve">Cieľom tejto investície je podporiť ekologické zručnosti so zapojením súkromného sektora. </w:t>
      </w:r>
      <w:r w:rsidRPr="00326E55">
        <w:rPr>
          <w:noProof/>
          <w:color w:val="000000" w:themeColor="text1"/>
          <w:spacing w:val="-6"/>
          <w:lang w:val="sk-SK"/>
        </w:rPr>
        <w:t>Opatrenie pozostáva</w:t>
      </w:r>
      <w:r w:rsidR="00326E55" w:rsidRPr="00326E55">
        <w:rPr>
          <w:noProof/>
          <w:color w:val="000000" w:themeColor="text1"/>
          <w:spacing w:val="-6"/>
          <w:lang w:val="sk-SK"/>
        </w:rPr>
        <w:t xml:space="preserve"> z </w:t>
      </w:r>
      <w:r w:rsidRPr="00326E55">
        <w:rPr>
          <w:noProof/>
          <w:color w:val="000000" w:themeColor="text1"/>
          <w:spacing w:val="-6"/>
          <w:lang w:val="sk-SK"/>
        </w:rPr>
        <w:t>realizácie krátkych intervencií</w:t>
      </w:r>
      <w:r w:rsidR="00326E55" w:rsidRPr="00326E55">
        <w:rPr>
          <w:noProof/>
          <w:color w:val="000000" w:themeColor="text1"/>
          <w:spacing w:val="-6"/>
          <w:lang w:val="sk-SK"/>
        </w:rPr>
        <w:t xml:space="preserve"> v </w:t>
      </w:r>
      <w:r w:rsidRPr="00326E55">
        <w:rPr>
          <w:noProof/>
          <w:color w:val="000000" w:themeColor="text1"/>
          <w:spacing w:val="-6"/>
          <w:lang w:val="sk-SK"/>
        </w:rPr>
        <w:t xml:space="preserve">oblasti odbornej prípravy zameraných na </w:t>
      </w:r>
      <w:r w:rsidRPr="00326E55">
        <w:rPr>
          <w:noProof/>
          <w:color w:val="000000" w:themeColor="text1"/>
          <w:spacing w:val="-6"/>
          <w:lang w:val="sk-SK"/>
        </w:rPr>
        <w:t>ekologické zručnosti.</w:t>
      </w:r>
    </w:p>
    <w:p w14:paraId="0C230159" w14:textId="4A175AA5" w:rsidR="00BF03AA" w:rsidRPr="00326E55" w:rsidRDefault="00FB452D">
      <w:pPr>
        <w:pStyle w:val="P68B1DB1-Heading4110"/>
        <w:rPr>
          <w:bCs/>
          <w:noProof/>
          <w:spacing w:val="-6"/>
          <w:lang w:val="sk-SK"/>
        </w:rPr>
      </w:pPr>
      <w:r w:rsidRPr="00326E55">
        <w:rPr>
          <w:noProof/>
          <w:spacing w:val="-6"/>
          <w:lang w:val="sk-SK"/>
        </w:rPr>
        <w:t>Investícia 11. Posilnenie vozového parku regionálnej verejnej železničnej dopravy (vlaky</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univerzálna služba)</w:t>
      </w:r>
    </w:p>
    <w:p w14:paraId="32E5E462" w14:textId="1A094B3D" w:rsidR="00326E55" w:rsidRPr="00326E55" w:rsidRDefault="00FB452D">
      <w:pPr>
        <w:pStyle w:val="P68B1DB1-Normal7"/>
        <w:spacing w:before="120" w:after="120"/>
        <w:jc w:val="both"/>
        <w:rPr>
          <w:noProof/>
          <w:spacing w:val="-6"/>
          <w:lang w:val="sk-SK"/>
        </w:rPr>
      </w:pPr>
      <w:bookmarkStart w:id="25" w:name="_Hlk180665112"/>
      <w:r w:rsidRPr="00326E55">
        <w:rPr>
          <w:noProof/>
          <w:spacing w:val="-6"/>
          <w:lang w:val="sk-SK"/>
        </w:rPr>
        <w:t>Cieľom investície je znížiť emisie skleníkových plynov zo železničnej dopravy</w:t>
      </w:r>
      <w:r w:rsidR="00326E55" w:rsidRPr="00326E55">
        <w:rPr>
          <w:noProof/>
          <w:spacing w:val="-6"/>
          <w:lang w:val="sk-SK"/>
        </w:rPr>
        <w:t xml:space="preserve"> a </w:t>
      </w:r>
      <w:r w:rsidRPr="00326E55">
        <w:rPr>
          <w:noProof/>
          <w:spacing w:val="-6"/>
          <w:lang w:val="sk-SK"/>
        </w:rPr>
        <w:t>modernizovať železničný</w:t>
      </w:r>
      <w:r w:rsidRPr="00326E55">
        <w:rPr>
          <w:noProof/>
          <w:spacing w:val="-6"/>
          <w:lang w:val="sk-SK"/>
        </w:rPr>
        <w:t xml:space="preserve"> vozový park. Táto investícia pozostáva</w:t>
      </w:r>
      <w:r w:rsidR="00326E55" w:rsidRPr="00326E55">
        <w:rPr>
          <w:noProof/>
          <w:spacing w:val="-6"/>
          <w:lang w:val="sk-SK"/>
        </w:rPr>
        <w:t xml:space="preserve"> z </w:t>
      </w:r>
      <w:r w:rsidRPr="00326E55">
        <w:rPr>
          <w:noProof/>
          <w:spacing w:val="-6"/>
          <w:lang w:val="sk-SK"/>
        </w:rPr>
        <w:t>registrácie najmenej 75 osobných vlakov</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w:t>
      </w:r>
    </w:p>
    <w:bookmarkEnd w:id="25"/>
    <w:p w14:paraId="70F6106F" w14:textId="638B4349" w:rsidR="00BF03AA" w:rsidRPr="00326E55" w:rsidRDefault="00FB452D">
      <w:pPr>
        <w:pStyle w:val="P68B1DB1-Normal5"/>
        <w:rPr>
          <w:bCs/>
          <w:noProof/>
          <w:spacing w:val="-6"/>
          <w:lang w:val="sk-SK"/>
        </w:rPr>
      </w:pPr>
      <w:r w:rsidRPr="00326E55">
        <w:rPr>
          <w:noProof/>
          <w:spacing w:val="-6"/>
          <w:lang w:val="sk-SK"/>
        </w:rPr>
        <w:t>Investícia 18 – Rozširujúce opatrenie: Program obnovy vozového parku súkromných</w:t>
      </w:r>
      <w:r w:rsidR="00326E55" w:rsidRPr="00326E55">
        <w:rPr>
          <w:noProof/>
          <w:spacing w:val="-6"/>
          <w:lang w:val="sk-SK"/>
        </w:rPr>
        <w:t xml:space="preserve"> a </w:t>
      </w:r>
      <w:r w:rsidRPr="00326E55">
        <w:rPr>
          <w:noProof/>
          <w:spacing w:val="-6"/>
          <w:lang w:val="sk-SK"/>
        </w:rPr>
        <w:t>ľahkých úžitkových vozidiel</w:t>
      </w:r>
      <w:r w:rsidR="00326E55" w:rsidRPr="00326E55">
        <w:rPr>
          <w:noProof/>
          <w:spacing w:val="-6"/>
          <w:lang w:val="sk-SK"/>
        </w:rPr>
        <w:t xml:space="preserve"> s </w:t>
      </w:r>
      <w:r w:rsidRPr="00326E55">
        <w:rPr>
          <w:noProof/>
          <w:spacing w:val="-6"/>
          <w:lang w:val="sk-SK"/>
        </w:rPr>
        <w:t>elektrickými vozidlami</w:t>
      </w:r>
    </w:p>
    <w:p w14:paraId="2AE17321" w14:textId="2EBDD098" w:rsidR="00BF03AA" w:rsidRPr="00326E55" w:rsidRDefault="00FB452D">
      <w:pPr>
        <w:pStyle w:val="P68B1DB1-Normal7"/>
        <w:jc w:val="both"/>
        <w:rPr>
          <w:noProof/>
          <w:spacing w:val="-6"/>
          <w:lang w:val="sk-SK"/>
        </w:rPr>
      </w:pPr>
      <w:r w:rsidRPr="00326E55">
        <w:rPr>
          <w:noProof/>
          <w:spacing w:val="-6"/>
          <w:lang w:val="sk-SK"/>
        </w:rPr>
        <w:t>Cieľom tejto inves</w:t>
      </w:r>
      <w:r w:rsidRPr="00326E55">
        <w:rPr>
          <w:noProof/>
          <w:spacing w:val="-6"/>
          <w:lang w:val="sk-SK"/>
        </w:rPr>
        <w:t>tície je znížiť emisie skleníkových plynov</w:t>
      </w:r>
      <w:r w:rsidR="00326E55" w:rsidRPr="00326E55">
        <w:rPr>
          <w:noProof/>
          <w:spacing w:val="-6"/>
          <w:lang w:val="sk-SK"/>
        </w:rPr>
        <w:t xml:space="preserve"> a </w:t>
      </w:r>
      <w:r w:rsidRPr="00326E55">
        <w:rPr>
          <w:noProof/>
          <w:spacing w:val="-6"/>
          <w:lang w:val="sk-SK"/>
        </w:rPr>
        <w:t>znečistenie ovzdušia spôsobené cestnou dopravou</w:t>
      </w:r>
      <w:r w:rsidR="00326E55" w:rsidRPr="00326E55">
        <w:rPr>
          <w:noProof/>
          <w:spacing w:val="-6"/>
          <w:lang w:val="sk-SK"/>
        </w:rPr>
        <w:t xml:space="preserve"> v </w:t>
      </w:r>
      <w:r w:rsidRPr="00326E55">
        <w:rPr>
          <w:noProof/>
          <w:spacing w:val="-6"/>
          <w:lang w:val="sk-SK"/>
        </w:rPr>
        <w:t>mestských oblastiach. Táto investícia pozostáva zo systému odoberania automobilov,</w:t>
      </w:r>
      <w:r w:rsidR="00326E55" w:rsidRPr="00326E55">
        <w:rPr>
          <w:noProof/>
          <w:spacing w:val="-6"/>
          <w:lang w:val="sk-SK"/>
        </w:rPr>
        <w:t xml:space="preserve"> v </w:t>
      </w:r>
      <w:r w:rsidRPr="00326E55">
        <w:rPr>
          <w:noProof/>
          <w:spacing w:val="-6"/>
          <w:lang w:val="sk-SK"/>
        </w:rPr>
        <w:t>rámci ktorého sa tepelné vozidlo odovzdáva</w:t>
      </w:r>
      <w:r w:rsidR="00326E55" w:rsidRPr="00326E55">
        <w:rPr>
          <w:noProof/>
          <w:spacing w:val="-6"/>
          <w:lang w:val="sk-SK"/>
        </w:rPr>
        <w:t xml:space="preserve"> a </w:t>
      </w:r>
      <w:r w:rsidRPr="00326E55">
        <w:rPr>
          <w:noProof/>
          <w:spacing w:val="-6"/>
          <w:lang w:val="sk-SK"/>
        </w:rPr>
        <w:t>nahrádza novým zakúpeným vozidl</w:t>
      </w:r>
      <w:r w:rsidRPr="00326E55">
        <w:rPr>
          <w:noProof/>
          <w:spacing w:val="-6"/>
          <w:lang w:val="sk-SK"/>
        </w:rPr>
        <w:t>om</w:t>
      </w:r>
      <w:r w:rsidR="00326E55" w:rsidRPr="00326E55">
        <w:rPr>
          <w:noProof/>
          <w:spacing w:val="-6"/>
          <w:lang w:val="sk-SK"/>
        </w:rPr>
        <w:t xml:space="preserve"> s </w:t>
      </w:r>
      <w:r w:rsidRPr="00326E55">
        <w:rPr>
          <w:noProof/>
          <w:spacing w:val="-6"/>
          <w:lang w:val="sk-SK"/>
        </w:rPr>
        <w:t>nulovými emisiami.</w:t>
      </w:r>
    </w:p>
    <w:p w14:paraId="260A75C2" w14:textId="77777777" w:rsidR="00BF03AA" w:rsidRPr="00326E55" w:rsidRDefault="00BF03AA">
      <w:pPr>
        <w:rPr>
          <w:rFonts w:ascii="Times New Roman" w:hAnsi="Times New Roman"/>
          <w:noProof/>
          <w:spacing w:val="-6"/>
          <w:lang w:val="sk-SK"/>
        </w:rPr>
        <w:sectPr w:rsidR="00BF03AA" w:rsidRPr="00326E55" w:rsidSect="005F11B9">
          <w:headerReference w:type="even" r:id="rId316"/>
          <w:headerReference w:type="default" r:id="rId317"/>
          <w:footerReference w:type="even" r:id="rId318"/>
          <w:footerReference w:type="default" r:id="rId319"/>
          <w:headerReference w:type="first" r:id="rId320"/>
          <w:footerReference w:type="first" r:id="rId321"/>
          <w:pgSz w:w="11906" w:h="16838"/>
          <w:pgMar w:top="1440" w:right="1440" w:bottom="1440" w:left="1440" w:header="708" w:footer="708" w:gutter="0"/>
          <w:cols w:space="708"/>
          <w:docGrid w:linePitch="360"/>
        </w:sectPr>
      </w:pPr>
    </w:p>
    <w:p w14:paraId="7A5452DD" w14:textId="0F48E1A1" w:rsidR="00BF03AA" w:rsidRPr="00326E55" w:rsidRDefault="00FB452D">
      <w:pPr>
        <w:pStyle w:val="P68B1DB1-Heading368"/>
        <w:ind w:left="850" w:hanging="850"/>
        <w:rPr>
          <w:noProof/>
          <w:spacing w:val="-6"/>
          <w:lang w:val="sk-SK"/>
        </w:rPr>
      </w:pPr>
      <w:r w:rsidRPr="00326E55">
        <w:rPr>
          <w:noProof/>
          <w:spacing w:val="-6"/>
          <w:lang w:val="sk-SK"/>
        </w:rPr>
        <w:t xml:space="preserve">OTÁZKA Č. 2. </w:t>
      </w:r>
      <w:r w:rsidRPr="00326E55">
        <w:rPr>
          <w:noProof/>
          <w:spacing w:val="-6"/>
          <w:lang w:val="sk-SK"/>
        </w:rPr>
        <w:tab/>
        <w:t>Míľniky, ciele, ukazovatele</w:t>
      </w:r>
      <w:r w:rsidR="00326E55" w:rsidRPr="00326E55">
        <w:rPr>
          <w:noProof/>
          <w:spacing w:val="-6"/>
          <w:lang w:val="sk-SK"/>
        </w:rPr>
        <w:t xml:space="preserve"> a </w:t>
      </w:r>
      <w:r w:rsidRPr="00326E55">
        <w:rPr>
          <w:noProof/>
          <w:spacing w:val="-6"/>
          <w:lang w:val="sk-SK"/>
        </w:rPr>
        <w:t>harmonogram monitorovania</w:t>
      </w:r>
      <w:r w:rsidR="00326E55" w:rsidRPr="00326E55">
        <w:rPr>
          <w:noProof/>
          <w:spacing w:val="-6"/>
          <w:lang w:val="sk-SK"/>
        </w:rPr>
        <w:t xml:space="preserve"> a </w:t>
      </w:r>
      <w:r w:rsidRPr="00326E55">
        <w:rPr>
          <w:noProof/>
          <w:spacing w:val="-6"/>
          <w:lang w:val="sk-SK"/>
        </w:rPr>
        <w:t>realizácie pre nenávratnú finančnú podporu</w:t>
      </w:r>
    </w:p>
    <w:tbl>
      <w:tblPr>
        <w:tblW w:w="14884"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134"/>
        <w:gridCol w:w="1560"/>
        <w:gridCol w:w="992"/>
        <w:gridCol w:w="1417"/>
        <w:gridCol w:w="1560"/>
        <w:gridCol w:w="1134"/>
        <w:gridCol w:w="992"/>
        <w:gridCol w:w="992"/>
        <w:gridCol w:w="851"/>
        <w:gridCol w:w="708"/>
        <w:gridCol w:w="3544"/>
      </w:tblGrid>
      <w:tr w:rsidR="00BF03AA" w:rsidRPr="00326E55" w14:paraId="06AF2EB1" w14:textId="77777777">
        <w:trPr>
          <w:trHeight w:val="300"/>
          <w:tblHeader/>
        </w:trPr>
        <w:tc>
          <w:tcPr>
            <w:tcW w:w="1134" w:type="dxa"/>
            <w:vMerge w:val="restart"/>
            <w:shd w:val="clear" w:color="auto" w:fill="BDD7EE"/>
            <w:vAlign w:val="center"/>
            <w:hideMark/>
          </w:tcPr>
          <w:p w14:paraId="0FFBDBC1"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Poradové číslo</w:t>
            </w:r>
          </w:p>
        </w:tc>
        <w:tc>
          <w:tcPr>
            <w:tcW w:w="1560" w:type="dxa"/>
            <w:vMerge w:val="restart"/>
            <w:shd w:val="clear" w:color="auto" w:fill="BDD7EE"/>
            <w:vAlign w:val="center"/>
            <w:hideMark/>
          </w:tcPr>
          <w:p w14:paraId="4C2A2B24"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Súvisiace opatrenie (reforma alebo investícia)</w:t>
            </w:r>
          </w:p>
        </w:tc>
        <w:tc>
          <w:tcPr>
            <w:tcW w:w="992" w:type="dxa"/>
            <w:vMerge w:val="restart"/>
            <w:shd w:val="clear" w:color="auto" w:fill="BDD7EE"/>
            <w:vAlign w:val="center"/>
            <w:hideMark/>
          </w:tcPr>
          <w:p w14:paraId="08C5EE7B"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Míľnik</w:t>
            </w:r>
          </w:p>
          <w:p w14:paraId="2C5A9577"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/Cieľ</w:t>
            </w:r>
          </w:p>
        </w:tc>
        <w:tc>
          <w:tcPr>
            <w:tcW w:w="1417" w:type="dxa"/>
            <w:vMerge w:val="restart"/>
            <w:shd w:val="clear" w:color="auto" w:fill="BDD7EE"/>
            <w:vAlign w:val="center"/>
            <w:hideMark/>
          </w:tcPr>
          <w:p w14:paraId="2A24B339"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Názov</w:t>
            </w:r>
          </w:p>
        </w:tc>
        <w:tc>
          <w:tcPr>
            <w:tcW w:w="1560" w:type="dxa"/>
            <w:vMerge w:val="restart"/>
            <w:shd w:val="clear" w:color="auto" w:fill="BDD7EE"/>
            <w:vAlign w:val="center"/>
            <w:hideMark/>
          </w:tcPr>
          <w:p w14:paraId="5CFC6600" w14:textId="77777777" w:rsidR="00BF03AA" w:rsidRPr="00326E55" w:rsidRDefault="00FB452D">
            <w:pPr>
              <w:spacing w:after="120"/>
              <w:jc w:val="center"/>
              <w:rPr>
                <w:rFonts w:ascii="Times New Roman" w:hAnsi="Times New Roman"/>
                <w:b/>
                <w:bCs/>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t xml:space="preserve"> </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118" w:type="dxa"/>
            <w:gridSpan w:val="3"/>
            <w:shd w:val="clear" w:color="auto" w:fill="BDD7EE"/>
            <w:vAlign w:val="center"/>
            <w:hideMark/>
          </w:tcPr>
          <w:p w14:paraId="59E1F51A" w14:textId="77777777" w:rsidR="00BF03AA" w:rsidRPr="00326E55" w:rsidRDefault="00FB452D">
            <w:pPr>
              <w:spacing w:after="120"/>
              <w:jc w:val="center"/>
              <w:rPr>
                <w:rFonts w:ascii="Times New Roman" w:hAnsi="Times New Roman"/>
                <w:b/>
                <w:bCs/>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559" w:type="dxa"/>
            <w:gridSpan w:val="2"/>
            <w:shd w:val="clear" w:color="auto" w:fill="BDD7EE"/>
            <w:vAlign w:val="center"/>
            <w:hideMark/>
          </w:tcPr>
          <w:p w14:paraId="4C84BDE3"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Orientačný harmonogram dokončenia</w:t>
            </w:r>
          </w:p>
        </w:tc>
        <w:tc>
          <w:tcPr>
            <w:tcW w:w="3544" w:type="dxa"/>
            <w:vMerge w:val="restart"/>
            <w:shd w:val="clear" w:color="auto" w:fill="BDD7EE"/>
            <w:vAlign w:val="center"/>
            <w:hideMark/>
          </w:tcPr>
          <w:p w14:paraId="1B758655" w14:textId="1E119032"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3921A39D" w14:textId="77777777">
        <w:trPr>
          <w:trHeight w:val="300"/>
          <w:tblHeader/>
        </w:trPr>
        <w:tc>
          <w:tcPr>
            <w:tcW w:w="1134" w:type="dxa"/>
            <w:vMerge/>
            <w:vAlign w:val="center"/>
            <w:hideMark/>
          </w:tcPr>
          <w:p w14:paraId="099EFE8B" w14:textId="77777777" w:rsidR="00BF03AA" w:rsidRPr="00326E55" w:rsidRDefault="00BF03AA">
            <w:pPr>
              <w:spacing w:after="120"/>
              <w:jc w:val="center"/>
              <w:rPr>
                <w:rFonts w:ascii="Times New Roman" w:hAnsi="Times New Roman"/>
                <w:b/>
                <w:bCs/>
                <w:noProof/>
                <w:spacing w:val="-6"/>
                <w:sz w:val="20"/>
                <w:szCs w:val="20"/>
                <w:lang w:val="sk-SK"/>
              </w:rPr>
            </w:pPr>
          </w:p>
        </w:tc>
        <w:tc>
          <w:tcPr>
            <w:tcW w:w="1560" w:type="dxa"/>
            <w:vMerge/>
            <w:vAlign w:val="center"/>
            <w:hideMark/>
          </w:tcPr>
          <w:p w14:paraId="3397BD7D" w14:textId="77777777" w:rsidR="00BF03AA" w:rsidRPr="00326E55" w:rsidRDefault="00BF03AA">
            <w:pPr>
              <w:spacing w:after="120"/>
              <w:jc w:val="center"/>
              <w:rPr>
                <w:rFonts w:ascii="Times New Roman" w:hAnsi="Times New Roman"/>
                <w:b/>
                <w:bCs/>
                <w:noProof/>
                <w:spacing w:val="-6"/>
                <w:sz w:val="20"/>
                <w:szCs w:val="20"/>
                <w:lang w:val="sk-SK"/>
              </w:rPr>
            </w:pPr>
          </w:p>
        </w:tc>
        <w:tc>
          <w:tcPr>
            <w:tcW w:w="992" w:type="dxa"/>
            <w:vMerge/>
            <w:vAlign w:val="center"/>
            <w:hideMark/>
          </w:tcPr>
          <w:p w14:paraId="5F4D3794" w14:textId="77777777" w:rsidR="00BF03AA" w:rsidRPr="00326E55" w:rsidRDefault="00BF03AA">
            <w:pPr>
              <w:spacing w:after="120"/>
              <w:jc w:val="center"/>
              <w:rPr>
                <w:rFonts w:ascii="Times New Roman" w:hAnsi="Times New Roman"/>
                <w:b/>
                <w:bCs/>
                <w:noProof/>
                <w:spacing w:val="-6"/>
                <w:sz w:val="20"/>
                <w:szCs w:val="20"/>
                <w:lang w:val="sk-SK"/>
              </w:rPr>
            </w:pPr>
          </w:p>
        </w:tc>
        <w:tc>
          <w:tcPr>
            <w:tcW w:w="1417" w:type="dxa"/>
            <w:vMerge/>
            <w:vAlign w:val="center"/>
            <w:hideMark/>
          </w:tcPr>
          <w:p w14:paraId="305A1A6F" w14:textId="77777777" w:rsidR="00BF03AA" w:rsidRPr="00326E55" w:rsidRDefault="00BF03AA">
            <w:pPr>
              <w:spacing w:after="120"/>
              <w:jc w:val="center"/>
              <w:rPr>
                <w:rFonts w:ascii="Times New Roman" w:hAnsi="Times New Roman"/>
                <w:b/>
                <w:bCs/>
                <w:noProof/>
                <w:spacing w:val="-6"/>
                <w:sz w:val="20"/>
                <w:szCs w:val="20"/>
                <w:lang w:val="sk-SK"/>
              </w:rPr>
            </w:pPr>
          </w:p>
        </w:tc>
        <w:tc>
          <w:tcPr>
            <w:tcW w:w="1560" w:type="dxa"/>
            <w:vMerge/>
            <w:vAlign w:val="center"/>
            <w:hideMark/>
          </w:tcPr>
          <w:p w14:paraId="0BB4DCDC" w14:textId="77777777" w:rsidR="00BF03AA" w:rsidRPr="00326E55" w:rsidRDefault="00BF03AA">
            <w:pPr>
              <w:spacing w:after="120"/>
              <w:jc w:val="center"/>
              <w:rPr>
                <w:rFonts w:ascii="Times New Roman" w:hAnsi="Times New Roman"/>
                <w:b/>
                <w:bCs/>
                <w:noProof/>
                <w:spacing w:val="-6"/>
                <w:sz w:val="20"/>
                <w:szCs w:val="20"/>
                <w:lang w:val="sk-SK"/>
              </w:rPr>
            </w:pPr>
          </w:p>
        </w:tc>
        <w:tc>
          <w:tcPr>
            <w:tcW w:w="1134" w:type="dxa"/>
            <w:shd w:val="clear" w:color="auto" w:fill="BDD7EE"/>
            <w:vAlign w:val="center"/>
            <w:hideMark/>
          </w:tcPr>
          <w:p w14:paraId="348990CE"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Merná jednotka</w:t>
            </w:r>
          </w:p>
        </w:tc>
        <w:tc>
          <w:tcPr>
            <w:tcW w:w="992" w:type="dxa"/>
            <w:shd w:val="clear" w:color="auto" w:fill="BDD7EE"/>
            <w:vAlign w:val="center"/>
            <w:hideMark/>
          </w:tcPr>
          <w:p w14:paraId="1C85011C"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Základná</w:t>
            </w:r>
          </w:p>
        </w:tc>
        <w:tc>
          <w:tcPr>
            <w:tcW w:w="992" w:type="dxa"/>
            <w:shd w:val="clear" w:color="auto" w:fill="BDD7EE"/>
            <w:vAlign w:val="center"/>
            <w:hideMark/>
          </w:tcPr>
          <w:p w14:paraId="35885395"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Cieľ</w:t>
            </w:r>
          </w:p>
        </w:tc>
        <w:tc>
          <w:tcPr>
            <w:tcW w:w="851" w:type="dxa"/>
            <w:shd w:val="clear" w:color="auto" w:fill="BDD7EE"/>
            <w:vAlign w:val="center"/>
            <w:hideMark/>
          </w:tcPr>
          <w:p w14:paraId="49FB4EC0"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Štvrtina</w:t>
            </w:r>
          </w:p>
        </w:tc>
        <w:tc>
          <w:tcPr>
            <w:tcW w:w="708" w:type="dxa"/>
            <w:shd w:val="clear" w:color="auto" w:fill="BDD7EE"/>
            <w:vAlign w:val="center"/>
            <w:hideMark/>
          </w:tcPr>
          <w:p w14:paraId="4908EA80"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Rok</w:t>
            </w:r>
          </w:p>
        </w:tc>
        <w:tc>
          <w:tcPr>
            <w:tcW w:w="3544" w:type="dxa"/>
            <w:vMerge/>
            <w:vAlign w:val="center"/>
            <w:hideMark/>
          </w:tcPr>
          <w:p w14:paraId="761906AA" w14:textId="77777777" w:rsidR="00BF03AA" w:rsidRPr="00326E55" w:rsidRDefault="00BF03AA">
            <w:pPr>
              <w:spacing w:after="120"/>
              <w:jc w:val="center"/>
              <w:rPr>
                <w:rFonts w:ascii="Times New Roman" w:hAnsi="Times New Roman"/>
                <w:b/>
                <w:bCs/>
                <w:noProof/>
                <w:spacing w:val="-6"/>
                <w:sz w:val="20"/>
                <w:szCs w:val="20"/>
                <w:lang w:val="sk-SK"/>
              </w:rPr>
            </w:pPr>
          </w:p>
        </w:tc>
      </w:tr>
      <w:tr w:rsidR="00BF03AA" w:rsidRPr="00326E55" w14:paraId="54381A13"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EA19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DAED3C" w14:textId="48A89CD0"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1: Zefektívnenie </w:t>
            </w:r>
            <w:r w:rsidRPr="00326E55">
              <w:rPr>
                <w:rFonts w:ascii="Times New Roman" w:hAnsi="Times New Roman"/>
                <w:noProof/>
                <w:spacing w:val="-6"/>
                <w:lang w:val="sk-SK"/>
              </w:rPr>
              <w:t>povoľovacích postupov pre energiu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CBF18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DED55" w14:textId="6DB1763C"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Právny rámec na určenie „oblastí zrýchlenia výroby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86CA8B" w14:textId="62CA6DFC"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ktorom sa uvádza nadobudnutie účinnosti právneho rámca na identifikáciu oblastí </w:t>
            </w:r>
            <w:r w:rsidRPr="00326E55">
              <w:rPr>
                <w:rFonts w:ascii="Times New Roman" w:hAnsi="Times New Roman"/>
                <w:noProof/>
                <w:spacing w:val="-6"/>
                <w:lang w:val="sk-SK"/>
              </w:rPr>
              <w:t>zrýchlenia výroby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150937"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F7133"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692C9"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E9FA0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2952DB"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105C6883" w14:textId="5AB03209"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Nadobudnutie účinnosti primárnych právnych predpisov, ktorými sa stanovuje právny rámec na identifikáciu „oblastí zrýchlenia výroby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p w14:paraId="442231F8"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Právny rámec:</w:t>
            </w:r>
          </w:p>
          <w:p w14:paraId="6EE3E2C3" w14:textId="22C7A471"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1)</w:t>
            </w:r>
            <w:r w:rsidRPr="00326E55">
              <w:rPr>
                <w:rFonts w:ascii="Times New Roman" w:hAnsi="Times New Roman"/>
                <w:noProof/>
                <w:spacing w:val="-6"/>
                <w:lang w:val="sk-SK"/>
              </w:rPr>
              <w:tab/>
              <w:t>požadovať mapovanie potenciálu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celej krajine;</w:t>
            </w:r>
          </w:p>
          <w:p w14:paraId="377F53B8" w14:textId="69CD4A53"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2)</w:t>
            </w:r>
            <w:r w:rsidRPr="00326E55">
              <w:rPr>
                <w:rFonts w:ascii="Times New Roman" w:hAnsi="Times New Roman"/>
                <w:noProof/>
                <w:spacing w:val="-6"/>
                <w:lang w:val="sk-SK"/>
              </w:rPr>
              <w:tab/>
              <w:t>na základe mapovania stanoviť prvý súbor oblastí,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ktorom sa stanoví minimálny súbor pre budúcu identifikáciu oblastí zrýchlenia výroby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p w14:paraId="2ABB7D81" w14:textId="4F85F766"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3)</w:t>
            </w:r>
            <w:r w:rsidRPr="00326E55">
              <w:rPr>
                <w:rFonts w:ascii="Times New Roman" w:hAnsi="Times New Roman"/>
                <w:noProof/>
                <w:spacing w:val="-6"/>
                <w:lang w:val="sk-SK"/>
              </w:rPr>
              <w:tab/>
              <w:t>na základe minimálneho súboru oblastí požadovať, aby regióny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autonómne provincie identifikovali oblasti zrýchlenia výroby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do 21</w:t>
            </w:r>
            <w:r w:rsidR="00326E55" w:rsidRPr="00326E55">
              <w:rPr>
                <w:rFonts w:ascii="Times New Roman" w:hAnsi="Times New Roman"/>
                <w:noProof/>
                <w:spacing w:val="-6"/>
                <w:lang w:val="sk-SK"/>
              </w:rPr>
              <w:t>. februára</w:t>
            </w:r>
            <w:r w:rsidRPr="00326E55">
              <w:rPr>
                <w:rFonts w:ascii="Times New Roman" w:hAnsi="Times New Roman"/>
                <w:noProof/>
                <w:spacing w:val="-6"/>
                <w:lang w:val="sk-SK"/>
              </w:rPr>
              <w:t xml:space="preserve"> 2026;</w:t>
            </w:r>
          </w:p>
          <w:p w14:paraId="75CA9886" w14:textId="45812362"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4)</w:t>
            </w:r>
            <w:r w:rsidRPr="00326E55">
              <w:rPr>
                <w:rFonts w:ascii="Times New Roman" w:hAnsi="Times New Roman"/>
                <w:noProof/>
                <w:spacing w:val="-6"/>
                <w:lang w:val="sk-SK"/>
              </w:rPr>
              <w:tab/>
              <w:t>oprávňuje ústrednú vládu vykonávať substitučné právomoci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že reg</w:t>
            </w:r>
            <w:r w:rsidRPr="00326E55">
              <w:rPr>
                <w:rFonts w:ascii="Times New Roman" w:hAnsi="Times New Roman"/>
                <w:noProof/>
                <w:spacing w:val="-6"/>
                <w:lang w:val="sk-SK"/>
              </w:rPr>
              <w:t>ióny alebo autonómne provincie neurčia oblasti zrýchlenia výroby energie</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do 21</w:t>
            </w:r>
            <w:r w:rsidR="00326E55" w:rsidRPr="00326E55">
              <w:rPr>
                <w:rFonts w:ascii="Times New Roman" w:hAnsi="Times New Roman"/>
                <w:noProof/>
                <w:spacing w:val="-6"/>
                <w:lang w:val="sk-SK"/>
              </w:rPr>
              <w:t>. februára</w:t>
            </w:r>
            <w:r w:rsidRPr="00326E55">
              <w:rPr>
                <w:rFonts w:ascii="Times New Roman" w:hAnsi="Times New Roman"/>
                <w:noProof/>
                <w:spacing w:val="-6"/>
                <w:lang w:val="sk-SK"/>
              </w:rPr>
              <w:t xml:space="preserve"> 2026;</w:t>
            </w:r>
          </w:p>
          <w:p w14:paraId="784A44A3" w14:textId="65F02B5D"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5)</w:t>
            </w:r>
            <w:r w:rsidRPr="00326E55">
              <w:rPr>
                <w:rFonts w:ascii="Times New Roman" w:hAnsi="Times New Roman"/>
                <w:noProof/>
                <w:spacing w:val="-6"/>
                <w:lang w:val="sk-SK"/>
              </w:rPr>
              <w:tab/>
              <w:t>vyžadovať identifikáciu pobrežných oblastí na zavádzanie obnoviteľných zdrojov energie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námornými priestorovými plánmi.</w:t>
            </w:r>
          </w:p>
        </w:tc>
      </w:tr>
      <w:tr w:rsidR="00BF03AA" w:rsidRPr="00326E55" w14:paraId="1B35535B"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4D244C"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M7 </w:t>
            </w:r>
            <w:r w:rsidRPr="00326E55">
              <w:rPr>
                <w:rFonts w:ascii="Times New Roman" w:hAnsi="Times New Roman"/>
                <w:noProof/>
                <w:spacing w:val="-6"/>
                <w:lang w:val="sk-SK"/>
              </w:rPr>
              <w:t>– 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61F79" w14:textId="52235640"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Reforma 1: Zefektívnenie povoľovacích postupov pre energiu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A230B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338218" w14:textId="28B3D431"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Nadobudnutie účinnosti právneho aktu (Testo Unico)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12B39A" w14:textId="5E903691"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právneho aktu</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0EF77"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6F7DE0"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3CC574"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6FCD2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1D4A9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4CC3A0BB" w14:textId="64ACE1A1"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xml:space="preserve">Nadobudnutie účinnosti </w:t>
            </w:r>
            <w:r w:rsidRPr="00326E55">
              <w:rPr>
                <w:rFonts w:ascii="Times New Roman" w:hAnsi="Times New Roman"/>
                <w:noProof/>
                <w:spacing w:val="-6"/>
                <w:lang w:val="sk-SK"/>
              </w:rPr>
              <w:t>právneho aktu (Testo Unico), ktorým sa zhromažďujú, zostavujú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konsolidujú normy upravujúce povoľovanie obnoviteľných zdrojov energie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ktorým sa nahrádzajú predchádzajúce právne predpisy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tejto oblasti.</w:t>
            </w:r>
          </w:p>
          <w:p w14:paraId="07F9F4E9"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Testo Unico takisto stanoví „pravidlá stropu“ na p</w:t>
            </w:r>
            <w:r w:rsidRPr="00326E55">
              <w:rPr>
                <w:rFonts w:ascii="Times New Roman" w:hAnsi="Times New Roman"/>
                <w:noProof/>
                <w:spacing w:val="-6"/>
                <w:lang w:val="sk-SK"/>
              </w:rPr>
              <w:t xml:space="preserve">ovolenie, aby regióny nemohli uplatňovať prísnejšie pravidlá, ako sú pravidlá stanovené vo vnútroštátnych právnych predpisoch. </w:t>
            </w:r>
          </w:p>
        </w:tc>
      </w:tr>
      <w:tr w:rsidR="00BF03AA" w:rsidRPr="00326E55" w14:paraId="358697A3"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B933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3</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A7D12" w14:textId="04458206"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Reforma 1: Zefektívnenie povoľovacích postupov pre energiu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w:t>
            </w:r>
          </w:p>
          <w:p w14:paraId="63FCCCD7"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B41DF"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B0C3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Zriadenie jednotnej digitálnej platformy pre povolenia týkajúce sa obnoviteľných zdrojov energie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7F50CC" w14:textId="24A561FD"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Zriadenie jednotnej digitálnej platformy na udeľovanie povolení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súvislosti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obnoviteľnými zdrojmi energie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B8742"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90F76C"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70BB3C"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CBADD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D8B7B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1B0BF00C" w14:textId="0E7D0BC5"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Jednotná digitálna platfor</w:t>
            </w:r>
            <w:r w:rsidRPr="00326E55">
              <w:rPr>
                <w:rFonts w:ascii="Times New Roman" w:hAnsi="Times New Roman"/>
                <w:noProof/>
                <w:spacing w:val="-6"/>
                <w:lang w:val="sk-SK"/>
              </w:rPr>
              <w:t>ma je online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umožňuje prevádzkovateľom požiadať</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povolenia (Autorizzazione Unica, Procedura Autorizzativa semplificata) týkajúce sa inštalácie obnoviteľných zdrojov energie na vnútroštátnej</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nižšej úrovni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nahrávať informácie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zariadeniach nainštalov</w:t>
            </w:r>
            <w:r w:rsidRPr="00326E55">
              <w:rPr>
                <w:rFonts w:ascii="Times New Roman" w:hAnsi="Times New Roman"/>
                <w:noProof/>
                <w:spacing w:val="-6"/>
                <w:lang w:val="sk-SK"/>
              </w:rPr>
              <w:t>aných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Edilizia Libera.</w:t>
            </w:r>
          </w:p>
          <w:p w14:paraId="3404C1AB" w14:textId="2383F70B"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Štítok sa zakladá na zásade „jedenkrát</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dosť“, podľa ktorej sa od žiadateľov vyžaduje, aby poskytli tie isté informácie alebo dokumenty verejným inštitúciám len raz. </w:t>
            </w:r>
          </w:p>
        </w:tc>
      </w:tr>
      <w:tr w:rsidR="00BF03AA" w:rsidRPr="00326E55" w14:paraId="513BA34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740BE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4</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F86B0B"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2: Zníženie dotácií škodlivých pre </w:t>
            </w:r>
            <w:r w:rsidRPr="00326E55">
              <w:rPr>
                <w:rFonts w:ascii="Times New Roman" w:hAnsi="Times New Roman"/>
                <w:noProof/>
                <w:spacing w:val="-6"/>
                <w:lang w:val="sk-SK"/>
              </w:rPr>
              <w:t>životné prostredie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2F303B"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5A19DB" w14:textId="4C2CADFC"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Prijatie vládnej správy,</w:t>
            </w:r>
            <w:r w:rsidR="00326E55" w:rsidRPr="00326E55">
              <w:rPr>
                <w:rFonts w:ascii="Times New Roman" w:hAnsi="Times New Roman"/>
                <w:noProof/>
                <w:spacing w:val="-6"/>
                <w:lang w:val="sk-SK"/>
              </w:rPr>
              <w:t xml:space="preserve"> v </w:t>
            </w:r>
            <w:r w:rsidRPr="00326E55">
              <w:rPr>
                <w:rFonts w:ascii="Times New Roman" w:hAnsi="Times New Roman"/>
                <w:noProof/>
                <w:spacing w:val="-6"/>
                <w:szCs w:val="20"/>
                <w:lang w:val="sk-SK"/>
              </w:rPr>
              <w:t>ktorej sa prezentujú</w:t>
            </w:r>
            <w:r w:rsidRPr="00326E55">
              <w:rPr>
                <w:rFonts w:ascii="Times New Roman" w:hAnsi="Times New Roman"/>
                <w:noProof/>
                <w:spacing w:val="-6"/>
                <w:lang w:val="sk-SK"/>
              </w:rPr>
              <w:t xml:space="preserve"> výsledky </w:t>
            </w:r>
            <w:r w:rsidRPr="00326E55">
              <w:rPr>
                <w:rFonts w:ascii="Times New Roman" w:hAnsi="Times New Roman"/>
                <w:noProof/>
                <w:spacing w:val="-6"/>
                <w:szCs w:val="20"/>
                <w:lang w:val="sk-SK"/>
              </w:rPr>
              <w:t xml:space="preserve">vládnej </w:t>
            </w:r>
            <w:r w:rsidRPr="00326E55">
              <w:rPr>
                <w:rFonts w:ascii="Times New Roman" w:hAnsi="Times New Roman"/>
                <w:noProof/>
                <w:spacing w:val="-6"/>
                <w:lang w:val="sk-SK"/>
              </w:rPr>
              <w:t>konzultácie so zainteresovanými stranami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znížiť dotácie škodlivé pre životné prostredie.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EB8E7"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Prijatie správy vlády</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2867AA"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1D8DE5"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95951"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444B1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00D8C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0E89A2EA" w14:textId="2A29F021"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 xml:space="preserve">V správe sa </w:t>
            </w:r>
            <w:r w:rsidRPr="00326E55">
              <w:rPr>
                <w:rFonts w:ascii="Times New Roman" w:hAnsi="Times New Roman"/>
                <w:noProof/>
                <w:spacing w:val="-6"/>
                <w:szCs w:val="20"/>
                <w:lang w:val="sk-SK"/>
              </w:rPr>
              <w:t>uvedú</w:t>
            </w:r>
            <w:r w:rsidRPr="00326E55">
              <w:rPr>
                <w:rFonts w:ascii="Times New Roman" w:hAnsi="Times New Roman"/>
                <w:noProof/>
                <w:spacing w:val="-6"/>
                <w:lang w:val="sk-SK"/>
              </w:rPr>
              <w:t xml:space="preserve"> opatrenia prijaté na konzultácie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príslušnými zainteresovanými stranami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reforme dotácií škodlivých pre životné prostredie vrátane informácií získaných od zainteresovaných strán. Medzi konzultované zainteresované strany patria príslušné verejné orgány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súkromné zainteresované strany.</w:t>
            </w:r>
          </w:p>
        </w:tc>
      </w:tr>
      <w:tr w:rsidR="00BF03AA" w:rsidRPr="00326E55" w14:paraId="6F5FFE8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F3C47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C4013C"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Reforma 2: Zníženie dotácií škodlivých pre životné prostredie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70411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7D4D6B" w14:textId="5E27BFE2"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právneho aktu (právnych aktov)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FE1B5" w14:textId="5E62BC95"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právneho aktu (právnych aktov)</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529C71"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488406"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FDC673"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B315AC"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ŠTVRTÝ </w:t>
            </w:r>
            <w:r w:rsidRPr="00326E55">
              <w:rPr>
                <w:rFonts w:ascii="Times New Roman" w:hAnsi="Times New Roman"/>
                <w:noProof/>
                <w:spacing w:val="-6"/>
                <w:lang w:val="sk-SK"/>
              </w:rPr>
              <w:t>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5356E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3392DB" w14:textId="76AAD1B9"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Prijatie právnych aktov, ktorými sa znížia dotácie škodlivé pre životné prostredie vo výške najmenej 2 miliardy EUR</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roku 2026</w:t>
            </w:r>
            <w:r w:rsidR="00326E55" w:rsidRPr="00326E55">
              <w:rPr>
                <w:rFonts w:ascii="Times New Roman" w:hAnsi="Times New Roman"/>
                <w:noProof/>
                <w:spacing w:val="-6"/>
                <w:lang w:val="sk-SK"/>
              </w:rPr>
              <w:t>.</w:t>
            </w:r>
          </w:p>
          <w:p w14:paraId="0A941E6D" w14:textId="3CF98E2F"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Okrem toho sa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právnych aktoch vymedzí harmonogram ďalšieho zníženia dotácií škodlivých pre životné prostredie v</w:t>
            </w:r>
            <w:r w:rsidRPr="00326E55">
              <w:rPr>
                <w:rFonts w:ascii="Times New Roman" w:hAnsi="Times New Roman"/>
                <w:noProof/>
                <w:spacing w:val="-6"/>
                <w:lang w:val="sk-SK"/>
              </w:rPr>
              <w:t>o výške najmenej 3,5 miliardy EUR do roku 2030.</w:t>
            </w:r>
          </w:p>
        </w:tc>
      </w:tr>
      <w:tr w:rsidR="00BF03AA" w:rsidRPr="00326E55" w14:paraId="7FB92D61"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3A2EF"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M7 – 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7E7F45" w14:textId="652E5309"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Reforma 3: Zníženie nákladov na pripojenie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plynárenskej sieti biometánu</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E548BF"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47039" w14:textId="1CF3100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Nadobudnutie účinnosti právnych aktov na zníženie nákladov na pripojenie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 xml:space="preserve">plynárenskej sieti zariadení na výrobu </w:t>
            </w:r>
            <w:r w:rsidRPr="00326E55">
              <w:rPr>
                <w:rFonts w:ascii="Times New Roman" w:hAnsi="Times New Roman"/>
                <w:noProof/>
                <w:spacing w:val="-6"/>
                <w:lang w:val="sk-SK"/>
              </w:rPr>
              <w:t>biometánu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F21453" w14:textId="73C92308"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Ustanovenie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zákone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právnych aktov</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0270EB"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B2CD21"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741D30"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0AF1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A4B3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38455859"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Právne akty:</w:t>
            </w:r>
          </w:p>
          <w:p w14:paraId="575B2B78" w14:textId="1816F746" w:rsidR="00BF03AA" w:rsidRPr="00326E55" w:rsidRDefault="00FB452D">
            <w:pPr>
              <w:pStyle w:val="P68B1DB1-ListParagraph15"/>
              <w:numPr>
                <w:ilvl w:val="3"/>
                <w:numId w:val="37"/>
              </w:numPr>
              <w:spacing w:after="120" w:line="240" w:lineRule="auto"/>
              <w:ind w:left="382"/>
              <w:contextualSpacing w:val="0"/>
              <w:jc w:val="both"/>
              <w:rPr>
                <w:rFonts w:ascii="Times New Roman" w:hAnsi="Times New Roman"/>
                <w:noProof/>
                <w:spacing w:val="-6"/>
                <w:szCs w:val="20"/>
                <w:lang w:val="sk-SK"/>
              </w:rPr>
            </w:pPr>
            <w:r w:rsidRPr="00326E55">
              <w:rPr>
                <w:rFonts w:ascii="Times New Roman" w:hAnsi="Times New Roman"/>
                <w:noProof/>
                <w:spacing w:val="-6"/>
                <w:lang w:val="sk-SK"/>
              </w:rPr>
              <w:t>Znížiť náklady výrobcu na pripojenie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plynárenskej sieti zariadení na výrobu biometánu.</w:t>
            </w:r>
          </w:p>
          <w:p w14:paraId="25E6AA03" w14:textId="65105362" w:rsidR="00326E55" w:rsidRPr="00326E55" w:rsidRDefault="00FB452D">
            <w:pPr>
              <w:pStyle w:val="P68B1DB1-ListParagraph13"/>
              <w:numPr>
                <w:ilvl w:val="3"/>
                <w:numId w:val="37"/>
              </w:numPr>
              <w:spacing w:after="120" w:line="240" w:lineRule="auto"/>
              <w:ind w:left="382"/>
              <w:jc w:val="both"/>
              <w:rPr>
                <w:rFonts w:ascii="Times New Roman" w:hAnsi="Times New Roman"/>
                <w:noProof/>
                <w:spacing w:val="-6"/>
                <w:lang w:val="sk-SK"/>
              </w:rPr>
            </w:pPr>
            <w:r w:rsidRPr="00326E55">
              <w:rPr>
                <w:rFonts w:ascii="Times New Roman" w:hAnsi="Times New Roman"/>
                <w:noProof/>
                <w:spacing w:val="-6"/>
                <w:lang w:val="sk-SK"/>
              </w:rPr>
              <w:t xml:space="preserve">Poskytovať regulačné stimuly na investovanie do plynárenskej </w:t>
            </w:r>
            <w:r w:rsidRPr="00326E55">
              <w:rPr>
                <w:rFonts w:ascii="Times New Roman" w:hAnsi="Times New Roman"/>
                <w:noProof/>
                <w:spacing w:val="-6"/>
                <w:lang w:val="sk-SK"/>
              </w:rPr>
              <w:t>siete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zvýšiť integráciu obnoviteľných plynov</w:t>
            </w:r>
            <w:r w:rsidR="00326E55" w:rsidRPr="00326E55">
              <w:rPr>
                <w:rFonts w:ascii="Times New Roman" w:hAnsi="Times New Roman"/>
                <w:noProof/>
                <w:spacing w:val="-6"/>
                <w:lang w:val="sk-SK"/>
              </w:rPr>
              <w:t>.</w:t>
            </w:r>
          </w:p>
          <w:p w14:paraId="01FDC69D" w14:textId="6755ED98" w:rsidR="00BF03AA" w:rsidRPr="00326E55" w:rsidRDefault="00FB452D">
            <w:pPr>
              <w:pStyle w:val="P68B1DB1-ListParagraph13"/>
              <w:numPr>
                <w:ilvl w:val="3"/>
                <w:numId w:val="37"/>
              </w:numPr>
              <w:spacing w:after="120" w:line="240" w:lineRule="auto"/>
              <w:ind w:left="382"/>
              <w:jc w:val="both"/>
              <w:rPr>
                <w:rFonts w:ascii="Times New Roman" w:hAnsi="Times New Roman"/>
                <w:noProof/>
                <w:spacing w:val="-6"/>
                <w:lang w:val="sk-SK"/>
              </w:rPr>
            </w:pPr>
            <w:r w:rsidRPr="00326E55">
              <w:rPr>
                <w:rFonts w:ascii="Times New Roman" w:hAnsi="Times New Roman"/>
                <w:noProof/>
                <w:spacing w:val="-6"/>
                <w:lang w:val="sk-SK"/>
              </w:rPr>
              <w:t>Uľahčiť integráciu medzi prenosovou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distribučnou sieťou,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to aj prostredníctvom mechanizmov na rozdelenie nákladov na investície do pripojenia do sústavy. </w:t>
            </w:r>
          </w:p>
        </w:tc>
      </w:tr>
      <w:tr w:rsidR="00BF03AA" w:rsidRPr="00326E55" w14:paraId="770A2DA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0ED2DB"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BC0CA1" w14:textId="63D973AE"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Reforma 4: Zmiernenie finančného </w:t>
            </w:r>
            <w:r w:rsidRPr="00326E55">
              <w:rPr>
                <w:rFonts w:ascii="Times New Roman" w:hAnsi="Times New Roman"/>
                <w:noProof/>
                <w:spacing w:val="-6"/>
                <w:lang w:val="sk-SK"/>
              </w:rPr>
              <w:t>rizika spojeného</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obnoviteľnými zmluvami</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nákupe elektriny (zmluvy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nákupe elektrickej energie)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D33B5"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F5A1EF" w14:textId="2C2D5FE0"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Nadobudnutie účinnosti primárnych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523F58" w14:textId="16DC3376"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4CDA3"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61C8AC"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C3BE2"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723F4A"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2F33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687B8F" w14:textId="69947F54"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Nadobudnutie účinnosti primárnych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sekundárnych právnych predpisov.</w:t>
            </w:r>
          </w:p>
          <w:p w14:paraId="0A591836" w14:textId="077D203F"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Primárne právne predpisy ustanovujú prijatie sekundárnych právnych predpisov, ktorými sa vykonávajú požiadavky uvedené nižšie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bodoch i), ii)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iii).</w:t>
            </w:r>
          </w:p>
          <w:p w14:paraId="17027B74"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Sekundárne právne predpisy:</w:t>
            </w:r>
          </w:p>
          <w:p w14:paraId="71C8A903" w14:textId="7DA6D582" w:rsidR="00326E55" w:rsidRPr="00326E55" w:rsidRDefault="00FB452D">
            <w:pPr>
              <w:pStyle w:val="P68B1DB1-ListParagraph13"/>
              <w:numPr>
                <w:ilvl w:val="0"/>
                <w:numId w:val="65"/>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požadova</w:t>
            </w:r>
            <w:r w:rsidRPr="00326E55">
              <w:rPr>
                <w:rFonts w:ascii="Times New Roman" w:hAnsi="Times New Roman"/>
                <w:noProof/>
                <w:spacing w:val="-6"/>
                <w:lang w:val="sk-SK"/>
              </w:rPr>
              <w:t>ť, aby každý prevádzkovateľ zaručil čiastočné krytie protihodnoty zmlúv</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nákupe elektriny prostredníctvom záručných nástrojov poskytnutých na trhu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elektrickou energiou</w:t>
            </w:r>
            <w:r w:rsidR="00326E55" w:rsidRPr="00326E55">
              <w:rPr>
                <w:rFonts w:ascii="Times New Roman" w:hAnsi="Times New Roman"/>
                <w:noProof/>
                <w:spacing w:val="-6"/>
                <w:lang w:val="sk-SK"/>
              </w:rPr>
              <w:t>;</w:t>
            </w:r>
          </w:p>
          <w:p w14:paraId="187001DF" w14:textId="43ED7B7F" w:rsidR="00BF03AA" w:rsidRPr="00326E55" w:rsidRDefault="00FB452D">
            <w:pPr>
              <w:pStyle w:val="P68B1DB1-ListParagraph13"/>
              <w:numPr>
                <w:ilvl w:val="0"/>
                <w:numId w:val="65"/>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zaviesť opatrenia na zmiernenie rizika zlyhania vrátane požiadaviek</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obmedzení na </w:t>
            </w:r>
            <w:r w:rsidRPr="00326E55">
              <w:rPr>
                <w:rFonts w:ascii="Times New Roman" w:hAnsi="Times New Roman"/>
                <w:noProof/>
                <w:spacing w:val="-6"/>
                <w:lang w:val="sk-SK"/>
              </w:rPr>
              <w:t>uchádzača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regulačných sankcií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zlyhania výrobcu;</w:t>
            </w:r>
          </w:p>
          <w:p w14:paraId="1C049664" w14:textId="1DB40C8A" w:rsidR="00BF03AA" w:rsidRPr="00326E55" w:rsidRDefault="00FB452D">
            <w:pPr>
              <w:pStyle w:val="P68B1DB1-ListParagraph13"/>
              <w:numPr>
                <w:ilvl w:val="0"/>
                <w:numId w:val="65"/>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určiť inštitucionálny subjekt, ktorý prevezme úlohu predávajúceho/kupujúceho poslednej inštancie, ktorý by prevzal od zlyhávajúcej protistrany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zabezpečil plnenie povinností prevzatých voči vykon</w:t>
            </w:r>
            <w:r w:rsidRPr="00326E55">
              <w:rPr>
                <w:rFonts w:ascii="Times New Roman" w:hAnsi="Times New Roman"/>
                <w:noProof/>
                <w:spacing w:val="-6"/>
                <w:lang w:val="sk-SK"/>
              </w:rPr>
              <w:t>ávajúcej protistrane.</w:t>
            </w:r>
          </w:p>
        </w:tc>
      </w:tr>
      <w:tr w:rsidR="00BF03AA" w:rsidRPr="00326E55" w14:paraId="39B61CD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8649C4"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9</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C8C5D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Reforma 5: Plán pre nové zručnosti – Prechody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5A7037"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FE724" w14:textId="1CF641F4"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Prijatie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uverejnenie nového plánu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zručností – Prechody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cestovnej mapy na vykonávanie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A31EFA" w14:textId="59EE84D5"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Prijatie plánu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plánu</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840EE"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0F9158"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7E797"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C40D4"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9FEEF7"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9F4D6D" w14:textId="4A309D9F"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 xml:space="preserve">„Piano Nuove Competenze“ </w:t>
            </w:r>
            <w:r w:rsidRPr="00326E55">
              <w:rPr>
                <w:rFonts w:ascii="Times New Roman" w:hAnsi="Times New Roman"/>
                <w:noProof/>
                <w:spacing w:val="-6"/>
                <w:lang w:val="sk-SK"/>
              </w:rPr>
              <w:t>prijatý dekrétom zo 14</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uverejnený</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Gazzetta ufficiale n.307</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28</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2021 sa mení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nový plán prechodných zručností nadobúda účinnosť. Plán obsahuje všeobecné zásady, ktoré sa majú ďalej špecifikovať</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regionálnych právnych predpiso</w:t>
            </w:r>
            <w:r w:rsidRPr="00326E55">
              <w:rPr>
                <w:rFonts w:ascii="Times New Roman" w:hAnsi="Times New Roman"/>
                <w:noProof/>
                <w:spacing w:val="-6"/>
                <w:lang w:val="sk-SK"/>
              </w:rPr>
              <w:t>ch, ktoré zahŕňajú:</w:t>
            </w:r>
          </w:p>
          <w:p w14:paraId="4868BAA3" w14:textId="77777777" w:rsidR="00326E55" w:rsidRPr="00326E55" w:rsidRDefault="00FB452D">
            <w:pPr>
              <w:pStyle w:val="P68B1DB1-ListParagraph15"/>
              <w:numPr>
                <w:ilvl w:val="0"/>
                <w:numId w:val="44"/>
              </w:numPr>
              <w:spacing w:after="120" w:line="240" w:lineRule="auto"/>
              <w:ind w:left="382" w:hanging="142"/>
              <w:jc w:val="both"/>
              <w:rPr>
                <w:rFonts w:ascii="Times New Roman" w:hAnsi="Times New Roman"/>
                <w:noProof/>
                <w:spacing w:val="-6"/>
                <w:lang w:val="sk-SK"/>
              </w:rPr>
            </w:pPr>
            <w:r w:rsidRPr="00326E55">
              <w:rPr>
                <w:rFonts w:ascii="Times New Roman" w:hAnsi="Times New Roman"/>
                <w:noProof/>
                <w:spacing w:val="-6"/>
                <w:lang w:val="sk-SK"/>
              </w:rPr>
              <w:t>väčšie zapojenie súkromného sektora do poskytovania odbornej prípravy,</w:t>
            </w:r>
          </w:p>
          <w:p w14:paraId="6F8D9854" w14:textId="77777777" w:rsidR="00326E55" w:rsidRPr="00326E55" w:rsidRDefault="00FB452D">
            <w:pPr>
              <w:pStyle w:val="P68B1DB1-ListParagraph15"/>
              <w:numPr>
                <w:ilvl w:val="0"/>
                <w:numId w:val="44"/>
              </w:numPr>
              <w:spacing w:after="120" w:line="240" w:lineRule="auto"/>
              <w:ind w:left="382" w:hanging="142"/>
              <w:contextualSpacing w:val="0"/>
              <w:jc w:val="both"/>
              <w:rPr>
                <w:rFonts w:ascii="Times New Roman" w:hAnsi="Times New Roman"/>
                <w:noProof/>
                <w:spacing w:val="-6"/>
                <w:lang w:val="sk-SK"/>
              </w:rPr>
            </w:pPr>
            <w:r w:rsidRPr="00326E55">
              <w:rPr>
                <w:rFonts w:ascii="Times New Roman" w:hAnsi="Times New Roman"/>
                <w:noProof/>
                <w:spacing w:val="-6"/>
                <w:lang w:val="sk-SK"/>
              </w:rPr>
              <w:t>lepšie uznávanie odbornej prípravy na pracovisku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mikrocertifikátov,</w:t>
            </w:r>
          </w:p>
          <w:p w14:paraId="47BA625F" w14:textId="74CCCAD1" w:rsidR="00326E55" w:rsidRPr="00326E55" w:rsidRDefault="00FB452D">
            <w:pPr>
              <w:pStyle w:val="P68B1DB1-ListParagraph15"/>
              <w:numPr>
                <w:ilvl w:val="0"/>
                <w:numId w:val="44"/>
              </w:numPr>
              <w:spacing w:after="120" w:line="240" w:lineRule="auto"/>
              <w:ind w:left="382" w:hanging="142"/>
              <w:contextualSpacing w:val="0"/>
              <w:jc w:val="both"/>
              <w:rPr>
                <w:rFonts w:ascii="Times New Roman" w:hAnsi="Times New Roman"/>
                <w:noProof/>
                <w:spacing w:val="-6"/>
                <w:lang w:val="sk-SK"/>
              </w:rPr>
            </w:pPr>
            <w:r w:rsidRPr="00326E55">
              <w:rPr>
                <w:rFonts w:ascii="Times New Roman" w:hAnsi="Times New Roman"/>
                <w:noProof/>
                <w:spacing w:val="-6"/>
                <w:lang w:val="sk-SK"/>
              </w:rPr>
              <w:t>rozsiahlejšia analýza trhu práce ex ante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monitorovanie účinkov odbornej prípravy na povolanie</w:t>
            </w:r>
            <w:r w:rsidR="00326E55" w:rsidRPr="00326E55">
              <w:rPr>
                <w:rFonts w:ascii="Times New Roman" w:hAnsi="Times New Roman"/>
                <w:noProof/>
                <w:spacing w:val="-6"/>
                <w:lang w:val="sk-SK"/>
              </w:rPr>
              <w:t>.</w:t>
            </w:r>
          </w:p>
          <w:p w14:paraId="75C24AA2" w14:textId="1D14F2FC"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Prijíma sa aj plán vykonávania.</w:t>
            </w:r>
          </w:p>
        </w:tc>
      </w:tr>
      <w:tr w:rsidR="00BF03AA" w:rsidRPr="00326E55" w14:paraId="768D55A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D44D7" w14:textId="77777777" w:rsidR="00BF03AA" w:rsidRPr="00326E55" w:rsidRDefault="00FB452D">
            <w:pPr>
              <w:pStyle w:val="P68B1DB1-Normal12"/>
              <w:spacing w:after="120"/>
              <w:jc w:val="center"/>
              <w:rPr>
                <w:rFonts w:ascii="Times New Roman" w:eastAsia="Arial Narrow" w:hAnsi="Times New Roman" w:cs="Arial Narrow"/>
                <w:noProof/>
                <w:spacing w:val="-6"/>
                <w:lang w:val="sk-SK"/>
              </w:rPr>
            </w:pPr>
            <w:r w:rsidRPr="00326E55">
              <w:rPr>
                <w:rFonts w:ascii="Times New Roman" w:hAnsi="Times New Roman"/>
                <w:noProof/>
                <w:spacing w:val="-6"/>
                <w:lang w:val="sk-SK"/>
              </w:rPr>
              <w:t>M7 – 10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6B2B0" w14:textId="77777777" w:rsidR="00BF03AA" w:rsidRPr="00326E55" w:rsidRDefault="00FB452D">
            <w:pPr>
              <w:pStyle w:val="P68B1DB1-Normal12"/>
              <w:spacing w:after="120"/>
              <w:jc w:val="center"/>
              <w:rPr>
                <w:rFonts w:ascii="Times New Roman" w:eastAsia="Arial Narrow" w:hAnsi="Times New Roman" w:cs="Arial Narrow"/>
                <w:noProof/>
                <w:spacing w:val="-6"/>
                <w:lang w:val="sk-SK"/>
              </w:rPr>
            </w:pPr>
            <w:r w:rsidRPr="00326E55">
              <w:rPr>
                <w:rFonts w:ascii="Times New Roman" w:hAnsi="Times New Roman"/>
                <w:noProof/>
                <w:spacing w:val="-6"/>
                <w:lang w:val="sk-SK"/>
              </w:rPr>
              <w:t>Reforma 5: Plán pre nové zručnosti – Prechody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C1E7D3" w14:textId="77777777" w:rsidR="00BF03AA" w:rsidRPr="00326E55" w:rsidRDefault="00FB452D">
            <w:pPr>
              <w:pStyle w:val="P68B1DB1-Normal11"/>
              <w:spacing w:after="120"/>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E753FB" w14:textId="5A04D5D4"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Nadobudnutie účinnosti právnych aktov pre regióny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autonómne provincie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8DA537" w14:textId="57B61EA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 Ustanovenie (ustanovenia)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právnych aktoch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08116F" w14:textId="77777777" w:rsidR="00BF03AA" w:rsidRPr="00326E55" w:rsidRDefault="00BF03AA">
            <w:pPr>
              <w:spacing w:after="120"/>
              <w:jc w:val="center"/>
              <w:rPr>
                <w:rFonts w:ascii="Times New Roman" w:eastAsia="Arial Narrow" w:hAnsi="Times New Roman" w:cs="Arial Narrow"/>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91C33D" w14:textId="77777777" w:rsidR="00BF03AA" w:rsidRPr="00326E55" w:rsidRDefault="00BF03AA">
            <w:pPr>
              <w:spacing w:after="120"/>
              <w:jc w:val="center"/>
              <w:rPr>
                <w:rFonts w:ascii="Times New Roman" w:eastAsia="Arial Narrow" w:hAnsi="Times New Roman" w:cs="Arial Narrow"/>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FBD4FF" w14:textId="77777777" w:rsidR="00BF03AA" w:rsidRPr="00326E55" w:rsidRDefault="00BF03AA">
            <w:pPr>
              <w:spacing w:after="120"/>
              <w:jc w:val="center"/>
              <w:rPr>
                <w:rFonts w:ascii="Times New Roman" w:eastAsia="Arial Narrow" w:hAnsi="Times New Roman" w:cs="Arial Narrow"/>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2732AC" w14:textId="77777777" w:rsidR="00BF03AA" w:rsidRPr="00326E55" w:rsidRDefault="00FB452D">
            <w:pPr>
              <w:pStyle w:val="P68B1DB1-Normal11"/>
              <w:spacing w:after="120"/>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TRETÍ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FC9DF" w14:textId="77777777" w:rsidR="00BF03AA" w:rsidRPr="00326E55" w:rsidRDefault="00FB452D">
            <w:pPr>
              <w:pStyle w:val="P68B1DB1-Normal11"/>
              <w:spacing w:after="120"/>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80649B" w14:textId="77777777" w:rsidR="00BF03AA" w:rsidRPr="00326E55" w:rsidRDefault="00FB452D">
            <w:pPr>
              <w:pStyle w:val="P68B1DB1-Normal11"/>
              <w:rPr>
                <w:rFonts w:ascii="Times New Roman" w:hAnsi="Times New Roman"/>
                <w:noProof/>
                <w:spacing w:val="-6"/>
                <w:lang w:val="sk-SK"/>
              </w:rPr>
            </w:pPr>
            <w:r w:rsidRPr="00326E55">
              <w:rPr>
                <w:rFonts w:ascii="Times New Roman" w:hAnsi="Times New Roman"/>
                <w:noProof/>
                <w:spacing w:val="-6"/>
                <w:lang w:val="sk-SK"/>
              </w:rPr>
              <w:t xml:space="preserve">Nadobudnutie </w:t>
            </w:r>
            <w:r w:rsidRPr="00326E55">
              <w:rPr>
                <w:rFonts w:ascii="Times New Roman" w:hAnsi="Times New Roman"/>
                <w:noProof/>
                <w:spacing w:val="-6"/>
                <w:lang w:val="sk-SK"/>
              </w:rPr>
              <w:t>účinnosti právneho aktu (právnych aktov) vrátane ustanovení o:</w:t>
            </w:r>
          </w:p>
          <w:p w14:paraId="7D73289D" w14:textId="2841D506" w:rsidR="00326E55" w:rsidRPr="00326E55" w:rsidRDefault="00FB452D">
            <w:pPr>
              <w:pStyle w:val="P68B1DB1-ListParagraph111"/>
              <w:numPr>
                <w:ilvl w:val="0"/>
                <w:numId w:val="97"/>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zabezpečiť, aby sa do plánovania činností odbornej prípravy zapojili zainteresované strany zo súkromného sektora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aby sa využívali nástroje na získavanie informácií</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zručnostiach</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cieľom rea</w:t>
            </w:r>
            <w:r w:rsidRPr="00326E55">
              <w:rPr>
                <w:rFonts w:ascii="Times New Roman" w:hAnsi="Times New Roman"/>
                <w:noProof/>
                <w:spacing w:val="-6"/>
                <w:lang w:val="sk-SK"/>
              </w:rPr>
              <w:t>govať na strednodobé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dlhodobé potreby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zručností so zameraním na zručnosti potrebné na zelenú</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digitálnu transformáciu</w:t>
            </w:r>
            <w:r w:rsidR="00326E55" w:rsidRPr="00326E55">
              <w:rPr>
                <w:rFonts w:ascii="Times New Roman" w:hAnsi="Times New Roman"/>
                <w:noProof/>
                <w:spacing w:val="-6"/>
                <w:lang w:val="sk-SK"/>
              </w:rPr>
              <w:t>;</w:t>
            </w:r>
          </w:p>
          <w:p w14:paraId="5CEC2601" w14:textId="3A08C4D0"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a/alebo</w:t>
            </w:r>
          </w:p>
          <w:p w14:paraId="6A7AD53E" w14:textId="1644BF1E" w:rsidR="00BF03AA" w:rsidRPr="00326E55" w:rsidRDefault="00FB452D">
            <w:pPr>
              <w:pStyle w:val="P68B1DB1-ListParagraph111"/>
              <w:numPr>
                <w:ilvl w:val="0"/>
                <w:numId w:val="96"/>
              </w:numPr>
              <w:spacing w:before="120" w:after="120" w:line="240" w:lineRule="auto"/>
              <w:jc w:val="both"/>
              <w:rPr>
                <w:rFonts w:ascii="Times New Roman" w:hAnsi="Times New Roman"/>
                <w:noProof/>
                <w:spacing w:val="-6"/>
                <w:lang w:val="sk-SK"/>
              </w:rPr>
            </w:pPr>
            <w:r w:rsidRPr="00326E55">
              <w:rPr>
                <w:rFonts w:ascii="Times New Roman" w:hAnsi="Times New Roman"/>
                <w:noProof/>
                <w:spacing w:val="-6"/>
                <w:lang w:val="sk-SK"/>
              </w:rPr>
              <w:t>validovať odbornú prípravu</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rámci spoločnosti (vrátane mikrocertifikátov)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jej výsledky prostredníctvom vydávania </w:t>
            </w:r>
            <w:r w:rsidRPr="00326E55">
              <w:rPr>
                <w:rFonts w:ascii="Times New Roman" w:hAnsi="Times New Roman"/>
                <w:noProof/>
                <w:spacing w:val="-6"/>
                <w:lang w:val="sk-SK"/>
              </w:rPr>
              <w:t>osvedčení na základe spoločných minimálnych noriem.</w:t>
            </w:r>
          </w:p>
          <w:p w14:paraId="7523B96C" w14:textId="2802FC18" w:rsidR="00BF03AA" w:rsidRPr="00326E55" w:rsidRDefault="00FB452D">
            <w:pPr>
              <w:pStyle w:val="P68B1DB1-Normal11"/>
              <w:rPr>
                <w:rFonts w:ascii="Times New Roman" w:hAnsi="Times New Roman" w:cs="Times New Roman"/>
                <w:noProof/>
                <w:spacing w:val="-6"/>
                <w:lang w:val="sk-SK"/>
              </w:rPr>
            </w:pPr>
            <w:r w:rsidRPr="00326E55">
              <w:rPr>
                <w:rFonts w:ascii="Times New Roman" w:hAnsi="Times New Roman"/>
                <w:noProof/>
                <w:spacing w:val="-6"/>
                <w:lang w:val="sk-SK"/>
              </w:rPr>
              <w:t>Právne akty nadobúdajú účinnosť pre všetky talianske regióny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autonómne provincie okrem Bolzana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Valle d’Aosta.</w:t>
            </w:r>
          </w:p>
        </w:tc>
      </w:tr>
      <w:tr w:rsidR="00BF03AA" w:rsidRPr="00326E55" w14:paraId="3CC06066"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1CA7F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11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655C2C"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 Rozšírenie opatrenia: Inteligentné sústavy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8DAD7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45ACB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Inteligentné siete </w:t>
            </w:r>
            <w:r w:rsidRPr="00326E55">
              <w:rPr>
                <w:rFonts w:ascii="Times New Roman" w:hAnsi="Times New Roman"/>
                <w:noProof/>
                <w:spacing w:val="-6"/>
                <w:lang w:val="sk-SK"/>
              </w:rPr>
              <w:t>– elektrifikácia spotreby energie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0B325"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E535E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50F5B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1 500 000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F83D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1 730 000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A27DF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74DE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748CC" w14:textId="5BE5CB29" w:rsidR="00BF03AA" w:rsidRPr="00326E55" w:rsidRDefault="00FB452D">
            <w:pPr>
              <w:pStyle w:val="P68B1DB1-Normal11"/>
              <w:spacing w:after="120"/>
              <w:rPr>
                <w:rFonts w:ascii="Times New Roman" w:hAnsi="Times New Roman"/>
                <w:noProof/>
                <w:color w:val="FF0000"/>
                <w:spacing w:val="-6"/>
                <w:szCs w:val="20"/>
                <w:lang w:val="sk-SK"/>
              </w:rPr>
            </w:pPr>
            <w:r w:rsidRPr="00326E55">
              <w:rPr>
                <w:rFonts w:ascii="Times New Roman" w:hAnsi="Times New Roman"/>
                <w:noProof/>
                <w:spacing w:val="-6"/>
                <w:szCs w:val="20"/>
                <w:lang w:val="sk-SK"/>
              </w:rPr>
              <w:t>Osvedčenia</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inštalačných skúškach alebo protokoly</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akceptačných skúškach vydané pre zásahy, ktorých výsledkom je zvýšenie maximálneho výkonu dodávaného do daňového voľného o</w:t>
            </w:r>
            <w:r w:rsidRPr="00326E55">
              <w:rPr>
                <w:rFonts w:ascii="Times New Roman" w:hAnsi="Times New Roman"/>
                <w:noProof/>
                <w:spacing w:val="-6"/>
                <w:szCs w:val="20"/>
                <w:lang w:val="sk-SK"/>
              </w:rPr>
              <w:t>behu sieťou</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počte bodov dodávky, ktorý zodpovedá aspoň 1730000 obyvateľom, ako sa potvrdzuje</w:t>
            </w:r>
            <w:r w:rsidR="00326E55" w:rsidRPr="00326E55">
              <w:rPr>
                <w:rFonts w:ascii="Times New Roman" w:hAnsi="Times New Roman"/>
                <w:noProof/>
                <w:spacing w:val="-6"/>
                <w:szCs w:val="20"/>
                <w:lang w:val="sk-SK"/>
              </w:rPr>
              <w:t xml:space="preserve"> v </w:t>
            </w:r>
            <w:r w:rsidRPr="00326E55">
              <w:rPr>
                <w:rFonts w:ascii="Times New Roman" w:hAnsi="Times New Roman"/>
                <w:noProof/>
                <w:spacing w:val="-6"/>
                <w:szCs w:val="20"/>
                <w:lang w:val="sk-SK"/>
              </w:rPr>
              <w:t>jednom alebo viacerých správach nezávislého inžiniera.</w:t>
            </w:r>
            <w:r w:rsidRPr="00326E55">
              <w:rPr>
                <w:rFonts w:ascii="Times New Roman" w:hAnsi="Times New Roman"/>
                <w:noProof/>
                <w:spacing w:val="-6"/>
                <w:lang w:val="sk-SK"/>
              </w:rPr>
              <w:t xml:space="preserve"> </w:t>
            </w:r>
          </w:p>
        </w:tc>
      </w:tr>
      <w:tr w:rsidR="00BF03AA" w:rsidRPr="00326E55" w14:paraId="48B540B4"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3EFBE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12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5388E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2: Rozšírenie opatrenia: Intervencie na zvýšenie odolnosti elektrizačnej sústavy</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B76BD7"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B10F3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Zvýšiť odolnosť siete elektrizačnej sústavy</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1916A"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46094"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09FC2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4 000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A938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4 648</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9B2A9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BEB13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399A9F" w14:textId="0D2E8963" w:rsidR="00326E55"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 vydané na zásahy, ktoré zodpovedajú zvýšeniu odolnosti elektrickej siete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najmenej 4 648 km, potvrdené jednou alebo viacerými správami </w:t>
            </w:r>
            <w:r w:rsidRPr="00326E55">
              <w:rPr>
                <w:rFonts w:ascii="Times New Roman" w:hAnsi="Times New Roman"/>
                <w:noProof/>
                <w:spacing w:val="-6"/>
                <w:lang w:val="sk-SK"/>
              </w:rPr>
              <w:t>nezávislého inžiniera</w:t>
            </w:r>
            <w:r w:rsidR="00326E55" w:rsidRPr="00326E55">
              <w:rPr>
                <w:rFonts w:ascii="Times New Roman" w:hAnsi="Times New Roman"/>
                <w:noProof/>
                <w:spacing w:val="-6"/>
                <w:lang w:val="sk-SK"/>
              </w:rPr>
              <w:t>.</w:t>
            </w:r>
          </w:p>
          <w:p w14:paraId="1C6ACFDE" w14:textId="545CB286" w:rsidR="00BF03AA" w:rsidRPr="00326E55" w:rsidRDefault="00BF03AA">
            <w:pPr>
              <w:spacing w:after="120"/>
              <w:rPr>
                <w:rFonts w:ascii="Times New Roman" w:hAnsi="Times New Roman"/>
                <w:noProof/>
                <w:color w:val="FF0000"/>
                <w:spacing w:val="-6"/>
                <w:sz w:val="20"/>
                <w:szCs w:val="20"/>
                <w:lang w:val="sk-SK"/>
              </w:rPr>
            </w:pPr>
          </w:p>
        </w:tc>
      </w:tr>
      <w:tr w:rsidR="00BF03AA" w:rsidRPr="00326E55" w14:paraId="47F0566B"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80170C"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13</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012983" w14:textId="059BB79C"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3: Rozšírenie opatrenia: Výroba vodíka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opustených priemyselných lokalitách (Hydrogen Valleys)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A24DB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8B8DF7" w14:textId="7C6B7DE3"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Realizované projekty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21094"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2BB0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5EF84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6AC3C"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12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EA2C5F"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29A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6133D" w14:textId="6795C345" w:rsidR="00326E55"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 xml:space="preserve">Osvedčenia vydané na dokončenie prác vydané pre 12 </w:t>
            </w:r>
            <w:r w:rsidRPr="00326E55">
              <w:rPr>
                <w:rFonts w:ascii="Times New Roman" w:hAnsi="Times New Roman"/>
                <w:noProof/>
                <w:spacing w:val="-6"/>
                <w:lang w:val="sk-SK"/>
              </w:rPr>
              <w:t>projektov vodíkových údolí vrátane inštalácie 12 elektrolyzérov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kapacitou najmenej 1 MW za každý</w:t>
            </w:r>
            <w:r w:rsidR="00326E55" w:rsidRPr="00326E55">
              <w:rPr>
                <w:rFonts w:ascii="Times New Roman" w:hAnsi="Times New Roman"/>
                <w:noProof/>
                <w:spacing w:val="-6"/>
                <w:lang w:val="sk-SK"/>
              </w:rPr>
              <w:t>.</w:t>
            </w:r>
          </w:p>
          <w:p w14:paraId="333D0B89" w14:textId="53ED745E"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Odhady nákladov na pripojenie schválené vývojárom sa vydávajú pre elektrolyzéry vyžadujúce pripojenie do sústavy.</w:t>
            </w:r>
          </w:p>
        </w:tc>
      </w:tr>
      <w:tr w:rsidR="00BF03AA" w:rsidRPr="00326E55" w14:paraId="4495184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3023E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14</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F523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4: Tyrrhenský odkaz</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62631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7F87E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Zadávanie zákaziek</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C6A26" w14:textId="781CFFF5"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D1227A"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2460A9"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9D1208"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9803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7B5F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D6AC0" w14:textId="48236B9D"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zákaziek na práce potrebné na položenie 511 km káblov spájajúcich Caracoli</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Eboli.</w:t>
            </w:r>
          </w:p>
        </w:tc>
      </w:tr>
      <w:tr w:rsidR="00BF03AA" w:rsidRPr="00326E55" w14:paraId="4EE78AC9"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D1FF9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15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461CF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4: Tyrrhenský odkaz</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D30268"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102A3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szCs w:val="20"/>
                <w:lang w:val="sk-SK"/>
              </w:rPr>
              <w:t>C</w:t>
            </w:r>
            <w:r w:rsidRPr="00326E55">
              <w:rPr>
                <w:rFonts w:ascii="Times New Roman" w:hAnsi="Times New Roman"/>
                <w:noProof/>
                <w:spacing w:val="-6"/>
                <w:lang w:val="sk-SK"/>
              </w:rPr>
              <w:t>schopný stanoviť</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308965" w14:textId="4506F90B"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Osvedčenie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13ECD7"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71C568"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AEDD55"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DC25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59A35"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9E734" w14:textId="02B66DC6"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Osvedčenie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ukončení prác vydané na vytvorenie východného spojenia</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káblom Pole 1 spájajúcim Caracoli (Palermo)</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Eboli (Salerno)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zabezpečujúcim menovitú kapacitu 500 MW.</w:t>
            </w:r>
          </w:p>
        </w:tc>
      </w:tr>
      <w:tr w:rsidR="00BF03AA" w:rsidRPr="00326E55" w14:paraId="3DFFCB9E"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C41325"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M7 </w:t>
            </w:r>
            <w:r w:rsidRPr="00326E55">
              <w:rPr>
                <w:rFonts w:ascii="Times New Roman" w:hAnsi="Times New Roman"/>
                <w:noProof/>
                <w:spacing w:val="-6"/>
                <w:lang w:val="sk-SK"/>
              </w:rPr>
              <w:t>– 16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F28E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5: SA.CO.I.3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7174DF"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9D5D0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Zadávanie zákaziek</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6194C"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Zadávanie zákaziek</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05774F" w14:textId="77777777" w:rsidR="00BF03AA" w:rsidRPr="00326E55" w:rsidRDefault="00BF03AA">
            <w:pPr>
              <w:spacing w:after="120"/>
              <w:jc w:val="center"/>
              <w:rPr>
                <w:rFonts w:ascii="Times New Roman" w:hAnsi="Times New Roman"/>
                <w:noProof/>
                <w:color w:val="FF00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F17E5"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49252"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6E1D5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9873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757B16" w14:textId="64E82F9F"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Zadanie všetkých zákaziek na práce potrebné na dokončenie plášťov premenných staníc Sardínie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Toskánsko.</w:t>
            </w:r>
          </w:p>
        </w:tc>
      </w:tr>
      <w:tr w:rsidR="00BF03AA" w:rsidRPr="00326E55" w14:paraId="57683B5E"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330F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17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A088F"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5: SA.CO.I.3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742D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AB4934" w14:textId="1F3BA496"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Dokončenie </w:t>
            </w:r>
            <w:r w:rsidRPr="00326E55">
              <w:rPr>
                <w:rFonts w:ascii="Times New Roman" w:hAnsi="Times New Roman"/>
                <w:noProof/>
                <w:spacing w:val="-6"/>
                <w:lang w:val="sk-SK"/>
              </w:rPr>
              <w:t>škrupín konverzných staníc na Sardínii (Codrongianos)</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Toskánsku (Suvereto)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2444B5" w14:textId="78190DAD"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Osvedčenie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C8E20"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952835"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45724"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FFCA6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04D8CF"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E8604" w14:textId="1A4CD03C"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Osvedčenie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ukončení prác vydané na výstavbu plášťov premenných staníc Sardínie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Toskánsko.</w:t>
            </w:r>
          </w:p>
        </w:tc>
      </w:tr>
      <w:tr w:rsidR="00BF03AA" w:rsidRPr="00326E55" w14:paraId="57463F3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A5EF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OPATRENIA 7 – 22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AE19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7: Inteligentná národná prenosová sústava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CEA85"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8DBE8B" w14:textId="358872D4"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Inštalácia zariadení 5G, architektúry informačných komunikačných technológií, zabezpečeného protokolu 104</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elektrických staniciach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priemyselného internetu vecí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elektrických </w:t>
            </w:r>
            <w:r w:rsidRPr="00326E55">
              <w:rPr>
                <w:rFonts w:ascii="Times New Roman" w:hAnsi="Times New Roman"/>
                <w:noProof/>
                <w:spacing w:val="-6"/>
                <w:lang w:val="sk-SK"/>
              </w:rPr>
              <w:t>pylónoch</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3A63F" w14:textId="69AFE76C"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inštalácii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protokoly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akceptačných skúškach</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9DB139"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A4DEF4"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A0B3C" w14:textId="77777777" w:rsidR="00BF03AA" w:rsidRPr="00326E55" w:rsidRDefault="00BF03AA">
            <w:pPr>
              <w:spacing w:after="120"/>
              <w:jc w:val="center"/>
              <w:rPr>
                <w:rFonts w:ascii="Times New Roman" w:hAnsi="Times New Roman"/>
                <w:strike/>
                <w:noProof/>
                <w:color w:val="006100"/>
                <w:spacing w:val="-6"/>
                <w:sz w:val="20"/>
                <w:szCs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5DD96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6A581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2B7CF" w14:textId="77EF33AC" w:rsidR="00BF03AA"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Protokoly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akceptačných skúškach vydané pre nové zariadenie 5G alebo architektúru informačných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komunikačných technológií nainštalované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40 staniciach.</w:t>
            </w:r>
          </w:p>
          <w:p w14:paraId="4E125C49" w14:textId="562C32C6" w:rsidR="00BF03AA"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inštalácii vydané na:</w:t>
            </w:r>
          </w:p>
          <w:p w14:paraId="76E15CE8" w14:textId="5A234DCD" w:rsidR="00326E55"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—Zabezpečený protokol 104 (protokol Medzinárodnej elektrotechnickej komisie 62351)</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najmenej 250 elektrických staniciach</w:t>
            </w:r>
            <w:r w:rsidR="00326E55" w:rsidRPr="00326E55">
              <w:rPr>
                <w:rFonts w:ascii="Times New Roman" w:hAnsi="Times New Roman"/>
                <w:noProof/>
                <w:spacing w:val="-6"/>
                <w:lang w:val="sk-SK"/>
              </w:rPr>
              <w:t>.</w:t>
            </w:r>
          </w:p>
          <w:p w14:paraId="7A6D0971" w14:textId="3B909D92" w:rsidR="00BF03AA" w:rsidRPr="00326E55" w:rsidRDefault="00FB452D">
            <w:pPr>
              <w:spacing w:after="120"/>
              <w:jc w:val="both"/>
              <w:rPr>
                <w:rFonts w:ascii="Times New Roman" w:hAnsi="Times New Roman"/>
                <w:noProof/>
                <w:color w:val="006100"/>
                <w:spacing w:val="-6"/>
                <w:sz w:val="20"/>
                <w:lang w:val="sk-SK"/>
              </w:rPr>
            </w:pPr>
            <w:r w:rsidRPr="00326E55">
              <w:rPr>
                <w:rFonts w:ascii="Times New Roman" w:hAnsi="Times New Roman"/>
                <w:noProof/>
                <w:color w:val="006100"/>
                <w:spacing w:val="-6"/>
                <w:sz w:val="20"/>
                <w:szCs w:val="20"/>
                <w:lang w:val="sk-SK"/>
              </w:rPr>
              <w:t>-</w:t>
            </w:r>
            <w:r w:rsidRPr="00326E55">
              <w:rPr>
                <w:rFonts w:ascii="Times New Roman" w:hAnsi="Times New Roman"/>
                <w:noProof/>
                <w:color w:val="006100"/>
                <w:spacing w:val="-6"/>
                <w:sz w:val="20"/>
                <w:lang w:val="sk-SK"/>
              </w:rPr>
              <w:t>Priemyselné monitorovacie systémy internetu vecí</w:t>
            </w:r>
            <w:r w:rsidR="00326E55" w:rsidRPr="00326E55">
              <w:rPr>
                <w:rFonts w:ascii="Times New Roman" w:hAnsi="Times New Roman"/>
                <w:noProof/>
                <w:color w:val="006100"/>
                <w:spacing w:val="-6"/>
                <w:sz w:val="20"/>
                <w:lang w:val="sk-SK"/>
              </w:rPr>
              <w:t xml:space="preserve"> v </w:t>
            </w:r>
            <w:r w:rsidRPr="00326E55">
              <w:rPr>
                <w:rFonts w:ascii="Times New Roman" w:hAnsi="Times New Roman"/>
                <w:noProof/>
                <w:color w:val="006100"/>
                <w:spacing w:val="-6"/>
                <w:sz w:val="20"/>
                <w:lang w:val="sk-SK"/>
              </w:rPr>
              <w:t>najmenej 1500</w:t>
            </w:r>
            <w:r w:rsidRPr="00326E55">
              <w:rPr>
                <w:rFonts w:ascii="Times New Roman" w:hAnsi="Times New Roman"/>
                <w:noProof/>
                <w:spacing w:val="-6"/>
                <w:sz w:val="23"/>
                <w:szCs w:val="23"/>
                <w:lang w:val="sk-SK"/>
              </w:rPr>
              <w:t xml:space="preserve"> </w:t>
            </w:r>
            <w:r w:rsidRPr="00326E55">
              <w:rPr>
                <w:rFonts w:ascii="Times New Roman" w:hAnsi="Times New Roman"/>
                <w:noProof/>
                <w:color w:val="006100"/>
                <w:spacing w:val="-6"/>
                <w:sz w:val="20"/>
                <w:lang w:val="sk-SK"/>
              </w:rPr>
              <w:t>elektrických pylónoch.</w:t>
            </w:r>
          </w:p>
          <w:p w14:paraId="3CA31415" w14:textId="1FC2CB25"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noProof/>
                <w:spacing w:val="-6"/>
                <w:lang w:val="sk-SK"/>
              </w:rPr>
              <w:t>Na overenie splnenia uvedených technických požiadaviek sa poskytne správa nezávislého inžiniera.</w:t>
            </w:r>
          </w:p>
        </w:tc>
      </w:tr>
      <w:tr w:rsidR="00BF03AA" w:rsidRPr="00326E55" w14:paraId="7E82048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F34BA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25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5CA98A53" w14:textId="080C023A"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8: Udržateľné, obehové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bezpečné dodávky kritických surovín</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6F2C716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1706B7A3" w14:textId="4A0BA506"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Uverejnenie 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budúcich potrebách kritických surovín</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potenciáli ekodizajnu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BFA594"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Uverejnenie správy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015E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95119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CFA89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8281B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B633E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44154197" w14:textId="5284675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Uverejnenie správy,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ktorej sa analyzujú budúce potreby kritických surovín</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potenciál ekodizajnu na zníženie dopytu po kritických surovinách.</w:t>
            </w:r>
          </w:p>
        </w:tc>
      </w:tr>
      <w:tr w:rsidR="00BF03AA" w:rsidRPr="00326E55" w14:paraId="4FC0AE69"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3FA7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26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16DBADC6" w14:textId="2CD5ACFF"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w:t>
            </w:r>
            <w:r w:rsidRPr="00326E55">
              <w:rPr>
                <w:rFonts w:ascii="Times New Roman" w:hAnsi="Times New Roman"/>
                <w:noProof/>
                <w:spacing w:val="-6"/>
                <w:lang w:val="sk-SK"/>
              </w:rPr>
              <w:t xml:space="preserve"> 8: Udržateľné, obehové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bezpečné dodávky kritických surovín</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04A64DE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7B07BA55" w14:textId="54344AE3"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Geografický informačný systém (GIS)</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ťažobnom odpade pre udržateľné, obehové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bezpečné dodávky kritických surovín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4552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Uverejnenie databázy</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C37FD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BA695"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026F4F"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74E09F"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A1313"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0E1ECF" w14:textId="65E79516"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Platforma geografického informačného systému je dostupná online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identifikuje recyklovateľné materiály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mestskom prostredí</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existujúci odpad</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opustených baniach.</w:t>
            </w:r>
          </w:p>
        </w:tc>
      </w:tr>
      <w:tr w:rsidR="00BF03AA" w:rsidRPr="00326E55" w14:paraId="52FC143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EFC95D"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M7 – 27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630CCFBF" w14:textId="7CF86410"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Investícia 8: Udržateľné, obehové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bezpečné dodávky kritických surovín</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7D8ABFDB"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Míľnik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4EEF1CDC" w14:textId="33606FD1"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Výskumné</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vývojové projekty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vybavenie laboratórií</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mestskej ťažby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ekodizajnu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2F7C4" w14:textId="0AEB5A95"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Uskutočnené projekty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dodané vybavenie najmenej 6 laboratórií technologického centra pre mestskú ťažbu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ekodizajn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57FDDC"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2AABA"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C7830"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ABA261"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DR</w:t>
            </w:r>
            <w:r w:rsidRPr="00326E55">
              <w:rPr>
                <w:rFonts w:ascii="Times New Roman" w:hAnsi="Times New Roman"/>
                <w:noProof/>
                <w:spacing w:val="-6"/>
                <w:lang w:val="sk-SK"/>
              </w:rPr>
              <w:t>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812E05"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38CF33EF" w14:textId="44D06545" w:rsidR="00BF03AA"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Záverečné správy vydané pre najmenej 10 projektov</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ekodizajnu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recyklácie odpadu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elektrických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elektronických zariadení.</w:t>
            </w:r>
          </w:p>
          <w:p w14:paraId="0008218F" w14:textId="285F7AFA"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Správy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dodávke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preberaní vybavenia najmenej 6 laboratórií Technologického</w:t>
            </w:r>
            <w:r w:rsidRPr="00326E55">
              <w:rPr>
                <w:rFonts w:ascii="Times New Roman" w:hAnsi="Times New Roman"/>
                <w:noProof/>
                <w:spacing w:val="-6"/>
                <w:lang w:val="sk-SK"/>
              </w:rPr>
              <w:t xml:space="preserve"> centra pre mestskú ťažbu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ekodizajn.</w:t>
            </w:r>
          </w:p>
        </w:tc>
      </w:tr>
      <w:tr w:rsidR="00BF03AA" w:rsidRPr="00326E55" w14:paraId="007A0BED"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A11EDC"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M7 – 30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29B5F6" w14:textId="1E3799A9"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10: Pilotný projekt</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zručností „Crescere Green“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6889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3DE9A" w14:textId="5E991235"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odbornej príprave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1FA58C"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E990B"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Počet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E202C7"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916695"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193740"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ŠTVRTÝ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6952E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256AAB" w14:textId="2750C1DB"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odbornej príprave vydané najmenej 20000 príjemcom </w:t>
            </w:r>
            <w:r w:rsidRPr="00326E55">
              <w:rPr>
                <w:rFonts w:ascii="Times New Roman" w:hAnsi="Times New Roman"/>
                <w:noProof/>
                <w:spacing w:val="-6"/>
                <w:lang w:val="sk-SK"/>
              </w:rPr>
              <w:t>pilotného projektu. Pilotný projekt sa vzťahuje aspoň na dva regióny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týka sa zelených zručností vymedzených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databáze ESCO.</w:t>
            </w:r>
          </w:p>
        </w:tc>
      </w:tr>
      <w:tr w:rsidR="00BF03AA" w:rsidRPr="00326E55" w14:paraId="3CF3346F"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28227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31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019BC" w14:textId="3D530A3A" w:rsidR="00BF03AA" w:rsidRPr="00326E55" w:rsidRDefault="00FB452D">
            <w:pPr>
              <w:pStyle w:val="P68B1DB1-Normal11"/>
              <w:spacing w:after="120"/>
              <w:jc w:val="center"/>
              <w:rPr>
                <w:rFonts w:ascii="Times New Roman" w:hAnsi="Times New Roman"/>
                <w:noProof/>
                <w:spacing w:val="-6"/>
                <w:lang w:val="sk-SK"/>
              </w:rPr>
            </w:pPr>
            <w:bookmarkStart w:id="26" w:name="_Hlk160472344"/>
            <w:r w:rsidRPr="00326E55">
              <w:rPr>
                <w:rFonts w:ascii="Times New Roman" w:hAnsi="Times New Roman"/>
                <w:noProof/>
                <w:spacing w:val="-6"/>
                <w:lang w:val="sk-SK"/>
              </w:rPr>
              <w:t>Investícia 11: Posilnenie vozového parku regionálnej verejnej železničnej dopravy (vlaky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univerzálna služba)</w:t>
            </w:r>
            <w:bookmarkEnd w:id="26"/>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A81E10"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95FA58" w14:textId="3E9B35CD"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Počet registrovaných vlakov</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B1D417"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225332"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E5AA9"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48F9C3"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75</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A264B0"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FD8C47"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8D834E" w14:textId="721FB05F" w:rsidR="00BF03AA" w:rsidRPr="00326E55" w:rsidRDefault="00FB452D">
            <w:pPr>
              <w:pStyle w:val="P68B1DB1-Normal12"/>
              <w:spacing w:after="120"/>
              <w:rPr>
                <w:rFonts w:ascii="Times New Roman" w:hAnsi="Times New Roman"/>
                <w:noProof/>
                <w:spacing w:val="-6"/>
                <w:highlight w:val="yellow"/>
                <w:lang w:val="sk-SK"/>
              </w:rPr>
            </w:pPr>
            <w:r w:rsidRPr="00326E55">
              <w:rPr>
                <w:rFonts w:ascii="Times New Roman" w:hAnsi="Times New Roman"/>
                <w:noProof/>
                <w:spacing w:val="-6"/>
                <w:lang w:val="sk-SK"/>
              </w:rPr>
              <w:t>Registrácia najmenej 75 vlakov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 (elektrické alebo vodíkové palivové články) nad železničnými koľajovými vozidlami uvedenými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investícii 4.4.2 </w:t>
            </w:r>
            <w:r w:rsidRPr="00326E55">
              <w:rPr>
                <w:rFonts w:ascii="Times New Roman" w:hAnsi="Times New Roman"/>
                <w:noProof/>
                <w:spacing w:val="-6"/>
                <w:lang w:val="sk-SK"/>
              </w:rPr>
              <w:t>komponentu 2 úlohy 2</w:t>
            </w:r>
          </w:p>
        </w:tc>
      </w:tr>
      <w:tr w:rsidR="00BF03AA" w:rsidRPr="00326E55" w14:paraId="700A56EF"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2F4BC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32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B201C" w14:textId="31237A95"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12 Finančný nástroj na rozvoj medzinárodného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priemyselného vedúceho postavenia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vedúceho postavenia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výskumu</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vývoja</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oblasti autobusov</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8B8D97"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C3B544"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Vykonávacia dohoda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0DE29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w:t>
            </w:r>
            <w:r w:rsidRPr="00326E55">
              <w:rPr>
                <w:rFonts w:ascii="Times New Roman" w:hAnsi="Times New Roman"/>
                <w:noProof/>
                <w:spacing w:val="-6"/>
                <w:lang w:val="sk-SK"/>
              </w:rPr>
              <w:t>platnosti vykonávacej dohody</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BBD56"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5B627D" w14:textId="77777777" w:rsidR="00BF03AA" w:rsidRPr="00326E55" w:rsidRDefault="00BF03AA">
            <w:pPr>
              <w:spacing w:after="120"/>
              <w:jc w:val="center"/>
              <w:rPr>
                <w:rFonts w:ascii="Times New Roman" w:hAnsi="Times New Roman"/>
                <w:noProof/>
                <w:color w:val="006100"/>
                <w:spacing w:val="-6"/>
                <w:sz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DE0B82"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C599B"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PRVÝ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B69847"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FCB721" w14:textId="77777777" w:rsidR="00BF03AA" w:rsidRPr="00326E55" w:rsidRDefault="00FB452D">
            <w:pPr>
              <w:pStyle w:val="P68B1DB1-Normal11"/>
              <w:jc w:val="both"/>
              <w:rPr>
                <w:rFonts w:ascii="Times New Roman" w:hAnsi="Times New Roman"/>
                <w:noProof/>
                <w:spacing w:val="-6"/>
                <w:lang w:val="sk-SK"/>
              </w:rPr>
            </w:pPr>
            <w:r w:rsidRPr="00326E55">
              <w:rPr>
                <w:rFonts w:ascii="Times New Roman" w:hAnsi="Times New Roman"/>
                <w:noProof/>
                <w:spacing w:val="-6"/>
                <w:lang w:val="sk-SK"/>
              </w:rPr>
              <w:t>Nadobudnutie platnosti vykonávacej dohody.</w:t>
            </w:r>
          </w:p>
        </w:tc>
      </w:tr>
      <w:tr w:rsidR="00BF03AA" w:rsidRPr="00326E55" w14:paraId="6BFC66F1"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60908"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M7 – 50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55BA2" w14:textId="7A12F018"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Investícia 18 – Rozširujúce opatrenie: Program obnovy vozového parku súkromných</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ľahkých úžitkových vozidiel</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elektrickými vozidlami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194CFE"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AB588E"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Počet </w:t>
            </w:r>
            <w:r w:rsidRPr="00326E55">
              <w:rPr>
                <w:rFonts w:ascii="Times New Roman" w:hAnsi="Times New Roman"/>
                <w:noProof/>
                <w:spacing w:val="-6"/>
                <w:lang w:val="sk-SK"/>
              </w:rPr>
              <w:t>zakúpených vozidiel</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7126D6"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EBD2C3"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Počet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012F6C" w14:textId="25FE5254"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30 830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51EFF" w14:textId="79E98383"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46 500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02F188"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8C088"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ED7E2" w14:textId="72B3877E"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szCs w:val="20"/>
                <w:lang w:val="sk-SK"/>
              </w:rPr>
              <w:t xml:space="preserve">Zmluvy na nákup najmenej 46500  </w:t>
            </w:r>
            <w:r w:rsidRPr="00326E55">
              <w:rPr>
                <w:rFonts w:ascii="Times New Roman" w:hAnsi="Times New Roman"/>
                <w:noProof/>
                <w:spacing w:val="-6"/>
                <w:lang w:val="sk-SK"/>
              </w:rPr>
              <w:t xml:space="preserve"> </w:t>
            </w:r>
            <w:r w:rsidRPr="00326E55">
              <w:rPr>
                <w:rFonts w:ascii="Times New Roman" w:hAnsi="Times New Roman"/>
                <w:noProof/>
                <w:spacing w:val="-6"/>
                <w:szCs w:val="20"/>
                <w:lang w:val="sk-SK"/>
              </w:rPr>
              <w:t>vozidiel</w:t>
            </w:r>
            <w:r w:rsidR="00326E55" w:rsidRPr="00326E55">
              <w:rPr>
                <w:rFonts w:ascii="Times New Roman" w:hAnsi="Times New Roman"/>
                <w:noProof/>
                <w:spacing w:val="-6"/>
                <w:szCs w:val="20"/>
                <w:lang w:val="sk-SK"/>
              </w:rPr>
              <w:t xml:space="preserve"> s </w:t>
            </w:r>
            <w:r w:rsidRPr="00326E55">
              <w:rPr>
                <w:rFonts w:ascii="Times New Roman" w:hAnsi="Times New Roman"/>
                <w:noProof/>
                <w:spacing w:val="-6"/>
                <w:szCs w:val="20"/>
                <w:lang w:val="sk-SK"/>
              </w:rPr>
              <w:t>nulovými emisiami.</w:t>
            </w:r>
          </w:p>
          <w:p w14:paraId="27ACAE9A" w14:textId="453C15B7" w:rsidR="00BF03AA"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Pre každé vozidlo sa poskytne aj 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zošrotovaní, ktorým sa zošrotuje tepelné vozidlo.</w:t>
            </w:r>
          </w:p>
          <w:p w14:paraId="26B317F3" w14:textId="7777777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Schéma sa zameriava na:</w:t>
            </w:r>
          </w:p>
          <w:p w14:paraId="3FAA7C20" w14:textId="69019627"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O</w:t>
            </w:r>
            <w:r w:rsidRPr="00326E55">
              <w:rPr>
                <w:rFonts w:ascii="Times New Roman" w:hAnsi="Times New Roman"/>
                <w:noProof/>
                <w:spacing w:val="-6"/>
                <w:lang w:val="sk-SK"/>
              </w:rPr>
              <w:t>soby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bydliskom vo funkčných mestských oblastiach.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jednotlivcov sú oprávnené len vozidlá kategórie M1.</w:t>
            </w:r>
          </w:p>
          <w:p w14:paraId="0A68AFF8" w14:textId="47498059"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 Mikropodniky vymedzené</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článku 2 ods. 9 nariadenia (EÚ) 2023/955 so sídlom vo funkčných mestských oblastiach.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mikropodnikov sú op</w:t>
            </w:r>
            <w:r w:rsidRPr="00326E55">
              <w:rPr>
                <w:rFonts w:ascii="Times New Roman" w:hAnsi="Times New Roman"/>
                <w:noProof/>
                <w:spacing w:val="-6"/>
                <w:lang w:val="sk-SK"/>
              </w:rPr>
              <w:t>rávnené len vozidlá kategórií N1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N2.</w:t>
            </w:r>
          </w:p>
          <w:p w14:paraId="6C412FE1" w14:textId="1D439D2A" w:rsidR="00326E55"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V prípade súkromných vozidiel (M1) stimul predstavuje maximálne 11 000 EUR na nové vozidlo pre osoby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rovnocenným ukazovateľom hospodárskej situácie (ISEE – Indicatore della Situazione Economica Equivalente) nižší al</w:t>
            </w:r>
            <w:r w:rsidRPr="00326E55">
              <w:rPr>
                <w:rFonts w:ascii="Times New Roman" w:hAnsi="Times New Roman"/>
                <w:noProof/>
                <w:spacing w:val="-6"/>
                <w:lang w:val="sk-SK"/>
              </w:rPr>
              <w:t>ebo rovný 30 000 EUR</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maximálne 9 000 EUR na nové vozidlo pre osoby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ISEE vyšším ako 30 000 EUR, ale nižším alebo rovným 40 000 EUR.</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prípade úžitkových vozidiel (N1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N2) pokrýva stimul až 30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kúpnej ceny, ktorá je obmedzená na maximálne 20 000 EUR za nové vozidlo</w:t>
            </w:r>
            <w:r w:rsidR="00326E55" w:rsidRPr="00326E55">
              <w:rPr>
                <w:rFonts w:ascii="Times New Roman" w:hAnsi="Times New Roman"/>
                <w:noProof/>
                <w:spacing w:val="-6"/>
                <w:lang w:val="sk-SK"/>
              </w:rPr>
              <w:t>.</w:t>
            </w:r>
          </w:p>
          <w:p w14:paraId="6A55787E" w14:textId="39413070" w:rsidR="00BF03AA" w:rsidRPr="00326E55" w:rsidRDefault="00FB452D">
            <w:pPr>
              <w:pStyle w:val="P68B1DB1-Normal12"/>
              <w:jc w:val="both"/>
              <w:rPr>
                <w:rFonts w:ascii="Times New Roman" w:hAnsi="Times New Roman"/>
                <w:noProof/>
                <w:spacing w:val="-6"/>
                <w:lang w:val="sk-SK"/>
              </w:rPr>
            </w:pPr>
            <w:r w:rsidRPr="00326E55">
              <w:rPr>
                <w:rFonts w:ascii="Times New Roman" w:hAnsi="Times New Roman"/>
                <w:noProof/>
                <w:spacing w:val="-6"/>
                <w:lang w:val="sk-SK"/>
              </w:rPr>
              <w:t>Systém sa zameriava len na nákup vozidiel</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nulovými emisiami.</w:t>
            </w:r>
          </w:p>
        </w:tc>
      </w:tr>
    </w:tbl>
    <w:p w14:paraId="4D061E57" w14:textId="77777777" w:rsidR="00BF03AA" w:rsidRPr="00326E55" w:rsidRDefault="00BF03AA">
      <w:pPr>
        <w:tabs>
          <w:tab w:val="left" w:pos="4252"/>
        </w:tabs>
        <w:spacing w:after="120"/>
        <w:rPr>
          <w:rFonts w:ascii="Times New Roman" w:hAnsi="Times New Roman"/>
          <w:i/>
          <w:noProof/>
          <w:spacing w:val="-6"/>
          <w:lang w:val="sk-SK"/>
        </w:rPr>
        <w:sectPr w:rsidR="00BF03AA" w:rsidRPr="00326E55" w:rsidSect="005F11B9">
          <w:headerReference w:type="default" r:id="rId322"/>
          <w:footerReference w:type="default" r:id="rId323"/>
          <w:pgSz w:w="16838" w:h="11906" w:orient="landscape" w:code="9"/>
          <w:pgMar w:top="1134" w:right="1134" w:bottom="1134" w:left="1134" w:header="567" w:footer="567" w:gutter="0"/>
          <w:cols w:space="720"/>
          <w:docGrid w:linePitch="360"/>
        </w:sectPr>
      </w:pPr>
    </w:p>
    <w:p w14:paraId="364BF0A2" w14:textId="77777777" w:rsidR="00326E55" w:rsidRPr="00326E55" w:rsidRDefault="00FB452D">
      <w:pPr>
        <w:pStyle w:val="P68B1DB1-Heading368"/>
        <w:ind w:left="850" w:hanging="850"/>
        <w:rPr>
          <w:noProof/>
          <w:spacing w:val="-6"/>
          <w:lang w:val="sk-SK"/>
        </w:rPr>
      </w:pPr>
      <w:bookmarkStart w:id="27" w:name="_Hlk180665465"/>
      <w:r w:rsidRPr="00326E55">
        <w:rPr>
          <w:noProof/>
          <w:spacing w:val="-6"/>
          <w:lang w:val="sk-SK"/>
        </w:rPr>
        <w:t xml:space="preserve">OTÁZKA Č. 3. </w:t>
      </w:r>
      <w:r w:rsidRPr="00326E55">
        <w:rPr>
          <w:noProof/>
          <w:spacing w:val="-6"/>
          <w:lang w:val="sk-SK"/>
        </w:rPr>
        <w:tab/>
        <w:t>Opis reforiem</w:t>
      </w:r>
      <w:r w:rsidR="00326E55" w:rsidRPr="00326E55">
        <w:rPr>
          <w:noProof/>
          <w:spacing w:val="-6"/>
          <w:lang w:val="sk-SK"/>
        </w:rPr>
        <w:t xml:space="preserve"> a </w:t>
      </w:r>
      <w:r w:rsidRPr="00326E55">
        <w:rPr>
          <w:noProof/>
          <w:spacing w:val="-6"/>
          <w:lang w:val="sk-SK"/>
        </w:rPr>
        <w:t>investícií</w:t>
      </w:r>
      <w:r w:rsidR="00326E55" w:rsidRPr="00326E55">
        <w:rPr>
          <w:noProof/>
          <w:spacing w:val="-6"/>
          <w:lang w:val="sk-SK"/>
        </w:rPr>
        <w:t xml:space="preserve"> v </w:t>
      </w:r>
      <w:r w:rsidRPr="00326E55">
        <w:rPr>
          <w:noProof/>
          <w:spacing w:val="-6"/>
          <w:lang w:val="sk-SK"/>
        </w:rPr>
        <w:t xml:space="preserve">rámci </w:t>
      </w:r>
      <w:r w:rsidRPr="00326E55">
        <w:rPr>
          <w:noProof/>
          <w:spacing w:val="-6"/>
          <w:lang w:val="sk-SK"/>
        </w:rPr>
        <w:t>úverového financovania</w:t>
      </w:r>
    </w:p>
    <w:p w14:paraId="2CBD59FB" w14:textId="74492CE3" w:rsidR="00BF03AA" w:rsidRPr="00326E55" w:rsidRDefault="00FB452D">
      <w:pPr>
        <w:pStyle w:val="P68B1DB1-Heading4107"/>
        <w:spacing w:before="0"/>
        <w:rPr>
          <w:noProof/>
          <w:spacing w:val="-6"/>
          <w:lang w:val="sk-SK"/>
        </w:rPr>
      </w:pPr>
      <w:bookmarkStart w:id="28" w:name="_Hlk140650645"/>
      <w:bookmarkEnd w:id="27"/>
      <w:r w:rsidRPr="00326E55">
        <w:rPr>
          <w:noProof/>
          <w:spacing w:val="-6"/>
          <w:lang w:val="sk-SK"/>
        </w:rPr>
        <w:t>Investícia 13. Fáza 1 Jadranskej linky (kompresorová stanica Sulmona</w:t>
      </w:r>
      <w:r w:rsidR="00326E55" w:rsidRPr="00326E55">
        <w:rPr>
          <w:noProof/>
          <w:spacing w:val="-6"/>
          <w:lang w:val="sk-SK"/>
        </w:rPr>
        <w:t xml:space="preserve"> a </w:t>
      </w:r>
      <w:r w:rsidRPr="00326E55">
        <w:rPr>
          <w:noProof/>
          <w:spacing w:val="-6"/>
          <w:lang w:val="sk-SK"/>
        </w:rPr>
        <w:t>plynovod Sestino-Minerbio)</w:t>
      </w:r>
    </w:p>
    <w:p w14:paraId="7731CA39" w14:textId="7C9DBBBD" w:rsidR="00BF03AA" w:rsidRPr="00326E55" w:rsidRDefault="00FB452D">
      <w:pPr>
        <w:pStyle w:val="P68B1DB1-Text143"/>
        <w:spacing w:before="0"/>
        <w:ind w:left="0"/>
        <w:rPr>
          <w:noProof/>
          <w:spacing w:val="-6"/>
          <w:lang w:val="sk-SK"/>
        </w:rPr>
      </w:pPr>
      <w:r w:rsidRPr="00326E55">
        <w:rPr>
          <w:noProof/>
          <w:spacing w:val="-6"/>
          <w:lang w:val="sk-SK"/>
        </w:rPr>
        <w:t>Cieľom tejto investície je zvýšiť</w:t>
      </w:r>
      <w:r w:rsidR="00326E55" w:rsidRPr="00326E55">
        <w:rPr>
          <w:noProof/>
          <w:spacing w:val="-6"/>
          <w:lang w:val="sk-SK"/>
        </w:rPr>
        <w:t xml:space="preserve"> a </w:t>
      </w:r>
      <w:r w:rsidRPr="00326E55">
        <w:rPr>
          <w:noProof/>
          <w:spacing w:val="-6"/>
          <w:lang w:val="sk-SK"/>
        </w:rPr>
        <w:t>diverzifikovať bezpečnosť dodávok plynu vrátane skvapalneného zemného plynu. Opatrenie pozostáva</w:t>
      </w:r>
      <w:r w:rsidR="00326E55" w:rsidRPr="00326E55">
        <w:rPr>
          <w:noProof/>
          <w:spacing w:val="-6"/>
          <w:lang w:val="sk-SK"/>
        </w:rPr>
        <w:t xml:space="preserve"> z </w:t>
      </w:r>
      <w:r w:rsidRPr="00326E55">
        <w:rPr>
          <w:noProof/>
          <w:spacing w:val="-6"/>
          <w:lang w:val="sk-SK"/>
        </w:rPr>
        <w:t>výstavby kompresorovej stanice</w:t>
      </w:r>
      <w:r w:rsidR="00326E55" w:rsidRPr="00326E55">
        <w:rPr>
          <w:noProof/>
          <w:spacing w:val="-6"/>
          <w:lang w:val="sk-SK"/>
        </w:rPr>
        <w:t xml:space="preserve"> v </w:t>
      </w:r>
      <w:r w:rsidRPr="00326E55">
        <w:rPr>
          <w:noProof/>
          <w:spacing w:val="-6"/>
          <w:lang w:val="sk-SK"/>
        </w:rPr>
        <w:t>Sulmone</w:t>
      </w:r>
      <w:r w:rsidR="00326E55" w:rsidRPr="00326E55">
        <w:rPr>
          <w:noProof/>
          <w:spacing w:val="-6"/>
          <w:lang w:val="sk-SK"/>
        </w:rPr>
        <w:t xml:space="preserve"> a </w:t>
      </w:r>
      <w:r w:rsidRPr="00326E55">
        <w:rPr>
          <w:noProof/>
          <w:spacing w:val="-6"/>
          <w:lang w:val="sk-SK"/>
        </w:rPr>
        <w:t>plynovodu spájajúceho uzly Sestino</w:t>
      </w:r>
      <w:r w:rsidR="00326E55" w:rsidRPr="00326E55">
        <w:rPr>
          <w:noProof/>
          <w:spacing w:val="-6"/>
          <w:lang w:val="sk-SK"/>
        </w:rPr>
        <w:t xml:space="preserve"> a </w:t>
      </w:r>
      <w:r w:rsidRPr="00326E55">
        <w:rPr>
          <w:noProof/>
          <w:spacing w:val="-6"/>
          <w:lang w:val="sk-SK"/>
        </w:rPr>
        <w:t>Minerbio ako súčasti jadranskej línie.</w:t>
      </w:r>
    </w:p>
    <w:p w14:paraId="4C27D6F4" w14:textId="77777777" w:rsidR="00BF03AA" w:rsidRPr="00326E55" w:rsidRDefault="00FB452D">
      <w:pPr>
        <w:pStyle w:val="P68B1DB1-Heading4107"/>
        <w:numPr>
          <w:ilvl w:val="3"/>
          <w:numId w:val="0"/>
        </w:numPr>
        <w:ind w:left="850" w:hanging="850"/>
        <w:rPr>
          <w:noProof/>
          <w:spacing w:val="-6"/>
          <w:lang w:val="sk-SK"/>
        </w:rPr>
      </w:pPr>
      <w:r w:rsidRPr="00326E55">
        <w:rPr>
          <w:noProof/>
          <w:spacing w:val="-6"/>
          <w:lang w:val="sk-SK"/>
        </w:rPr>
        <w:t>Investícia 14. Infraštruktúra cezhraničného vývozu plynu</w:t>
      </w:r>
    </w:p>
    <w:p w14:paraId="2F6E3E5C" w14:textId="68EDA7EE" w:rsidR="00BF03AA" w:rsidRPr="00326E55" w:rsidRDefault="00FB452D">
      <w:pPr>
        <w:pStyle w:val="P68B1DB1-Text143"/>
        <w:spacing w:before="0"/>
        <w:ind w:left="0"/>
        <w:rPr>
          <w:noProof/>
          <w:spacing w:val="-6"/>
          <w:lang w:val="sk-SK"/>
        </w:rPr>
      </w:pPr>
      <w:r w:rsidRPr="00326E55">
        <w:rPr>
          <w:noProof/>
          <w:spacing w:val="-6"/>
          <w:lang w:val="sk-SK"/>
        </w:rPr>
        <w:t>Cieľom tejto investície je zvýšiť</w:t>
      </w:r>
      <w:r w:rsidR="00326E55" w:rsidRPr="00326E55">
        <w:rPr>
          <w:noProof/>
          <w:spacing w:val="-6"/>
          <w:lang w:val="sk-SK"/>
        </w:rPr>
        <w:t xml:space="preserve"> a </w:t>
      </w:r>
      <w:r w:rsidRPr="00326E55">
        <w:rPr>
          <w:noProof/>
          <w:spacing w:val="-6"/>
          <w:lang w:val="sk-SK"/>
        </w:rPr>
        <w:t>diverzifikovať bezpečnosť dodávok plynu vrát</w:t>
      </w:r>
      <w:r w:rsidRPr="00326E55">
        <w:rPr>
          <w:noProof/>
          <w:spacing w:val="-6"/>
          <w:lang w:val="sk-SK"/>
        </w:rPr>
        <w:t>ane skvapalneného zemného plynu. Táto investícia pozostáva</w:t>
      </w:r>
      <w:r w:rsidR="00326E55" w:rsidRPr="00326E55">
        <w:rPr>
          <w:noProof/>
          <w:spacing w:val="-6"/>
          <w:lang w:val="sk-SK"/>
        </w:rPr>
        <w:t xml:space="preserve"> z </w:t>
      </w:r>
      <w:r w:rsidRPr="00326E55">
        <w:rPr>
          <w:noProof/>
          <w:spacing w:val="-6"/>
          <w:lang w:val="sk-SK"/>
        </w:rPr>
        <w:t>modernizácie existujúcej plynárenskej infraštruktúry umožňujúcej vývoz zemného plynu cez výstupný bod Tarvisio, najmä prostredníctvom výstavby novej elektrickej kompresnej jednotky</w:t>
      </w:r>
      <w:r w:rsidR="00326E55" w:rsidRPr="00326E55">
        <w:rPr>
          <w:noProof/>
          <w:spacing w:val="-6"/>
          <w:lang w:val="sk-SK"/>
        </w:rPr>
        <w:t xml:space="preserve"> v </w:t>
      </w:r>
      <w:r w:rsidRPr="00326E55">
        <w:rPr>
          <w:noProof/>
          <w:spacing w:val="-6"/>
          <w:lang w:val="sk-SK"/>
        </w:rPr>
        <w:t>kompresorove</w:t>
      </w:r>
      <w:r w:rsidRPr="00326E55">
        <w:rPr>
          <w:noProof/>
          <w:spacing w:val="-6"/>
          <w:lang w:val="sk-SK"/>
        </w:rPr>
        <w:t>j stanici Poggio Renatico.</w:t>
      </w:r>
    </w:p>
    <w:p w14:paraId="3BBAAD68" w14:textId="77777777" w:rsidR="00326E55" w:rsidRPr="00326E55" w:rsidRDefault="00FB452D">
      <w:pPr>
        <w:pStyle w:val="P68B1DB1-Heading4107"/>
        <w:numPr>
          <w:ilvl w:val="3"/>
          <w:numId w:val="0"/>
        </w:numPr>
        <w:ind w:left="850" w:hanging="850"/>
        <w:rPr>
          <w:noProof/>
          <w:spacing w:val="-6"/>
          <w:lang w:val="sk-SK"/>
        </w:rPr>
      </w:pPr>
      <w:r w:rsidRPr="00326E55">
        <w:rPr>
          <w:noProof/>
          <w:spacing w:val="-6"/>
          <w:lang w:val="sk-SK"/>
        </w:rPr>
        <w:t>Investícia 15. Transizione 5.0</w:t>
      </w:r>
    </w:p>
    <w:bookmarkEnd w:id="28"/>
    <w:p w14:paraId="4A4AEC85" w14:textId="58250863" w:rsidR="00BF03AA" w:rsidRPr="00326E55" w:rsidRDefault="00FB452D">
      <w:pPr>
        <w:pStyle w:val="P68B1DB1-Normal7"/>
        <w:spacing w:after="120"/>
        <w:jc w:val="both"/>
        <w:rPr>
          <w:noProof/>
          <w:spacing w:val="-6"/>
          <w:lang w:val="sk-SK"/>
        </w:rPr>
      </w:pPr>
      <w:r w:rsidRPr="00326E55">
        <w:rPr>
          <w:noProof/>
          <w:spacing w:val="-6"/>
          <w:lang w:val="sk-SK"/>
        </w:rPr>
        <w:t>Cieľom tejto investície je podporiť prechod na energeticky efektívne, udržateľné výrobné modely založené na obnoviteľných zdrojoch energie pre firmy. Investícia pozostáva</w:t>
      </w:r>
      <w:r w:rsidR="00326E55" w:rsidRPr="00326E55">
        <w:rPr>
          <w:noProof/>
          <w:spacing w:val="-6"/>
          <w:lang w:val="sk-SK"/>
        </w:rPr>
        <w:t xml:space="preserve"> z </w:t>
      </w:r>
      <w:r w:rsidRPr="00326E55">
        <w:rPr>
          <w:noProof/>
          <w:spacing w:val="-6"/>
          <w:lang w:val="sk-SK"/>
        </w:rPr>
        <w:t>poskytnutia daňového úver</w:t>
      </w:r>
      <w:r w:rsidRPr="00326E55">
        <w:rPr>
          <w:noProof/>
          <w:spacing w:val="-6"/>
          <w:lang w:val="sk-SK"/>
        </w:rPr>
        <w:t>u firmám, ktorý zodpovedá oprávneným výdavkom vzniknutým</w:t>
      </w:r>
      <w:r w:rsidR="00326E55" w:rsidRPr="00326E55">
        <w:rPr>
          <w:noProof/>
          <w:spacing w:val="-6"/>
          <w:lang w:val="sk-SK"/>
        </w:rPr>
        <w:t xml:space="preserve"> v </w:t>
      </w:r>
      <w:r w:rsidRPr="00326E55">
        <w:rPr>
          <w:noProof/>
          <w:spacing w:val="-6"/>
          <w:lang w:val="sk-SK"/>
        </w:rPr>
        <w:t>období od 1</w:t>
      </w:r>
      <w:r w:rsidR="00326E55" w:rsidRPr="00326E55">
        <w:rPr>
          <w:noProof/>
          <w:spacing w:val="-6"/>
          <w:lang w:val="sk-SK"/>
        </w:rPr>
        <w:t>. januára</w:t>
      </w:r>
      <w:r w:rsidRPr="00326E55">
        <w:rPr>
          <w:noProof/>
          <w:spacing w:val="-6"/>
          <w:lang w:val="sk-SK"/>
        </w:rPr>
        <w:t xml:space="preserve"> 2024 do 31</w:t>
      </w:r>
      <w:r w:rsidR="00326E55" w:rsidRPr="00326E55">
        <w:rPr>
          <w:noProof/>
          <w:spacing w:val="-6"/>
          <w:lang w:val="sk-SK"/>
        </w:rPr>
        <w:t>. decembra</w:t>
      </w:r>
      <w:r w:rsidRPr="00326E55">
        <w:rPr>
          <w:noProof/>
          <w:spacing w:val="-6"/>
          <w:lang w:val="sk-SK"/>
        </w:rPr>
        <w:t xml:space="preserve"> 2025, konkrétne digitálnym aktívam (4,0 hmotného investičného majetku, 4,0 nehmotného investičného majetku)</w:t>
      </w:r>
      <w:r w:rsidRPr="00326E55">
        <w:rPr>
          <w:noProof/>
          <w:spacing w:val="-6"/>
          <w:lang w:val="sk-SK"/>
        </w:rPr>
        <w:footnoteReference w:id="97"/>
      </w:r>
      <w:r w:rsidRPr="00326E55">
        <w:rPr>
          <w:noProof/>
          <w:spacing w:val="-6"/>
          <w:lang w:val="sk-SK"/>
        </w:rPr>
        <w:t>, aktívam potrebným na vlastnú výrobu</w:t>
      </w:r>
      <w:r w:rsidR="00326E55" w:rsidRPr="00326E55">
        <w:rPr>
          <w:noProof/>
          <w:spacing w:val="-6"/>
          <w:lang w:val="sk-SK"/>
        </w:rPr>
        <w:t xml:space="preserve"> a </w:t>
      </w:r>
      <w:r w:rsidRPr="00326E55">
        <w:rPr>
          <w:noProof/>
          <w:spacing w:val="-6"/>
          <w:lang w:val="sk-SK"/>
        </w:rPr>
        <w:t>vlastnú</w:t>
      </w:r>
      <w:r w:rsidRPr="00326E55">
        <w:rPr>
          <w:noProof/>
          <w:spacing w:val="-6"/>
          <w:lang w:val="sk-SK"/>
        </w:rPr>
        <w:t xml:space="preserve"> spotrebu</w:t>
      </w:r>
      <w:r w:rsidR="00326E55" w:rsidRPr="00326E55">
        <w:rPr>
          <w:noProof/>
          <w:spacing w:val="-6"/>
          <w:lang w:val="sk-SK"/>
        </w:rPr>
        <w:t xml:space="preserve"> z </w:t>
      </w:r>
      <w:r w:rsidRPr="00326E55">
        <w:rPr>
          <w:noProof/>
          <w:spacing w:val="-6"/>
          <w:lang w:val="sk-SK"/>
        </w:rPr>
        <w:t>obnoviteľných zdrojov (s výnimkou biomasy)</w:t>
      </w:r>
      <w:r w:rsidR="00326E55" w:rsidRPr="00326E55">
        <w:rPr>
          <w:noProof/>
          <w:spacing w:val="-6"/>
          <w:lang w:val="sk-SK"/>
        </w:rPr>
        <w:t xml:space="preserve"> a </w:t>
      </w:r>
      <w:r w:rsidRPr="00326E55">
        <w:rPr>
          <w:noProof/>
          <w:spacing w:val="-6"/>
          <w:lang w:val="sk-SK"/>
        </w:rPr>
        <w:t>odbornej príprave zamestnancov</w:t>
      </w:r>
      <w:r w:rsidR="00326E55" w:rsidRPr="00326E55">
        <w:rPr>
          <w:noProof/>
          <w:spacing w:val="-6"/>
          <w:lang w:val="sk-SK"/>
        </w:rPr>
        <w:t xml:space="preserve"> v </w:t>
      </w:r>
      <w:r w:rsidRPr="00326E55">
        <w:rPr>
          <w:noProof/>
          <w:spacing w:val="-6"/>
          <w:lang w:val="sk-SK"/>
        </w:rPr>
        <w:t>oblasti zručností potrebných pre zelenú transformáciu. Investícia pozostáva aj zo zriadenia platformy na podporu IT</w:t>
      </w:r>
      <w:r w:rsidR="00326E55" w:rsidRPr="00326E55">
        <w:rPr>
          <w:noProof/>
          <w:spacing w:val="-6"/>
          <w:lang w:val="sk-SK"/>
        </w:rPr>
        <w:t xml:space="preserve"> a </w:t>
      </w:r>
      <w:r w:rsidRPr="00326E55">
        <w:rPr>
          <w:noProof/>
          <w:spacing w:val="-6"/>
          <w:lang w:val="sk-SK"/>
        </w:rPr>
        <w:t>súvisiacich činností na účely riadenia, monitoro</w:t>
      </w:r>
      <w:r w:rsidRPr="00326E55">
        <w:rPr>
          <w:noProof/>
          <w:spacing w:val="-6"/>
          <w:lang w:val="sk-SK"/>
        </w:rPr>
        <w:t>vania</w:t>
      </w:r>
      <w:r w:rsidR="00326E55" w:rsidRPr="00326E55">
        <w:rPr>
          <w:noProof/>
          <w:spacing w:val="-6"/>
          <w:lang w:val="sk-SK"/>
        </w:rPr>
        <w:t xml:space="preserve"> a </w:t>
      </w:r>
      <w:r w:rsidRPr="00326E55">
        <w:rPr>
          <w:noProof/>
          <w:spacing w:val="-6"/>
          <w:lang w:val="sk-SK"/>
        </w:rPr>
        <w:t>kontroly, ktoré poskytuje GSE – Gestore Servizi Energetici.</w:t>
      </w:r>
    </w:p>
    <w:p w14:paraId="42FBCC12" w14:textId="77777777" w:rsidR="00BF03AA" w:rsidRPr="00326E55" w:rsidRDefault="00BF03AA">
      <w:pPr>
        <w:spacing w:after="120"/>
        <w:jc w:val="both"/>
        <w:rPr>
          <w:rFonts w:ascii="Times New Roman" w:hAnsi="Times New Roman" w:cs="Times New Roman"/>
          <w:noProof/>
          <w:spacing w:val="-6"/>
          <w:lang w:val="sk-SK"/>
        </w:rPr>
      </w:pPr>
    </w:p>
    <w:p w14:paraId="37609936" w14:textId="22760C6B" w:rsidR="00BF03AA" w:rsidRPr="00326E55" w:rsidRDefault="00FB452D">
      <w:pPr>
        <w:pStyle w:val="P68B1DB1-Heading4107"/>
        <w:numPr>
          <w:ilvl w:val="3"/>
          <w:numId w:val="0"/>
        </w:numPr>
        <w:rPr>
          <w:noProof/>
          <w:spacing w:val="-6"/>
          <w:lang w:val="sk-SK"/>
        </w:rPr>
      </w:pPr>
      <w:r w:rsidRPr="00326E55">
        <w:rPr>
          <w:noProof/>
          <w:spacing w:val="-6"/>
          <w:lang w:val="sk-SK"/>
        </w:rPr>
        <w:t>Investícia 16. Podpora MSP na vlastnú výrobu</w:t>
      </w:r>
      <w:r w:rsidR="00326E55" w:rsidRPr="00326E55">
        <w:rPr>
          <w:noProof/>
          <w:spacing w:val="-6"/>
          <w:lang w:val="sk-SK"/>
        </w:rPr>
        <w:t xml:space="preserve"> z </w:t>
      </w:r>
      <w:r w:rsidRPr="00326E55">
        <w:rPr>
          <w:noProof/>
          <w:spacing w:val="-6"/>
          <w:lang w:val="sk-SK"/>
        </w:rPr>
        <w:t>obnoviteľných zdrojov energie</w:t>
      </w:r>
    </w:p>
    <w:p w14:paraId="0FE27FDE" w14:textId="419A7B8A" w:rsidR="00BF03AA" w:rsidRPr="00326E55" w:rsidRDefault="00FB452D">
      <w:pPr>
        <w:pStyle w:val="P68B1DB1-Normal7"/>
        <w:spacing w:after="120"/>
        <w:jc w:val="both"/>
        <w:rPr>
          <w:noProof/>
          <w:spacing w:val="-6"/>
          <w:lang w:val="sk-SK"/>
        </w:rPr>
      </w:pPr>
      <w:r w:rsidRPr="00326E55">
        <w:rPr>
          <w:noProof/>
          <w:spacing w:val="-6"/>
          <w:lang w:val="sk-SK"/>
        </w:rPr>
        <w:t>Toto opatrenie pozostáva</w:t>
      </w:r>
      <w:r w:rsidR="00326E55" w:rsidRPr="00326E55">
        <w:rPr>
          <w:noProof/>
          <w:spacing w:val="-6"/>
          <w:lang w:val="sk-SK"/>
        </w:rPr>
        <w:t xml:space="preserve"> z </w:t>
      </w:r>
      <w:r w:rsidRPr="00326E55">
        <w:rPr>
          <w:noProof/>
          <w:spacing w:val="-6"/>
          <w:lang w:val="sk-SK"/>
        </w:rPr>
        <w:t xml:space="preserve">verejnej investície do grantového programu </w:t>
      </w:r>
      <w:r w:rsidRPr="00326E55">
        <w:rPr>
          <w:i/>
          <w:noProof/>
          <w:spacing w:val="-6"/>
          <w:lang w:val="sk-SK"/>
        </w:rPr>
        <w:t>„Podpora pre MSP na vlastnú výrobu</w:t>
      </w:r>
      <w:r w:rsidR="00326E55" w:rsidRPr="00326E55">
        <w:rPr>
          <w:i/>
          <w:noProof/>
          <w:spacing w:val="-6"/>
          <w:lang w:val="sk-SK"/>
        </w:rPr>
        <w:t xml:space="preserve"> z </w:t>
      </w:r>
      <w:r w:rsidRPr="00326E55">
        <w:rPr>
          <w:i/>
          <w:noProof/>
          <w:spacing w:val="-6"/>
          <w:lang w:val="sk-SK"/>
        </w:rPr>
        <w:t>obnoviteľných zdrojov energie“</w:t>
      </w:r>
      <w:r w:rsidR="00326E55" w:rsidRPr="00326E55">
        <w:rPr>
          <w:i/>
          <w:noProof/>
          <w:spacing w:val="-6"/>
          <w:lang w:val="sk-SK"/>
        </w:rPr>
        <w:t xml:space="preserve"> s </w:t>
      </w:r>
      <w:r w:rsidRPr="00326E55">
        <w:rPr>
          <w:noProof/>
          <w:spacing w:val="-6"/>
          <w:lang w:val="sk-SK"/>
        </w:rPr>
        <w:t>cieľom stimulovať súkromné investície</w:t>
      </w:r>
      <w:r w:rsidR="00326E55" w:rsidRPr="00326E55">
        <w:rPr>
          <w:noProof/>
          <w:spacing w:val="-6"/>
          <w:lang w:val="sk-SK"/>
        </w:rPr>
        <w:t xml:space="preserve"> a </w:t>
      </w:r>
      <w:r w:rsidRPr="00326E55">
        <w:rPr>
          <w:noProof/>
          <w:spacing w:val="-6"/>
          <w:lang w:val="sk-SK"/>
        </w:rPr>
        <w:t>zlepšiť prístup</w:t>
      </w:r>
      <w:r w:rsidR="00326E55" w:rsidRPr="00326E55">
        <w:rPr>
          <w:noProof/>
          <w:spacing w:val="-6"/>
          <w:lang w:val="sk-SK"/>
        </w:rPr>
        <w:t xml:space="preserve"> k </w:t>
      </w:r>
      <w:r w:rsidRPr="00326E55">
        <w:rPr>
          <w:noProof/>
          <w:spacing w:val="-6"/>
          <w:lang w:val="sk-SK"/>
        </w:rPr>
        <w:t>financovaniu talianskej vlastnej výroby energie</w:t>
      </w:r>
      <w:r w:rsidR="00326E55" w:rsidRPr="00326E55">
        <w:rPr>
          <w:noProof/>
          <w:spacing w:val="-6"/>
          <w:lang w:val="sk-SK"/>
        </w:rPr>
        <w:t xml:space="preserve"> z </w:t>
      </w:r>
      <w:r w:rsidRPr="00326E55">
        <w:rPr>
          <w:noProof/>
          <w:spacing w:val="-6"/>
          <w:lang w:val="sk-SK"/>
        </w:rPr>
        <w:t>obnoviteľných zdrojov (OZE).</w:t>
      </w:r>
    </w:p>
    <w:p w14:paraId="510C0B52" w14:textId="06813067" w:rsidR="00326E55" w:rsidRPr="00326E55" w:rsidRDefault="00FB452D">
      <w:pPr>
        <w:spacing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Cieľom programu je podporiť mikropodniky</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malé</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stredné podniky (MSP) pri vykonávaní</w:t>
      </w:r>
      <w:r w:rsidRPr="00326E55">
        <w:rPr>
          <w:rFonts w:ascii="Times New Roman" w:hAnsi="Times New Roman" w:cs="Times New Roman"/>
          <w:noProof/>
          <w:spacing w:val="-6"/>
          <w:lang w:val="sk-SK"/>
        </w:rPr>
        <w:t xml:space="preserve"> investičných programov zameraných na vlastnú výrobu energie</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obnoviteľných zdrojov</w:t>
      </w:r>
      <w:r w:rsidRPr="00326E55">
        <w:rPr>
          <w:rStyle w:val="FootnoteReference"/>
          <w:rFonts w:ascii="Times New Roman" w:hAnsi="Times New Roman" w:cs="Times New Roman"/>
          <w:noProof/>
          <w:spacing w:val="-6"/>
          <w:lang w:val="sk-SK"/>
        </w:rPr>
        <w:footnoteReference w:id="98"/>
      </w:r>
      <w:r w:rsidR="00326E55" w:rsidRPr="00326E55">
        <w:rPr>
          <w:rFonts w:ascii="Times New Roman" w:hAnsi="Times New Roman" w:cs="Times New Roman"/>
          <w:noProof/>
          <w:spacing w:val="-6"/>
          <w:lang w:val="sk-SK"/>
        </w:rPr>
        <w:t>.</w:t>
      </w:r>
    </w:p>
    <w:p w14:paraId="3E0B195C" w14:textId="0B7CE28E" w:rsidR="00BF03AA" w:rsidRPr="00326E55" w:rsidRDefault="00FB452D">
      <w:pPr>
        <w:pStyle w:val="P68B1DB1-Normal7"/>
        <w:spacing w:after="120"/>
        <w:rPr>
          <w:noProof/>
          <w:spacing w:val="-6"/>
          <w:lang w:val="sk-SK"/>
        </w:rPr>
      </w:pPr>
      <w:r w:rsidRPr="00326E55">
        <w:rPr>
          <w:noProof/>
          <w:spacing w:val="-6"/>
          <w:lang w:val="sk-SK"/>
        </w:rPr>
        <w:t>Systém funguje tak, že poskytuje granty priamo súkromnému sektoru.</w:t>
      </w:r>
    </w:p>
    <w:p w14:paraId="4AD8B21E" w14:textId="77777777" w:rsidR="00BF03AA" w:rsidRPr="00326E55" w:rsidRDefault="00FB452D">
      <w:pPr>
        <w:pStyle w:val="P68B1DB1-Normal7"/>
        <w:spacing w:after="120"/>
        <w:jc w:val="both"/>
        <w:rPr>
          <w:noProof/>
          <w:spacing w:val="-6"/>
          <w:lang w:val="sk-SK"/>
        </w:rPr>
      </w:pPr>
      <w:r w:rsidRPr="00326E55">
        <w:rPr>
          <w:noProof/>
          <w:spacing w:val="-6"/>
          <w:lang w:val="sk-SK"/>
        </w:rPr>
        <w:t>Schému spravuje spoločnosť Invitalia SpA ako implementujúci partner. Systém zahŕňa tieto rady výrobkov</w:t>
      </w:r>
      <w:r w:rsidRPr="00326E55">
        <w:rPr>
          <w:noProof/>
          <w:spacing w:val="-6"/>
          <w:lang w:val="sk-SK"/>
        </w:rPr>
        <w:t>:</w:t>
      </w:r>
    </w:p>
    <w:p w14:paraId="7635FE9D" w14:textId="10E6203F" w:rsidR="00BF03AA" w:rsidRPr="00326E55" w:rsidRDefault="00FB452D">
      <w:pPr>
        <w:pStyle w:val="P68B1DB1-ListParagraph37"/>
        <w:numPr>
          <w:ilvl w:val="0"/>
          <w:numId w:val="38"/>
        </w:numPr>
        <w:spacing w:after="120" w:line="240" w:lineRule="auto"/>
        <w:jc w:val="both"/>
        <w:rPr>
          <w:noProof/>
          <w:spacing w:val="-6"/>
          <w:lang w:val="sk-SK"/>
        </w:rPr>
      </w:pPr>
      <w:r w:rsidRPr="00326E55">
        <w:rPr>
          <w:noProof/>
          <w:spacing w:val="-6"/>
          <w:lang w:val="sk-SK"/>
        </w:rPr>
        <w:t>nenávratné príspevky vo výške aspoň 30</w:t>
      </w:r>
      <w:r w:rsidR="00326E55" w:rsidRPr="00326E55">
        <w:rPr>
          <w:noProof/>
          <w:spacing w:val="-6"/>
          <w:lang w:val="sk-SK"/>
        </w:rPr>
        <w:t> %</w:t>
      </w:r>
      <w:r w:rsidRPr="00326E55">
        <w:rPr>
          <w:noProof/>
          <w:spacing w:val="-6"/>
          <w:lang w:val="sk-SK"/>
        </w:rPr>
        <w:t xml:space="preserve"> celkových investícií – na nákup systémov</w:t>
      </w:r>
      <w:r w:rsidR="00326E55" w:rsidRPr="00326E55">
        <w:rPr>
          <w:noProof/>
          <w:spacing w:val="-6"/>
          <w:lang w:val="sk-SK"/>
        </w:rPr>
        <w:t xml:space="preserve"> a </w:t>
      </w:r>
      <w:r w:rsidRPr="00326E55">
        <w:rPr>
          <w:noProof/>
          <w:spacing w:val="-6"/>
          <w:lang w:val="sk-SK"/>
        </w:rPr>
        <w:t>súvisiacich digitálnych technológií, ktoré umožňujú priamu výrobu energie</w:t>
      </w:r>
      <w:r w:rsidR="00326E55" w:rsidRPr="00326E55">
        <w:rPr>
          <w:noProof/>
          <w:spacing w:val="-6"/>
          <w:lang w:val="sk-SK"/>
        </w:rPr>
        <w:t xml:space="preserve"> z </w:t>
      </w:r>
      <w:r w:rsidRPr="00326E55">
        <w:rPr>
          <w:noProof/>
          <w:spacing w:val="-6"/>
          <w:lang w:val="sk-SK"/>
        </w:rPr>
        <w:t>obnoviteľných zdrojov na okamžitú vlastnú spotrebu alebo prostredníctvom systémov akumulácie/s</w:t>
      </w:r>
      <w:r w:rsidRPr="00326E55">
        <w:rPr>
          <w:noProof/>
          <w:spacing w:val="-6"/>
          <w:lang w:val="sk-SK"/>
        </w:rPr>
        <w:t>kladovania.</w:t>
      </w:r>
    </w:p>
    <w:p w14:paraId="1075C573" w14:textId="0515A038" w:rsidR="00BF03AA" w:rsidRPr="00326E55" w:rsidRDefault="00FB452D">
      <w:pPr>
        <w:pStyle w:val="P68B1DB1-Normal7"/>
        <w:spacing w:after="120"/>
        <w:jc w:val="both"/>
        <w:rPr>
          <w:noProof/>
          <w:spacing w:val="-6"/>
          <w:lang w:val="sk-SK"/>
        </w:rPr>
      </w:pPr>
      <w:r w:rsidRPr="00326E55">
        <w:rPr>
          <w:noProof/>
          <w:spacing w:val="-6"/>
          <w:lang w:val="sk-SK"/>
        </w:rPr>
        <w:t>S cieľom implementovať investíciu do systému Taliansko</w:t>
      </w:r>
      <w:r w:rsidR="00326E55" w:rsidRPr="00326E55">
        <w:rPr>
          <w:noProof/>
          <w:spacing w:val="-6"/>
          <w:lang w:val="sk-SK"/>
        </w:rPr>
        <w:t xml:space="preserve"> a </w:t>
      </w:r>
      <w:r w:rsidRPr="00326E55">
        <w:rPr>
          <w:noProof/>
          <w:spacing w:val="-6"/>
          <w:lang w:val="sk-SK"/>
        </w:rPr>
        <w:t>spoločnosť Invitalia SpA podpíšu vykonávaciu dohodu, ktorá bude obsahovať tento obsah:</w:t>
      </w:r>
    </w:p>
    <w:p w14:paraId="11247C5C" w14:textId="6668FB55" w:rsidR="00BF03AA" w:rsidRPr="00326E55" w:rsidRDefault="00FB452D">
      <w:pPr>
        <w:pStyle w:val="P68B1DB1-LegalNumPar79"/>
        <w:numPr>
          <w:ilvl w:val="0"/>
          <w:numId w:val="177"/>
        </w:numPr>
        <w:spacing w:after="120" w:line="240" w:lineRule="auto"/>
        <w:rPr>
          <w:rFonts w:eastAsia="Times New Roman"/>
          <w:noProof/>
          <w:spacing w:val="-6"/>
          <w:lang w:val="sk-SK"/>
        </w:rPr>
      </w:pPr>
      <w:r w:rsidRPr="00326E55">
        <w:rPr>
          <w:noProof/>
          <w:spacing w:val="-6"/>
          <w:lang w:val="sk-SK"/>
        </w:rPr>
        <w:t>Opis rozhodovacieho procesu</w:t>
      </w:r>
      <w:r w:rsidR="00326E55" w:rsidRPr="00326E55">
        <w:rPr>
          <w:noProof/>
          <w:spacing w:val="-6"/>
          <w:lang w:val="sk-SK"/>
        </w:rPr>
        <w:t xml:space="preserve"> v </w:t>
      </w:r>
      <w:r w:rsidRPr="00326E55">
        <w:rPr>
          <w:noProof/>
          <w:spacing w:val="-6"/>
          <w:lang w:val="sk-SK"/>
        </w:rPr>
        <w:t xml:space="preserve">rámci schémy: Konečné investičné rozhodnutie systému prijíma </w:t>
      </w:r>
      <w:r w:rsidRPr="00326E55">
        <w:rPr>
          <w:noProof/>
          <w:spacing w:val="-6"/>
          <w:lang w:val="sk-SK"/>
        </w:rPr>
        <w:t>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 ktorí sú nezávislí od vlády.</w:t>
      </w:r>
    </w:p>
    <w:p w14:paraId="3FC39603" w14:textId="77777777" w:rsidR="00BF03AA" w:rsidRPr="00326E55" w:rsidRDefault="00FB452D">
      <w:pPr>
        <w:pStyle w:val="P68B1DB1-LegalNumPar79"/>
        <w:spacing w:after="120" w:line="240" w:lineRule="auto"/>
        <w:jc w:val="both"/>
        <w:rPr>
          <w:noProof/>
          <w:spacing w:val="-6"/>
          <w:lang w:val="sk-SK"/>
        </w:rPr>
      </w:pPr>
      <w:r w:rsidRPr="00326E55">
        <w:rPr>
          <w:noProof/>
          <w:spacing w:val="-6"/>
          <w:lang w:val="sk-SK"/>
        </w:rPr>
        <w:t>Kľúčové požiadavky súvisiacej investičnej politiky,</w:t>
      </w:r>
      <w:r w:rsidRPr="00326E55">
        <w:rPr>
          <w:b/>
          <w:noProof/>
          <w:spacing w:val="-6"/>
          <w:lang w:val="sk-SK"/>
        </w:rPr>
        <w:t xml:space="preserve"> </w:t>
      </w:r>
      <w:r w:rsidRPr="00326E55">
        <w:rPr>
          <w:noProof/>
          <w:spacing w:val="-6"/>
          <w:lang w:val="sk-SK"/>
        </w:rPr>
        <w:t>ktoré zahŕňajú:</w:t>
      </w:r>
    </w:p>
    <w:p w14:paraId="6B0C20A6" w14:textId="71BE2F9F" w:rsidR="00326E55" w:rsidRPr="00326E55" w:rsidRDefault="00FB452D">
      <w:pPr>
        <w:pStyle w:val="P68B1DB1-LegalNumPar280"/>
        <w:numPr>
          <w:ilvl w:val="1"/>
          <w:numId w:val="47"/>
        </w:numPr>
        <w:spacing w:after="120" w:line="240" w:lineRule="auto"/>
        <w:ind w:left="1418"/>
        <w:jc w:val="both"/>
        <w:rPr>
          <w:noProof/>
          <w:spacing w:val="-6"/>
          <w:lang w:val="sk-SK"/>
        </w:rPr>
      </w:pPr>
      <w:r w:rsidRPr="00326E55">
        <w:rPr>
          <w:noProof/>
          <w:spacing w:val="-6"/>
          <w:lang w:val="sk-SK"/>
        </w:rPr>
        <w:t>Opis druhu poskytnutej podpory</w:t>
      </w:r>
      <w:r w:rsidR="00326E55" w:rsidRPr="00326E55">
        <w:rPr>
          <w:noProof/>
          <w:spacing w:val="-6"/>
          <w:lang w:val="sk-SK"/>
        </w:rPr>
        <w:t xml:space="preserve"> a </w:t>
      </w:r>
      <w:r w:rsidRPr="00326E55">
        <w:rPr>
          <w:noProof/>
          <w:spacing w:val="-6"/>
          <w:lang w:val="sk-SK"/>
        </w:rPr>
        <w:t xml:space="preserve">oprávnených konečných </w:t>
      </w:r>
      <w:r w:rsidRPr="00326E55">
        <w:rPr>
          <w:noProof/>
          <w:spacing w:val="-6"/>
          <w:lang w:val="sk-SK"/>
        </w:rPr>
        <w:t>príjemcov</w:t>
      </w:r>
      <w:r w:rsidR="00326E55" w:rsidRPr="00326E55">
        <w:rPr>
          <w:noProof/>
          <w:spacing w:val="-6"/>
          <w:lang w:val="sk-SK"/>
        </w:rPr>
        <w:t>.</w:t>
      </w:r>
    </w:p>
    <w:p w14:paraId="46293A53" w14:textId="561B294C" w:rsidR="00BF03AA" w:rsidRPr="00326E55" w:rsidRDefault="00FB452D">
      <w:pPr>
        <w:pStyle w:val="P68B1DB1-LegalNumPar280"/>
        <w:numPr>
          <w:ilvl w:val="1"/>
          <w:numId w:val="47"/>
        </w:numPr>
        <w:spacing w:after="120" w:line="240" w:lineRule="auto"/>
        <w:ind w:left="1418"/>
        <w:jc w:val="both"/>
        <w:rPr>
          <w:noProof/>
          <w:spacing w:val="-6"/>
          <w:lang w:val="sk-SK"/>
        </w:rPr>
      </w:pPr>
      <w:r w:rsidRPr="00326E55">
        <w:rPr>
          <w:noProof/>
          <w:spacing w:val="-6"/>
          <w:lang w:val="sk-SK"/>
        </w:rPr>
        <w:t>Požiadavka, aby všetky podporované investície boli ekonomicky životaschopné</w:t>
      </w:r>
      <w:r w:rsidRPr="00326E55">
        <w:rPr>
          <w:b/>
          <w:noProof/>
          <w:spacing w:val="-6"/>
          <w:lang w:val="sk-SK"/>
        </w:rPr>
        <w:t>.</w:t>
      </w:r>
    </w:p>
    <w:p w14:paraId="73FD92F0" w14:textId="018CC6B6" w:rsidR="00326E55" w:rsidRPr="00326E55" w:rsidRDefault="00FB452D">
      <w:pPr>
        <w:pStyle w:val="P68B1DB1-LegalNumPar280"/>
        <w:spacing w:after="120" w:line="240" w:lineRule="auto"/>
        <w:ind w:left="1418"/>
        <w:jc w:val="both"/>
        <w:rPr>
          <w:noProof/>
          <w:spacing w:val="-6"/>
          <w:lang w:val="sk-SK"/>
        </w:rPr>
      </w:pPr>
      <w:r w:rsidRPr="00326E55">
        <w:rPr>
          <w:noProof/>
          <w:spacing w:val="-6"/>
          <w:lang w:val="sk-SK"/>
        </w:rPr>
        <w:t>Požiadavka dodržiavať zásadu „výrazne nenarušiť“, ako sa stanovuje</w:t>
      </w:r>
      <w:r w:rsidR="00326E55" w:rsidRPr="00326E55">
        <w:rPr>
          <w:noProof/>
          <w:spacing w:val="-6"/>
          <w:lang w:val="sk-SK"/>
        </w:rPr>
        <w:t xml:space="preserve"> v </w:t>
      </w:r>
      <w:r w:rsidRPr="00326E55">
        <w:rPr>
          <w:noProof/>
          <w:spacing w:val="-6"/>
          <w:lang w:val="sk-SK"/>
        </w:rPr>
        <w:t>technickom usmernení</w:t>
      </w:r>
      <w:r w:rsidR="00326E55" w:rsidRPr="00326E55">
        <w:rPr>
          <w:noProof/>
          <w:spacing w:val="-6"/>
          <w:lang w:val="sk-SK"/>
        </w:rPr>
        <w:t xml:space="preserve"> k </w:t>
      </w:r>
      <w:r w:rsidRPr="00326E55">
        <w:rPr>
          <w:noProof/>
          <w:spacing w:val="-6"/>
          <w:lang w:val="sk-SK"/>
        </w:rPr>
        <w:t>zásade „výrazne nenarušiť“ (2021/C58/01). Najmä</w:t>
      </w:r>
      <w:r w:rsidR="00326E55" w:rsidRPr="00326E55">
        <w:rPr>
          <w:noProof/>
          <w:spacing w:val="-6"/>
          <w:lang w:val="sk-SK"/>
        </w:rPr>
        <w:t xml:space="preserve"> v </w:t>
      </w:r>
      <w:r w:rsidRPr="00326E55">
        <w:rPr>
          <w:noProof/>
          <w:spacing w:val="-6"/>
          <w:lang w:val="sk-SK"/>
        </w:rPr>
        <w:t>prípade všeobecnej podpory</w:t>
      </w:r>
      <w:r w:rsidRPr="00326E55">
        <w:rPr>
          <w:noProof/>
          <w:spacing w:val="-6"/>
          <w:lang w:val="sk-SK"/>
        </w:rPr>
        <w:t xml:space="preserve"> podnikov investičná politika vylučuje spoločnosti</w:t>
      </w:r>
      <w:r w:rsidR="00326E55" w:rsidRPr="00326E55">
        <w:rPr>
          <w:noProof/>
          <w:spacing w:val="-6"/>
          <w:lang w:val="sk-SK"/>
        </w:rPr>
        <w:t xml:space="preserve"> s </w:t>
      </w:r>
      <w:r w:rsidRPr="00326E55">
        <w:rPr>
          <w:noProof/>
          <w:spacing w:val="-6"/>
          <w:lang w:val="sk-SK"/>
        </w:rPr>
        <w:t>podstatným zameraním</w:t>
      </w:r>
      <w:r w:rsidRPr="00326E55">
        <w:rPr>
          <w:noProof/>
          <w:spacing w:val="-6"/>
          <w:lang w:val="sk-SK"/>
        </w:rPr>
        <w:footnoteReference w:id="99"/>
      </w:r>
      <w:r w:rsidR="00326E55" w:rsidRPr="00326E55">
        <w:rPr>
          <w:noProof/>
          <w:spacing w:val="-6"/>
          <w:lang w:val="sk-SK"/>
        </w:rPr>
        <w:t xml:space="preserve"> v </w:t>
      </w:r>
      <w:r w:rsidRPr="00326E55">
        <w:rPr>
          <w:noProof/>
          <w:spacing w:val="-6"/>
          <w:lang w:val="sk-SK"/>
        </w:rPr>
        <w:t>týchto odvetviach: I) výroba energie</w:t>
      </w:r>
      <w:r w:rsidR="00326E55" w:rsidRPr="00326E55">
        <w:rPr>
          <w:noProof/>
          <w:spacing w:val="-6"/>
          <w:lang w:val="sk-SK"/>
        </w:rPr>
        <w:t xml:space="preserve"> z </w:t>
      </w:r>
      <w:r w:rsidRPr="00326E55">
        <w:rPr>
          <w:noProof/>
          <w:spacing w:val="-6"/>
          <w:lang w:val="sk-SK"/>
        </w:rPr>
        <w:t>fosílnych palív</w:t>
      </w:r>
      <w:r w:rsidR="00326E55" w:rsidRPr="00326E55">
        <w:rPr>
          <w:noProof/>
          <w:spacing w:val="-6"/>
          <w:lang w:val="sk-SK"/>
        </w:rPr>
        <w:t xml:space="preserve"> a </w:t>
      </w:r>
      <w:r w:rsidRPr="00326E55">
        <w:rPr>
          <w:noProof/>
          <w:spacing w:val="-6"/>
          <w:lang w:val="sk-SK"/>
        </w:rPr>
        <w:t>súvisiace činnosti</w:t>
      </w:r>
      <w:r w:rsidRPr="00326E55">
        <w:rPr>
          <w:noProof/>
          <w:spacing w:val="-6"/>
          <w:lang w:val="sk-SK"/>
        </w:rPr>
        <w:footnoteReference w:id="100"/>
      </w:r>
      <w:r w:rsidRPr="00326E55">
        <w:rPr>
          <w:noProof/>
          <w:spacing w:val="-6"/>
          <w:lang w:val="sk-SK"/>
        </w:rPr>
        <w:t>; II) energeticky náročné odvetvia a/alebo odvetvia</w:t>
      </w:r>
      <w:r w:rsidR="00326E55" w:rsidRPr="00326E55">
        <w:rPr>
          <w:noProof/>
          <w:spacing w:val="-6"/>
          <w:lang w:val="sk-SK"/>
        </w:rPr>
        <w:t xml:space="preserve"> s </w:t>
      </w:r>
      <w:r w:rsidRPr="00326E55">
        <w:rPr>
          <w:noProof/>
          <w:spacing w:val="-6"/>
          <w:lang w:val="sk-SK"/>
        </w:rPr>
        <w:t>vysokými emisiami CO2</w:t>
      </w:r>
      <w:r w:rsidRPr="00326E55">
        <w:rPr>
          <w:noProof/>
          <w:spacing w:val="-6"/>
          <w:lang w:val="sk-SK"/>
        </w:rPr>
        <w:footnoteReference w:id="101"/>
      </w:r>
      <w:r w:rsidRPr="00326E55">
        <w:rPr>
          <w:noProof/>
          <w:spacing w:val="-6"/>
          <w:lang w:val="sk-SK"/>
        </w:rPr>
        <w:t>; III) výroba, prenájom ale</w:t>
      </w:r>
      <w:r w:rsidRPr="00326E55">
        <w:rPr>
          <w:noProof/>
          <w:spacing w:val="-6"/>
          <w:lang w:val="sk-SK"/>
        </w:rPr>
        <w:t>bo predaj znečisťujúcich vozidiel</w:t>
      </w:r>
      <w:r w:rsidRPr="00326E55">
        <w:rPr>
          <w:noProof/>
          <w:spacing w:val="-6"/>
          <w:lang w:val="sk-SK"/>
        </w:rPr>
        <w:footnoteReference w:id="102"/>
      </w:r>
      <w:r w:rsidRPr="00326E55">
        <w:rPr>
          <w:noProof/>
          <w:spacing w:val="-6"/>
          <w:lang w:val="sk-SK"/>
        </w:rPr>
        <w:t>; IV) zber odpadu, spracovanie</w:t>
      </w:r>
      <w:r w:rsidR="00326E55" w:rsidRPr="00326E55">
        <w:rPr>
          <w:noProof/>
          <w:spacing w:val="-6"/>
          <w:lang w:val="sk-SK"/>
        </w:rPr>
        <w:t xml:space="preserve"> a </w:t>
      </w:r>
      <w:r w:rsidRPr="00326E55">
        <w:rPr>
          <w:noProof/>
          <w:spacing w:val="-6"/>
          <w:lang w:val="sk-SK"/>
        </w:rPr>
        <w:t>zneškodňovanie</w:t>
      </w:r>
      <w:r w:rsidRPr="00326E55">
        <w:rPr>
          <w:noProof/>
          <w:spacing w:val="-6"/>
          <w:lang w:val="sk-SK"/>
        </w:rPr>
        <w:footnoteReference w:id="103"/>
      </w:r>
      <w:r w:rsidRPr="00326E55">
        <w:rPr>
          <w:noProof/>
          <w:spacing w:val="-6"/>
          <w:lang w:val="sk-SK"/>
        </w:rPr>
        <w:t>odpadu, v) spracovanie jadrového paliva, výroba jadrovej energie. Investičná politika si okrem toho vyžaduje</w:t>
      </w:r>
      <w:r w:rsidRPr="00326E55">
        <w:rPr>
          <w:b/>
          <w:noProof/>
          <w:spacing w:val="-6"/>
          <w:lang w:val="sk-SK"/>
        </w:rPr>
        <w:t xml:space="preserve"> </w:t>
      </w:r>
      <w:r w:rsidRPr="00326E55">
        <w:rPr>
          <w:noProof/>
          <w:spacing w:val="-6"/>
          <w:lang w:val="sk-SK"/>
        </w:rPr>
        <w:t>dodržiavanie príslušných právnych predpisov EÚ</w:t>
      </w:r>
      <w:r w:rsidR="00326E55" w:rsidRPr="00326E55">
        <w:rPr>
          <w:noProof/>
          <w:spacing w:val="-6"/>
          <w:lang w:val="sk-SK"/>
        </w:rPr>
        <w:t xml:space="preserve"> a </w:t>
      </w:r>
      <w:r w:rsidRPr="00326E55">
        <w:rPr>
          <w:noProof/>
          <w:spacing w:val="-6"/>
          <w:lang w:val="sk-SK"/>
        </w:rPr>
        <w:t>vnútroštátnych p</w:t>
      </w:r>
      <w:r w:rsidRPr="00326E55">
        <w:rPr>
          <w:noProof/>
          <w:spacing w:val="-6"/>
          <w:lang w:val="sk-SK"/>
        </w:rPr>
        <w:t>rávnych predpisov</w:t>
      </w:r>
      <w:r w:rsidR="00326E55" w:rsidRPr="00326E55">
        <w:rPr>
          <w:noProof/>
          <w:spacing w:val="-6"/>
          <w:lang w:val="sk-SK"/>
        </w:rPr>
        <w:t xml:space="preserve"> v </w:t>
      </w:r>
      <w:r w:rsidRPr="00326E55">
        <w:rPr>
          <w:noProof/>
          <w:spacing w:val="-6"/>
          <w:lang w:val="sk-SK"/>
        </w:rPr>
        <w:t>oblasti životného prostredia konečných príjemcov schémy</w:t>
      </w:r>
      <w:r w:rsidR="00326E55" w:rsidRPr="00326E55">
        <w:rPr>
          <w:noProof/>
          <w:spacing w:val="-6"/>
          <w:lang w:val="sk-SK"/>
        </w:rPr>
        <w:t>.</w:t>
      </w:r>
    </w:p>
    <w:p w14:paraId="02BED60D" w14:textId="11EE99E2" w:rsidR="00BF03AA" w:rsidRPr="00326E55" w:rsidRDefault="00FB452D">
      <w:pPr>
        <w:pStyle w:val="P68B1DB1-LegalNumPar280"/>
        <w:numPr>
          <w:ilvl w:val="1"/>
          <w:numId w:val="47"/>
        </w:numPr>
        <w:spacing w:after="120" w:line="240" w:lineRule="auto"/>
        <w:ind w:left="1418"/>
        <w:jc w:val="both"/>
        <w:rPr>
          <w:bCs/>
          <w:noProof/>
          <w:spacing w:val="-6"/>
          <w:lang w:val="sk-SK"/>
        </w:rPr>
      </w:pPr>
      <w:r w:rsidRPr="00326E55">
        <w:rPr>
          <w:noProof/>
          <w:spacing w:val="-6"/>
          <w:lang w:val="sk-SK"/>
        </w:rPr>
        <w:t>Požiadavka, aby koneční príjemcovia schémy nedostali podporu</w:t>
      </w:r>
      <w:r w:rsidR="00326E55" w:rsidRPr="00326E55">
        <w:rPr>
          <w:noProof/>
          <w:spacing w:val="-6"/>
          <w:lang w:val="sk-SK"/>
        </w:rPr>
        <w:t xml:space="preserve"> z </w:t>
      </w:r>
      <w:r w:rsidRPr="00326E55">
        <w:rPr>
          <w:noProof/>
          <w:spacing w:val="-6"/>
          <w:lang w:val="sk-SK"/>
        </w:rPr>
        <w:t>iných nástrojov Únie na pokrytie rovnakých nákladov.</w:t>
      </w:r>
    </w:p>
    <w:p w14:paraId="6E26568F" w14:textId="4818E89C" w:rsidR="00BF03AA" w:rsidRPr="00326E55" w:rsidRDefault="00FB452D">
      <w:pPr>
        <w:pStyle w:val="P68B1DB1-LegalNumPar112"/>
        <w:spacing w:after="120" w:line="240" w:lineRule="auto"/>
        <w:jc w:val="both"/>
        <w:rPr>
          <w:rFonts w:cs="Times New Roman"/>
          <w:noProof/>
          <w:spacing w:val="-6"/>
          <w:lang w:val="sk-SK"/>
        </w:rPr>
      </w:pPr>
      <w:r w:rsidRPr="00326E55">
        <w:rPr>
          <w:noProof/>
          <w:spacing w:val="-6"/>
          <w:lang w:val="sk-SK"/>
        </w:rPr>
        <w:t xml:space="preserve">Suma, na ktorú sa vzťahuje vykonávacia dohoda, štruktúra </w:t>
      </w:r>
      <w:r w:rsidRPr="00326E55">
        <w:rPr>
          <w:noProof/>
          <w:spacing w:val="-6"/>
          <w:lang w:val="sk-SK"/>
        </w:rPr>
        <w:t>poplatkov pre implementujúceho partnera</w:t>
      </w:r>
      <w:r w:rsidR="00326E55" w:rsidRPr="00326E55">
        <w:rPr>
          <w:noProof/>
          <w:spacing w:val="-6"/>
          <w:lang w:val="sk-SK"/>
        </w:rPr>
        <w:t xml:space="preserve"> a </w:t>
      </w:r>
      <w:r w:rsidRPr="00326E55">
        <w:rPr>
          <w:noProof/>
          <w:spacing w:val="-6"/>
          <w:lang w:val="sk-SK"/>
        </w:rPr>
        <w:t>požiadavka investovať akékoľvek nevyužité výnosy zo systému,</w:t>
      </w:r>
      <w:r w:rsidR="00326E55" w:rsidRPr="00326E55">
        <w:rPr>
          <w:noProof/>
          <w:spacing w:val="-6"/>
          <w:lang w:val="sk-SK"/>
        </w:rPr>
        <w:t xml:space="preserve"> a </w:t>
      </w:r>
      <w:r w:rsidRPr="00326E55">
        <w:rPr>
          <w:noProof/>
          <w:spacing w:val="-6"/>
          <w:lang w:val="sk-SK"/>
        </w:rPr>
        <w:t>to aj po roku 2026, na rovnaké účely politiky.</w:t>
      </w:r>
    </w:p>
    <w:p w14:paraId="4FD3A1BD" w14:textId="70BB563D" w:rsidR="00BF03AA" w:rsidRPr="00326E55" w:rsidRDefault="00FB452D">
      <w:pPr>
        <w:pStyle w:val="P68B1DB1-LegalNumPar112"/>
        <w:spacing w:after="120" w:line="240" w:lineRule="auto"/>
        <w:jc w:val="both"/>
        <w:rPr>
          <w:rFonts w:cs="Times New Roman"/>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p>
    <w:p w14:paraId="04F0AEE6" w14:textId="7DA150FE" w:rsidR="00BF03AA" w:rsidRPr="00326E55" w:rsidRDefault="00FB452D">
      <w:pPr>
        <w:pStyle w:val="P68B1DB1-Normal96"/>
        <w:numPr>
          <w:ilvl w:val="0"/>
          <w:numId w:val="46"/>
        </w:numPr>
        <w:spacing w:after="120" w:line="240" w:lineRule="auto"/>
        <w:jc w:val="both"/>
        <w:rPr>
          <w:rFonts w:hint="default"/>
          <w:noProof/>
          <w:spacing w:val="-6"/>
          <w:lang w:val="sk-SK"/>
        </w:rPr>
      </w:pPr>
      <w:r w:rsidRPr="00326E55">
        <w:rPr>
          <w:noProof/>
          <w:spacing w:val="-6"/>
          <w:lang w:val="sk-SK"/>
        </w:rPr>
        <w:t>Opis monitorovacieho systému implementujúceho par</w:t>
      </w:r>
      <w:r w:rsidRPr="00326E55">
        <w:rPr>
          <w:noProof/>
          <w:spacing w:val="-6"/>
          <w:lang w:val="sk-SK"/>
        </w:rPr>
        <w:t>tnera na podávanie správ</w:t>
      </w:r>
      <w:r w:rsidR="00326E55" w:rsidRPr="00326E55">
        <w:rPr>
          <w:noProof/>
          <w:spacing w:val="-6"/>
          <w:lang w:val="sk-SK"/>
        </w:rPr>
        <w:t xml:space="preserve"> o</w:t>
      </w:r>
      <w:r w:rsidR="00326E55" w:rsidRPr="00326E55">
        <w:rPr>
          <w:rFonts w:hint="default"/>
          <w:noProof/>
          <w:spacing w:val="-6"/>
          <w:lang w:val="sk-SK"/>
        </w:rPr>
        <w:t> </w:t>
      </w:r>
      <w:r w:rsidRPr="00326E55">
        <w:rPr>
          <w:noProof/>
          <w:spacing w:val="-6"/>
          <w:lang w:val="sk-SK"/>
        </w:rPr>
        <w:t>mobilizovaných investíciách.</w:t>
      </w:r>
    </w:p>
    <w:p w14:paraId="747156A8" w14:textId="3537EB85" w:rsidR="00326E55" w:rsidRPr="00326E55" w:rsidRDefault="00FB452D">
      <w:pPr>
        <w:pStyle w:val="P68B1DB1-Normal96"/>
        <w:numPr>
          <w:ilvl w:val="0"/>
          <w:numId w:val="46"/>
        </w:numPr>
        <w:spacing w:after="120" w:line="240" w:lineRule="auto"/>
        <w:jc w:val="both"/>
        <w:rPr>
          <w:rFonts w:hint="default"/>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konfliktom záujmov, ich odhaľovanie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náprava</w:t>
      </w:r>
      <w:r w:rsidR="00326E55" w:rsidRPr="00326E55">
        <w:rPr>
          <w:noProof/>
          <w:spacing w:val="-6"/>
          <w:lang w:val="sk-SK"/>
        </w:rPr>
        <w:t>.</w:t>
      </w:r>
    </w:p>
    <w:p w14:paraId="5E3AEA80" w14:textId="402C567F" w:rsidR="00BF03AA" w:rsidRPr="00326E55" w:rsidRDefault="00FB452D">
      <w:pPr>
        <w:pStyle w:val="P68B1DB1-Normal7"/>
        <w:numPr>
          <w:ilvl w:val="0"/>
          <w:numId w:val="46"/>
        </w:numPr>
        <w:spacing w:after="120" w:line="240" w:lineRule="auto"/>
        <w:jc w:val="both"/>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dohode pred tým, ako sa zaviaže financovať operáciu.</w:t>
      </w:r>
    </w:p>
    <w:p w14:paraId="659B5470" w14:textId="49BA096D" w:rsidR="00326E55" w:rsidRPr="00326E55" w:rsidRDefault="00FB452D">
      <w:pPr>
        <w:pStyle w:val="P68B1DB1-Normal96"/>
        <w:numPr>
          <w:ilvl w:val="0"/>
          <w:numId w:val="46"/>
        </w:numPr>
        <w:spacing w:after="120" w:line="240" w:lineRule="auto"/>
        <w:jc w:val="both"/>
        <w:rPr>
          <w:rFonts w:hint="default"/>
          <w:noProof/>
          <w:spacing w:val="-6"/>
          <w:lang w:val="sk-SK"/>
        </w:rPr>
      </w:pPr>
      <w:r w:rsidRPr="00326E55">
        <w:rPr>
          <w:noProof/>
          <w:spacing w:val="-6"/>
          <w:lang w:val="sk-SK"/>
        </w:rPr>
        <w:t>Povinnosť vykonávať následné audity založené na riziku</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súlade</w:t>
      </w:r>
      <w:r w:rsidR="00326E55" w:rsidRPr="00326E55">
        <w:rPr>
          <w:noProof/>
          <w:spacing w:val="-6"/>
          <w:lang w:val="sk-SK"/>
        </w:rPr>
        <w:t xml:space="preserve"> s</w:t>
      </w:r>
      <w:r w:rsidR="00326E55" w:rsidRPr="00326E55">
        <w:rPr>
          <w:rFonts w:hint="default"/>
          <w:noProof/>
          <w:spacing w:val="-6"/>
          <w:lang w:val="sk-SK"/>
        </w:rPr>
        <w:t> </w:t>
      </w:r>
      <w:r w:rsidRPr="00326E55">
        <w:rPr>
          <w:noProof/>
          <w:spacing w:val="-6"/>
          <w:lang w:val="sk-SK"/>
        </w:rPr>
        <w:t>plánom auditu spoločnosti Invitalia SpA. Týmito auditmi sa overí i) účinnosť systémov kontroly vr</w:t>
      </w:r>
      <w:r w:rsidRPr="00326E55">
        <w:rPr>
          <w:noProof/>
          <w:spacing w:val="-6"/>
          <w:lang w:val="sk-SK"/>
        </w:rPr>
        <w:t>átane odhaľovania podvodov, korupcie</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 xml:space="preserve">konfliktu záujmov; II) súlad so zásadou </w:t>
      </w:r>
      <w:r w:rsidRPr="00326E55">
        <w:rPr>
          <w:noProof/>
          <w:spacing w:val="-6"/>
          <w:lang w:val="sk-SK"/>
        </w:rPr>
        <w:t>„</w:t>
      </w:r>
      <w:r w:rsidRPr="00326E55">
        <w:rPr>
          <w:noProof/>
          <w:spacing w:val="-6"/>
          <w:lang w:val="sk-SK"/>
        </w:rPr>
        <w:t>výrazne nenarušiť</w:t>
      </w:r>
      <w:r w:rsidRPr="00326E55">
        <w:rPr>
          <w:noProof/>
          <w:spacing w:val="-6"/>
          <w:lang w:val="sk-SK"/>
        </w:rPr>
        <w:t>“</w:t>
      </w:r>
      <w:r w:rsidRPr="00326E55">
        <w:rPr>
          <w:noProof/>
          <w:spacing w:val="-6"/>
          <w:lang w:val="sk-SK"/>
        </w:rPr>
        <w:t>, pravidlami štátnej pomoci, požiadavkami na ciele</w:t>
      </w:r>
      <w:r w:rsidR="00326E55" w:rsidRPr="00326E55">
        <w:rPr>
          <w:noProof/>
          <w:spacing w:val="-6"/>
          <w:lang w:val="sk-SK"/>
        </w:rPr>
        <w:t xml:space="preserve"> v</w:t>
      </w:r>
      <w:r w:rsidR="00326E55" w:rsidRPr="00326E55">
        <w:rPr>
          <w:rFonts w:hint="default"/>
          <w:noProof/>
          <w:spacing w:val="-6"/>
          <w:lang w:val="sk-SK"/>
        </w:rPr>
        <w:t> </w:t>
      </w:r>
      <w:r w:rsidRPr="00326E55">
        <w:rPr>
          <w:noProof/>
          <w:spacing w:val="-6"/>
          <w:lang w:val="sk-SK"/>
        </w:rPr>
        <w:t>oblasti klímy;</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iii) aby sa dodržala požiadavka, aby koneční príjemcovia schémy nedostali podporu</w:t>
      </w:r>
      <w:r w:rsidR="00326E55" w:rsidRPr="00326E55">
        <w:rPr>
          <w:noProof/>
          <w:spacing w:val="-6"/>
          <w:lang w:val="sk-SK"/>
        </w:rPr>
        <w:t xml:space="preserve"> z</w:t>
      </w:r>
      <w:r w:rsidR="00326E55" w:rsidRPr="00326E55">
        <w:rPr>
          <w:rFonts w:hint="default"/>
          <w:noProof/>
          <w:spacing w:val="-6"/>
          <w:lang w:val="sk-SK"/>
        </w:rPr>
        <w:t> </w:t>
      </w:r>
      <w:r w:rsidRPr="00326E55">
        <w:rPr>
          <w:noProof/>
          <w:spacing w:val="-6"/>
          <w:lang w:val="sk-SK"/>
        </w:rPr>
        <w:t>iných nástrojov Únie na pokrytie rovnakých nákladov. Auditom sa takisto overí zákonnosť transakcií</w:t>
      </w:r>
      <w:r w:rsidR="00326E55" w:rsidRPr="00326E55">
        <w:rPr>
          <w:noProof/>
          <w:spacing w:val="-6"/>
          <w:lang w:val="sk-SK"/>
        </w:rPr>
        <w:t xml:space="preserve"> a</w:t>
      </w:r>
      <w:r w:rsidR="00326E55" w:rsidRPr="00326E55">
        <w:rPr>
          <w:rFonts w:hint="default"/>
          <w:noProof/>
          <w:spacing w:val="-6"/>
          <w:lang w:val="sk-SK"/>
        </w:rPr>
        <w:t> </w:t>
      </w:r>
      <w:r w:rsidRPr="00326E55">
        <w:rPr>
          <w:noProof/>
          <w:spacing w:val="-6"/>
          <w:lang w:val="sk-SK"/>
        </w:rPr>
        <w:t>dodržiavanie podmienok príslušnej vykonávacej dohody</w:t>
      </w:r>
      <w:r w:rsidR="00326E55" w:rsidRPr="00326E55">
        <w:rPr>
          <w:noProof/>
          <w:spacing w:val="-6"/>
          <w:lang w:val="sk-SK"/>
        </w:rPr>
        <w:t>.</w:t>
      </w:r>
    </w:p>
    <w:p w14:paraId="5E61A0DD" w14:textId="3B1667DD" w:rsidR="00BF03AA" w:rsidRPr="00326E55" w:rsidRDefault="00FB452D">
      <w:pPr>
        <w:pStyle w:val="P68B1DB1-Heading4107"/>
        <w:spacing w:before="0"/>
        <w:rPr>
          <w:noProof/>
          <w:spacing w:val="-6"/>
          <w:lang w:val="sk-SK"/>
        </w:rPr>
      </w:pPr>
      <w:r w:rsidRPr="00326E55">
        <w:rPr>
          <w:noProof/>
          <w:spacing w:val="-6"/>
          <w:lang w:val="sk-SK"/>
        </w:rPr>
        <w:t>Investícia 17. Finančný nástroj na energetickú obnovu bytových domov</w:t>
      </w:r>
    </w:p>
    <w:p w14:paraId="7BFAEE6D" w14:textId="48F790FD" w:rsidR="00326E55" w:rsidRPr="00326E55" w:rsidRDefault="00FB452D">
      <w:pPr>
        <w:spacing w:after="12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Cieľom opatrenia je podporiť obn</w:t>
      </w:r>
      <w:r w:rsidRPr="00326E55">
        <w:rPr>
          <w:rFonts w:ascii="Times New Roman" w:hAnsi="Times New Roman" w:cs="Times New Roman"/>
          <w:noProof/>
          <w:spacing w:val="-6"/>
          <w:lang w:val="sk-SK"/>
        </w:rPr>
        <w:t>ovu verejných bytov. Toto opatrenie pozostáva</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verejných investícií do nástroja, tzv. finančného nástroja na zmiernenie energetickej chudoby,</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cieľom stimulovať súkromné investície</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zlepšiť prístup</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financovaniu. Nástroj sa zameriava na energetickú obn</w:t>
      </w:r>
      <w:r w:rsidRPr="00326E55">
        <w:rPr>
          <w:rFonts w:ascii="Times New Roman" w:hAnsi="Times New Roman" w:cs="Times New Roman"/>
          <w:noProof/>
          <w:spacing w:val="-6"/>
          <w:lang w:val="sk-SK"/>
        </w:rPr>
        <w:t>ovu vo verejných bytových domoch, ktorými sa dosiahne</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priemere aspoň 30</w:t>
      </w:r>
      <w:r w:rsidR="00326E55" w:rsidRPr="00326E55">
        <w:rPr>
          <w:rFonts w:ascii="Times New Roman" w:hAnsi="Times New Roman" w:cs="Times New Roman"/>
          <w:noProof/>
          <w:spacing w:val="-6"/>
          <w:lang w:val="sk-SK"/>
        </w:rPr>
        <w:t> %</w:t>
      </w:r>
      <w:r w:rsidRPr="00326E55">
        <w:rPr>
          <w:rFonts w:ascii="Times New Roman" w:hAnsi="Times New Roman" w:cs="Times New Roman"/>
          <w:noProof/>
          <w:spacing w:val="-6"/>
          <w:lang w:val="sk-SK"/>
        </w:rPr>
        <w:t xml:space="preserve"> zníženie dopytu po primárnej energii</w:t>
      </w:r>
      <w:r w:rsidRPr="00326E55">
        <w:rPr>
          <w:rStyle w:val="FootnoteReference"/>
          <w:rFonts w:ascii="Times New Roman" w:hAnsi="Times New Roman" w:cs="Times New Roman"/>
          <w:noProof/>
          <w:spacing w:val="-6"/>
          <w:lang w:val="sk-SK"/>
        </w:rPr>
        <w:footnoteReference w:id="104"/>
      </w:r>
      <w:r w:rsidR="00326E55" w:rsidRPr="00326E55">
        <w:rPr>
          <w:rFonts w:ascii="Times New Roman" w:hAnsi="Times New Roman" w:cs="Times New Roman"/>
          <w:noProof/>
          <w:spacing w:val="-6"/>
          <w:lang w:val="sk-SK"/>
        </w:rPr>
        <w:t>.</w:t>
      </w:r>
    </w:p>
    <w:p w14:paraId="79ED377F" w14:textId="77777777" w:rsidR="00326E55" w:rsidRPr="00326E55" w:rsidRDefault="00FB452D">
      <w:pPr>
        <w:pStyle w:val="P68B1DB1-Normal7"/>
        <w:rPr>
          <w:noProof/>
          <w:spacing w:val="-6"/>
          <w:lang w:val="sk-SK"/>
        </w:rPr>
      </w:pPr>
      <w:r w:rsidRPr="00326E55">
        <w:rPr>
          <w:noProof/>
          <w:spacing w:val="-6"/>
          <w:lang w:val="sk-SK"/>
        </w:rPr>
        <w:t>Nástroj riadia dvaja implementujúci partneri</w:t>
      </w:r>
      <w:r w:rsidR="00326E55" w:rsidRPr="00326E55">
        <w:rPr>
          <w:noProof/>
          <w:spacing w:val="-6"/>
          <w:lang w:val="sk-SK"/>
        </w:rPr>
        <w:t>.</w:t>
      </w:r>
    </w:p>
    <w:p w14:paraId="7A969A67" w14:textId="6499C37B" w:rsidR="00BF03AA" w:rsidRPr="00326E55" w:rsidRDefault="00FB452D">
      <w:pPr>
        <w:pStyle w:val="P68B1DB1-ListParagraph37"/>
        <w:numPr>
          <w:ilvl w:val="0"/>
          <w:numId w:val="67"/>
        </w:numPr>
        <w:rPr>
          <w:noProof/>
          <w:spacing w:val="-6"/>
          <w:lang w:val="sk-SK"/>
        </w:rPr>
      </w:pPr>
      <w:r w:rsidRPr="00326E55">
        <w:rPr>
          <w:noProof/>
          <w:spacing w:val="-6"/>
          <w:lang w:val="sk-SK"/>
        </w:rPr>
        <w:t>Gestore Servizi Energetici (GSE Spa) ako technický partner zodpovedný za grantovú zložku;</w:t>
      </w:r>
    </w:p>
    <w:p w14:paraId="7EAE58C6" w14:textId="786E6186" w:rsidR="00BF03AA" w:rsidRPr="00326E55" w:rsidRDefault="00FB452D">
      <w:pPr>
        <w:pStyle w:val="P68B1DB1-ListParagraph37"/>
        <w:numPr>
          <w:ilvl w:val="0"/>
          <w:numId w:val="67"/>
        </w:numPr>
        <w:rPr>
          <w:noProof/>
          <w:spacing w:val="-6"/>
          <w:lang w:val="sk-SK"/>
        </w:rPr>
      </w:pPr>
      <w:r w:rsidRPr="00326E55">
        <w:rPr>
          <w:noProof/>
          <w:spacing w:val="-6"/>
          <w:lang w:val="sk-SK"/>
        </w:rPr>
        <w:t>Cassa</w:t>
      </w:r>
      <w:r w:rsidRPr="00326E55">
        <w:rPr>
          <w:noProof/>
          <w:spacing w:val="-6"/>
          <w:lang w:val="sk-SK"/>
        </w:rPr>
        <w:t xml:space="preserve"> Depositi e Prestiti (CDP Spa) ako finančný partner</w:t>
      </w:r>
      <w:r w:rsidR="00326E55" w:rsidRPr="00326E55">
        <w:rPr>
          <w:noProof/>
          <w:spacing w:val="-6"/>
          <w:lang w:val="sk-SK"/>
        </w:rPr>
        <w:t xml:space="preserve"> a </w:t>
      </w:r>
      <w:r w:rsidRPr="00326E55">
        <w:rPr>
          <w:noProof/>
          <w:spacing w:val="-6"/>
          <w:lang w:val="sk-SK"/>
        </w:rPr>
        <w:t>zodpovedný za (nepovinné) úverovú zložku.</w:t>
      </w:r>
    </w:p>
    <w:p w14:paraId="1C469840" w14:textId="037C129A" w:rsidR="00326E55" w:rsidRPr="00326E55" w:rsidRDefault="00FB452D">
      <w:pPr>
        <w:pStyle w:val="P68B1DB1-Normal7"/>
        <w:shd w:val="clear" w:color="auto" w:fill="FFFFFF" w:themeFill="background1"/>
        <w:spacing w:after="120"/>
        <w:jc w:val="both"/>
        <w:rPr>
          <w:noProof/>
          <w:spacing w:val="-6"/>
          <w:lang w:val="sk-SK"/>
        </w:rPr>
      </w:pPr>
      <w:r w:rsidRPr="00326E55">
        <w:rPr>
          <w:noProof/>
          <w:spacing w:val="-6"/>
          <w:lang w:val="sk-SK"/>
        </w:rPr>
        <w:t>Nástroj poskytuje finančnú podporu vo forme grantov a/alebo úverov spoločnostiam poskytujúcim energetické služby (ESCO) na energetickú obnovu verejných bytových</w:t>
      </w:r>
      <w:r w:rsidRPr="00326E55">
        <w:rPr>
          <w:noProof/>
          <w:spacing w:val="-6"/>
          <w:lang w:val="sk-SK"/>
        </w:rPr>
        <w:t xml:space="preserve"> domov, čím sa dosiahne</w:t>
      </w:r>
      <w:r w:rsidR="00326E55" w:rsidRPr="00326E55">
        <w:rPr>
          <w:noProof/>
          <w:spacing w:val="-6"/>
          <w:lang w:val="sk-SK"/>
        </w:rPr>
        <w:t xml:space="preserve"> v </w:t>
      </w:r>
      <w:r w:rsidRPr="00326E55">
        <w:rPr>
          <w:noProof/>
          <w:spacing w:val="-6"/>
          <w:lang w:val="sk-SK"/>
        </w:rPr>
        <w:t>priemere aspoň 30</w:t>
      </w:r>
      <w:r w:rsidR="00326E55" w:rsidRPr="00326E55">
        <w:rPr>
          <w:noProof/>
          <w:spacing w:val="-6"/>
          <w:lang w:val="sk-SK"/>
        </w:rPr>
        <w:t> %</w:t>
      </w:r>
      <w:r w:rsidRPr="00326E55">
        <w:rPr>
          <w:noProof/>
          <w:spacing w:val="-6"/>
          <w:lang w:val="sk-SK"/>
        </w:rPr>
        <w:t xml:space="preserve"> zníženie dopytu po primárnej energii</w:t>
      </w:r>
      <w:r w:rsidR="00326E55" w:rsidRPr="00326E55">
        <w:rPr>
          <w:noProof/>
          <w:spacing w:val="-6"/>
          <w:lang w:val="sk-SK"/>
        </w:rPr>
        <w:t>.</w:t>
      </w:r>
    </w:p>
    <w:p w14:paraId="5266BF37" w14:textId="77777777" w:rsidR="00326E55" w:rsidRPr="00326E55" w:rsidRDefault="00FB452D">
      <w:pPr>
        <w:pStyle w:val="P68B1DB1-Normal7"/>
        <w:spacing w:line="257" w:lineRule="auto"/>
        <w:jc w:val="both"/>
        <w:rPr>
          <w:noProof/>
          <w:spacing w:val="-6"/>
          <w:lang w:val="sk-SK"/>
        </w:rPr>
      </w:pPr>
      <w:r w:rsidRPr="00326E55">
        <w:rPr>
          <w:noProof/>
          <w:spacing w:val="-6"/>
          <w:lang w:val="sk-SK"/>
        </w:rPr>
        <w:t>Nástroj zahŕňa tieto riadky produktov na podporu nájomného bývania</w:t>
      </w:r>
      <w:r w:rsidR="00326E55" w:rsidRPr="00326E55">
        <w:rPr>
          <w:noProof/>
          <w:spacing w:val="-6"/>
          <w:lang w:val="sk-SK"/>
        </w:rPr>
        <w:t>:</w:t>
      </w:r>
    </w:p>
    <w:p w14:paraId="04C87A90" w14:textId="08E4BEB9" w:rsidR="00BF03AA" w:rsidRPr="00326E55" w:rsidRDefault="00FB452D">
      <w:pPr>
        <w:pStyle w:val="P68B1DB1-ListParagraph100"/>
        <w:numPr>
          <w:ilvl w:val="0"/>
          <w:numId w:val="66"/>
        </w:numPr>
        <w:spacing w:after="0" w:line="257" w:lineRule="auto"/>
        <w:jc w:val="both"/>
        <w:rPr>
          <w:noProof/>
          <w:spacing w:val="-6"/>
          <w:lang w:val="sk-SK"/>
        </w:rPr>
      </w:pPr>
      <w:r w:rsidRPr="00326E55">
        <w:rPr>
          <w:noProof/>
          <w:spacing w:val="-6"/>
          <w:lang w:val="sk-SK"/>
        </w:rPr>
        <w:t xml:space="preserve">Grantový komponent poskytnutý technickým partnerom Gestore Servizi Energetici Spa pokrývajúci maximálne </w:t>
      </w:r>
      <w:r w:rsidRPr="00326E55">
        <w:rPr>
          <w:noProof/>
          <w:spacing w:val="-6"/>
          <w:lang w:val="sk-SK"/>
        </w:rPr>
        <w:t>65</w:t>
      </w:r>
      <w:r w:rsidR="00326E55" w:rsidRPr="00326E55">
        <w:rPr>
          <w:noProof/>
          <w:spacing w:val="-6"/>
          <w:lang w:val="sk-SK"/>
        </w:rPr>
        <w:t> %</w:t>
      </w:r>
      <w:r w:rsidRPr="00326E55">
        <w:rPr>
          <w:noProof/>
          <w:spacing w:val="-6"/>
          <w:lang w:val="sk-SK"/>
        </w:rPr>
        <w:t xml:space="preserve"> celkových nákladov;</w:t>
      </w:r>
    </w:p>
    <w:p w14:paraId="1A12A601" w14:textId="1678785A" w:rsidR="00BF03AA" w:rsidRPr="00326E55" w:rsidRDefault="00FB452D">
      <w:pPr>
        <w:pStyle w:val="P68B1DB1-ListParagraph100"/>
        <w:numPr>
          <w:ilvl w:val="0"/>
          <w:numId w:val="66"/>
        </w:numPr>
        <w:spacing w:after="0" w:line="257" w:lineRule="auto"/>
        <w:jc w:val="both"/>
        <w:rPr>
          <w:noProof/>
          <w:spacing w:val="-6"/>
          <w:lang w:val="sk-SK"/>
        </w:rPr>
      </w:pPr>
      <w:r w:rsidRPr="00326E55">
        <w:rPr>
          <w:noProof/>
          <w:spacing w:val="-6"/>
          <w:lang w:val="sk-SK"/>
        </w:rPr>
        <w:t>Voliteľná úverová zložka pokrývajúca 35</w:t>
      </w:r>
      <w:r w:rsidR="00326E55" w:rsidRPr="00326E55">
        <w:rPr>
          <w:noProof/>
          <w:spacing w:val="-6"/>
          <w:lang w:val="sk-SK"/>
        </w:rPr>
        <w:t> %</w:t>
      </w:r>
      <w:r w:rsidRPr="00326E55">
        <w:rPr>
          <w:noProof/>
          <w:spacing w:val="-6"/>
          <w:lang w:val="sk-SK"/>
        </w:rPr>
        <w:t xml:space="preserve"> celkových nákladov. Úverovú zložku môže poskytnúť finančný partner Cassa Depositi e Prestiti</w:t>
      </w:r>
    </w:p>
    <w:p w14:paraId="587736F9" w14:textId="77777777" w:rsidR="00BF03AA" w:rsidRPr="00326E55" w:rsidRDefault="00BF03AA">
      <w:pPr>
        <w:pStyle w:val="ListParagraph"/>
        <w:spacing w:after="0" w:line="257" w:lineRule="auto"/>
        <w:rPr>
          <w:rFonts w:ascii="Times New Roman" w:hAnsi="Times New Roman" w:cs="Times New Roman"/>
          <w:noProof/>
          <w:spacing w:val="-6"/>
          <w:lang w:val="sk-SK"/>
        </w:rPr>
      </w:pPr>
    </w:p>
    <w:p w14:paraId="7084DAA7" w14:textId="4BD96C9B" w:rsidR="00BF03AA" w:rsidRPr="00326E55" w:rsidRDefault="00FB452D">
      <w:pPr>
        <w:pStyle w:val="P68B1DB1-Normal7"/>
        <w:spacing w:after="120"/>
        <w:jc w:val="both"/>
        <w:rPr>
          <w:noProof/>
          <w:spacing w:val="-6"/>
          <w:lang w:val="sk-SK"/>
        </w:rPr>
      </w:pPr>
      <w:r w:rsidRPr="00326E55">
        <w:rPr>
          <w:noProof/>
          <w:spacing w:val="-6"/>
          <w:lang w:val="sk-SK"/>
        </w:rPr>
        <w:t>S cieľom implementovať investície do mechanizmu Taliansko</w:t>
      </w:r>
      <w:r w:rsidR="00326E55" w:rsidRPr="00326E55">
        <w:rPr>
          <w:noProof/>
          <w:spacing w:val="-6"/>
          <w:lang w:val="sk-SK"/>
        </w:rPr>
        <w:t xml:space="preserve"> a </w:t>
      </w:r>
      <w:r w:rsidRPr="00326E55">
        <w:rPr>
          <w:noProof/>
          <w:spacing w:val="-6"/>
          <w:lang w:val="sk-SK"/>
        </w:rPr>
        <w:t>implementujúci partner (implementuj</w:t>
      </w:r>
      <w:r w:rsidRPr="00326E55">
        <w:rPr>
          <w:noProof/>
          <w:spacing w:val="-6"/>
          <w:lang w:val="sk-SK"/>
        </w:rPr>
        <w:t>úci partneri) podpíšu vykonávacie dohody, ktoré obsahujú tento obsah:</w:t>
      </w:r>
    </w:p>
    <w:p w14:paraId="33C51D99" w14:textId="7BD08E5B" w:rsidR="00BF03AA" w:rsidRPr="00326E55" w:rsidRDefault="00FB452D">
      <w:pPr>
        <w:pStyle w:val="P68B1DB1-ListParagraph37"/>
        <w:numPr>
          <w:ilvl w:val="0"/>
          <w:numId w:val="43"/>
        </w:numPr>
        <w:spacing w:after="120" w:line="240" w:lineRule="auto"/>
        <w:ind w:left="709" w:hanging="425"/>
        <w:contextualSpacing w:val="0"/>
        <w:jc w:val="both"/>
        <w:rPr>
          <w:noProof/>
          <w:spacing w:val="-6"/>
          <w:lang w:val="sk-SK"/>
        </w:rPr>
      </w:pPr>
      <w:r w:rsidRPr="00326E55">
        <w:rPr>
          <w:noProof/>
          <w:spacing w:val="-6"/>
          <w:lang w:val="sk-SK"/>
        </w:rPr>
        <w:t>Opis rozhodovacieho procesu nástroja: Konečné investičné rozhodnutie nástroja prijíma investičný výbor alebo iný príslušný rovnocenný riadiaci orgán</w:t>
      </w:r>
      <w:r w:rsidR="00326E55" w:rsidRPr="00326E55">
        <w:rPr>
          <w:noProof/>
          <w:spacing w:val="-6"/>
          <w:lang w:val="sk-SK"/>
        </w:rPr>
        <w:t xml:space="preserve"> a </w:t>
      </w:r>
      <w:r w:rsidRPr="00326E55">
        <w:rPr>
          <w:noProof/>
          <w:spacing w:val="-6"/>
          <w:lang w:val="sk-SK"/>
        </w:rPr>
        <w:t>schvaľuje sa väčšinou hlasov členov</w:t>
      </w:r>
      <w:r w:rsidRPr="00326E55">
        <w:rPr>
          <w:noProof/>
          <w:spacing w:val="-6"/>
          <w:lang w:val="sk-SK"/>
        </w:rPr>
        <w:t>, ktorí sú nezávislí od vlády.</w:t>
      </w:r>
    </w:p>
    <w:p w14:paraId="2C0D43D6" w14:textId="77777777" w:rsidR="00BF03AA" w:rsidRPr="00326E55" w:rsidRDefault="00FB452D">
      <w:pPr>
        <w:pStyle w:val="P68B1DB1-ListParagraph37"/>
        <w:numPr>
          <w:ilvl w:val="0"/>
          <w:numId w:val="43"/>
        </w:numPr>
        <w:spacing w:after="120" w:line="240" w:lineRule="auto"/>
        <w:ind w:left="709" w:hanging="425"/>
        <w:contextualSpacing w:val="0"/>
        <w:jc w:val="both"/>
        <w:rPr>
          <w:noProof/>
          <w:spacing w:val="-6"/>
          <w:lang w:val="sk-SK"/>
        </w:rPr>
      </w:pPr>
      <w:r w:rsidRPr="00326E55">
        <w:rPr>
          <w:noProof/>
          <w:spacing w:val="-6"/>
          <w:lang w:val="sk-SK"/>
        </w:rPr>
        <w:t>Kľúčové požiadavky súvisiacej investičnej politiky,</w:t>
      </w:r>
      <w:r w:rsidRPr="00326E55">
        <w:rPr>
          <w:b/>
          <w:noProof/>
          <w:spacing w:val="-6"/>
          <w:lang w:val="sk-SK"/>
        </w:rPr>
        <w:t xml:space="preserve"> </w:t>
      </w:r>
      <w:r w:rsidRPr="00326E55">
        <w:rPr>
          <w:noProof/>
          <w:spacing w:val="-6"/>
          <w:lang w:val="sk-SK"/>
        </w:rPr>
        <w:t>ktoré zahŕňajú:</w:t>
      </w:r>
    </w:p>
    <w:p w14:paraId="13F026A3" w14:textId="0A77467C" w:rsidR="00BF03AA" w:rsidRPr="00326E55" w:rsidRDefault="00FB452D">
      <w:pPr>
        <w:pStyle w:val="P68B1DB1-ListParagraph37"/>
        <w:numPr>
          <w:ilvl w:val="1"/>
          <w:numId w:val="43"/>
        </w:numPr>
        <w:spacing w:after="120" w:line="240" w:lineRule="auto"/>
        <w:ind w:left="1418"/>
        <w:contextualSpacing w:val="0"/>
        <w:jc w:val="both"/>
        <w:rPr>
          <w:noProof/>
          <w:spacing w:val="-6"/>
          <w:lang w:val="sk-SK"/>
        </w:rPr>
      </w:pPr>
      <w:r w:rsidRPr="00326E55">
        <w:rPr>
          <w:noProof/>
          <w:spacing w:val="-6"/>
          <w:lang w:val="sk-SK"/>
        </w:rPr>
        <w:t>Opis finančného(-ých) produktu(-ov)</w:t>
      </w:r>
      <w:r w:rsidR="00326E55" w:rsidRPr="00326E55">
        <w:rPr>
          <w:noProof/>
          <w:spacing w:val="-6"/>
          <w:lang w:val="sk-SK"/>
        </w:rPr>
        <w:t xml:space="preserve"> a </w:t>
      </w:r>
      <w:r w:rsidRPr="00326E55">
        <w:rPr>
          <w:noProof/>
          <w:spacing w:val="-6"/>
          <w:lang w:val="sk-SK"/>
        </w:rPr>
        <w:t>oprávnených konečných príjemcov.</w:t>
      </w:r>
    </w:p>
    <w:p w14:paraId="7F06F009" w14:textId="77777777" w:rsidR="00BF03AA" w:rsidRPr="00326E55" w:rsidRDefault="00FB452D">
      <w:pPr>
        <w:pStyle w:val="P68B1DB1-ListParagraph37"/>
        <w:numPr>
          <w:ilvl w:val="1"/>
          <w:numId w:val="43"/>
        </w:numPr>
        <w:spacing w:after="120" w:line="240" w:lineRule="auto"/>
        <w:ind w:left="1418"/>
        <w:contextualSpacing w:val="0"/>
        <w:jc w:val="both"/>
        <w:rPr>
          <w:noProof/>
          <w:spacing w:val="-6"/>
          <w:lang w:val="sk-SK"/>
        </w:rPr>
      </w:pPr>
      <w:r w:rsidRPr="00326E55">
        <w:rPr>
          <w:noProof/>
          <w:spacing w:val="-6"/>
          <w:lang w:val="sk-SK"/>
        </w:rPr>
        <w:t>Požiadavka, aby všetky podporované investície boli ekonomicky životaschopné</w:t>
      </w:r>
      <w:r w:rsidRPr="00326E55">
        <w:rPr>
          <w:b/>
          <w:noProof/>
          <w:spacing w:val="-6"/>
          <w:lang w:val="sk-SK"/>
        </w:rPr>
        <w:t>.</w:t>
      </w:r>
    </w:p>
    <w:p w14:paraId="7BF3FEF4" w14:textId="53EAC80E" w:rsidR="00326E55" w:rsidRPr="00326E55" w:rsidRDefault="00FB452D">
      <w:pPr>
        <w:pStyle w:val="ListParagraph"/>
        <w:numPr>
          <w:ilvl w:val="1"/>
          <w:numId w:val="43"/>
        </w:numPr>
        <w:spacing w:after="120" w:line="240" w:lineRule="auto"/>
        <w:ind w:left="1418"/>
        <w:contextualSpacing w:val="0"/>
        <w:jc w:val="both"/>
        <w:rPr>
          <w:rFonts w:ascii="Times New Roman" w:hAnsi="Times New Roman" w:cs="Times New Roman"/>
          <w:noProof/>
          <w:spacing w:val="-6"/>
          <w:lang w:val="sk-SK"/>
        </w:rPr>
      </w:pPr>
      <w:r w:rsidRPr="00326E55">
        <w:rPr>
          <w:rFonts w:ascii="Times New Roman" w:hAnsi="Times New Roman" w:cs="Times New Roman"/>
          <w:noProof/>
          <w:spacing w:val="-6"/>
          <w:lang w:val="sk-SK"/>
        </w:rPr>
        <w:t>Požiadavk</w:t>
      </w:r>
      <w:r w:rsidRPr="00326E55">
        <w:rPr>
          <w:rFonts w:ascii="Times New Roman" w:hAnsi="Times New Roman" w:cs="Times New Roman"/>
          <w:noProof/>
          <w:spacing w:val="-6"/>
          <w:lang w:val="sk-SK"/>
        </w:rPr>
        <w:t>a dodržiavať zásadu „výrazne nenarušiť“, ako sa stanovuje</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technickom usmernení</w:t>
      </w:r>
      <w:r w:rsidR="00326E55" w:rsidRPr="00326E55">
        <w:rPr>
          <w:rFonts w:ascii="Times New Roman" w:hAnsi="Times New Roman" w:cs="Times New Roman"/>
          <w:noProof/>
          <w:spacing w:val="-6"/>
          <w:lang w:val="sk-SK"/>
        </w:rPr>
        <w:t xml:space="preserve"> k </w:t>
      </w:r>
      <w:r w:rsidRPr="00326E55">
        <w:rPr>
          <w:rFonts w:ascii="Times New Roman" w:hAnsi="Times New Roman" w:cs="Times New Roman"/>
          <w:noProof/>
          <w:spacing w:val="-6"/>
          <w:lang w:val="sk-SK"/>
        </w:rPr>
        <w:t>zásade „výrazne nenarušiť“ (2021/C58/01). Investičná politika vylučuje</w:t>
      </w:r>
      <w:r w:rsidR="00326E55" w:rsidRPr="00326E55">
        <w:rPr>
          <w:rFonts w:ascii="Times New Roman" w:hAnsi="Times New Roman" w:cs="Times New Roman"/>
          <w:noProof/>
          <w:spacing w:val="-6"/>
          <w:lang w:val="sk-SK"/>
        </w:rPr>
        <w:t xml:space="preserve"> z </w:t>
      </w:r>
      <w:r w:rsidRPr="00326E55">
        <w:rPr>
          <w:rFonts w:ascii="Times New Roman" w:hAnsi="Times New Roman" w:cs="Times New Roman"/>
          <w:noProof/>
          <w:spacing w:val="-6"/>
          <w:lang w:val="sk-SK"/>
        </w:rPr>
        <w:t>oprávnenosti najmä tento zoznam činností</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 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súvisiace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 xml:space="preserve">fosílnymi </w:t>
      </w:r>
      <w:r w:rsidRPr="00326E55">
        <w:rPr>
          <w:rFonts w:ascii="Times New Roman" w:hAnsi="Times New Roman" w:cs="Times New Roman"/>
          <w:noProof/>
          <w:spacing w:val="-6"/>
          <w:lang w:val="sk-SK"/>
        </w:rPr>
        <w:t>palivami vrátane následného používania,</w:t>
      </w:r>
      <w:r w:rsidRPr="00326E55">
        <w:rPr>
          <w:rStyle w:val="FootnoteReference"/>
          <w:rFonts w:ascii="Times New Roman" w:hAnsi="Times New Roman" w:cs="Times New Roman"/>
          <w:noProof/>
          <w:spacing w:val="-6"/>
          <w:lang w:val="sk-SK"/>
        </w:rPr>
        <w:footnoteReference w:id="105"/>
      </w:r>
      <w:r w:rsidRPr="00326E55">
        <w:rPr>
          <w:rFonts w:ascii="Times New Roman" w:hAnsi="Times New Roman" w:cs="Times New Roman"/>
          <w:noProof/>
          <w:spacing w:val="-6"/>
          <w:lang w:val="sk-SK"/>
        </w:rPr>
        <w:t>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w:t>
      </w:r>
      <w:r w:rsidR="00326E55" w:rsidRPr="00326E55">
        <w:rPr>
          <w:rFonts w:ascii="Times New Roman" w:hAnsi="Times New Roman" w:cs="Times New Roman"/>
          <w:noProof/>
          <w:spacing w:val="-6"/>
          <w:lang w:val="sk-SK"/>
        </w:rPr>
        <w:t xml:space="preserve"> v </w:t>
      </w:r>
      <w:r w:rsidRPr="00326E55">
        <w:rPr>
          <w:rFonts w:ascii="Times New Roman" w:hAnsi="Times New Roman" w:cs="Times New Roman"/>
          <w:noProof/>
          <w:spacing w:val="-6"/>
          <w:lang w:val="sk-SK"/>
        </w:rPr>
        <w:t>rámci systému EÚ na obchodovanie</w:t>
      </w:r>
      <w:r w:rsidR="00326E55" w:rsidRPr="00326E55">
        <w:rPr>
          <w:rFonts w:ascii="Times New Roman" w:hAnsi="Times New Roman" w:cs="Times New Roman"/>
          <w:noProof/>
          <w:spacing w:val="-6"/>
          <w:lang w:val="sk-SK"/>
        </w:rPr>
        <w:t xml:space="preserve"> s </w:t>
      </w:r>
      <w:r w:rsidRPr="00326E55">
        <w:rPr>
          <w:rFonts w:ascii="Times New Roman" w:hAnsi="Times New Roman" w:cs="Times New Roman"/>
          <w:noProof/>
          <w:spacing w:val="-6"/>
          <w:lang w:val="sk-SK"/>
        </w:rPr>
        <w:t>emisiami (ETS), ktorými sa dosahujú predpokladané emisie skleníkových plynov, ktoré nie sú nižšie ako príslušné referenčné hodnoty,</w:t>
      </w:r>
      <w:r w:rsidRPr="00326E55">
        <w:rPr>
          <w:rFonts w:ascii="Times New Roman" w:hAnsi="Times New Roman" w:cs="Times New Roman"/>
          <w:noProof/>
          <w:spacing w:val="-6"/>
          <w:lang w:val="sk-SK"/>
        </w:rPr>
        <w:footnoteReference w:id="106"/>
      </w:r>
      <w:r w:rsidRPr="00326E55">
        <w:rPr>
          <w:rFonts w:ascii="Times New Roman" w:hAnsi="Times New Roman" w:cs="Times New Roman"/>
          <w:noProof/>
          <w:spacing w:val="-6"/>
          <w:lang w:val="sk-SK"/>
        </w:rPr>
        <w:t>iii) činnosti</w:t>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aktíva sú</w:t>
      </w:r>
      <w:r w:rsidRPr="00326E55">
        <w:rPr>
          <w:rFonts w:ascii="Times New Roman" w:hAnsi="Times New Roman" w:cs="Times New Roman"/>
          <w:noProof/>
          <w:spacing w:val="-6"/>
          <w:lang w:val="sk-SK"/>
        </w:rPr>
        <w:t>visiace so skládkami odpadu, spaľovňami</w:t>
      </w:r>
      <w:r w:rsidRPr="00326E55">
        <w:rPr>
          <w:rStyle w:val="FootnoteReference"/>
          <w:rFonts w:ascii="Times New Roman" w:hAnsi="Times New Roman" w:cs="Times New Roman"/>
          <w:noProof/>
          <w:spacing w:val="-6"/>
          <w:lang w:val="sk-SK"/>
        </w:rPr>
        <w:footnoteReference w:id="107"/>
      </w:r>
      <w:r w:rsidR="00326E55" w:rsidRPr="00326E55">
        <w:rPr>
          <w:rFonts w:ascii="Times New Roman" w:hAnsi="Times New Roman" w:cs="Times New Roman"/>
          <w:noProof/>
          <w:spacing w:val="-6"/>
          <w:lang w:val="sk-SK"/>
        </w:rPr>
        <w:t xml:space="preserve"> a </w:t>
      </w:r>
      <w:r w:rsidRPr="00326E55">
        <w:rPr>
          <w:rFonts w:ascii="Times New Roman" w:hAnsi="Times New Roman" w:cs="Times New Roman"/>
          <w:noProof/>
          <w:spacing w:val="-6"/>
          <w:lang w:val="sk-SK"/>
        </w:rPr>
        <w:t>mechanickými biologickými čistiarňami</w:t>
      </w:r>
      <w:r w:rsidRPr="00326E55">
        <w:rPr>
          <w:rStyle w:val="FootnoteReference"/>
          <w:rFonts w:ascii="Times New Roman" w:hAnsi="Times New Roman" w:cs="Times New Roman"/>
          <w:noProof/>
          <w:spacing w:val="-6"/>
          <w:lang w:val="sk-SK"/>
        </w:rPr>
        <w:footnoteReference w:id="108"/>
      </w:r>
      <w:r w:rsidR="00326E55" w:rsidRPr="00326E55">
        <w:rPr>
          <w:rFonts w:ascii="Times New Roman" w:hAnsi="Times New Roman" w:cs="Times New Roman"/>
          <w:noProof/>
          <w:spacing w:val="-6"/>
          <w:lang w:val="sk-SK"/>
        </w:rPr>
        <w:t>.</w:t>
      </w:r>
    </w:p>
    <w:p w14:paraId="7C8114E0" w14:textId="1DAE3D85" w:rsidR="00BF03AA" w:rsidRPr="00326E55" w:rsidRDefault="00FB452D">
      <w:pPr>
        <w:pStyle w:val="P68B1DB1-ListParagraph37"/>
        <w:numPr>
          <w:ilvl w:val="1"/>
          <w:numId w:val="43"/>
        </w:numPr>
        <w:spacing w:after="120" w:line="240" w:lineRule="auto"/>
        <w:ind w:left="1418"/>
        <w:jc w:val="both"/>
        <w:rPr>
          <w:noProof/>
          <w:spacing w:val="-6"/>
          <w:lang w:val="sk-SK"/>
        </w:rPr>
      </w:pPr>
      <w:r w:rsidRPr="00326E55">
        <w:rPr>
          <w:noProof/>
          <w:spacing w:val="-6"/>
          <w:lang w:val="sk-SK"/>
        </w:rPr>
        <w:t>Požiadavka, aby koneční príjemcovia nástroja nedostali podporu</w:t>
      </w:r>
      <w:r w:rsidR="00326E55" w:rsidRPr="00326E55">
        <w:rPr>
          <w:noProof/>
          <w:spacing w:val="-6"/>
          <w:lang w:val="sk-SK"/>
        </w:rPr>
        <w:t xml:space="preserve"> z </w:t>
      </w:r>
      <w:r w:rsidRPr="00326E55">
        <w:rPr>
          <w:noProof/>
          <w:spacing w:val="-6"/>
          <w:lang w:val="sk-SK"/>
        </w:rPr>
        <w:t xml:space="preserve">iných nástrojov Únie na pokrytie rovnakých nákladov. </w:t>
      </w:r>
      <w:r w:rsidRPr="00326E55">
        <w:rPr>
          <w:noProof/>
          <w:color w:val="000000" w:themeColor="text1"/>
          <w:spacing w:val="-6"/>
          <w:lang w:val="sk-SK"/>
        </w:rPr>
        <w:t>Finančná podpora poskytovaná prostredníctvom úverovej z</w:t>
      </w:r>
      <w:r w:rsidRPr="00326E55">
        <w:rPr>
          <w:noProof/>
          <w:color w:val="000000" w:themeColor="text1"/>
          <w:spacing w:val="-6"/>
          <w:lang w:val="sk-SK"/>
        </w:rPr>
        <w:t>ložky nástroja nepokrýva rovnaké náklady podporované grantovou zložkou tohto nástroja.</w:t>
      </w:r>
    </w:p>
    <w:p w14:paraId="7F0AD0B4" w14:textId="77777777" w:rsidR="00BF03AA" w:rsidRPr="00326E55" w:rsidRDefault="00BF03AA">
      <w:pPr>
        <w:pStyle w:val="ListParagraph"/>
        <w:ind w:left="1418"/>
        <w:rPr>
          <w:rFonts w:ascii="Times New Roman" w:hAnsi="Times New Roman" w:cs="Times New Roman"/>
          <w:noProof/>
          <w:spacing w:val="-6"/>
          <w:lang w:val="sk-SK"/>
        </w:rPr>
      </w:pPr>
    </w:p>
    <w:p w14:paraId="5CF588FE" w14:textId="466B6821" w:rsidR="00BF03AA" w:rsidRPr="00326E55" w:rsidRDefault="00FB452D">
      <w:pPr>
        <w:pStyle w:val="P68B1DB1-ListParagraph37"/>
        <w:numPr>
          <w:ilvl w:val="0"/>
          <w:numId w:val="43"/>
        </w:numPr>
        <w:spacing w:after="120" w:line="240" w:lineRule="auto"/>
        <w:ind w:left="709"/>
        <w:contextualSpacing w:val="0"/>
        <w:jc w:val="both"/>
        <w:rPr>
          <w:noProof/>
          <w:spacing w:val="-6"/>
          <w:lang w:val="sk-SK"/>
        </w:rPr>
      </w:pPr>
      <w:r w:rsidRPr="00326E55">
        <w:rPr>
          <w:noProof/>
          <w:spacing w:val="-6"/>
          <w:lang w:val="sk-SK"/>
        </w:rPr>
        <w:t>Suma, na ktorú sa vzťahuje vykonávacia dohoda, štruktúra poplatkov pre implementujúceho partnera</w:t>
      </w:r>
      <w:r w:rsidR="00326E55" w:rsidRPr="00326E55">
        <w:rPr>
          <w:noProof/>
          <w:spacing w:val="-6"/>
          <w:lang w:val="sk-SK"/>
        </w:rPr>
        <w:t xml:space="preserve"> a </w:t>
      </w:r>
      <w:r w:rsidRPr="00326E55">
        <w:rPr>
          <w:noProof/>
          <w:spacing w:val="-6"/>
          <w:lang w:val="sk-SK"/>
        </w:rPr>
        <w:t>požiadavka reinvestovať akékoľvek spätné toky podľa investičnej polit</w:t>
      </w:r>
      <w:r w:rsidRPr="00326E55">
        <w:rPr>
          <w:noProof/>
          <w:spacing w:val="-6"/>
          <w:lang w:val="sk-SK"/>
        </w:rPr>
        <w:t>iky mechanizmu, pokiaľ sa nepoužívajú na splácanie úverov</w:t>
      </w:r>
      <w:r w:rsidR="00326E55" w:rsidRPr="00326E55">
        <w:rPr>
          <w:noProof/>
          <w:spacing w:val="-6"/>
          <w:lang w:val="sk-SK"/>
        </w:rPr>
        <w:t xml:space="preserve"> v </w:t>
      </w:r>
      <w:r w:rsidRPr="00326E55">
        <w:rPr>
          <w:noProof/>
          <w:spacing w:val="-6"/>
          <w:lang w:val="sk-SK"/>
        </w:rPr>
        <w:t>rámci Mechanizmu na podporu obnovy</w:t>
      </w:r>
      <w:r w:rsidR="00326E55" w:rsidRPr="00326E55">
        <w:rPr>
          <w:noProof/>
          <w:spacing w:val="-6"/>
          <w:lang w:val="sk-SK"/>
        </w:rPr>
        <w:t xml:space="preserve"> a </w:t>
      </w:r>
      <w:r w:rsidRPr="00326E55">
        <w:rPr>
          <w:noProof/>
          <w:spacing w:val="-6"/>
          <w:lang w:val="sk-SK"/>
        </w:rPr>
        <w:t>odolnosti.</w:t>
      </w:r>
    </w:p>
    <w:p w14:paraId="52955F00" w14:textId="41161261" w:rsidR="00BF03AA" w:rsidRPr="00326E55" w:rsidRDefault="00FB452D">
      <w:pPr>
        <w:pStyle w:val="P68B1DB1-ListParagraph37"/>
        <w:numPr>
          <w:ilvl w:val="0"/>
          <w:numId w:val="43"/>
        </w:numPr>
        <w:spacing w:after="120" w:line="240" w:lineRule="auto"/>
        <w:ind w:left="709"/>
        <w:contextualSpacing w:val="0"/>
        <w:jc w:val="both"/>
        <w:rPr>
          <w:noProof/>
          <w:spacing w:val="-6"/>
          <w:lang w:val="sk-SK"/>
        </w:rPr>
      </w:pPr>
      <w:r w:rsidRPr="00326E55">
        <w:rPr>
          <w:noProof/>
          <w:spacing w:val="-6"/>
          <w:lang w:val="sk-SK"/>
        </w:rPr>
        <w:t>Požiadavky na monitorovanie, audit</w:t>
      </w:r>
      <w:r w:rsidR="00326E55" w:rsidRPr="00326E55">
        <w:rPr>
          <w:noProof/>
          <w:spacing w:val="-6"/>
          <w:lang w:val="sk-SK"/>
        </w:rPr>
        <w:t xml:space="preserve"> a </w:t>
      </w:r>
      <w:r w:rsidRPr="00326E55">
        <w:rPr>
          <w:noProof/>
          <w:spacing w:val="-6"/>
          <w:lang w:val="sk-SK"/>
        </w:rPr>
        <w:t>kontrolu vrátane:</w:t>
      </w:r>
    </w:p>
    <w:p w14:paraId="476A5DF6" w14:textId="79FDB9EF" w:rsidR="00BF03AA" w:rsidRPr="00326E55" w:rsidRDefault="00FB452D">
      <w:pPr>
        <w:pStyle w:val="P68B1DB1-ListParagraph37"/>
        <w:numPr>
          <w:ilvl w:val="1"/>
          <w:numId w:val="43"/>
        </w:numPr>
        <w:spacing w:after="120" w:line="240" w:lineRule="auto"/>
        <w:contextualSpacing w:val="0"/>
        <w:jc w:val="both"/>
        <w:rPr>
          <w:noProof/>
          <w:spacing w:val="-6"/>
          <w:lang w:val="sk-SK"/>
        </w:rPr>
      </w:pPr>
      <w:r w:rsidRPr="00326E55">
        <w:rPr>
          <w:noProof/>
          <w:spacing w:val="-6"/>
          <w:lang w:val="sk-SK"/>
        </w:rPr>
        <w:t>Opis monitorovacieho systému implementujúceho partnera na podávanie správ</w:t>
      </w:r>
      <w:r w:rsidR="00326E55" w:rsidRPr="00326E55">
        <w:rPr>
          <w:noProof/>
          <w:spacing w:val="-6"/>
          <w:lang w:val="sk-SK"/>
        </w:rPr>
        <w:t xml:space="preserve"> o </w:t>
      </w:r>
      <w:r w:rsidRPr="00326E55">
        <w:rPr>
          <w:noProof/>
          <w:spacing w:val="-6"/>
          <w:lang w:val="sk-SK"/>
        </w:rPr>
        <w:t xml:space="preserve">mobilizovaných </w:t>
      </w:r>
      <w:r w:rsidRPr="00326E55">
        <w:rPr>
          <w:noProof/>
          <w:spacing w:val="-6"/>
          <w:lang w:val="sk-SK"/>
        </w:rPr>
        <w:t>investíciách.</w:t>
      </w:r>
    </w:p>
    <w:p w14:paraId="4D67DC7F" w14:textId="49B0AF3D" w:rsidR="00326E55" w:rsidRPr="00326E55" w:rsidRDefault="00FB452D">
      <w:pPr>
        <w:pStyle w:val="P68B1DB1-ListParagraph37"/>
        <w:numPr>
          <w:ilvl w:val="1"/>
          <w:numId w:val="43"/>
        </w:numPr>
        <w:spacing w:after="120" w:line="240" w:lineRule="auto"/>
        <w:contextualSpacing w:val="0"/>
        <w:jc w:val="both"/>
        <w:rPr>
          <w:noProof/>
          <w:spacing w:val="-6"/>
          <w:lang w:val="sk-SK"/>
        </w:rPr>
      </w:pPr>
      <w:r w:rsidRPr="00326E55">
        <w:rPr>
          <w:noProof/>
          <w:spacing w:val="-6"/>
          <w:lang w:val="sk-SK"/>
        </w:rPr>
        <w:t>Opis postupov implementujúceho partnera, ktorými sa zabezpečí predchádzanie podvodom, korupcii</w:t>
      </w:r>
      <w:r w:rsidR="00326E55" w:rsidRPr="00326E55">
        <w:rPr>
          <w:noProof/>
          <w:spacing w:val="-6"/>
          <w:lang w:val="sk-SK"/>
        </w:rPr>
        <w:t xml:space="preserve"> a </w:t>
      </w:r>
      <w:r w:rsidRPr="00326E55">
        <w:rPr>
          <w:noProof/>
          <w:spacing w:val="-6"/>
          <w:lang w:val="sk-SK"/>
        </w:rPr>
        <w:t>konfliktom záujmov, ich odhaľovanie</w:t>
      </w:r>
      <w:r w:rsidR="00326E55" w:rsidRPr="00326E55">
        <w:rPr>
          <w:noProof/>
          <w:spacing w:val="-6"/>
          <w:lang w:val="sk-SK"/>
        </w:rPr>
        <w:t xml:space="preserve"> a </w:t>
      </w:r>
      <w:r w:rsidRPr="00326E55">
        <w:rPr>
          <w:noProof/>
          <w:spacing w:val="-6"/>
          <w:lang w:val="sk-SK"/>
        </w:rPr>
        <w:t>náprava</w:t>
      </w:r>
      <w:r w:rsidR="00326E55" w:rsidRPr="00326E55">
        <w:rPr>
          <w:noProof/>
          <w:spacing w:val="-6"/>
          <w:lang w:val="sk-SK"/>
        </w:rPr>
        <w:t>.</w:t>
      </w:r>
    </w:p>
    <w:p w14:paraId="5C6B610A" w14:textId="39DCFB06" w:rsidR="00BF03AA" w:rsidRPr="00326E55" w:rsidRDefault="00FB452D">
      <w:pPr>
        <w:pStyle w:val="P68B1DB1-ListParagraph37"/>
        <w:numPr>
          <w:ilvl w:val="1"/>
          <w:numId w:val="43"/>
        </w:numPr>
        <w:spacing w:after="120" w:line="240" w:lineRule="auto"/>
        <w:contextualSpacing w:val="0"/>
        <w:jc w:val="both"/>
        <w:rPr>
          <w:noProof/>
          <w:spacing w:val="-6"/>
          <w:lang w:val="sk-SK"/>
        </w:rPr>
      </w:pPr>
      <w:r w:rsidRPr="00326E55">
        <w:rPr>
          <w:noProof/>
          <w:spacing w:val="-6"/>
          <w:lang w:val="sk-SK"/>
        </w:rPr>
        <w:t>Povinnosť overiť oprávnenosť každej operácie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požiadavkami stanovenými vo vykonávacej do</w:t>
      </w:r>
      <w:r w:rsidRPr="00326E55">
        <w:rPr>
          <w:noProof/>
          <w:spacing w:val="-6"/>
          <w:lang w:val="sk-SK"/>
        </w:rPr>
        <w:t>hode pred tým, ako sa zaviaže financovať operáciu.</w:t>
      </w:r>
    </w:p>
    <w:p w14:paraId="48A36750" w14:textId="42CED3B0" w:rsidR="00326E55" w:rsidRPr="00326E55" w:rsidRDefault="00FB452D">
      <w:pPr>
        <w:pStyle w:val="P68B1DB1-ListParagraph37"/>
        <w:numPr>
          <w:ilvl w:val="1"/>
          <w:numId w:val="43"/>
        </w:numPr>
        <w:spacing w:after="120" w:line="240" w:lineRule="auto"/>
        <w:jc w:val="both"/>
        <w:rPr>
          <w:noProof/>
          <w:spacing w:val="-6"/>
          <w:lang w:val="sk-SK"/>
        </w:rPr>
      </w:pPr>
      <w:r w:rsidRPr="00326E55">
        <w:rPr>
          <w:noProof/>
          <w:spacing w:val="-6"/>
          <w:lang w:val="sk-SK"/>
        </w:rPr>
        <w:t>Povinnosť vykonávať následné audity založené na riziku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plánom auditu Gestore dei Servizi Energetici (GSE)</w:t>
      </w:r>
      <w:r w:rsidR="00326E55" w:rsidRPr="00326E55">
        <w:rPr>
          <w:noProof/>
          <w:spacing w:val="-6"/>
          <w:lang w:val="sk-SK"/>
        </w:rPr>
        <w:t xml:space="preserve"> a </w:t>
      </w:r>
      <w:r w:rsidRPr="00326E55">
        <w:rPr>
          <w:noProof/>
          <w:spacing w:val="-6"/>
          <w:lang w:val="sk-SK"/>
        </w:rPr>
        <w:t>Cassa Depositi e Prestiti (CDP). Týmito auditmi sa overí i) účinnosť systémov kontroly</w:t>
      </w:r>
      <w:r w:rsidRPr="00326E55">
        <w:rPr>
          <w:noProof/>
          <w:spacing w:val="-6"/>
          <w:lang w:val="sk-SK"/>
        </w:rPr>
        <w:t xml:space="preserve"> vrátane odhaľovania podvodov, korupcie</w:t>
      </w:r>
      <w:r w:rsidR="00326E55" w:rsidRPr="00326E55">
        <w:rPr>
          <w:noProof/>
          <w:spacing w:val="-6"/>
          <w:lang w:val="sk-SK"/>
        </w:rPr>
        <w:t xml:space="preserve"> a </w:t>
      </w:r>
      <w:r w:rsidRPr="00326E55">
        <w:rPr>
          <w:noProof/>
          <w:spacing w:val="-6"/>
          <w:lang w:val="sk-SK"/>
        </w:rPr>
        <w:t>konfliktu záujmov; II) súlad so zásadou „výrazne nenarušiť“, pravidlami štátnej pomoci, požiadavkami na ciele</w:t>
      </w:r>
      <w:r w:rsidR="00326E55" w:rsidRPr="00326E55">
        <w:rPr>
          <w:noProof/>
          <w:spacing w:val="-6"/>
          <w:lang w:val="sk-SK"/>
        </w:rPr>
        <w:t xml:space="preserve"> v </w:t>
      </w:r>
      <w:r w:rsidRPr="00326E55">
        <w:rPr>
          <w:noProof/>
          <w:spacing w:val="-6"/>
          <w:lang w:val="sk-SK"/>
        </w:rPr>
        <w:t>oblasti klímy;</w:t>
      </w:r>
      <w:r w:rsidR="00326E55" w:rsidRPr="00326E55">
        <w:rPr>
          <w:noProof/>
          <w:spacing w:val="-6"/>
          <w:lang w:val="sk-SK"/>
        </w:rPr>
        <w:t xml:space="preserve"> a </w:t>
      </w:r>
      <w:r w:rsidRPr="00326E55">
        <w:rPr>
          <w:noProof/>
          <w:spacing w:val="-6"/>
          <w:lang w:val="sk-SK"/>
        </w:rPr>
        <w:t>iii) aby sa dodržala požiadavka, aby koneční príjemcovia nástroja nedostali podporu</w:t>
      </w:r>
      <w:r w:rsidR="00326E55" w:rsidRPr="00326E55">
        <w:rPr>
          <w:noProof/>
          <w:spacing w:val="-6"/>
          <w:lang w:val="sk-SK"/>
        </w:rPr>
        <w:t xml:space="preserve"> z </w:t>
      </w:r>
      <w:r w:rsidRPr="00326E55">
        <w:rPr>
          <w:noProof/>
          <w:spacing w:val="-6"/>
          <w:lang w:val="sk-SK"/>
        </w:rPr>
        <w:t>iných nástrojov Únie na pokrytie rovnakých nákladov. Auditom sa takisto overí zákonnosť transakcií</w:t>
      </w:r>
      <w:r w:rsidR="00326E55" w:rsidRPr="00326E55">
        <w:rPr>
          <w:noProof/>
          <w:spacing w:val="-6"/>
          <w:lang w:val="sk-SK"/>
        </w:rPr>
        <w:t xml:space="preserve"> a </w:t>
      </w:r>
      <w:r w:rsidRPr="00326E55">
        <w:rPr>
          <w:noProof/>
          <w:spacing w:val="-6"/>
          <w:lang w:val="sk-SK"/>
        </w:rPr>
        <w:t>dodržiavanie podmienok príslušnej vykonávacej dohody</w:t>
      </w:r>
      <w:r w:rsidR="00326E55" w:rsidRPr="00326E55">
        <w:rPr>
          <w:noProof/>
          <w:spacing w:val="-6"/>
          <w:lang w:val="sk-SK"/>
        </w:rPr>
        <w:t>.</w:t>
      </w:r>
    </w:p>
    <w:p w14:paraId="65601374" w14:textId="2482CA9B" w:rsidR="00BF03AA" w:rsidRPr="00326E55" w:rsidRDefault="00BF03AA">
      <w:pPr>
        <w:pStyle w:val="ListParagraph"/>
        <w:ind w:left="1440"/>
        <w:rPr>
          <w:rFonts w:ascii="Times New Roman" w:hAnsi="Times New Roman" w:cs="Times New Roman"/>
          <w:noProof/>
          <w:spacing w:val="-6"/>
          <w:lang w:val="sk-SK"/>
        </w:rPr>
        <w:sectPr w:rsidR="00BF03AA" w:rsidRPr="00326E55" w:rsidSect="00854F34">
          <w:headerReference w:type="even" r:id="rId324"/>
          <w:headerReference w:type="default" r:id="rId325"/>
          <w:footerReference w:type="even" r:id="rId326"/>
          <w:footerReference w:type="default" r:id="rId327"/>
          <w:headerReference w:type="first" r:id="rId328"/>
          <w:footerReference w:type="first" r:id="rId329"/>
          <w:pgSz w:w="11906" w:h="16838" w:code="12"/>
          <w:pgMar w:top="1440" w:right="1440" w:bottom="1440" w:left="1440" w:header="567" w:footer="567" w:gutter="0"/>
          <w:cols w:space="720"/>
          <w:docGrid w:linePitch="360"/>
        </w:sectPr>
      </w:pPr>
    </w:p>
    <w:p w14:paraId="4B5139C2" w14:textId="77777777" w:rsidR="00BF03AA" w:rsidRPr="00326E55" w:rsidRDefault="00BF03AA">
      <w:pPr>
        <w:pStyle w:val="ListParagraph"/>
        <w:ind w:left="1440"/>
        <w:rPr>
          <w:rFonts w:ascii="Times New Roman" w:hAnsi="Times New Roman" w:cs="Times New Roman"/>
          <w:noProof/>
          <w:spacing w:val="-6"/>
          <w:lang w:val="sk-SK"/>
        </w:rPr>
      </w:pPr>
    </w:p>
    <w:p w14:paraId="568F0B8F" w14:textId="1BB4C30B" w:rsidR="00BF03AA" w:rsidRPr="00326E55" w:rsidRDefault="00FB452D">
      <w:pPr>
        <w:pStyle w:val="P68B1DB1-Heading368"/>
        <w:ind w:left="850" w:hanging="850"/>
        <w:rPr>
          <w:bCs/>
          <w:noProof/>
          <w:spacing w:val="-6"/>
          <w:lang w:val="sk-SK"/>
        </w:rPr>
      </w:pPr>
      <w:r w:rsidRPr="00326E55">
        <w:rPr>
          <w:noProof/>
          <w:spacing w:val="-6"/>
          <w:lang w:val="sk-SK"/>
        </w:rPr>
        <w:t xml:space="preserve">OTÁZKA 4. </w:t>
      </w:r>
      <w:r w:rsidRPr="00326E55">
        <w:rPr>
          <w:noProof/>
          <w:spacing w:val="-6"/>
          <w:lang w:val="sk-SK"/>
        </w:rPr>
        <w:tab/>
        <w:t>Míľniky, ciele, ukazovatele</w:t>
      </w:r>
      <w:r w:rsidR="00326E55" w:rsidRPr="00326E55">
        <w:rPr>
          <w:noProof/>
          <w:spacing w:val="-6"/>
          <w:lang w:val="sk-SK"/>
        </w:rPr>
        <w:t xml:space="preserve"> a </w:t>
      </w:r>
      <w:r w:rsidRPr="00326E55">
        <w:rPr>
          <w:noProof/>
          <w:spacing w:val="-6"/>
          <w:lang w:val="sk-SK"/>
        </w:rPr>
        <w:t>har</w:t>
      </w:r>
      <w:r w:rsidRPr="00326E55">
        <w:rPr>
          <w:noProof/>
          <w:spacing w:val="-6"/>
          <w:lang w:val="sk-SK"/>
        </w:rPr>
        <w:t>monogram monitorovania</w:t>
      </w:r>
      <w:r w:rsidR="00326E55" w:rsidRPr="00326E55">
        <w:rPr>
          <w:noProof/>
          <w:spacing w:val="-6"/>
          <w:lang w:val="sk-SK"/>
        </w:rPr>
        <w:t xml:space="preserve"> a </w:t>
      </w:r>
      <w:r w:rsidRPr="00326E55">
        <w:rPr>
          <w:noProof/>
          <w:spacing w:val="-6"/>
          <w:lang w:val="sk-SK"/>
        </w:rPr>
        <w:t>realizácie</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 xml:space="preserve">úverom </w:t>
      </w:r>
    </w:p>
    <w:tbl>
      <w:tblPr>
        <w:tblpPr w:leftFromText="141" w:rightFromText="141" w:vertAnchor="text" w:tblpX="-766" w:tblpY="1"/>
        <w:tblOverlap w:val="never"/>
        <w:tblW w:w="55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202"/>
        <w:gridCol w:w="1579"/>
        <w:gridCol w:w="1149"/>
        <w:gridCol w:w="1435"/>
        <w:gridCol w:w="1723"/>
        <w:gridCol w:w="1293"/>
        <w:gridCol w:w="1005"/>
        <w:gridCol w:w="1293"/>
        <w:gridCol w:w="862"/>
        <w:gridCol w:w="717"/>
        <w:gridCol w:w="3303"/>
      </w:tblGrid>
      <w:tr w:rsidR="00BF03AA" w:rsidRPr="00326E55" w14:paraId="51783F9A" w14:textId="77777777">
        <w:trPr>
          <w:trHeight w:val="765"/>
          <w:tblHeader/>
        </w:trPr>
        <w:tc>
          <w:tcPr>
            <w:tcW w:w="1187" w:type="dxa"/>
            <w:vMerge w:val="restart"/>
            <w:shd w:val="clear" w:color="auto" w:fill="BDD7EE"/>
            <w:vAlign w:val="center"/>
            <w:hideMark/>
          </w:tcPr>
          <w:p w14:paraId="48BB45E4"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Poradové číslo</w:t>
            </w:r>
          </w:p>
        </w:tc>
        <w:tc>
          <w:tcPr>
            <w:tcW w:w="1559" w:type="dxa"/>
            <w:vMerge w:val="restart"/>
            <w:shd w:val="clear" w:color="auto" w:fill="BDD7EE"/>
            <w:vAlign w:val="center"/>
            <w:hideMark/>
          </w:tcPr>
          <w:p w14:paraId="5375069B"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Súvisiace opatrenie (reforma alebo investícia)</w:t>
            </w:r>
          </w:p>
        </w:tc>
        <w:tc>
          <w:tcPr>
            <w:tcW w:w="1134" w:type="dxa"/>
            <w:vMerge w:val="restart"/>
            <w:shd w:val="clear" w:color="auto" w:fill="BDD7EE"/>
            <w:vAlign w:val="center"/>
            <w:hideMark/>
          </w:tcPr>
          <w:p w14:paraId="4B8B4CC9"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Míľnik</w:t>
            </w:r>
          </w:p>
          <w:p w14:paraId="3A0DAB1D"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/Cieľ</w:t>
            </w:r>
          </w:p>
        </w:tc>
        <w:tc>
          <w:tcPr>
            <w:tcW w:w="1417" w:type="dxa"/>
            <w:vMerge w:val="restart"/>
            <w:shd w:val="clear" w:color="auto" w:fill="BDD7EE"/>
            <w:vAlign w:val="center"/>
            <w:hideMark/>
          </w:tcPr>
          <w:p w14:paraId="396A472F"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Názov</w:t>
            </w:r>
          </w:p>
        </w:tc>
        <w:tc>
          <w:tcPr>
            <w:tcW w:w="1701" w:type="dxa"/>
            <w:vMerge w:val="restart"/>
            <w:shd w:val="clear" w:color="auto" w:fill="BDD7EE"/>
            <w:vAlign w:val="center"/>
            <w:hideMark/>
          </w:tcPr>
          <w:p w14:paraId="3D39B323" w14:textId="77777777" w:rsidR="00BF03AA" w:rsidRPr="00326E55" w:rsidRDefault="00FB452D">
            <w:pPr>
              <w:spacing w:after="120"/>
              <w:jc w:val="center"/>
              <w:rPr>
                <w:rFonts w:ascii="Times New Roman" w:hAnsi="Times New Roman"/>
                <w:b/>
                <w:bCs/>
                <w:noProof/>
                <w:spacing w:val="-6"/>
                <w:sz w:val="20"/>
                <w:szCs w:val="20"/>
                <w:lang w:val="sk-SK"/>
              </w:rPr>
            </w:pPr>
            <w:r w:rsidRPr="00326E55">
              <w:rPr>
                <w:rFonts w:ascii="Times New Roman" w:hAnsi="Times New Roman"/>
                <w:b/>
                <w:noProof/>
                <w:spacing w:val="-6"/>
                <w:sz w:val="20"/>
                <w:lang w:val="sk-SK"/>
              </w:rPr>
              <w:t>Kvalitatívne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míľniky)</w:t>
            </w:r>
          </w:p>
        </w:tc>
        <w:tc>
          <w:tcPr>
            <w:tcW w:w="3544" w:type="dxa"/>
            <w:gridSpan w:val="3"/>
            <w:shd w:val="clear" w:color="auto" w:fill="BDD7EE"/>
            <w:vAlign w:val="center"/>
            <w:hideMark/>
          </w:tcPr>
          <w:p w14:paraId="699A101E" w14:textId="77777777" w:rsidR="00BF03AA" w:rsidRPr="00326E55" w:rsidRDefault="00FB452D">
            <w:pPr>
              <w:spacing w:after="120"/>
              <w:jc w:val="center"/>
              <w:rPr>
                <w:rFonts w:ascii="Times New Roman" w:hAnsi="Times New Roman"/>
                <w:b/>
                <w:bCs/>
                <w:noProof/>
                <w:spacing w:val="-6"/>
                <w:sz w:val="20"/>
                <w:szCs w:val="20"/>
                <w:lang w:val="sk-SK"/>
              </w:rPr>
            </w:pPr>
            <w:r w:rsidRPr="00326E55">
              <w:rPr>
                <w:rFonts w:ascii="Times New Roman" w:hAnsi="Times New Roman"/>
                <w:b/>
                <w:noProof/>
                <w:spacing w:val="-6"/>
                <w:sz w:val="20"/>
                <w:lang w:val="sk-SK"/>
              </w:rPr>
              <w:t>Kvantitatívne ukazovatele</w:t>
            </w:r>
            <w:r w:rsidRPr="00326E55">
              <w:rPr>
                <w:rFonts w:ascii="Times New Roman" w:hAnsi="Times New Roman"/>
                <w:noProof/>
                <w:spacing w:val="-6"/>
                <w:lang w:val="sk-SK"/>
              </w:rPr>
              <w:br/>
            </w:r>
            <w:r w:rsidRPr="00326E55">
              <w:rPr>
                <w:rFonts w:ascii="Times New Roman" w:hAnsi="Times New Roman"/>
                <w:b/>
                <w:noProof/>
                <w:spacing w:val="-6"/>
                <w:sz w:val="20"/>
                <w:lang w:val="sk-SK"/>
              </w:rPr>
              <w:t>(pre cieľové hodnoty)</w:t>
            </w:r>
          </w:p>
        </w:tc>
        <w:tc>
          <w:tcPr>
            <w:tcW w:w="1559" w:type="dxa"/>
            <w:gridSpan w:val="2"/>
            <w:shd w:val="clear" w:color="auto" w:fill="BDD7EE"/>
            <w:vAlign w:val="center"/>
            <w:hideMark/>
          </w:tcPr>
          <w:p w14:paraId="566936E6"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 xml:space="preserve">Orientačný harmonogram </w:t>
            </w:r>
            <w:r w:rsidRPr="00326E55">
              <w:rPr>
                <w:rFonts w:ascii="Times New Roman" w:hAnsi="Times New Roman"/>
                <w:noProof/>
                <w:spacing w:val="-6"/>
                <w:lang w:val="sk-SK"/>
              </w:rPr>
              <w:t>dokončenia</w:t>
            </w:r>
          </w:p>
        </w:tc>
        <w:tc>
          <w:tcPr>
            <w:tcW w:w="3261" w:type="dxa"/>
            <w:vMerge w:val="restart"/>
            <w:shd w:val="clear" w:color="auto" w:fill="BDD7EE"/>
            <w:vAlign w:val="center"/>
            <w:hideMark/>
          </w:tcPr>
          <w:p w14:paraId="1D6BF3E4" w14:textId="43CE13DA"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Opis každého míľnika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cieľa</w:t>
            </w:r>
          </w:p>
        </w:tc>
      </w:tr>
      <w:tr w:rsidR="00BF03AA" w:rsidRPr="00326E55" w14:paraId="07C529AE" w14:textId="77777777">
        <w:trPr>
          <w:trHeight w:val="691"/>
          <w:tblHeader/>
        </w:trPr>
        <w:tc>
          <w:tcPr>
            <w:tcW w:w="1187" w:type="dxa"/>
            <w:vMerge/>
            <w:vAlign w:val="center"/>
            <w:hideMark/>
          </w:tcPr>
          <w:p w14:paraId="0D2CE59E" w14:textId="77777777" w:rsidR="00BF03AA" w:rsidRPr="00326E55" w:rsidRDefault="00BF03AA">
            <w:pPr>
              <w:spacing w:after="120"/>
              <w:jc w:val="center"/>
              <w:rPr>
                <w:rFonts w:ascii="Times New Roman" w:hAnsi="Times New Roman"/>
                <w:b/>
                <w:bCs/>
                <w:noProof/>
                <w:spacing w:val="-6"/>
                <w:sz w:val="20"/>
                <w:szCs w:val="20"/>
                <w:lang w:val="sk-SK"/>
              </w:rPr>
            </w:pPr>
          </w:p>
        </w:tc>
        <w:tc>
          <w:tcPr>
            <w:tcW w:w="1559" w:type="dxa"/>
            <w:vMerge/>
            <w:vAlign w:val="center"/>
            <w:hideMark/>
          </w:tcPr>
          <w:p w14:paraId="0E719CBE" w14:textId="77777777" w:rsidR="00BF03AA" w:rsidRPr="00326E55" w:rsidRDefault="00BF03AA">
            <w:pPr>
              <w:spacing w:after="120"/>
              <w:jc w:val="center"/>
              <w:rPr>
                <w:rFonts w:ascii="Times New Roman" w:hAnsi="Times New Roman"/>
                <w:b/>
                <w:bCs/>
                <w:noProof/>
                <w:spacing w:val="-6"/>
                <w:sz w:val="20"/>
                <w:szCs w:val="20"/>
                <w:lang w:val="sk-SK"/>
              </w:rPr>
            </w:pPr>
          </w:p>
        </w:tc>
        <w:tc>
          <w:tcPr>
            <w:tcW w:w="1134" w:type="dxa"/>
            <w:vMerge/>
            <w:vAlign w:val="center"/>
            <w:hideMark/>
          </w:tcPr>
          <w:p w14:paraId="3796DD4C" w14:textId="77777777" w:rsidR="00BF03AA" w:rsidRPr="00326E55" w:rsidRDefault="00BF03AA">
            <w:pPr>
              <w:spacing w:after="120"/>
              <w:jc w:val="center"/>
              <w:rPr>
                <w:rFonts w:ascii="Times New Roman" w:hAnsi="Times New Roman"/>
                <w:b/>
                <w:bCs/>
                <w:noProof/>
                <w:spacing w:val="-6"/>
                <w:sz w:val="20"/>
                <w:szCs w:val="20"/>
                <w:lang w:val="sk-SK"/>
              </w:rPr>
            </w:pPr>
          </w:p>
        </w:tc>
        <w:tc>
          <w:tcPr>
            <w:tcW w:w="1417" w:type="dxa"/>
            <w:vMerge/>
            <w:vAlign w:val="center"/>
            <w:hideMark/>
          </w:tcPr>
          <w:p w14:paraId="31B46FE5" w14:textId="77777777" w:rsidR="00BF03AA" w:rsidRPr="00326E55" w:rsidRDefault="00BF03AA">
            <w:pPr>
              <w:spacing w:after="120"/>
              <w:jc w:val="center"/>
              <w:rPr>
                <w:rFonts w:ascii="Times New Roman" w:hAnsi="Times New Roman"/>
                <w:b/>
                <w:bCs/>
                <w:noProof/>
                <w:spacing w:val="-6"/>
                <w:sz w:val="20"/>
                <w:szCs w:val="20"/>
                <w:lang w:val="sk-SK"/>
              </w:rPr>
            </w:pPr>
          </w:p>
        </w:tc>
        <w:tc>
          <w:tcPr>
            <w:tcW w:w="1701" w:type="dxa"/>
            <w:vMerge/>
            <w:vAlign w:val="center"/>
            <w:hideMark/>
          </w:tcPr>
          <w:p w14:paraId="72358260" w14:textId="77777777" w:rsidR="00BF03AA" w:rsidRPr="00326E55" w:rsidRDefault="00BF03AA">
            <w:pPr>
              <w:spacing w:after="120"/>
              <w:jc w:val="center"/>
              <w:rPr>
                <w:rFonts w:ascii="Times New Roman" w:hAnsi="Times New Roman"/>
                <w:b/>
                <w:bCs/>
                <w:noProof/>
                <w:spacing w:val="-6"/>
                <w:sz w:val="20"/>
                <w:szCs w:val="20"/>
                <w:lang w:val="sk-SK"/>
              </w:rPr>
            </w:pPr>
          </w:p>
        </w:tc>
        <w:tc>
          <w:tcPr>
            <w:tcW w:w="1276" w:type="dxa"/>
            <w:shd w:val="clear" w:color="auto" w:fill="BDD7EE"/>
            <w:vAlign w:val="center"/>
            <w:hideMark/>
          </w:tcPr>
          <w:p w14:paraId="09D78315"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Merná jednotka</w:t>
            </w:r>
          </w:p>
        </w:tc>
        <w:tc>
          <w:tcPr>
            <w:tcW w:w="992" w:type="dxa"/>
            <w:shd w:val="clear" w:color="auto" w:fill="BDD7EE"/>
            <w:vAlign w:val="center"/>
            <w:hideMark/>
          </w:tcPr>
          <w:p w14:paraId="2BCC66D1"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Základná</w:t>
            </w:r>
          </w:p>
        </w:tc>
        <w:tc>
          <w:tcPr>
            <w:tcW w:w="1276" w:type="dxa"/>
            <w:shd w:val="clear" w:color="auto" w:fill="BDD7EE"/>
            <w:vAlign w:val="center"/>
            <w:hideMark/>
          </w:tcPr>
          <w:p w14:paraId="5B911D84"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Cieľ</w:t>
            </w:r>
          </w:p>
        </w:tc>
        <w:tc>
          <w:tcPr>
            <w:tcW w:w="851" w:type="dxa"/>
            <w:shd w:val="clear" w:color="auto" w:fill="BDD7EE"/>
            <w:vAlign w:val="center"/>
            <w:hideMark/>
          </w:tcPr>
          <w:p w14:paraId="692636A1"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Štvrtina</w:t>
            </w:r>
          </w:p>
        </w:tc>
        <w:tc>
          <w:tcPr>
            <w:tcW w:w="708" w:type="dxa"/>
            <w:shd w:val="clear" w:color="auto" w:fill="BDD7EE"/>
            <w:vAlign w:val="center"/>
            <w:hideMark/>
          </w:tcPr>
          <w:p w14:paraId="7A0AAAFB" w14:textId="77777777" w:rsidR="00BF03AA" w:rsidRPr="00326E55" w:rsidRDefault="00FB452D">
            <w:pPr>
              <w:pStyle w:val="P68B1DB1-Normal10"/>
              <w:spacing w:after="120"/>
              <w:jc w:val="center"/>
              <w:rPr>
                <w:rFonts w:ascii="Times New Roman" w:hAnsi="Times New Roman"/>
                <w:bCs/>
                <w:noProof/>
                <w:spacing w:val="-6"/>
                <w:szCs w:val="20"/>
                <w:lang w:val="sk-SK"/>
              </w:rPr>
            </w:pPr>
            <w:r w:rsidRPr="00326E55">
              <w:rPr>
                <w:rFonts w:ascii="Times New Roman" w:hAnsi="Times New Roman"/>
                <w:noProof/>
                <w:spacing w:val="-6"/>
                <w:lang w:val="sk-SK"/>
              </w:rPr>
              <w:t>Rok</w:t>
            </w:r>
          </w:p>
        </w:tc>
        <w:tc>
          <w:tcPr>
            <w:tcW w:w="3261" w:type="dxa"/>
            <w:vMerge/>
            <w:vAlign w:val="center"/>
            <w:hideMark/>
          </w:tcPr>
          <w:p w14:paraId="064E5FFD" w14:textId="77777777" w:rsidR="00BF03AA" w:rsidRPr="00326E55" w:rsidRDefault="00BF03AA">
            <w:pPr>
              <w:spacing w:after="120"/>
              <w:jc w:val="center"/>
              <w:rPr>
                <w:rFonts w:ascii="Times New Roman" w:hAnsi="Times New Roman"/>
                <w:b/>
                <w:bCs/>
                <w:noProof/>
                <w:spacing w:val="-6"/>
                <w:sz w:val="20"/>
                <w:szCs w:val="20"/>
                <w:lang w:val="sk-SK"/>
              </w:rPr>
            </w:pPr>
          </w:p>
        </w:tc>
      </w:tr>
      <w:tr w:rsidR="00BF03AA" w:rsidRPr="00326E55" w14:paraId="455B7767" w14:textId="77777777">
        <w:trPr>
          <w:trHeight w:val="309"/>
        </w:trPr>
        <w:tc>
          <w:tcPr>
            <w:tcW w:w="1187" w:type="dxa"/>
            <w:shd w:val="clear" w:color="auto" w:fill="C6EFCE"/>
            <w:noWrap/>
            <w:vAlign w:val="center"/>
          </w:tcPr>
          <w:p w14:paraId="31DCB79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35</w:t>
            </w:r>
          </w:p>
        </w:tc>
        <w:tc>
          <w:tcPr>
            <w:tcW w:w="1559" w:type="dxa"/>
            <w:shd w:val="clear" w:color="auto" w:fill="C6EFCE"/>
            <w:noWrap/>
            <w:vAlign w:val="center"/>
          </w:tcPr>
          <w:p w14:paraId="7B7C5C0B" w14:textId="497CFA2A"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13: Fáza 1 Jadranskej linky (kompresorová stanica Sulmona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plynovod Sestino-Minerbio)</w:t>
            </w:r>
          </w:p>
        </w:tc>
        <w:tc>
          <w:tcPr>
            <w:tcW w:w="1134" w:type="dxa"/>
            <w:shd w:val="clear" w:color="auto" w:fill="C6EFCE"/>
            <w:noWrap/>
            <w:vAlign w:val="center"/>
          </w:tcPr>
          <w:p w14:paraId="6CE40EAD"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noWrap/>
            <w:vAlign w:val="center"/>
          </w:tcPr>
          <w:p w14:paraId="0413E648" w14:textId="477FDCE2"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Prijatie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aktualizácia príslušných posúdení vplyvov </w:t>
            </w:r>
            <w:r w:rsidRPr="00326E55">
              <w:rPr>
                <w:rFonts w:ascii="Times New Roman" w:hAnsi="Times New Roman"/>
                <w:noProof/>
                <w:spacing w:val="-6"/>
                <w:lang w:val="sk-SK"/>
              </w:rPr>
              <w:t>na životné prostredie (VIncA)</w:t>
            </w:r>
          </w:p>
        </w:tc>
        <w:tc>
          <w:tcPr>
            <w:tcW w:w="1701" w:type="dxa"/>
            <w:shd w:val="clear" w:color="auto" w:fill="C6EFCE"/>
            <w:noWrap/>
            <w:vAlign w:val="center"/>
          </w:tcPr>
          <w:p w14:paraId="0A760D22" w14:textId="2D962164"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Určené SSCO</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VincA sa zodpovedajúcim spôsobom zrevidovali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prijali.</w:t>
            </w:r>
          </w:p>
        </w:tc>
        <w:tc>
          <w:tcPr>
            <w:tcW w:w="1276" w:type="dxa"/>
            <w:shd w:val="clear" w:color="auto" w:fill="C6EFCE"/>
            <w:noWrap/>
            <w:vAlign w:val="center"/>
          </w:tcPr>
          <w:p w14:paraId="6DE294EF"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shd w:val="clear" w:color="auto" w:fill="C6EFCE"/>
            <w:noWrap/>
            <w:vAlign w:val="center"/>
          </w:tcPr>
          <w:p w14:paraId="28788EE2"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340E49E5"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shd w:val="clear" w:color="auto" w:fill="C6EFCE"/>
            <w:noWrap/>
            <w:vAlign w:val="center"/>
          </w:tcPr>
          <w:p w14:paraId="2335AF35"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08" w:type="dxa"/>
            <w:shd w:val="clear" w:color="auto" w:fill="C6EFCE"/>
            <w:noWrap/>
            <w:vAlign w:val="center"/>
          </w:tcPr>
          <w:p w14:paraId="5D8F560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261" w:type="dxa"/>
            <w:shd w:val="clear" w:color="auto" w:fill="C6EFCE"/>
            <w:noWrap/>
            <w:vAlign w:val="center"/>
          </w:tcPr>
          <w:p w14:paraId="5EE31E5B" w14:textId="77777777" w:rsidR="00BF03AA" w:rsidRPr="00326E55" w:rsidRDefault="00FB452D">
            <w:pPr>
              <w:pStyle w:val="P68B1DB1-Normal11"/>
              <w:spacing w:after="120"/>
              <w:rPr>
                <w:rFonts w:ascii="Times New Roman" w:hAnsi="Times New Roman"/>
                <w:noProof/>
                <w:spacing w:val="-6"/>
                <w:szCs w:val="20"/>
                <w:lang w:val="sk-SK"/>
              </w:rPr>
            </w:pPr>
            <w:bookmarkStart w:id="29" w:name="_Hlk147330404"/>
            <w:r w:rsidRPr="00326E55">
              <w:rPr>
                <w:rFonts w:ascii="Times New Roman" w:hAnsi="Times New Roman"/>
                <w:noProof/>
                <w:spacing w:val="-6"/>
                <w:lang w:val="sk-SK"/>
              </w:rPr>
              <w:t>Talianske orgány:</w:t>
            </w:r>
          </w:p>
          <w:p w14:paraId="4A107987" w14:textId="11A18E6E" w:rsidR="00BF03AA" w:rsidRPr="00326E55" w:rsidRDefault="00FB452D">
            <w:pPr>
              <w:pStyle w:val="P68B1DB1-ListParagraph15"/>
              <w:numPr>
                <w:ilvl w:val="0"/>
                <w:numId w:val="39"/>
              </w:numPr>
              <w:spacing w:after="120" w:line="240" w:lineRule="auto"/>
              <w:rPr>
                <w:rFonts w:ascii="Times New Roman" w:hAnsi="Times New Roman"/>
                <w:noProof/>
                <w:spacing w:val="-6"/>
                <w:szCs w:val="20"/>
                <w:lang w:val="sk-SK"/>
              </w:rPr>
            </w:pPr>
            <w:r w:rsidRPr="00326E55">
              <w:rPr>
                <w:rFonts w:ascii="Times New Roman" w:hAnsi="Times New Roman"/>
                <w:noProof/>
                <w:spacing w:val="-6"/>
                <w:lang w:val="sk-SK"/>
              </w:rPr>
              <w:t>Stanoviť ciele ochrany špecifické pre jednotlivé lokality (SSCO) pre lokality sústavy Natura 2000 ovplyvnené projekt</w:t>
            </w:r>
            <w:r w:rsidRPr="00326E55">
              <w:rPr>
                <w:rFonts w:ascii="Times New Roman" w:hAnsi="Times New Roman"/>
                <w:noProof/>
                <w:spacing w:val="-6"/>
                <w:lang w:val="sk-SK"/>
              </w:rPr>
              <w:t>om podľa metodiky prijatej ministerstvom životného prostredia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energetickej bezpečnosti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rokoch 2021</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2023.</w:t>
            </w:r>
          </w:p>
          <w:p w14:paraId="7512FC2B" w14:textId="204AE3D8" w:rsidR="00BF03AA" w:rsidRPr="00326E55" w:rsidRDefault="00FB452D">
            <w:pPr>
              <w:pStyle w:val="P68B1DB1-ListParagraph15"/>
              <w:numPr>
                <w:ilvl w:val="0"/>
                <w:numId w:val="39"/>
              </w:numPr>
              <w:spacing w:after="120" w:line="240" w:lineRule="auto"/>
              <w:contextualSpacing w:val="0"/>
              <w:rPr>
                <w:rFonts w:ascii="Times New Roman" w:hAnsi="Times New Roman"/>
                <w:noProof/>
                <w:spacing w:val="-6"/>
                <w:szCs w:val="20"/>
                <w:lang w:val="sk-SK"/>
              </w:rPr>
            </w:pPr>
            <w:r w:rsidRPr="00326E55">
              <w:rPr>
                <w:rFonts w:ascii="Times New Roman" w:hAnsi="Times New Roman"/>
                <w:noProof/>
                <w:spacing w:val="-6"/>
                <w:lang w:val="sk-SK"/>
              </w:rPr>
              <w:t>Overiť primerané posúdenia, ktoré sa už vykonali podľa smernice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biotopoch, vzhľadom na novovytvorené SSCO.</w:t>
            </w:r>
            <w:bookmarkEnd w:id="29"/>
          </w:p>
          <w:p w14:paraId="7460EC70" w14:textId="49F33881" w:rsidR="00BF03AA" w:rsidRPr="00326E55" w:rsidRDefault="00FB452D">
            <w:pPr>
              <w:pStyle w:val="P68B1DB1-ListParagraph15"/>
              <w:numPr>
                <w:ilvl w:val="0"/>
                <w:numId w:val="39"/>
              </w:numPr>
              <w:spacing w:after="120" w:line="240" w:lineRule="auto"/>
              <w:contextualSpacing w:val="0"/>
              <w:rPr>
                <w:rFonts w:ascii="Times New Roman" w:hAnsi="Times New Roman"/>
                <w:noProof/>
                <w:spacing w:val="-6"/>
                <w:szCs w:val="20"/>
                <w:lang w:val="sk-SK"/>
              </w:rPr>
            </w:pPr>
            <w:r w:rsidRPr="00326E55">
              <w:rPr>
                <w:rFonts w:ascii="Times New Roman" w:hAnsi="Times New Roman"/>
                <w:noProof/>
                <w:spacing w:val="-6"/>
                <w:lang w:val="sk-SK"/>
              </w:rPr>
              <w:t>(V prípade potreby) aktualizovať prí</w:t>
            </w:r>
            <w:r w:rsidRPr="00326E55">
              <w:rPr>
                <w:rFonts w:ascii="Times New Roman" w:hAnsi="Times New Roman"/>
                <w:noProof/>
                <w:spacing w:val="-6"/>
                <w:lang w:val="sk-SK"/>
              </w:rPr>
              <w:t>slušné posúdenia, ktoré sa už vykonali podľa smernice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biotopoch</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vnútroštátnymi usmerneniami</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28</w:t>
            </w:r>
            <w:r w:rsidR="00326E55" w:rsidRPr="00326E55">
              <w:rPr>
                <w:rFonts w:ascii="Times New Roman" w:hAnsi="Times New Roman"/>
                <w:noProof/>
                <w:spacing w:val="-6"/>
                <w:lang w:val="sk-SK"/>
              </w:rPr>
              <w:t>. decembra</w:t>
            </w:r>
            <w:r w:rsidRPr="00326E55">
              <w:rPr>
                <w:rFonts w:ascii="Times New Roman" w:hAnsi="Times New Roman"/>
                <w:noProof/>
                <w:spacing w:val="-6"/>
                <w:lang w:val="sk-SK"/>
              </w:rPr>
              <w:t xml:space="preserve"> 2019,</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zabezpečiť ich začlenenie do celkového postupu posudzovania vplyvov na životné prostredie.</w:t>
            </w:r>
          </w:p>
        </w:tc>
      </w:tr>
      <w:tr w:rsidR="00BF03AA" w:rsidRPr="00326E55" w14:paraId="4D332C1E" w14:textId="77777777">
        <w:trPr>
          <w:trHeight w:val="309"/>
        </w:trPr>
        <w:tc>
          <w:tcPr>
            <w:tcW w:w="1187" w:type="dxa"/>
            <w:shd w:val="clear" w:color="auto" w:fill="C6EFCE"/>
            <w:noWrap/>
            <w:vAlign w:val="center"/>
          </w:tcPr>
          <w:p w14:paraId="610087D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36</w:t>
            </w:r>
          </w:p>
        </w:tc>
        <w:tc>
          <w:tcPr>
            <w:tcW w:w="1559" w:type="dxa"/>
            <w:shd w:val="clear" w:color="auto" w:fill="C6EFCE"/>
            <w:noWrap/>
            <w:vAlign w:val="center"/>
          </w:tcPr>
          <w:p w14:paraId="6C68A370" w14:textId="06619EB8"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Investícia 13: Fáza 1 </w:t>
            </w:r>
            <w:r w:rsidRPr="00326E55">
              <w:rPr>
                <w:rFonts w:ascii="Times New Roman" w:hAnsi="Times New Roman"/>
                <w:noProof/>
                <w:spacing w:val="-6"/>
                <w:lang w:val="sk-SK"/>
              </w:rPr>
              <w:t>Jadranskej linky (kompresorová stanica Sulmona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plynovod Sestino-Minerbio)</w:t>
            </w:r>
          </w:p>
        </w:tc>
        <w:tc>
          <w:tcPr>
            <w:tcW w:w="1134" w:type="dxa"/>
            <w:shd w:val="clear" w:color="auto" w:fill="C6EFCE"/>
            <w:noWrap/>
            <w:vAlign w:val="center"/>
          </w:tcPr>
          <w:p w14:paraId="0552F973"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noWrap/>
            <w:vAlign w:val="center"/>
          </w:tcPr>
          <w:p w14:paraId="5B386AB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Zadávanie zákaziek</w:t>
            </w:r>
          </w:p>
        </w:tc>
        <w:tc>
          <w:tcPr>
            <w:tcW w:w="1701" w:type="dxa"/>
            <w:shd w:val="clear" w:color="auto" w:fill="C6EFCE"/>
            <w:noWrap/>
            <w:vAlign w:val="center"/>
          </w:tcPr>
          <w:p w14:paraId="1E62182A" w14:textId="1BDBAEA0"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w:t>
            </w:r>
          </w:p>
        </w:tc>
        <w:tc>
          <w:tcPr>
            <w:tcW w:w="1276" w:type="dxa"/>
            <w:shd w:val="clear" w:color="auto" w:fill="C6EFCE"/>
            <w:noWrap/>
            <w:vAlign w:val="center"/>
          </w:tcPr>
          <w:p w14:paraId="3445D382"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shd w:val="clear" w:color="auto" w:fill="C6EFCE"/>
            <w:noWrap/>
            <w:vAlign w:val="center"/>
          </w:tcPr>
          <w:p w14:paraId="75CFEA4E"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445CA87F"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shd w:val="clear" w:color="auto" w:fill="C6EFCE"/>
            <w:noWrap/>
            <w:vAlign w:val="center"/>
          </w:tcPr>
          <w:p w14:paraId="31B8FB3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shd w:val="clear" w:color="auto" w:fill="C6EFCE"/>
            <w:noWrap/>
            <w:vAlign w:val="center"/>
          </w:tcPr>
          <w:p w14:paraId="208A0FC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261" w:type="dxa"/>
            <w:shd w:val="clear" w:color="auto" w:fill="C6EFCE"/>
            <w:noWrap/>
            <w:vAlign w:val="center"/>
          </w:tcPr>
          <w:p w14:paraId="6B8AF703" w14:textId="6C57D5B4" w:rsidR="00BF03AA" w:rsidRPr="00326E55" w:rsidRDefault="00FB452D">
            <w:pPr>
              <w:pStyle w:val="P68B1DB1-ListParagraph15"/>
              <w:ind w:left="0"/>
              <w:contextualSpacing w:val="0"/>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zákaziek na práce potrebné na výstavbu kompresorovej stanice Sulmona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plynovodu Sestino-Minerbio.</w:t>
            </w:r>
          </w:p>
        </w:tc>
      </w:tr>
      <w:tr w:rsidR="00BF03AA" w:rsidRPr="00326E55" w14:paraId="1EE82ADA" w14:textId="77777777">
        <w:trPr>
          <w:trHeight w:val="309"/>
        </w:trPr>
        <w:tc>
          <w:tcPr>
            <w:tcW w:w="1187" w:type="dxa"/>
            <w:shd w:val="clear" w:color="auto" w:fill="C6EFCE"/>
            <w:noWrap/>
            <w:vAlign w:val="center"/>
          </w:tcPr>
          <w:p w14:paraId="3F3068D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M7 – 37</w:t>
            </w:r>
          </w:p>
        </w:tc>
        <w:tc>
          <w:tcPr>
            <w:tcW w:w="1559" w:type="dxa"/>
            <w:shd w:val="clear" w:color="auto" w:fill="C6EFCE"/>
            <w:noWrap/>
            <w:vAlign w:val="center"/>
          </w:tcPr>
          <w:p w14:paraId="3F3205AC" w14:textId="3B8E6E46"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13: Fáza 1 Jadranskej linky (kompresorová stanica Sulmona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plynovod Sestino-Minerbio)</w:t>
            </w:r>
          </w:p>
        </w:tc>
        <w:tc>
          <w:tcPr>
            <w:tcW w:w="1134" w:type="dxa"/>
            <w:shd w:val="clear" w:color="auto" w:fill="C6EFCE"/>
            <w:noWrap/>
            <w:vAlign w:val="center"/>
          </w:tcPr>
          <w:p w14:paraId="7D1078F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noWrap/>
            <w:vAlign w:val="center"/>
          </w:tcPr>
          <w:p w14:paraId="7BFD81A1" w14:textId="77777777" w:rsidR="00BF03AA" w:rsidRPr="00326E55" w:rsidRDefault="00FB452D">
            <w:pPr>
              <w:pStyle w:val="P68B1DB1-Normal11"/>
              <w:jc w:val="center"/>
              <w:rPr>
                <w:rFonts w:ascii="Times New Roman" w:eastAsia="Calibri" w:hAnsi="Times New Roman" w:cstheme="minorHAnsi"/>
                <w:noProof/>
                <w:spacing w:val="-6"/>
                <w:szCs w:val="20"/>
                <w:lang w:val="sk-SK"/>
              </w:rPr>
            </w:pPr>
            <w:r w:rsidRPr="00326E55">
              <w:rPr>
                <w:rFonts w:ascii="Times New Roman" w:hAnsi="Times New Roman"/>
                <w:noProof/>
                <w:spacing w:val="-6"/>
                <w:lang w:val="sk-SK"/>
              </w:rPr>
              <w:t>Dokončenie prác</w:t>
            </w:r>
          </w:p>
        </w:tc>
        <w:tc>
          <w:tcPr>
            <w:tcW w:w="1701" w:type="dxa"/>
            <w:shd w:val="clear" w:color="auto" w:fill="C6EFCE"/>
            <w:noWrap/>
            <w:vAlign w:val="center"/>
          </w:tcPr>
          <w:p w14:paraId="4762FEE4" w14:textId="0FE65379"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szCs w:val="20"/>
                <w:lang w:val="sk-SK"/>
              </w:rPr>
              <w:t>Vydané osvedčenia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w:t>
            </w:r>
            <w:r w:rsidRPr="00326E55">
              <w:rPr>
                <w:rFonts w:ascii="Times New Roman" w:hAnsi="Times New Roman"/>
                <w:noProof/>
                <w:spacing w:val="-6"/>
                <w:szCs w:val="20"/>
                <w:lang w:val="sk-SK"/>
              </w:rPr>
              <w:t xml:space="preserve"> </w:t>
            </w:r>
          </w:p>
        </w:tc>
        <w:tc>
          <w:tcPr>
            <w:tcW w:w="1276" w:type="dxa"/>
            <w:shd w:val="clear" w:color="auto" w:fill="C6EFCE"/>
            <w:noWrap/>
            <w:vAlign w:val="center"/>
          </w:tcPr>
          <w:p w14:paraId="3BD93EFB" w14:textId="77777777" w:rsidR="00BF03AA" w:rsidRPr="00326E55" w:rsidRDefault="00BF03AA">
            <w:pPr>
              <w:jc w:val="center"/>
              <w:rPr>
                <w:rFonts w:ascii="Times New Roman" w:hAnsi="Times New Roman"/>
                <w:noProof/>
                <w:color w:val="006100"/>
                <w:spacing w:val="-6"/>
                <w:sz w:val="20"/>
                <w:szCs w:val="20"/>
                <w:lang w:val="sk-SK"/>
              </w:rPr>
            </w:pPr>
          </w:p>
        </w:tc>
        <w:tc>
          <w:tcPr>
            <w:tcW w:w="992" w:type="dxa"/>
            <w:shd w:val="clear" w:color="auto" w:fill="C6EFCE"/>
            <w:noWrap/>
            <w:vAlign w:val="center"/>
          </w:tcPr>
          <w:p w14:paraId="1851E7F8" w14:textId="77777777" w:rsidR="00BF03AA" w:rsidRPr="00326E55" w:rsidRDefault="00BF03AA">
            <w:pPr>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193CE532" w14:textId="77777777" w:rsidR="00BF03AA" w:rsidRPr="00326E55" w:rsidRDefault="00BF03AA">
            <w:pPr>
              <w:jc w:val="center"/>
              <w:rPr>
                <w:rFonts w:ascii="Times New Roman" w:hAnsi="Times New Roman"/>
                <w:noProof/>
                <w:color w:val="006100"/>
                <w:spacing w:val="-6"/>
                <w:sz w:val="20"/>
                <w:szCs w:val="20"/>
                <w:lang w:val="sk-SK"/>
              </w:rPr>
            </w:pPr>
          </w:p>
        </w:tc>
        <w:tc>
          <w:tcPr>
            <w:tcW w:w="851" w:type="dxa"/>
            <w:shd w:val="clear" w:color="auto" w:fill="C6EFCE"/>
            <w:noWrap/>
            <w:vAlign w:val="center"/>
          </w:tcPr>
          <w:p w14:paraId="5031694F"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shd w:val="clear" w:color="auto" w:fill="C6EFCE"/>
            <w:noWrap/>
            <w:vAlign w:val="center"/>
          </w:tcPr>
          <w:p w14:paraId="12A1D3B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61" w:type="dxa"/>
            <w:shd w:val="clear" w:color="auto" w:fill="C6EFCE"/>
            <w:noWrap/>
            <w:vAlign w:val="center"/>
          </w:tcPr>
          <w:p w14:paraId="6544E3E8" w14:textId="65BCCABE"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 xml:space="preserve">dokončení prác na </w:t>
            </w:r>
            <w:r w:rsidRPr="00326E55">
              <w:rPr>
                <w:rFonts w:ascii="Times New Roman" w:hAnsi="Times New Roman"/>
                <w:noProof/>
                <w:spacing w:val="-6"/>
                <w:lang w:val="sk-SK"/>
              </w:rPr>
              <w:t>kompresorovej stanici Sulmona</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plynovode Sestino-Minerbio sa vydáva na zvýšenie technickej kapacity prepravy plynu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14 mil. m³/deň.</w:t>
            </w:r>
          </w:p>
        </w:tc>
      </w:tr>
      <w:tr w:rsidR="00BF03AA" w:rsidRPr="00326E55" w14:paraId="6CEB988D" w14:textId="77777777">
        <w:trPr>
          <w:trHeight w:val="309"/>
        </w:trPr>
        <w:tc>
          <w:tcPr>
            <w:tcW w:w="1187" w:type="dxa"/>
            <w:shd w:val="clear" w:color="auto" w:fill="C6EFCE"/>
            <w:noWrap/>
            <w:vAlign w:val="center"/>
          </w:tcPr>
          <w:p w14:paraId="4BC0B26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M7 – 38</w:t>
            </w:r>
          </w:p>
        </w:tc>
        <w:tc>
          <w:tcPr>
            <w:tcW w:w="1559" w:type="dxa"/>
            <w:shd w:val="clear" w:color="auto" w:fill="C6EFCE"/>
            <w:noWrap/>
            <w:vAlign w:val="center"/>
          </w:tcPr>
          <w:p w14:paraId="3A89F98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 Infraštruktúra cezhraničného vývozu plynu</w:t>
            </w:r>
          </w:p>
        </w:tc>
        <w:tc>
          <w:tcPr>
            <w:tcW w:w="1134" w:type="dxa"/>
            <w:shd w:val="clear" w:color="auto" w:fill="C6EFCE"/>
            <w:noWrap/>
            <w:vAlign w:val="center"/>
          </w:tcPr>
          <w:p w14:paraId="5A35B80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noWrap/>
            <w:vAlign w:val="center"/>
          </w:tcPr>
          <w:p w14:paraId="59E0FF0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Zadávanie zákaziek</w:t>
            </w:r>
          </w:p>
        </w:tc>
        <w:tc>
          <w:tcPr>
            <w:tcW w:w="1701" w:type="dxa"/>
            <w:shd w:val="clear" w:color="auto" w:fill="C6EFCE"/>
            <w:noWrap/>
            <w:vAlign w:val="center"/>
          </w:tcPr>
          <w:p w14:paraId="27A41193" w14:textId="59D560FD"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zákaziek</w:t>
            </w:r>
          </w:p>
        </w:tc>
        <w:tc>
          <w:tcPr>
            <w:tcW w:w="1276" w:type="dxa"/>
            <w:shd w:val="clear" w:color="auto" w:fill="C6EFCE"/>
            <w:noWrap/>
            <w:vAlign w:val="center"/>
          </w:tcPr>
          <w:p w14:paraId="5C42F510" w14:textId="77777777" w:rsidR="00BF03AA" w:rsidRPr="00326E55" w:rsidRDefault="00BF03AA">
            <w:pPr>
              <w:jc w:val="center"/>
              <w:rPr>
                <w:rFonts w:ascii="Times New Roman" w:hAnsi="Times New Roman"/>
                <w:noProof/>
                <w:color w:val="FF0000"/>
                <w:spacing w:val="-6"/>
                <w:sz w:val="20"/>
                <w:szCs w:val="20"/>
                <w:lang w:val="sk-SK"/>
              </w:rPr>
            </w:pPr>
          </w:p>
        </w:tc>
        <w:tc>
          <w:tcPr>
            <w:tcW w:w="992" w:type="dxa"/>
            <w:shd w:val="clear" w:color="auto" w:fill="C6EFCE"/>
            <w:noWrap/>
            <w:vAlign w:val="center"/>
          </w:tcPr>
          <w:p w14:paraId="0FC05DA7" w14:textId="77777777" w:rsidR="00BF03AA" w:rsidRPr="00326E55" w:rsidRDefault="00BF03AA">
            <w:pPr>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61D5864A" w14:textId="77777777" w:rsidR="00BF03AA" w:rsidRPr="00326E55" w:rsidRDefault="00BF03AA">
            <w:pPr>
              <w:jc w:val="center"/>
              <w:rPr>
                <w:rFonts w:ascii="Times New Roman" w:hAnsi="Times New Roman"/>
                <w:noProof/>
                <w:color w:val="006100"/>
                <w:spacing w:val="-6"/>
                <w:sz w:val="20"/>
                <w:szCs w:val="20"/>
                <w:lang w:val="sk-SK"/>
              </w:rPr>
            </w:pPr>
          </w:p>
        </w:tc>
        <w:tc>
          <w:tcPr>
            <w:tcW w:w="851" w:type="dxa"/>
            <w:shd w:val="clear" w:color="auto" w:fill="C6EFCE"/>
            <w:noWrap/>
            <w:vAlign w:val="center"/>
          </w:tcPr>
          <w:p w14:paraId="578DAEAE"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shd w:val="clear" w:color="auto" w:fill="C6EFCE"/>
            <w:noWrap/>
            <w:vAlign w:val="center"/>
          </w:tcPr>
          <w:p w14:paraId="7173355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261" w:type="dxa"/>
            <w:shd w:val="clear" w:color="auto" w:fill="C6EFCE"/>
            <w:noWrap/>
            <w:vAlign w:val="center"/>
          </w:tcPr>
          <w:p w14:paraId="6BD1DBD6" w14:textId="3A52FC1D"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zadaní všetkých zákaziek na práce potrebné na dokončenie kompresorovej stanice Poggio Renatico</w:t>
            </w:r>
          </w:p>
        </w:tc>
      </w:tr>
      <w:tr w:rsidR="00BF03AA" w:rsidRPr="00326E55" w14:paraId="41926CEA" w14:textId="77777777">
        <w:trPr>
          <w:trHeight w:val="309"/>
        </w:trPr>
        <w:tc>
          <w:tcPr>
            <w:tcW w:w="1187" w:type="dxa"/>
            <w:shd w:val="clear" w:color="auto" w:fill="C6EFCE"/>
            <w:noWrap/>
            <w:vAlign w:val="center"/>
          </w:tcPr>
          <w:p w14:paraId="25484426"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M7 – 39</w:t>
            </w:r>
          </w:p>
        </w:tc>
        <w:tc>
          <w:tcPr>
            <w:tcW w:w="1559" w:type="dxa"/>
            <w:shd w:val="clear" w:color="auto" w:fill="C6EFCE"/>
            <w:noWrap/>
            <w:vAlign w:val="center"/>
          </w:tcPr>
          <w:p w14:paraId="606B211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14: Infraštruktúra cezhraničného vývozu plynu</w:t>
            </w:r>
          </w:p>
        </w:tc>
        <w:tc>
          <w:tcPr>
            <w:tcW w:w="1134" w:type="dxa"/>
            <w:shd w:val="clear" w:color="auto" w:fill="C6EFCE"/>
            <w:noWrap/>
            <w:vAlign w:val="center"/>
          </w:tcPr>
          <w:p w14:paraId="08E0A36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noWrap/>
            <w:vAlign w:val="center"/>
          </w:tcPr>
          <w:p w14:paraId="2CE8930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Dokončenie prác</w:t>
            </w:r>
          </w:p>
        </w:tc>
        <w:tc>
          <w:tcPr>
            <w:tcW w:w="1701" w:type="dxa"/>
            <w:shd w:val="clear" w:color="auto" w:fill="C6EFCE"/>
            <w:noWrap/>
            <w:vAlign w:val="center"/>
          </w:tcPr>
          <w:p w14:paraId="715D8F17" w14:textId="12224D3B"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szCs w:val="20"/>
                <w:lang w:val="sk-SK"/>
              </w:rPr>
              <w:t>Vydané 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dokončení prác</w:t>
            </w:r>
            <w:r w:rsidRPr="00326E55">
              <w:rPr>
                <w:rFonts w:ascii="Times New Roman" w:hAnsi="Times New Roman"/>
                <w:noProof/>
                <w:spacing w:val="-6"/>
                <w:szCs w:val="20"/>
                <w:lang w:val="sk-SK"/>
              </w:rPr>
              <w:t xml:space="preserve"> </w:t>
            </w:r>
          </w:p>
        </w:tc>
        <w:tc>
          <w:tcPr>
            <w:tcW w:w="1276" w:type="dxa"/>
            <w:shd w:val="clear" w:color="auto" w:fill="C6EFCE"/>
            <w:noWrap/>
            <w:vAlign w:val="center"/>
          </w:tcPr>
          <w:p w14:paraId="2D4768DB" w14:textId="77777777" w:rsidR="00BF03AA" w:rsidRPr="00326E55" w:rsidRDefault="00BF03AA">
            <w:pPr>
              <w:jc w:val="center"/>
              <w:rPr>
                <w:rFonts w:ascii="Times New Roman" w:hAnsi="Times New Roman"/>
                <w:noProof/>
                <w:color w:val="006100"/>
                <w:spacing w:val="-6"/>
                <w:sz w:val="20"/>
                <w:szCs w:val="20"/>
                <w:lang w:val="sk-SK"/>
              </w:rPr>
            </w:pPr>
          </w:p>
        </w:tc>
        <w:tc>
          <w:tcPr>
            <w:tcW w:w="992" w:type="dxa"/>
            <w:shd w:val="clear" w:color="auto" w:fill="C6EFCE"/>
            <w:noWrap/>
            <w:vAlign w:val="center"/>
          </w:tcPr>
          <w:p w14:paraId="278E6B02" w14:textId="77777777" w:rsidR="00BF03AA" w:rsidRPr="00326E55" w:rsidRDefault="00BF03AA">
            <w:pPr>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1DABF037" w14:textId="77777777" w:rsidR="00BF03AA" w:rsidRPr="00326E55" w:rsidRDefault="00BF03AA">
            <w:pPr>
              <w:jc w:val="center"/>
              <w:rPr>
                <w:rFonts w:ascii="Times New Roman" w:hAnsi="Times New Roman"/>
                <w:noProof/>
                <w:color w:val="006100"/>
                <w:spacing w:val="-6"/>
                <w:sz w:val="20"/>
                <w:szCs w:val="20"/>
                <w:lang w:val="sk-SK"/>
              </w:rPr>
            </w:pPr>
          </w:p>
        </w:tc>
        <w:tc>
          <w:tcPr>
            <w:tcW w:w="851" w:type="dxa"/>
            <w:shd w:val="clear" w:color="auto" w:fill="C6EFCE"/>
            <w:noWrap/>
            <w:vAlign w:val="center"/>
          </w:tcPr>
          <w:p w14:paraId="682B2234"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shd w:val="clear" w:color="auto" w:fill="C6EFCE"/>
            <w:noWrap/>
            <w:vAlign w:val="center"/>
          </w:tcPr>
          <w:p w14:paraId="59CC15E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61" w:type="dxa"/>
            <w:shd w:val="clear" w:color="auto" w:fill="C6EFCE"/>
            <w:noWrap/>
            <w:vAlign w:val="center"/>
          </w:tcPr>
          <w:p w14:paraId="057055A6" w14:textId="62E262A9"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szCs w:val="20"/>
                <w:lang w:val="sk-SK"/>
              </w:rPr>
              <w:t>Osvedčenie</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dokončení prác na</w:t>
            </w:r>
            <w:r w:rsidRPr="00326E55">
              <w:rPr>
                <w:rFonts w:ascii="Times New Roman" w:hAnsi="Times New Roman"/>
                <w:noProof/>
                <w:spacing w:val="-6"/>
                <w:lang w:val="sk-SK"/>
              </w:rPr>
              <w:t xml:space="preserve"> kompresnej jednotke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kompresorovej stanici Poggio Renatico </w:t>
            </w:r>
            <w:r w:rsidRPr="00326E55">
              <w:rPr>
                <w:rFonts w:ascii="Times New Roman" w:hAnsi="Times New Roman"/>
                <w:noProof/>
                <w:spacing w:val="-6"/>
                <w:szCs w:val="20"/>
                <w:lang w:val="sk-SK"/>
              </w:rPr>
              <w:t>sa vydáva na zvýšenie technickej kapacity vývozu plynu cez miesto výstupu Tarvisio</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szCs w:val="20"/>
                <w:lang w:val="sk-SK"/>
              </w:rPr>
              <w:t>8 mld. m³/rok.</w:t>
            </w:r>
          </w:p>
        </w:tc>
      </w:tr>
      <w:tr w:rsidR="00BF03AA" w:rsidRPr="00326E55" w14:paraId="39A71B65" w14:textId="77777777">
        <w:trPr>
          <w:trHeight w:val="309"/>
        </w:trPr>
        <w:tc>
          <w:tcPr>
            <w:tcW w:w="1187" w:type="dxa"/>
            <w:shd w:val="clear" w:color="auto" w:fill="C6EFCE"/>
            <w:noWrap/>
            <w:vAlign w:val="center"/>
          </w:tcPr>
          <w:p w14:paraId="29691BE9"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M7 – 40</w:t>
            </w:r>
          </w:p>
        </w:tc>
        <w:tc>
          <w:tcPr>
            <w:tcW w:w="1559" w:type="dxa"/>
            <w:shd w:val="clear" w:color="auto" w:fill="C6EFCE"/>
            <w:noWrap/>
            <w:vAlign w:val="center"/>
          </w:tcPr>
          <w:p w14:paraId="40607763" w14:textId="633E23DE"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Investícia 15: Transizione 5.0</w:t>
            </w:r>
          </w:p>
        </w:tc>
        <w:tc>
          <w:tcPr>
            <w:tcW w:w="1134" w:type="dxa"/>
            <w:shd w:val="clear" w:color="auto" w:fill="C6EFCE"/>
            <w:noWrap/>
            <w:vAlign w:val="center"/>
          </w:tcPr>
          <w:p w14:paraId="4FD0DE37"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noWrap/>
            <w:vAlign w:val="center"/>
          </w:tcPr>
          <w:p w14:paraId="1AE9C83D"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Nadobudnutie účinnosti právneho aktu, ktorým sa stanovujú kritériá oprávnených intervencií</w:t>
            </w:r>
          </w:p>
        </w:tc>
        <w:tc>
          <w:tcPr>
            <w:tcW w:w="1701" w:type="dxa"/>
            <w:shd w:val="clear" w:color="auto" w:fill="C6EFCE"/>
            <w:noWrap/>
            <w:vAlign w:val="center"/>
          </w:tcPr>
          <w:p w14:paraId="15B380FD" w14:textId="7304155C" w:rsidR="00BF03AA" w:rsidRPr="00326E55" w:rsidRDefault="00FB452D">
            <w:pPr>
              <w:pStyle w:val="P68B1DB1-Normal11"/>
              <w:jc w:val="center"/>
              <w:rPr>
                <w:rFonts w:ascii="Times New Roman" w:hAnsi="Times New Roman"/>
                <w:noProof/>
                <w:color w:val="FF0000"/>
                <w:spacing w:val="-6"/>
                <w:szCs w:val="20"/>
                <w:lang w:val="sk-SK"/>
              </w:rPr>
            </w:pPr>
            <w:r w:rsidRPr="00326E55">
              <w:rPr>
                <w:rFonts w:ascii="Times New Roman" w:hAnsi="Times New Roman"/>
                <w:noProof/>
                <w:spacing w:val="-6"/>
                <w:lang w:val="sk-SK"/>
              </w:rPr>
              <w:t>Ustanovenie zákona</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nadobudnutí účinnosti zákona</w:t>
            </w:r>
          </w:p>
        </w:tc>
        <w:tc>
          <w:tcPr>
            <w:tcW w:w="1276" w:type="dxa"/>
            <w:shd w:val="clear" w:color="auto" w:fill="C6EFCE"/>
            <w:noWrap/>
            <w:vAlign w:val="center"/>
          </w:tcPr>
          <w:p w14:paraId="22681F90" w14:textId="77777777" w:rsidR="00BF03AA" w:rsidRPr="00326E55" w:rsidRDefault="00BF03AA">
            <w:pPr>
              <w:jc w:val="center"/>
              <w:rPr>
                <w:rFonts w:ascii="Times New Roman" w:hAnsi="Times New Roman"/>
                <w:noProof/>
                <w:color w:val="006100"/>
                <w:spacing w:val="-6"/>
                <w:sz w:val="20"/>
                <w:szCs w:val="20"/>
                <w:lang w:val="sk-SK"/>
              </w:rPr>
            </w:pPr>
          </w:p>
        </w:tc>
        <w:tc>
          <w:tcPr>
            <w:tcW w:w="992" w:type="dxa"/>
            <w:shd w:val="clear" w:color="auto" w:fill="C6EFCE"/>
            <w:noWrap/>
            <w:vAlign w:val="center"/>
          </w:tcPr>
          <w:p w14:paraId="0F8F8CE4" w14:textId="77777777" w:rsidR="00BF03AA" w:rsidRPr="00326E55" w:rsidRDefault="00BF03AA">
            <w:pPr>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111CB570" w14:textId="77777777" w:rsidR="00BF03AA" w:rsidRPr="00326E55" w:rsidRDefault="00BF03AA">
            <w:pPr>
              <w:jc w:val="center"/>
              <w:rPr>
                <w:rFonts w:ascii="Times New Roman" w:hAnsi="Times New Roman"/>
                <w:noProof/>
                <w:color w:val="006100"/>
                <w:spacing w:val="-6"/>
                <w:sz w:val="20"/>
                <w:szCs w:val="20"/>
                <w:lang w:val="sk-SK"/>
              </w:rPr>
            </w:pPr>
          </w:p>
        </w:tc>
        <w:tc>
          <w:tcPr>
            <w:tcW w:w="851" w:type="dxa"/>
            <w:shd w:val="clear" w:color="auto" w:fill="C6EFCE"/>
            <w:noWrap/>
            <w:vAlign w:val="center"/>
          </w:tcPr>
          <w:p w14:paraId="15693C6B"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PRVÝ ŠTVRŤROK</w:t>
            </w:r>
          </w:p>
        </w:tc>
        <w:tc>
          <w:tcPr>
            <w:tcW w:w="708" w:type="dxa"/>
            <w:shd w:val="clear" w:color="auto" w:fill="C6EFCE"/>
            <w:noWrap/>
            <w:vAlign w:val="center"/>
          </w:tcPr>
          <w:p w14:paraId="013F873A"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261" w:type="dxa"/>
            <w:shd w:val="clear" w:color="auto" w:fill="C6EFCE"/>
            <w:noWrap/>
            <w:vAlign w:val="center"/>
          </w:tcPr>
          <w:p w14:paraId="7D3371F1" w14:textId="71F4D88F" w:rsidR="00BF03AA" w:rsidRPr="00326E55" w:rsidRDefault="00FB452D">
            <w:pPr>
              <w:pStyle w:val="P68B1DB1-Normal11"/>
              <w:rPr>
                <w:rFonts w:ascii="Times New Roman" w:hAnsi="Times New Roman"/>
                <w:noProof/>
                <w:spacing w:val="-6"/>
                <w:szCs w:val="20"/>
                <w:lang w:val="sk-SK"/>
              </w:rPr>
            </w:pPr>
            <w:r w:rsidRPr="00326E55">
              <w:rPr>
                <w:rFonts w:ascii="Times New Roman" w:hAnsi="Times New Roman"/>
                <w:noProof/>
                <w:spacing w:val="-6"/>
                <w:lang w:val="sk-SK"/>
              </w:rPr>
              <w:t>V právnom akte sa pre potenciálnych príjemcov sprístupnia daňové úľavy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prechodnom </w:t>
            </w:r>
            <w:r w:rsidRPr="00326E55">
              <w:rPr>
                <w:rFonts w:ascii="Times New Roman" w:hAnsi="Times New Roman"/>
                <w:noProof/>
                <w:spacing w:val="-6"/>
                <w:lang w:val="sk-SK"/>
              </w:rPr>
              <w:t>období 5.0, pričom sa určia kritériá oprávnenosti,</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to aj pokiaľ ide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minimálne úspory energie,</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maximálny strop výdavkov na opatrenie.</w:t>
            </w:r>
          </w:p>
        </w:tc>
      </w:tr>
      <w:tr w:rsidR="00BF03AA" w:rsidRPr="00326E55" w14:paraId="3632720D" w14:textId="77777777">
        <w:trPr>
          <w:trHeight w:val="64"/>
        </w:trPr>
        <w:tc>
          <w:tcPr>
            <w:tcW w:w="1187" w:type="dxa"/>
            <w:shd w:val="clear" w:color="auto" w:fill="C6EFCE"/>
            <w:noWrap/>
            <w:vAlign w:val="center"/>
          </w:tcPr>
          <w:p w14:paraId="5AD2C5D6"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M7 – 41</w:t>
            </w:r>
          </w:p>
        </w:tc>
        <w:tc>
          <w:tcPr>
            <w:tcW w:w="1559" w:type="dxa"/>
            <w:shd w:val="clear" w:color="auto" w:fill="C6EFCE"/>
            <w:noWrap/>
            <w:vAlign w:val="center"/>
          </w:tcPr>
          <w:p w14:paraId="62FC7BE8" w14:textId="61F2F1CF"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Investícia 15: Transizione 5.0</w:t>
            </w:r>
          </w:p>
        </w:tc>
        <w:tc>
          <w:tcPr>
            <w:tcW w:w="1134" w:type="dxa"/>
            <w:shd w:val="clear" w:color="auto" w:fill="C6EFCE"/>
            <w:noWrap/>
            <w:vAlign w:val="center"/>
          </w:tcPr>
          <w:p w14:paraId="0B2A52F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7" w:type="dxa"/>
            <w:shd w:val="clear" w:color="auto" w:fill="C6EFCE"/>
            <w:noWrap/>
            <w:vAlign w:val="center"/>
          </w:tcPr>
          <w:p w14:paraId="71BDA5D8" w14:textId="773C7C4F"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Poskytovanie zdrojov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c>
          <w:tcPr>
            <w:tcW w:w="1701" w:type="dxa"/>
            <w:shd w:val="clear" w:color="auto" w:fill="C6EFCE"/>
            <w:noWrap/>
            <w:vAlign w:val="center"/>
          </w:tcPr>
          <w:p w14:paraId="139040B0" w14:textId="4C3321E6"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200E6519"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Výška poskytnutých zdrojov (v EUR)</w:t>
            </w:r>
          </w:p>
        </w:tc>
        <w:tc>
          <w:tcPr>
            <w:tcW w:w="992" w:type="dxa"/>
            <w:shd w:val="clear" w:color="auto" w:fill="C6EFCE"/>
            <w:noWrap/>
            <w:vAlign w:val="center"/>
          </w:tcPr>
          <w:p w14:paraId="63493CA8"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0</w:t>
            </w:r>
          </w:p>
        </w:tc>
        <w:tc>
          <w:tcPr>
            <w:tcW w:w="1276" w:type="dxa"/>
            <w:shd w:val="clear" w:color="auto" w:fill="C6EFCE"/>
            <w:noWrap/>
            <w:vAlign w:val="center"/>
          </w:tcPr>
          <w:p w14:paraId="0BA8EB4D"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2 500 000 000</w:t>
            </w:r>
          </w:p>
        </w:tc>
        <w:tc>
          <w:tcPr>
            <w:tcW w:w="851" w:type="dxa"/>
            <w:shd w:val="clear" w:color="auto" w:fill="C6EFCE"/>
            <w:noWrap/>
            <w:vAlign w:val="center"/>
          </w:tcPr>
          <w:p w14:paraId="6A579C85"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8" w:type="dxa"/>
            <w:shd w:val="clear" w:color="auto" w:fill="C6EFCE"/>
            <w:noWrap/>
            <w:vAlign w:val="center"/>
          </w:tcPr>
          <w:p w14:paraId="3E1C9952" w14:textId="77777777" w:rsidR="00BF03AA" w:rsidRPr="00326E55" w:rsidRDefault="00FB452D">
            <w:pPr>
              <w:pStyle w:val="P68B1DB1-Normal12"/>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61" w:type="dxa"/>
            <w:shd w:val="clear" w:color="auto" w:fill="C6EFCE"/>
            <w:noWrap/>
            <w:vAlign w:val="center"/>
          </w:tcPr>
          <w:p w14:paraId="1F468384" w14:textId="6BFCF55B"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Oznámenie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poskytnutí všetkých zdrojov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vyčlenených na túto investíciu.</w:t>
            </w:r>
          </w:p>
          <w:p w14:paraId="6A32B40E" w14:textId="3C179FCF" w:rsidR="00BF03AA" w:rsidRPr="00326E55" w:rsidRDefault="00FB452D">
            <w:pPr>
              <w:pStyle w:val="P68B1DB1-Normal12"/>
              <w:rPr>
                <w:rFonts w:ascii="Times New Roman" w:hAnsi="Times New Roman"/>
                <w:noProof/>
                <w:spacing w:val="-6"/>
                <w:lang w:val="sk-SK"/>
              </w:rPr>
            </w:pPr>
            <w:r w:rsidRPr="00326E55">
              <w:rPr>
                <w:rFonts w:ascii="Times New Roman" w:hAnsi="Times New Roman"/>
                <w:noProof/>
                <w:spacing w:val="-6"/>
                <w:lang w:val="sk-SK"/>
              </w:rPr>
              <w:t>Najmenej 1 135 000 000 EUR investície prispeje</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cieľom</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oblasti zmeny </w:t>
            </w:r>
            <w:r w:rsidRPr="00326E55">
              <w:rPr>
                <w:rFonts w:ascii="Times New Roman" w:hAnsi="Times New Roman"/>
                <w:noProof/>
                <w:spacing w:val="-6"/>
                <w:lang w:val="sk-SK"/>
              </w:rPr>
              <w:t>klímy</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prílohou VI</w:t>
            </w:r>
            <w:r w:rsidR="00326E55" w:rsidRPr="00326E55">
              <w:rPr>
                <w:rFonts w:ascii="Times New Roman" w:hAnsi="Times New Roman"/>
                <w:noProof/>
                <w:spacing w:val="-6"/>
                <w:lang w:val="sk-SK"/>
              </w:rPr>
              <w:t xml:space="preserve"> k </w:t>
            </w:r>
            <w:r w:rsidRPr="00326E55">
              <w:rPr>
                <w:rFonts w:ascii="Times New Roman" w:hAnsi="Times New Roman"/>
                <w:noProof/>
                <w:spacing w:val="-6"/>
                <w:lang w:val="sk-SK"/>
              </w:rPr>
              <w:t>nariadeniu</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Mechanizme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w:t>
            </w:r>
          </w:p>
        </w:tc>
      </w:tr>
      <w:tr w:rsidR="00BF03AA" w:rsidRPr="00326E55" w14:paraId="222E27DF" w14:textId="77777777">
        <w:trPr>
          <w:trHeight w:val="309"/>
        </w:trPr>
        <w:tc>
          <w:tcPr>
            <w:tcW w:w="1187" w:type="dxa"/>
            <w:shd w:val="clear" w:color="auto" w:fill="C6EFCE"/>
            <w:noWrap/>
            <w:vAlign w:val="center"/>
          </w:tcPr>
          <w:p w14:paraId="484E24F4"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M7 – 42</w:t>
            </w:r>
          </w:p>
        </w:tc>
        <w:tc>
          <w:tcPr>
            <w:tcW w:w="1559" w:type="dxa"/>
            <w:shd w:val="clear" w:color="auto" w:fill="C6EFCE"/>
            <w:noWrap/>
            <w:vAlign w:val="center"/>
          </w:tcPr>
          <w:p w14:paraId="78EC825F" w14:textId="40337D32"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Investícia 15: Transizione 5.0</w:t>
            </w:r>
          </w:p>
        </w:tc>
        <w:tc>
          <w:tcPr>
            <w:tcW w:w="1134" w:type="dxa"/>
            <w:shd w:val="clear" w:color="auto" w:fill="C6EFCE"/>
            <w:noWrap/>
            <w:vAlign w:val="center"/>
          </w:tcPr>
          <w:p w14:paraId="24527FA2"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7" w:type="dxa"/>
            <w:shd w:val="clear" w:color="auto" w:fill="C6EFCE"/>
            <w:noWrap/>
            <w:vAlign w:val="center"/>
          </w:tcPr>
          <w:p w14:paraId="0BF72CEA" w14:textId="3CD37981"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0,16 Mtoe úspor energie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konečnej energetickej spotrebe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2024 – 2026</w:t>
            </w:r>
          </w:p>
        </w:tc>
        <w:tc>
          <w:tcPr>
            <w:tcW w:w="1701" w:type="dxa"/>
            <w:shd w:val="clear" w:color="auto" w:fill="C6EFCE"/>
            <w:noWrap/>
            <w:vAlign w:val="center"/>
          </w:tcPr>
          <w:p w14:paraId="2482D64A" w14:textId="41A556A3"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4A63A116" w14:textId="537142BC"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MTOE</w:t>
            </w:r>
          </w:p>
        </w:tc>
        <w:tc>
          <w:tcPr>
            <w:tcW w:w="992" w:type="dxa"/>
            <w:shd w:val="clear" w:color="auto" w:fill="C6EFCE"/>
            <w:noWrap/>
            <w:vAlign w:val="center"/>
          </w:tcPr>
          <w:p w14:paraId="6B27986A"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0</w:t>
            </w:r>
          </w:p>
        </w:tc>
        <w:tc>
          <w:tcPr>
            <w:tcW w:w="1276" w:type="dxa"/>
            <w:shd w:val="clear" w:color="auto" w:fill="C6EFCE"/>
            <w:noWrap/>
            <w:vAlign w:val="center"/>
          </w:tcPr>
          <w:p w14:paraId="690F0906"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0.16</w:t>
            </w:r>
          </w:p>
        </w:tc>
        <w:tc>
          <w:tcPr>
            <w:tcW w:w="851" w:type="dxa"/>
            <w:shd w:val="clear" w:color="auto" w:fill="C6EFCE"/>
            <w:noWrap/>
            <w:vAlign w:val="center"/>
          </w:tcPr>
          <w:p w14:paraId="00DA2864"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8" w:type="dxa"/>
            <w:shd w:val="clear" w:color="auto" w:fill="C6EFCE"/>
            <w:noWrap/>
            <w:vAlign w:val="center"/>
          </w:tcPr>
          <w:p w14:paraId="4C4C2572"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61" w:type="dxa"/>
            <w:shd w:val="clear" w:color="auto" w:fill="C6EFCE"/>
            <w:noWrap/>
            <w:vAlign w:val="center"/>
          </w:tcPr>
          <w:p w14:paraId="2EF787EA" w14:textId="22AFD301"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Investícia musí vytvoriť 0,16 MTOE úspor energie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konečnej energetickej spotrebe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období 2024 – 2026.</w:t>
            </w:r>
          </w:p>
          <w:p w14:paraId="20456B32" w14:textId="7CE15F74" w:rsidR="00BF03AA" w:rsidRPr="00326E55" w:rsidRDefault="00BF03AA">
            <w:pPr>
              <w:spacing w:after="120"/>
              <w:rPr>
                <w:rFonts w:ascii="Times New Roman" w:hAnsi="Times New Roman"/>
                <w:noProof/>
                <w:color w:val="006100"/>
                <w:spacing w:val="-6"/>
                <w:sz w:val="20"/>
                <w:szCs w:val="20"/>
                <w:lang w:val="sk-SK"/>
              </w:rPr>
            </w:pPr>
          </w:p>
        </w:tc>
      </w:tr>
      <w:tr w:rsidR="00BF03AA" w:rsidRPr="00326E55" w14:paraId="6E8D66C2" w14:textId="77777777">
        <w:trPr>
          <w:trHeight w:val="309"/>
        </w:trPr>
        <w:tc>
          <w:tcPr>
            <w:tcW w:w="1187" w:type="dxa"/>
            <w:shd w:val="clear" w:color="auto" w:fill="C6EFCE"/>
            <w:noWrap/>
            <w:vAlign w:val="center"/>
          </w:tcPr>
          <w:p w14:paraId="5FBC4D2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43</w:t>
            </w:r>
          </w:p>
        </w:tc>
        <w:tc>
          <w:tcPr>
            <w:tcW w:w="1559" w:type="dxa"/>
            <w:shd w:val="clear" w:color="auto" w:fill="C6EFCE"/>
            <w:noWrap/>
            <w:vAlign w:val="center"/>
          </w:tcPr>
          <w:p w14:paraId="55E8EBBE" w14:textId="6891E448"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16: Podpora MSP na vlastnú výrobu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energie</w:t>
            </w:r>
          </w:p>
        </w:tc>
        <w:tc>
          <w:tcPr>
            <w:tcW w:w="1134" w:type="dxa"/>
            <w:shd w:val="clear" w:color="auto" w:fill="C6EFCE"/>
            <w:noWrap/>
            <w:vAlign w:val="center"/>
          </w:tcPr>
          <w:p w14:paraId="63A8CDA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noWrap/>
            <w:vAlign w:val="center"/>
          </w:tcPr>
          <w:p w14:paraId="5DE6ACFA"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Vykonávacia dohoda</w:t>
            </w:r>
          </w:p>
        </w:tc>
        <w:tc>
          <w:tcPr>
            <w:tcW w:w="1701" w:type="dxa"/>
            <w:shd w:val="clear" w:color="auto" w:fill="C6EFCE"/>
            <w:noWrap/>
            <w:vAlign w:val="center"/>
          </w:tcPr>
          <w:p w14:paraId="7586D1D4"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 xml:space="preserve">Nadobudnutie platnosti vykonávacej </w:t>
            </w:r>
            <w:r w:rsidRPr="00326E55">
              <w:rPr>
                <w:rFonts w:ascii="Times New Roman" w:hAnsi="Times New Roman"/>
                <w:noProof/>
                <w:spacing w:val="-6"/>
                <w:lang w:val="sk-SK"/>
              </w:rPr>
              <w:t>dohody</w:t>
            </w:r>
          </w:p>
        </w:tc>
        <w:tc>
          <w:tcPr>
            <w:tcW w:w="1276" w:type="dxa"/>
            <w:shd w:val="clear" w:color="auto" w:fill="C6EFCE"/>
            <w:noWrap/>
            <w:vAlign w:val="center"/>
          </w:tcPr>
          <w:p w14:paraId="502C9824"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shd w:val="clear" w:color="auto" w:fill="C6EFCE"/>
            <w:noWrap/>
            <w:vAlign w:val="center"/>
          </w:tcPr>
          <w:p w14:paraId="59D58D18"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7092C0C3"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shd w:val="clear" w:color="auto" w:fill="C6EFCE"/>
            <w:noWrap/>
            <w:vAlign w:val="center"/>
          </w:tcPr>
          <w:p w14:paraId="48F9DA0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8" w:type="dxa"/>
            <w:shd w:val="clear" w:color="auto" w:fill="C6EFCE"/>
            <w:noWrap/>
            <w:vAlign w:val="center"/>
          </w:tcPr>
          <w:p w14:paraId="342DE24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261" w:type="dxa"/>
            <w:shd w:val="clear" w:color="auto" w:fill="C6EFCE"/>
            <w:noWrap/>
            <w:vAlign w:val="center"/>
          </w:tcPr>
          <w:p w14:paraId="5F4ED6A5" w14:textId="77777777"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Nadobudnutie platnosti vykonávacej dohody.</w:t>
            </w:r>
          </w:p>
        </w:tc>
      </w:tr>
      <w:tr w:rsidR="00BF03AA" w:rsidRPr="00326E55" w14:paraId="7F1D4D35" w14:textId="77777777">
        <w:trPr>
          <w:trHeight w:val="309"/>
        </w:trPr>
        <w:tc>
          <w:tcPr>
            <w:tcW w:w="1187" w:type="dxa"/>
            <w:shd w:val="clear" w:color="auto" w:fill="C6EFCE"/>
            <w:noWrap/>
            <w:vAlign w:val="center"/>
          </w:tcPr>
          <w:p w14:paraId="41AC131E" w14:textId="77777777" w:rsidR="00BF03AA" w:rsidRPr="00326E55" w:rsidRDefault="00FB452D">
            <w:pPr>
              <w:pStyle w:val="P68B1DB1-Normal11"/>
              <w:spacing w:after="120"/>
              <w:jc w:val="center"/>
              <w:rPr>
                <w:rFonts w:ascii="Times New Roman" w:hAnsi="Times New Roman"/>
                <w:noProof/>
                <w:color w:val="000000" w:themeColor="text1"/>
                <w:spacing w:val="-6"/>
                <w:szCs w:val="20"/>
                <w:lang w:val="sk-SK"/>
              </w:rPr>
            </w:pPr>
            <w:r w:rsidRPr="00326E55">
              <w:rPr>
                <w:rFonts w:ascii="Times New Roman" w:hAnsi="Times New Roman"/>
                <w:noProof/>
                <w:spacing w:val="-6"/>
                <w:lang w:val="sk-SK"/>
              </w:rPr>
              <w:t>M7 – 44</w:t>
            </w:r>
          </w:p>
        </w:tc>
        <w:tc>
          <w:tcPr>
            <w:tcW w:w="1559" w:type="dxa"/>
            <w:shd w:val="clear" w:color="auto" w:fill="C6EFCE"/>
            <w:noWrap/>
            <w:vAlign w:val="center"/>
          </w:tcPr>
          <w:p w14:paraId="01663C72" w14:textId="623713A9"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16: Podpora MSP na vlastnú výrobu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energie</w:t>
            </w:r>
          </w:p>
        </w:tc>
        <w:tc>
          <w:tcPr>
            <w:tcW w:w="1134" w:type="dxa"/>
            <w:shd w:val="clear" w:color="auto" w:fill="C6EFCE"/>
            <w:noWrap/>
            <w:vAlign w:val="center"/>
          </w:tcPr>
          <w:p w14:paraId="4A298D06"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Míľnik</w:t>
            </w:r>
          </w:p>
        </w:tc>
        <w:tc>
          <w:tcPr>
            <w:tcW w:w="1417" w:type="dxa"/>
            <w:shd w:val="clear" w:color="auto" w:fill="C6EFCE"/>
            <w:noWrap/>
            <w:vAlign w:val="center"/>
          </w:tcPr>
          <w:p w14:paraId="3713EE15" w14:textId="3F09B428"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Ministerstvo podnikov</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Made</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 xml:space="preserve">Taliansku dokončilo prevod finančných prostriedkov do </w:t>
            </w:r>
            <w:r w:rsidRPr="00326E55">
              <w:rPr>
                <w:rFonts w:ascii="Times New Roman" w:hAnsi="Times New Roman"/>
                <w:noProof/>
                <w:spacing w:val="-6"/>
                <w:lang w:val="sk-SK"/>
              </w:rPr>
              <w:t>Invitalie</w:t>
            </w:r>
          </w:p>
        </w:tc>
        <w:tc>
          <w:tcPr>
            <w:tcW w:w="1701" w:type="dxa"/>
            <w:shd w:val="clear" w:color="auto" w:fill="C6EFCE"/>
            <w:noWrap/>
            <w:vAlign w:val="center"/>
          </w:tcPr>
          <w:p w14:paraId="12A164D6" w14:textId="12782BE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p>
        </w:tc>
        <w:tc>
          <w:tcPr>
            <w:tcW w:w="1276" w:type="dxa"/>
            <w:shd w:val="clear" w:color="auto" w:fill="C6EFCE"/>
            <w:noWrap/>
            <w:vAlign w:val="center"/>
          </w:tcPr>
          <w:p w14:paraId="54A62AFA"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992" w:type="dxa"/>
            <w:shd w:val="clear" w:color="auto" w:fill="C6EFCE"/>
            <w:noWrap/>
            <w:vAlign w:val="center"/>
          </w:tcPr>
          <w:p w14:paraId="05CB8C5F"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1276" w:type="dxa"/>
            <w:shd w:val="clear" w:color="auto" w:fill="C6EFCE"/>
            <w:noWrap/>
            <w:vAlign w:val="center"/>
          </w:tcPr>
          <w:p w14:paraId="6CD4B9ED" w14:textId="77777777" w:rsidR="00BF03AA" w:rsidRPr="00326E55" w:rsidRDefault="00BF03AA">
            <w:pPr>
              <w:spacing w:after="120"/>
              <w:jc w:val="center"/>
              <w:rPr>
                <w:rFonts w:ascii="Times New Roman" w:hAnsi="Times New Roman"/>
                <w:noProof/>
                <w:color w:val="006100"/>
                <w:spacing w:val="-6"/>
                <w:sz w:val="20"/>
                <w:szCs w:val="20"/>
                <w:lang w:val="sk-SK"/>
              </w:rPr>
            </w:pPr>
          </w:p>
        </w:tc>
        <w:tc>
          <w:tcPr>
            <w:tcW w:w="851" w:type="dxa"/>
            <w:shd w:val="clear" w:color="auto" w:fill="C6EFCE"/>
            <w:noWrap/>
            <w:vAlign w:val="center"/>
          </w:tcPr>
          <w:p w14:paraId="37EDB9C0"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ŠTVRTÝ ŠTVRŤROK</w:t>
            </w:r>
          </w:p>
        </w:tc>
        <w:tc>
          <w:tcPr>
            <w:tcW w:w="708" w:type="dxa"/>
            <w:shd w:val="clear" w:color="auto" w:fill="C6EFCE"/>
            <w:noWrap/>
            <w:vAlign w:val="center"/>
          </w:tcPr>
          <w:p w14:paraId="35FBCFF2"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2024</w:t>
            </w:r>
          </w:p>
        </w:tc>
        <w:tc>
          <w:tcPr>
            <w:tcW w:w="3261" w:type="dxa"/>
            <w:shd w:val="clear" w:color="auto" w:fill="C6EFCE"/>
            <w:noWrap/>
            <w:vAlign w:val="center"/>
          </w:tcPr>
          <w:p w14:paraId="18653E8C" w14:textId="37F239AA" w:rsidR="00BF03AA" w:rsidRPr="00326E55" w:rsidRDefault="00FB452D">
            <w:pPr>
              <w:pStyle w:val="P68B1DB1-Normal12"/>
              <w:spacing w:after="120"/>
              <w:rPr>
                <w:rFonts w:ascii="Times New Roman" w:hAnsi="Times New Roman"/>
                <w:noProof/>
                <w:spacing w:val="-6"/>
                <w:lang w:val="sk-SK"/>
              </w:rPr>
            </w:pPr>
            <w:r w:rsidRPr="00326E55">
              <w:rPr>
                <w:rFonts w:ascii="Times New Roman" w:hAnsi="Times New Roman"/>
                <w:noProof/>
                <w:spacing w:val="-6"/>
                <w:lang w:val="sk-SK"/>
              </w:rPr>
              <w:t>Taliansko prevedie 155 000 000 EUR do nástroja Invitalia.</w:t>
            </w:r>
          </w:p>
        </w:tc>
      </w:tr>
      <w:tr w:rsidR="00BF03AA" w:rsidRPr="00326E55" w14:paraId="7AED0A06" w14:textId="77777777">
        <w:trPr>
          <w:trHeight w:val="309"/>
        </w:trPr>
        <w:tc>
          <w:tcPr>
            <w:tcW w:w="1187" w:type="dxa"/>
            <w:shd w:val="clear" w:color="auto" w:fill="C6EFCE"/>
            <w:noWrap/>
            <w:vAlign w:val="center"/>
          </w:tcPr>
          <w:p w14:paraId="2227EDFB"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45</w:t>
            </w:r>
          </w:p>
        </w:tc>
        <w:tc>
          <w:tcPr>
            <w:tcW w:w="1559" w:type="dxa"/>
            <w:shd w:val="clear" w:color="auto" w:fill="C6EFCE"/>
            <w:noWrap/>
            <w:vAlign w:val="center"/>
          </w:tcPr>
          <w:p w14:paraId="70E1763F" w14:textId="15D8B41E"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Investícia 16: Podpora MSP na vlastnú výrobu</w:t>
            </w:r>
            <w:r w:rsidR="00326E55" w:rsidRPr="00326E55">
              <w:rPr>
                <w:rFonts w:ascii="Times New Roman" w:hAnsi="Times New Roman"/>
                <w:noProof/>
                <w:spacing w:val="-6"/>
                <w:lang w:val="sk-SK"/>
              </w:rPr>
              <w:t xml:space="preserve"> z </w:t>
            </w:r>
            <w:r w:rsidRPr="00326E55">
              <w:rPr>
                <w:rFonts w:ascii="Times New Roman" w:hAnsi="Times New Roman"/>
                <w:noProof/>
                <w:spacing w:val="-6"/>
                <w:lang w:val="sk-SK"/>
              </w:rPr>
              <w:t>obnoviteľných zdrojov energie</w:t>
            </w:r>
          </w:p>
        </w:tc>
        <w:tc>
          <w:tcPr>
            <w:tcW w:w="1134" w:type="dxa"/>
            <w:shd w:val="clear" w:color="auto" w:fill="C6EFCE"/>
            <w:noWrap/>
            <w:vAlign w:val="center"/>
          </w:tcPr>
          <w:p w14:paraId="1482345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Cieľ</w:t>
            </w:r>
          </w:p>
        </w:tc>
        <w:tc>
          <w:tcPr>
            <w:tcW w:w="1417" w:type="dxa"/>
            <w:shd w:val="clear" w:color="auto" w:fill="C6EFCE"/>
            <w:noWrap/>
            <w:vAlign w:val="center"/>
          </w:tcPr>
          <w:p w14:paraId="621EC558" w14:textId="29A4CBDF"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Právne dohody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p>
        </w:tc>
        <w:tc>
          <w:tcPr>
            <w:tcW w:w="1701" w:type="dxa"/>
            <w:shd w:val="clear" w:color="auto" w:fill="C6EFCE"/>
            <w:noWrap/>
            <w:vAlign w:val="center"/>
          </w:tcPr>
          <w:p w14:paraId="5185B5B5"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NEUVEDENÉ</w:t>
            </w:r>
          </w:p>
        </w:tc>
        <w:tc>
          <w:tcPr>
            <w:tcW w:w="1276" w:type="dxa"/>
            <w:shd w:val="clear" w:color="auto" w:fill="C6EFCE"/>
            <w:noWrap/>
            <w:vAlign w:val="center"/>
          </w:tcPr>
          <w:p w14:paraId="1198BA72" w14:textId="77777777" w:rsidR="00BF03AA" w:rsidRPr="00326E55" w:rsidRDefault="00FB452D">
            <w:pPr>
              <w:pStyle w:val="P68B1DB1-Normal11"/>
              <w:jc w:val="center"/>
              <w:rPr>
                <w:rFonts w:ascii="Times New Roman" w:hAnsi="Times New Roman"/>
                <w:noProof/>
                <w:spacing w:val="-6"/>
                <w:szCs w:val="20"/>
                <w:lang w:val="sk-SK"/>
              </w:rPr>
            </w:pPr>
            <w:r w:rsidRPr="00326E55">
              <w:rPr>
                <w:rFonts w:ascii="Times New Roman" w:hAnsi="Times New Roman"/>
                <w:noProof/>
                <w:spacing w:val="-6"/>
                <w:lang w:val="sk-SK"/>
              </w:rPr>
              <w:t>Percentuálny podiel(%)</w:t>
            </w:r>
          </w:p>
        </w:tc>
        <w:tc>
          <w:tcPr>
            <w:tcW w:w="992" w:type="dxa"/>
            <w:shd w:val="clear" w:color="auto" w:fill="C6EFCE"/>
            <w:noWrap/>
            <w:vAlign w:val="center"/>
          </w:tcPr>
          <w:p w14:paraId="2B356B27"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0</w:t>
            </w:r>
          </w:p>
        </w:tc>
        <w:tc>
          <w:tcPr>
            <w:tcW w:w="1276" w:type="dxa"/>
            <w:shd w:val="clear" w:color="auto" w:fill="C6EFCE"/>
            <w:noWrap/>
            <w:vAlign w:val="center"/>
          </w:tcPr>
          <w:p w14:paraId="3B5C7270" w14:textId="24AB5F5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100</w:t>
            </w:r>
            <w:r w:rsidR="00326E55" w:rsidRPr="00326E55">
              <w:rPr>
                <w:rFonts w:ascii="Times New Roman" w:hAnsi="Times New Roman"/>
                <w:noProof/>
                <w:spacing w:val="-6"/>
                <w:lang w:val="sk-SK"/>
              </w:rPr>
              <w:t> %</w:t>
            </w:r>
          </w:p>
        </w:tc>
        <w:tc>
          <w:tcPr>
            <w:tcW w:w="851" w:type="dxa"/>
            <w:shd w:val="clear" w:color="auto" w:fill="C6EFCE"/>
            <w:noWrap/>
            <w:vAlign w:val="center"/>
          </w:tcPr>
          <w:p w14:paraId="649F0029"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shd w:val="clear" w:color="auto" w:fill="C6EFCE"/>
            <w:noWrap/>
            <w:vAlign w:val="center"/>
          </w:tcPr>
          <w:p w14:paraId="42D61E0E"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2026</w:t>
            </w:r>
          </w:p>
        </w:tc>
        <w:tc>
          <w:tcPr>
            <w:tcW w:w="3261" w:type="dxa"/>
            <w:shd w:val="clear" w:color="auto" w:fill="C6EFCE"/>
            <w:noWrap/>
            <w:vAlign w:val="center"/>
          </w:tcPr>
          <w:p w14:paraId="162740C9" w14:textId="7744CA7F" w:rsidR="00BF03AA" w:rsidRPr="00326E55" w:rsidRDefault="00FB452D">
            <w:pPr>
              <w:pStyle w:val="P68B1DB1-Normal11"/>
              <w:spacing w:after="120"/>
              <w:rPr>
                <w:rFonts w:ascii="Times New Roman" w:hAnsi="Times New Roman"/>
                <w:noProof/>
                <w:spacing w:val="-6"/>
                <w:lang w:val="sk-SK"/>
              </w:rPr>
            </w:pPr>
            <w:r w:rsidRPr="00326E55">
              <w:rPr>
                <w:rFonts w:ascii="Times New Roman" w:hAnsi="Times New Roman"/>
                <w:noProof/>
                <w:spacing w:val="-6"/>
                <w:szCs w:val="20"/>
                <w:lang w:val="sk-SK"/>
              </w:rPr>
              <w:t xml:space="preserve">Spoločnosť Invitalia S.p.A. musí uzavrieť </w:t>
            </w:r>
            <w:r w:rsidRPr="00326E55">
              <w:rPr>
                <w:rFonts w:ascii="Times New Roman" w:hAnsi="Times New Roman"/>
                <w:noProof/>
                <w:spacing w:val="-6"/>
                <w:lang w:val="sk-SK"/>
              </w:rPr>
              <w:t>právne dohody</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 na sumu 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 xml:space="preserve">odolnosti do schémy (s prihliadnutím na poplatky </w:t>
            </w:r>
            <w:r w:rsidRPr="00326E55">
              <w:rPr>
                <w:rFonts w:ascii="Times New Roman" w:hAnsi="Times New Roman"/>
                <w:noProof/>
                <w:spacing w:val="-6"/>
                <w:lang w:val="sk-SK"/>
              </w:rPr>
              <w:t xml:space="preserve">za správu). </w:t>
            </w:r>
          </w:p>
        </w:tc>
      </w:tr>
      <w:tr w:rsidR="00BF03AA" w:rsidRPr="00326E55" w14:paraId="47176A85"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A6926B"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46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C1804" w14:textId="3B1A0156"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Investícia 17: Finančný nástroj na energetickú obnovu bytových domov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2491D"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FBBA85"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Vymedzenie cieľa referenčného rámca</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F6A1E" w14:textId="32A88F78"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Nadobudnutie účinnosti aktu</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vymedzením referenčného rámca finančného nástroja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6C6A8" w14:textId="77777777" w:rsidR="00BF03AA" w:rsidRPr="00326E55" w:rsidRDefault="00BF03AA">
            <w:pPr>
              <w:spacing w:after="120"/>
              <w:jc w:val="center"/>
              <w:rPr>
                <w:rFonts w:ascii="Times New Roman" w:hAnsi="Times New Roman"/>
                <w:noProof/>
                <w:color w:val="006100"/>
                <w:spacing w:val="-6"/>
                <w:sz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FFF8FD" w14:textId="77777777" w:rsidR="00BF03AA" w:rsidRPr="00326E55" w:rsidRDefault="00BF03AA">
            <w:pPr>
              <w:spacing w:after="120"/>
              <w:jc w:val="center"/>
              <w:rPr>
                <w:rFonts w:ascii="Times New Roman" w:hAnsi="Times New Roman"/>
                <w:noProof/>
                <w:color w:val="006100"/>
                <w:spacing w:val="-6"/>
                <w:sz w:val="20"/>
                <w:lang w:val="sk-SK"/>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FFF993" w14:textId="77777777" w:rsidR="00BF03AA" w:rsidRPr="00326E55" w:rsidRDefault="00BF03AA">
            <w:pPr>
              <w:spacing w:after="120"/>
              <w:jc w:val="center"/>
              <w:rPr>
                <w:rFonts w:ascii="Times New Roman" w:hAnsi="Times New Roman"/>
                <w:noProof/>
                <w:color w:val="006100"/>
                <w:spacing w:val="-6"/>
                <w:sz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1632F4"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TRETÍ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D771C"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2024</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0ABF370E" w14:textId="6FB20E51" w:rsidR="00BF03AA" w:rsidRPr="00326E55" w:rsidRDefault="00FB452D">
            <w:pPr>
              <w:pStyle w:val="P68B1DB1-Normal11"/>
              <w:spacing w:after="120"/>
              <w:rPr>
                <w:rFonts w:ascii="Times New Roman" w:hAnsi="Times New Roman"/>
                <w:noProof/>
                <w:spacing w:val="-6"/>
                <w:szCs w:val="20"/>
                <w:lang w:val="sk-SK"/>
              </w:rPr>
            </w:pPr>
            <w:r w:rsidRPr="00326E55">
              <w:rPr>
                <w:rFonts w:ascii="Times New Roman" w:hAnsi="Times New Roman"/>
                <w:noProof/>
                <w:spacing w:val="-6"/>
                <w:lang w:val="sk-SK"/>
              </w:rPr>
              <w:t xml:space="preserve">Vymedziť referenčný rámec finančného nástroja, ktorý sa zameriava na energetickú obnovu vo </w:t>
            </w:r>
            <w:r w:rsidRPr="00326E55">
              <w:rPr>
                <w:rFonts w:ascii="Times New Roman" w:hAnsi="Times New Roman"/>
                <w:noProof/>
                <w:spacing w:val="-6"/>
                <w:szCs w:val="20"/>
                <w:lang w:val="sk-SK"/>
              </w:rPr>
              <w:t>verejných bytových domoch.</w:t>
            </w:r>
          </w:p>
          <w:p w14:paraId="64AFCB4E" w14:textId="77777777" w:rsidR="00BF03AA" w:rsidRPr="00326E55" w:rsidRDefault="00BF03AA">
            <w:pPr>
              <w:spacing w:after="120"/>
              <w:rPr>
                <w:rFonts w:ascii="Times New Roman" w:hAnsi="Times New Roman"/>
                <w:noProof/>
                <w:color w:val="006100"/>
                <w:spacing w:val="-6"/>
                <w:sz w:val="20"/>
                <w:lang w:val="sk-SK"/>
              </w:rPr>
            </w:pPr>
          </w:p>
        </w:tc>
      </w:tr>
      <w:tr w:rsidR="00BF03AA" w:rsidRPr="00326E55" w14:paraId="1476515C"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5E3B7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47</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1C4B8E"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Investícia 17: Finančný nástroj na energetickú obnovu bytových domov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8B3BB7"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7E86A5"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Vykonávacia dohoda</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002409"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Nadobudnutie platnosti </w:t>
            </w:r>
            <w:r w:rsidRPr="00326E55">
              <w:rPr>
                <w:rFonts w:ascii="Times New Roman" w:hAnsi="Times New Roman"/>
                <w:noProof/>
                <w:spacing w:val="-6"/>
                <w:lang w:val="sk-SK"/>
              </w:rPr>
              <w:t>vykonávacej dohody</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33AAC" w14:textId="77777777" w:rsidR="00BF03AA" w:rsidRPr="00326E55" w:rsidRDefault="00BF03AA">
            <w:pPr>
              <w:spacing w:after="120"/>
              <w:jc w:val="center"/>
              <w:rPr>
                <w:rFonts w:ascii="Times New Roman" w:hAnsi="Times New Roman"/>
                <w:noProof/>
                <w:color w:val="006100"/>
                <w:spacing w:val="-6"/>
                <w:sz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9EBB50" w14:textId="77777777" w:rsidR="00BF03AA" w:rsidRPr="00326E55" w:rsidRDefault="00BF03AA">
            <w:pPr>
              <w:spacing w:after="120"/>
              <w:jc w:val="center"/>
              <w:rPr>
                <w:rFonts w:ascii="Times New Roman" w:hAnsi="Times New Roman"/>
                <w:noProof/>
                <w:color w:val="006100"/>
                <w:spacing w:val="-6"/>
                <w:sz w:val="20"/>
                <w:lang w:val="sk-SK"/>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84DC4D" w14:textId="77777777" w:rsidR="00BF03AA" w:rsidRPr="00326E55" w:rsidRDefault="00BF03AA">
            <w:pPr>
              <w:spacing w:after="120"/>
              <w:jc w:val="center"/>
              <w:rPr>
                <w:rFonts w:ascii="Times New Roman" w:hAnsi="Times New Roman"/>
                <w:noProof/>
                <w:color w:val="006100"/>
                <w:spacing w:val="-6"/>
                <w:sz w:val="20"/>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0479EC"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C627A1"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2025</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54EB1D9C" w14:textId="1955C868" w:rsidR="00BF03AA" w:rsidRPr="00326E55" w:rsidRDefault="00FB452D">
            <w:pPr>
              <w:pStyle w:val="P68B1DB1-Normal11"/>
              <w:spacing w:after="120"/>
              <w:jc w:val="both"/>
              <w:rPr>
                <w:rFonts w:ascii="Times New Roman" w:hAnsi="Times New Roman"/>
                <w:noProof/>
                <w:spacing w:val="-6"/>
                <w:lang w:val="sk-SK"/>
              </w:rPr>
            </w:pPr>
            <w:r w:rsidRPr="00326E55">
              <w:rPr>
                <w:rFonts w:ascii="Times New Roman" w:hAnsi="Times New Roman"/>
                <w:noProof/>
                <w:spacing w:val="-6"/>
                <w:lang w:val="sk-SK"/>
              </w:rPr>
              <w:t>Nadobudnutie platnosti vykonávacej dohody</w:t>
            </w:r>
            <w:r w:rsidRPr="00326E55">
              <w:rPr>
                <w:rFonts w:ascii="Times New Roman" w:hAnsi="Times New Roman"/>
                <w:noProof/>
                <w:spacing w:val="-6"/>
                <w:szCs w:val="20"/>
                <w:lang w:val="sk-SK"/>
              </w:rPr>
              <w:t>(vykonávacích dohôd)</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súlade</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požiadavkami uvedenými</w:t>
            </w:r>
            <w:r w:rsidR="00326E55" w:rsidRPr="00326E55">
              <w:rPr>
                <w:rFonts w:ascii="Times New Roman" w:hAnsi="Times New Roman"/>
                <w:noProof/>
                <w:spacing w:val="-6"/>
                <w:lang w:val="sk-SK"/>
              </w:rPr>
              <w:t xml:space="preserve"> v </w:t>
            </w:r>
            <w:r w:rsidRPr="00326E55">
              <w:rPr>
                <w:rFonts w:ascii="Times New Roman" w:hAnsi="Times New Roman"/>
                <w:noProof/>
                <w:spacing w:val="-6"/>
                <w:lang w:val="sk-SK"/>
              </w:rPr>
              <w:t>opise opatrenia.</w:t>
            </w:r>
          </w:p>
          <w:p w14:paraId="5ADBC682" w14:textId="5759E815" w:rsidR="00BF03AA" w:rsidRPr="00326E55" w:rsidRDefault="00FB452D">
            <w:pPr>
              <w:pStyle w:val="P68B1DB1-Normal11"/>
              <w:spacing w:after="120"/>
              <w:jc w:val="both"/>
              <w:rPr>
                <w:rFonts w:ascii="Times New Roman" w:hAnsi="Times New Roman"/>
                <w:noProof/>
                <w:spacing w:val="-6"/>
                <w:szCs w:val="20"/>
                <w:lang w:val="sk-SK"/>
              </w:rPr>
            </w:pPr>
            <w:r w:rsidRPr="00326E55">
              <w:rPr>
                <w:rFonts w:ascii="Times New Roman" w:hAnsi="Times New Roman"/>
                <w:noProof/>
                <w:spacing w:val="-6"/>
                <w:lang w:val="sk-SK"/>
              </w:rPr>
              <w:t>Vykonávacie dohody obsahujú najmä kritériá oprávnenosti týkajúce</w:t>
            </w:r>
            <w:r w:rsidRPr="00326E55">
              <w:rPr>
                <w:rFonts w:ascii="Times New Roman" w:hAnsi="Times New Roman"/>
                <w:noProof/>
                <w:spacing w:val="-6"/>
                <w:szCs w:val="20"/>
                <w:lang w:val="sk-SK"/>
              </w:rPr>
              <w:t>sa</w:t>
            </w:r>
            <w:r w:rsidRPr="00326E55">
              <w:rPr>
                <w:rFonts w:ascii="Times New Roman" w:hAnsi="Times New Roman"/>
                <w:noProof/>
                <w:spacing w:val="-6"/>
                <w:lang w:val="sk-SK"/>
              </w:rPr>
              <w:t xml:space="preserve"> minimálneho zlepšenia energetick</w:t>
            </w:r>
            <w:r w:rsidRPr="00326E55">
              <w:rPr>
                <w:rFonts w:ascii="Times New Roman" w:hAnsi="Times New Roman"/>
                <w:noProof/>
                <w:spacing w:val="-6"/>
                <w:lang w:val="sk-SK"/>
              </w:rPr>
              <w:t>ej účinnosti, ktoré má nástroj dosiahnuť (v priemere aspoň 30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zníženia dopytu po primárnej energii).</w:t>
            </w:r>
          </w:p>
          <w:p w14:paraId="3C5B4517" w14:textId="70D7CFA0" w:rsidR="00BF03AA" w:rsidRPr="00326E55" w:rsidRDefault="00FB452D">
            <w:pPr>
              <w:pStyle w:val="P68B1DB1-Normal113"/>
              <w:spacing w:after="120" w:line="257" w:lineRule="auto"/>
              <w:jc w:val="both"/>
              <w:rPr>
                <w:rFonts w:ascii="Times New Roman" w:hAnsi="Times New Roman"/>
                <w:noProof/>
                <w:color w:val="006100"/>
                <w:spacing w:val="-6"/>
                <w:szCs w:val="20"/>
                <w:lang w:val="sk-SK"/>
              </w:rPr>
            </w:pPr>
            <w:r w:rsidRPr="00326E55">
              <w:rPr>
                <w:rFonts w:ascii="Times New Roman" w:hAnsi="Times New Roman"/>
                <w:noProof/>
                <w:color w:val="006100"/>
                <w:spacing w:val="-6"/>
                <w:lang w:val="sk-SK"/>
              </w:rPr>
              <w:t>V kritériách výberu sa takisto uprednostnia intervencie</w:t>
            </w:r>
            <w:r w:rsidR="00326E55" w:rsidRPr="00326E55">
              <w:rPr>
                <w:rFonts w:ascii="Times New Roman" w:hAnsi="Times New Roman"/>
                <w:noProof/>
                <w:color w:val="006100"/>
                <w:spacing w:val="-6"/>
                <w:lang w:val="sk-SK"/>
              </w:rPr>
              <w:t xml:space="preserve"> s </w:t>
            </w:r>
            <w:r w:rsidRPr="00326E55">
              <w:rPr>
                <w:rFonts w:ascii="Times New Roman" w:hAnsi="Times New Roman"/>
                <w:noProof/>
                <w:color w:val="006100"/>
                <w:spacing w:val="-6"/>
                <w:lang w:val="sk-SK"/>
              </w:rPr>
              <w:t>najvyššou návratnosťou</w:t>
            </w:r>
            <w:r w:rsidR="00326E55" w:rsidRPr="00326E55">
              <w:rPr>
                <w:rFonts w:ascii="Times New Roman" w:hAnsi="Times New Roman"/>
                <w:noProof/>
                <w:color w:val="006100"/>
                <w:spacing w:val="-6"/>
                <w:lang w:val="sk-SK"/>
              </w:rPr>
              <w:t xml:space="preserve"> z </w:t>
            </w:r>
            <w:r w:rsidRPr="00326E55">
              <w:rPr>
                <w:rFonts w:ascii="Times New Roman" w:hAnsi="Times New Roman"/>
                <w:noProof/>
                <w:color w:val="006100"/>
                <w:spacing w:val="-6"/>
                <w:lang w:val="sk-SK"/>
              </w:rPr>
              <w:t>hľadiska energetickej efektívnosti.</w:t>
            </w:r>
            <w:r w:rsidRPr="00326E55">
              <w:rPr>
                <w:rFonts w:ascii="Times New Roman" w:eastAsia="Arial Narrow" w:hAnsi="Times New Roman" w:cs="Arial Narrow"/>
                <w:noProof/>
                <w:spacing w:val="-6"/>
                <w:szCs w:val="20"/>
                <w:lang w:val="sk-SK"/>
              </w:rPr>
              <w:t xml:space="preserve"> </w:t>
            </w:r>
          </w:p>
        </w:tc>
      </w:tr>
      <w:tr w:rsidR="00BF03AA" w:rsidRPr="00326E55" w14:paraId="321FDF05"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1BED46"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 M7 – 48</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6A4868"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Investícia 17: Finančný</w:t>
            </w:r>
            <w:r w:rsidRPr="00326E55">
              <w:rPr>
                <w:rFonts w:ascii="Times New Roman" w:hAnsi="Times New Roman"/>
                <w:noProof/>
                <w:spacing w:val="-6"/>
                <w:lang w:val="sk-SK"/>
              </w:rPr>
              <w:t xml:space="preserve"> nástroj na energetickú obnovu bytových domov</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689D8A"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Míľnik</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709637"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Ministerstvo dokončilo investíciu</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3FA914" w14:textId="50B589FB"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Osvedčenie</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prevode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4629BA" w14:textId="77777777" w:rsidR="00BF03AA" w:rsidRPr="00326E55" w:rsidRDefault="00BF03AA">
            <w:pPr>
              <w:spacing w:after="120"/>
              <w:jc w:val="center"/>
              <w:rPr>
                <w:rFonts w:ascii="Times New Roman" w:hAnsi="Times New Roman"/>
                <w:noProof/>
                <w:color w:val="006100"/>
                <w:spacing w:val="-6"/>
                <w:sz w:val="20"/>
                <w:lang w:val="sk-SK"/>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BB86A8" w14:textId="77777777" w:rsidR="00BF03AA" w:rsidRPr="00326E55" w:rsidRDefault="00FB452D">
            <w:pPr>
              <w:pStyle w:val="P68B1DB1-Normal11"/>
              <w:spacing w:after="120"/>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NEUVEDENÉ</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9BCD1" w14:textId="77777777" w:rsidR="00BF03AA" w:rsidRPr="00326E55" w:rsidRDefault="00FB452D">
            <w:pPr>
              <w:pStyle w:val="P68B1DB1-Normal11"/>
              <w:spacing w:after="120"/>
              <w:jc w:val="center"/>
              <w:rPr>
                <w:rFonts w:ascii="Times New Roman" w:eastAsia="Arial Narrow" w:hAnsi="Times New Roman" w:cs="Arial Narrow"/>
                <w:noProof/>
                <w:spacing w:val="-6"/>
                <w:szCs w:val="20"/>
                <w:lang w:val="sk-SK"/>
              </w:rPr>
            </w:pPr>
            <w:r w:rsidRPr="00326E55">
              <w:rPr>
                <w:rFonts w:ascii="Times New Roman" w:hAnsi="Times New Roman"/>
                <w:noProof/>
                <w:spacing w:val="-6"/>
                <w:lang w:val="sk-SK"/>
              </w:rPr>
              <w:t xml:space="preserve"> NEUVEDENÉ</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3D52F9"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50B5F"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2025</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3FB23173" w14:textId="77777777" w:rsidR="00BF03AA" w:rsidRPr="00326E55" w:rsidRDefault="00FB452D">
            <w:pPr>
              <w:pStyle w:val="P68B1DB1-Normal114"/>
              <w:spacing w:after="0"/>
              <w:jc w:val="both"/>
              <w:rPr>
                <w:rFonts w:ascii="Times New Roman" w:hAnsi="Times New Roman"/>
                <w:noProof/>
                <w:spacing w:val="-6"/>
                <w:lang w:val="sk-SK"/>
              </w:rPr>
            </w:pPr>
            <w:r w:rsidRPr="00326E55">
              <w:rPr>
                <w:rFonts w:ascii="Times New Roman" w:hAnsi="Times New Roman"/>
                <w:noProof/>
                <w:spacing w:val="-6"/>
                <w:lang w:val="sk-SK"/>
              </w:rPr>
              <w:t>Taliansko prevedie 1 381 000 000 EUR implementujúcim partnerom pre nástroj.</w:t>
            </w:r>
          </w:p>
        </w:tc>
      </w:tr>
      <w:tr w:rsidR="00BF03AA" w:rsidRPr="00326E55" w14:paraId="1A60B290"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BB9F48" w14:textId="77777777" w:rsidR="00BF03AA" w:rsidRPr="00326E55" w:rsidRDefault="00FB452D">
            <w:pPr>
              <w:pStyle w:val="P68B1DB1-Normal11"/>
              <w:spacing w:after="120"/>
              <w:jc w:val="center"/>
              <w:rPr>
                <w:rFonts w:ascii="Times New Roman" w:hAnsi="Times New Roman"/>
                <w:noProof/>
                <w:spacing w:val="-6"/>
                <w:szCs w:val="20"/>
                <w:lang w:val="sk-SK"/>
              </w:rPr>
            </w:pPr>
            <w:r w:rsidRPr="00326E55">
              <w:rPr>
                <w:rFonts w:ascii="Times New Roman" w:hAnsi="Times New Roman"/>
                <w:noProof/>
                <w:spacing w:val="-6"/>
                <w:lang w:val="sk-SK"/>
              </w:rPr>
              <w:t>M7 – 49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A462D" w14:textId="77777777" w:rsidR="00BF03AA" w:rsidRPr="00326E55" w:rsidRDefault="00FB452D">
            <w:pPr>
              <w:pStyle w:val="P68B1DB1-Normal12"/>
              <w:spacing w:after="120"/>
              <w:jc w:val="center"/>
              <w:rPr>
                <w:rFonts w:ascii="Times New Roman" w:hAnsi="Times New Roman"/>
                <w:noProof/>
                <w:spacing w:val="-6"/>
                <w:lang w:val="sk-SK"/>
              </w:rPr>
            </w:pPr>
            <w:r w:rsidRPr="00326E55">
              <w:rPr>
                <w:rFonts w:ascii="Times New Roman" w:hAnsi="Times New Roman"/>
                <w:noProof/>
                <w:spacing w:val="-6"/>
                <w:lang w:val="sk-SK"/>
              </w:rPr>
              <w:t xml:space="preserve">Investícia 17: Finančný nástroj na energetickú obnovu bytových domov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C30EF4"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Cieľ</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2181FB" w14:textId="04510B8D"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Právne dohody podpísané</w:t>
            </w:r>
            <w:r w:rsidR="00326E55" w:rsidRPr="00326E55">
              <w:rPr>
                <w:rFonts w:ascii="Times New Roman" w:hAnsi="Times New Roman"/>
                <w:noProof/>
                <w:spacing w:val="-6"/>
                <w:lang w:val="sk-SK"/>
              </w:rPr>
              <w:t xml:space="preserve"> s </w:t>
            </w:r>
            <w:r w:rsidRPr="00326E55">
              <w:rPr>
                <w:rFonts w:ascii="Times New Roman" w:hAnsi="Times New Roman"/>
                <w:noProof/>
                <w:spacing w:val="-6"/>
                <w:lang w:val="sk-SK"/>
              </w:rPr>
              <w:t>konečnými príjemcami</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843DC5" w14:textId="77777777" w:rsidR="00BF03AA" w:rsidRPr="00326E55" w:rsidRDefault="00BF03AA">
            <w:pPr>
              <w:spacing w:after="120"/>
              <w:jc w:val="center"/>
              <w:rPr>
                <w:rFonts w:ascii="Times New Roman" w:hAnsi="Times New Roman"/>
                <w:noProof/>
                <w:color w:val="006100"/>
                <w:spacing w:val="-6"/>
                <w:sz w:val="20"/>
                <w:lang w:val="sk-SK"/>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28244"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Percentuálny podiel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8C1A0F" w14:textId="60C9942F"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0</w:t>
            </w:r>
            <w:r w:rsidR="00326E55" w:rsidRPr="00326E55">
              <w:rPr>
                <w:rFonts w:ascii="Times New Roman" w:hAnsi="Times New Roman"/>
                <w:noProof/>
                <w:spacing w:val="-6"/>
                <w:lang w:val="sk-SK"/>
              </w:rPr>
              <w:t>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D0837F" w14:textId="21E4C985"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100</w:t>
            </w:r>
            <w:r w:rsidR="00326E55" w:rsidRPr="00326E55">
              <w:rPr>
                <w:rFonts w:ascii="Times New Roman" w:hAnsi="Times New Roman"/>
                <w:noProof/>
                <w:spacing w:val="-6"/>
                <w:lang w:val="sk-SK"/>
              </w:rPr>
              <w:t>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517501"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DRUHÝ ŠTVRŤROK</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28758" w14:textId="77777777" w:rsidR="00BF03AA" w:rsidRPr="00326E55" w:rsidRDefault="00FB452D">
            <w:pPr>
              <w:pStyle w:val="P68B1DB1-Normal11"/>
              <w:spacing w:after="120"/>
              <w:jc w:val="center"/>
              <w:rPr>
                <w:rFonts w:ascii="Times New Roman" w:hAnsi="Times New Roman"/>
                <w:noProof/>
                <w:spacing w:val="-6"/>
                <w:lang w:val="sk-SK"/>
              </w:rPr>
            </w:pPr>
            <w:r w:rsidRPr="00326E55">
              <w:rPr>
                <w:rFonts w:ascii="Times New Roman" w:hAnsi="Times New Roman"/>
                <w:noProof/>
                <w:spacing w:val="-6"/>
                <w:lang w:val="sk-SK"/>
              </w:rPr>
              <w:t>2026</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3A0F2EF5" w14:textId="4A1229FF" w:rsidR="00BF03AA" w:rsidRPr="00326E55" w:rsidRDefault="00FB452D">
            <w:pPr>
              <w:pStyle w:val="P68B1DB1-Normal12"/>
              <w:spacing w:after="120"/>
              <w:jc w:val="both"/>
              <w:rPr>
                <w:rFonts w:ascii="Times New Roman" w:hAnsi="Times New Roman"/>
                <w:noProof/>
                <w:spacing w:val="-6"/>
                <w:lang w:val="sk-SK"/>
              </w:rPr>
            </w:pPr>
            <w:r w:rsidRPr="00326E55">
              <w:rPr>
                <w:rFonts w:ascii="Times New Roman" w:hAnsi="Times New Roman"/>
                <w:noProof/>
                <w:spacing w:val="-6"/>
                <w:lang w:val="sk-SK"/>
              </w:rPr>
              <w:t>Implementujúci partner (implementujúci partneri) musia uzavrieť právne dohody</w:t>
            </w:r>
            <w:r w:rsidR="00326E55" w:rsidRPr="00326E55">
              <w:rPr>
                <w:rFonts w:ascii="Times New Roman" w:hAnsi="Times New Roman"/>
                <w:noProof/>
                <w:spacing w:val="-6"/>
                <w:lang w:val="sk-SK"/>
              </w:rPr>
              <w:t xml:space="preserve"> o </w:t>
            </w:r>
            <w:r w:rsidRPr="00326E55">
              <w:rPr>
                <w:rFonts w:ascii="Times New Roman" w:hAnsi="Times New Roman"/>
                <w:noProof/>
                <w:spacing w:val="-6"/>
                <w:lang w:val="sk-SK"/>
              </w:rPr>
              <w:t>financovaní so spoločnosťami poskytujúcimi energetické služby (ESCO) na sumu potrebnú na využitie 100</w:t>
            </w:r>
            <w:r w:rsidR="00326E55" w:rsidRPr="00326E55">
              <w:rPr>
                <w:rFonts w:ascii="Times New Roman" w:hAnsi="Times New Roman"/>
                <w:noProof/>
                <w:spacing w:val="-6"/>
                <w:lang w:val="sk-SK"/>
              </w:rPr>
              <w:t> %</w:t>
            </w:r>
            <w:r w:rsidRPr="00326E55">
              <w:rPr>
                <w:rFonts w:ascii="Times New Roman" w:hAnsi="Times New Roman"/>
                <w:noProof/>
                <w:spacing w:val="-6"/>
                <w:lang w:val="sk-SK"/>
              </w:rPr>
              <w:t xml:space="preserve"> investícií Mechanizmu na podporu obnovy</w:t>
            </w:r>
            <w:r w:rsidR="00326E55" w:rsidRPr="00326E55">
              <w:rPr>
                <w:rFonts w:ascii="Times New Roman" w:hAnsi="Times New Roman"/>
                <w:noProof/>
                <w:spacing w:val="-6"/>
                <w:lang w:val="sk-SK"/>
              </w:rPr>
              <w:t xml:space="preserve"> a </w:t>
            </w:r>
            <w:r w:rsidRPr="00326E55">
              <w:rPr>
                <w:rFonts w:ascii="Times New Roman" w:hAnsi="Times New Roman"/>
                <w:noProof/>
                <w:spacing w:val="-6"/>
                <w:lang w:val="sk-SK"/>
              </w:rPr>
              <w:t>odolnosti do mechanizmu (s prihliadnutím na poplatky za správu).</w:t>
            </w:r>
          </w:p>
          <w:p w14:paraId="7578123D" w14:textId="38BFFF6C" w:rsidR="00BF03AA" w:rsidRPr="00326E55" w:rsidRDefault="00FB452D">
            <w:pPr>
              <w:pStyle w:val="P68B1DB1-Normal11"/>
              <w:spacing w:after="120"/>
              <w:jc w:val="both"/>
              <w:rPr>
                <w:rFonts w:ascii="Times New Roman" w:hAnsi="Times New Roman"/>
                <w:noProof/>
                <w:spacing w:val="-6"/>
                <w:lang w:val="sk-SK"/>
              </w:rPr>
            </w:pPr>
            <w:r w:rsidRPr="00326E55">
              <w:rPr>
                <w:rFonts w:ascii="Times New Roman" w:hAnsi="Times New Roman"/>
                <w:noProof/>
                <w:spacing w:val="-6"/>
                <w:lang w:val="sk-SK"/>
              </w:rPr>
              <w:t xml:space="preserve">V </w:t>
            </w:r>
            <w:r w:rsidRPr="00326E55">
              <w:rPr>
                <w:rFonts w:ascii="Times New Roman" w:hAnsi="Times New Roman"/>
                <w:noProof/>
                <w:spacing w:val="-6"/>
                <w:szCs w:val="20"/>
                <w:lang w:val="sk-SK"/>
              </w:rPr>
              <w:t>dohodách</w:t>
            </w:r>
            <w:r w:rsidR="00326E55" w:rsidRPr="00326E55">
              <w:rPr>
                <w:rFonts w:ascii="Times New Roman" w:hAnsi="Times New Roman"/>
                <w:noProof/>
                <w:spacing w:val="-6"/>
                <w:szCs w:val="20"/>
                <w:lang w:val="sk-SK"/>
              </w:rPr>
              <w:t xml:space="preserve"> o </w:t>
            </w:r>
            <w:r w:rsidRPr="00326E55">
              <w:rPr>
                <w:rFonts w:ascii="Times New Roman" w:hAnsi="Times New Roman"/>
                <w:noProof/>
                <w:spacing w:val="-6"/>
                <w:lang w:val="sk-SK"/>
              </w:rPr>
              <w:t>financovaní so spoločnosťami po</w:t>
            </w:r>
            <w:r w:rsidRPr="00326E55">
              <w:rPr>
                <w:rFonts w:ascii="Times New Roman" w:hAnsi="Times New Roman"/>
                <w:noProof/>
                <w:spacing w:val="-6"/>
                <w:lang w:val="sk-SK"/>
              </w:rPr>
              <w:t>skytujúcimi energetické služby (ESCO) sa špecifikuje aktívum, ktoré bude predmetom obnovy zameranej na energetickú efektívnosť.</w:t>
            </w:r>
          </w:p>
        </w:tc>
      </w:tr>
    </w:tbl>
    <w:p w14:paraId="0AAEF04B" w14:textId="77777777" w:rsidR="00BF03AA" w:rsidRPr="00326E55" w:rsidRDefault="00BF03AA">
      <w:pPr>
        <w:spacing w:after="120"/>
        <w:jc w:val="both"/>
        <w:rPr>
          <w:rFonts w:ascii="Times New Roman" w:eastAsia="Calibri" w:hAnsi="Times New Roman" w:cs="Calibri"/>
          <w:noProof/>
          <w:color w:val="000000" w:themeColor="text1"/>
          <w:spacing w:val="-6"/>
          <w:lang w:val="sk-SK"/>
        </w:rPr>
        <w:sectPr w:rsidR="00BF03AA" w:rsidRPr="00326E55" w:rsidSect="005F11B9">
          <w:headerReference w:type="default" r:id="rId330"/>
          <w:footerReference w:type="default" r:id="rId331"/>
          <w:pgSz w:w="16838" w:h="11906" w:orient="landscape" w:code="12"/>
          <w:pgMar w:top="1440" w:right="1440" w:bottom="1440" w:left="1440" w:header="567" w:footer="567" w:gutter="0"/>
          <w:cols w:space="720"/>
          <w:docGrid w:linePitch="360"/>
        </w:sectPr>
      </w:pPr>
    </w:p>
    <w:p w14:paraId="7B607870" w14:textId="77777777" w:rsidR="00326E55" w:rsidRPr="00326E55" w:rsidRDefault="00FB452D">
      <w:pPr>
        <w:pStyle w:val="P68B1DB1-ListParagraph115"/>
        <w:keepNext/>
        <w:numPr>
          <w:ilvl w:val="0"/>
          <w:numId w:val="47"/>
        </w:numPr>
        <w:spacing w:before="360" w:after="120" w:line="240" w:lineRule="auto"/>
        <w:jc w:val="both"/>
        <w:outlineLvl w:val="0"/>
        <w:rPr>
          <w:noProof/>
          <w:spacing w:val="-6"/>
          <w:lang w:val="sk-SK"/>
        </w:rPr>
      </w:pPr>
      <w:r w:rsidRPr="00326E55">
        <w:rPr>
          <w:noProof/>
          <w:spacing w:val="-6"/>
          <w:lang w:val="sk-SK"/>
        </w:rPr>
        <w:t>Odhadované celkové náklady na plán obnovy</w:t>
      </w:r>
      <w:r w:rsidR="00326E55" w:rsidRPr="00326E55">
        <w:rPr>
          <w:noProof/>
          <w:spacing w:val="-6"/>
          <w:lang w:val="sk-SK"/>
        </w:rPr>
        <w:t xml:space="preserve"> a </w:t>
      </w:r>
      <w:r w:rsidRPr="00326E55">
        <w:rPr>
          <w:noProof/>
          <w:spacing w:val="-6"/>
          <w:lang w:val="sk-SK"/>
        </w:rPr>
        <w:t>odolnosti</w:t>
      </w:r>
    </w:p>
    <w:p w14:paraId="1403CE22" w14:textId="6FADD8BB" w:rsidR="00BF03AA" w:rsidRPr="00326E55" w:rsidRDefault="00FB452D">
      <w:pPr>
        <w:pStyle w:val="P68B1DB1-Normal8"/>
        <w:spacing w:before="120" w:after="120" w:line="240" w:lineRule="auto"/>
        <w:jc w:val="both"/>
        <w:rPr>
          <w:noProof/>
          <w:spacing w:val="-6"/>
          <w:lang w:val="sk-SK"/>
        </w:rPr>
      </w:pPr>
      <w:r w:rsidRPr="00326E55">
        <w:rPr>
          <w:noProof/>
          <w:spacing w:val="-6"/>
          <w:lang w:val="sk-SK"/>
        </w:rPr>
        <w:t>Odhadované celkové</w:t>
      </w:r>
      <w:r w:rsidRPr="00326E55">
        <w:rPr>
          <w:noProof/>
          <w:spacing w:val="-6"/>
          <w:lang w:val="sk-SK"/>
        </w:rPr>
        <w:t xml:space="preserve"> náklady na plán obnovy</w:t>
      </w:r>
      <w:r w:rsidR="00326E55" w:rsidRPr="00326E55">
        <w:rPr>
          <w:noProof/>
          <w:spacing w:val="-6"/>
          <w:lang w:val="sk-SK"/>
        </w:rPr>
        <w:t xml:space="preserve"> a </w:t>
      </w:r>
      <w:r w:rsidRPr="00326E55">
        <w:rPr>
          <w:noProof/>
          <w:spacing w:val="-6"/>
          <w:lang w:val="sk-SK"/>
        </w:rPr>
        <w:t>odolnosti Talianska predstavujú 194 415 951 466 EUR.</w:t>
      </w:r>
    </w:p>
    <w:p w14:paraId="3EF9604A" w14:textId="77777777" w:rsidR="00326E55" w:rsidRPr="00326E55" w:rsidRDefault="00326E55">
      <w:pPr>
        <w:pStyle w:val="P68B1DB1-Normal116"/>
        <w:spacing w:before="120" w:after="120" w:line="240" w:lineRule="auto"/>
        <w:jc w:val="both"/>
        <w:rPr>
          <w:noProof/>
          <w:spacing w:val="-6"/>
          <w:lang w:val="sk-SK"/>
        </w:rPr>
      </w:pPr>
    </w:p>
    <w:p w14:paraId="4B59C4E3" w14:textId="77777777" w:rsidR="00BF03AA" w:rsidRPr="00326E55" w:rsidRDefault="00FB452D">
      <w:pPr>
        <w:pStyle w:val="P68B1DB1-Heading2117"/>
        <w:rPr>
          <w:bCs/>
          <w:noProof/>
          <w:spacing w:val="-6"/>
          <w:lang w:val="sk-SK"/>
        </w:rPr>
      </w:pPr>
      <w:r w:rsidRPr="00326E55">
        <w:rPr>
          <w:noProof/>
          <w:spacing w:val="-6"/>
          <w:lang w:val="sk-SK"/>
        </w:rPr>
        <w:t>ODDIEL 2: FINANČNÁ PODPORA</w:t>
      </w:r>
    </w:p>
    <w:p w14:paraId="4DE31CF1" w14:textId="77777777" w:rsidR="00BF03AA" w:rsidRPr="00326E55" w:rsidRDefault="00FB452D">
      <w:pPr>
        <w:pStyle w:val="P68B1DB1-Heading3118"/>
        <w:numPr>
          <w:ilvl w:val="0"/>
          <w:numId w:val="179"/>
        </w:numPr>
        <w:tabs>
          <w:tab w:val="clear" w:pos="850"/>
          <w:tab w:val="num" w:pos="720"/>
        </w:tabs>
        <w:ind w:left="720" w:hanging="360"/>
        <w:rPr>
          <w:bCs/>
          <w:noProof/>
          <w:spacing w:val="-6"/>
          <w:lang w:val="sk-SK"/>
        </w:rPr>
      </w:pPr>
      <w:r w:rsidRPr="00326E55">
        <w:rPr>
          <w:noProof/>
          <w:spacing w:val="-6"/>
          <w:lang w:val="sk-SK"/>
        </w:rPr>
        <w:t>Finančného príspevku</w:t>
      </w:r>
    </w:p>
    <w:p w14:paraId="1CDA39A5" w14:textId="1B31E040" w:rsidR="00BF03AA" w:rsidRPr="00326E55" w:rsidRDefault="00FB452D">
      <w:pPr>
        <w:pStyle w:val="P68B1DB1-Normal8"/>
        <w:spacing w:before="120" w:after="120" w:line="240" w:lineRule="auto"/>
        <w:ind w:left="850"/>
        <w:jc w:val="both"/>
        <w:rPr>
          <w:noProof/>
          <w:spacing w:val="-6"/>
          <w:lang w:val="sk-SK"/>
        </w:rPr>
      </w:pPr>
      <w:r w:rsidRPr="00326E55">
        <w:rPr>
          <w:noProof/>
          <w:spacing w:val="-6"/>
          <w:lang w:val="sk-SK"/>
        </w:rPr>
        <w:t>Splátky uvedené</w:t>
      </w:r>
      <w:r w:rsidR="00326E55" w:rsidRPr="00326E55">
        <w:rPr>
          <w:noProof/>
          <w:spacing w:val="-6"/>
          <w:lang w:val="sk-SK"/>
        </w:rPr>
        <w:t xml:space="preserve"> v </w:t>
      </w:r>
      <w:r w:rsidRPr="00326E55">
        <w:rPr>
          <w:noProof/>
          <w:spacing w:val="-6"/>
          <w:lang w:val="sk-SK"/>
        </w:rPr>
        <w:t>článku 2 ods. 2 sú štruktúrované takto:</w:t>
      </w:r>
    </w:p>
    <w:p w14:paraId="7AE23E96" w14:textId="58F612A8" w:rsidR="00BF03AA" w:rsidRPr="00326E55" w:rsidRDefault="00BF03AA">
      <w:pPr>
        <w:spacing w:before="120" w:after="120" w:line="240" w:lineRule="auto"/>
        <w:ind w:left="850"/>
        <w:jc w:val="both"/>
        <w:rPr>
          <w:rFonts w:ascii="Times New Roman" w:eastAsia="Times New Roman" w:hAnsi="Times New Roman" w:cs="Times New Roman"/>
          <w:noProof/>
          <w:spacing w:val="-6"/>
          <w:lang w:val="sk-SK"/>
        </w:rPr>
      </w:pPr>
    </w:p>
    <w:p w14:paraId="548803EA"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Prvá splátka (nenávratná podpora):</w:t>
      </w:r>
    </w:p>
    <w:tbl>
      <w:tblPr>
        <w:tblW w:w="9595" w:type="dxa"/>
        <w:tblInd w:w="120" w:type="dxa"/>
        <w:tblLayout w:type="fixed"/>
        <w:tblLook w:val="04A0" w:firstRow="1" w:lastRow="0" w:firstColumn="1" w:lastColumn="0" w:noHBand="0" w:noVBand="1"/>
      </w:tblPr>
      <w:tblGrid>
        <w:gridCol w:w="1275"/>
        <w:gridCol w:w="2250"/>
        <w:gridCol w:w="1245"/>
        <w:gridCol w:w="4589"/>
        <w:gridCol w:w="236"/>
      </w:tblGrid>
      <w:tr w:rsidR="00BF03AA" w:rsidRPr="00326E55" w14:paraId="7EA7044C" w14:textId="77777777">
        <w:trPr>
          <w:trHeight w:val="900"/>
          <w:tblHeader/>
        </w:trPr>
        <w:tc>
          <w:tcPr>
            <w:tcW w:w="127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10B18E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1C80BAC"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w:t>
            </w:r>
            <w:r w:rsidRPr="00326E55">
              <w:rPr>
                <w:noProof/>
                <w:spacing w:val="-6"/>
                <w:lang w:val="sk-SK"/>
              </w:rPr>
              <w:t xml:space="preserve"> (reforma alebo investícia)</w:t>
            </w:r>
          </w:p>
        </w:tc>
        <w:tc>
          <w:tcPr>
            <w:tcW w:w="124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12749B95"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4589"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1E8156CB"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c>
          <w:tcPr>
            <w:tcW w:w="236" w:type="dxa"/>
            <w:tcBorders>
              <w:top w:val="nil"/>
              <w:left w:val="single" w:sz="4" w:space="0" w:color="auto"/>
              <w:bottom w:val="nil"/>
              <w:right w:val="nil"/>
            </w:tcBorders>
            <w:vAlign w:val="center"/>
          </w:tcPr>
          <w:p w14:paraId="62EB79A8"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80D20F2" w14:textId="77777777">
        <w:trPr>
          <w:trHeight w:val="510"/>
        </w:trPr>
        <w:tc>
          <w:tcPr>
            <w:tcW w:w="1275" w:type="dxa"/>
            <w:vMerge/>
            <w:tcBorders>
              <w:top w:val="single" w:sz="4" w:space="0" w:color="auto"/>
              <w:left w:val="single" w:sz="4" w:space="0" w:color="auto"/>
              <w:bottom w:val="single" w:sz="4" w:space="0" w:color="auto"/>
              <w:right w:val="single" w:sz="4" w:space="0" w:color="auto"/>
            </w:tcBorders>
            <w:vAlign w:val="center"/>
          </w:tcPr>
          <w:p w14:paraId="685CCD18"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250" w:type="dxa"/>
            <w:vMerge/>
            <w:tcBorders>
              <w:top w:val="single" w:sz="4" w:space="0" w:color="auto"/>
              <w:left w:val="single" w:sz="4" w:space="0" w:color="auto"/>
              <w:bottom w:val="single" w:sz="4" w:space="0" w:color="auto"/>
              <w:right w:val="single" w:sz="4" w:space="0" w:color="auto"/>
            </w:tcBorders>
            <w:vAlign w:val="center"/>
          </w:tcPr>
          <w:p w14:paraId="4B350ABA"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45" w:type="dxa"/>
            <w:vMerge/>
            <w:tcBorders>
              <w:top w:val="single" w:sz="4" w:space="0" w:color="auto"/>
              <w:left w:val="single" w:sz="4" w:space="0" w:color="auto"/>
              <w:bottom w:val="single" w:sz="4" w:space="0" w:color="auto"/>
              <w:right w:val="single" w:sz="4" w:space="0" w:color="auto"/>
            </w:tcBorders>
            <w:vAlign w:val="center"/>
          </w:tcPr>
          <w:p w14:paraId="4CE968D2"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4589" w:type="dxa"/>
            <w:vMerge/>
            <w:tcBorders>
              <w:top w:val="single" w:sz="4" w:space="0" w:color="auto"/>
              <w:left w:val="single" w:sz="4" w:space="0" w:color="auto"/>
              <w:bottom w:val="single" w:sz="4" w:space="0" w:color="auto"/>
              <w:right w:val="single" w:sz="4" w:space="0" w:color="auto"/>
            </w:tcBorders>
            <w:vAlign w:val="center"/>
          </w:tcPr>
          <w:p w14:paraId="316725AB"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236" w:type="dxa"/>
            <w:tcBorders>
              <w:top w:val="nil"/>
              <w:left w:val="single" w:sz="4" w:space="0" w:color="auto"/>
              <w:bottom w:val="nil"/>
              <w:right w:val="nil"/>
            </w:tcBorders>
            <w:vAlign w:val="center"/>
          </w:tcPr>
          <w:p w14:paraId="5D1CE1BE"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A495F0C"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B5C5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657977"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F1A12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BFFD42" w14:textId="2EA93D5C"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primárnych právnych predpisov</w:t>
            </w:r>
            <w:r w:rsidR="00326E55" w:rsidRPr="00326E55">
              <w:rPr>
                <w:noProof/>
                <w:spacing w:val="-6"/>
                <w:lang w:val="sk-SK"/>
              </w:rPr>
              <w:t xml:space="preserve"> o </w:t>
            </w:r>
            <w:r w:rsidRPr="00326E55">
              <w:rPr>
                <w:noProof/>
                <w:spacing w:val="-6"/>
                <w:lang w:val="sk-SK"/>
              </w:rPr>
              <w:t>riadení talianskeho plánu obnovy</w:t>
            </w:r>
            <w:r w:rsidR="00326E55" w:rsidRPr="00326E55">
              <w:rPr>
                <w:noProof/>
                <w:spacing w:val="-6"/>
                <w:lang w:val="sk-SK"/>
              </w:rPr>
              <w:t xml:space="preserve"> a </w:t>
            </w:r>
            <w:r w:rsidRPr="00326E55">
              <w:rPr>
                <w:noProof/>
                <w:spacing w:val="-6"/>
                <w:lang w:val="sk-SK"/>
              </w:rPr>
              <w:t>odolnosti</w:t>
            </w:r>
          </w:p>
        </w:tc>
        <w:tc>
          <w:tcPr>
            <w:tcW w:w="236" w:type="dxa"/>
            <w:tcBorders>
              <w:top w:val="nil"/>
              <w:left w:val="single" w:sz="4" w:space="0" w:color="auto"/>
              <w:bottom w:val="nil"/>
              <w:right w:val="nil"/>
            </w:tcBorders>
            <w:vAlign w:val="center"/>
          </w:tcPr>
          <w:p w14:paraId="39638746"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87BB41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D0284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A6DCC0"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6F963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E31F3E" w14:textId="7FE8979F"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primárnych právnych predpisov</w:t>
            </w:r>
            <w:r w:rsidR="00326E55" w:rsidRPr="00326E55">
              <w:rPr>
                <w:noProof/>
                <w:spacing w:val="-6"/>
                <w:lang w:val="sk-SK"/>
              </w:rPr>
              <w:t xml:space="preserve"> o </w:t>
            </w:r>
            <w:r w:rsidRPr="00326E55">
              <w:rPr>
                <w:noProof/>
                <w:spacing w:val="-6"/>
                <w:lang w:val="sk-SK"/>
              </w:rPr>
              <w:t>zjednodušení administratívnych postupov na vykonávanie talianskeho plánu obnovy</w:t>
            </w:r>
            <w:r w:rsidR="00326E55" w:rsidRPr="00326E55">
              <w:rPr>
                <w:noProof/>
                <w:spacing w:val="-6"/>
                <w:lang w:val="sk-SK"/>
              </w:rPr>
              <w:t xml:space="preserve"> a </w:t>
            </w:r>
            <w:r w:rsidRPr="00326E55">
              <w:rPr>
                <w:noProof/>
                <w:spacing w:val="-6"/>
                <w:lang w:val="sk-SK"/>
              </w:rPr>
              <w:t>odolnosti.</w:t>
            </w:r>
          </w:p>
        </w:tc>
        <w:tc>
          <w:tcPr>
            <w:tcW w:w="236" w:type="dxa"/>
            <w:tcBorders>
              <w:top w:val="nil"/>
              <w:left w:val="single" w:sz="4" w:space="0" w:color="auto"/>
              <w:bottom w:val="nil"/>
              <w:right w:val="nil"/>
            </w:tcBorders>
            <w:vAlign w:val="center"/>
          </w:tcPr>
          <w:p w14:paraId="5E323DDA"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82E5FEA"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94D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DDD061" w14:textId="19BE0BC1" w:rsidR="00BF03AA" w:rsidRPr="00326E55" w:rsidRDefault="00FB452D">
            <w:pPr>
              <w:pStyle w:val="P68B1DB1-Normal121"/>
              <w:spacing w:after="0" w:line="240" w:lineRule="auto"/>
              <w:rPr>
                <w:noProof/>
                <w:spacing w:val="-6"/>
                <w:lang w:val="sk-SK"/>
              </w:rPr>
            </w:pPr>
            <w:r w:rsidRPr="00326E55">
              <w:rPr>
                <w:noProof/>
                <w:spacing w:val="-6"/>
                <w:lang w:val="sk-SK"/>
              </w:rPr>
              <w:t>Investícia 1.9: Poskytnúť technickú pomoc</w:t>
            </w:r>
            <w:r w:rsidR="00326E55" w:rsidRPr="00326E55">
              <w:rPr>
                <w:noProof/>
                <w:spacing w:val="-6"/>
                <w:lang w:val="sk-SK"/>
              </w:rPr>
              <w:t xml:space="preserve"> a </w:t>
            </w:r>
            <w:r w:rsidRPr="00326E55">
              <w:rPr>
                <w:noProof/>
                <w:spacing w:val="-6"/>
                <w:lang w:val="sk-SK"/>
              </w:rPr>
              <w:t>posilniť budovanie kapacít na vykonávanie ta</w:t>
            </w:r>
            <w:r w:rsidRPr="00326E55">
              <w:rPr>
                <w:noProof/>
                <w:spacing w:val="-6"/>
                <w:lang w:val="sk-SK"/>
              </w:rPr>
              <w:t>lianskeho plánu obnovy</w:t>
            </w:r>
            <w:r w:rsidR="00326E55" w:rsidRPr="00326E55">
              <w:rPr>
                <w:noProof/>
                <w:spacing w:val="-6"/>
                <w:lang w:val="sk-SK"/>
              </w:rPr>
              <w:t xml:space="preserve"> a </w:t>
            </w:r>
            <w:r w:rsidRPr="00326E55">
              <w:rPr>
                <w:noProof/>
                <w:spacing w:val="-6"/>
                <w:lang w:val="sk-SK"/>
              </w:rPr>
              <w:t>odolnosti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9006A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B5B562F" w14:textId="08153ED2"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osobitných právnych predpisov na poskytovanie technickej pomoci</w:t>
            </w:r>
            <w:r w:rsidR="00326E55" w:rsidRPr="00326E55">
              <w:rPr>
                <w:noProof/>
                <w:spacing w:val="-6"/>
                <w:lang w:val="sk-SK"/>
              </w:rPr>
              <w:t xml:space="preserve"> a </w:t>
            </w:r>
            <w:r w:rsidRPr="00326E55">
              <w:rPr>
                <w:noProof/>
                <w:spacing w:val="-6"/>
                <w:lang w:val="sk-SK"/>
              </w:rPr>
              <w:t>posilnenie budovania kapacít na vykonávanie talianskeho plánu obnovy</w:t>
            </w:r>
            <w:r w:rsidR="00326E55" w:rsidRPr="00326E55">
              <w:rPr>
                <w:noProof/>
                <w:spacing w:val="-6"/>
                <w:lang w:val="sk-SK"/>
              </w:rPr>
              <w:t xml:space="preserve"> a </w:t>
            </w:r>
            <w:r w:rsidRPr="00326E55">
              <w:rPr>
                <w:noProof/>
                <w:spacing w:val="-6"/>
                <w:lang w:val="sk-SK"/>
              </w:rPr>
              <w:t>odolnosti</w:t>
            </w:r>
          </w:p>
        </w:tc>
        <w:tc>
          <w:tcPr>
            <w:tcW w:w="236" w:type="dxa"/>
            <w:tcBorders>
              <w:top w:val="nil"/>
              <w:left w:val="single" w:sz="4" w:space="0" w:color="auto"/>
              <w:bottom w:val="nil"/>
              <w:right w:val="nil"/>
            </w:tcBorders>
            <w:vAlign w:val="center"/>
          </w:tcPr>
          <w:p w14:paraId="3A06210A"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BAF5D8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22615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69</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FCE51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1.10: Reforma </w:t>
            </w:r>
            <w:r w:rsidRPr="00326E55">
              <w:rPr>
                <w:noProof/>
                <w:spacing w:val="-6"/>
                <w:lang w:val="sk-SK"/>
              </w:rPr>
              <w:t>legislatívneho rámca pre verejné obstarávanie</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EDED8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BD96FA" w14:textId="3A508DAC"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vyhlášky</w:t>
            </w:r>
            <w:r w:rsidR="00326E55" w:rsidRPr="00326E55">
              <w:rPr>
                <w:noProof/>
                <w:spacing w:val="-6"/>
                <w:lang w:val="sk-SK"/>
              </w:rPr>
              <w:t xml:space="preserve"> o </w:t>
            </w:r>
            <w:r w:rsidRPr="00326E55">
              <w:rPr>
                <w:noProof/>
                <w:spacing w:val="-6"/>
                <w:lang w:val="sk-SK"/>
              </w:rPr>
              <w:t>zjednodušení systému verejného obstarávania</w:t>
            </w:r>
          </w:p>
        </w:tc>
        <w:tc>
          <w:tcPr>
            <w:tcW w:w="236" w:type="dxa"/>
            <w:tcBorders>
              <w:top w:val="nil"/>
              <w:left w:val="single" w:sz="4" w:space="0" w:color="auto"/>
              <w:bottom w:val="nil"/>
              <w:right w:val="nil"/>
            </w:tcBorders>
            <w:vAlign w:val="center"/>
          </w:tcPr>
          <w:p w14:paraId="6955CD3C"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C1672B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A3B8A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EF590C"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 Obstarávanie IKT</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3809A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5D76C3D"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zákonných vyhlášok pre reformu 1.1 „Obstarávanie IKT“</w:t>
            </w:r>
          </w:p>
        </w:tc>
        <w:tc>
          <w:tcPr>
            <w:tcW w:w="236" w:type="dxa"/>
            <w:tcBorders>
              <w:top w:val="nil"/>
              <w:left w:val="single" w:sz="4" w:space="0" w:color="auto"/>
              <w:bottom w:val="nil"/>
              <w:right w:val="nil"/>
            </w:tcBorders>
            <w:vAlign w:val="center"/>
          </w:tcPr>
          <w:p w14:paraId="146043D1"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0C06C56"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3C468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6B6829" w14:textId="52BAD5FC" w:rsidR="00BF03AA" w:rsidRPr="00326E55" w:rsidRDefault="00FB452D">
            <w:pPr>
              <w:pStyle w:val="P68B1DB1-Normal121"/>
              <w:spacing w:after="0" w:line="240" w:lineRule="auto"/>
              <w:rPr>
                <w:noProof/>
                <w:spacing w:val="-6"/>
                <w:lang w:val="sk-SK"/>
              </w:rPr>
            </w:pPr>
            <w:r w:rsidRPr="00326E55">
              <w:rPr>
                <w:noProof/>
                <w:spacing w:val="-6"/>
                <w:lang w:val="sk-SK"/>
              </w:rPr>
              <w:t>Reforma 1.3: Prvé cloud</w:t>
            </w:r>
            <w:r w:rsidR="00326E55" w:rsidRPr="00326E55">
              <w:rPr>
                <w:noProof/>
                <w:spacing w:val="-6"/>
                <w:lang w:val="sk-SK"/>
              </w:rPr>
              <w:t xml:space="preserve"> a </w:t>
            </w:r>
            <w:r w:rsidRPr="00326E55">
              <w:rPr>
                <w:noProof/>
                <w:spacing w:val="-6"/>
                <w:lang w:val="sk-SK"/>
              </w:rPr>
              <w:t>interoperabilita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87DE0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5DE3BF" w14:textId="513FF0CC"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zákonných vyhlášok pre reformu 1.3 „Prvý cloud</w:t>
            </w:r>
            <w:r w:rsidR="00326E55" w:rsidRPr="00326E55">
              <w:rPr>
                <w:noProof/>
                <w:spacing w:val="-6"/>
                <w:lang w:val="sk-SK"/>
              </w:rPr>
              <w:t xml:space="preserve"> a </w:t>
            </w:r>
            <w:r w:rsidRPr="00326E55">
              <w:rPr>
                <w:noProof/>
                <w:spacing w:val="-6"/>
                <w:lang w:val="sk-SK"/>
              </w:rPr>
              <w:t>interoperabilita“</w:t>
            </w:r>
          </w:p>
        </w:tc>
        <w:tc>
          <w:tcPr>
            <w:tcW w:w="236" w:type="dxa"/>
            <w:tcBorders>
              <w:top w:val="nil"/>
              <w:left w:val="single" w:sz="4" w:space="0" w:color="auto"/>
              <w:bottom w:val="nil"/>
              <w:right w:val="nil"/>
            </w:tcBorders>
            <w:vAlign w:val="center"/>
          </w:tcPr>
          <w:p w14:paraId="75F7067A"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7FE9A94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08D60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29</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0728D4"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1.4: Reforma občianskeho súdnictva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B60A8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BEE21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právnych predpisov </w:t>
            </w:r>
            <w:r w:rsidRPr="00326E55">
              <w:rPr>
                <w:noProof/>
                <w:spacing w:val="-6"/>
                <w:lang w:val="sk-SK"/>
              </w:rPr>
              <w:t>umožňujúcich reformu občianskeho súdnictva</w:t>
            </w:r>
          </w:p>
        </w:tc>
        <w:tc>
          <w:tcPr>
            <w:tcW w:w="236" w:type="dxa"/>
            <w:tcBorders>
              <w:top w:val="nil"/>
              <w:left w:val="single" w:sz="4" w:space="0" w:color="auto"/>
              <w:bottom w:val="nil"/>
              <w:right w:val="nil"/>
            </w:tcBorders>
            <w:vAlign w:val="center"/>
          </w:tcPr>
          <w:p w14:paraId="2BF56327"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6294D8C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1102E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30</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A86129"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1.5: Reforma trestného súdnictva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A4193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674896"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právnych predpisov umožňujúcich reformu trestného súdnictva</w:t>
            </w:r>
          </w:p>
        </w:tc>
        <w:tc>
          <w:tcPr>
            <w:tcW w:w="236" w:type="dxa"/>
            <w:tcBorders>
              <w:top w:val="nil"/>
              <w:left w:val="single" w:sz="4" w:space="0" w:color="auto"/>
              <w:bottom w:val="nil"/>
              <w:right w:val="nil"/>
            </w:tcBorders>
            <w:vAlign w:val="center"/>
          </w:tcPr>
          <w:p w14:paraId="6A588FE3"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6E82A47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4DE21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E6D62E"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1.6: Reforma rámca pre platobnú neschopnosť</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B3966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39DC948" w14:textId="1027D7D4"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splnomocňujúcich právnych predpisov pre rámec reformy</w:t>
            </w:r>
            <w:r w:rsidR="00326E55" w:rsidRPr="00326E55">
              <w:rPr>
                <w:noProof/>
                <w:spacing w:val="-6"/>
                <w:lang w:val="sk-SK"/>
              </w:rPr>
              <w:t xml:space="preserve"> v </w:t>
            </w:r>
            <w:r w:rsidRPr="00326E55">
              <w:rPr>
                <w:noProof/>
                <w:spacing w:val="-6"/>
                <w:lang w:val="sk-SK"/>
              </w:rPr>
              <w:t>oblasti platobnej neschopnosti</w:t>
            </w:r>
          </w:p>
        </w:tc>
        <w:tc>
          <w:tcPr>
            <w:tcW w:w="236" w:type="dxa"/>
            <w:tcBorders>
              <w:top w:val="nil"/>
              <w:left w:val="single" w:sz="4" w:space="0" w:color="auto"/>
              <w:bottom w:val="nil"/>
              <w:right w:val="nil"/>
            </w:tcBorders>
            <w:vAlign w:val="center"/>
          </w:tcPr>
          <w:p w14:paraId="473F9D4E"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76E332D6"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ECF92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1EE106" w14:textId="7B6D68BF" w:rsidR="00BF03AA" w:rsidRPr="00326E55" w:rsidRDefault="00FB452D">
            <w:pPr>
              <w:pStyle w:val="P68B1DB1-Normal121"/>
              <w:spacing w:after="0" w:line="240" w:lineRule="auto"/>
              <w:rPr>
                <w:noProof/>
                <w:spacing w:val="-6"/>
                <w:lang w:val="sk-SK"/>
              </w:rPr>
            </w:pPr>
            <w:r w:rsidRPr="00326E55">
              <w:rPr>
                <w:noProof/>
                <w:spacing w:val="-6"/>
                <w:lang w:val="sk-SK"/>
              </w:rPr>
              <w:t>Investícia 1.8: Postupy prijímania zamestnancov na občianske, trestné</w:t>
            </w:r>
            <w:r w:rsidR="00326E55" w:rsidRPr="00326E55">
              <w:rPr>
                <w:noProof/>
                <w:spacing w:val="-6"/>
                <w:lang w:val="sk-SK"/>
              </w:rPr>
              <w:t xml:space="preserve"> a </w:t>
            </w:r>
            <w:r w:rsidRPr="00326E55">
              <w:rPr>
                <w:noProof/>
                <w:spacing w:val="-6"/>
                <w:lang w:val="sk-SK"/>
              </w:rPr>
              <w:t>správne súdy</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5AB823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AE5190" w14:textId="6E7972F1"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osobitných </w:t>
            </w:r>
            <w:r w:rsidRPr="00326E55">
              <w:rPr>
                <w:noProof/>
                <w:spacing w:val="-6"/>
                <w:lang w:val="sk-SK"/>
              </w:rPr>
              <w:t>právnych predpisov upravujúcich prijímanie zamestnancov do národného plánu obnovy</w:t>
            </w:r>
            <w:r w:rsidR="00326E55" w:rsidRPr="00326E55">
              <w:rPr>
                <w:noProof/>
                <w:spacing w:val="-6"/>
                <w:lang w:val="sk-SK"/>
              </w:rPr>
              <w:t xml:space="preserve"> a </w:t>
            </w:r>
            <w:r w:rsidRPr="00326E55">
              <w:rPr>
                <w:noProof/>
                <w:spacing w:val="-6"/>
                <w:lang w:val="sk-SK"/>
              </w:rPr>
              <w:t>odolnosti</w:t>
            </w:r>
          </w:p>
        </w:tc>
        <w:tc>
          <w:tcPr>
            <w:tcW w:w="236" w:type="dxa"/>
            <w:tcBorders>
              <w:top w:val="nil"/>
              <w:left w:val="single" w:sz="4" w:space="0" w:color="auto"/>
              <w:bottom w:val="nil"/>
              <w:right w:val="nil"/>
            </w:tcBorders>
            <w:vAlign w:val="center"/>
          </w:tcPr>
          <w:p w14:paraId="5D7BF141"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2B5A3F8"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222EF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54</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713B1D" w14:textId="40DEF38D" w:rsidR="00BF03AA" w:rsidRPr="00326E55" w:rsidRDefault="00FB452D">
            <w:pPr>
              <w:pStyle w:val="P68B1DB1-Normal121"/>
              <w:spacing w:after="0" w:line="240" w:lineRule="auto"/>
              <w:rPr>
                <w:noProof/>
                <w:spacing w:val="-6"/>
                <w:lang w:val="sk-SK"/>
              </w:rPr>
            </w:pPr>
            <w:r w:rsidRPr="00326E55">
              <w:rPr>
                <w:noProof/>
                <w:spacing w:val="-6"/>
                <w:lang w:val="sk-SK"/>
              </w:rPr>
              <w:t>Investícia 1.9: Poskytnúť technickú pomoc</w:t>
            </w:r>
            <w:r w:rsidR="00326E55" w:rsidRPr="00326E55">
              <w:rPr>
                <w:noProof/>
                <w:spacing w:val="-6"/>
                <w:lang w:val="sk-SK"/>
              </w:rPr>
              <w:t xml:space="preserve"> a </w:t>
            </w:r>
            <w:r w:rsidRPr="00326E55">
              <w:rPr>
                <w:noProof/>
                <w:spacing w:val="-6"/>
                <w:lang w:val="sk-SK"/>
              </w:rPr>
              <w:t>posilniť budovanie kapacít na vykonávanie talianskeho plánu obnovy</w:t>
            </w:r>
            <w:r w:rsidR="00326E55" w:rsidRPr="00326E55">
              <w:rPr>
                <w:noProof/>
                <w:spacing w:val="-6"/>
                <w:lang w:val="sk-SK"/>
              </w:rPr>
              <w:t xml:space="preserve"> a </w:t>
            </w:r>
            <w:r w:rsidRPr="00326E55">
              <w:rPr>
                <w:noProof/>
                <w:spacing w:val="-6"/>
                <w:lang w:val="sk-SK"/>
              </w:rPr>
              <w:t>odolnosti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F5788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1E1808" w14:textId="582B6554" w:rsidR="00BF03AA" w:rsidRPr="00326E55" w:rsidRDefault="00FB452D">
            <w:pPr>
              <w:pStyle w:val="P68B1DB1-Normal121"/>
              <w:spacing w:after="0" w:line="240" w:lineRule="auto"/>
              <w:rPr>
                <w:noProof/>
                <w:spacing w:val="-6"/>
                <w:lang w:val="sk-SK"/>
              </w:rPr>
            </w:pPr>
            <w:r w:rsidRPr="00326E55">
              <w:rPr>
                <w:noProof/>
                <w:spacing w:val="-6"/>
                <w:lang w:val="sk-SK"/>
              </w:rPr>
              <w:t>Ukončený nábor experto</w:t>
            </w:r>
            <w:r w:rsidRPr="00326E55">
              <w:rPr>
                <w:noProof/>
                <w:spacing w:val="-6"/>
                <w:lang w:val="sk-SK"/>
              </w:rPr>
              <w:t>v na vykonávanie talianskeho plánu obnovy</w:t>
            </w:r>
            <w:r w:rsidR="00326E55" w:rsidRPr="00326E55">
              <w:rPr>
                <w:noProof/>
                <w:spacing w:val="-6"/>
                <w:lang w:val="sk-SK"/>
              </w:rPr>
              <w:t xml:space="preserve"> a </w:t>
            </w:r>
            <w:r w:rsidRPr="00326E55">
              <w:rPr>
                <w:noProof/>
                <w:spacing w:val="-6"/>
                <w:lang w:val="sk-SK"/>
              </w:rPr>
              <w:t>odolnosti</w:t>
            </w:r>
          </w:p>
        </w:tc>
        <w:tc>
          <w:tcPr>
            <w:tcW w:w="236" w:type="dxa"/>
            <w:tcBorders>
              <w:top w:val="nil"/>
              <w:left w:val="single" w:sz="4" w:space="0" w:color="auto"/>
              <w:bottom w:val="nil"/>
              <w:right w:val="nil"/>
            </w:tcBorders>
            <w:vAlign w:val="center"/>
          </w:tcPr>
          <w:p w14:paraId="4A8CB2D6"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B10D174"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602D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55</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D06ADE"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A0B67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83E730" w14:textId="57FA78F9" w:rsidR="00BF03AA" w:rsidRPr="00326E55" w:rsidRDefault="00FB452D">
            <w:pPr>
              <w:pStyle w:val="P68B1DB1-Normal121"/>
              <w:spacing w:after="0" w:line="240" w:lineRule="auto"/>
              <w:rPr>
                <w:noProof/>
                <w:spacing w:val="-6"/>
                <w:lang w:val="sk-SK"/>
              </w:rPr>
            </w:pPr>
            <w:r w:rsidRPr="00326E55">
              <w:rPr>
                <w:noProof/>
                <w:spacing w:val="-6"/>
                <w:lang w:val="sk-SK"/>
              </w:rPr>
              <w:t>Rozšírenie metodiky uplatňovanej na taliansky plán obnovy</w:t>
            </w:r>
            <w:r w:rsidR="00326E55" w:rsidRPr="00326E55">
              <w:rPr>
                <w:noProof/>
                <w:spacing w:val="-6"/>
                <w:lang w:val="sk-SK"/>
              </w:rPr>
              <w:t xml:space="preserve"> a </w:t>
            </w:r>
            <w:r w:rsidRPr="00326E55">
              <w:rPr>
                <w:noProof/>
                <w:spacing w:val="-6"/>
                <w:lang w:val="sk-SK"/>
              </w:rPr>
              <w:t>odolnosti na štátny rozpočet</w:t>
            </w:r>
            <w:r w:rsidR="00326E55" w:rsidRPr="00326E55">
              <w:rPr>
                <w:noProof/>
                <w:spacing w:val="-6"/>
                <w:lang w:val="sk-SK"/>
              </w:rPr>
              <w:t xml:space="preserve"> s </w:t>
            </w:r>
            <w:r w:rsidRPr="00326E55">
              <w:rPr>
                <w:noProof/>
                <w:spacing w:val="-6"/>
                <w:lang w:val="sk-SK"/>
              </w:rPr>
              <w:t>cieľom zvýšiť absorpciu investícií</w:t>
            </w:r>
          </w:p>
        </w:tc>
        <w:tc>
          <w:tcPr>
            <w:tcW w:w="236" w:type="dxa"/>
            <w:tcBorders>
              <w:top w:val="nil"/>
              <w:left w:val="single" w:sz="4" w:space="0" w:color="auto"/>
              <w:bottom w:val="nil"/>
              <w:right w:val="nil"/>
            </w:tcBorders>
            <w:vAlign w:val="center"/>
          </w:tcPr>
          <w:p w14:paraId="564909FB"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186F102"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401ED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68</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9ECE85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w:t>
            </w:r>
            <w:r w:rsidRPr="00326E55">
              <w:rPr>
                <w:noProof/>
                <w:spacing w:val="-6"/>
                <w:lang w:val="sk-SK"/>
              </w:rPr>
              <w:t>1.9: Reforma verejnej správy</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9931B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14D522" w14:textId="74D36F05" w:rsidR="00BF03AA" w:rsidRPr="00326E55" w:rsidRDefault="00FB452D">
            <w:pPr>
              <w:pStyle w:val="P68B1DB1-Normal121"/>
              <w:spacing w:after="0" w:line="240" w:lineRule="auto"/>
              <w:rPr>
                <w:noProof/>
                <w:spacing w:val="-6"/>
                <w:lang w:val="sk-SK"/>
              </w:rPr>
            </w:pPr>
            <w:r w:rsidRPr="00326E55">
              <w:rPr>
                <w:noProof/>
                <w:spacing w:val="-6"/>
                <w:lang w:val="sk-SK"/>
              </w:rPr>
              <w:t>Registračný systém pre audit</w:t>
            </w:r>
            <w:r w:rsidR="00326E55" w:rsidRPr="00326E55">
              <w:rPr>
                <w:noProof/>
                <w:spacing w:val="-6"/>
                <w:lang w:val="sk-SK"/>
              </w:rPr>
              <w:t xml:space="preserve"> a </w:t>
            </w:r>
            <w:r w:rsidRPr="00326E55">
              <w:rPr>
                <w:noProof/>
                <w:spacing w:val="-6"/>
                <w:lang w:val="sk-SK"/>
              </w:rPr>
              <w:t>kontroly: informácie na monitorovanie vykonávania RRF</w:t>
            </w:r>
          </w:p>
        </w:tc>
        <w:tc>
          <w:tcPr>
            <w:tcW w:w="236" w:type="dxa"/>
            <w:tcBorders>
              <w:top w:val="nil"/>
              <w:left w:val="single" w:sz="4" w:space="0" w:color="auto"/>
              <w:bottom w:val="nil"/>
              <w:right w:val="nil"/>
            </w:tcBorders>
            <w:vAlign w:val="center"/>
          </w:tcPr>
          <w:p w14:paraId="5A412DCD"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B23FCF3"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D8A3E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14CE61"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3E23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E7968E" w14:textId="1C340791"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všetkých potrebných </w:t>
            </w:r>
            <w:r w:rsidRPr="00326E55">
              <w:rPr>
                <w:noProof/>
                <w:spacing w:val="-6"/>
                <w:lang w:val="sk-SK"/>
              </w:rPr>
              <w:t>právnych predpisov, nariadení</w:t>
            </w:r>
            <w:r w:rsidR="00326E55" w:rsidRPr="00326E55">
              <w:rPr>
                <w:noProof/>
                <w:spacing w:val="-6"/>
                <w:lang w:val="sk-SK"/>
              </w:rPr>
              <w:t xml:space="preserve"> a </w:t>
            </w:r>
            <w:r w:rsidRPr="00326E55">
              <w:rPr>
                <w:noProof/>
                <w:spacing w:val="-6"/>
                <w:lang w:val="sk-SK"/>
              </w:rPr>
              <w:t>vykonávacích aktov (vrátane sekundárnych právnych predpisov) pre systém verejného obstarávania</w:t>
            </w:r>
          </w:p>
        </w:tc>
        <w:tc>
          <w:tcPr>
            <w:tcW w:w="236" w:type="dxa"/>
            <w:tcBorders>
              <w:top w:val="nil"/>
              <w:left w:val="single" w:sz="4" w:space="0" w:color="auto"/>
              <w:bottom w:val="nil"/>
              <w:right w:val="nil"/>
            </w:tcBorders>
            <w:vAlign w:val="center"/>
          </w:tcPr>
          <w:p w14:paraId="6C87A724"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277BA55"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ABCD4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100</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EEA57C"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1.13: Reforma rámca preskúmania výdavkov</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4F629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85D47C"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legislatívnych ustanovení,</w:t>
            </w:r>
            <w:r w:rsidRPr="00326E55">
              <w:rPr>
                <w:noProof/>
                <w:spacing w:val="-6"/>
                <w:lang w:val="sk-SK"/>
              </w:rPr>
              <w:t xml:space="preserve"> ktorými sa zlepšuje účinnosť preskúmania výdavkov – posilnenie ministerstva financií</w:t>
            </w:r>
          </w:p>
        </w:tc>
        <w:tc>
          <w:tcPr>
            <w:tcW w:w="236" w:type="dxa"/>
            <w:tcBorders>
              <w:top w:val="nil"/>
              <w:left w:val="single" w:sz="4" w:space="0" w:color="auto"/>
              <w:bottom w:val="nil"/>
              <w:right w:val="nil"/>
            </w:tcBorders>
            <w:vAlign w:val="center"/>
          </w:tcPr>
          <w:p w14:paraId="3235512B"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51B8AFA1"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34354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EDD6CB"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1.12: Reforma daňovej správy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55DAF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BE6943" w14:textId="77777777" w:rsidR="00BF03AA" w:rsidRPr="00326E55" w:rsidRDefault="00FB452D">
            <w:pPr>
              <w:pStyle w:val="P68B1DB1-Normal121"/>
              <w:spacing w:after="0" w:line="240" w:lineRule="auto"/>
              <w:rPr>
                <w:noProof/>
                <w:spacing w:val="-6"/>
                <w:lang w:val="sk-SK"/>
              </w:rPr>
            </w:pPr>
            <w:r w:rsidRPr="00326E55">
              <w:rPr>
                <w:noProof/>
                <w:spacing w:val="-6"/>
                <w:lang w:val="sk-SK"/>
              </w:rPr>
              <w:t>Prijatie preskúmania možných opatrení na zníženie daňových únikov</w:t>
            </w:r>
          </w:p>
        </w:tc>
        <w:tc>
          <w:tcPr>
            <w:tcW w:w="236" w:type="dxa"/>
            <w:tcBorders>
              <w:top w:val="nil"/>
              <w:left w:val="single" w:sz="4" w:space="0" w:color="auto"/>
              <w:bottom w:val="nil"/>
              <w:right w:val="nil"/>
            </w:tcBorders>
            <w:vAlign w:val="center"/>
          </w:tcPr>
          <w:p w14:paraId="39D8EAE9"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2D63B53"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369C2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11C796"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 Transformácia 4.0</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226E2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E9A663" w14:textId="5D9074F0"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právnych aktov na sprístupnenie daňových dobropisov na prechodné obdobie 4.0 potenciálnym príjemcom</w:t>
            </w:r>
            <w:r w:rsidR="00326E55" w:rsidRPr="00326E55">
              <w:rPr>
                <w:noProof/>
                <w:spacing w:val="-6"/>
                <w:lang w:val="sk-SK"/>
              </w:rPr>
              <w:t xml:space="preserve"> a </w:t>
            </w:r>
            <w:r w:rsidRPr="00326E55">
              <w:rPr>
                <w:noProof/>
                <w:spacing w:val="-6"/>
                <w:lang w:val="sk-SK"/>
              </w:rPr>
              <w:t>zriadenie vedeckého výboru</w:t>
            </w:r>
          </w:p>
        </w:tc>
        <w:tc>
          <w:tcPr>
            <w:tcW w:w="236" w:type="dxa"/>
            <w:tcBorders>
              <w:top w:val="nil"/>
              <w:left w:val="single" w:sz="4" w:space="0" w:color="auto"/>
              <w:bottom w:val="nil"/>
              <w:right w:val="nil"/>
            </w:tcBorders>
            <w:vAlign w:val="center"/>
          </w:tcPr>
          <w:p w14:paraId="59A10F56"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5EE0617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E93E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8</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CD9F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 4.1 Centrum digitálneho cestovného ruchu</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F2926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E8343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Zadávanie zákaziek na </w:t>
            </w:r>
            <w:r w:rsidRPr="00326E55">
              <w:rPr>
                <w:noProof/>
                <w:spacing w:val="-6"/>
                <w:lang w:val="sk-SK"/>
              </w:rPr>
              <w:t>vývoj portálu digitálneho cestovného ruchu</w:t>
            </w:r>
          </w:p>
        </w:tc>
        <w:tc>
          <w:tcPr>
            <w:tcW w:w="236" w:type="dxa"/>
            <w:tcBorders>
              <w:top w:val="nil"/>
              <w:left w:val="single" w:sz="4" w:space="0" w:color="auto"/>
              <w:bottom w:val="nil"/>
              <w:right w:val="nil"/>
            </w:tcBorders>
            <w:vAlign w:val="center"/>
          </w:tcPr>
          <w:p w14:paraId="0827186A"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04168E2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107EC9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7</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0C5F4F" w14:textId="63ED130E" w:rsidR="00BF03AA" w:rsidRPr="00326E55" w:rsidRDefault="00FB452D">
            <w:pPr>
              <w:pStyle w:val="P68B1DB1-Normal121"/>
              <w:spacing w:after="0" w:line="240" w:lineRule="auto"/>
              <w:rPr>
                <w:noProof/>
                <w:spacing w:val="-6"/>
                <w:lang w:val="sk-SK"/>
              </w:rPr>
            </w:pPr>
            <w:r w:rsidRPr="00326E55">
              <w:rPr>
                <w:noProof/>
                <w:spacing w:val="-6"/>
                <w:lang w:val="sk-SK"/>
              </w:rPr>
              <w:t>Reforma 2 Nové právne predpisy na podporu výroby</w:t>
            </w:r>
            <w:r w:rsidR="00326E55" w:rsidRPr="00326E55">
              <w:rPr>
                <w:noProof/>
                <w:spacing w:val="-6"/>
                <w:lang w:val="sk-SK"/>
              </w:rPr>
              <w:t xml:space="preserve"> a </w:t>
            </w:r>
            <w:r w:rsidRPr="00326E55">
              <w:rPr>
                <w:noProof/>
                <w:spacing w:val="-6"/>
                <w:lang w:val="sk-SK"/>
              </w:rPr>
              <w:t>spotreby obnoviteľného plynu</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B1163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AF195E" w14:textId="49AE35C8"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legislatívneho dekrétu na podporu využívania obnoviteľného plynu na využívanie biometánu</w:t>
            </w:r>
            <w:r w:rsidR="00326E55" w:rsidRPr="00326E55">
              <w:rPr>
                <w:noProof/>
                <w:spacing w:val="-6"/>
                <w:lang w:val="sk-SK"/>
              </w:rPr>
              <w:t xml:space="preserve"> v </w:t>
            </w:r>
            <w:r w:rsidRPr="00326E55">
              <w:rPr>
                <w:noProof/>
                <w:spacing w:val="-6"/>
                <w:lang w:val="sk-SK"/>
              </w:rPr>
              <w:t>o</w:t>
            </w:r>
            <w:r w:rsidRPr="00326E55">
              <w:rPr>
                <w:noProof/>
                <w:spacing w:val="-6"/>
                <w:lang w:val="sk-SK"/>
              </w:rPr>
              <w:t>dvetviach dopravy, priemyslu</w:t>
            </w:r>
            <w:r w:rsidR="00326E55" w:rsidRPr="00326E55">
              <w:rPr>
                <w:noProof/>
                <w:spacing w:val="-6"/>
                <w:lang w:val="sk-SK"/>
              </w:rPr>
              <w:t xml:space="preserve"> a </w:t>
            </w:r>
            <w:r w:rsidRPr="00326E55">
              <w:rPr>
                <w:noProof/>
                <w:spacing w:val="-6"/>
                <w:lang w:val="sk-SK"/>
              </w:rPr>
              <w:t>bývania</w:t>
            </w:r>
            <w:r w:rsidR="00326E55" w:rsidRPr="00326E55">
              <w:rPr>
                <w:noProof/>
                <w:spacing w:val="-6"/>
                <w:lang w:val="sk-SK"/>
              </w:rPr>
              <w:t xml:space="preserve"> a </w:t>
            </w:r>
            <w:r w:rsidRPr="00326E55">
              <w:rPr>
                <w:noProof/>
                <w:spacing w:val="-6"/>
                <w:lang w:val="sk-SK"/>
              </w:rPr>
              <w:t>vykonávacieho dekrétu, ktorým sa stanovujú podmienky</w:t>
            </w:r>
            <w:r w:rsidR="00326E55" w:rsidRPr="00326E55">
              <w:rPr>
                <w:noProof/>
                <w:spacing w:val="-6"/>
                <w:lang w:val="sk-SK"/>
              </w:rPr>
              <w:t xml:space="preserve"> a </w:t>
            </w:r>
            <w:r w:rsidRPr="00326E55">
              <w:rPr>
                <w:noProof/>
                <w:spacing w:val="-6"/>
                <w:lang w:val="sk-SK"/>
              </w:rPr>
              <w:t>kritériá jeho využívania</w:t>
            </w:r>
            <w:r w:rsidR="00326E55" w:rsidRPr="00326E55">
              <w:rPr>
                <w:noProof/>
                <w:spacing w:val="-6"/>
                <w:lang w:val="sk-SK"/>
              </w:rPr>
              <w:t xml:space="preserve"> a </w:t>
            </w:r>
            <w:r w:rsidRPr="00326E55">
              <w:rPr>
                <w:noProof/>
                <w:spacing w:val="-6"/>
                <w:lang w:val="sk-SK"/>
              </w:rPr>
              <w:t>nový systém stimulov.</w:t>
            </w:r>
          </w:p>
        </w:tc>
        <w:tc>
          <w:tcPr>
            <w:tcW w:w="236" w:type="dxa"/>
            <w:tcBorders>
              <w:top w:val="nil"/>
              <w:left w:val="single" w:sz="4" w:space="0" w:color="auto"/>
              <w:bottom w:val="nil"/>
              <w:right w:val="nil"/>
            </w:tcBorders>
            <w:vAlign w:val="center"/>
          </w:tcPr>
          <w:p w14:paraId="716D2AF9"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D1F9BC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58B6E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37</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6D8700" w14:textId="5860AE2F" w:rsidR="00BF03AA" w:rsidRPr="00326E55" w:rsidRDefault="00FB452D">
            <w:pPr>
              <w:pStyle w:val="P68B1DB1-Normal121"/>
              <w:spacing w:after="0" w:line="240" w:lineRule="auto"/>
              <w:rPr>
                <w:noProof/>
                <w:spacing w:val="-6"/>
                <w:lang w:val="sk-SK"/>
              </w:rPr>
            </w:pPr>
            <w:r w:rsidRPr="00326E55">
              <w:rPr>
                <w:noProof/>
                <w:spacing w:val="-6"/>
                <w:lang w:val="sk-SK"/>
              </w:rPr>
              <w:t>Reforma 5: Inteligentnejšie postupy hodnotenia projektov</w:t>
            </w:r>
            <w:r w:rsidR="00326E55" w:rsidRPr="00326E55">
              <w:rPr>
                <w:noProof/>
                <w:spacing w:val="-6"/>
                <w:lang w:val="sk-SK"/>
              </w:rPr>
              <w:t xml:space="preserve"> v </w:t>
            </w:r>
            <w:r w:rsidRPr="00326E55">
              <w:rPr>
                <w:noProof/>
                <w:spacing w:val="-6"/>
                <w:lang w:val="sk-SK"/>
              </w:rPr>
              <w:t xml:space="preserve">sektore systémov miestnej verejnej </w:t>
            </w:r>
            <w:r w:rsidRPr="00326E55">
              <w:rPr>
                <w:noProof/>
                <w:spacing w:val="-6"/>
                <w:lang w:val="sk-SK"/>
              </w:rPr>
              <w:t>dopravy</w:t>
            </w:r>
            <w:r w:rsidR="00326E55" w:rsidRPr="00326E55">
              <w:rPr>
                <w:noProof/>
                <w:spacing w:val="-6"/>
                <w:lang w:val="sk-SK"/>
              </w:rPr>
              <w:t xml:space="preserve"> s </w:t>
            </w:r>
            <w:r w:rsidRPr="00326E55">
              <w:rPr>
                <w:noProof/>
                <w:spacing w:val="-6"/>
                <w:lang w:val="sk-SK"/>
              </w:rPr>
              <w:t>pevnými zariadeniami</w:t>
            </w:r>
            <w:r w:rsidR="00326E55" w:rsidRPr="00326E55">
              <w:rPr>
                <w:noProof/>
                <w:spacing w:val="-6"/>
                <w:lang w:val="sk-SK"/>
              </w:rPr>
              <w:t xml:space="preserve"> a v </w:t>
            </w:r>
            <w:r w:rsidRPr="00326E55">
              <w:rPr>
                <w:noProof/>
                <w:spacing w:val="-6"/>
                <w:lang w:val="sk-SK"/>
              </w:rPr>
              <w:t>odvetví rýchlej hromadnej dopravy</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E0BEC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039F7B"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zákonného dekrétu</w:t>
            </w:r>
          </w:p>
        </w:tc>
        <w:tc>
          <w:tcPr>
            <w:tcW w:w="236" w:type="dxa"/>
            <w:tcBorders>
              <w:top w:val="nil"/>
              <w:left w:val="single" w:sz="4" w:space="0" w:color="auto"/>
              <w:bottom w:val="nil"/>
              <w:right w:val="nil"/>
            </w:tcBorders>
            <w:vAlign w:val="center"/>
          </w:tcPr>
          <w:p w14:paraId="3D09D43A"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7D4385C"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A88E1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5EFB6A"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5.3: Elektrické autobusy</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DFF82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401C5A" w14:textId="00F7764A"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ministerskej vyhlášky,</w:t>
            </w:r>
            <w:r w:rsidR="00326E55" w:rsidRPr="00326E55">
              <w:rPr>
                <w:noProof/>
                <w:spacing w:val="-6"/>
                <w:lang w:val="sk-SK"/>
              </w:rPr>
              <w:t xml:space="preserve"> v </w:t>
            </w:r>
            <w:r w:rsidRPr="00326E55">
              <w:rPr>
                <w:noProof/>
                <w:spacing w:val="-6"/>
                <w:lang w:val="sk-SK"/>
              </w:rPr>
              <w:t>ktorej sa určuje množstvo dostupných</w:t>
            </w:r>
            <w:r w:rsidRPr="00326E55">
              <w:rPr>
                <w:noProof/>
                <w:spacing w:val="-6"/>
                <w:lang w:val="sk-SK"/>
              </w:rPr>
              <w:t xml:space="preserve"> zdrojov na dosiahnutie účelu intervencie (zneužitie dodávateľského reťazca)</w:t>
            </w:r>
          </w:p>
        </w:tc>
        <w:tc>
          <w:tcPr>
            <w:tcW w:w="236" w:type="dxa"/>
            <w:tcBorders>
              <w:top w:val="nil"/>
              <w:left w:val="single" w:sz="4" w:space="0" w:color="auto"/>
              <w:bottom w:val="nil"/>
              <w:right w:val="nil"/>
            </w:tcBorders>
            <w:vAlign w:val="center"/>
          </w:tcPr>
          <w:p w14:paraId="2C8C9245"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12FC3A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82EC5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B204C0" w14:textId="762DC53C" w:rsidR="00BF03AA" w:rsidRPr="00326E55" w:rsidRDefault="00FB452D">
            <w:pPr>
              <w:pStyle w:val="P68B1DB1-Normal121"/>
              <w:spacing w:after="0" w:line="240" w:lineRule="auto"/>
              <w:rPr>
                <w:noProof/>
                <w:spacing w:val="-6"/>
                <w:lang w:val="sk-SK"/>
              </w:rPr>
            </w:pPr>
            <w:r w:rsidRPr="00326E55">
              <w:rPr>
                <w:noProof/>
                <w:spacing w:val="-6"/>
                <w:lang w:val="sk-SK"/>
              </w:rPr>
              <w:t>Investícia 2.1 – Posilnenie ekobonusu</w:t>
            </w:r>
            <w:r w:rsidR="00326E55" w:rsidRPr="00326E55">
              <w:rPr>
                <w:noProof/>
                <w:spacing w:val="-6"/>
                <w:lang w:val="sk-SK"/>
              </w:rPr>
              <w:t xml:space="preserve"> v </w:t>
            </w:r>
            <w:r w:rsidRPr="00326E55">
              <w:rPr>
                <w:noProof/>
                <w:spacing w:val="-6"/>
                <w:lang w:val="sk-SK"/>
              </w:rPr>
              <w:t xml:space="preserve">záujme energetickej efektívnosti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6CFB3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EF238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rozšírenia Superbonusu  </w:t>
            </w:r>
          </w:p>
        </w:tc>
        <w:tc>
          <w:tcPr>
            <w:tcW w:w="236" w:type="dxa"/>
            <w:tcBorders>
              <w:top w:val="nil"/>
              <w:left w:val="single" w:sz="4" w:space="0" w:color="auto"/>
              <w:bottom w:val="nil"/>
              <w:right w:val="nil"/>
            </w:tcBorders>
            <w:vAlign w:val="center"/>
          </w:tcPr>
          <w:p w14:paraId="6C33FAF7"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591B39C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71A32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8BEB13"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4.2 „Opatrenia na </w:t>
            </w:r>
            <w:r w:rsidRPr="00326E55">
              <w:rPr>
                <w:noProof/>
                <w:spacing w:val="-6"/>
                <w:lang w:val="sk-SK"/>
              </w:rPr>
              <w:t>zabezpečenie plných riadiacich kapacít pre integrované vodohospodárske služby“</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C619A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D429FD" w14:textId="7E9CF247" w:rsidR="00BF03AA" w:rsidRPr="00326E55" w:rsidRDefault="00FB452D">
            <w:pPr>
              <w:pStyle w:val="P68B1DB1-Normal121"/>
              <w:spacing w:after="0" w:line="240" w:lineRule="auto"/>
              <w:rPr>
                <w:noProof/>
                <w:spacing w:val="-6"/>
                <w:lang w:val="sk-SK"/>
              </w:rPr>
            </w:pPr>
            <w:r w:rsidRPr="00326E55">
              <w:rPr>
                <w:noProof/>
                <w:spacing w:val="-6"/>
                <w:lang w:val="sk-SK"/>
              </w:rPr>
              <w:t>Reforma právneho rámca pre lepšie hospodárenie</w:t>
            </w:r>
            <w:r w:rsidR="00326E55" w:rsidRPr="00326E55">
              <w:rPr>
                <w:noProof/>
                <w:spacing w:val="-6"/>
                <w:lang w:val="sk-SK"/>
              </w:rPr>
              <w:t xml:space="preserve"> s </w:t>
            </w:r>
            <w:r w:rsidRPr="00326E55">
              <w:rPr>
                <w:noProof/>
                <w:spacing w:val="-6"/>
                <w:lang w:val="sk-SK"/>
              </w:rPr>
              <w:t>vodou</w:t>
            </w:r>
            <w:r w:rsidR="00326E55" w:rsidRPr="00326E55">
              <w:rPr>
                <w:noProof/>
                <w:spacing w:val="-6"/>
                <w:lang w:val="sk-SK"/>
              </w:rPr>
              <w:t xml:space="preserve"> a </w:t>
            </w:r>
            <w:r w:rsidRPr="00326E55">
              <w:rPr>
                <w:noProof/>
                <w:spacing w:val="-6"/>
                <w:lang w:val="sk-SK"/>
              </w:rPr>
              <w:t>jej udržateľné využívanie</w:t>
            </w:r>
          </w:p>
        </w:tc>
        <w:tc>
          <w:tcPr>
            <w:tcW w:w="236" w:type="dxa"/>
            <w:tcBorders>
              <w:top w:val="nil"/>
              <w:left w:val="single" w:sz="4" w:space="0" w:color="auto"/>
              <w:bottom w:val="nil"/>
              <w:right w:val="nil"/>
            </w:tcBorders>
            <w:vAlign w:val="center"/>
          </w:tcPr>
          <w:p w14:paraId="545B9977"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5E0A78D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8569E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3D9DF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2.1 – Zavedenie centrálneho elektronického priečinka pre colníctvo („Sportello Unico Doganale“)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E2B42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26DDD8" w14:textId="270E244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vyhlášky</w:t>
            </w:r>
            <w:r w:rsidR="00326E55" w:rsidRPr="00326E55">
              <w:rPr>
                <w:noProof/>
                <w:spacing w:val="-6"/>
                <w:lang w:val="sk-SK"/>
              </w:rPr>
              <w:t xml:space="preserve"> o </w:t>
            </w:r>
            <w:r w:rsidRPr="00326E55">
              <w:rPr>
                <w:noProof/>
                <w:spacing w:val="-6"/>
                <w:lang w:val="sk-SK"/>
              </w:rPr>
              <w:t xml:space="preserve">jednotnom colnom úrade (Sportello Unico Doganale) </w:t>
            </w:r>
          </w:p>
        </w:tc>
        <w:tc>
          <w:tcPr>
            <w:tcW w:w="236" w:type="dxa"/>
            <w:tcBorders>
              <w:top w:val="nil"/>
              <w:left w:val="single" w:sz="4" w:space="0" w:color="auto"/>
              <w:bottom w:val="nil"/>
              <w:right w:val="nil"/>
            </w:tcBorders>
            <w:vAlign w:val="center"/>
          </w:tcPr>
          <w:p w14:paraId="7919637C"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410527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AC66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2AC97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1.5: Reforma univerzitných skupín; </w:t>
            </w:r>
            <w:r w:rsidRPr="00326E55">
              <w:rPr>
                <w:noProof/>
                <w:spacing w:val="-6"/>
                <w:lang w:val="sk-SK"/>
              </w:rPr>
              <w:t>Reforma 1.6: Umožnenie reformy univerzitných titulov; Reforma 4.1: Ph.D. Reforma programov</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7ED45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4AA61" w14:textId="4317EC21"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reforiem systému terciárneho vzdelávania</w:t>
            </w:r>
            <w:r w:rsidR="00326E55" w:rsidRPr="00326E55">
              <w:rPr>
                <w:noProof/>
                <w:spacing w:val="-6"/>
                <w:lang w:val="sk-SK"/>
              </w:rPr>
              <w:t xml:space="preserve"> s </w:t>
            </w:r>
            <w:r w:rsidRPr="00326E55">
              <w:rPr>
                <w:noProof/>
                <w:spacing w:val="-6"/>
                <w:lang w:val="sk-SK"/>
              </w:rPr>
              <w:t>cieľom zlepšiť výsledky vzdelávania (primárne právne predpisy)</w:t>
            </w:r>
            <w:r w:rsidR="00326E55" w:rsidRPr="00326E55">
              <w:rPr>
                <w:noProof/>
                <w:spacing w:val="-6"/>
                <w:lang w:val="sk-SK"/>
              </w:rPr>
              <w:t xml:space="preserve"> v </w:t>
            </w:r>
            <w:r w:rsidRPr="00326E55">
              <w:rPr>
                <w:noProof/>
                <w:spacing w:val="-6"/>
                <w:lang w:val="sk-SK"/>
              </w:rPr>
              <w:t>týchto oblastiach: a) umožn</w:t>
            </w:r>
            <w:r w:rsidRPr="00326E55">
              <w:rPr>
                <w:noProof/>
                <w:spacing w:val="-6"/>
                <w:lang w:val="sk-SK"/>
              </w:rPr>
              <w:t>enie vysokoškolských titulov; b) skupiny univerzitných titulov; C) reforma doktorandských programov</w:t>
            </w:r>
          </w:p>
        </w:tc>
        <w:tc>
          <w:tcPr>
            <w:tcW w:w="236" w:type="dxa"/>
            <w:tcBorders>
              <w:top w:val="nil"/>
              <w:left w:val="single" w:sz="4" w:space="0" w:color="auto"/>
              <w:bottom w:val="nil"/>
              <w:right w:val="nil"/>
            </w:tcBorders>
            <w:vAlign w:val="center"/>
          </w:tcPr>
          <w:p w14:paraId="00291B7E"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E8C74BD"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397B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46896C"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1.7: Štipendiá na prístup na univerzitu</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12D7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F3EF82" w14:textId="22F96EA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ministerských vyhlášok</w:t>
            </w:r>
            <w:r w:rsidR="00326E55" w:rsidRPr="00326E55">
              <w:rPr>
                <w:noProof/>
                <w:spacing w:val="-6"/>
                <w:lang w:val="sk-SK"/>
              </w:rPr>
              <w:t xml:space="preserve"> o </w:t>
            </w:r>
            <w:r w:rsidRPr="00326E55">
              <w:rPr>
                <w:noProof/>
                <w:spacing w:val="-6"/>
                <w:lang w:val="sk-SK"/>
              </w:rPr>
              <w:t>reforme štipendií na zlepšenie prístupu</w:t>
            </w:r>
            <w:r w:rsidR="00326E55" w:rsidRPr="00326E55">
              <w:rPr>
                <w:noProof/>
                <w:spacing w:val="-6"/>
                <w:lang w:val="sk-SK"/>
              </w:rPr>
              <w:t xml:space="preserve"> k </w:t>
            </w:r>
            <w:r w:rsidRPr="00326E55">
              <w:rPr>
                <w:noProof/>
                <w:spacing w:val="-6"/>
                <w:lang w:val="sk-SK"/>
              </w:rPr>
              <w:t>terciárnemu vzdelávaniu</w:t>
            </w:r>
          </w:p>
        </w:tc>
        <w:tc>
          <w:tcPr>
            <w:tcW w:w="236" w:type="dxa"/>
            <w:tcBorders>
              <w:top w:val="nil"/>
              <w:left w:val="single" w:sz="4" w:space="0" w:color="auto"/>
              <w:bottom w:val="nil"/>
              <w:right w:val="nil"/>
            </w:tcBorders>
            <w:vAlign w:val="center"/>
          </w:tcPr>
          <w:p w14:paraId="4037FA5C"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757F478"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673DE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CBF303E" w14:textId="4780E82E" w:rsidR="00BF03AA" w:rsidRPr="00326E55" w:rsidRDefault="00FB452D">
            <w:pPr>
              <w:pStyle w:val="P68B1DB1-Normal121"/>
              <w:spacing w:after="0" w:line="240" w:lineRule="auto"/>
              <w:rPr>
                <w:noProof/>
                <w:spacing w:val="-6"/>
                <w:lang w:val="sk-SK"/>
              </w:rPr>
            </w:pPr>
            <w:r w:rsidRPr="00326E55">
              <w:rPr>
                <w:noProof/>
                <w:spacing w:val="-6"/>
                <w:lang w:val="sk-SK"/>
              </w:rPr>
              <w:t>Reforma 1 – aktívne politiky trhu práce</w:t>
            </w:r>
            <w:r w:rsidR="00326E55" w:rsidRPr="00326E55">
              <w:rPr>
                <w:noProof/>
                <w:spacing w:val="-6"/>
                <w:lang w:val="sk-SK"/>
              </w:rPr>
              <w:t xml:space="preserve"> a </w:t>
            </w:r>
            <w:r w:rsidRPr="00326E55">
              <w:rPr>
                <w:noProof/>
                <w:spacing w:val="-6"/>
                <w:lang w:val="sk-SK"/>
              </w:rPr>
              <w:t>odborná príprava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DAAAC7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A81BE4" w14:textId="4947A6A4"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medzirezortnej vyhlášky, ktorou sa ustanovuje národný program pre zaručenú zamestnateľnosť pracovníkov (GOL),</w:t>
            </w:r>
            <w:r w:rsidR="00326E55" w:rsidRPr="00326E55">
              <w:rPr>
                <w:noProof/>
                <w:spacing w:val="-6"/>
                <w:lang w:val="sk-SK"/>
              </w:rPr>
              <w:t xml:space="preserve"> a </w:t>
            </w:r>
            <w:r w:rsidRPr="00326E55">
              <w:rPr>
                <w:noProof/>
                <w:spacing w:val="-6"/>
                <w:lang w:val="sk-SK"/>
              </w:rPr>
              <w:t xml:space="preserve">medzirezortnej </w:t>
            </w:r>
            <w:r w:rsidRPr="00326E55">
              <w:rPr>
                <w:noProof/>
                <w:spacing w:val="-6"/>
                <w:lang w:val="sk-SK"/>
              </w:rPr>
              <w:t>vyhlášky, ktorou sa ustanovuje národný plán pre nové zručnosti</w:t>
            </w:r>
          </w:p>
        </w:tc>
        <w:tc>
          <w:tcPr>
            <w:tcW w:w="236" w:type="dxa"/>
            <w:tcBorders>
              <w:top w:val="nil"/>
              <w:left w:val="single" w:sz="4" w:space="0" w:color="auto"/>
              <w:bottom w:val="nil"/>
              <w:right w:val="nil"/>
            </w:tcBorders>
            <w:vAlign w:val="center"/>
          </w:tcPr>
          <w:p w14:paraId="2742C3A2"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B22C1E4"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4A788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FEEA8D"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 – Rámcový zákon pre osoby so zdravotným postihnutím</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78E15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699057"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rámcového zákona na posilnenie autonómie osôb so zdravotným postihnutím.</w:t>
            </w:r>
          </w:p>
        </w:tc>
        <w:tc>
          <w:tcPr>
            <w:tcW w:w="236" w:type="dxa"/>
            <w:tcBorders>
              <w:top w:val="nil"/>
              <w:left w:val="single" w:sz="4" w:space="0" w:color="auto"/>
              <w:bottom w:val="nil"/>
              <w:right w:val="nil"/>
            </w:tcBorders>
            <w:vAlign w:val="center"/>
          </w:tcPr>
          <w:p w14:paraId="25D302E5"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0ABC477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75123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5</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49496E" w14:textId="4FBE1D84" w:rsidR="00BF03AA" w:rsidRPr="00326E55" w:rsidRDefault="00FB452D">
            <w:pPr>
              <w:pStyle w:val="P68B1DB1-Normal121"/>
              <w:spacing w:after="0" w:line="240" w:lineRule="auto"/>
              <w:rPr>
                <w:noProof/>
                <w:spacing w:val="-6"/>
                <w:lang w:val="sk-SK"/>
              </w:rPr>
            </w:pPr>
            <w:r w:rsidRPr="00326E55">
              <w:rPr>
                <w:noProof/>
                <w:spacing w:val="-6"/>
                <w:lang w:val="sk-SK"/>
              </w:rPr>
              <w:t>Investícia 1 – Podpora zraniteľných osôb</w:t>
            </w:r>
            <w:r w:rsidR="00326E55" w:rsidRPr="00326E55">
              <w:rPr>
                <w:noProof/>
                <w:spacing w:val="-6"/>
                <w:lang w:val="sk-SK"/>
              </w:rPr>
              <w:t xml:space="preserve"> a </w:t>
            </w:r>
            <w:r w:rsidRPr="00326E55">
              <w:rPr>
                <w:noProof/>
                <w:spacing w:val="-6"/>
                <w:lang w:val="sk-SK"/>
              </w:rPr>
              <w:t>predchádzanie inštitucionalizácii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9305A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4CF23F"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operačného plánu</w:t>
            </w:r>
          </w:p>
        </w:tc>
        <w:tc>
          <w:tcPr>
            <w:tcW w:w="236" w:type="dxa"/>
            <w:tcBorders>
              <w:top w:val="nil"/>
              <w:left w:val="single" w:sz="4" w:space="0" w:color="auto"/>
              <w:bottom w:val="nil"/>
              <w:right w:val="nil"/>
            </w:tcBorders>
            <w:vAlign w:val="center"/>
          </w:tcPr>
          <w:p w14:paraId="7CF62A28"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A72554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0EF267"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764683"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7BFB6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68D3AC"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11494252874 EUR</w:t>
            </w:r>
            <w:r w:rsidRPr="00326E55">
              <w:rPr>
                <w:noProof/>
                <w:spacing w:val="-6"/>
                <w:sz w:val="23"/>
                <w:szCs w:val="23"/>
                <w:lang w:val="sk-SK"/>
              </w:rPr>
              <w:t xml:space="preserve">  </w:t>
            </w:r>
            <w:r w:rsidRPr="00326E55">
              <w:rPr>
                <w:noProof/>
                <w:color w:val="006100"/>
                <w:spacing w:val="-6"/>
                <w:sz w:val="20"/>
                <w:szCs w:val="20"/>
                <w:lang w:val="sk-SK"/>
              </w:rPr>
              <w:t xml:space="preserve"> </w:t>
            </w:r>
          </w:p>
        </w:tc>
        <w:tc>
          <w:tcPr>
            <w:tcW w:w="236" w:type="dxa"/>
            <w:tcBorders>
              <w:top w:val="nil"/>
              <w:left w:val="single" w:sz="4" w:space="0" w:color="auto"/>
              <w:bottom w:val="nil"/>
              <w:right w:val="nil"/>
            </w:tcBorders>
            <w:vAlign w:val="center"/>
          </w:tcPr>
          <w:p w14:paraId="438D2FDF"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bl>
    <w:p w14:paraId="7FEFDD9B" w14:textId="77777777" w:rsidR="00326E55" w:rsidRPr="00326E55" w:rsidRDefault="00326E55">
      <w:pPr>
        <w:pStyle w:val="P68B1DB1-Normal8"/>
        <w:spacing w:before="120" w:after="120" w:line="240" w:lineRule="auto"/>
        <w:ind w:left="850"/>
        <w:jc w:val="both"/>
        <w:rPr>
          <w:noProof/>
          <w:spacing w:val="-6"/>
          <w:lang w:val="sk-SK"/>
        </w:rPr>
      </w:pPr>
    </w:p>
    <w:p w14:paraId="5F969BF6"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Druhá splátka (nenávratná podpora):</w:t>
      </w:r>
    </w:p>
    <w:tbl>
      <w:tblPr>
        <w:tblW w:w="9593" w:type="dxa"/>
        <w:tblInd w:w="120" w:type="dxa"/>
        <w:tblLayout w:type="fixed"/>
        <w:tblLook w:val="04A0" w:firstRow="1" w:lastRow="0" w:firstColumn="1" w:lastColumn="0" w:noHBand="0" w:noVBand="1"/>
      </w:tblPr>
      <w:tblGrid>
        <w:gridCol w:w="1288"/>
        <w:gridCol w:w="2268"/>
        <w:gridCol w:w="1276"/>
        <w:gridCol w:w="4525"/>
        <w:gridCol w:w="236"/>
      </w:tblGrid>
      <w:tr w:rsidR="00BF03AA" w:rsidRPr="00326E55" w14:paraId="6CC981F4" w14:textId="77777777">
        <w:trPr>
          <w:trHeight w:val="900"/>
          <w:tblHeader/>
        </w:trPr>
        <w:tc>
          <w:tcPr>
            <w:tcW w:w="128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FEA2321" w14:textId="77777777" w:rsidR="00BF03AA" w:rsidRPr="00326E55" w:rsidRDefault="00FB452D">
            <w:pPr>
              <w:pStyle w:val="P68B1DB1-Normal120"/>
              <w:spacing w:after="0" w:line="240" w:lineRule="auto"/>
              <w:jc w:val="center"/>
              <w:rPr>
                <w:bCs/>
                <w:noProof/>
                <w:spacing w:val="-6"/>
                <w:lang w:val="sk-SK"/>
              </w:rPr>
            </w:pPr>
            <w:r w:rsidRPr="00326E55">
              <w:rPr>
                <w:noProof/>
                <w:spacing w:val="-6"/>
                <w:lang w:val="sk-SK"/>
              </w:rPr>
              <w:t>Poradové číslo</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44527F02"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 xml:space="preserve">Súvisiace opatrenie (reforma alebo </w:t>
            </w:r>
            <w:r w:rsidRPr="00326E55">
              <w:rPr>
                <w:noProof/>
                <w:spacing w:val="-6"/>
                <w:lang w:val="sk-SK"/>
              </w:rPr>
              <w:t>investícia)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BDF3749"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452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D58B0E8"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c>
          <w:tcPr>
            <w:tcW w:w="236" w:type="dxa"/>
            <w:tcBorders>
              <w:top w:val="nil"/>
              <w:left w:val="single" w:sz="4" w:space="0" w:color="auto"/>
              <w:bottom w:val="nil"/>
              <w:right w:val="nil"/>
            </w:tcBorders>
            <w:vAlign w:val="center"/>
          </w:tcPr>
          <w:p w14:paraId="3E876F66"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5F04BD9" w14:textId="77777777">
        <w:trPr>
          <w:trHeight w:val="510"/>
        </w:trPr>
        <w:tc>
          <w:tcPr>
            <w:tcW w:w="1288" w:type="dxa"/>
            <w:vMerge/>
            <w:tcBorders>
              <w:top w:val="single" w:sz="4" w:space="0" w:color="auto"/>
              <w:left w:val="single" w:sz="4" w:space="0" w:color="auto"/>
              <w:bottom w:val="single" w:sz="4" w:space="0" w:color="auto"/>
              <w:right w:val="single" w:sz="4" w:space="0" w:color="auto"/>
            </w:tcBorders>
            <w:vAlign w:val="center"/>
          </w:tcPr>
          <w:p w14:paraId="098B6F0C"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452FC725"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54F7C197"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4525" w:type="dxa"/>
            <w:vMerge/>
            <w:tcBorders>
              <w:top w:val="single" w:sz="4" w:space="0" w:color="auto"/>
              <w:left w:val="single" w:sz="4" w:space="0" w:color="auto"/>
              <w:bottom w:val="single" w:sz="4" w:space="0" w:color="auto"/>
              <w:right w:val="single" w:sz="4" w:space="0" w:color="auto"/>
            </w:tcBorders>
            <w:vAlign w:val="center"/>
          </w:tcPr>
          <w:p w14:paraId="3FCA8DF4"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236" w:type="dxa"/>
            <w:tcBorders>
              <w:top w:val="nil"/>
              <w:left w:val="single" w:sz="4" w:space="0" w:color="auto"/>
              <w:bottom w:val="nil"/>
              <w:right w:val="nil"/>
            </w:tcBorders>
            <w:vAlign w:val="center"/>
          </w:tcPr>
          <w:p w14:paraId="58B4AA26"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6827A9A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9A87B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5</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55670C"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Digitalizácia národných parkov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5F22F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8CCE48D" w14:textId="6F1C595C"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administratívneho zjednodušenia</w:t>
            </w:r>
            <w:r w:rsidR="00326E55" w:rsidRPr="00326E55">
              <w:rPr>
                <w:noProof/>
                <w:spacing w:val="-6"/>
                <w:lang w:val="sk-SK"/>
              </w:rPr>
              <w:t xml:space="preserve"> a </w:t>
            </w:r>
            <w:r w:rsidRPr="00326E55">
              <w:rPr>
                <w:noProof/>
                <w:spacing w:val="-6"/>
                <w:lang w:val="sk-SK"/>
              </w:rPr>
              <w:t>rozvoja digitálnych služieb pre návštevníkov národných parkov</w:t>
            </w:r>
            <w:r w:rsidR="00326E55" w:rsidRPr="00326E55">
              <w:rPr>
                <w:noProof/>
                <w:spacing w:val="-6"/>
                <w:lang w:val="sk-SK"/>
              </w:rPr>
              <w:t xml:space="preserve"> a </w:t>
            </w:r>
            <w:r w:rsidRPr="00326E55">
              <w:rPr>
                <w:noProof/>
                <w:spacing w:val="-6"/>
                <w:lang w:val="sk-SK"/>
              </w:rPr>
              <w:t>chránených morských oblastí</w:t>
            </w:r>
          </w:p>
        </w:tc>
        <w:tc>
          <w:tcPr>
            <w:tcW w:w="236" w:type="dxa"/>
            <w:tcBorders>
              <w:top w:val="nil"/>
              <w:left w:val="single" w:sz="4" w:space="0" w:color="auto"/>
              <w:bottom w:val="nil"/>
              <w:right w:val="nil"/>
            </w:tcBorders>
            <w:vAlign w:val="center"/>
          </w:tcPr>
          <w:p w14:paraId="5768BD01"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BAD4F40"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A440C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w:t>
            </w:r>
            <w:r w:rsidRPr="00326E55">
              <w:rPr>
                <w:noProof/>
                <w:spacing w:val="-6"/>
                <w:lang w:val="sk-SK"/>
              </w:rPr>
              <w:t xml:space="preserve"> – 9</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56460C" w14:textId="7E1A43F9" w:rsidR="00BF03AA" w:rsidRPr="00326E55" w:rsidRDefault="00FB452D">
            <w:pPr>
              <w:pStyle w:val="P68B1DB1-Normal121"/>
              <w:spacing w:after="0" w:line="240" w:lineRule="auto"/>
              <w:rPr>
                <w:noProof/>
                <w:spacing w:val="-6"/>
                <w:lang w:val="sk-SK"/>
              </w:rPr>
            </w:pPr>
            <w:r w:rsidRPr="00326E55">
              <w:rPr>
                <w:noProof/>
                <w:spacing w:val="-6"/>
                <w:lang w:val="sk-SK"/>
              </w:rPr>
              <w:t>Investícia 3 – Prvé bývanie</w:t>
            </w:r>
            <w:r w:rsidR="00326E55" w:rsidRPr="00326E55">
              <w:rPr>
                <w:noProof/>
                <w:spacing w:val="-6"/>
                <w:lang w:val="sk-SK"/>
              </w:rPr>
              <w:t xml:space="preserve"> a </w:t>
            </w:r>
            <w:r w:rsidRPr="00326E55">
              <w:rPr>
                <w:noProof/>
                <w:spacing w:val="-6"/>
                <w:lang w:val="sk-SK"/>
              </w:rPr>
              <w:t>poštové stanice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CA0AD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0E6A5D" w14:textId="364FE361"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operačného plánu týkajúceho sa projektov</w:t>
            </w:r>
            <w:r w:rsidR="00326E55" w:rsidRPr="00326E55">
              <w:rPr>
                <w:noProof/>
                <w:spacing w:val="-6"/>
                <w:lang w:val="sk-SK"/>
              </w:rPr>
              <w:t xml:space="preserve"> v </w:t>
            </w:r>
            <w:r w:rsidRPr="00326E55">
              <w:rPr>
                <w:noProof/>
                <w:spacing w:val="-6"/>
                <w:lang w:val="sk-SK"/>
              </w:rPr>
              <w:t>oblasti bývania ako prvé</w:t>
            </w:r>
            <w:r w:rsidR="00326E55" w:rsidRPr="00326E55">
              <w:rPr>
                <w:noProof/>
                <w:spacing w:val="-6"/>
                <w:lang w:val="sk-SK"/>
              </w:rPr>
              <w:t xml:space="preserve"> a </w:t>
            </w:r>
            <w:r w:rsidRPr="00326E55">
              <w:rPr>
                <w:noProof/>
                <w:spacing w:val="-6"/>
                <w:lang w:val="sk-SK"/>
              </w:rPr>
              <w:t>vysielacích staníc,</w:t>
            </w:r>
            <w:r w:rsidR="00326E55" w:rsidRPr="00326E55">
              <w:rPr>
                <w:noProof/>
                <w:spacing w:val="-6"/>
                <w:lang w:val="sk-SK"/>
              </w:rPr>
              <w:t xml:space="preserve"> v </w:t>
            </w:r>
            <w:r w:rsidRPr="00326E55">
              <w:rPr>
                <w:noProof/>
                <w:spacing w:val="-6"/>
                <w:lang w:val="sk-SK"/>
              </w:rPr>
              <w:t>ktorom sa vymedzujú požiadavky projektov, ktoré môžu predložiť miestne subjekty,</w:t>
            </w:r>
            <w:r w:rsidR="00326E55" w:rsidRPr="00326E55">
              <w:rPr>
                <w:noProof/>
                <w:spacing w:val="-6"/>
                <w:lang w:val="sk-SK"/>
              </w:rPr>
              <w:t xml:space="preserve"> a </w:t>
            </w:r>
            <w:r w:rsidRPr="00326E55">
              <w:rPr>
                <w:noProof/>
                <w:spacing w:val="-6"/>
                <w:lang w:val="sk-SK"/>
              </w:rPr>
              <w:t>vyhlásenie výzvy na predkladanie návrhov</w:t>
            </w:r>
          </w:p>
        </w:tc>
        <w:tc>
          <w:tcPr>
            <w:tcW w:w="236" w:type="dxa"/>
            <w:tcBorders>
              <w:top w:val="nil"/>
              <w:left w:val="single" w:sz="4" w:space="0" w:color="auto"/>
              <w:bottom w:val="nil"/>
              <w:right w:val="nil"/>
            </w:tcBorders>
            <w:vAlign w:val="center"/>
          </w:tcPr>
          <w:p w14:paraId="52135B95"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6DE6A22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6283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0170E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1.8: Postupy prijímania zamestnancov na správne súdy</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559DE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982334" w14:textId="77777777" w:rsidR="00BF03AA" w:rsidRPr="00326E55" w:rsidRDefault="00FB452D">
            <w:pPr>
              <w:pStyle w:val="P68B1DB1-Normal121"/>
              <w:spacing w:after="0" w:line="240" w:lineRule="auto"/>
              <w:rPr>
                <w:noProof/>
                <w:spacing w:val="-6"/>
                <w:lang w:val="sk-SK"/>
              </w:rPr>
            </w:pPr>
            <w:r w:rsidRPr="00326E55">
              <w:rPr>
                <w:noProof/>
                <w:spacing w:val="-6"/>
                <w:lang w:val="sk-SK"/>
              </w:rPr>
              <w:t>Začiatok postupov prijímania zamestnancov na správne súdy</w:t>
            </w:r>
          </w:p>
        </w:tc>
        <w:tc>
          <w:tcPr>
            <w:tcW w:w="236" w:type="dxa"/>
            <w:tcBorders>
              <w:top w:val="nil"/>
              <w:left w:val="single" w:sz="4" w:space="0" w:color="auto"/>
              <w:bottom w:val="nil"/>
              <w:right w:val="nil"/>
            </w:tcBorders>
            <w:vAlign w:val="center"/>
          </w:tcPr>
          <w:p w14:paraId="0F8B4BC6"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7E22881F"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E786F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56</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326311"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0F3DC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C18A0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w:t>
            </w:r>
            <w:r w:rsidRPr="00326E55">
              <w:rPr>
                <w:noProof/>
                <w:spacing w:val="-6"/>
                <w:lang w:val="sk-SK"/>
              </w:rPr>
              <w:t>účinnosti právnych predpisov umožňujúcich reformu zamestnanosti vo verejnom sektore</w:t>
            </w:r>
          </w:p>
        </w:tc>
        <w:tc>
          <w:tcPr>
            <w:tcW w:w="236" w:type="dxa"/>
            <w:tcBorders>
              <w:top w:val="nil"/>
              <w:left w:val="single" w:sz="4" w:space="0" w:color="auto"/>
              <w:bottom w:val="nil"/>
              <w:right w:val="nil"/>
            </w:tcBorders>
            <w:vAlign w:val="center"/>
          </w:tcPr>
          <w:p w14:paraId="2EDA0C9C"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6B3EBC1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CD0A1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70</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0905E0"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331CF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EB3195" w14:textId="512B3398"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revízie kódexu verejného obstarávania (D.Lgs. </w:t>
            </w:r>
            <w:r w:rsidR="00326E55" w:rsidRPr="00326E55">
              <w:rPr>
                <w:noProof/>
                <w:spacing w:val="-6"/>
                <w:lang w:val="sk-SK"/>
              </w:rPr>
              <w:t>č. </w:t>
            </w:r>
            <w:r w:rsidRPr="00326E55">
              <w:rPr>
                <w:noProof/>
                <w:spacing w:val="-6"/>
                <w:lang w:val="sk-SK"/>
              </w:rPr>
              <w:t>50/2016)</w:t>
            </w:r>
          </w:p>
        </w:tc>
        <w:tc>
          <w:tcPr>
            <w:tcW w:w="236" w:type="dxa"/>
            <w:tcBorders>
              <w:top w:val="nil"/>
              <w:left w:val="single" w:sz="4" w:space="0" w:color="auto"/>
              <w:bottom w:val="nil"/>
              <w:right w:val="nil"/>
            </w:tcBorders>
            <w:vAlign w:val="center"/>
          </w:tcPr>
          <w:p w14:paraId="53D9F2A6"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4BA000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C3C7B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D21C16"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1.12: Reforma daňovej správy</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8C58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3D3DC5" w14:textId="5E6BC40D"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primárnych</w:t>
            </w:r>
            <w:r w:rsidR="00326E55" w:rsidRPr="00326E55">
              <w:rPr>
                <w:noProof/>
                <w:spacing w:val="-6"/>
                <w:lang w:val="sk-SK"/>
              </w:rPr>
              <w:t xml:space="preserve"> a </w:t>
            </w:r>
            <w:r w:rsidRPr="00326E55">
              <w:rPr>
                <w:noProof/>
                <w:spacing w:val="-6"/>
                <w:lang w:val="sk-SK"/>
              </w:rPr>
              <w:t>sekundárnych právnych predpisov</w:t>
            </w:r>
            <w:r w:rsidR="00326E55" w:rsidRPr="00326E55">
              <w:rPr>
                <w:noProof/>
                <w:spacing w:val="-6"/>
                <w:lang w:val="sk-SK"/>
              </w:rPr>
              <w:t xml:space="preserve"> a </w:t>
            </w:r>
            <w:r w:rsidRPr="00326E55">
              <w:rPr>
                <w:noProof/>
                <w:spacing w:val="-6"/>
                <w:lang w:val="sk-SK"/>
              </w:rPr>
              <w:t>regulačných ustanovení</w:t>
            </w:r>
            <w:r w:rsidR="00326E55" w:rsidRPr="00326E55">
              <w:rPr>
                <w:noProof/>
                <w:spacing w:val="-6"/>
                <w:lang w:val="sk-SK"/>
              </w:rPr>
              <w:t xml:space="preserve"> a </w:t>
            </w:r>
            <w:r w:rsidRPr="00326E55">
              <w:rPr>
                <w:noProof/>
                <w:spacing w:val="-6"/>
                <w:lang w:val="sk-SK"/>
              </w:rPr>
              <w:t>dokončenie administratívnych postupov na podporu dodržiavania daňových predpisov</w:t>
            </w:r>
            <w:r w:rsidR="00326E55" w:rsidRPr="00326E55">
              <w:rPr>
                <w:noProof/>
                <w:spacing w:val="-6"/>
                <w:lang w:val="sk-SK"/>
              </w:rPr>
              <w:t xml:space="preserve"> a </w:t>
            </w:r>
            <w:r w:rsidRPr="00326E55">
              <w:rPr>
                <w:noProof/>
                <w:spacing w:val="-6"/>
                <w:lang w:val="sk-SK"/>
              </w:rPr>
              <w:t>zlepšenie auditov</w:t>
            </w:r>
            <w:r w:rsidR="00326E55" w:rsidRPr="00326E55">
              <w:rPr>
                <w:noProof/>
                <w:spacing w:val="-6"/>
                <w:lang w:val="sk-SK"/>
              </w:rPr>
              <w:t xml:space="preserve"> a </w:t>
            </w:r>
            <w:r w:rsidRPr="00326E55">
              <w:rPr>
                <w:noProof/>
                <w:spacing w:val="-6"/>
                <w:lang w:val="sk-SK"/>
              </w:rPr>
              <w:t>kon</w:t>
            </w:r>
            <w:r w:rsidRPr="00326E55">
              <w:rPr>
                <w:noProof/>
                <w:spacing w:val="-6"/>
                <w:lang w:val="sk-SK"/>
              </w:rPr>
              <w:t>trol</w:t>
            </w:r>
          </w:p>
        </w:tc>
        <w:tc>
          <w:tcPr>
            <w:tcW w:w="236" w:type="dxa"/>
            <w:tcBorders>
              <w:top w:val="nil"/>
              <w:left w:val="single" w:sz="4" w:space="0" w:color="auto"/>
              <w:bottom w:val="nil"/>
              <w:right w:val="nil"/>
            </w:tcBorders>
            <w:vAlign w:val="center"/>
          </w:tcPr>
          <w:p w14:paraId="237759BA"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56B0A2D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9FBCA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14F74F"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1.13: Reforma rámca preskúmania výdavkov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6064B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04CA92" w14:textId="77777777" w:rsidR="00BF03AA" w:rsidRPr="00326E55" w:rsidRDefault="00FB452D">
            <w:pPr>
              <w:pStyle w:val="P68B1DB1-Normal121"/>
              <w:spacing w:after="0" w:line="240" w:lineRule="auto"/>
              <w:rPr>
                <w:noProof/>
                <w:spacing w:val="-6"/>
                <w:lang w:val="sk-SK"/>
              </w:rPr>
            </w:pPr>
            <w:r w:rsidRPr="00326E55">
              <w:rPr>
                <w:noProof/>
                <w:spacing w:val="-6"/>
                <w:lang w:val="sk-SK"/>
              </w:rPr>
              <w:t>Prijatie cieľov úspor pre preskúmania výdavkov na roky 2023 – 2025</w:t>
            </w:r>
          </w:p>
        </w:tc>
        <w:tc>
          <w:tcPr>
            <w:tcW w:w="236" w:type="dxa"/>
            <w:tcBorders>
              <w:top w:val="nil"/>
              <w:left w:val="single" w:sz="4" w:space="0" w:color="auto"/>
              <w:bottom w:val="nil"/>
              <w:right w:val="nil"/>
            </w:tcBorders>
            <w:vAlign w:val="center"/>
          </w:tcPr>
          <w:p w14:paraId="77DC3A2C"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02BF5AB5"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6411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0DF327" w14:textId="134321A6" w:rsidR="00BF03AA" w:rsidRPr="00326E55" w:rsidRDefault="00FB452D">
            <w:pPr>
              <w:pStyle w:val="P68B1DB1-Normal121"/>
              <w:spacing w:after="0" w:line="240" w:lineRule="auto"/>
              <w:rPr>
                <w:noProof/>
                <w:spacing w:val="-6"/>
                <w:lang w:val="sk-SK"/>
              </w:rPr>
            </w:pPr>
            <w:r w:rsidRPr="00326E55">
              <w:rPr>
                <w:noProof/>
                <w:spacing w:val="-6"/>
                <w:lang w:val="sk-SK"/>
              </w:rPr>
              <w:t>Investícia 1.3 – Zlepšenie energetickej účinnosti kín, divadiel</w:t>
            </w:r>
            <w:r w:rsidR="00326E55" w:rsidRPr="00326E55">
              <w:rPr>
                <w:noProof/>
                <w:spacing w:val="-6"/>
                <w:lang w:val="sk-SK"/>
              </w:rPr>
              <w:t xml:space="preserve"> a </w:t>
            </w:r>
            <w:r w:rsidRPr="00326E55">
              <w:rPr>
                <w:noProof/>
                <w:spacing w:val="-6"/>
                <w:lang w:val="sk-SK"/>
              </w:rPr>
              <w:t>múzeí</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35C48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26DED" w14:textId="6527EC93"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w:t>
            </w:r>
            <w:r w:rsidRPr="00326E55">
              <w:rPr>
                <w:noProof/>
                <w:spacing w:val="-6"/>
                <w:lang w:val="sk-SK"/>
              </w:rPr>
              <w:t>vyhlášky ministerstva kultúry</w:t>
            </w:r>
            <w:r w:rsidR="00326E55" w:rsidRPr="00326E55">
              <w:rPr>
                <w:noProof/>
                <w:spacing w:val="-6"/>
                <w:lang w:val="sk-SK"/>
              </w:rPr>
              <w:t xml:space="preserve"> o </w:t>
            </w:r>
            <w:r w:rsidRPr="00326E55">
              <w:rPr>
                <w:noProof/>
                <w:spacing w:val="-6"/>
                <w:lang w:val="sk-SK"/>
              </w:rPr>
              <w:t xml:space="preserve">prideľovaní zdrojov: zlepšiť energetickú účinnosť na miestach kultúry </w:t>
            </w:r>
          </w:p>
        </w:tc>
        <w:tc>
          <w:tcPr>
            <w:tcW w:w="236" w:type="dxa"/>
            <w:tcBorders>
              <w:top w:val="nil"/>
              <w:left w:val="single" w:sz="4" w:space="0" w:color="auto"/>
              <w:bottom w:val="nil"/>
              <w:right w:val="nil"/>
            </w:tcBorders>
            <w:vAlign w:val="center"/>
          </w:tcPr>
          <w:p w14:paraId="07FFFDFC"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B140707"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07810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EE0159"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 – Národná stratégia pre obehové hospodárstvo</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B6A45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CAACD7" w14:textId="1E575E3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ministerskej vyhlášky</w:t>
            </w:r>
            <w:r w:rsidR="00326E55" w:rsidRPr="00326E55">
              <w:rPr>
                <w:noProof/>
                <w:spacing w:val="-6"/>
                <w:lang w:val="sk-SK"/>
              </w:rPr>
              <w:t xml:space="preserve"> o </w:t>
            </w:r>
            <w:r w:rsidRPr="00326E55">
              <w:rPr>
                <w:noProof/>
                <w:spacing w:val="-6"/>
                <w:lang w:val="sk-SK"/>
              </w:rPr>
              <w:t xml:space="preserve">prijatí národnej stratégie pre </w:t>
            </w:r>
            <w:r w:rsidRPr="00326E55">
              <w:rPr>
                <w:noProof/>
                <w:spacing w:val="-6"/>
                <w:lang w:val="sk-SK"/>
              </w:rPr>
              <w:t>obehové hospodárstvo</w:t>
            </w:r>
          </w:p>
        </w:tc>
        <w:tc>
          <w:tcPr>
            <w:tcW w:w="236" w:type="dxa"/>
            <w:tcBorders>
              <w:top w:val="nil"/>
              <w:left w:val="single" w:sz="4" w:space="0" w:color="auto"/>
              <w:bottom w:val="nil"/>
              <w:right w:val="nil"/>
            </w:tcBorders>
            <w:vAlign w:val="center"/>
          </w:tcPr>
          <w:p w14:paraId="60557FC8"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54BCA99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5E7C8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DCDB00"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1.3 – Technická podpora pre miestne orgány</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CA8E8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CAB0E0" w14:textId="0392A8C4" w:rsidR="00BF03AA" w:rsidRPr="00326E55" w:rsidRDefault="00FB452D">
            <w:pPr>
              <w:pStyle w:val="P68B1DB1-Normal121"/>
              <w:spacing w:after="0" w:line="240" w:lineRule="auto"/>
              <w:rPr>
                <w:noProof/>
                <w:spacing w:val="-6"/>
                <w:lang w:val="sk-SK"/>
              </w:rPr>
            </w:pPr>
            <w:r w:rsidRPr="00326E55">
              <w:rPr>
                <w:noProof/>
                <w:spacing w:val="-6"/>
                <w:lang w:val="sk-SK"/>
              </w:rPr>
              <w:t>Schválenie dohody</w:t>
            </w:r>
            <w:r w:rsidR="00326E55" w:rsidRPr="00326E55">
              <w:rPr>
                <w:noProof/>
                <w:spacing w:val="-6"/>
                <w:lang w:val="sk-SK"/>
              </w:rPr>
              <w:t xml:space="preserve"> o </w:t>
            </w:r>
            <w:r w:rsidRPr="00326E55">
              <w:rPr>
                <w:noProof/>
                <w:spacing w:val="-6"/>
                <w:lang w:val="sk-SK"/>
              </w:rPr>
              <w:t>vypracovaní akčného plánu budovania kapacít na podporu miestnych verejných orgánov</w:t>
            </w:r>
          </w:p>
        </w:tc>
        <w:tc>
          <w:tcPr>
            <w:tcW w:w="236" w:type="dxa"/>
            <w:tcBorders>
              <w:top w:val="nil"/>
              <w:left w:val="single" w:sz="4" w:space="0" w:color="auto"/>
              <w:bottom w:val="nil"/>
              <w:right w:val="nil"/>
            </w:tcBorders>
            <w:vAlign w:val="center"/>
          </w:tcPr>
          <w:p w14:paraId="4FF0676D"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A4B9C54"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C2323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0E0CBB" w14:textId="762EAB06" w:rsidR="00BF03AA" w:rsidRPr="00326E55" w:rsidRDefault="00FB452D">
            <w:pPr>
              <w:pStyle w:val="P68B1DB1-Normal121"/>
              <w:spacing w:after="0" w:line="240" w:lineRule="auto"/>
              <w:rPr>
                <w:noProof/>
                <w:spacing w:val="-6"/>
                <w:lang w:val="sk-SK"/>
              </w:rPr>
            </w:pPr>
            <w:r w:rsidRPr="00326E55">
              <w:rPr>
                <w:noProof/>
                <w:spacing w:val="-6"/>
                <w:lang w:val="sk-SK"/>
              </w:rPr>
              <w:t>Investícia 3.3: Kultúra</w:t>
            </w:r>
            <w:r w:rsidR="00326E55" w:rsidRPr="00326E55">
              <w:rPr>
                <w:noProof/>
                <w:spacing w:val="-6"/>
                <w:lang w:val="sk-SK"/>
              </w:rPr>
              <w:t xml:space="preserve"> a </w:t>
            </w:r>
            <w:r w:rsidRPr="00326E55">
              <w:rPr>
                <w:noProof/>
                <w:spacing w:val="-6"/>
                <w:lang w:val="sk-SK"/>
              </w:rPr>
              <w:t>informovanosť</w:t>
            </w:r>
            <w:r w:rsidR="00326E55" w:rsidRPr="00326E55">
              <w:rPr>
                <w:noProof/>
                <w:spacing w:val="-6"/>
                <w:lang w:val="sk-SK"/>
              </w:rPr>
              <w:t xml:space="preserve"> o </w:t>
            </w:r>
            <w:r w:rsidRPr="00326E55">
              <w:rPr>
                <w:noProof/>
                <w:spacing w:val="-6"/>
                <w:lang w:val="sk-SK"/>
              </w:rPr>
              <w:t>environmentálnych témach</w:t>
            </w:r>
            <w:r w:rsidR="00326E55" w:rsidRPr="00326E55">
              <w:rPr>
                <w:noProof/>
                <w:spacing w:val="-6"/>
                <w:lang w:val="sk-SK"/>
              </w:rPr>
              <w:t xml:space="preserve"> a </w:t>
            </w:r>
            <w:r w:rsidRPr="00326E55">
              <w:rPr>
                <w:noProof/>
                <w:spacing w:val="-6"/>
                <w:lang w:val="sk-SK"/>
              </w:rPr>
              <w:t>výzvach</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0B08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5B64AB" w14:textId="52A278C2" w:rsidR="00BF03AA" w:rsidRPr="00326E55" w:rsidRDefault="00FB452D">
            <w:pPr>
              <w:pStyle w:val="P68B1DB1-Normal121"/>
              <w:spacing w:after="0" w:line="240" w:lineRule="auto"/>
              <w:rPr>
                <w:noProof/>
                <w:spacing w:val="-6"/>
                <w:lang w:val="sk-SK"/>
              </w:rPr>
            </w:pPr>
            <w:r w:rsidRPr="00326E55">
              <w:rPr>
                <w:noProof/>
                <w:spacing w:val="-6"/>
                <w:lang w:val="sk-SK"/>
              </w:rPr>
              <w:t>Spustenie webovej platformy</w:t>
            </w:r>
            <w:r w:rsidR="00326E55" w:rsidRPr="00326E55">
              <w:rPr>
                <w:noProof/>
                <w:spacing w:val="-6"/>
                <w:lang w:val="sk-SK"/>
              </w:rPr>
              <w:t xml:space="preserve"> a </w:t>
            </w:r>
            <w:r w:rsidRPr="00326E55">
              <w:rPr>
                <w:noProof/>
                <w:spacing w:val="-6"/>
                <w:lang w:val="sk-SK"/>
              </w:rPr>
              <w:t>zmluvy</w:t>
            </w:r>
            <w:r w:rsidR="00326E55" w:rsidRPr="00326E55">
              <w:rPr>
                <w:noProof/>
                <w:spacing w:val="-6"/>
                <w:lang w:val="sk-SK"/>
              </w:rPr>
              <w:t xml:space="preserve"> s </w:t>
            </w:r>
            <w:r w:rsidRPr="00326E55">
              <w:rPr>
                <w:noProof/>
                <w:spacing w:val="-6"/>
                <w:lang w:val="sk-SK"/>
              </w:rPr>
              <w:t>autormi</w:t>
            </w:r>
          </w:p>
        </w:tc>
        <w:tc>
          <w:tcPr>
            <w:tcW w:w="236" w:type="dxa"/>
            <w:tcBorders>
              <w:top w:val="nil"/>
              <w:left w:val="single" w:sz="4" w:space="0" w:color="auto"/>
              <w:bottom w:val="nil"/>
              <w:right w:val="nil"/>
            </w:tcBorders>
            <w:vAlign w:val="center"/>
          </w:tcPr>
          <w:p w14:paraId="5A31F9DE"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C8B91A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B924D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18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C6721E" w14:textId="1210403C" w:rsidR="00BF03AA" w:rsidRPr="00326E55" w:rsidRDefault="00FB452D">
            <w:pPr>
              <w:pStyle w:val="P68B1DB1-Normal121"/>
              <w:spacing w:after="0" w:line="240" w:lineRule="auto"/>
              <w:rPr>
                <w:noProof/>
                <w:spacing w:val="-6"/>
                <w:lang w:val="sk-SK"/>
              </w:rPr>
            </w:pPr>
            <w:r w:rsidRPr="00326E55">
              <w:rPr>
                <w:noProof/>
                <w:spacing w:val="-6"/>
                <w:lang w:val="sk-SK"/>
              </w:rPr>
              <w:t>Investícia 3.5 Výskum</w:t>
            </w:r>
            <w:r w:rsidR="00326E55" w:rsidRPr="00326E55">
              <w:rPr>
                <w:noProof/>
                <w:spacing w:val="-6"/>
                <w:lang w:val="sk-SK"/>
              </w:rPr>
              <w:t xml:space="preserve"> a </w:t>
            </w:r>
            <w:r w:rsidRPr="00326E55">
              <w:rPr>
                <w:noProof/>
                <w:spacing w:val="-6"/>
                <w:lang w:val="sk-SK"/>
              </w:rPr>
              <w:t>vývoj vodíka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14BC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A2484B" w14:textId="18801942"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výskum</w:t>
            </w:r>
            <w:r w:rsidR="00326E55" w:rsidRPr="00326E55">
              <w:rPr>
                <w:noProof/>
                <w:spacing w:val="-6"/>
                <w:lang w:val="sk-SK"/>
              </w:rPr>
              <w:t xml:space="preserve"> a </w:t>
            </w:r>
            <w:r w:rsidRPr="00326E55">
              <w:rPr>
                <w:noProof/>
                <w:spacing w:val="-6"/>
                <w:lang w:val="sk-SK"/>
              </w:rPr>
              <w:t>vývoj výskumným projektom</w:t>
            </w:r>
            <w:r w:rsidR="00326E55" w:rsidRPr="00326E55">
              <w:rPr>
                <w:noProof/>
                <w:spacing w:val="-6"/>
                <w:lang w:val="sk-SK"/>
              </w:rPr>
              <w:t xml:space="preserve"> v </w:t>
            </w:r>
            <w:r w:rsidRPr="00326E55">
              <w:rPr>
                <w:noProof/>
                <w:spacing w:val="-6"/>
                <w:lang w:val="sk-SK"/>
              </w:rPr>
              <w:t>oblasti vodíka</w:t>
            </w:r>
          </w:p>
        </w:tc>
        <w:tc>
          <w:tcPr>
            <w:tcW w:w="236" w:type="dxa"/>
            <w:tcBorders>
              <w:top w:val="nil"/>
              <w:left w:val="single" w:sz="4" w:space="0" w:color="auto"/>
              <w:bottom w:val="nil"/>
              <w:right w:val="nil"/>
            </w:tcBorders>
            <w:vAlign w:val="center"/>
          </w:tcPr>
          <w:p w14:paraId="00BC22B1"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67C4D9E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608E9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4AF5A6"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4 Opatrenia na podporu konkurencieschopnosti vodíka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BE9D0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9AC019"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fiškálnych stimulov</w:t>
            </w:r>
          </w:p>
        </w:tc>
        <w:tc>
          <w:tcPr>
            <w:tcW w:w="236" w:type="dxa"/>
            <w:tcBorders>
              <w:top w:val="nil"/>
              <w:left w:val="single" w:sz="4" w:space="0" w:color="auto"/>
              <w:bottom w:val="nil"/>
              <w:right w:val="nil"/>
            </w:tcBorders>
            <w:vAlign w:val="center"/>
          </w:tcPr>
          <w:p w14:paraId="40C885E1"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7A256C9"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E7A87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35BBC3" w14:textId="465D866E" w:rsidR="00BF03AA" w:rsidRPr="00326E55" w:rsidRDefault="00FB452D">
            <w:pPr>
              <w:pStyle w:val="P68B1DB1-Normal121"/>
              <w:spacing w:after="0" w:line="240" w:lineRule="auto"/>
              <w:rPr>
                <w:noProof/>
                <w:spacing w:val="-6"/>
                <w:lang w:val="sk-SK"/>
              </w:rPr>
            </w:pPr>
            <w:r w:rsidRPr="00326E55">
              <w:rPr>
                <w:noProof/>
                <w:spacing w:val="-6"/>
                <w:lang w:val="sk-SK"/>
              </w:rPr>
              <w:t>Investícia 5.1: Obnoviteľné zdroje energie</w:t>
            </w:r>
            <w:r w:rsidR="00326E55" w:rsidRPr="00326E55">
              <w:rPr>
                <w:noProof/>
                <w:spacing w:val="-6"/>
                <w:lang w:val="sk-SK"/>
              </w:rPr>
              <w:t xml:space="preserve"> a </w:t>
            </w:r>
            <w:r w:rsidRPr="00326E55">
              <w:rPr>
                <w:noProof/>
                <w:spacing w:val="-6"/>
                <w:lang w:val="sk-SK"/>
              </w:rPr>
              <w:t>batérie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70F0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D93EBA"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ministerskej vyhlášky</w:t>
            </w:r>
          </w:p>
        </w:tc>
        <w:tc>
          <w:tcPr>
            <w:tcW w:w="236" w:type="dxa"/>
            <w:tcBorders>
              <w:top w:val="nil"/>
              <w:left w:val="single" w:sz="4" w:space="0" w:color="auto"/>
              <w:bottom w:val="nil"/>
              <w:right w:val="nil"/>
            </w:tcBorders>
            <w:vAlign w:val="center"/>
          </w:tcPr>
          <w:p w14:paraId="4B4816DF"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45B2C6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E814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6602F4"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5.4: </w:t>
            </w:r>
            <w:r w:rsidRPr="00326E55">
              <w:rPr>
                <w:noProof/>
                <w:spacing w:val="-6"/>
                <w:lang w:val="sk-SK"/>
              </w:rPr>
              <w:t>Kapitálová injekcia do Fondu pre zelenú transformáciu (ďalej len „GTF“)</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8C2FC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1260FA" w14:textId="77777777" w:rsidR="00BF03AA" w:rsidRPr="00326E55" w:rsidRDefault="00FB452D">
            <w:pPr>
              <w:pStyle w:val="P68B1DB1-Normal121"/>
              <w:spacing w:after="0" w:line="240" w:lineRule="auto"/>
              <w:rPr>
                <w:noProof/>
                <w:spacing w:val="-6"/>
                <w:lang w:val="sk-SK"/>
              </w:rPr>
            </w:pPr>
            <w:r w:rsidRPr="00326E55">
              <w:rPr>
                <w:noProof/>
                <w:spacing w:val="-6"/>
                <w:lang w:val="sk-SK"/>
              </w:rPr>
              <w:t>Podpísanie finančnej dohody</w:t>
            </w:r>
          </w:p>
        </w:tc>
        <w:tc>
          <w:tcPr>
            <w:tcW w:w="236" w:type="dxa"/>
            <w:tcBorders>
              <w:top w:val="nil"/>
              <w:left w:val="single" w:sz="4" w:space="0" w:color="auto"/>
              <w:bottom w:val="nil"/>
              <w:right w:val="nil"/>
            </w:tcBorders>
            <w:vAlign w:val="center"/>
          </w:tcPr>
          <w:p w14:paraId="3C1F35AE"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731D941D"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C33D3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11347C" w14:textId="12947AC1" w:rsidR="00BF03AA" w:rsidRPr="00326E55" w:rsidRDefault="00FB452D">
            <w:pPr>
              <w:pStyle w:val="P68B1DB1-Normal121"/>
              <w:spacing w:after="0" w:line="240" w:lineRule="auto"/>
              <w:rPr>
                <w:noProof/>
                <w:spacing w:val="-6"/>
                <w:lang w:val="sk-SK"/>
              </w:rPr>
            </w:pPr>
            <w:r w:rsidRPr="00326E55">
              <w:rPr>
                <w:noProof/>
                <w:spacing w:val="-6"/>
                <w:lang w:val="sk-SK"/>
              </w:rPr>
              <w:t>Reforma 1.1: Zjednodušenie</w:t>
            </w:r>
            <w:r w:rsidR="00326E55" w:rsidRPr="00326E55">
              <w:rPr>
                <w:noProof/>
                <w:spacing w:val="-6"/>
                <w:lang w:val="sk-SK"/>
              </w:rPr>
              <w:t xml:space="preserve"> a </w:t>
            </w:r>
            <w:r w:rsidRPr="00326E55">
              <w:rPr>
                <w:noProof/>
                <w:spacing w:val="-6"/>
                <w:lang w:val="sk-SK"/>
              </w:rPr>
              <w:t>urýchlenie postupov pre intervencie</w:t>
            </w:r>
            <w:r w:rsidR="00326E55" w:rsidRPr="00326E55">
              <w:rPr>
                <w:noProof/>
                <w:spacing w:val="-6"/>
                <w:lang w:val="sk-SK"/>
              </w:rPr>
              <w:t xml:space="preserve"> v </w:t>
            </w:r>
            <w:r w:rsidRPr="00326E55">
              <w:rPr>
                <w:noProof/>
                <w:spacing w:val="-6"/>
                <w:lang w:val="sk-SK"/>
              </w:rPr>
              <w:t>oblasti energetickej efektívnosti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17656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99A031" w14:textId="62FD6E74" w:rsidR="00BF03AA" w:rsidRPr="00326E55" w:rsidRDefault="00FB452D">
            <w:pPr>
              <w:pStyle w:val="P68B1DB1-Normal121"/>
              <w:spacing w:after="0" w:line="240" w:lineRule="auto"/>
              <w:rPr>
                <w:noProof/>
                <w:spacing w:val="-6"/>
                <w:lang w:val="sk-SK"/>
              </w:rPr>
            </w:pPr>
            <w:r w:rsidRPr="00326E55">
              <w:rPr>
                <w:noProof/>
                <w:spacing w:val="-6"/>
                <w:lang w:val="sk-SK"/>
              </w:rPr>
              <w:t>Zjednodušenie</w:t>
            </w:r>
            <w:r w:rsidR="00326E55" w:rsidRPr="00326E55">
              <w:rPr>
                <w:noProof/>
                <w:spacing w:val="-6"/>
                <w:lang w:val="sk-SK"/>
              </w:rPr>
              <w:t xml:space="preserve"> a </w:t>
            </w:r>
            <w:r w:rsidRPr="00326E55">
              <w:rPr>
                <w:noProof/>
                <w:spacing w:val="-6"/>
                <w:lang w:val="sk-SK"/>
              </w:rPr>
              <w:t>urýchlenie pos</w:t>
            </w:r>
            <w:r w:rsidRPr="00326E55">
              <w:rPr>
                <w:noProof/>
                <w:spacing w:val="-6"/>
                <w:lang w:val="sk-SK"/>
              </w:rPr>
              <w:t>tupov pre intervencie</w:t>
            </w:r>
            <w:r w:rsidR="00326E55" w:rsidRPr="00326E55">
              <w:rPr>
                <w:noProof/>
                <w:spacing w:val="-6"/>
                <w:lang w:val="sk-SK"/>
              </w:rPr>
              <w:t xml:space="preserve"> v </w:t>
            </w:r>
            <w:r w:rsidRPr="00326E55">
              <w:rPr>
                <w:noProof/>
                <w:spacing w:val="-6"/>
                <w:lang w:val="sk-SK"/>
              </w:rPr>
              <w:t>oblasti energetickej efektívnosti</w:t>
            </w:r>
          </w:p>
        </w:tc>
        <w:tc>
          <w:tcPr>
            <w:tcW w:w="236" w:type="dxa"/>
            <w:tcBorders>
              <w:top w:val="nil"/>
              <w:left w:val="single" w:sz="4" w:space="0" w:color="auto"/>
              <w:bottom w:val="nil"/>
              <w:right w:val="nil"/>
            </w:tcBorders>
            <w:vAlign w:val="center"/>
          </w:tcPr>
          <w:p w14:paraId="0CA3631A"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E0D8DA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C81B2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C6F333" w14:textId="5BC74650" w:rsidR="00BF03AA" w:rsidRPr="00326E55" w:rsidRDefault="00FB452D">
            <w:pPr>
              <w:pStyle w:val="P68B1DB1-Normal121"/>
              <w:spacing w:after="0" w:line="240" w:lineRule="auto"/>
              <w:rPr>
                <w:noProof/>
                <w:spacing w:val="-6"/>
                <w:lang w:val="sk-SK"/>
              </w:rPr>
            </w:pPr>
            <w:r w:rsidRPr="00326E55">
              <w:rPr>
                <w:noProof/>
                <w:spacing w:val="-6"/>
                <w:lang w:val="sk-SK"/>
              </w:rPr>
              <w:t>Reforma 2.1. Zjednodušenie</w:t>
            </w:r>
            <w:r w:rsidR="00326E55" w:rsidRPr="00326E55">
              <w:rPr>
                <w:noProof/>
                <w:spacing w:val="-6"/>
                <w:lang w:val="sk-SK"/>
              </w:rPr>
              <w:t xml:space="preserve"> a </w:t>
            </w:r>
            <w:r w:rsidRPr="00326E55">
              <w:rPr>
                <w:noProof/>
                <w:spacing w:val="-6"/>
                <w:lang w:val="sk-SK"/>
              </w:rPr>
              <w:t>urýchlenie postupov vykonávania intervencií proti hydrogeologickej nestabilite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6CB64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9AB2D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zjednodušenia právneho rámca pre lepšie riadenie </w:t>
            </w:r>
            <w:r w:rsidRPr="00326E55">
              <w:rPr>
                <w:noProof/>
                <w:spacing w:val="-6"/>
                <w:lang w:val="sk-SK"/>
              </w:rPr>
              <w:t>hydrologických rizík</w:t>
            </w:r>
          </w:p>
        </w:tc>
        <w:tc>
          <w:tcPr>
            <w:tcW w:w="236" w:type="dxa"/>
            <w:tcBorders>
              <w:top w:val="nil"/>
              <w:left w:val="single" w:sz="4" w:space="0" w:color="auto"/>
              <w:bottom w:val="nil"/>
              <w:right w:val="nil"/>
            </w:tcBorders>
            <w:vAlign w:val="center"/>
          </w:tcPr>
          <w:p w14:paraId="40CAC5A8"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7E60F803"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01294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992CD6"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4.2 „Opatrenia na zabezpečenie plných riadiacich kapacít pre integrované vodohospodárske služby“</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59CF6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759A94" w14:textId="13F9D348"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nového právneho rámca pre účely zavlažovania</w:t>
            </w:r>
          </w:p>
        </w:tc>
        <w:tc>
          <w:tcPr>
            <w:tcW w:w="236" w:type="dxa"/>
            <w:tcBorders>
              <w:top w:val="nil"/>
              <w:left w:val="single" w:sz="4" w:space="0" w:color="auto"/>
              <w:bottom w:val="nil"/>
              <w:right w:val="nil"/>
            </w:tcBorders>
            <w:vAlign w:val="center"/>
          </w:tcPr>
          <w:p w14:paraId="2DB7C72E"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C58E2E0"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17962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E85B2A"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2.1: Nábor učiteľov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FE43E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7FF977"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reformy učiteľského povolania.</w:t>
            </w:r>
          </w:p>
        </w:tc>
        <w:tc>
          <w:tcPr>
            <w:tcW w:w="236" w:type="dxa"/>
            <w:tcBorders>
              <w:top w:val="nil"/>
              <w:left w:val="single" w:sz="4" w:space="0" w:color="auto"/>
              <w:bottom w:val="nil"/>
              <w:right w:val="nil"/>
            </w:tcBorders>
            <w:vAlign w:val="center"/>
          </w:tcPr>
          <w:p w14:paraId="3D92306F"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C29255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0468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3BB168" w14:textId="0E140173" w:rsidR="00BF03AA" w:rsidRPr="00326E55" w:rsidRDefault="00FB452D">
            <w:pPr>
              <w:pStyle w:val="P68B1DB1-Normal121"/>
              <w:spacing w:after="0" w:line="240" w:lineRule="auto"/>
              <w:rPr>
                <w:noProof/>
                <w:spacing w:val="-6"/>
                <w:lang w:val="sk-SK"/>
              </w:rPr>
            </w:pPr>
            <w:r w:rsidRPr="00326E55">
              <w:rPr>
                <w:noProof/>
                <w:spacing w:val="-6"/>
                <w:lang w:val="sk-SK"/>
              </w:rPr>
              <w:t>Investícia 3.2: Škola 4.0: inovačné školy, elektroinštalácie, nové triedy</w:t>
            </w:r>
            <w:r w:rsidR="00326E55" w:rsidRPr="00326E55">
              <w:rPr>
                <w:noProof/>
                <w:spacing w:val="-6"/>
                <w:lang w:val="sk-SK"/>
              </w:rPr>
              <w:t xml:space="preserve"> a </w:t>
            </w:r>
            <w:r w:rsidRPr="00326E55">
              <w:rPr>
                <w:noProof/>
                <w:spacing w:val="-6"/>
                <w:lang w:val="sk-SK"/>
              </w:rPr>
              <w:t>semináre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11CF4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49B13B" w14:textId="77777777" w:rsidR="00BF03AA" w:rsidRPr="00326E55" w:rsidRDefault="00FB452D">
            <w:pPr>
              <w:pStyle w:val="P68B1DB1-Normal121"/>
              <w:spacing w:after="0" w:line="240" w:lineRule="auto"/>
              <w:rPr>
                <w:noProof/>
                <w:spacing w:val="-6"/>
                <w:lang w:val="sk-SK"/>
              </w:rPr>
            </w:pPr>
            <w:r w:rsidRPr="00326E55">
              <w:rPr>
                <w:noProof/>
                <w:spacing w:val="-6"/>
                <w:lang w:val="sk-SK"/>
              </w:rPr>
              <w:t>Prijíma sa plán školy 4.0 na podporu digitálnej transformácie talianskeho školského systému</w:t>
            </w:r>
          </w:p>
        </w:tc>
        <w:tc>
          <w:tcPr>
            <w:tcW w:w="236" w:type="dxa"/>
            <w:tcBorders>
              <w:top w:val="nil"/>
              <w:left w:val="single" w:sz="4" w:space="0" w:color="auto"/>
              <w:bottom w:val="nil"/>
              <w:right w:val="nil"/>
            </w:tcBorders>
            <w:vAlign w:val="center"/>
          </w:tcPr>
          <w:p w14:paraId="5621077D"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78CE38FF"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18A802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623FB1" w14:textId="4FF9623C" w:rsidR="00BF03AA" w:rsidRPr="00326E55" w:rsidRDefault="00FB452D">
            <w:pPr>
              <w:pStyle w:val="P68B1DB1-Normal121"/>
              <w:spacing w:after="0" w:line="240" w:lineRule="auto"/>
              <w:rPr>
                <w:noProof/>
                <w:spacing w:val="-6"/>
                <w:lang w:val="sk-SK"/>
              </w:rPr>
            </w:pPr>
            <w:r w:rsidRPr="00326E55">
              <w:rPr>
                <w:noProof/>
                <w:spacing w:val="-6"/>
                <w:lang w:val="sk-SK"/>
              </w:rPr>
              <w:t>Reforma 1.1: Vykonávanie opatrení na podporu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s </w:t>
            </w:r>
            <w:r w:rsidRPr="00326E55">
              <w:rPr>
                <w:noProof/>
                <w:spacing w:val="-6"/>
                <w:lang w:val="sk-SK"/>
              </w:rPr>
              <w:t>cieľom podporiť zjednodušenie</w:t>
            </w:r>
            <w:r w:rsidR="00326E55" w:rsidRPr="00326E55">
              <w:rPr>
                <w:noProof/>
                <w:spacing w:val="-6"/>
                <w:lang w:val="sk-SK"/>
              </w:rPr>
              <w:t xml:space="preserve"> a </w:t>
            </w:r>
            <w:r w:rsidRPr="00326E55">
              <w:rPr>
                <w:noProof/>
                <w:spacing w:val="-6"/>
                <w:lang w:val="sk-SK"/>
              </w:rPr>
              <w:t>mobilitu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322AA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9A980A" w14:textId="61CB268C"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ministerských vyhlášok</w:t>
            </w:r>
            <w:r w:rsidR="00326E55" w:rsidRPr="00326E55">
              <w:rPr>
                <w:noProof/>
                <w:spacing w:val="-6"/>
                <w:lang w:val="sk-SK"/>
              </w:rPr>
              <w:t xml:space="preserve"> o </w:t>
            </w:r>
            <w:r w:rsidRPr="00326E55">
              <w:rPr>
                <w:noProof/>
                <w:spacing w:val="-6"/>
                <w:lang w:val="sk-SK"/>
              </w:rPr>
              <w:t>zjednodušení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a </w:t>
            </w:r>
            <w:r w:rsidRPr="00326E55">
              <w:rPr>
                <w:noProof/>
                <w:spacing w:val="-6"/>
                <w:lang w:val="sk-SK"/>
              </w:rPr>
              <w:t>mobilite spojených</w:t>
            </w:r>
            <w:r w:rsidR="00326E55" w:rsidRPr="00326E55">
              <w:rPr>
                <w:noProof/>
                <w:spacing w:val="-6"/>
                <w:lang w:val="sk-SK"/>
              </w:rPr>
              <w:t xml:space="preserve"> s </w:t>
            </w:r>
            <w:r w:rsidRPr="00326E55">
              <w:rPr>
                <w:noProof/>
                <w:spacing w:val="-6"/>
                <w:lang w:val="sk-SK"/>
              </w:rPr>
              <w:t>bežným finančným fondom.</w:t>
            </w:r>
          </w:p>
        </w:tc>
        <w:tc>
          <w:tcPr>
            <w:tcW w:w="236" w:type="dxa"/>
            <w:tcBorders>
              <w:top w:val="nil"/>
              <w:left w:val="single" w:sz="4" w:space="0" w:color="auto"/>
              <w:bottom w:val="nil"/>
              <w:right w:val="nil"/>
            </w:tcBorders>
            <w:vAlign w:val="center"/>
          </w:tcPr>
          <w:p w14:paraId="79C795E4"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657681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6D8181"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60DF6D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C4AE0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54A399"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11494252874 EUR</w:t>
            </w:r>
            <w:r w:rsidRPr="00326E55">
              <w:rPr>
                <w:noProof/>
                <w:spacing w:val="-6"/>
                <w:sz w:val="23"/>
                <w:szCs w:val="23"/>
                <w:lang w:val="sk-SK"/>
              </w:rPr>
              <w:t xml:space="preserve">  </w:t>
            </w:r>
            <w:r w:rsidRPr="00326E55">
              <w:rPr>
                <w:noProof/>
                <w:color w:val="006100"/>
                <w:spacing w:val="-6"/>
                <w:sz w:val="20"/>
                <w:szCs w:val="20"/>
                <w:lang w:val="sk-SK"/>
              </w:rPr>
              <w:t xml:space="preserve"> </w:t>
            </w:r>
          </w:p>
        </w:tc>
        <w:tc>
          <w:tcPr>
            <w:tcW w:w="236" w:type="dxa"/>
            <w:tcBorders>
              <w:top w:val="nil"/>
              <w:left w:val="single" w:sz="4" w:space="0" w:color="auto"/>
              <w:bottom w:val="nil"/>
              <w:right w:val="nil"/>
            </w:tcBorders>
            <w:vAlign w:val="center"/>
          </w:tcPr>
          <w:p w14:paraId="1E14FDC0"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bl>
    <w:p w14:paraId="301584A3" w14:textId="77777777" w:rsidR="00326E55" w:rsidRPr="00326E55" w:rsidRDefault="00326E55">
      <w:pPr>
        <w:pStyle w:val="P68B1DB1-Normal8"/>
        <w:spacing w:after="0" w:line="257" w:lineRule="auto"/>
        <w:rPr>
          <w:noProof/>
          <w:spacing w:val="-6"/>
          <w:lang w:val="sk-SK"/>
        </w:rPr>
      </w:pPr>
    </w:p>
    <w:p w14:paraId="78AFC1E2" w14:textId="77777777" w:rsidR="00BF03AA" w:rsidRPr="00326E55" w:rsidRDefault="00FB452D">
      <w:pPr>
        <w:pStyle w:val="P68B1DB1-Normal8"/>
        <w:rPr>
          <w:noProof/>
          <w:spacing w:val="-6"/>
          <w:lang w:val="sk-SK"/>
        </w:rPr>
      </w:pPr>
      <w:r w:rsidRPr="00326E55">
        <w:rPr>
          <w:noProof/>
          <w:spacing w:val="-6"/>
          <w:lang w:val="sk-SK"/>
        </w:rPr>
        <w:br w:type="page"/>
      </w:r>
    </w:p>
    <w:p w14:paraId="09ADE68E"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Tretia splátka (nenávratná podpora):</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3541"/>
        <w:gridCol w:w="1260"/>
        <w:gridCol w:w="3162"/>
      </w:tblGrid>
      <w:tr w:rsidR="00BF03AA" w:rsidRPr="00326E55" w14:paraId="57DB9CC8" w14:textId="77777777">
        <w:trPr>
          <w:trHeight w:val="900"/>
          <w:tblHeader/>
        </w:trPr>
        <w:tc>
          <w:tcPr>
            <w:tcW w:w="1395" w:type="dxa"/>
            <w:vMerge w:val="restart"/>
            <w:shd w:val="clear" w:color="auto" w:fill="BDD7EE"/>
            <w:tcMar>
              <w:left w:w="108" w:type="dxa"/>
              <w:right w:w="108" w:type="dxa"/>
            </w:tcMar>
            <w:vAlign w:val="center"/>
          </w:tcPr>
          <w:p w14:paraId="6F728BE8"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541" w:type="dxa"/>
            <w:vMerge w:val="restart"/>
            <w:shd w:val="clear" w:color="auto" w:fill="BDD7EE"/>
            <w:tcMar>
              <w:left w:w="108" w:type="dxa"/>
              <w:right w:w="108" w:type="dxa"/>
            </w:tcMar>
            <w:vAlign w:val="center"/>
          </w:tcPr>
          <w:p w14:paraId="186E3793"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60" w:type="dxa"/>
            <w:vMerge w:val="restart"/>
            <w:shd w:val="clear" w:color="auto" w:fill="BDD7EE"/>
            <w:tcMar>
              <w:left w:w="108" w:type="dxa"/>
              <w:right w:w="108" w:type="dxa"/>
            </w:tcMar>
            <w:vAlign w:val="center"/>
          </w:tcPr>
          <w:p w14:paraId="5756B248"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162" w:type="dxa"/>
            <w:vMerge w:val="restart"/>
            <w:shd w:val="clear" w:color="auto" w:fill="BDD7EE"/>
            <w:tcMar>
              <w:left w:w="108" w:type="dxa"/>
              <w:right w:w="108" w:type="dxa"/>
            </w:tcMar>
            <w:vAlign w:val="center"/>
          </w:tcPr>
          <w:p w14:paraId="3402509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2CBD1B8E" w14:textId="77777777">
        <w:trPr>
          <w:trHeight w:val="510"/>
        </w:trPr>
        <w:tc>
          <w:tcPr>
            <w:tcW w:w="1395" w:type="dxa"/>
            <w:vMerge/>
            <w:vAlign w:val="center"/>
          </w:tcPr>
          <w:p w14:paraId="1F1A8744"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1" w:type="dxa"/>
            <w:vMerge/>
            <w:vAlign w:val="center"/>
          </w:tcPr>
          <w:p w14:paraId="57C3F0AD"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60" w:type="dxa"/>
            <w:vMerge/>
            <w:vAlign w:val="center"/>
          </w:tcPr>
          <w:p w14:paraId="12F506CD"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162" w:type="dxa"/>
            <w:vMerge/>
            <w:vAlign w:val="center"/>
          </w:tcPr>
          <w:p w14:paraId="5D1293CE"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6EDFC83D" w14:textId="77777777">
        <w:trPr>
          <w:trHeight w:val="300"/>
        </w:trPr>
        <w:tc>
          <w:tcPr>
            <w:tcW w:w="1395" w:type="dxa"/>
            <w:shd w:val="clear" w:color="auto" w:fill="C6EFCE"/>
            <w:tcMar>
              <w:left w:w="108" w:type="dxa"/>
              <w:right w:w="108" w:type="dxa"/>
            </w:tcMar>
            <w:vAlign w:val="center"/>
          </w:tcPr>
          <w:p w14:paraId="6DD6E8A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w:t>
            </w:r>
          </w:p>
        </w:tc>
        <w:tc>
          <w:tcPr>
            <w:tcW w:w="3541" w:type="dxa"/>
            <w:shd w:val="clear" w:color="auto" w:fill="C6EFCE"/>
            <w:tcMar>
              <w:left w:w="108" w:type="dxa"/>
              <w:right w:w="108" w:type="dxa"/>
            </w:tcMar>
            <w:vAlign w:val="center"/>
          </w:tcPr>
          <w:p w14:paraId="68A764B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4.2 „Opatrenia na zabezpečenie plných riadiacich kapacít pre integrované </w:t>
            </w:r>
            <w:r w:rsidRPr="00326E55">
              <w:rPr>
                <w:noProof/>
                <w:spacing w:val="-6"/>
                <w:lang w:val="sk-SK"/>
              </w:rPr>
              <w:t>vodohospodárske služby“</w:t>
            </w:r>
          </w:p>
        </w:tc>
        <w:tc>
          <w:tcPr>
            <w:tcW w:w="1260" w:type="dxa"/>
            <w:shd w:val="clear" w:color="auto" w:fill="C6EFCE"/>
            <w:tcMar>
              <w:left w:w="108" w:type="dxa"/>
              <w:right w:w="108" w:type="dxa"/>
            </w:tcMar>
            <w:vAlign w:val="center"/>
          </w:tcPr>
          <w:p w14:paraId="78CFC6F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5611406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reformy na zabezpečenie plných riadiacich kapacít pre integrované vodohospodárske služby </w:t>
            </w:r>
          </w:p>
        </w:tc>
      </w:tr>
      <w:tr w:rsidR="00BF03AA" w:rsidRPr="00326E55" w14:paraId="767AE098" w14:textId="77777777">
        <w:trPr>
          <w:trHeight w:val="300"/>
        </w:trPr>
        <w:tc>
          <w:tcPr>
            <w:tcW w:w="1395" w:type="dxa"/>
            <w:shd w:val="clear" w:color="auto" w:fill="C6EFCE"/>
            <w:tcMar>
              <w:left w:w="108" w:type="dxa"/>
              <w:right w:w="108" w:type="dxa"/>
            </w:tcMar>
            <w:vAlign w:val="center"/>
          </w:tcPr>
          <w:p w14:paraId="1A11C7C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w:t>
            </w:r>
          </w:p>
        </w:tc>
        <w:tc>
          <w:tcPr>
            <w:tcW w:w="3541" w:type="dxa"/>
            <w:shd w:val="clear" w:color="auto" w:fill="C6EFCE"/>
            <w:tcMar>
              <w:left w:w="108" w:type="dxa"/>
              <w:right w:w="108" w:type="dxa"/>
            </w:tcMar>
            <w:vAlign w:val="center"/>
          </w:tcPr>
          <w:p w14:paraId="372A857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1.1: Digitálna infraštruktúra</w:t>
            </w:r>
          </w:p>
        </w:tc>
        <w:tc>
          <w:tcPr>
            <w:tcW w:w="1260" w:type="dxa"/>
            <w:shd w:val="clear" w:color="auto" w:fill="C6EFCE"/>
            <w:tcMar>
              <w:left w:w="108" w:type="dxa"/>
              <w:right w:w="108" w:type="dxa"/>
            </w:tcMar>
            <w:vAlign w:val="center"/>
          </w:tcPr>
          <w:p w14:paraId="75502F4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203398D5" w14:textId="77777777" w:rsidR="00BF03AA" w:rsidRPr="00326E55" w:rsidRDefault="00FB452D">
            <w:pPr>
              <w:pStyle w:val="P68B1DB1-Normal121"/>
              <w:spacing w:after="0" w:line="240" w:lineRule="auto"/>
              <w:rPr>
                <w:noProof/>
                <w:spacing w:val="-6"/>
                <w:lang w:val="sk-SK"/>
              </w:rPr>
            </w:pPr>
            <w:r w:rsidRPr="00326E55">
              <w:rPr>
                <w:noProof/>
                <w:spacing w:val="-6"/>
                <w:lang w:val="sk-SK"/>
              </w:rPr>
              <w:t>Dokončenie Polo Strategico Nazionale (PSN)</w:t>
            </w:r>
          </w:p>
        </w:tc>
      </w:tr>
      <w:tr w:rsidR="00BF03AA" w:rsidRPr="00326E55" w14:paraId="2AA5AB97" w14:textId="77777777">
        <w:trPr>
          <w:trHeight w:val="300"/>
        </w:trPr>
        <w:tc>
          <w:tcPr>
            <w:tcW w:w="1395" w:type="dxa"/>
            <w:shd w:val="clear" w:color="auto" w:fill="C6EFCE"/>
            <w:tcMar>
              <w:left w:w="108" w:type="dxa"/>
              <w:right w:w="108" w:type="dxa"/>
            </w:tcMar>
            <w:vAlign w:val="center"/>
          </w:tcPr>
          <w:p w14:paraId="6307106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w:t>
            </w:r>
          </w:p>
        </w:tc>
        <w:tc>
          <w:tcPr>
            <w:tcW w:w="3541" w:type="dxa"/>
            <w:shd w:val="clear" w:color="auto" w:fill="C6EFCE"/>
            <w:tcMar>
              <w:left w:w="108" w:type="dxa"/>
              <w:right w:w="108" w:type="dxa"/>
            </w:tcMar>
            <w:vAlign w:val="center"/>
          </w:tcPr>
          <w:p w14:paraId="210DB39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1.3.1: Vnútroštátna platforma digitálnych údajov</w:t>
            </w:r>
          </w:p>
        </w:tc>
        <w:tc>
          <w:tcPr>
            <w:tcW w:w="1260" w:type="dxa"/>
            <w:shd w:val="clear" w:color="auto" w:fill="C6EFCE"/>
            <w:tcMar>
              <w:left w:w="108" w:type="dxa"/>
              <w:right w:w="108" w:type="dxa"/>
            </w:tcMar>
            <w:vAlign w:val="center"/>
          </w:tcPr>
          <w:p w14:paraId="25B0403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759D3275" w14:textId="77777777" w:rsidR="00BF03AA" w:rsidRPr="00326E55" w:rsidRDefault="00FB452D">
            <w:pPr>
              <w:pStyle w:val="P68B1DB1-Normal121"/>
              <w:spacing w:after="0" w:line="240" w:lineRule="auto"/>
              <w:rPr>
                <w:noProof/>
                <w:spacing w:val="-6"/>
                <w:lang w:val="sk-SK"/>
              </w:rPr>
            </w:pPr>
            <w:r w:rsidRPr="00326E55">
              <w:rPr>
                <w:noProof/>
                <w:spacing w:val="-6"/>
                <w:lang w:val="sk-SK"/>
              </w:rPr>
              <w:t>Prevádzkyschopnosť vnútroštátnej platformy digitálnych údajov</w:t>
            </w:r>
          </w:p>
        </w:tc>
      </w:tr>
      <w:tr w:rsidR="00BF03AA" w:rsidRPr="00326E55" w14:paraId="16127E76" w14:textId="77777777">
        <w:trPr>
          <w:trHeight w:val="300"/>
        </w:trPr>
        <w:tc>
          <w:tcPr>
            <w:tcW w:w="1395" w:type="dxa"/>
            <w:shd w:val="clear" w:color="auto" w:fill="C6EFCE"/>
            <w:tcMar>
              <w:left w:w="108" w:type="dxa"/>
              <w:right w:w="108" w:type="dxa"/>
            </w:tcMar>
            <w:vAlign w:val="center"/>
          </w:tcPr>
          <w:p w14:paraId="30B487B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w:t>
            </w:r>
          </w:p>
        </w:tc>
        <w:tc>
          <w:tcPr>
            <w:tcW w:w="3541" w:type="dxa"/>
            <w:shd w:val="clear" w:color="auto" w:fill="C6EFCE"/>
            <w:tcMar>
              <w:left w:w="108" w:type="dxa"/>
              <w:right w:w="108" w:type="dxa"/>
            </w:tcMar>
            <w:vAlign w:val="center"/>
          </w:tcPr>
          <w:p w14:paraId="18C7326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Kybernetická bezpečnosť</w:t>
            </w:r>
          </w:p>
        </w:tc>
        <w:tc>
          <w:tcPr>
            <w:tcW w:w="1260" w:type="dxa"/>
            <w:shd w:val="clear" w:color="auto" w:fill="C6EFCE"/>
            <w:tcMar>
              <w:left w:w="108" w:type="dxa"/>
              <w:right w:w="108" w:type="dxa"/>
            </w:tcMar>
            <w:vAlign w:val="center"/>
          </w:tcPr>
          <w:p w14:paraId="2CE45DE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4FF21B6A" w14:textId="77777777" w:rsidR="00BF03AA" w:rsidRPr="00326E55" w:rsidRDefault="00FB452D">
            <w:pPr>
              <w:pStyle w:val="P68B1DB1-Normal121"/>
              <w:spacing w:after="0" w:line="240" w:lineRule="auto"/>
              <w:rPr>
                <w:noProof/>
                <w:spacing w:val="-6"/>
                <w:lang w:val="sk-SK"/>
              </w:rPr>
            </w:pPr>
            <w:r w:rsidRPr="00326E55">
              <w:rPr>
                <w:noProof/>
                <w:spacing w:val="-6"/>
                <w:lang w:val="sk-SK"/>
              </w:rPr>
              <w:t>Vytvorenie novej Národnej agentúry pre kybernetickú bezpečnosť</w:t>
            </w:r>
          </w:p>
        </w:tc>
      </w:tr>
      <w:tr w:rsidR="00BF03AA" w:rsidRPr="00326E55" w14:paraId="15A55E7F" w14:textId="77777777">
        <w:trPr>
          <w:trHeight w:val="300"/>
        </w:trPr>
        <w:tc>
          <w:tcPr>
            <w:tcW w:w="1395" w:type="dxa"/>
            <w:shd w:val="clear" w:color="auto" w:fill="C6EFCE"/>
            <w:tcMar>
              <w:left w:w="108" w:type="dxa"/>
              <w:right w:w="108" w:type="dxa"/>
            </w:tcMar>
            <w:vAlign w:val="center"/>
          </w:tcPr>
          <w:p w14:paraId="5E8A3D3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w:t>
            </w:r>
            <w:r w:rsidRPr="00326E55">
              <w:rPr>
                <w:noProof/>
                <w:spacing w:val="-6"/>
                <w:lang w:val="sk-SK"/>
              </w:rPr>
              <w:t xml:space="preserve"> 6</w:t>
            </w:r>
          </w:p>
        </w:tc>
        <w:tc>
          <w:tcPr>
            <w:tcW w:w="3541" w:type="dxa"/>
            <w:shd w:val="clear" w:color="auto" w:fill="C6EFCE"/>
            <w:tcMar>
              <w:left w:w="108" w:type="dxa"/>
              <w:right w:w="108" w:type="dxa"/>
            </w:tcMar>
            <w:vAlign w:val="center"/>
          </w:tcPr>
          <w:p w14:paraId="785C858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Kybernetická bezpečnosť</w:t>
            </w:r>
          </w:p>
        </w:tc>
        <w:tc>
          <w:tcPr>
            <w:tcW w:w="1260" w:type="dxa"/>
            <w:shd w:val="clear" w:color="auto" w:fill="C6EFCE"/>
            <w:tcMar>
              <w:left w:w="108" w:type="dxa"/>
              <w:right w:w="108" w:type="dxa"/>
            </w:tcMar>
            <w:vAlign w:val="center"/>
          </w:tcPr>
          <w:p w14:paraId="107C997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17182DE5" w14:textId="77777777" w:rsidR="00BF03AA" w:rsidRPr="00326E55" w:rsidRDefault="00FB452D">
            <w:pPr>
              <w:pStyle w:val="P68B1DB1-Normal121"/>
              <w:spacing w:after="0" w:line="240" w:lineRule="auto"/>
              <w:rPr>
                <w:noProof/>
                <w:spacing w:val="-6"/>
                <w:lang w:val="sk-SK"/>
              </w:rPr>
            </w:pPr>
            <w:r w:rsidRPr="00326E55">
              <w:rPr>
                <w:noProof/>
                <w:spacing w:val="-6"/>
                <w:lang w:val="sk-SK"/>
              </w:rPr>
              <w:t>Počiatočné zavedenie vnútroštátnych služieb kybernetickej bezpečnosti</w:t>
            </w:r>
          </w:p>
        </w:tc>
      </w:tr>
      <w:tr w:rsidR="00BF03AA" w:rsidRPr="00326E55" w14:paraId="09DC204A" w14:textId="77777777">
        <w:trPr>
          <w:trHeight w:val="300"/>
        </w:trPr>
        <w:tc>
          <w:tcPr>
            <w:tcW w:w="1395" w:type="dxa"/>
            <w:shd w:val="clear" w:color="auto" w:fill="C6EFCE"/>
            <w:tcMar>
              <w:left w:w="108" w:type="dxa"/>
              <w:right w:w="108" w:type="dxa"/>
            </w:tcMar>
            <w:vAlign w:val="center"/>
          </w:tcPr>
          <w:p w14:paraId="0426D96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w:t>
            </w:r>
          </w:p>
        </w:tc>
        <w:tc>
          <w:tcPr>
            <w:tcW w:w="3541" w:type="dxa"/>
            <w:shd w:val="clear" w:color="auto" w:fill="C6EFCE"/>
            <w:tcMar>
              <w:left w:w="108" w:type="dxa"/>
              <w:right w:w="108" w:type="dxa"/>
            </w:tcMar>
            <w:vAlign w:val="center"/>
          </w:tcPr>
          <w:p w14:paraId="616DE3E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Kybernetická bezpečnosť</w:t>
            </w:r>
          </w:p>
        </w:tc>
        <w:tc>
          <w:tcPr>
            <w:tcW w:w="1260" w:type="dxa"/>
            <w:shd w:val="clear" w:color="auto" w:fill="C6EFCE"/>
            <w:tcMar>
              <w:left w:w="108" w:type="dxa"/>
              <w:right w:w="108" w:type="dxa"/>
            </w:tcMar>
            <w:vAlign w:val="center"/>
          </w:tcPr>
          <w:p w14:paraId="4FCE1A2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30CED55D" w14:textId="1C6F5C8F" w:rsidR="00BF03AA" w:rsidRPr="00326E55" w:rsidRDefault="00FB452D">
            <w:pPr>
              <w:pStyle w:val="P68B1DB1-Normal121"/>
              <w:spacing w:after="0" w:line="240" w:lineRule="auto"/>
              <w:rPr>
                <w:noProof/>
                <w:spacing w:val="-6"/>
                <w:lang w:val="sk-SK"/>
              </w:rPr>
            </w:pPr>
            <w:r w:rsidRPr="00326E55">
              <w:rPr>
                <w:noProof/>
                <w:spacing w:val="-6"/>
                <w:lang w:val="sk-SK"/>
              </w:rPr>
              <w:t>Spustenie siete laboratórií na preverovanie</w:t>
            </w:r>
            <w:r w:rsidR="00326E55" w:rsidRPr="00326E55">
              <w:rPr>
                <w:noProof/>
                <w:spacing w:val="-6"/>
                <w:lang w:val="sk-SK"/>
              </w:rPr>
              <w:t xml:space="preserve"> a </w:t>
            </w:r>
            <w:r w:rsidRPr="00326E55">
              <w:rPr>
                <w:noProof/>
                <w:spacing w:val="-6"/>
                <w:lang w:val="sk-SK"/>
              </w:rPr>
              <w:t xml:space="preserve">certifikáciu kybernetickej </w:t>
            </w:r>
            <w:r w:rsidRPr="00326E55">
              <w:rPr>
                <w:noProof/>
                <w:spacing w:val="-6"/>
                <w:lang w:val="sk-SK"/>
              </w:rPr>
              <w:t>bezpečnosti</w:t>
            </w:r>
          </w:p>
        </w:tc>
      </w:tr>
      <w:tr w:rsidR="00BF03AA" w:rsidRPr="00326E55" w14:paraId="3F1CDA0B" w14:textId="77777777">
        <w:trPr>
          <w:trHeight w:val="300"/>
        </w:trPr>
        <w:tc>
          <w:tcPr>
            <w:tcW w:w="1395" w:type="dxa"/>
            <w:shd w:val="clear" w:color="auto" w:fill="C6EFCE"/>
            <w:tcMar>
              <w:left w:w="108" w:type="dxa"/>
              <w:right w:w="108" w:type="dxa"/>
            </w:tcMar>
            <w:vAlign w:val="center"/>
          </w:tcPr>
          <w:p w14:paraId="5CCF5FA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8</w:t>
            </w:r>
          </w:p>
        </w:tc>
        <w:tc>
          <w:tcPr>
            <w:tcW w:w="3541" w:type="dxa"/>
            <w:shd w:val="clear" w:color="auto" w:fill="C6EFCE"/>
            <w:tcMar>
              <w:left w:w="108" w:type="dxa"/>
              <w:right w:w="108" w:type="dxa"/>
            </w:tcMar>
            <w:vAlign w:val="center"/>
          </w:tcPr>
          <w:p w14:paraId="1A950F9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Kybernetická bezpečnosť</w:t>
            </w:r>
          </w:p>
        </w:tc>
        <w:tc>
          <w:tcPr>
            <w:tcW w:w="1260" w:type="dxa"/>
            <w:shd w:val="clear" w:color="auto" w:fill="C6EFCE"/>
            <w:tcMar>
              <w:left w:w="108" w:type="dxa"/>
              <w:right w:w="108" w:type="dxa"/>
            </w:tcMar>
            <w:vAlign w:val="center"/>
          </w:tcPr>
          <w:p w14:paraId="6383D4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53856267" w14:textId="3961F6A1" w:rsidR="00BF03AA" w:rsidRPr="00326E55" w:rsidRDefault="00FB452D">
            <w:pPr>
              <w:pStyle w:val="P68B1DB1-Normal121"/>
              <w:spacing w:after="0" w:line="240" w:lineRule="auto"/>
              <w:rPr>
                <w:noProof/>
                <w:spacing w:val="-6"/>
                <w:lang w:val="sk-SK"/>
              </w:rPr>
            </w:pPr>
            <w:r w:rsidRPr="00326E55">
              <w:rPr>
                <w:noProof/>
                <w:spacing w:val="-6"/>
                <w:lang w:val="sk-SK"/>
              </w:rPr>
              <w:t>Aktivácia centrálnej audítorskej jednotky pre bezpečnostné opatrenia PSNC</w:t>
            </w:r>
            <w:r w:rsidR="00326E55" w:rsidRPr="00326E55">
              <w:rPr>
                <w:noProof/>
                <w:spacing w:val="-6"/>
                <w:lang w:val="sk-SK"/>
              </w:rPr>
              <w:t xml:space="preserve"> a </w:t>
            </w:r>
            <w:r w:rsidRPr="00326E55">
              <w:rPr>
                <w:noProof/>
                <w:spacing w:val="-6"/>
                <w:lang w:val="sk-SK"/>
              </w:rPr>
              <w:t>NIS</w:t>
            </w:r>
          </w:p>
        </w:tc>
      </w:tr>
      <w:tr w:rsidR="00BF03AA" w:rsidRPr="00326E55" w14:paraId="71B8AB9C" w14:textId="77777777">
        <w:trPr>
          <w:trHeight w:val="300"/>
        </w:trPr>
        <w:tc>
          <w:tcPr>
            <w:tcW w:w="1395" w:type="dxa"/>
            <w:shd w:val="clear" w:color="auto" w:fill="C6EFCE"/>
            <w:tcMar>
              <w:left w:w="108" w:type="dxa"/>
              <w:right w:w="108" w:type="dxa"/>
            </w:tcMar>
            <w:vAlign w:val="center"/>
          </w:tcPr>
          <w:p w14:paraId="50E59C8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9</w:t>
            </w:r>
          </w:p>
        </w:tc>
        <w:tc>
          <w:tcPr>
            <w:tcW w:w="3541" w:type="dxa"/>
            <w:shd w:val="clear" w:color="auto" w:fill="C6EFCE"/>
            <w:tcMar>
              <w:left w:w="108" w:type="dxa"/>
              <w:right w:w="108" w:type="dxa"/>
            </w:tcMar>
            <w:vAlign w:val="center"/>
          </w:tcPr>
          <w:p w14:paraId="13B3D525"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Kybernetická bezpečnosť</w:t>
            </w:r>
          </w:p>
        </w:tc>
        <w:tc>
          <w:tcPr>
            <w:tcW w:w="1260" w:type="dxa"/>
            <w:shd w:val="clear" w:color="auto" w:fill="C6EFCE"/>
            <w:tcMar>
              <w:left w:w="108" w:type="dxa"/>
              <w:right w:w="108" w:type="dxa"/>
            </w:tcMar>
            <w:vAlign w:val="center"/>
          </w:tcPr>
          <w:p w14:paraId="7504B2F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5051EB32" w14:textId="77777777" w:rsidR="00BF03AA" w:rsidRPr="00326E55" w:rsidRDefault="00FB452D">
            <w:pPr>
              <w:pStyle w:val="P68B1DB1-Normal121"/>
              <w:spacing w:after="0" w:line="240" w:lineRule="auto"/>
              <w:rPr>
                <w:noProof/>
                <w:spacing w:val="-6"/>
                <w:lang w:val="sk-SK"/>
              </w:rPr>
            </w:pPr>
            <w:r w:rsidRPr="00326E55">
              <w:rPr>
                <w:noProof/>
                <w:spacing w:val="-6"/>
                <w:lang w:val="sk-SK"/>
              </w:rPr>
              <w:t>Podpora modernizácie bezpečnostných štruktúr T1</w:t>
            </w:r>
          </w:p>
        </w:tc>
      </w:tr>
      <w:tr w:rsidR="00BF03AA" w:rsidRPr="00326E55" w14:paraId="7951038E" w14:textId="77777777">
        <w:trPr>
          <w:trHeight w:val="300"/>
        </w:trPr>
        <w:tc>
          <w:tcPr>
            <w:tcW w:w="1395" w:type="dxa"/>
            <w:shd w:val="clear" w:color="auto" w:fill="C6EFCE"/>
            <w:tcMar>
              <w:left w:w="108" w:type="dxa"/>
              <w:right w:w="108" w:type="dxa"/>
            </w:tcMar>
            <w:vAlign w:val="center"/>
          </w:tcPr>
          <w:p w14:paraId="549C86B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w:t>
            </w:r>
          </w:p>
        </w:tc>
        <w:tc>
          <w:tcPr>
            <w:tcW w:w="3541" w:type="dxa"/>
            <w:shd w:val="clear" w:color="auto" w:fill="C6EFCE"/>
            <w:tcMar>
              <w:left w:w="108" w:type="dxa"/>
              <w:right w:w="108" w:type="dxa"/>
            </w:tcMar>
            <w:vAlign w:val="center"/>
          </w:tcPr>
          <w:p w14:paraId="13E81A6E"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1.2: Podpora transformácie</w:t>
            </w:r>
          </w:p>
        </w:tc>
        <w:tc>
          <w:tcPr>
            <w:tcW w:w="1260" w:type="dxa"/>
            <w:shd w:val="clear" w:color="auto" w:fill="C6EFCE"/>
            <w:tcMar>
              <w:left w:w="108" w:type="dxa"/>
              <w:right w:w="108" w:type="dxa"/>
            </w:tcMar>
            <w:vAlign w:val="center"/>
          </w:tcPr>
          <w:p w14:paraId="4A4AB78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2F701136" w14:textId="5BB70805"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zriadenia transformačného tímu</w:t>
            </w:r>
            <w:r w:rsidR="00326E55" w:rsidRPr="00326E55">
              <w:rPr>
                <w:noProof/>
                <w:spacing w:val="-6"/>
                <w:lang w:val="sk-SK"/>
              </w:rPr>
              <w:t xml:space="preserve"> a </w:t>
            </w:r>
            <w:r w:rsidRPr="00326E55">
              <w:rPr>
                <w:noProof/>
                <w:spacing w:val="-6"/>
                <w:lang w:val="sk-SK"/>
              </w:rPr>
              <w:t>NewCo</w:t>
            </w:r>
          </w:p>
        </w:tc>
      </w:tr>
      <w:tr w:rsidR="00BF03AA" w:rsidRPr="00326E55" w14:paraId="243D901D" w14:textId="77777777">
        <w:trPr>
          <w:trHeight w:val="300"/>
        </w:trPr>
        <w:tc>
          <w:tcPr>
            <w:tcW w:w="1395" w:type="dxa"/>
            <w:shd w:val="clear" w:color="auto" w:fill="C6EFCE"/>
            <w:tcMar>
              <w:left w:w="108" w:type="dxa"/>
              <w:right w:w="108" w:type="dxa"/>
            </w:tcMar>
            <w:vAlign w:val="center"/>
          </w:tcPr>
          <w:p w14:paraId="34024E9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34</w:t>
            </w:r>
          </w:p>
        </w:tc>
        <w:tc>
          <w:tcPr>
            <w:tcW w:w="3541" w:type="dxa"/>
            <w:shd w:val="clear" w:color="auto" w:fill="C6EFCE"/>
            <w:tcMar>
              <w:left w:w="108" w:type="dxa"/>
              <w:right w:w="108" w:type="dxa"/>
            </w:tcMar>
            <w:vAlign w:val="center"/>
          </w:tcPr>
          <w:p w14:paraId="578E5910" w14:textId="0FDCD689" w:rsidR="00BF03AA" w:rsidRPr="00326E55" w:rsidRDefault="00FB452D">
            <w:pPr>
              <w:pStyle w:val="P68B1DB1-Normal121"/>
              <w:spacing w:after="0" w:line="240" w:lineRule="auto"/>
              <w:rPr>
                <w:noProof/>
                <w:spacing w:val="-6"/>
                <w:lang w:val="sk-SK"/>
              </w:rPr>
            </w:pPr>
            <w:r w:rsidRPr="00326E55">
              <w:rPr>
                <w:noProof/>
                <w:spacing w:val="-6"/>
                <w:lang w:val="sk-SK"/>
              </w:rPr>
              <w:t>Investícia 1.8: Postupy prijímania zamestnancov do kancelárie súdnych konaní na občianskych</w:t>
            </w:r>
            <w:r w:rsidR="00326E55" w:rsidRPr="00326E55">
              <w:rPr>
                <w:noProof/>
                <w:spacing w:val="-6"/>
                <w:lang w:val="sk-SK"/>
              </w:rPr>
              <w:t xml:space="preserve"> a </w:t>
            </w:r>
            <w:r w:rsidRPr="00326E55">
              <w:rPr>
                <w:noProof/>
                <w:spacing w:val="-6"/>
                <w:lang w:val="sk-SK"/>
              </w:rPr>
              <w:t>trestných súdoch</w:t>
            </w:r>
          </w:p>
        </w:tc>
        <w:tc>
          <w:tcPr>
            <w:tcW w:w="1260" w:type="dxa"/>
            <w:shd w:val="clear" w:color="auto" w:fill="C6EFCE"/>
            <w:tcMar>
              <w:left w:w="108" w:type="dxa"/>
              <w:right w:w="108" w:type="dxa"/>
            </w:tcMar>
            <w:vAlign w:val="center"/>
          </w:tcPr>
          <w:p w14:paraId="0AFBA2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72A7A3A3" w14:textId="0B868BFF" w:rsidR="00BF03AA" w:rsidRPr="00326E55" w:rsidRDefault="00FB452D">
            <w:pPr>
              <w:pStyle w:val="P68B1DB1-Normal121"/>
              <w:spacing w:after="0" w:line="240" w:lineRule="auto"/>
              <w:rPr>
                <w:noProof/>
                <w:spacing w:val="-6"/>
                <w:lang w:val="sk-SK"/>
              </w:rPr>
            </w:pPr>
            <w:r w:rsidRPr="00326E55">
              <w:rPr>
                <w:noProof/>
                <w:spacing w:val="-6"/>
                <w:lang w:val="sk-SK"/>
              </w:rPr>
              <w:t>Začiatok postup</w:t>
            </w:r>
            <w:r w:rsidRPr="00326E55">
              <w:rPr>
                <w:noProof/>
                <w:spacing w:val="-6"/>
                <w:lang w:val="sk-SK"/>
              </w:rPr>
              <w:t>ov náboru na občianske</w:t>
            </w:r>
            <w:r w:rsidR="00326E55" w:rsidRPr="00326E55">
              <w:rPr>
                <w:noProof/>
                <w:spacing w:val="-6"/>
                <w:lang w:val="sk-SK"/>
              </w:rPr>
              <w:t xml:space="preserve"> a </w:t>
            </w:r>
            <w:r w:rsidRPr="00326E55">
              <w:rPr>
                <w:noProof/>
                <w:spacing w:val="-6"/>
                <w:lang w:val="sk-SK"/>
              </w:rPr>
              <w:t>trestné súdy</w:t>
            </w:r>
          </w:p>
        </w:tc>
      </w:tr>
      <w:tr w:rsidR="00BF03AA" w:rsidRPr="00326E55" w14:paraId="76A4EC6A" w14:textId="77777777">
        <w:trPr>
          <w:trHeight w:val="300"/>
        </w:trPr>
        <w:tc>
          <w:tcPr>
            <w:tcW w:w="1395" w:type="dxa"/>
            <w:shd w:val="clear" w:color="auto" w:fill="C6EFCE"/>
            <w:tcMar>
              <w:left w:w="108" w:type="dxa"/>
              <w:right w:w="108" w:type="dxa"/>
            </w:tcMar>
            <w:vAlign w:val="center"/>
          </w:tcPr>
          <w:p w14:paraId="68CE719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35</w:t>
            </w:r>
          </w:p>
        </w:tc>
        <w:tc>
          <w:tcPr>
            <w:tcW w:w="3541" w:type="dxa"/>
            <w:shd w:val="clear" w:color="auto" w:fill="C6EFCE"/>
            <w:tcMar>
              <w:left w:w="108" w:type="dxa"/>
              <w:right w:w="108" w:type="dxa"/>
            </w:tcMar>
            <w:vAlign w:val="center"/>
          </w:tcPr>
          <w:p w14:paraId="52E88B84"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1.7: Reforma daňových súdov</w:t>
            </w:r>
          </w:p>
        </w:tc>
        <w:tc>
          <w:tcPr>
            <w:tcW w:w="1260" w:type="dxa"/>
            <w:shd w:val="clear" w:color="auto" w:fill="C6EFCE"/>
            <w:tcMar>
              <w:left w:w="108" w:type="dxa"/>
              <w:right w:w="108" w:type="dxa"/>
            </w:tcMar>
            <w:vAlign w:val="center"/>
          </w:tcPr>
          <w:p w14:paraId="3E3D22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4A6A9A0E" w14:textId="2154D1CC" w:rsidR="00BF03AA" w:rsidRPr="00326E55" w:rsidRDefault="00FB452D">
            <w:pPr>
              <w:pStyle w:val="P68B1DB1-Normal121"/>
              <w:spacing w:after="0" w:line="240" w:lineRule="auto"/>
              <w:rPr>
                <w:noProof/>
                <w:spacing w:val="-6"/>
                <w:lang w:val="sk-SK"/>
              </w:rPr>
            </w:pPr>
            <w:r w:rsidRPr="00326E55">
              <w:rPr>
                <w:noProof/>
                <w:spacing w:val="-6"/>
                <w:lang w:val="sk-SK"/>
              </w:rPr>
              <w:t>Komplexná reforma daňových súdov prvého</w:t>
            </w:r>
            <w:r w:rsidR="00326E55" w:rsidRPr="00326E55">
              <w:rPr>
                <w:noProof/>
                <w:spacing w:val="-6"/>
                <w:lang w:val="sk-SK"/>
              </w:rPr>
              <w:t xml:space="preserve"> a </w:t>
            </w:r>
            <w:r w:rsidRPr="00326E55">
              <w:rPr>
                <w:noProof/>
                <w:spacing w:val="-6"/>
                <w:lang w:val="sk-SK"/>
              </w:rPr>
              <w:t>druhého stupňa</w:t>
            </w:r>
          </w:p>
        </w:tc>
      </w:tr>
      <w:tr w:rsidR="00BF03AA" w:rsidRPr="00326E55" w14:paraId="60C2B376" w14:textId="77777777">
        <w:trPr>
          <w:trHeight w:val="300"/>
        </w:trPr>
        <w:tc>
          <w:tcPr>
            <w:tcW w:w="1395" w:type="dxa"/>
            <w:shd w:val="clear" w:color="auto" w:fill="C6EFCE"/>
            <w:tcMar>
              <w:left w:w="108" w:type="dxa"/>
              <w:right w:w="108" w:type="dxa"/>
            </w:tcMar>
            <w:vAlign w:val="center"/>
          </w:tcPr>
          <w:p w14:paraId="300E9CD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36</w:t>
            </w:r>
          </w:p>
        </w:tc>
        <w:tc>
          <w:tcPr>
            <w:tcW w:w="3541" w:type="dxa"/>
            <w:shd w:val="clear" w:color="auto" w:fill="C6EFCE"/>
            <w:tcMar>
              <w:left w:w="108" w:type="dxa"/>
              <w:right w:w="108" w:type="dxa"/>
            </w:tcMar>
            <w:vAlign w:val="center"/>
          </w:tcPr>
          <w:p w14:paraId="3BA3A12C" w14:textId="39883D66" w:rsidR="00BF03AA" w:rsidRPr="00326E55" w:rsidRDefault="00FB452D">
            <w:pPr>
              <w:pStyle w:val="P68B1DB1-Normal121"/>
              <w:spacing w:after="0" w:line="240" w:lineRule="auto"/>
              <w:rPr>
                <w:noProof/>
                <w:spacing w:val="-6"/>
                <w:lang w:val="sk-SK"/>
              </w:rPr>
            </w:pPr>
            <w:r w:rsidRPr="00326E55">
              <w:rPr>
                <w:noProof/>
                <w:spacing w:val="-6"/>
                <w:lang w:val="sk-SK"/>
              </w:rPr>
              <w:t>Reformy 1.4, 1.5</w:t>
            </w:r>
            <w:r w:rsidR="00326E55" w:rsidRPr="00326E55">
              <w:rPr>
                <w:noProof/>
                <w:spacing w:val="-6"/>
                <w:lang w:val="sk-SK"/>
              </w:rPr>
              <w:t xml:space="preserve"> a </w:t>
            </w:r>
            <w:r w:rsidRPr="00326E55">
              <w:rPr>
                <w:noProof/>
                <w:spacing w:val="-6"/>
                <w:lang w:val="sk-SK"/>
              </w:rPr>
              <w:t>1.6: Reforma občianskeho</w:t>
            </w:r>
            <w:r w:rsidR="00326E55" w:rsidRPr="00326E55">
              <w:rPr>
                <w:noProof/>
                <w:spacing w:val="-6"/>
                <w:lang w:val="sk-SK"/>
              </w:rPr>
              <w:t xml:space="preserve"> a </w:t>
            </w:r>
            <w:r w:rsidRPr="00326E55">
              <w:rPr>
                <w:noProof/>
                <w:spacing w:val="-6"/>
                <w:lang w:val="sk-SK"/>
              </w:rPr>
              <w:t>trestného súdnictva</w:t>
            </w:r>
            <w:r w:rsidR="00326E55" w:rsidRPr="00326E55">
              <w:rPr>
                <w:noProof/>
                <w:spacing w:val="-6"/>
                <w:lang w:val="sk-SK"/>
              </w:rPr>
              <w:t xml:space="preserve"> a </w:t>
            </w:r>
            <w:r w:rsidRPr="00326E55">
              <w:rPr>
                <w:noProof/>
                <w:spacing w:val="-6"/>
                <w:lang w:val="sk-SK"/>
              </w:rPr>
              <w:t xml:space="preserve">reforma platobnej </w:t>
            </w:r>
            <w:r w:rsidRPr="00326E55">
              <w:rPr>
                <w:noProof/>
                <w:spacing w:val="-6"/>
                <w:lang w:val="sk-SK"/>
              </w:rPr>
              <w:t>neschopnosti</w:t>
            </w:r>
          </w:p>
        </w:tc>
        <w:tc>
          <w:tcPr>
            <w:tcW w:w="1260" w:type="dxa"/>
            <w:shd w:val="clear" w:color="auto" w:fill="C6EFCE"/>
            <w:tcMar>
              <w:left w:w="108" w:type="dxa"/>
              <w:right w:w="108" w:type="dxa"/>
            </w:tcMar>
            <w:vAlign w:val="center"/>
          </w:tcPr>
          <w:p w14:paraId="0F6AF04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148F83DF" w14:textId="5269D891"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delegovaných aktov týkajúcich sa reformy občianskeho</w:t>
            </w:r>
            <w:r w:rsidR="00326E55" w:rsidRPr="00326E55">
              <w:rPr>
                <w:noProof/>
                <w:spacing w:val="-6"/>
                <w:lang w:val="sk-SK"/>
              </w:rPr>
              <w:t xml:space="preserve"> a </w:t>
            </w:r>
            <w:r w:rsidRPr="00326E55">
              <w:rPr>
                <w:noProof/>
                <w:spacing w:val="-6"/>
                <w:lang w:val="sk-SK"/>
              </w:rPr>
              <w:t>trestného súdnictva</w:t>
            </w:r>
            <w:r w:rsidR="00326E55" w:rsidRPr="00326E55">
              <w:rPr>
                <w:noProof/>
                <w:spacing w:val="-6"/>
                <w:lang w:val="sk-SK"/>
              </w:rPr>
              <w:t xml:space="preserve"> a </w:t>
            </w:r>
            <w:r w:rsidRPr="00326E55">
              <w:rPr>
                <w:noProof/>
                <w:spacing w:val="-6"/>
                <w:lang w:val="sk-SK"/>
              </w:rPr>
              <w:t>reformy</w:t>
            </w:r>
            <w:r w:rsidR="00326E55" w:rsidRPr="00326E55">
              <w:rPr>
                <w:noProof/>
                <w:spacing w:val="-6"/>
                <w:lang w:val="sk-SK"/>
              </w:rPr>
              <w:t xml:space="preserve"> v </w:t>
            </w:r>
            <w:r w:rsidRPr="00326E55">
              <w:rPr>
                <w:noProof/>
                <w:spacing w:val="-6"/>
                <w:lang w:val="sk-SK"/>
              </w:rPr>
              <w:t>oblasti platobnej neschopnosti</w:t>
            </w:r>
          </w:p>
        </w:tc>
      </w:tr>
      <w:tr w:rsidR="00BF03AA" w:rsidRPr="00326E55" w14:paraId="6412B740" w14:textId="77777777">
        <w:trPr>
          <w:trHeight w:val="300"/>
        </w:trPr>
        <w:tc>
          <w:tcPr>
            <w:tcW w:w="1395" w:type="dxa"/>
            <w:shd w:val="clear" w:color="auto" w:fill="C6EFCE"/>
            <w:tcMar>
              <w:left w:w="108" w:type="dxa"/>
              <w:right w:w="108" w:type="dxa"/>
            </w:tcMar>
            <w:vAlign w:val="center"/>
          </w:tcPr>
          <w:p w14:paraId="286BB1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57</w:t>
            </w:r>
          </w:p>
        </w:tc>
        <w:tc>
          <w:tcPr>
            <w:tcW w:w="3541" w:type="dxa"/>
            <w:shd w:val="clear" w:color="auto" w:fill="C6EFCE"/>
            <w:tcMar>
              <w:left w:w="108" w:type="dxa"/>
              <w:right w:w="108" w:type="dxa"/>
            </w:tcMar>
            <w:vAlign w:val="center"/>
          </w:tcPr>
          <w:p w14:paraId="468829F8"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260" w:type="dxa"/>
            <w:shd w:val="clear" w:color="auto" w:fill="C6EFCE"/>
            <w:tcMar>
              <w:left w:w="108" w:type="dxa"/>
              <w:right w:w="108" w:type="dxa"/>
            </w:tcMar>
            <w:vAlign w:val="center"/>
          </w:tcPr>
          <w:p w14:paraId="70BEF99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69790DC9" w14:textId="19384144"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administratívnych</w:t>
            </w:r>
            <w:r w:rsidRPr="00326E55">
              <w:rPr>
                <w:noProof/>
                <w:spacing w:val="-6"/>
                <w:lang w:val="sk-SK"/>
              </w:rPr>
              <w:t xml:space="preserve"> postupov pre zjednodušujúcu reformu zameranú na vykonávanie Mechanizmu na podporu obnovy</w:t>
            </w:r>
            <w:r w:rsidR="00326E55" w:rsidRPr="00326E55">
              <w:rPr>
                <w:noProof/>
                <w:spacing w:val="-6"/>
                <w:lang w:val="sk-SK"/>
              </w:rPr>
              <w:t xml:space="preserve"> a </w:t>
            </w:r>
            <w:r w:rsidRPr="00326E55">
              <w:rPr>
                <w:noProof/>
                <w:spacing w:val="-6"/>
                <w:lang w:val="sk-SK"/>
              </w:rPr>
              <w:t>odolnosti</w:t>
            </w:r>
          </w:p>
        </w:tc>
      </w:tr>
      <w:tr w:rsidR="00BF03AA" w:rsidRPr="00326E55" w14:paraId="5992FEF0" w14:textId="77777777">
        <w:trPr>
          <w:trHeight w:val="300"/>
        </w:trPr>
        <w:tc>
          <w:tcPr>
            <w:tcW w:w="1395" w:type="dxa"/>
            <w:shd w:val="clear" w:color="auto" w:fill="C6EFCE"/>
            <w:tcMar>
              <w:left w:w="108" w:type="dxa"/>
              <w:right w:w="108" w:type="dxa"/>
            </w:tcMar>
            <w:vAlign w:val="center"/>
          </w:tcPr>
          <w:p w14:paraId="3D0D0D4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102</w:t>
            </w:r>
          </w:p>
        </w:tc>
        <w:tc>
          <w:tcPr>
            <w:tcW w:w="3541" w:type="dxa"/>
            <w:shd w:val="clear" w:color="auto" w:fill="C6EFCE"/>
            <w:tcMar>
              <w:left w:w="108" w:type="dxa"/>
              <w:right w:w="108" w:type="dxa"/>
            </w:tcMar>
            <w:vAlign w:val="center"/>
          </w:tcPr>
          <w:p w14:paraId="38C366BD"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1.13: Reforma rámca preskúmania výdavkov</w:t>
            </w:r>
          </w:p>
        </w:tc>
        <w:tc>
          <w:tcPr>
            <w:tcW w:w="1260" w:type="dxa"/>
            <w:shd w:val="clear" w:color="auto" w:fill="C6EFCE"/>
            <w:tcMar>
              <w:left w:w="108" w:type="dxa"/>
              <w:right w:w="108" w:type="dxa"/>
            </w:tcMar>
            <w:vAlign w:val="center"/>
          </w:tcPr>
          <w:p w14:paraId="3B49237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7FE399DF" w14:textId="302A67EE" w:rsidR="00BF03AA" w:rsidRPr="00326E55" w:rsidRDefault="00FB452D">
            <w:pPr>
              <w:pStyle w:val="P68B1DB1-Normal121"/>
              <w:spacing w:after="0" w:line="240" w:lineRule="auto"/>
              <w:rPr>
                <w:noProof/>
                <w:spacing w:val="-6"/>
                <w:lang w:val="sk-SK"/>
              </w:rPr>
            </w:pPr>
            <w:r w:rsidRPr="00326E55">
              <w:rPr>
                <w:noProof/>
                <w:spacing w:val="-6"/>
                <w:lang w:val="sk-SK"/>
              </w:rPr>
              <w:t>Prijatie správy</w:t>
            </w:r>
            <w:r w:rsidR="00326E55" w:rsidRPr="00326E55">
              <w:rPr>
                <w:noProof/>
                <w:spacing w:val="-6"/>
                <w:lang w:val="sk-SK"/>
              </w:rPr>
              <w:t xml:space="preserve"> o </w:t>
            </w:r>
            <w:r w:rsidRPr="00326E55">
              <w:rPr>
                <w:noProof/>
                <w:spacing w:val="-6"/>
                <w:lang w:val="sk-SK"/>
              </w:rPr>
              <w:t xml:space="preserve">účinnosti postupov, ktoré používajú vybrané orgány verejnej správy </w:t>
            </w:r>
            <w:r w:rsidRPr="00326E55">
              <w:rPr>
                <w:noProof/>
                <w:spacing w:val="-6"/>
                <w:lang w:val="sk-SK"/>
              </w:rPr>
              <w:t>pri formulovaní</w:t>
            </w:r>
            <w:r w:rsidR="00326E55" w:rsidRPr="00326E55">
              <w:rPr>
                <w:noProof/>
                <w:spacing w:val="-6"/>
                <w:lang w:val="sk-SK"/>
              </w:rPr>
              <w:t xml:space="preserve"> a </w:t>
            </w:r>
            <w:r w:rsidRPr="00326E55">
              <w:rPr>
                <w:noProof/>
                <w:spacing w:val="-6"/>
                <w:lang w:val="sk-SK"/>
              </w:rPr>
              <w:t>vykonávaní plánov úspor</w:t>
            </w:r>
          </w:p>
        </w:tc>
      </w:tr>
      <w:tr w:rsidR="00BF03AA" w:rsidRPr="00326E55" w14:paraId="76019D08" w14:textId="77777777">
        <w:trPr>
          <w:trHeight w:val="300"/>
        </w:trPr>
        <w:tc>
          <w:tcPr>
            <w:tcW w:w="1395" w:type="dxa"/>
            <w:shd w:val="clear" w:color="auto" w:fill="C6EFCE"/>
            <w:tcMar>
              <w:left w:w="108" w:type="dxa"/>
              <w:right w:w="108" w:type="dxa"/>
            </w:tcMar>
            <w:vAlign w:val="center"/>
          </w:tcPr>
          <w:p w14:paraId="774B31F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105</w:t>
            </w:r>
          </w:p>
        </w:tc>
        <w:tc>
          <w:tcPr>
            <w:tcW w:w="3541" w:type="dxa"/>
            <w:shd w:val="clear" w:color="auto" w:fill="C6EFCE"/>
            <w:tcMar>
              <w:left w:w="108" w:type="dxa"/>
              <w:right w:w="108" w:type="dxa"/>
            </w:tcMar>
            <w:vAlign w:val="center"/>
          </w:tcPr>
          <w:p w14:paraId="1ACA0AA9"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1.12: Reforma daňovej správy</w:t>
            </w:r>
          </w:p>
        </w:tc>
        <w:tc>
          <w:tcPr>
            <w:tcW w:w="1260" w:type="dxa"/>
            <w:shd w:val="clear" w:color="auto" w:fill="C6EFCE"/>
            <w:tcMar>
              <w:left w:w="108" w:type="dxa"/>
              <w:right w:w="108" w:type="dxa"/>
            </w:tcMar>
            <w:vAlign w:val="center"/>
          </w:tcPr>
          <w:p w14:paraId="5407B52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46BDAF79" w14:textId="7DF8EE71" w:rsidR="00BF03AA" w:rsidRPr="00326E55" w:rsidRDefault="00FB452D">
            <w:pPr>
              <w:pStyle w:val="P68B1DB1-Normal121"/>
              <w:spacing w:after="0" w:line="240" w:lineRule="auto"/>
              <w:rPr>
                <w:noProof/>
                <w:spacing w:val="-6"/>
                <w:lang w:val="sk-SK"/>
              </w:rPr>
            </w:pPr>
            <w:r w:rsidRPr="00326E55">
              <w:rPr>
                <w:noProof/>
                <w:spacing w:val="-6"/>
                <w:lang w:val="sk-SK"/>
              </w:rPr>
              <w:t>Vyšší počet „listov</w:t>
            </w:r>
            <w:r w:rsidR="00326E55" w:rsidRPr="00326E55">
              <w:rPr>
                <w:noProof/>
                <w:spacing w:val="-6"/>
                <w:lang w:val="sk-SK"/>
              </w:rPr>
              <w:t xml:space="preserve"> o </w:t>
            </w:r>
            <w:r w:rsidRPr="00326E55">
              <w:rPr>
                <w:noProof/>
                <w:spacing w:val="-6"/>
                <w:lang w:val="sk-SK"/>
              </w:rPr>
              <w:t>zhode“</w:t>
            </w:r>
          </w:p>
        </w:tc>
      </w:tr>
      <w:tr w:rsidR="00BF03AA" w:rsidRPr="00326E55" w14:paraId="5838B717" w14:textId="77777777">
        <w:trPr>
          <w:trHeight w:val="300"/>
        </w:trPr>
        <w:tc>
          <w:tcPr>
            <w:tcW w:w="1395" w:type="dxa"/>
            <w:shd w:val="clear" w:color="auto" w:fill="C6EFCE"/>
            <w:tcMar>
              <w:left w:w="108" w:type="dxa"/>
              <w:right w:w="108" w:type="dxa"/>
            </w:tcMar>
            <w:vAlign w:val="center"/>
          </w:tcPr>
          <w:p w14:paraId="36F2213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106</w:t>
            </w:r>
          </w:p>
        </w:tc>
        <w:tc>
          <w:tcPr>
            <w:tcW w:w="3541" w:type="dxa"/>
            <w:shd w:val="clear" w:color="auto" w:fill="C6EFCE"/>
            <w:tcMar>
              <w:left w:w="108" w:type="dxa"/>
              <w:right w:w="108" w:type="dxa"/>
            </w:tcMar>
            <w:vAlign w:val="center"/>
          </w:tcPr>
          <w:p w14:paraId="01F0DE47"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1.12: Reforma daňovej správy</w:t>
            </w:r>
          </w:p>
        </w:tc>
        <w:tc>
          <w:tcPr>
            <w:tcW w:w="1260" w:type="dxa"/>
            <w:shd w:val="clear" w:color="auto" w:fill="C6EFCE"/>
            <w:tcMar>
              <w:left w:w="108" w:type="dxa"/>
              <w:right w:w="108" w:type="dxa"/>
            </w:tcMar>
            <w:vAlign w:val="center"/>
          </w:tcPr>
          <w:p w14:paraId="108BEC1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62EDCF5B" w14:textId="26D314CC" w:rsidR="00BF03AA" w:rsidRPr="00326E55" w:rsidRDefault="00FB452D">
            <w:pPr>
              <w:pStyle w:val="P68B1DB1-Normal121"/>
              <w:spacing w:after="0" w:line="240" w:lineRule="auto"/>
              <w:rPr>
                <w:noProof/>
                <w:spacing w:val="-6"/>
                <w:lang w:val="sk-SK"/>
              </w:rPr>
            </w:pPr>
            <w:r w:rsidRPr="00326E55">
              <w:rPr>
                <w:noProof/>
                <w:spacing w:val="-6"/>
                <w:lang w:val="sk-SK"/>
              </w:rPr>
              <w:t>Zníženie počtu falošných pozitívnych „listov</w:t>
            </w:r>
            <w:r w:rsidR="00326E55" w:rsidRPr="00326E55">
              <w:rPr>
                <w:noProof/>
                <w:spacing w:val="-6"/>
                <w:lang w:val="sk-SK"/>
              </w:rPr>
              <w:t xml:space="preserve"> o </w:t>
            </w:r>
            <w:r w:rsidRPr="00326E55">
              <w:rPr>
                <w:noProof/>
                <w:spacing w:val="-6"/>
                <w:lang w:val="sk-SK"/>
              </w:rPr>
              <w:t>zhode“</w:t>
            </w:r>
          </w:p>
        </w:tc>
      </w:tr>
      <w:tr w:rsidR="00BF03AA" w:rsidRPr="00326E55" w14:paraId="45B0CBF4" w14:textId="77777777">
        <w:trPr>
          <w:trHeight w:val="300"/>
        </w:trPr>
        <w:tc>
          <w:tcPr>
            <w:tcW w:w="1395" w:type="dxa"/>
            <w:shd w:val="clear" w:color="auto" w:fill="C6EFCE"/>
            <w:tcMar>
              <w:left w:w="108" w:type="dxa"/>
              <w:right w:w="108" w:type="dxa"/>
            </w:tcMar>
            <w:vAlign w:val="center"/>
          </w:tcPr>
          <w:p w14:paraId="12D4CFD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107</w:t>
            </w:r>
          </w:p>
        </w:tc>
        <w:tc>
          <w:tcPr>
            <w:tcW w:w="3541" w:type="dxa"/>
            <w:shd w:val="clear" w:color="auto" w:fill="C6EFCE"/>
            <w:tcMar>
              <w:left w:w="108" w:type="dxa"/>
              <w:right w:w="108" w:type="dxa"/>
            </w:tcMar>
            <w:vAlign w:val="center"/>
          </w:tcPr>
          <w:p w14:paraId="09352BF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w:t>
            </w:r>
            <w:r w:rsidRPr="00326E55">
              <w:rPr>
                <w:noProof/>
                <w:spacing w:val="-6"/>
                <w:lang w:val="sk-SK"/>
              </w:rPr>
              <w:t>1.12: Reforma daňovej správy</w:t>
            </w:r>
          </w:p>
        </w:tc>
        <w:tc>
          <w:tcPr>
            <w:tcW w:w="1260" w:type="dxa"/>
            <w:shd w:val="clear" w:color="auto" w:fill="C6EFCE"/>
            <w:tcMar>
              <w:left w:w="108" w:type="dxa"/>
              <w:right w:w="108" w:type="dxa"/>
            </w:tcMar>
            <w:vAlign w:val="center"/>
          </w:tcPr>
          <w:p w14:paraId="57E46E8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717236E4" w14:textId="2469E7BA" w:rsidR="00BF03AA" w:rsidRPr="00326E55" w:rsidRDefault="00FB452D">
            <w:pPr>
              <w:pStyle w:val="P68B1DB1-Normal121"/>
              <w:spacing w:after="0" w:line="240" w:lineRule="auto"/>
              <w:rPr>
                <w:noProof/>
                <w:spacing w:val="-6"/>
                <w:lang w:val="sk-SK"/>
              </w:rPr>
            </w:pPr>
            <w:r w:rsidRPr="00326E55">
              <w:rPr>
                <w:noProof/>
                <w:spacing w:val="-6"/>
                <w:lang w:val="sk-SK"/>
              </w:rPr>
              <w:t>Zvýšenie daňových príjmov vytvorených „listami</w:t>
            </w:r>
            <w:r w:rsidR="00326E55" w:rsidRPr="00326E55">
              <w:rPr>
                <w:noProof/>
                <w:spacing w:val="-6"/>
                <w:lang w:val="sk-SK"/>
              </w:rPr>
              <w:t xml:space="preserve"> o </w:t>
            </w:r>
            <w:r w:rsidRPr="00326E55">
              <w:rPr>
                <w:noProof/>
                <w:spacing w:val="-6"/>
                <w:lang w:val="sk-SK"/>
              </w:rPr>
              <w:t>dodržiavaní predpisov“</w:t>
            </w:r>
          </w:p>
        </w:tc>
      </w:tr>
      <w:tr w:rsidR="00BF03AA" w:rsidRPr="00326E55" w14:paraId="75EDD17F" w14:textId="77777777">
        <w:trPr>
          <w:trHeight w:val="300"/>
        </w:trPr>
        <w:tc>
          <w:tcPr>
            <w:tcW w:w="1395" w:type="dxa"/>
            <w:shd w:val="clear" w:color="auto" w:fill="C6EFCE"/>
            <w:tcMar>
              <w:left w:w="108" w:type="dxa"/>
              <w:right w:w="108" w:type="dxa"/>
            </w:tcMar>
            <w:vAlign w:val="center"/>
          </w:tcPr>
          <w:p w14:paraId="2A8D24B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6</w:t>
            </w:r>
          </w:p>
        </w:tc>
        <w:tc>
          <w:tcPr>
            <w:tcW w:w="3541" w:type="dxa"/>
            <w:shd w:val="clear" w:color="auto" w:fill="C6EFCE"/>
            <w:tcMar>
              <w:left w:w="108" w:type="dxa"/>
              <w:right w:w="108" w:type="dxa"/>
            </w:tcMar>
            <w:vAlign w:val="center"/>
          </w:tcPr>
          <w:p w14:paraId="03C52DA3" w14:textId="32E70564" w:rsidR="00BF03AA" w:rsidRPr="00326E55" w:rsidRDefault="00FB452D">
            <w:pPr>
              <w:pStyle w:val="P68B1DB1-Normal121"/>
              <w:spacing w:after="0" w:line="240" w:lineRule="auto"/>
              <w:rPr>
                <w:noProof/>
                <w:spacing w:val="-6"/>
                <w:lang w:val="sk-SK"/>
              </w:rPr>
            </w:pPr>
            <w:r w:rsidRPr="00326E55">
              <w:rPr>
                <w:noProof/>
                <w:spacing w:val="-6"/>
                <w:lang w:val="sk-SK"/>
              </w:rPr>
              <w:t>Reforma 2: Ročné právne predpisy</w:t>
            </w:r>
            <w:r w:rsidR="00326E55" w:rsidRPr="00326E55">
              <w:rPr>
                <w:noProof/>
                <w:spacing w:val="-6"/>
                <w:lang w:val="sk-SK"/>
              </w:rPr>
              <w:t xml:space="preserve"> v </w:t>
            </w:r>
            <w:r w:rsidRPr="00326E55">
              <w:rPr>
                <w:noProof/>
                <w:spacing w:val="-6"/>
                <w:lang w:val="sk-SK"/>
              </w:rPr>
              <w:t>oblasti hospodárskej súťaže</w:t>
            </w:r>
          </w:p>
        </w:tc>
        <w:tc>
          <w:tcPr>
            <w:tcW w:w="1260" w:type="dxa"/>
            <w:shd w:val="clear" w:color="auto" w:fill="C6EFCE"/>
            <w:tcMar>
              <w:left w:w="108" w:type="dxa"/>
              <w:right w:w="108" w:type="dxa"/>
            </w:tcMar>
            <w:vAlign w:val="center"/>
          </w:tcPr>
          <w:p w14:paraId="3E74747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14A41607" w14:textId="1F26FA56"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ročného zákona</w:t>
            </w:r>
            <w:r w:rsidR="00326E55" w:rsidRPr="00326E55">
              <w:rPr>
                <w:noProof/>
                <w:spacing w:val="-6"/>
                <w:lang w:val="sk-SK"/>
              </w:rPr>
              <w:t xml:space="preserve"> o </w:t>
            </w:r>
            <w:r w:rsidRPr="00326E55">
              <w:rPr>
                <w:noProof/>
                <w:spacing w:val="-6"/>
                <w:lang w:val="sk-SK"/>
              </w:rPr>
              <w:t>hospodárskej súťaži 2021</w:t>
            </w:r>
          </w:p>
        </w:tc>
      </w:tr>
      <w:tr w:rsidR="00BF03AA" w:rsidRPr="00326E55" w14:paraId="1CDB1FB7" w14:textId="77777777">
        <w:trPr>
          <w:trHeight w:val="300"/>
        </w:trPr>
        <w:tc>
          <w:tcPr>
            <w:tcW w:w="1395" w:type="dxa"/>
            <w:shd w:val="clear" w:color="auto" w:fill="C6EFCE"/>
            <w:tcMar>
              <w:left w:w="108" w:type="dxa"/>
              <w:right w:w="108" w:type="dxa"/>
            </w:tcMar>
            <w:vAlign w:val="center"/>
          </w:tcPr>
          <w:p w14:paraId="3F8AF5D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w:t>
            </w:r>
            <w:r w:rsidRPr="00326E55">
              <w:rPr>
                <w:noProof/>
                <w:spacing w:val="-6"/>
                <w:lang w:val="sk-SK"/>
              </w:rPr>
              <w:t xml:space="preserve"> – 7</w:t>
            </w:r>
          </w:p>
        </w:tc>
        <w:tc>
          <w:tcPr>
            <w:tcW w:w="3541" w:type="dxa"/>
            <w:shd w:val="clear" w:color="auto" w:fill="C6EFCE"/>
            <w:tcMar>
              <w:left w:w="108" w:type="dxa"/>
              <w:right w:w="108" w:type="dxa"/>
            </w:tcMar>
            <w:vAlign w:val="center"/>
          </w:tcPr>
          <w:p w14:paraId="5106FB85" w14:textId="569D9314" w:rsidR="00BF03AA" w:rsidRPr="00326E55" w:rsidRDefault="00FB452D">
            <w:pPr>
              <w:pStyle w:val="P68B1DB1-Normal121"/>
              <w:spacing w:after="0" w:line="240" w:lineRule="auto"/>
              <w:rPr>
                <w:noProof/>
                <w:spacing w:val="-6"/>
                <w:lang w:val="sk-SK"/>
              </w:rPr>
            </w:pPr>
            <w:r w:rsidRPr="00326E55">
              <w:rPr>
                <w:noProof/>
                <w:spacing w:val="-6"/>
                <w:lang w:val="sk-SK"/>
              </w:rPr>
              <w:t>Reforma 2: Ročné právne predpisy</w:t>
            </w:r>
            <w:r w:rsidR="00326E55" w:rsidRPr="00326E55">
              <w:rPr>
                <w:noProof/>
                <w:spacing w:val="-6"/>
                <w:lang w:val="sk-SK"/>
              </w:rPr>
              <w:t xml:space="preserve"> v </w:t>
            </w:r>
            <w:r w:rsidRPr="00326E55">
              <w:rPr>
                <w:noProof/>
                <w:spacing w:val="-6"/>
                <w:lang w:val="sk-SK"/>
              </w:rPr>
              <w:t>oblasti hospodárskej súťaže</w:t>
            </w:r>
          </w:p>
        </w:tc>
        <w:tc>
          <w:tcPr>
            <w:tcW w:w="1260" w:type="dxa"/>
            <w:shd w:val="clear" w:color="auto" w:fill="C6EFCE"/>
            <w:tcMar>
              <w:left w:w="108" w:type="dxa"/>
              <w:right w:w="108" w:type="dxa"/>
            </w:tcMar>
            <w:vAlign w:val="center"/>
          </w:tcPr>
          <w:p w14:paraId="13EC0E2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61E80380" w14:textId="270AF5A1"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všetkých vykonávacích opatrení súvisiacich</w:t>
            </w:r>
            <w:r w:rsidR="00326E55" w:rsidRPr="00326E55">
              <w:rPr>
                <w:noProof/>
                <w:spacing w:val="-6"/>
                <w:lang w:val="sk-SK"/>
              </w:rPr>
              <w:t xml:space="preserve"> s </w:t>
            </w:r>
            <w:r w:rsidRPr="00326E55">
              <w:rPr>
                <w:noProof/>
                <w:spacing w:val="-6"/>
                <w:lang w:val="sk-SK"/>
              </w:rPr>
              <w:t>energetikou</w:t>
            </w:r>
            <w:r w:rsidR="00326E55" w:rsidRPr="00326E55">
              <w:rPr>
                <w:noProof/>
                <w:spacing w:val="-6"/>
                <w:lang w:val="sk-SK"/>
              </w:rPr>
              <w:t xml:space="preserve"> a </w:t>
            </w:r>
            <w:r w:rsidRPr="00326E55">
              <w:rPr>
                <w:noProof/>
                <w:spacing w:val="-6"/>
                <w:lang w:val="sk-SK"/>
              </w:rPr>
              <w:t>sekundárnych právnych predpisov (v prípade potreby)</w:t>
            </w:r>
          </w:p>
        </w:tc>
      </w:tr>
      <w:tr w:rsidR="00BF03AA" w:rsidRPr="00326E55" w14:paraId="4D5D3972" w14:textId="77777777">
        <w:trPr>
          <w:trHeight w:val="300"/>
        </w:trPr>
        <w:tc>
          <w:tcPr>
            <w:tcW w:w="1395" w:type="dxa"/>
            <w:shd w:val="clear" w:color="auto" w:fill="C6EFCE"/>
            <w:tcMar>
              <w:left w:w="108" w:type="dxa"/>
              <w:right w:w="108" w:type="dxa"/>
            </w:tcMar>
            <w:vAlign w:val="center"/>
          </w:tcPr>
          <w:p w14:paraId="1D5C7DA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8</w:t>
            </w:r>
          </w:p>
        </w:tc>
        <w:tc>
          <w:tcPr>
            <w:tcW w:w="3541" w:type="dxa"/>
            <w:shd w:val="clear" w:color="auto" w:fill="C6EFCE"/>
            <w:tcMar>
              <w:left w:w="108" w:type="dxa"/>
              <w:right w:w="108" w:type="dxa"/>
            </w:tcMar>
            <w:vAlign w:val="center"/>
          </w:tcPr>
          <w:p w14:paraId="004C74A4" w14:textId="4E117FF0" w:rsidR="00BF03AA" w:rsidRPr="00326E55" w:rsidRDefault="00FB452D">
            <w:pPr>
              <w:pStyle w:val="P68B1DB1-Normal121"/>
              <w:spacing w:after="0" w:line="240" w:lineRule="auto"/>
              <w:rPr>
                <w:noProof/>
                <w:spacing w:val="-6"/>
                <w:lang w:val="sk-SK"/>
              </w:rPr>
            </w:pPr>
            <w:r w:rsidRPr="00326E55">
              <w:rPr>
                <w:noProof/>
                <w:spacing w:val="-6"/>
                <w:lang w:val="sk-SK"/>
              </w:rPr>
              <w:t>Reforma 2: Ročné právne predpisy</w:t>
            </w:r>
            <w:r w:rsidR="00326E55" w:rsidRPr="00326E55">
              <w:rPr>
                <w:noProof/>
                <w:spacing w:val="-6"/>
                <w:lang w:val="sk-SK"/>
              </w:rPr>
              <w:t xml:space="preserve"> v </w:t>
            </w:r>
            <w:r w:rsidRPr="00326E55">
              <w:rPr>
                <w:noProof/>
                <w:spacing w:val="-6"/>
                <w:lang w:val="sk-SK"/>
              </w:rPr>
              <w:t>ob</w:t>
            </w:r>
            <w:r w:rsidRPr="00326E55">
              <w:rPr>
                <w:noProof/>
                <w:spacing w:val="-6"/>
                <w:lang w:val="sk-SK"/>
              </w:rPr>
              <w:t>lasti hospodárskej súťaže</w:t>
            </w:r>
          </w:p>
        </w:tc>
        <w:tc>
          <w:tcPr>
            <w:tcW w:w="1260" w:type="dxa"/>
            <w:shd w:val="clear" w:color="auto" w:fill="C6EFCE"/>
            <w:tcMar>
              <w:left w:w="108" w:type="dxa"/>
              <w:right w:w="108" w:type="dxa"/>
            </w:tcMar>
            <w:vAlign w:val="center"/>
          </w:tcPr>
          <w:p w14:paraId="1023615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38591A93" w14:textId="7CE9252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všetkých vykonávacích opatrení (v prípade potreby vrátane sekundárnych právnych predpisov) na účinné vykonávanie</w:t>
            </w:r>
            <w:r w:rsidR="00326E55" w:rsidRPr="00326E55">
              <w:rPr>
                <w:noProof/>
                <w:spacing w:val="-6"/>
                <w:lang w:val="sk-SK"/>
              </w:rPr>
              <w:t xml:space="preserve"> a </w:t>
            </w:r>
            <w:r w:rsidRPr="00326E55">
              <w:rPr>
                <w:noProof/>
                <w:spacing w:val="-6"/>
                <w:lang w:val="sk-SK"/>
              </w:rPr>
              <w:t>uplatňovanie opatrení vyplývajúcich</w:t>
            </w:r>
            <w:r w:rsidR="00326E55" w:rsidRPr="00326E55">
              <w:rPr>
                <w:noProof/>
                <w:spacing w:val="-6"/>
                <w:lang w:val="sk-SK"/>
              </w:rPr>
              <w:t xml:space="preserve"> z </w:t>
            </w:r>
            <w:r w:rsidRPr="00326E55">
              <w:rPr>
                <w:noProof/>
                <w:spacing w:val="-6"/>
                <w:lang w:val="sk-SK"/>
              </w:rPr>
              <w:t>ročného zákona</w:t>
            </w:r>
            <w:r w:rsidR="00326E55" w:rsidRPr="00326E55">
              <w:rPr>
                <w:noProof/>
                <w:spacing w:val="-6"/>
                <w:lang w:val="sk-SK"/>
              </w:rPr>
              <w:t xml:space="preserve"> o </w:t>
            </w:r>
            <w:r w:rsidRPr="00326E55">
              <w:rPr>
                <w:noProof/>
                <w:spacing w:val="-6"/>
                <w:lang w:val="sk-SK"/>
              </w:rPr>
              <w:t>hospodárskej súťaži za rok 202</w:t>
            </w:r>
            <w:r w:rsidRPr="00326E55">
              <w:rPr>
                <w:noProof/>
                <w:spacing w:val="-6"/>
                <w:lang w:val="sk-SK"/>
              </w:rPr>
              <w:t>1</w:t>
            </w:r>
          </w:p>
        </w:tc>
      </w:tr>
      <w:tr w:rsidR="00BF03AA" w:rsidRPr="00326E55" w14:paraId="7E2C562A" w14:textId="77777777">
        <w:trPr>
          <w:trHeight w:val="300"/>
        </w:trPr>
        <w:tc>
          <w:tcPr>
            <w:tcW w:w="1395" w:type="dxa"/>
            <w:shd w:val="clear" w:color="auto" w:fill="C6EFCE"/>
            <w:tcMar>
              <w:left w:w="108" w:type="dxa"/>
              <w:right w:w="108" w:type="dxa"/>
            </w:tcMar>
            <w:vAlign w:val="center"/>
          </w:tcPr>
          <w:p w14:paraId="0C71B7B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6</w:t>
            </w:r>
          </w:p>
        </w:tc>
        <w:tc>
          <w:tcPr>
            <w:tcW w:w="3541" w:type="dxa"/>
            <w:shd w:val="clear" w:color="auto" w:fill="C6EFCE"/>
            <w:tcMar>
              <w:left w:w="108" w:type="dxa"/>
              <w:right w:w="108" w:type="dxa"/>
            </w:tcMar>
            <w:vAlign w:val="center"/>
          </w:tcPr>
          <w:p w14:paraId="01A281AA" w14:textId="722B351D" w:rsidR="00BF03AA" w:rsidRPr="00326E55" w:rsidRDefault="00FB452D">
            <w:pPr>
              <w:pStyle w:val="P68B1DB1-Normal121"/>
              <w:spacing w:after="0" w:line="240" w:lineRule="auto"/>
              <w:rPr>
                <w:noProof/>
                <w:spacing w:val="-6"/>
                <w:lang w:val="sk-SK"/>
              </w:rPr>
            </w:pPr>
            <w:r w:rsidRPr="00326E55">
              <w:rPr>
                <w:noProof/>
                <w:spacing w:val="-6"/>
                <w:lang w:val="sk-SK"/>
              </w:rPr>
              <w:t>Reforma – 3.1 Minimálne environmentálne kritériá pre kultúrne podujatia</w:t>
            </w:r>
          </w:p>
        </w:tc>
        <w:tc>
          <w:tcPr>
            <w:tcW w:w="1260" w:type="dxa"/>
            <w:shd w:val="clear" w:color="auto" w:fill="C6EFCE"/>
            <w:tcMar>
              <w:left w:w="108" w:type="dxa"/>
              <w:right w:w="108" w:type="dxa"/>
            </w:tcMar>
            <w:vAlign w:val="center"/>
          </w:tcPr>
          <w:p w14:paraId="52550C7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23CCAD98" w14:textId="0906EE6C"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vyhlášky, ktorou sa vymedzujú sociálne</w:t>
            </w:r>
            <w:r w:rsidR="00326E55" w:rsidRPr="00326E55">
              <w:rPr>
                <w:noProof/>
                <w:spacing w:val="-6"/>
                <w:lang w:val="sk-SK"/>
              </w:rPr>
              <w:t xml:space="preserve"> a </w:t>
            </w:r>
            <w:r w:rsidRPr="00326E55">
              <w:rPr>
                <w:noProof/>
                <w:spacing w:val="-6"/>
                <w:lang w:val="sk-SK"/>
              </w:rPr>
              <w:t>environmentálne kritériá vo verejných obstarávaniach týkajúcich sa kultúrnych podujatí financovaných</w:t>
            </w:r>
            <w:r w:rsidR="00326E55" w:rsidRPr="00326E55">
              <w:rPr>
                <w:noProof/>
                <w:spacing w:val="-6"/>
                <w:lang w:val="sk-SK"/>
              </w:rPr>
              <w:t xml:space="preserve"> z </w:t>
            </w:r>
            <w:r w:rsidRPr="00326E55">
              <w:rPr>
                <w:noProof/>
                <w:spacing w:val="-6"/>
                <w:lang w:val="sk-SK"/>
              </w:rPr>
              <w:t>verejných zdrojov</w:t>
            </w:r>
          </w:p>
        </w:tc>
      </w:tr>
      <w:tr w:rsidR="00BF03AA" w:rsidRPr="00326E55" w14:paraId="275318E9" w14:textId="77777777">
        <w:trPr>
          <w:trHeight w:val="300"/>
        </w:trPr>
        <w:tc>
          <w:tcPr>
            <w:tcW w:w="1395" w:type="dxa"/>
            <w:shd w:val="clear" w:color="auto" w:fill="C6EFCE"/>
            <w:tcMar>
              <w:left w:w="108" w:type="dxa"/>
              <w:right w:w="108" w:type="dxa"/>
            </w:tcMar>
            <w:vAlign w:val="center"/>
          </w:tcPr>
          <w:p w14:paraId="05F2811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3</w:t>
            </w:r>
          </w:p>
        </w:tc>
        <w:tc>
          <w:tcPr>
            <w:tcW w:w="3541" w:type="dxa"/>
            <w:shd w:val="clear" w:color="auto" w:fill="C6EFCE"/>
            <w:tcMar>
              <w:left w:w="108" w:type="dxa"/>
              <w:right w:w="108" w:type="dxa"/>
            </w:tcMar>
            <w:vAlign w:val="center"/>
          </w:tcPr>
          <w:p w14:paraId="434E5419" w14:textId="70D89AF8" w:rsidR="00BF03AA" w:rsidRPr="00326E55" w:rsidRDefault="00FB452D">
            <w:pPr>
              <w:pStyle w:val="P68B1DB1-Normal121"/>
              <w:spacing w:after="0" w:line="240" w:lineRule="auto"/>
              <w:rPr>
                <w:noProof/>
                <w:spacing w:val="-6"/>
                <w:lang w:val="sk-SK"/>
              </w:rPr>
            </w:pPr>
            <w:r w:rsidRPr="00326E55">
              <w:rPr>
                <w:noProof/>
                <w:spacing w:val="-6"/>
                <w:lang w:val="sk-SK"/>
              </w:rPr>
              <w:t>Investícia 2.1: Logistický plán pre odvetvia agropotravinárstva, rybolovu</w:t>
            </w:r>
            <w:r w:rsidR="00326E55" w:rsidRPr="00326E55">
              <w:rPr>
                <w:noProof/>
                <w:spacing w:val="-6"/>
                <w:lang w:val="sk-SK"/>
              </w:rPr>
              <w:t xml:space="preserve"> a </w:t>
            </w:r>
            <w:r w:rsidRPr="00326E55">
              <w:rPr>
                <w:noProof/>
                <w:spacing w:val="-6"/>
                <w:lang w:val="sk-SK"/>
              </w:rPr>
              <w:t>akvakultúry, lesného hospodárstva, kvetinárstva</w:t>
            </w:r>
            <w:r w:rsidR="00326E55" w:rsidRPr="00326E55">
              <w:rPr>
                <w:noProof/>
                <w:spacing w:val="-6"/>
                <w:lang w:val="sk-SK"/>
              </w:rPr>
              <w:t xml:space="preserve"> a </w:t>
            </w:r>
            <w:r w:rsidRPr="00326E55">
              <w:rPr>
                <w:noProof/>
                <w:spacing w:val="-6"/>
                <w:lang w:val="sk-SK"/>
              </w:rPr>
              <w:t>škôlok</w:t>
            </w:r>
          </w:p>
        </w:tc>
        <w:tc>
          <w:tcPr>
            <w:tcW w:w="1260" w:type="dxa"/>
            <w:shd w:val="clear" w:color="auto" w:fill="C6EFCE"/>
            <w:tcMar>
              <w:left w:w="108" w:type="dxa"/>
              <w:right w:w="108" w:type="dxa"/>
            </w:tcMar>
            <w:vAlign w:val="center"/>
          </w:tcPr>
          <w:p w14:paraId="2EFD24A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40736E16" w14:textId="327D8026" w:rsidR="00BF03AA" w:rsidRPr="00326E55" w:rsidRDefault="00FB452D">
            <w:pPr>
              <w:pStyle w:val="P68B1DB1-Normal121"/>
              <w:spacing w:after="0" w:line="240" w:lineRule="auto"/>
              <w:rPr>
                <w:noProof/>
                <w:spacing w:val="-6"/>
                <w:lang w:val="sk-SK"/>
              </w:rPr>
            </w:pPr>
            <w:r w:rsidRPr="00326E55">
              <w:rPr>
                <w:noProof/>
                <w:spacing w:val="-6"/>
                <w:lang w:val="sk-SK"/>
              </w:rPr>
              <w:t>Uverejnenie konečného poradia</w:t>
            </w:r>
            <w:r w:rsidR="00326E55" w:rsidRPr="00326E55">
              <w:rPr>
                <w:noProof/>
                <w:spacing w:val="-6"/>
                <w:lang w:val="sk-SK"/>
              </w:rPr>
              <w:t xml:space="preserve"> v </w:t>
            </w:r>
            <w:r w:rsidRPr="00326E55">
              <w:rPr>
                <w:noProof/>
                <w:spacing w:val="-6"/>
                <w:lang w:val="sk-SK"/>
              </w:rPr>
              <w:t>rámci systému logistických stimulov</w:t>
            </w:r>
          </w:p>
        </w:tc>
      </w:tr>
      <w:tr w:rsidR="00BF03AA" w:rsidRPr="00326E55" w14:paraId="45EEF3D8" w14:textId="77777777">
        <w:trPr>
          <w:trHeight w:val="300"/>
        </w:trPr>
        <w:tc>
          <w:tcPr>
            <w:tcW w:w="1395" w:type="dxa"/>
            <w:shd w:val="clear" w:color="auto" w:fill="C6EFCE"/>
            <w:tcMar>
              <w:left w:w="108" w:type="dxa"/>
              <w:right w:w="108" w:type="dxa"/>
            </w:tcMar>
            <w:vAlign w:val="center"/>
          </w:tcPr>
          <w:p w14:paraId="39EF711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4</w:t>
            </w:r>
          </w:p>
        </w:tc>
        <w:tc>
          <w:tcPr>
            <w:tcW w:w="3541" w:type="dxa"/>
            <w:shd w:val="clear" w:color="auto" w:fill="C6EFCE"/>
            <w:tcMar>
              <w:left w:w="108" w:type="dxa"/>
              <w:right w:w="108" w:type="dxa"/>
            </w:tcMar>
            <w:vAlign w:val="center"/>
          </w:tcPr>
          <w:p w14:paraId="31D2866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w:t>
            </w:r>
            <w:r w:rsidRPr="00326E55">
              <w:rPr>
                <w:noProof/>
                <w:spacing w:val="-6"/>
                <w:lang w:val="sk-SK"/>
              </w:rPr>
              <w:t>cia 2.2: Poľnohospodársko-solárny park</w:t>
            </w:r>
          </w:p>
        </w:tc>
        <w:tc>
          <w:tcPr>
            <w:tcW w:w="1260" w:type="dxa"/>
            <w:shd w:val="clear" w:color="auto" w:fill="C6EFCE"/>
            <w:tcMar>
              <w:left w:w="108" w:type="dxa"/>
              <w:right w:w="108" w:type="dxa"/>
            </w:tcMar>
            <w:vAlign w:val="center"/>
          </w:tcPr>
          <w:p w14:paraId="7479F6D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05FFEB35" w14:textId="377687CC" w:rsidR="00BF03AA" w:rsidRPr="00326E55" w:rsidRDefault="00FB452D">
            <w:pPr>
              <w:pStyle w:val="P68B1DB1-Normal121"/>
              <w:spacing w:after="0" w:line="240" w:lineRule="auto"/>
              <w:rPr>
                <w:noProof/>
                <w:spacing w:val="-6"/>
                <w:lang w:val="sk-SK"/>
              </w:rPr>
            </w:pPr>
            <w:r w:rsidRPr="00326E55">
              <w:rPr>
                <w:noProof/>
                <w:spacing w:val="-6"/>
                <w:lang w:val="sk-SK"/>
              </w:rPr>
              <w:t>Pridelenie zdrojov príjemcom ako</w:t>
            </w:r>
            <w:r w:rsidR="00326E55" w:rsidRPr="00326E55">
              <w:rPr>
                <w:noProof/>
                <w:spacing w:val="-6"/>
                <w:lang w:val="sk-SK"/>
              </w:rPr>
              <w:t> %</w:t>
            </w:r>
            <w:r w:rsidRPr="00326E55">
              <w:rPr>
                <w:noProof/>
                <w:spacing w:val="-6"/>
                <w:lang w:val="sk-SK"/>
              </w:rPr>
              <w:t xml:space="preserve"> celkových finančných zdrojov pridelených na investíciu</w:t>
            </w:r>
          </w:p>
        </w:tc>
      </w:tr>
      <w:tr w:rsidR="00BF03AA" w:rsidRPr="00326E55" w14:paraId="2010BEDA" w14:textId="77777777">
        <w:trPr>
          <w:trHeight w:val="300"/>
        </w:trPr>
        <w:tc>
          <w:tcPr>
            <w:tcW w:w="1395" w:type="dxa"/>
            <w:shd w:val="clear" w:color="auto" w:fill="C6EFCE"/>
            <w:tcMar>
              <w:left w:w="108" w:type="dxa"/>
              <w:right w:w="108" w:type="dxa"/>
            </w:tcMar>
            <w:vAlign w:val="center"/>
          </w:tcPr>
          <w:p w14:paraId="7B0D8A0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8</w:t>
            </w:r>
          </w:p>
        </w:tc>
        <w:tc>
          <w:tcPr>
            <w:tcW w:w="3541" w:type="dxa"/>
            <w:shd w:val="clear" w:color="auto" w:fill="C6EFCE"/>
            <w:tcMar>
              <w:left w:w="108" w:type="dxa"/>
              <w:right w:w="108" w:type="dxa"/>
            </w:tcMar>
            <w:vAlign w:val="center"/>
          </w:tcPr>
          <w:p w14:paraId="5174D8E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2.1 Posilnenie inteligentných sietí</w:t>
            </w:r>
          </w:p>
        </w:tc>
        <w:tc>
          <w:tcPr>
            <w:tcW w:w="1260" w:type="dxa"/>
            <w:shd w:val="clear" w:color="auto" w:fill="C6EFCE"/>
            <w:tcMar>
              <w:left w:w="108" w:type="dxa"/>
              <w:right w:w="108" w:type="dxa"/>
            </w:tcMar>
            <w:vAlign w:val="center"/>
          </w:tcPr>
          <w:p w14:paraId="0AB0FB5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42A71D02" w14:textId="77777777" w:rsidR="00BF03AA" w:rsidRPr="00326E55" w:rsidRDefault="00FB452D">
            <w:pPr>
              <w:pStyle w:val="P68B1DB1-Normal121"/>
              <w:spacing w:after="0" w:line="240" w:lineRule="auto"/>
              <w:rPr>
                <w:noProof/>
                <w:spacing w:val="-6"/>
                <w:lang w:val="sk-SK"/>
              </w:rPr>
            </w:pPr>
            <w:r w:rsidRPr="00326E55">
              <w:rPr>
                <w:noProof/>
                <w:spacing w:val="-6"/>
                <w:lang w:val="sk-SK"/>
              </w:rPr>
              <w:t>Zadanie (všetkých) verejných zákaziek na zvýšenie kapacity</w:t>
            </w:r>
            <w:r w:rsidRPr="00326E55">
              <w:rPr>
                <w:noProof/>
                <w:spacing w:val="-6"/>
                <w:lang w:val="sk-SK"/>
              </w:rPr>
              <w:t xml:space="preserve"> siete</w:t>
            </w:r>
          </w:p>
        </w:tc>
      </w:tr>
      <w:tr w:rsidR="00BF03AA" w:rsidRPr="00326E55" w14:paraId="24C84B29" w14:textId="77777777">
        <w:trPr>
          <w:trHeight w:val="300"/>
        </w:trPr>
        <w:tc>
          <w:tcPr>
            <w:tcW w:w="1395" w:type="dxa"/>
            <w:shd w:val="clear" w:color="auto" w:fill="C6EFCE"/>
            <w:tcMar>
              <w:left w:w="108" w:type="dxa"/>
              <w:right w:w="108" w:type="dxa"/>
            </w:tcMar>
            <w:vAlign w:val="center"/>
          </w:tcPr>
          <w:p w14:paraId="3D7684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12</w:t>
            </w:r>
          </w:p>
        </w:tc>
        <w:tc>
          <w:tcPr>
            <w:tcW w:w="3541" w:type="dxa"/>
            <w:shd w:val="clear" w:color="auto" w:fill="C6EFCE"/>
            <w:tcMar>
              <w:left w:w="108" w:type="dxa"/>
              <w:right w:w="108" w:type="dxa"/>
            </w:tcMar>
            <w:vAlign w:val="center"/>
          </w:tcPr>
          <w:p w14:paraId="06D7D46C"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2.2 Intervencie na zvýšenie odolnosti elektrizačnej sústavy</w:t>
            </w:r>
          </w:p>
        </w:tc>
        <w:tc>
          <w:tcPr>
            <w:tcW w:w="1260" w:type="dxa"/>
            <w:shd w:val="clear" w:color="auto" w:fill="C6EFCE"/>
            <w:tcMar>
              <w:left w:w="108" w:type="dxa"/>
              <w:right w:w="108" w:type="dxa"/>
            </w:tcMar>
            <w:vAlign w:val="center"/>
          </w:tcPr>
          <w:p w14:paraId="20FCDAC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1F629A5B" w14:textId="77777777" w:rsidR="00BF03AA" w:rsidRPr="00326E55" w:rsidRDefault="00FB452D">
            <w:pPr>
              <w:pStyle w:val="P68B1DB1-Normal121"/>
              <w:spacing w:after="0" w:line="240" w:lineRule="auto"/>
              <w:rPr>
                <w:noProof/>
                <w:spacing w:val="-6"/>
                <w:lang w:val="sk-SK"/>
              </w:rPr>
            </w:pPr>
            <w:r w:rsidRPr="00326E55">
              <w:rPr>
                <w:noProof/>
                <w:spacing w:val="-6"/>
                <w:lang w:val="sk-SK"/>
              </w:rPr>
              <w:t>Zadanie projektov na zvýšenie odolnosti siete elektrizačnej sústavy</w:t>
            </w:r>
          </w:p>
        </w:tc>
      </w:tr>
      <w:tr w:rsidR="00BF03AA" w:rsidRPr="00326E55" w14:paraId="7C27BD6E" w14:textId="77777777">
        <w:trPr>
          <w:trHeight w:val="300"/>
        </w:trPr>
        <w:tc>
          <w:tcPr>
            <w:tcW w:w="1395" w:type="dxa"/>
            <w:shd w:val="clear" w:color="auto" w:fill="C6EFCE"/>
            <w:tcMar>
              <w:left w:w="108" w:type="dxa"/>
              <w:right w:w="108" w:type="dxa"/>
            </w:tcMar>
            <w:vAlign w:val="center"/>
          </w:tcPr>
          <w:p w14:paraId="32F81CE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1</w:t>
            </w:r>
          </w:p>
        </w:tc>
        <w:tc>
          <w:tcPr>
            <w:tcW w:w="3541" w:type="dxa"/>
            <w:shd w:val="clear" w:color="auto" w:fill="C6EFCE"/>
            <w:tcMar>
              <w:left w:w="108" w:type="dxa"/>
              <w:right w:w="108" w:type="dxa"/>
            </w:tcMar>
            <w:vAlign w:val="center"/>
          </w:tcPr>
          <w:p w14:paraId="737A1F9C"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1.1 – Zjednodušenie postupov pre proces strategického plánovania </w:t>
            </w:r>
          </w:p>
        </w:tc>
        <w:tc>
          <w:tcPr>
            <w:tcW w:w="1260" w:type="dxa"/>
            <w:shd w:val="clear" w:color="auto" w:fill="C6EFCE"/>
            <w:tcMar>
              <w:left w:w="108" w:type="dxa"/>
              <w:right w:w="108" w:type="dxa"/>
            </w:tcMar>
            <w:vAlign w:val="center"/>
          </w:tcPr>
          <w:p w14:paraId="2F1BA56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52A41789"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legislatívnych zmien týkajúcich sa zjednodušenia postupov pre proces strategického plánovania</w:t>
            </w:r>
          </w:p>
        </w:tc>
      </w:tr>
      <w:tr w:rsidR="00BF03AA" w:rsidRPr="00326E55" w14:paraId="6A615199" w14:textId="77777777">
        <w:trPr>
          <w:trHeight w:val="300"/>
        </w:trPr>
        <w:tc>
          <w:tcPr>
            <w:tcW w:w="1395" w:type="dxa"/>
            <w:shd w:val="clear" w:color="auto" w:fill="C6EFCE"/>
            <w:tcMar>
              <w:left w:w="108" w:type="dxa"/>
              <w:right w:w="108" w:type="dxa"/>
            </w:tcMar>
            <w:vAlign w:val="center"/>
          </w:tcPr>
          <w:p w14:paraId="1B9B1CE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2</w:t>
            </w:r>
          </w:p>
        </w:tc>
        <w:tc>
          <w:tcPr>
            <w:tcW w:w="3541" w:type="dxa"/>
            <w:shd w:val="clear" w:color="auto" w:fill="C6EFCE"/>
            <w:tcMar>
              <w:left w:w="108" w:type="dxa"/>
              <w:right w:w="108" w:type="dxa"/>
            </w:tcMar>
            <w:vAlign w:val="center"/>
          </w:tcPr>
          <w:p w14:paraId="28B15C3B" w14:textId="795A7AFA" w:rsidR="00BF03AA" w:rsidRPr="00326E55" w:rsidRDefault="00FB452D">
            <w:pPr>
              <w:pStyle w:val="P68B1DB1-Normal121"/>
              <w:spacing w:after="0" w:line="240" w:lineRule="auto"/>
              <w:rPr>
                <w:noProof/>
                <w:spacing w:val="-6"/>
                <w:lang w:val="sk-SK"/>
              </w:rPr>
            </w:pPr>
            <w:r w:rsidRPr="00326E55">
              <w:rPr>
                <w:noProof/>
                <w:spacing w:val="-6"/>
                <w:lang w:val="sk-SK"/>
              </w:rPr>
              <w:t>Reforma 1.2 – Konkurenčné udeľovanie koncesií</w:t>
            </w:r>
            <w:r w:rsidR="00326E55" w:rsidRPr="00326E55">
              <w:rPr>
                <w:noProof/>
                <w:spacing w:val="-6"/>
                <w:lang w:val="sk-SK"/>
              </w:rPr>
              <w:t xml:space="preserve"> v </w:t>
            </w:r>
            <w:r w:rsidRPr="00326E55">
              <w:rPr>
                <w:noProof/>
                <w:spacing w:val="-6"/>
                <w:lang w:val="sk-SK"/>
              </w:rPr>
              <w:t>talianskych prístavoch</w:t>
            </w:r>
          </w:p>
        </w:tc>
        <w:tc>
          <w:tcPr>
            <w:tcW w:w="1260" w:type="dxa"/>
            <w:shd w:val="clear" w:color="auto" w:fill="C6EFCE"/>
            <w:tcMar>
              <w:left w:w="108" w:type="dxa"/>
              <w:right w:w="108" w:type="dxa"/>
            </w:tcMar>
            <w:vAlign w:val="center"/>
          </w:tcPr>
          <w:p w14:paraId="372C1CC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3257B902" w14:textId="1F0E101A"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nariadenia</w:t>
            </w:r>
            <w:r w:rsidR="00326E55" w:rsidRPr="00326E55">
              <w:rPr>
                <w:noProof/>
                <w:spacing w:val="-6"/>
                <w:lang w:val="sk-SK"/>
              </w:rPr>
              <w:t xml:space="preserve"> o </w:t>
            </w:r>
            <w:r w:rsidRPr="00326E55">
              <w:rPr>
                <w:noProof/>
                <w:spacing w:val="-6"/>
                <w:lang w:val="sk-SK"/>
              </w:rPr>
              <w:t>prístavných kon</w:t>
            </w:r>
            <w:r w:rsidRPr="00326E55">
              <w:rPr>
                <w:noProof/>
                <w:spacing w:val="-6"/>
                <w:lang w:val="sk-SK"/>
              </w:rPr>
              <w:t>cesiách</w:t>
            </w:r>
          </w:p>
        </w:tc>
      </w:tr>
      <w:tr w:rsidR="00BF03AA" w:rsidRPr="00326E55" w14:paraId="492973B0" w14:textId="77777777">
        <w:trPr>
          <w:trHeight w:val="300"/>
        </w:trPr>
        <w:tc>
          <w:tcPr>
            <w:tcW w:w="1395" w:type="dxa"/>
            <w:shd w:val="clear" w:color="auto" w:fill="C6EFCE"/>
            <w:tcMar>
              <w:left w:w="108" w:type="dxa"/>
              <w:right w:w="108" w:type="dxa"/>
            </w:tcMar>
            <w:vAlign w:val="center"/>
          </w:tcPr>
          <w:p w14:paraId="32844C8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4</w:t>
            </w:r>
          </w:p>
        </w:tc>
        <w:tc>
          <w:tcPr>
            <w:tcW w:w="3541" w:type="dxa"/>
            <w:shd w:val="clear" w:color="auto" w:fill="C6EFCE"/>
            <w:tcMar>
              <w:left w:w="108" w:type="dxa"/>
              <w:right w:w="108" w:type="dxa"/>
            </w:tcMar>
            <w:vAlign w:val="center"/>
          </w:tcPr>
          <w:p w14:paraId="18797B44"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1.3 – Zjednodušenie povoľovacích postupov pre zariadenia na žehlenie za studena</w:t>
            </w:r>
          </w:p>
        </w:tc>
        <w:tc>
          <w:tcPr>
            <w:tcW w:w="1260" w:type="dxa"/>
            <w:shd w:val="clear" w:color="auto" w:fill="C6EFCE"/>
            <w:tcMar>
              <w:left w:w="108" w:type="dxa"/>
              <w:right w:w="108" w:type="dxa"/>
            </w:tcMar>
            <w:vAlign w:val="center"/>
          </w:tcPr>
          <w:p w14:paraId="077AA2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06B78301"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zjednodušenia povoľovacích postupov pre zariadenia na žehlenie za studena</w:t>
            </w:r>
          </w:p>
        </w:tc>
      </w:tr>
      <w:tr w:rsidR="00BF03AA" w:rsidRPr="00326E55" w14:paraId="0FE73E7F" w14:textId="77777777">
        <w:trPr>
          <w:trHeight w:val="300"/>
        </w:trPr>
        <w:tc>
          <w:tcPr>
            <w:tcW w:w="1395" w:type="dxa"/>
            <w:shd w:val="clear" w:color="auto" w:fill="C6EFCE"/>
            <w:tcMar>
              <w:left w:w="108" w:type="dxa"/>
              <w:right w:w="108" w:type="dxa"/>
            </w:tcMar>
            <w:vAlign w:val="center"/>
          </w:tcPr>
          <w:p w14:paraId="5647F4D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5</w:t>
            </w:r>
          </w:p>
        </w:tc>
        <w:tc>
          <w:tcPr>
            <w:tcW w:w="3541" w:type="dxa"/>
            <w:shd w:val="clear" w:color="auto" w:fill="C6EFCE"/>
            <w:tcMar>
              <w:left w:w="108" w:type="dxa"/>
              <w:right w:w="108" w:type="dxa"/>
            </w:tcMar>
            <w:vAlign w:val="center"/>
          </w:tcPr>
          <w:p w14:paraId="21899888" w14:textId="584485DC" w:rsidR="00BF03AA" w:rsidRPr="00326E55" w:rsidRDefault="00FB452D">
            <w:pPr>
              <w:pStyle w:val="P68B1DB1-Normal121"/>
              <w:spacing w:after="0" w:line="240" w:lineRule="auto"/>
              <w:rPr>
                <w:noProof/>
                <w:spacing w:val="-6"/>
                <w:lang w:val="sk-SK"/>
              </w:rPr>
            </w:pPr>
            <w:r w:rsidRPr="00326E55">
              <w:rPr>
                <w:noProof/>
                <w:spacing w:val="-6"/>
                <w:lang w:val="sk-SK"/>
              </w:rPr>
              <w:t>Reforma 1.3: Reorganizácia školského</w:t>
            </w:r>
            <w:r w:rsidRPr="00326E55">
              <w:rPr>
                <w:noProof/>
                <w:spacing w:val="-6"/>
                <w:lang w:val="sk-SK"/>
              </w:rPr>
              <w:t xml:space="preserve"> systému; Reforma 1.2: Reforma systému terciárneho odborného vzdelávania (ITS); Reforma 1.1: Reforma technických</w:t>
            </w:r>
            <w:r w:rsidR="00326E55" w:rsidRPr="00326E55">
              <w:rPr>
                <w:noProof/>
                <w:spacing w:val="-6"/>
                <w:lang w:val="sk-SK"/>
              </w:rPr>
              <w:t xml:space="preserve"> a </w:t>
            </w:r>
            <w:r w:rsidRPr="00326E55">
              <w:rPr>
                <w:noProof/>
                <w:spacing w:val="-6"/>
                <w:lang w:val="sk-SK"/>
              </w:rPr>
              <w:t>odborných inštitútov; Reforma 1.4: Reforma systému „Orientácie“</w:t>
            </w:r>
          </w:p>
        </w:tc>
        <w:tc>
          <w:tcPr>
            <w:tcW w:w="1260" w:type="dxa"/>
            <w:shd w:val="clear" w:color="auto" w:fill="C6EFCE"/>
            <w:tcMar>
              <w:left w:w="108" w:type="dxa"/>
              <w:right w:w="108" w:type="dxa"/>
            </w:tcMar>
            <w:vAlign w:val="center"/>
          </w:tcPr>
          <w:p w14:paraId="36AD4F8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Míľniky</w:t>
            </w:r>
          </w:p>
        </w:tc>
        <w:tc>
          <w:tcPr>
            <w:tcW w:w="3162" w:type="dxa"/>
            <w:shd w:val="clear" w:color="auto" w:fill="C6EFCE"/>
            <w:tcMar>
              <w:left w:w="108" w:type="dxa"/>
              <w:right w:w="108" w:type="dxa"/>
            </w:tcMar>
            <w:vAlign w:val="center"/>
          </w:tcPr>
          <w:p w14:paraId="31CFE740" w14:textId="69F4606D"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reforiem systému primárneho</w:t>
            </w:r>
            <w:r w:rsidR="00326E55" w:rsidRPr="00326E55">
              <w:rPr>
                <w:noProof/>
                <w:spacing w:val="-6"/>
                <w:lang w:val="sk-SK"/>
              </w:rPr>
              <w:t xml:space="preserve"> a </w:t>
            </w:r>
            <w:r w:rsidRPr="00326E55">
              <w:rPr>
                <w:noProof/>
                <w:spacing w:val="-6"/>
                <w:lang w:val="sk-SK"/>
              </w:rPr>
              <w:t>sekundárneho vzd</w:t>
            </w:r>
            <w:r w:rsidRPr="00326E55">
              <w:rPr>
                <w:noProof/>
                <w:spacing w:val="-6"/>
                <w:lang w:val="sk-SK"/>
              </w:rPr>
              <w:t>elávania</w:t>
            </w:r>
            <w:r w:rsidR="00326E55" w:rsidRPr="00326E55">
              <w:rPr>
                <w:noProof/>
                <w:spacing w:val="-6"/>
                <w:lang w:val="sk-SK"/>
              </w:rPr>
              <w:t xml:space="preserve"> s </w:t>
            </w:r>
            <w:r w:rsidRPr="00326E55">
              <w:rPr>
                <w:noProof/>
                <w:spacing w:val="-6"/>
                <w:lang w:val="sk-SK"/>
              </w:rPr>
              <w:t>cieľom zlepšiť výsledky vzdelávania</w:t>
            </w:r>
          </w:p>
        </w:tc>
      </w:tr>
      <w:tr w:rsidR="00BF03AA" w:rsidRPr="00326E55" w14:paraId="3705DE41" w14:textId="77777777">
        <w:trPr>
          <w:trHeight w:val="300"/>
        </w:trPr>
        <w:tc>
          <w:tcPr>
            <w:tcW w:w="1395" w:type="dxa"/>
            <w:shd w:val="clear" w:color="auto" w:fill="C6EFCE"/>
            <w:tcMar>
              <w:left w:w="108" w:type="dxa"/>
              <w:right w:w="108" w:type="dxa"/>
            </w:tcMar>
            <w:vAlign w:val="center"/>
          </w:tcPr>
          <w:p w14:paraId="3555431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6</w:t>
            </w:r>
          </w:p>
        </w:tc>
        <w:tc>
          <w:tcPr>
            <w:tcW w:w="3541" w:type="dxa"/>
            <w:shd w:val="clear" w:color="auto" w:fill="C6EFCE"/>
            <w:tcMar>
              <w:left w:w="108" w:type="dxa"/>
              <w:right w:w="108" w:type="dxa"/>
            </w:tcMar>
            <w:vAlign w:val="center"/>
          </w:tcPr>
          <w:p w14:paraId="22FC731F" w14:textId="0D90426F" w:rsidR="00BF03AA" w:rsidRPr="00326E55" w:rsidRDefault="00FB452D">
            <w:pPr>
              <w:pStyle w:val="P68B1DB1-Normal121"/>
              <w:spacing w:after="0" w:line="240" w:lineRule="auto"/>
              <w:rPr>
                <w:noProof/>
                <w:spacing w:val="-6"/>
                <w:lang w:val="sk-SK"/>
              </w:rPr>
            </w:pPr>
            <w:r w:rsidRPr="00326E55">
              <w:rPr>
                <w:noProof/>
                <w:spacing w:val="-6"/>
                <w:lang w:val="sk-SK"/>
              </w:rPr>
              <w:t>Reforma 2.2: Terciárne pokročilé školy</w:t>
            </w:r>
            <w:r w:rsidR="00326E55" w:rsidRPr="00326E55">
              <w:rPr>
                <w:noProof/>
                <w:spacing w:val="-6"/>
                <w:lang w:val="sk-SK"/>
              </w:rPr>
              <w:t xml:space="preserve"> a </w:t>
            </w:r>
            <w:r w:rsidRPr="00326E55">
              <w:rPr>
                <w:noProof/>
                <w:spacing w:val="-6"/>
                <w:lang w:val="sk-SK"/>
              </w:rPr>
              <w:t>priebežná odborná príprava vedúcich pracovníkov škôl, učiteľov, administratívnych</w:t>
            </w:r>
            <w:r w:rsidR="00326E55" w:rsidRPr="00326E55">
              <w:rPr>
                <w:noProof/>
                <w:spacing w:val="-6"/>
                <w:lang w:val="sk-SK"/>
              </w:rPr>
              <w:t xml:space="preserve"> a </w:t>
            </w:r>
            <w:r w:rsidRPr="00326E55">
              <w:rPr>
                <w:noProof/>
                <w:spacing w:val="-6"/>
                <w:lang w:val="sk-SK"/>
              </w:rPr>
              <w:t>technických pracovníkov</w:t>
            </w:r>
          </w:p>
        </w:tc>
        <w:tc>
          <w:tcPr>
            <w:tcW w:w="1260" w:type="dxa"/>
            <w:shd w:val="clear" w:color="auto" w:fill="C6EFCE"/>
            <w:tcMar>
              <w:left w:w="108" w:type="dxa"/>
              <w:right w:w="108" w:type="dxa"/>
            </w:tcMar>
            <w:vAlign w:val="center"/>
          </w:tcPr>
          <w:p w14:paraId="49D93FF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2E776FB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právnych predpisov </w:t>
            </w:r>
            <w:r w:rsidRPr="00326E55">
              <w:rPr>
                <w:noProof/>
                <w:spacing w:val="-6"/>
                <w:lang w:val="sk-SK"/>
              </w:rPr>
              <w:t>zameraných na vybudovanie kvalitného systému odbornej prípravy pre školy.</w:t>
            </w:r>
          </w:p>
        </w:tc>
      </w:tr>
      <w:tr w:rsidR="00BF03AA" w:rsidRPr="00326E55" w14:paraId="0FA8D99C" w14:textId="77777777">
        <w:trPr>
          <w:trHeight w:val="300"/>
        </w:trPr>
        <w:tc>
          <w:tcPr>
            <w:tcW w:w="1395" w:type="dxa"/>
            <w:shd w:val="clear" w:color="auto" w:fill="C6EFCE"/>
            <w:tcMar>
              <w:left w:w="108" w:type="dxa"/>
              <w:right w:w="108" w:type="dxa"/>
            </w:tcMar>
            <w:vAlign w:val="center"/>
          </w:tcPr>
          <w:p w14:paraId="772C397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w:t>
            </w:r>
          </w:p>
        </w:tc>
        <w:tc>
          <w:tcPr>
            <w:tcW w:w="3541" w:type="dxa"/>
            <w:shd w:val="clear" w:color="auto" w:fill="C6EFCE"/>
            <w:tcMar>
              <w:left w:w="108" w:type="dxa"/>
              <w:right w:w="108" w:type="dxa"/>
            </w:tcMar>
            <w:vAlign w:val="center"/>
          </w:tcPr>
          <w:p w14:paraId="76A603AA"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1.2: Financovanie projektov prezentovaných mladými výskumníkmi</w:t>
            </w:r>
          </w:p>
        </w:tc>
        <w:tc>
          <w:tcPr>
            <w:tcW w:w="1260" w:type="dxa"/>
            <w:shd w:val="clear" w:color="auto" w:fill="C6EFCE"/>
            <w:tcMar>
              <w:left w:w="108" w:type="dxa"/>
              <w:right w:w="108" w:type="dxa"/>
            </w:tcMar>
            <w:vAlign w:val="center"/>
          </w:tcPr>
          <w:p w14:paraId="59E784D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21DF5411"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študentov, ktorým bol udelený grant na výskum</w:t>
            </w:r>
          </w:p>
        </w:tc>
      </w:tr>
      <w:tr w:rsidR="00BF03AA" w:rsidRPr="00326E55" w14:paraId="0BD44E33" w14:textId="77777777">
        <w:trPr>
          <w:trHeight w:val="300"/>
        </w:trPr>
        <w:tc>
          <w:tcPr>
            <w:tcW w:w="1395" w:type="dxa"/>
            <w:shd w:val="clear" w:color="auto" w:fill="C6EFCE"/>
            <w:tcMar>
              <w:left w:w="108" w:type="dxa"/>
              <w:right w:w="108" w:type="dxa"/>
            </w:tcMar>
            <w:vAlign w:val="center"/>
          </w:tcPr>
          <w:p w14:paraId="5BB0E97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2</w:t>
            </w:r>
          </w:p>
        </w:tc>
        <w:tc>
          <w:tcPr>
            <w:tcW w:w="3541" w:type="dxa"/>
            <w:shd w:val="clear" w:color="auto" w:fill="C6EFCE"/>
            <w:tcMar>
              <w:left w:w="108" w:type="dxa"/>
              <w:right w:w="108" w:type="dxa"/>
            </w:tcMar>
            <w:vAlign w:val="center"/>
          </w:tcPr>
          <w:p w14:paraId="2CF8A7F6" w14:textId="3352A9F3"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 – aktívne politiky </w:t>
            </w:r>
            <w:r w:rsidRPr="00326E55">
              <w:rPr>
                <w:noProof/>
                <w:spacing w:val="-6"/>
                <w:lang w:val="sk-SK"/>
              </w:rPr>
              <w:t>trhu práce</w:t>
            </w:r>
            <w:r w:rsidR="00326E55" w:rsidRPr="00326E55">
              <w:rPr>
                <w:noProof/>
                <w:spacing w:val="-6"/>
                <w:lang w:val="sk-SK"/>
              </w:rPr>
              <w:t xml:space="preserve"> a </w:t>
            </w:r>
            <w:r w:rsidRPr="00326E55">
              <w:rPr>
                <w:noProof/>
                <w:spacing w:val="-6"/>
                <w:lang w:val="sk-SK"/>
              </w:rPr>
              <w:t>odborná príprava</w:t>
            </w:r>
          </w:p>
        </w:tc>
        <w:tc>
          <w:tcPr>
            <w:tcW w:w="1260" w:type="dxa"/>
            <w:shd w:val="clear" w:color="auto" w:fill="C6EFCE"/>
            <w:tcMar>
              <w:left w:w="108" w:type="dxa"/>
              <w:right w:w="108" w:type="dxa"/>
            </w:tcMar>
            <w:vAlign w:val="center"/>
          </w:tcPr>
          <w:p w14:paraId="5A50514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564ABA2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všetkých plánov verejných služieb zamestnanosti (VSZ) na regionálnej úrovni  </w:t>
            </w:r>
          </w:p>
        </w:tc>
      </w:tr>
      <w:tr w:rsidR="00BF03AA" w:rsidRPr="00326E55" w14:paraId="52C65806" w14:textId="77777777">
        <w:trPr>
          <w:trHeight w:val="300"/>
        </w:trPr>
        <w:tc>
          <w:tcPr>
            <w:tcW w:w="1395" w:type="dxa"/>
            <w:shd w:val="clear" w:color="auto" w:fill="C6EFCE"/>
            <w:tcMar>
              <w:left w:w="108" w:type="dxa"/>
              <w:right w:w="108" w:type="dxa"/>
            </w:tcMar>
            <w:vAlign w:val="center"/>
          </w:tcPr>
          <w:p w14:paraId="6AC8C0C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6</w:t>
            </w:r>
          </w:p>
        </w:tc>
        <w:tc>
          <w:tcPr>
            <w:tcW w:w="3541" w:type="dxa"/>
            <w:shd w:val="clear" w:color="auto" w:fill="C6EFCE"/>
            <w:tcMar>
              <w:left w:w="108" w:type="dxa"/>
              <w:right w:w="108" w:type="dxa"/>
            </w:tcMar>
            <w:vAlign w:val="center"/>
          </w:tcPr>
          <w:p w14:paraId="3299AD93"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 – Posilnenie verejných služieb zamestnanosti (VSZ) </w:t>
            </w:r>
          </w:p>
        </w:tc>
        <w:tc>
          <w:tcPr>
            <w:tcW w:w="1260" w:type="dxa"/>
            <w:shd w:val="clear" w:color="auto" w:fill="C6EFCE"/>
            <w:tcMar>
              <w:left w:w="108" w:type="dxa"/>
              <w:right w:w="108" w:type="dxa"/>
            </w:tcMar>
            <w:vAlign w:val="center"/>
          </w:tcPr>
          <w:p w14:paraId="4CA4BB4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66B1EC62" w14:textId="151A3211" w:rsidR="00BF03AA" w:rsidRPr="00326E55" w:rsidRDefault="00FB452D">
            <w:pPr>
              <w:pStyle w:val="P68B1DB1-Normal121"/>
              <w:spacing w:after="0" w:line="240" w:lineRule="auto"/>
              <w:rPr>
                <w:noProof/>
                <w:spacing w:val="-6"/>
                <w:lang w:val="sk-SK"/>
              </w:rPr>
            </w:pPr>
            <w:r w:rsidRPr="00326E55">
              <w:rPr>
                <w:noProof/>
                <w:spacing w:val="-6"/>
                <w:lang w:val="sk-SK"/>
              </w:rPr>
              <w:t xml:space="preserve">Verejné služby zamestnanosti (VSZ) </w:t>
            </w:r>
            <w:r w:rsidRPr="00326E55">
              <w:rPr>
                <w:noProof/>
                <w:spacing w:val="-6"/>
                <w:lang w:val="sk-SK"/>
              </w:rPr>
              <w:t>vykonávajú činnosti plánované</w:t>
            </w:r>
            <w:r w:rsidR="00326E55" w:rsidRPr="00326E55">
              <w:rPr>
                <w:noProof/>
                <w:spacing w:val="-6"/>
                <w:lang w:val="sk-SK"/>
              </w:rPr>
              <w:t xml:space="preserve"> v </w:t>
            </w:r>
            <w:r w:rsidRPr="00326E55">
              <w:rPr>
                <w:noProof/>
                <w:spacing w:val="-6"/>
                <w:lang w:val="sk-SK"/>
              </w:rPr>
              <w:t>pláne posilnenia počas trojročného obdobia 2021 – 2023.</w:t>
            </w:r>
          </w:p>
        </w:tc>
      </w:tr>
      <w:tr w:rsidR="00BF03AA" w:rsidRPr="00326E55" w14:paraId="20C80B6B" w14:textId="77777777">
        <w:trPr>
          <w:trHeight w:val="300"/>
        </w:trPr>
        <w:tc>
          <w:tcPr>
            <w:tcW w:w="1395" w:type="dxa"/>
            <w:shd w:val="clear" w:color="auto" w:fill="C6EFCE"/>
            <w:tcMar>
              <w:left w:w="108" w:type="dxa"/>
              <w:right w:w="108" w:type="dxa"/>
            </w:tcMar>
            <w:vAlign w:val="center"/>
          </w:tcPr>
          <w:p w14:paraId="1E2BB1A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8</w:t>
            </w:r>
          </w:p>
        </w:tc>
        <w:tc>
          <w:tcPr>
            <w:tcW w:w="3541" w:type="dxa"/>
            <w:shd w:val="clear" w:color="auto" w:fill="C6EFCE"/>
            <w:tcMar>
              <w:left w:w="108" w:type="dxa"/>
              <w:right w:w="108" w:type="dxa"/>
            </w:tcMar>
            <w:vAlign w:val="center"/>
          </w:tcPr>
          <w:p w14:paraId="0D4B147C"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 – Nedeklarovaná práca</w:t>
            </w:r>
          </w:p>
        </w:tc>
        <w:tc>
          <w:tcPr>
            <w:tcW w:w="1260" w:type="dxa"/>
            <w:shd w:val="clear" w:color="auto" w:fill="C6EFCE"/>
            <w:tcMar>
              <w:left w:w="108" w:type="dxa"/>
              <w:right w:w="108" w:type="dxa"/>
            </w:tcMar>
            <w:vAlign w:val="center"/>
          </w:tcPr>
          <w:p w14:paraId="145D911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64941A76" w14:textId="3392CE6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národného plánu</w:t>
            </w:r>
            <w:r w:rsidR="00326E55" w:rsidRPr="00326E55">
              <w:rPr>
                <w:noProof/>
                <w:spacing w:val="-6"/>
                <w:lang w:val="sk-SK"/>
              </w:rPr>
              <w:t xml:space="preserve"> a </w:t>
            </w:r>
            <w:r w:rsidRPr="00326E55">
              <w:rPr>
                <w:noProof/>
                <w:spacing w:val="-6"/>
                <w:lang w:val="sk-SK"/>
              </w:rPr>
              <w:t>plánu vykonávania na boj proti nelegálnej práci vo všetkých hospodárskych odve</w:t>
            </w:r>
            <w:r w:rsidRPr="00326E55">
              <w:rPr>
                <w:noProof/>
                <w:spacing w:val="-6"/>
                <w:lang w:val="sk-SK"/>
              </w:rPr>
              <w:t>tviach.</w:t>
            </w:r>
          </w:p>
        </w:tc>
      </w:tr>
      <w:tr w:rsidR="00BF03AA" w:rsidRPr="00326E55" w14:paraId="7FB642B4" w14:textId="77777777">
        <w:trPr>
          <w:trHeight w:val="300"/>
        </w:trPr>
        <w:tc>
          <w:tcPr>
            <w:tcW w:w="1395" w:type="dxa"/>
            <w:shd w:val="clear" w:color="auto" w:fill="C6EFCE"/>
            <w:tcMar>
              <w:left w:w="108" w:type="dxa"/>
              <w:right w:w="108" w:type="dxa"/>
            </w:tcMar>
            <w:vAlign w:val="center"/>
          </w:tcPr>
          <w:p w14:paraId="356AC69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12</w:t>
            </w:r>
          </w:p>
        </w:tc>
        <w:tc>
          <w:tcPr>
            <w:tcW w:w="3541" w:type="dxa"/>
            <w:shd w:val="clear" w:color="auto" w:fill="C6EFCE"/>
            <w:tcMar>
              <w:left w:w="108" w:type="dxa"/>
              <w:right w:w="108" w:type="dxa"/>
            </w:tcMar>
            <w:vAlign w:val="center"/>
          </w:tcPr>
          <w:p w14:paraId="5C51439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 – Systém certifikácie rodovej rovnosti</w:t>
            </w:r>
          </w:p>
        </w:tc>
        <w:tc>
          <w:tcPr>
            <w:tcW w:w="1260" w:type="dxa"/>
            <w:shd w:val="clear" w:color="auto" w:fill="C6EFCE"/>
            <w:tcMar>
              <w:left w:w="108" w:type="dxa"/>
              <w:right w:w="108" w:type="dxa"/>
            </w:tcMar>
            <w:vAlign w:val="center"/>
          </w:tcPr>
          <w:p w14:paraId="349B665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48B26AC1" w14:textId="3753D241"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systému certifikácie rodovej rovnosti</w:t>
            </w:r>
            <w:r w:rsidR="00326E55" w:rsidRPr="00326E55">
              <w:rPr>
                <w:noProof/>
                <w:spacing w:val="-6"/>
                <w:lang w:val="sk-SK"/>
              </w:rPr>
              <w:t xml:space="preserve"> a </w:t>
            </w:r>
            <w:r w:rsidRPr="00326E55">
              <w:rPr>
                <w:noProof/>
                <w:spacing w:val="-6"/>
                <w:lang w:val="sk-SK"/>
              </w:rPr>
              <w:t xml:space="preserve">sprievodných stimulačných mechanizmov pre spoločnosti </w:t>
            </w:r>
          </w:p>
        </w:tc>
      </w:tr>
      <w:tr w:rsidR="00BF03AA" w:rsidRPr="00326E55" w14:paraId="05DB3631" w14:textId="77777777">
        <w:trPr>
          <w:trHeight w:val="300"/>
        </w:trPr>
        <w:tc>
          <w:tcPr>
            <w:tcW w:w="1395" w:type="dxa"/>
            <w:shd w:val="clear" w:color="auto" w:fill="C6EFCE"/>
            <w:tcMar>
              <w:left w:w="108" w:type="dxa"/>
              <w:right w:w="108" w:type="dxa"/>
            </w:tcMar>
            <w:vAlign w:val="center"/>
          </w:tcPr>
          <w:p w14:paraId="0E29F65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7</w:t>
            </w:r>
          </w:p>
        </w:tc>
        <w:tc>
          <w:tcPr>
            <w:tcW w:w="3541" w:type="dxa"/>
            <w:shd w:val="clear" w:color="auto" w:fill="C6EFCE"/>
            <w:tcMar>
              <w:left w:w="108" w:type="dxa"/>
              <w:right w:w="108" w:type="dxa"/>
            </w:tcMar>
            <w:vAlign w:val="center"/>
          </w:tcPr>
          <w:p w14:paraId="7ADD3B1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2 – Autonómne modely pre osoby so </w:t>
            </w:r>
            <w:r w:rsidRPr="00326E55">
              <w:rPr>
                <w:noProof/>
                <w:spacing w:val="-6"/>
                <w:lang w:val="sk-SK"/>
              </w:rPr>
              <w:t>zdravotným postihnutím</w:t>
            </w:r>
          </w:p>
        </w:tc>
        <w:tc>
          <w:tcPr>
            <w:tcW w:w="1260" w:type="dxa"/>
            <w:shd w:val="clear" w:color="auto" w:fill="C6EFCE"/>
            <w:tcMar>
              <w:left w:w="108" w:type="dxa"/>
              <w:right w:w="108" w:type="dxa"/>
            </w:tcMar>
            <w:vAlign w:val="center"/>
          </w:tcPr>
          <w:p w14:paraId="1431552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62" w:type="dxa"/>
            <w:shd w:val="clear" w:color="auto" w:fill="C6EFCE"/>
            <w:tcMar>
              <w:left w:w="108" w:type="dxa"/>
              <w:right w:w="108" w:type="dxa"/>
            </w:tcMar>
            <w:vAlign w:val="center"/>
          </w:tcPr>
          <w:p w14:paraId="439D5539" w14:textId="0DB54313" w:rsidR="00BF03AA" w:rsidRPr="00326E55" w:rsidRDefault="00FB452D">
            <w:pPr>
              <w:pStyle w:val="P68B1DB1-Normal121"/>
              <w:spacing w:after="0" w:line="240" w:lineRule="auto"/>
              <w:rPr>
                <w:noProof/>
                <w:spacing w:val="-6"/>
                <w:lang w:val="sk-SK"/>
              </w:rPr>
            </w:pPr>
            <w:r w:rsidRPr="00326E55">
              <w:rPr>
                <w:noProof/>
                <w:spacing w:val="-6"/>
                <w:lang w:val="sk-SK"/>
              </w:rPr>
              <w:t>Sociálne obvody realizovali aspoň jeden projekt</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obnovou obytných priestorov a/alebo poskytovaním zariadení IKT osobám so zdravotným postihnutím spolu</w:t>
            </w:r>
            <w:r w:rsidR="00326E55" w:rsidRPr="00326E55">
              <w:rPr>
                <w:noProof/>
                <w:spacing w:val="-6"/>
                <w:lang w:val="sk-SK"/>
              </w:rPr>
              <w:t xml:space="preserve"> s </w:t>
            </w:r>
            <w:r w:rsidRPr="00326E55">
              <w:rPr>
                <w:noProof/>
                <w:spacing w:val="-6"/>
                <w:lang w:val="sk-SK"/>
              </w:rPr>
              <w:t>odbornou prípravou</w:t>
            </w:r>
            <w:r w:rsidR="00326E55" w:rsidRPr="00326E55">
              <w:rPr>
                <w:noProof/>
                <w:spacing w:val="-6"/>
                <w:lang w:val="sk-SK"/>
              </w:rPr>
              <w:t xml:space="preserve"> v </w:t>
            </w:r>
            <w:r w:rsidRPr="00326E55">
              <w:rPr>
                <w:noProof/>
                <w:spacing w:val="-6"/>
                <w:lang w:val="sk-SK"/>
              </w:rPr>
              <w:t>oblasti digitálnych zručností.</w:t>
            </w:r>
          </w:p>
        </w:tc>
      </w:tr>
      <w:tr w:rsidR="00BF03AA" w:rsidRPr="00326E55" w14:paraId="27B293CC" w14:textId="77777777">
        <w:trPr>
          <w:trHeight w:val="300"/>
        </w:trPr>
        <w:tc>
          <w:tcPr>
            <w:tcW w:w="1395" w:type="dxa"/>
            <w:shd w:val="clear" w:color="auto" w:fill="C6EFCE"/>
            <w:tcMar>
              <w:left w:w="108" w:type="dxa"/>
              <w:right w:w="108" w:type="dxa"/>
            </w:tcMar>
            <w:vAlign w:val="center"/>
          </w:tcPr>
          <w:p w14:paraId="45BA980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M5C3 – 1</w:t>
            </w:r>
          </w:p>
        </w:tc>
        <w:tc>
          <w:tcPr>
            <w:tcW w:w="3541" w:type="dxa"/>
            <w:shd w:val="clear" w:color="auto" w:fill="C6EFCE"/>
            <w:tcMar>
              <w:left w:w="108" w:type="dxa"/>
              <w:right w:w="108" w:type="dxa"/>
            </w:tcMar>
            <w:vAlign w:val="center"/>
          </w:tcPr>
          <w:p w14:paraId="2267B836" w14:textId="4F125FBE" w:rsidR="00BF03AA" w:rsidRPr="00326E55" w:rsidRDefault="00FB452D">
            <w:pPr>
              <w:pStyle w:val="P68B1DB1-Normal121"/>
              <w:spacing w:after="0" w:line="240" w:lineRule="auto"/>
              <w:rPr>
                <w:noProof/>
                <w:spacing w:val="-6"/>
                <w:lang w:val="sk-SK"/>
              </w:rPr>
            </w:pPr>
            <w:r w:rsidRPr="00326E55">
              <w:rPr>
                <w:noProof/>
                <w:spacing w:val="-6"/>
                <w:lang w:val="sk-SK"/>
              </w:rPr>
              <w:t>Investícia 1.1.1: Vnútorné oblasti – zlepšenie komunitných sociálnych služieb</w:t>
            </w:r>
            <w:r w:rsidR="00326E55" w:rsidRPr="00326E55">
              <w:rPr>
                <w:noProof/>
                <w:spacing w:val="-6"/>
                <w:lang w:val="sk-SK"/>
              </w:rPr>
              <w:t xml:space="preserve"> a </w:t>
            </w:r>
            <w:r w:rsidRPr="00326E55">
              <w:rPr>
                <w:noProof/>
                <w:spacing w:val="-6"/>
                <w:lang w:val="sk-SK"/>
              </w:rPr>
              <w:t>infraštruktúry</w:t>
            </w:r>
          </w:p>
        </w:tc>
        <w:tc>
          <w:tcPr>
            <w:tcW w:w="1260" w:type="dxa"/>
            <w:shd w:val="clear" w:color="auto" w:fill="C6EFCE"/>
            <w:tcMar>
              <w:left w:w="108" w:type="dxa"/>
              <w:right w:w="108" w:type="dxa"/>
            </w:tcMar>
            <w:vAlign w:val="center"/>
          </w:tcPr>
          <w:p w14:paraId="0012BDC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6A06F359" w14:textId="5DE15D0B"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Zadanie verejnej súťaže na intervencie na zlepšenie sociálnych služieb</w:t>
            </w:r>
            <w:r w:rsidR="00326E55" w:rsidRPr="00326E55">
              <w:rPr>
                <w:noProof/>
                <w:color w:val="006100"/>
                <w:spacing w:val="-6"/>
                <w:sz w:val="20"/>
                <w:szCs w:val="20"/>
                <w:lang w:val="sk-SK"/>
              </w:rPr>
              <w:t xml:space="preserve"> a </w:t>
            </w:r>
            <w:r w:rsidRPr="00326E55">
              <w:rPr>
                <w:noProof/>
                <w:color w:val="006100"/>
                <w:spacing w:val="-6"/>
                <w:sz w:val="20"/>
                <w:szCs w:val="20"/>
                <w:lang w:val="sk-SK"/>
              </w:rPr>
              <w:t>infraštruktúry vo vnútorných oblastiach</w:t>
            </w:r>
            <w:r w:rsidR="00326E55" w:rsidRPr="00326E55">
              <w:rPr>
                <w:noProof/>
                <w:color w:val="006100"/>
                <w:spacing w:val="-6"/>
                <w:sz w:val="20"/>
                <w:szCs w:val="20"/>
                <w:lang w:val="sk-SK"/>
              </w:rPr>
              <w:t xml:space="preserve"> a </w:t>
            </w:r>
            <w:r w:rsidRPr="00326E55">
              <w:rPr>
                <w:noProof/>
                <w:color w:val="006100"/>
                <w:spacing w:val="-6"/>
                <w:sz w:val="20"/>
                <w:szCs w:val="20"/>
                <w:lang w:val="sk-SK"/>
              </w:rPr>
              <w:t>na podporu lekární</w:t>
            </w:r>
            <w:r w:rsidR="00326E55" w:rsidRPr="00326E55">
              <w:rPr>
                <w:noProof/>
                <w:color w:val="006100"/>
                <w:spacing w:val="-6"/>
                <w:sz w:val="20"/>
                <w:szCs w:val="20"/>
                <w:lang w:val="sk-SK"/>
              </w:rPr>
              <w:t xml:space="preserve"> v </w:t>
            </w:r>
            <w:r w:rsidRPr="00326E55">
              <w:rPr>
                <w:noProof/>
                <w:color w:val="006100"/>
                <w:spacing w:val="-6"/>
                <w:sz w:val="20"/>
                <w:szCs w:val="20"/>
                <w:lang w:val="sk-SK"/>
              </w:rPr>
              <w:t>obciach</w:t>
            </w:r>
            <w:r w:rsidR="00326E55" w:rsidRPr="00326E55">
              <w:rPr>
                <w:noProof/>
                <w:color w:val="006100"/>
                <w:spacing w:val="-6"/>
                <w:sz w:val="20"/>
                <w:szCs w:val="20"/>
                <w:lang w:val="sk-SK"/>
              </w:rPr>
              <w:t xml:space="preserve"> s </w:t>
            </w:r>
            <w:r w:rsidRPr="00326E55">
              <w:rPr>
                <w:noProof/>
                <w:color w:val="006100"/>
                <w:spacing w:val="-6"/>
                <w:sz w:val="20"/>
                <w:szCs w:val="20"/>
                <w:lang w:val="sk-SK"/>
              </w:rPr>
              <w:t xml:space="preserve">menej </w:t>
            </w:r>
            <w:r w:rsidRPr="00326E55">
              <w:rPr>
                <w:noProof/>
                <w:color w:val="006100"/>
                <w:spacing w:val="-6"/>
                <w:sz w:val="20"/>
                <w:szCs w:val="20"/>
                <w:lang w:val="sk-SK"/>
              </w:rPr>
              <w:t>ako 3000</w:t>
            </w:r>
            <w:r w:rsidRPr="00326E55">
              <w:rPr>
                <w:noProof/>
                <w:spacing w:val="-6"/>
                <w:sz w:val="23"/>
                <w:szCs w:val="23"/>
                <w:lang w:val="sk-SK"/>
              </w:rPr>
              <w:t xml:space="preserve"> </w:t>
            </w:r>
            <w:r w:rsidRPr="00326E55">
              <w:rPr>
                <w:noProof/>
                <w:color w:val="006100"/>
                <w:spacing w:val="-6"/>
                <w:sz w:val="20"/>
                <w:szCs w:val="20"/>
                <w:lang w:val="sk-SK"/>
              </w:rPr>
              <w:t>obyvateľmi</w:t>
            </w:r>
          </w:p>
        </w:tc>
      </w:tr>
      <w:tr w:rsidR="00BF03AA" w:rsidRPr="00326E55" w14:paraId="17F18C29" w14:textId="77777777">
        <w:trPr>
          <w:trHeight w:val="300"/>
        </w:trPr>
        <w:tc>
          <w:tcPr>
            <w:tcW w:w="1395" w:type="dxa"/>
            <w:shd w:val="clear" w:color="auto" w:fill="C6EFCE"/>
            <w:tcMar>
              <w:left w:w="108" w:type="dxa"/>
              <w:right w:w="108" w:type="dxa"/>
            </w:tcMar>
            <w:vAlign w:val="center"/>
          </w:tcPr>
          <w:p w14:paraId="08DCC0E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w:t>
            </w:r>
          </w:p>
        </w:tc>
        <w:tc>
          <w:tcPr>
            <w:tcW w:w="3541" w:type="dxa"/>
            <w:shd w:val="clear" w:color="auto" w:fill="C6EFCE"/>
            <w:tcMar>
              <w:left w:w="108" w:type="dxa"/>
              <w:right w:w="108" w:type="dxa"/>
            </w:tcMar>
            <w:vAlign w:val="center"/>
          </w:tcPr>
          <w:p w14:paraId="17E0C51F" w14:textId="2C7EB247" w:rsidR="00BF03AA" w:rsidRPr="00326E55" w:rsidRDefault="00FB452D">
            <w:pPr>
              <w:pStyle w:val="P68B1DB1-Normal121"/>
              <w:spacing w:after="0" w:line="240" w:lineRule="auto"/>
              <w:rPr>
                <w:noProof/>
                <w:spacing w:val="-6"/>
                <w:lang w:val="sk-SK"/>
              </w:rPr>
            </w:pPr>
            <w:r w:rsidRPr="00326E55">
              <w:rPr>
                <w:noProof/>
                <w:spacing w:val="-6"/>
                <w:lang w:val="sk-SK"/>
              </w:rPr>
              <w:t>Reforma 1: Revidovať</w:t>
            </w:r>
            <w:r w:rsidR="00326E55" w:rsidRPr="00326E55">
              <w:rPr>
                <w:noProof/>
                <w:spacing w:val="-6"/>
                <w:lang w:val="sk-SK"/>
              </w:rPr>
              <w:t xml:space="preserve"> a </w:t>
            </w:r>
            <w:r w:rsidRPr="00326E55">
              <w:rPr>
                <w:noProof/>
                <w:spacing w:val="-6"/>
                <w:lang w:val="sk-SK"/>
              </w:rPr>
              <w:t>aktualizovať súčasný právny rámec Vedeckých ústavov pre nemocničnú starostlivosť</w:t>
            </w:r>
            <w:r w:rsidR="00326E55" w:rsidRPr="00326E55">
              <w:rPr>
                <w:noProof/>
                <w:spacing w:val="-6"/>
                <w:lang w:val="sk-SK"/>
              </w:rPr>
              <w:t xml:space="preserve"> a </w:t>
            </w:r>
            <w:r w:rsidRPr="00326E55">
              <w:rPr>
                <w:noProof/>
                <w:spacing w:val="-6"/>
                <w:lang w:val="sk-SK"/>
              </w:rPr>
              <w:t>starostlivosť (IRCCS)</w:t>
            </w:r>
            <w:r w:rsidR="00326E55" w:rsidRPr="00326E55">
              <w:rPr>
                <w:noProof/>
                <w:spacing w:val="-6"/>
                <w:lang w:val="sk-SK"/>
              </w:rPr>
              <w:t xml:space="preserve"> a </w:t>
            </w:r>
            <w:r w:rsidRPr="00326E55">
              <w:rPr>
                <w:noProof/>
                <w:spacing w:val="-6"/>
                <w:lang w:val="sk-SK"/>
              </w:rPr>
              <w:t>výskumné politiky ministerstva zdravotníctva</w:t>
            </w:r>
            <w:r w:rsidR="00326E55" w:rsidRPr="00326E55">
              <w:rPr>
                <w:noProof/>
                <w:spacing w:val="-6"/>
                <w:lang w:val="sk-SK"/>
              </w:rPr>
              <w:t xml:space="preserve"> s </w:t>
            </w:r>
            <w:r w:rsidRPr="00326E55">
              <w:rPr>
                <w:noProof/>
                <w:spacing w:val="-6"/>
                <w:lang w:val="sk-SK"/>
              </w:rPr>
              <w:t>cieľom posilniť prepojenie medzi výskumom, inovác</w:t>
            </w:r>
            <w:r w:rsidRPr="00326E55">
              <w:rPr>
                <w:noProof/>
                <w:spacing w:val="-6"/>
                <w:lang w:val="sk-SK"/>
              </w:rPr>
              <w:t>iami</w:t>
            </w:r>
            <w:r w:rsidR="00326E55" w:rsidRPr="00326E55">
              <w:rPr>
                <w:noProof/>
                <w:spacing w:val="-6"/>
                <w:lang w:val="sk-SK"/>
              </w:rPr>
              <w:t xml:space="preserve"> a </w:t>
            </w:r>
            <w:r w:rsidRPr="00326E55">
              <w:rPr>
                <w:noProof/>
                <w:spacing w:val="-6"/>
                <w:lang w:val="sk-SK"/>
              </w:rPr>
              <w:t>zdravotnou starostlivosťou</w:t>
            </w:r>
          </w:p>
        </w:tc>
        <w:tc>
          <w:tcPr>
            <w:tcW w:w="1260" w:type="dxa"/>
            <w:shd w:val="clear" w:color="auto" w:fill="C6EFCE"/>
            <w:tcMar>
              <w:left w:w="108" w:type="dxa"/>
              <w:right w:w="108" w:type="dxa"/>
            </w:tcMar>
            <w:vAlign w:val="center"/>
          </w:tcPr>
          <w:p w14:paraId="24F6E50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62" w:type="dxa"/>
            <w:shd w:val="clear" w:color="auto" w:fill="C6EFCE"/>
            <w:tcMar>
              <w:left w:w="108" w:type="dxa"/>
              <w:right w:w="108" w:type="dxa"/>
            </w:tcMar>
            <w:vAlign w:val="center"/>
          </w:tcPr>
          <w:p w14:paraId="2EBCB17B" w14:textId="323F9024"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legislatívneho dekrétu</w:t>
            </w:r>
            <w:r w:rsidR="00326E55" w:rsidRPr="00326E55">
              <w:rPr>
                <w:noProof/>
                <w:spacing w:val="-6"/>
                <w:lang w:val="sk-SK"/>
              </w:rPr>
              <w:t xml:space="preserve"> o </w:t>
            </w:r>
            <w:r w:rsidRPr="00326E55">
              <w:rPr>
                <w:noProof/>
                <w:spacing w:val="-6"/>
                <w:lang w:val="sk-SK"/>
              </w:rPr>
              <w:t>reorganizácii nariadení, ktorými sa riadia vedecké inštitúty hospitalizácie</w:t>
            </w:r>
            <w:r w:rsidR="00326E55" w:rsidRPr="00326E55">
              <w:rPr>
                <w:noProof/>
                <w:spacing w:val="-6"/>
                <w:lang w:val="sk-SK"/>
              </w:rPr>
              <w:t xml:space="preserve"> a </w:t>
            </w:r>
            <w:r w:rsidRPr="00326E55">
              <w:rPr>
                <w:noProof/>
                <w:spacing w:val="-6"/>
                <w:lang w:val="sk-SK"/>
              </w:rPr>
              <w:t>starostlivosti (IRCSS)</w:t>
            </w:r>
          </w:p>
        </w:tc>
      </w:tr>
      <w:tr w:rsidR="00BF03AA" w:rsidRPr="00326E55" w14:paraId="3EF71EE8" w14:textId="77777777">
        <w:trPr>
          <w:trHeight w:val="300"/>
        </w:trPr>
        <w:tc>
          <w:tcPr>
            <w:tcW w:w="1395" w:type="dxa"/>
            <w:shd w:val="clear" w:color="auto" w:fill="C6EFCE"/>
            <w:tcMar>
              <w:left w:w="108" w:type="dxa"/>
              <w:right w:w="108" w:type="dxa"/>
            </w:tcMar>
            <w:vAlign w:val="center"/>
          </w:tcPr>
          <w:p w14:paraId="289AB785"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1" w:type="dxa"/>
            <w:shd w:val="clear" w:color="auto" w:fill="C6EFCE"/>
            <w:tcMar>
              <w:left w:w="108" w:type="dxa"/>
              <w:right w:w="108" w:type="dxa"/>
            </w:tcMar>
            <w:vAlign w:val="center"/>
          </w:tcPr>
          <w:p w14:paraId="527F2CC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60" w:type="dxa"/>
            <w:shd w:val="clear" w:color="auto" w:fill="C6EFCE"/>
            <w:tcMar>
              <w:left w:w="108" w:type="dxa"/>
              <w:right w:w="108" w:type="dxa"/>
            </w:tcMar>
            <w:vAlign w:val="center"/>
          </w:tcPr>
          <w:p w14:paraId="73E4ADD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162" w:type="dxa"/>
            <w:shd w:val="clear" w:color="auto" w:fill="C6EFCE"/>
            <w:tcMar>
              <w:left w:w="108" w:type="dxa"/>
              <w:right w:w="108" w:type="dxa"/>
            </w:tcMar>
            <w:vAlign w:val="center"/>
          </w:tcPr>
          <w:p w14:paraId="26EF21F9"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11494252874 EUR</w:t>
            </w:r>
            <w:r w:rsidRPr="00326E55">
              <w:rPr>
                <w:noProof/>
                <w:spacing w:val="-6"/>
                <w:sz w:val="23"/>
                <w:szCs w:val="23"/>
                <w:lang w:val="sk-SK"/>
              </w:rPr>
              <w:t xml:space="preserve">  </w:t>
            </w:r>
          </w:p>
        </w:tc>
      </w:tr>
    </w:tbl>
    <w:p w14:paraId="29696EC4"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4CCB2FCA"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 xml:space="preserve">Štvrtá fáza (nenávratná </w:t>
      </w:r>
      <w:r w:rsidRPr="00326E55">
        <w:rPr>
          <w:noProof/>
          <w:spacing w:val="-6"/>
          <w:lang w:val="sk-SK"/>
        </w:rPr>
        <w:t>podpora):</w:t>
      </w:r>
    </w:p>
    <w:tbl>
      <w:tblPr>
        <w:tblW w:w="93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276"/>
        <w:gridCol w:w="3103"/>
      </w:tblGrid>
      <w:tr w:rsidR="00BF03AA" w:rsidRPr="00326E55" w14:paraId="447B3354" w14:textId="77777777">
        <w:trPr>
          <w:trHeight w:val="900"/>
          <w:tblHeader/>
        </w:trPr>
        <w:tc>
          <w:tcPr>
            <w:tcW w:w="1435" w:type="dxa"/>
            <w:vMerge w:val="restart"/>
            <w:shd w:val="clear" w:color="auto" w:fill="BDD7EE"/>
            <w:tcMar>
              <w:left w:w="108" w:type="dxa"/>
              <w:right w:w="108" w:type="dxa"/>
            </w:tcMar>
            <w:vAlign w:val="center"/>
          </w:tcPr>
          <w:p w14:paraId="29F54960" w14:textId="77777777" w:rsidR="00BF03AA" w:rsidRPr="00326E55" w:rsidRDefault="00FB452D">
            <w:pPr>
              <w:pStyle w:val="P68B1DB1-Normal120"/>
              <w:spacing w:after="0" w:line="240" w:lineRule="auto"/>
              <w:jc w:val="center"/>
              <w:rPr>
                <w:bCs/>
                <w:noProof/>
                <w:spacing w:val="-6"/>
                <w:lang w:val="sk-SK"/>
              </w:rPr>
            </w:pPr>
            <w:r w:rsidRPr="00326E55">
              <w:rPr>
                <w:noProof/>
                <w:spacing w:val="-6"/>
                <w:lang w:val="sk-SK"/>
              </w:rPr>
              <w:t>Poradové číslo</w:t>
            </w:r>
          </w:p>
        </w:tc>
        <w:tc>
          <w:tcPr>
            <w:tcW w:w="3543" w:type="dxa"/>
            <w:vMerge w:val="restart"/>
            <w:shd w:val="clear" w:color="auto" w:fill="BDD7EE"/>
            <w:tcMar>
              <w:left w:w="108" w:type="dxa"/>
              <w:right w:w="108" w:type="dxa"/>
            </w:tcMar>
            <w:vAlign w:val="center"/>
          </w:tcPr>
          <w:p w14:paraId="420CBE6B"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76" w:type="dxa"/>
            <w:vMerge w:val="restart"/>
            <w:shd w:val="clear" w:color="auto" w:fill="BDD7EE"/>
            <w:tcMar>
              <w:left w:w="108" w:type="dxa"/>
              <w:right w:w="108" w:type="dxa"/>
            </w:tcMar>
            <w:vAlign w:val="center"/>
          </w:tcPr>
          <w:p w14:paraId="7DF1E0D7"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103" w:type="dxa"/>
            <w:vMerge w:val="restart"/>
            <w:shd w:val="clear" w:color="auto" w:fill="BDD7EE"/>
            <w:tcMar>
              <w:left w:w="108" w:type="dxa"/>
              <w:right w:w="108" w:type="dxa"/>
            </w:tcMar>
            <w:vAlign w:val="center"/>
          </w:tcPr>
          <w:p w14:paraId="434B8D5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5596840E" w14:textId="77777777">
        <w:trPr>
          <w:trHeight w:val="510"/>
        </w:trPr>
        <w:tc>
          <w:tcPr>
            <w:tcW w:w="1435" w:type="dxa"/>
            <w:vMerge/>
            <w:vAlign w:val="center"/>
          </w:tcPr>
          <w:p w14:paraId="456CF1BC"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vMerge/>
            <w:vAlign w:val="center"/>
          </w:tcPr>
          <w:p w14:paraId="7F82996D"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76" w:type="dxa"/>
            <w:vMerge/>
            <w:vAlign w:val="center"/>
          </w:tcPr>
          <w:p w14:paraId="5044EC86"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103" w:type="dxa"/>
            <w:vMerge/>
            <w:vAlign w:val="center"/>
          </w:tcPr>
          <w:p w14:paraId="7F32A951"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1634B5F" w14:textId="77777777">
        <w:trPr>
          <w:trHeight w:val="300"/>
        </w:trPr>
        <w:tc>
          <w:tcPr>
            <w:tcW w:w="1435" w:type="dxa"/>
            <w:shd w:val="clear" w:color="auto" w:fill="C6EFCE"/>
            <w:tcMar>
              <w:left w:w="108" w:type="dxa"/>
              <w:right w:w="108" w:type="dxa"/>
            </w:tcMar>
            <w:vAlign w:val="center"/>
          </w:tcPr>
          <w:p w14:paraId="0A55023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w:t>
            </w:r>
          </w:p>
        </w:tc>
        <w:tc>
          <w:tcPr>
            <w:tcW w:w="3543" w:type="dxa"/>
            <w:shd w:val="clear" w:color="auto" w:fill="C6EFCE"/>
            <w:tcMar>
              <w:left w:w="108" w:type="dxa"/>
              <w:right w:w="108" w:type="dxa"/>
            </w:tcMar>
            <w:vAlign w:val="center"/>
          </w:tcPr>
          <w:p w14:paraId="7A4234B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1.6.6: Digitalizácia finančnej polície</w:t>
            </w:r>
          </w:p>
        </w:tc>
        <w:tc>
          <w:tcPr>
            <w:tcW w:w="1276" w:type="dxa"/>
            <w:shd w:val="clear" w:color="auto" w:fill="C6EFCE"/>
            <w:tcMar>
              <w:left w:w="108" w:type="dxa"/>
              <w:right w:w="108" w:type="dxa"/>
            </w:tcMar>
            <w:vAlign w:val="center"/>
          </w:tcPr>
          <w:p w14:paraId="58EC662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shd w:val="clear" w:color="auto" w:fill="C6EFCE"/>
            <w:tcMar>
              <w:left w:w="108" w:type="dxa"/>
              <w:right w:w="108" w:type="dxa"/>
            </w:tcMar>
            <w:vAlign w:val="center"/>
          </w:tcPr>
          <w:p w14:paraId="0017F01D" w14:textId="1BE81A49" w:rsidR="00BF03AA" w:rsidRPr="00326E55" w:rsidRDefault="00FB452D">
            <w:pPr>
              <w:pStyle w:val="P68B1DB1-Normal121"/>
              <w:spacing w:after="0" w:line="240" w:lineRule="auto"/>
              <w:rPr>
                <w:noProof/>
                <w:spacing w:val="-6"/>
                <w:lang w:val="sk-SK"/>
              </w:rPr>
            </w:pPr>
            <w:r w:rsidRPr="00326E55">
              <w:rPr>
                <w:noProof/>
                <w:spacing w:val="-6"/>
                <w:lang w:val="sk-SK"/>
              </w:rPr>
              <w:t>Finančná polícia – Nákup odborných služieb</w:t>
            </w:r>
            <w:r w:rsidR="00326E55" w:rsidRPr="00326E55">
              <w:rPr>
                <w:noProof/>
                <w:spacing w:val="-6"/>
                <w:lang w:val="sk-SK"/>
              </w:rPr>
              <w:t xml:space="preserve"> v </w:t>
            </w:r>
            <w:r w:rsidRPr="00326E55">
              <w:rPr>
                <w:noProof/>
                <w:spacing w:val="-6"/>
                <w:lang w:val="sk-SK"/>
              </w:rPr>
              <w:t>oblasti dátovej vedy T1</w:t>
            </w:r>
          </w:p>
        </w:tc>
      </w:tr>
      <w:tr w:rsidR="00BF03AA" w:rsidRPr="00326E55" w14:paraId="557B5081" w14:textId="77777777">
        <w:trPr>
          <w:trHeight w:val="300"/>
        </w:trPr>
        <w:tc>
          <w:tcPr>
            <w:tcW w:w="1435" w:type="dxa"/>
            <w:shd w:val="clear" w:color="auto" w:fill="C6EFCE"/>
            <w:tcMar>
              <w:left w:w="108" w:type="dxa"/>
              <w:right w:w="108" w:type="dxa"/>
            </w:tcMar>
            <w:vAlign w:val="center"/>
          </w:tcPr>
          <w:p w14:paraId="494F564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72</w:t>
            </w:r>
          </w:p>
        </w:tc>
        <w:tc>
          <w:tcPr>
            <w:tcW w:w="3543" w:type="dxa"/>
            <w:shd w:val="clear" w:color="auto" w:fill="C6EFCE"/>
            <w:tcMar>
              <w:left w:w="108" w:type="dxa"/>
              <w:right w:w="108" w:type="dxa"/>
            </w:tcMar>
            <w:vAlign w:val="center"/>
          </w:tcPr>
          <w:p w14:paraId="03ACBB75" w14:textId="77847BCF"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1.11: </w:t>
            </w:r>
            <w:r w:rsidRPr="00326E55">
              <w:rPr>
                <w:noProof/>
                <w:spacing w:val="-6"/>
                <w:lang w:val="sk-SK"/>
              </w:rPr>
              <w:t>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6" w:type="dxa"/>
            <w:shd w:val="clear" w:color="auto" w:fill="C6EFCE"/>
            <w:tcMar>
              <w:left w:w="108" w:type="dxa"/>
              <w:right w:w="108" w:type="dxa"/>
            </w:tcMar>
            <w:vAlign w:val="center"/>
          </w:tcPr>
          <w:p w14:paraId="14A021B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5E3940E4" w14:textId="77777777" w:rsidR="00BF03AA" w:rsidRPr="00326E55" w:rsidRDefault="00FB452D">
            <w:pPr>
              <w:pStyle w:val="P68B1DB1-Normal121"/>
              <w:spacing w:after="0" w:line="240" w:lineRule="auto"/>
              <w:rPr>
                <w:noProof/>
                <w:spacing w:val="-6"/>
                <w:lang w:val="sk-SK"/>
              </w:rPr>
            </w:pPr>
            <w:r w:rsidRPr="00326E55">
              <w:rPr>
                <w:noProof/>
                <w:spacing w:val="-6"/>
                <w:lang w:val="sk-SK"/>
              </w:rPr>
              <w:t>Schvaľujú sa opatrenia na zníženie oneskorených platieb zo strany verejnej správy podnikom</w:t>
            </w:r>
          </w:p>
        </w:tc>
      </w:tr>
      <w:tr w:rsidR="00BF03AA" w:rsidRPr="00326E55" w14:paraId="3B85D092" w14:textId="77777777">
        <w:trPr>
          <w:trHeight w:val="300"/>
        </w:trPr>
        <w:tc>
          <w:tcPr>
            <w:tcW w:w="1435" w:type="dxa"/>
            <w:shd w:val="clear" w:color="auto" w:fill="C6EFCE"/>
            <w:tcMar>
              <w:left w:w="108" w:type="dxa"/>
              <w:right w:w="108" w:type="dxa"/>
            </w:tcMar>
            <w:vAlign w:val="center"/>
          </w:tcPr>
          <w:p w14:paraId="76CC515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73</w:t>
            </w:r>
          </w:p>
        </w:tc>
        <w:tc>
          <w:tcPr>
            <w:tcW w:w="3543" w:type="dxa"/>
            <w:shd w:val="clear" w:color="auto" w:fill="C6EFCE"/>
            <w:tcMar>
              <w:left w:w="108" w:type="dxa"/>
              <w:right w:w="108" w:type="dxa"/>
            </w:tcMar>
            <w:vAlign w:val="center"/>
          </w:tcPr>
          <w:p w14:paraId="175A10DD"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w:t>
            </w:r>
            <w:r w:rsidRPr="00326E55">
              <w:rPr>
                <w:noProof/>
                <w:spacing w:val="-6"/>
                <w:lang w:val="sk-SK"/>
              </w:rPr>
              <w:t>tarávanie</w:t>
            </w:r>
          </w:p>
        </w:tc>
        <w:tc>
          <w:tcPr>
            <w:tcW w:w="1276" w:type="dxa"/>
            <w:shd w:val="clear" w:color="auto" w:fill="C6EFCE"/>
            <w:tcMar>
              <w:left w:w="108" w:type="dxa"/>
              <w:right w:w="108" w:type="dxa"/>
            </w:tcMar>
            <w:vAlign w:val="center"/>
          </w:tcPr>
          <w:p w14:paraId="7545AB0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0CBFF77B"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reformy zákonníka verejného obstarávania</w:t>
            </w:r>
          </w:p>
        </w:tc>
      </w:tr>
      <w:tr w:rsidR="00BF03AA" w:rsidRPr="00326E55" w14:paraId="7E75E7AD" w14:textId="77777777">
        <w:trPr>
          <w:trHeight w:val="300"/>
        </w:trPr>
        <w:tc>
          <w:tcPr>
            <w:tcW w:w="1435" w:type="dxa"/>
            <w:shd w:val="clear" w:color="auto" w:fill="C6EFCE"/>
            <w:tcMar>
              <w:left w:w="108" w:type="dxa"/>
              <w:right w:w="108" w:type="dxa"/>
            </w:tcMar>
            <w:vAlign w:val="center"/>
          </w:tcPr>
          <w:p w14:paraId="179F554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14</w:t>
            </w:r>
          </w:p>
        </w:tc>
        <w:tc>
          <w:tcPr>
            <w:tcW w:w="3543" w:type="dxa"/>
            <w:shd w:val="clear" w:color="auto" w:fill="C6EFCE"/>
            <w:tcMar>
              <w:left w:w="108" w:type="dxa"/>
              <w:right w:w="108" w:type="dxa"/>
            </w:tcMar>
            <w:vAlign w:val="center"/>
          </w:tcPr>
          <w:p w14:paraId="5697F96F" w14:textId="2060DE30" w:rsidR="00BF03AA" w:rsidRPr="00326E55" w:rsidRDefault="00FB452D">
            <w:pPr>
              <w:pStyle w:val="P68B1DB1-Normal121"/>
              <w:spacing w:after="0" w:line="240" w:lineRule="auto"/>
              <w:rPr>
                <w:noProof/>
                <w:spacing w:val="-6"/>
                <w:lang w:val="sk-SK"/>
              </w:rPr>
            </w:pPr>
            <w:r w:rsidRPr="00326E55">
              <w:rPr>
                <w:noProof/>
                <w:spacing w:val="-6"/>
                <w:lang w:val="sk-SK"/>
              </w:rPr>
              <w:t>Investícia 3.3 Testovanie vodíka</w:t>
            </w:r>
            <w:r w:rsidR="00326E55" w:rsidRPr="00326E55">
              <w:rPr>
                <w:noProof/>
                <w:spacing w:val="-6"/>
                <w:lang w:val="sk-SK"/>
              </w:rPr>
              <w:t xml:space="preserve"> v </w:t>
            </w:r>
            <w:r w:rsidRPr="00326E55">
              <w:rPr>
                <w:noProof/>
                <w:spacing w:val="-6"/>
                <w:lang w:val="sk-SK"/>
              </w:rPr>
              <w:t>cestnej doprave</w:t>
            </w:r>
          </w:p>
        </w:tc>
        <w:tc>
          <w:tcPr>
            <w:tcW w:w="1276" w:type="dxa"/>
            <w:shd w:val="clear" w:color="auto" w:fill="C6EFCE"/>
            <w:tcMar>
              <w:left w:w="108" w:type="dxa"/>
              <w:right w:w="108" w:type="dxa"/>
            </w:tcMar>
            <w:vAlign w:val="center"/>
          </w:tcPr>
          <w:p w14:paraId="1F48F35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4CAC062E" w14:textId="77777777"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rozvoj nabíjacích staníc na báze vodíka</w:t>
            </w:r>
          </w:p>
        </w:tc>
      </w:tr>
      <w:tr w:rsidR="00BF03AA" w:rsidRPr="00326E55" w14:paraId="406AD2D3" w14:textId="77777777">
        <w:trPr>
          <w:trHeight w:val="300"/>
        </w:trPr>
        <w:tc>
          <w:tcPr>
            <w:tcW w:w="1435" w:type="dxa"/>
            <w:shd w:val="clear" w:color="auto" w:fill="C6EFCE"/>
            <w:tcMar>
              <w:left w:w="108" w:type="dxa"/>
              <w:right w:w="108" w:type="dxa"/>
            </w:tcMar>
            <w:vAlign w:val="center"/>
          </w:tcPr>
          <w:p w14:paraId="0C45D74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16</w:t>
            </w:r>
          </w:p>
        </w:tc>
        <w:tc>
          <w:tcPr>
            <w:tcW w:w="3543" w:type="dxa"/>
            <w:shd w:val="clear" w:color="auto" w:fill="C6EFCE"/>
            <w:tcMar>
              <w:left w:w="108" w:type="dxa"/>
              <w:right w:w="108" w:type="dxa"/>
            </w:tcMar>
            <w:vAlign w:val="center"/>
          </w:tcPr>
          <w:p w14:paraId="6E617DC3"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w:t>
            </w:r>
            <w:r w:rsidRPr="00326E55">
              <w:rPr>
                <w:noProof/>
                <w:spacing w:val="-6"/>
                <w:lang w:val="sk-SK"/>
              </w:rPr>
              <w:t>3.4: Testovanie vodíka pre železničnú mobilitu</w:t>
            </w:r>
          </w:p>
        </w:tc>
        <w:tc>
          <w:tcPr>
            <w:tcW w:w="1276" w:type="dxa"/>
            <w:shd w:val="clear" w:color="auto" w:fill="C6EFCE"/>
            <w:tcMar>
              <w:left w:w="108" w:type="dxa"/>
              <w:right w:w="108" w:type="dxa"/>
            </w:tcMar>
            <w:vAlign w:val="center"/>
          </w:tcPr>
          <w:p w14:paraId="2D22850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2056E3B8" w14:textId="77777777" w:rsidR="00BF03AA" w:rsidRPr="00326E55" w:rsidRDefault="00FB452D">
            <w:pPr>
              <w:pStyle w:val="P68B1DB1-Normal121"/>
              <w:spacing w:after="0" w:line="240" w:lineRule="auto"/>
              <w:rPr>
                <w:noProof/>
                <w:spacing w:val="-6"/>
                <w:lang w:val="sk-SK"/>
              </w:rPr>
            </w:pPr>
            <w:r w:rsidRPr="00326E55">
              <w:rPr>
                <w:noProof/>
                <w:spacing w:val="-6"/>
                <w:lang w:val="sk-SK"/>
              </w:rPr>
              <w:t>Pridelenie zdrojov na testovanie vodíka pre železničnú mobilitu</w:t>
            </w:r>
          </w:p>
        </w:tc>
      </w:tr>
      <w:tr w:rsidR="00BF03AA" w:rsidRPr="00326E55" w14:paraId="0D967412" w14:textId="77777777">
        <w:trPr>
          <w:trHeight w:val="300"/>
        </w:trPr>
        <w:tc>
          <w:tcPr>
            <w:tcW w:w="1435" w:type="dxa"/>
            <w:shd w:val="clear" w:color="auto" w:fill="C6EFCE"/>
            <w:tcMar>
              <w:left w:w="108" w:type="dxa"/>
              <w:right w:w="108" w:type="dxa"/>
            </w:tcMar>
            <w:vAlign w:val="center"/>
          </w:tcPr>
          <w:p w14:paraId="5D26BF5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20</w:t>
            </w:r>
          </w:p>
        </w:tc>
        <w:tc>
          <w:tcPr>
            <w:tcW w:w="3543" w:type="dxa"/>
            <w:shd w:val="clear" w:color="auto" w:fill="C6EFCE"/>
            <w:tcMar>
              <w:left w:w="108" w:type="dxa"/>
              <w:right w:w="108" w:type="dxa"/>
            </w:tcMar>
            <w:vAlign w:val="center"/>
          </w:tcPr>
          <w:p w14:paraId="328772E1" w14:textId="69A97368" w:rsidR="00BF03AA" w:rsidRPr="00326E55" w:rsidRDefault="00FB452D">
            <w:pPr>
              <w:pStyle w:val="P68B1DB1-Normal121"/>
              <w:spacing w:after="0" w:line="240" w:lineRule="auto"/>
              <w:rPr>
                <w:noProof/>
                <w:spacing w:val="-6"/>
                <w:lang w:val="sk-SK"/>
              </w:rPr>
            </w:pPr>
            <w:r w:rsidRPr="00326E55">
              <w:rPr>
                <w:noProof/>
                <w:spacing w:val="-6"/>
                <w:lang w:val="sk-SK"/>
              </w:rPr>
              <w:t>Reforma 3 Administratívne zjednodušenie</w:t>
            </w:r>
            <w:r w:rsidR="00326E55" w:rsidRPr="00326E55">
              <w:rPr>
                <w:noProof/>
                <w:spacing w:val="-6"/>
                <w:lang w:val="sk-SK"/>
              </w:rPr>
              <w:t xml:space="preserve"> a </w:t>
            </w:r>
            <w:r w:rsidRPr="00326E55">
              <w:rPr>
                <w:noProof/>
                <w:spacing w:val="-6"/>
                <w:lang w:val="sk-SK"/>
              </w:rPr>
              <w:t>zníženie regulačných prekážok zavádzania vodíka</w:t>
            </w:r>
          </w:p>
        </w:tc>
        <w:tc>
          <w:tcPr>
            <w:tcW w:w="1276" w:type="dxa"/>
            <w:shd w:val="clear" w:color="auto" w:fill="C6EFCE"/>
            <w:tcMar>
              <w:left w:w="108" w:type="dxa"/>
              <w:right w:w="108" w:type="dxa"/>
            </w:tcMar>
            <w:vAlign w:val="center"/>
          </w:tcPr>
          <w:p w14:paraId="114EE86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1B364F8C"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w:t>
            </w:r>
            <w:r w:rsidRPr="00326E55">
              <w:rPr>
                <w:noProof/>
                <w:spacing w:val="-6"/>
                <w:lang w:val="sk-SK"/>
              </w:rPr>
              <w:t>potrebných legislatívnych opatrení</w:t>
            </w:r>
          </w:p>
        </w:tc>
      </w:tr>
      <w:tr w:rsidR="00BF03AA" w:rsidRPr="00326E55" w14:paraId="1360903C" w14:textId="77777777">
        <w:trPr>
          <w:trHeight w:val="300"/>
        </w:trPr>
        <w:tc>
          <w:tcPr>
            <w:tcW w:w="1435" w:type="dxa"/>
            <w:shd w:val="clear" w:color="auto" w:fill="C6EFCE"/>
            <w:tcMar>
              <w:left w:w="108" w:type="dxa"/>
              <w:right w:w="108" w:type="dxa"/>
            </w:tcMar>
            <w:vAlign w:val="center"/>
          </w:tcPr>
          <w:p w14:paraId="5FEF919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3</w:t>
            </w:r>
          </w:p>
        </w:tc>
        <w:tc>
          <w:tcPr>
            <w:tcW w:w="3543" w:type="dxa"/>
            <w:shd w:val="clear" w:color="auto" w:fill="C6EFCE"/>
            <w:tcMar>
              <w:left w:w="108" w:type="dxa"/>
              <w:right w:w="108" w:type="dxa"/>
            </w:tcMar>
            <w:vAlign w:val="center"/>
          </w:tcPr>
          <w:p w14:paraId="04B0E011"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 – Reforma pre staršie osoby, ktoré nie sú sebestačné</w:t>
            </w:r>
          </w:p>
        </w:tc>
        <w:tc>
          <w:tcPr>
            <w:tcW w:w="1276" w:type="dxa"/>
            <w:shd w:val="clear" w:color="auto" w:fill="C6EFCE"/>
            <w:tcMar>
              <w:left w:w="108" w:type="dxa"/>
              <w:right w:w="108" w:type="dxa"/>
            </w:tcMar>
            <w:vAlign w:val="center"/>
          </w:tcPr>
          <w:p w14:paraId="1090A4F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1815B229" w14:textId="7B85D304"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rámcového zákona, ktorým sa posilňujú opatrenia</w:t>
            </w:r>
            <w:r w:rsidR="00326E55" w:rsidRPr="00326E55">
              <w:rPr>
                <w:noProof/>
                <w:spacing w:val="-6"/>
                <w:lang w:val="sk-SK"/>
              </w:rPr>
              <w:t xml:space="preserve"> v </w:t>
            </w:r>
            <w:r w:rsidRPr="00326E55">
              <w:rPr>
                <w:noProof/>
                <w:spacing w:val="-6"/>
                <w:lang w:val="sk-SK"/>
              </w:rPr>
              <w:t>prospech starších osôb, ktoré nie sú sebestačné</w:t>
            </w:r>
          </w:p>
        </w:tc>
      </w:tr>
      <w:tr w:rsidR="00BF03AA" w:rsidRPr="00326E55" w14:paraId="1777986E" w14:textId="77777777">
        <w:trPr>
          <w:trHeight w:val="300"/>
        </w:trPr>
        <w:tc>
          <w:tcPr>
            <w:tcW w:w="1435" w:type="dxa"/>
            <w:shd w:val="clear" w:color="auto" w:fill="C6EFCE"/>
            <w:tcMar>
              <w:left w:w="108" w:type="dxa"/>
              <w:right w:w="108" w:type="dxa"/>
            </w:tcMar>
            <w:vAlign w:val="center"/>
          </w:tcPr>
          <w:p w14:paraId="7A8A10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37</w:t>
            </w:r>
          </w:p>
        </w:tc>
        <w:tc>
          <w:tcPr>
            <w:tcW w:w="3543" w:type="dxa"/>
            <w:shd w:val="clear" w:color="auto" w:fill="C6EFCE"/>
            <w:tcMar>
              <w:left w:w="108" w:type="dxa"/>
              <w:right w:w="108" w:type="dxa"/>
            </w:tcMar>
            <w:vAlign w:val="center"/>
          </w:tcPr>
          <w:p w14:paraId="1D9E923D" w14:textId="799CFD7F" w:rsidR="00BF03AA" w:rsidRPr="00326E55" w:rsidRDefault="00FB452D">
            <w:pPr>
              <w:pStyle w:val="P68B1DB1-Normal121"/>
              <w:spacing w:after="0" w:line="240" w:lineRule="auto"/>
              <w:rPr>
                <w:noProof/>
                <w:spacing w:val="-6"/>
                <w:lang w:val="sk-SK"/>
              </w:rPr>
            </w:pPr>
            <w:r w:rsidRPr="00326E55">
              <w:rPr>
                <w:noProof/>
                <w:spacing w:val="-6"/>
                <w:lang w:val="sk-SK"/>
              </w:rPr>
              <w:t>Reformy 1</w:t>
            </w:r>
            <w:r w:rsidRPr="00326E55">
              <w:rPr>
                <w:noProof/>
                <w:spacing w:val="-6"/>
                <w:lang w:val="sk-SK"/>
              </w:rPr>
              <w:t>.4</w:t>
            </w:r>
            <w:r w:rsidR="00326E55" w:rsidRPr="00326E55">
              <w:rPr>
                <w:noProof/>
                <w:spacing w:val="-6"/>
                <w:lang w:val="sk-SK"/>
              </w:rPr>
              <w:t xml:space="preserve"> a </w:t>
            </w:r>
            <w:r w:rsidRPr="00326E55">
              <w:rPr>
                <w:noProof/>
                <w:spacing w:val="-6"/>
                <w:lang w:val="sk-SK"/>
              </w:rPr>
              <w:t>1.5: Reforma občianskeho</w:t>
            </w:r>
            <w:r w:rsidR="00326E55" w:rsidRPr="00326E55">
              <w:rPr>
                <w:noProof/>
                <w:spacing w:val="-6"/>
                <w:lang w:val="sk-SK"/>
              </w:rPr>
              <w:t xml:space="preserve"> a </w:t>
            </w:r>
            <w:r w:rsidRPr="00326E55">
              <w:rPr>
                <w:noProof/>
                <w:spacing w:val="-6"/>
                <w:lang w:val="sk-SK"/>
              </w:rPr>
              <w:t>trestného súdnictva</w:t>
            </w:r>
          </w:p>
        </w:tc>
        <w:tc>
          <w:tcPr>
            <w:tcW w:w="1276" w:type="dxa"/>
            <w:shd w:val="clear" w:color="auto" w:fill="C6EFCE"/>
            <w:tcMar>
              <w:left w:w="108" w:type="dxa"/>
              <w:right w:w="108" w:type="dxa"/>
            </w:tcMar>
            <w:vAlign w:val="center"/>
          </w:tcPr>
          <w:p w14:paraId="675CF51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74345A42" w14:textId="5B1E1DC4"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reformy občianskeho</w:t>
            </w:r>
            <w:r w:rsidR="00326E55" w:rsidRPr="00326E55">
              <w:rPr>
                <w:noProof/>
                <w:spacing w:val="-6"/>
                <w:lang w:val="sk-SK"/>
              </w:rPr>
              <w:t xml:space="preserve"> a </w:t>
            </w:r>
            <w:r w:rsidRPr="00326E55">
              <w:rPr>
                <w:noProof/>
                <w:spacing w:val="-6"/>
                <w:lang w:val="sk-SK"/>
              </w:rPr>
              <w:t>trestného súdnictva</w:t>
            </w:r>
          </w:p>
        </w:tc>
      </w:tr>
      <w:tr w:rsidR="00BF03AA" w:rsidRPr="00326E55" w14:paraId="2D3F541A" w14:textId="77777777">
        <w:trPr>
          <w:trHeight w:val="300"/>
        </w:trPr>
        <w:tc>
          <w:tcPr>
            <w:tcW w:w="1435" w:type="dxa"/>
            <w:shd w:val="clear" w:color="auto" w:fill="C6EFCE"/>
            <w:tcMar>
              <w:left w:w="108" w:type="dxa"/>
              <w:right w:w="108" w:type="dxa"/>
            </w:tcMar>
            <w:vAlign w:val="center"/>
          </w:tcPr>
          <w:p w14:paraId="621F709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58</w:t>
            </w:r>
          </w:p>
        </w:tc>
        <w:tc>
          <w:tcPr>
            <w:tcW w:w="3543" w:type="dxa"/>
            <w:shd w:val="clear" w:color="auto" w:fill="C6EFCE"/>
            <w:tcMar>
              <w:left w:w="108" w:type="dxa"/>
              <w:right w:w="108" w:type="dxa"/>
            </w:tcMar>
            <w:vAlign w:val="center"/>
          </w:tcPr>
          <w:p w14:paraId="6B2EB594"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276" w:type="dxa"/>
            <w:shd w:val="clear" w:color="auto" w:fill="C6EFCE"/>
            <w:tcMar>
              <w:left w:w="108" w:type="dxa"/>
              <w:right w:w="108" w:type="dxa"/>
            </w:tcMar>
            <w:vAlign w:val="center"/>
          </w:tcPr>
          <w:p w14:paraId="79F8EA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5D47F99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právnych aktov na reformu zamestnanosti vo verejnom </w:t>
            </w:r>
            <w:r w:rsidRPr="00326E55">
              <w:rPr>
                <w:noProof/>
                <w:spacing w:val="-6"/>
                <w:lang w:val="sk-SK"/>
              </w:rPr>
              <w:t>sektore</w:t>
            </w:r>
          </w:p>
        </w:tc>
      </w:tr>
      <w:tr w:rsidR="00BF03AA" w:rsidRPr="00326E55" w14:paraId="7B2F3550" w14:textId="77777777">
        <w:trPr>
          <w:trHeight w:val="300"/>
        </w:trPr>
        <w:tc>
          <w:tcPr>
            <w:tcW w:w="1435" w:type="dxa"/>
            <w:shd w:val="clear" w:color="auto" w:fill="C6EFCE"/>
            <w:tcMar>
              <w:left w:w="108" w:type="dxa"/>
              <w:right w:w="108" w:type="dxa"/>
            </w:tcMar>
            <w:vAlign w:val="center"/>
          </w:tcPr>
          <w:p w14:paraId="718A240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74</w:t>
            </w:r>
          </w:p>
        </w:tc>
        <w:tc>
          <w:tcPr>
            <w:tcW w:w="3543" w:type="dxa"/>
            <w:shd w:val="clear" w:color="auto" w:fill="C6EFCE"/>
            <w:tcMar>
              <w:left w:w="108" w:type="dxa"/>
              <w:right w:w="108" w:type="dxa"/>
            </w:tcMar>
            <w:vAlign w:val="center"/>
          </w:tcPr>
          <w:p w14:paraId="5B956F1E"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shd w:val="clear" w:color="auto" w:fill="C6EFCE"/>
            <w:tcMar>
              <w:left w:w="108" w:type="dxa"/>
              <w:right w:w="108" w:type="dxa"/>
            </w:tcMar>
            <w:vAlign w:val="center"/>
          </w:tcPr>
          <w:p w14:paraId="0ED4C9D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1450CF59" w14:textId="27590CA0"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všetkých potrebných vykonávacích opatrení</w:t>
            </w:r>
            <w:r w:rsidR="00326E55" w:rsidRPr="00326E55">
              <w:rPr>
                <w:noProof/>
                <w:spacing w:val="-6"/>
                <w:lang w:val="sk-SK"/>
              </w:rPr>
              <w:t xml:space="preserve"> a </w:t>
            </w:r>
            <w:r w:rsidRPr="00326E55">
              <w:rPr>
                <w:noProof/>
                <w:spacing w:val="-6"/>
                <w:lang w:val="sk-SK"/>
              </w:rPr>
              <w:t>sekundárnych právnych predpisov na reformu zjednodušenia kódexu verejného obstarávania</w:t>
            </w:r>
          </w:p>
        </w:tc>
      </w:tr>
      <w:tr w:rsidR="00BF03AA" w:rsidRPr="00326E55" w14:paraId="3B17C267" w14:textId="77777777">
        <w:trPr>
          <w:trHeight w:val="300"/>
        </w:trPr>
        <w:tc>
          <w:tcPr>
            <w:tcW w:w="1435" w:type="dxa"/>
            <w:shd w:val="clear" w:color="auto" w:fill="C6EFCE"/>
            <w:tcMar>
              <w:left w:w="108" w:type="dxa"/>
              <w:right w:w="108" w:type="dxa"/>
            </w:tcMar>
            <w:vAlign w:val="center"/>
          </w:tcPr>
          <w:p w14:paraId="5D1D2FC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M1C1 – </w:t>
            </w:r>
            <w:r w:rsidRPr="00326E55">
              <w:rPr>
                <w:noProof/>
                <w:spacing w:val="-6"/>
                <w:lang w:val="sk-SK"/>
              </w:rPr>
              <w:t>109</w:t>
            </w:r>
          </w:p>
        </w:tc>
        <w:tc>
          <w:tcPr>
            <w:tcW w:w="3543" w:type="dxa"/>
            <w:shd w:val="clear" w:color="auto" w:fill="C6EFCE"/>
            <w:tcMar>
              <w:left w:w="108" w:type="dxa"/>
              <w:right w:w="108" w:type="dxa"/>
            </w:tcMar>
            <w:vAlign w:val="center"/>
          </w:tcPr>
          <w:p w14:paraId="43BFC17C"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1.12: Reforma daňovej správy</w:t>
            </w:r>
          </w:p>
        </w:tc>
        <w:tc>
          <w:tcPr>
            <w:tcW w:w="1276" w:type="dxa"/>
            <w:shd w:val="clear" w:color="auto" w:fill="C6EFCE"/>
            <w:tcMar>
              <w:left w:w="108" w:type="dxa"/>
              <w:right w:w="108" w:type="dxa"/>
            </w:tcMar>
            <w:vAlign w:val="center"/>
          </w:tcPr>
          <w:p w14:paraId="2E6E8F1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shd w:val="clear" w:color="auto" w:fill="C6EFCE"/>
            <w:tcMar>
              <w:left w:w="108" w:type="dxa"/>
              <w:right w:w="108" w:type="dxa"/>
            </w:tcMar>
            <w:vAlign w:val="center"/>
          </w:tcPr>
          <w:p w14:paraId="6274EF93" w14:textId="4424B6ED" w:rsidR="00BF03AA" w:rsidRPr="00326E55" w:rsidRDefault="00FB452D">
            <w:pPr>
              <w:pStyle w:val="P68B1DB1-Normal121"/>
              <w:spacing w:after="0" w:line="240" w:lineRule="auto"/>
              <w:rPr>
                <w:noProof/>
                <w:spacing w:val="-6"/>
                <w:lang w:val="sk-SK"/>
              </w:rPr>
            </w:pPr>
            <w:r w:rsidRPr="00326E55">
              <w:rPr>
                <w:noProof/>
                <w:spacing w:val="-6"/>
                <w:lang w:val="sk-SK"/>
              </w:rPr>
              <w:t>Zaslanie prvých vopred vyplnených daňových priznaní</w:t>
            </w:r>
            <w:r w:rsidR="00326E55" w:rsidRPr="00326E55">
              <w:rPr>
                <w:noProof/>
                <w:spacing w:val="-6"/>
                <w:lang w:val="sk-SK"/>
              </w:rPr>
              <w:t xml:space="preserve"> k </w:t>
            </w:r>
            <w:r w:rsidRPr="00326E55">
              <w:rPr>
                <w:noProof/>
                <w:spacing w:val="-6"/>
                <w:lang w:val="sk-SK"/>
              </w:rPr>
              <w:t>DPH</w:t>
            </w:r>
          </w:p>
        </w:tc>
      </w:tr>
      <w:tr w:rsidR="00BF03AA" w:rsidRPr="00326E55" w14:paraId="2E4EBFB9" w14:textId="77777777">
        <w:trPr>
          <w:trHeight w:val="300"/>
        </w:trPr>
        <w:tc>
          <w:tcPr>
            <w:tcW w:w="1435" w:type="dxa"/>
            <w:shd w:val="clear" w:color="auto" w:fill="C6EFCE"/>
            <w:tcMar>
              <w:left w:w="108" w:type="dxa"/>
              <w:right w:w="108" w:type="dxa"/>
            </w:tcMar>
            <w:vAlign w:val="center"/>
          </w:tcPr>
          <w:p w14:paraId="1989C7C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27</w:t>
            </w:r>
          </w:p>
        </w:tc>
        <w:tc>
          <w:tcPr>
            <w:tcW w:w="3543" w:type="dxa"/>
            <w:shd w:val="clear" w:color="auto" w:fill="C6EFCE"/>
            <w:tcMar>
              <w:left w:w="108" w:type="dxa"/>
              <w:right w:w="108" w:type="dxa"/>
            </w:tcMar>
            <w:vAlign w:val="center"/>
          </w:tcPr>
          <w:p w14:paraId="55C104E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4.3: Inštalácia nabíjacích infraštruktúr</w:t>
            </w:r>
          </w:p>
        </w:tc>
        <w:tc>
          <w:tcPr>
            <w:tcW w:w="1276" w:type="dxa"/>
            <w:shd w:val="clear" w:color="auto" w:fill="C6EFCE"/>
            <w:tcMar>
              <w:left w:w="108" w:type="dxa"/>
              <w:right w:w="108" w:type="dxa"/>
            </w:tcMar>
            <w:vAlign w:val="center"/>
          </w:tcPr>
          <w:p w14:paraId="68E5672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43B2680E" w14:textId="77777777" w:rsidR="00BF03AA" w:rsidRPr="00326E55" w:rsidRDefault="00FB452D">
            <w:pPr>
              <w:pStyle w:val="P68B1DB1-Normal121"/>
              <w:spacing w:after="0" w:line="240" w:lineRule="auto"/>
              <w:rPr>
                <w:noProof/>
                <w:spacing w:val="-6"/>
                <w:lang w:val="sk-SK"/>
              </w:rPr>
            </w:pPr>
            <w:r w:rsidRPr="00326E55">
              <w:rPr>
                <w:noProof/>
                <w:spacing w:val="-6"/>
                <w:lang w:val="sk-SK"/>
              </w:rPr>
              <w:t>Zadanie všetkých verejných zákaziek na inštaláciu nabíjacích infraštruktúr M1</w:t>
            </w:r>
          </w:p>
        </w:tc>
      </w:tr>
      <w:tr w:rsidR="00BF03AA" w:rsidRPr="00326E55" w14:paraId="612BC86D" w14:textId="77777777">
        <w:trPr>
          <w:trHeight w:val="300"/>
        </w:trPr>
        <w:tc>
          <w:tcPr>
            <w:tcW w:w="1435" w:type="dxa"/>
            <w:shd w:val="clear" w:color="auto" w:fill="C6EFCE"/>
            <w:tcMar>
              <w:left w:w="108" w:type="dxa"/>
              <w:right w:w="108" w:type="dxa"/>
            </w:tcMar>
            <w:vAlign w:val="center"/>
          </w:tcPr>
          <w:p w14:paraId="1E1DDF7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33</w:t>
            </w:r>
          </w:p>
        </w:tc>
        <w:tc>
          <w:tcPr>
            <w:tcW w:w="3543" w:type="dxa"/>
            <w:shd w:val="clear" w:color="auto" w:fill="C6EFCE"/>
            <w:tcMar>
              <w:left w:w="108" w:type="dxa"/>
              <w:right w:w="108" w:type="dxa"/>
            </w:tcMar>
            <w:vAlign w:val="center"/>
          </w:tcPr>
          <w:p w14:paraId="7B13C2F4" w14:textId="0482D5BA" w:rsidR="00BF03AA" w:rsidRPr="00326E55" w:rsidRDefault="00FB452D">
            <w:pPr>
              <w:pStyle w:val="P68B1DB1-Normal122"/>
              <w:spacing w:after="0" w:line="240" w:lineRule="auto"/>
              <w:rPr>
                <w:noProof/>
                <w:spacing w:val="-6"/>
                <w:lang w:val="sk-SK"/>
              </w:rPr>
            </w:pPr>
            <w:r w:rsidRPr="00326E55">
              <w:rPr>
                <w:noProof/>
                <w:color w:val="006100"/>
                <w:spacing w:val="-6"/>
                <w:lang w:val="sk-SK"/>
              </w:rPr>
              <w:t xml:space="preserve">Investícia 4.4.2: </w:t>
            </w:r>
            <w:r w:rsidRPr="00326E55">
              <w:rPr>
                <w:noProof/>
                <w:color w:val="000000"/>
                <w:spacing w:val="-6"/>
                <w:lang w:val="sk-SK"/>
              </w:rPr>
              <w:t xml:space="preserve"> </w:t>
            </w:r>
            <w:r w:rsidRPr="00326E55">
              <w:rPr>
                <w:noProof/>
                <w:color w:val="006100"/>
                <w:spacing w:val="-6"/>
                <w:lang w:val="sk-SK"/>
              </w:rPr>
              <w:t>Posilnenie vozového parku regionálnej verejnej železničnej dopravy (vlaky</w:t>
            </w:r>
            <w:r w:rsidR="00326E55" w:rsidRPr="00326E55">
              <w:rPr>
                <w:noProof/>
                <w:color w:val="006100"/>
                <w:spacing w:val="-6"/>
                <w:lang w:val="sk-SK"/>
              </w:rPr>
              <w:t xml:space="preserve"> s </w:t>
            </w:r>
            <w:r w:rsidRPr="00326E55">
              <w:rPr>
                <w:noProof/>
                <w:color w:val="006100"/>
                <w:spacing w:val="-6"/>
                <w:lang w:val="sk-SK"/>
              </w:rPr>
              <w:t>nulovými emisiami</w:t>
            </w:r>
            <w:r w:rsidR="00326E55" w:rsidRPr="00326E55">
              <w:rPr>
                <w:noProof/>
                <w:color w:val="006100"/>
                <w:spacing w:val="-6"/>
                <w:lang w:val="sk-SK"/>
              </w:rPr>
              <w:t xml:space="preserve"> a </w:t>
            </w:r>
            <w:r w:rsidRPr="00326E55">
              <w:rPr>
                <w:noProof/>
                <w:color w:val="006100"/>
                <w:spacing w:val="-6"/>
                <w:lang w:val="sk-SK"/>
              </w:rPr>
              <w:t>univerzálna služba)</w:t>
            </w:r>
          </w:p>
        </w:tc>
        <w:tc>
          <w:tcPr>
            <w:tcW w:w="1276" w:type="dxa"/>
            <w:shd w:val="clear" w:color="auto" w:fill="C6EFCE"/>
            <w:tcMar>
              <w:left w:w="108" w:type="dxa"/>
              <w:right w:w="108" w:type="dxa"/>
            </w:tcMar>
            <w:vAlign w:val="center"/>
          </w:tcPr>
          <w:p w14:paraId="402B173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50261CCD" w14:textId="0BE5DE8B" w:rsidR="00BF03AA" w:rsidRPr="00326E55" w:rsidRDefault="00FB452D">
            <w:pPr>
              <w:pStyle w:val="P68B1DB1-Normal121"/>
              <w:spacing w:after="0" w:line="240" w:lineRule="auto"/>
              <w:rPr>
                <w:noProof/>
                <w:spacing w:val="-6"/>
                <w:lang w:val="sk-SK"/>
              </w:rPr>
            </w:pPr>
            <w:r w:rsidRPr="00326E55">
              <w:rPr>
                <w:noProof/>
                <w:spacing w:val="-6"/>
                <w:lang w:val="sk-SK"/>
              </w:rPr>
              <w:t xml:space="preserve">Zadávanie všetkých verejných zákaziek na posilnenie vozového parku regionálnej verejnej železničnej </w:t>
            </w:r>
            <w:r w:rsidRPr="00326E55">
              <w:rPr>
                <w:noProof/>
                <w:spacing w:val="-6"/>
                <w:lang w:val="sk-SK"/>
              </w:rPr>
              <w:t>dopravy vlakmi</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univerzálnou službou</w:t>
            </w:r>
          </w:p>
        </w:tc>
      </w:tr>
      <w:tr w:rsidR="00BF03AA" w:rsidRPr="00326E55" w14:paraId="4AEB2D70" w14:textId="77777777">
        <w:trPr>
          <w:trHeight w:val="300"/>
        </w:trPr>
        <w:tc>
          <w:tcPr>
            <w:tcW w:w="1435" w:type="dxa"/>
            <w:shd w:val="clear" w:color="auto" w:fill="C6EFCE"/>
            <w:tcMar>
              <w:left w:w="108" w:type="dxa"/>
              <w:right w:w="108" w:type="dxa"/>
            </w:tcMar>
            <w:vAlign w:val="center"/>
          </w:tcPr>
          <w:p w14:paraId="67B4E34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2</w:t>
            </w:r>
          </w:p>
        </w:tc>
        <w:tc>
          <w:tcPr>
            <w:tcW w:w="3543" w:type="dxa"/>
            <w:shd w:val="clear" w:color="auto" w:fill="C6EFCE"/>
            <w:tcMar>
              <w:left w:w="108" w:type="dxa"/>
              <w:right w:w="108" w:type="dxa"/>
            </w:tcMar>
            <w:vAlign w:val="center"/>
          </w:tcPr>
          <w:p w14:paraId="217FE0EE" w14:textId="2825101C" w:rsidR="00BF03AA" w:rsidRPr="00326E55" w:rsidRDefault="00FB452D">
            <w:pPr>
              <w:pStyle w:val="P68B1DB1-Normal121"/>
              <w:spacing w:after="0" w:line="240" w:lineRule="auto"/>
              <w:rPr>
                <w:noProof/>
                <w:spacing w:val="-6"/>
                <w:lang w:val="sk-SK"/>
              </w:rPr>
            </w:pPr>
            <w:r w:rsidRPr="00326E55">
              <w:rPr>
                <w:noProof/>
                <w:spacing w:val="-6"/>
                <w:lang w:val="sk-SK"/>
              </w:rPr>
              <w:t>Investícia 2.1 – Posilnenie ekobonusu</w:t>
            </w:r>
            <w:r w:rsidR="00326E55" w:rsidRPr="00326E55">
              <w:rPr>
                <w:noProof/>
                <w:spacing w:val="-6"/>
                <w:lang w:val="sk-SK"/>
              </w:rPr>
              <w:t xml:space="preserve"> v </w:t>
            </w:r>
            <w:r w:rsidRPr="00326E55">
              <w:rPr>
                <w:noProof/>
                <w:spacing w:val="-6"/>
                <w:lang w:val="sk-SK"/>
              </w:rPr>
              <w:t xml:space="preserve">záujme energetickej efektívnosti </w:t>
            </w:r>
          </w:p>
        </w:tc>
        <w:tc>
          <w:tcPr>
            <w:tcW w:w="1276" w:type="dxa"/>
            <w:shd w:val="clear" w:color="auto" w:fill="C6EFCE"/>
            <w:tcMar>
              <w:left w:w="108" w:type="dxa"/>
              <w:right w:w="108" w:type="dxa"/>
            </w:tcMar>
            <w:vAlign w:val="center"/>
          </w:tcPr>
          <w:p w14:paraId="41E4BE8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shd w:val="clear" w:color="auto" w:fill="C6EFCE"/>
            <w:tcMar>
              <w:left w:w="108" w:type="dxa"/>
              <w:right w:w="108" w:type="dxa"/>
            </w:tcMar>
            <w:vAlign w:val="center"/>
          </w:tcPr>
          <w:p w14:paraId="7F6E70D2" w14:textId="77777777" w:rsidR="00BF03AA" w:rsidRPr="00326E55" w:rsidRDefault="00FB452D">
            <w:pPr>
              <w:pStyle w:val="P68B1DB1-Normal121"/>
              <w:spacing w:after="0" w:line="240" w:lineRule="auto"/>
              <w:rPr>
                <w:noProof/>
                <w:spacing w:val="-6"/>
                <w:lang w:val="sk-SK"/>
              </w:rPr>
            </w:pPr>
            <w:r w:rsidRPr="00326E55">
              <w:rPr>
                <w:noProof/>
                <w:spacing w:val="-6"/>
                <w:lang w:val="sk-SK"/>
              </w:rPr>
              <w:t>Obnova budov Superbonus T1</w:t>
            </w:r>
          </w:p>
        </w:tc>
      </w:tr>
      <w:tr w:rsidR="00BF03AA" w:rsidRPr="00326E55" w14:paraId="1F6F10D9" w14:textId="77777777">
        <w:trPr>
          <w:trHeight w:val="300"/>
        </w:trPr>
        <w:tc>
          <w:tcPr>
            <w:tcW w:w="1435" w:type="dxa"/>
            <w:shd w:val="clear" w:color="auto" w:fill="C6EFCE"/>
            <w:tcMar>
              <w:left w:w="108" w:type="dxa"/>
              <w:right w:w="108" w:type="dxa"/>
            </w:tcMar>
            <w:vAlign w:val="center"/>
          </w:tcPr>
          <w:p w14:paraId="3B3AF2F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9</w:t>
            </w:r>
          </w:p>
        </w:tc>
        <w:tc>
          <w:tcPr>
            <w:tcW w:w="3543" w:type="dxa"/>
            <w:shd w:val="clear" w:color="auto" w:fill="C6EFCE"/>
            <w:tcMar>
              <w:left w:w="108" w:type="dxa"/>
              <w:right w:w="108" w:type="dxa"/>
            </w:tcMar>
            <w:vAlign w:val="center"/>
          </w:tcPr>
          <w:p w14:paraId="5F888A75" w14:textId="3D4C2351" w:rsidR="00BF03AA" w:rsidRPr="00326E55" w:rsidRDefault="00FB452D">
            <w:pPr>
              <w:pStyle w:val="P68B1DB1-Normal121"/>
              <w:spacing w:after="0" w:line="240" w:lineRule="auto"/>
              <w:rPr>
                <w:noProof/>
                <w:spacing w:val="-6"/>
                <w:lang w:val="sk-SK"/>
              </w:rPr>
            </w:pPr>
            <w:r w:rsidRPr="00326E55">
              <w:rPr>
                <w:noProof/>
                <w:spacing w:val="-6"/>
                <w:lang w:val="sk-SK"/>
              </w:rPr>
              <w:t>Investícia 1.1: Plán pre materské školy</w:t>
            </w:r>
            <w:r w:rsidR="00326E55" w:rsidRPr="00326E55">
              <w:rPr>
                <w:noProof/>
                <w:spacing w:val="-6"/>
                <w:lang w:val="sk-SK"/>
              </w:rPr>
              <w:t xml:space="preserve"> a </w:t>
            </w:r>
            <w:r w:rsidRPr="00326E55">
              <w:rPr>
                <w:noProof/>
                <w:spacing w:val="-6"/>
                <w:lang w:val="sk-SK"/>
              </w:rPr>
              <w:t>predškolské zariadenia</w:t>
            </w:r>
            <w:r w:rsidR="00326E55" w:rsidRPr="00326E55">
              <w:rPr>
                <w:noProof/>
                <w:spacing w:val="-6"/>
                <w:lang w:val="sk-SK"/>
              </w:rPr>
              <w:t xml:space="preserve"> a </w:t>
            </w:r>
            <w:r w:rsidRPr="00326E55">
              <w:rPr>
                <w:noProof/>
                <w:spacing w:val="-6"/>
                <w:lang w:val="sk-SK"/>
              </w:rPr>
              <w:t>služb</w:t>
            </w:r>
            <w:r w:rsidRPr="00326E55">
              <w:rPr>
                <w:noProof/>
                <w:spacing w:val="-6"/>
                <w:lang w:val="sk-SK"/>
              </w:rPr>
              <w:t>y vzdelávania</w:t>
            </w:r>
            <w:r w:rsidR="00326E55" w:rsidRPr="00326E55">
              <w:rPr>
                <w:noProof/>
                <w:spacing w:val="-6"/>
                <w:lang w:val="sk-SK"/>
              </w:rPr>
              <w:t xml:space="preserve"> a </w:t>
            </w:r>
            <w:r w:rsidRPr="00326E55">
              <w:rPr>
                <w:noProof/>
                <w:spacing w:val="-6"/>
                <w:lang w:val="sk-SK"/>
              </w:rPr>
              <w:t>starostlivosti</w:t>
            </w:r>
            <w:r w:rsidR="00326E55" w:rsidRPr="00326E55">
              <w:rPr>
                <w:noProof/>
                <w:spacing w:val="-6"/>
                <w:lang w:val="sk-SK"/>
              </w:rPr>
              <w:t xml:space="preserve"> v </w:t>
            </w:r>
            <w:r w:rsidRPr="00326E55">
              <w:rPr>
                <w:noProof/>
                <w:spacing w:val="-6"/>
                <w:lang w:val="sk-SK"/>
              </w:rPr>
              <w:t>ranom detstve</w:t>
            </w:r>
          </w:p>
        </w:tc>
        <w:tc>
          <w:tcPr>
            <w:tcW w:w="1276" w:type="dxa"/>
            <w:shd w:val="clear" w:color="auto" w:fill="C6EFCE"/>
            <w:tcMar>
              <w:left w:w="108" w:type="dxa"/>
              <w:right w:w="108" w:type="dxa"/>
            </w:tcMar>
            <w:vAlign w:val="center"/>
          </w:tcPr>
          <w:p w14:paraId="14348D5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shd w:val="clear" w:color="auto" w:fill="C6EFCE"/>
            <w:tcMar>
              <w:left w:w="108" w:type="dxa"/>
              <w:right w:w="108" w:type="dxa"/>
            </w:tcMar>
            <w:vAlign w:val="center"/>
          </w:tcPr>
          <w:p w14:paraId="3F1EE61F" w14:textId="5F593185" w:rsidR="00BF03AA" w:rsidRPr="00326E55" w:rsidRDefault="00FB452D">
            <w:pPr>
              <w:pStyle w:val="P68B1DB1-Normal121"/>
              <w:spacing w:after="0" w:line="240" w:lineRule="auto"/>
              <w:rPr>
                <w:noProof/>
                <w:spacing w:val="-6"/>
                <w:lang w:val="sk-SK"/>
              </w:rPr>
            </w:pPr>
            <w:r w:rsidRPr="00326E55">
              <w:rPr>
                <w:noProof/>
                <w:spacing w:val="-6"/>
                <w:lang w:val="sk-SK"/>
              </w:rPr>
              <w:t>Zadanie zákaziek na výstavbu, obnovu</w:t>
            </w:r>
            <w:r w:rsidR="00326E55" w:rsidRPr="00326E55">
              <w:rPr>
                <w:noProof/>
                <w:spacing w:val="-6"/>
                <w:lang w:val="sk-SK"/>
              </w:rPr>
              <w:t xml:space="preserve"> a </w:t>
            </w:r>
            <w:r w:rsidRPr="00326E55">
              <w:rPr>
                <w:noProof/>
                <w:spacing w:val="-6"/>
                <w:lang w:val="sk-SK"/>
              </w:rPr>
              <w:t>zaistenie bezpečnosti materských škôl, predškolských zariadení</w:t>
            </w:r>
            <w:r w:rsidR="00326E55" w:rsidRPr="00326E55">
              <w:rPr>
                <w:noProof/>
                <w:spacing w:val="-6"/>
                <w:lang w:val="sk-SK"/>
              </w:rPr>
              <w:t xml:space="preserve"> a </w:t>
            </w:r>
            <w:r w:rsidRPr="00326E55">
              <w:rPr>
                <w:noProof/>
                <w:spacing w:val="-6"/>
                <w:lang w:val="sk-SK"/>
              </w:rPr>
              <w:t>služieb vzdelávania</w:t>
            </w:r>
            <w:r w:rsidR="00326E55" w:rsidRPr="00326E55">
              <w:rPr>
                <w:noProof/>
                <w:spacing w:val="-6"/>
                <w:lang w:val="sk-SK"/>
              </w:rPr>
              <w:t xml:space="preserve"> a </w:t>
            </w:r>
            <w:r w:rsidRPr="00326E55">
              <w:rPr>
                <w:noProof/>
                <w:spacing w:val="-6"/>
                <w:lang w:val="sk-SK"/>
              </w:rPr>
              <w:t>starostlivosti</w:t>
            </w:r>
            <w:r w:rsidR="00326E55" w:rsidRPr="00326E55">
              <w:rPr>
                <w:noProof/>
                <w:spacing w:val="-6"/>
                <w:lang w:val="sk-SK"/>
              </w:rPr>
              <w:t xml:space="preserve"> v </w:t>
            </w:r>
            <w:r w:rsidRPr="00326E55">
              <w:rPr>
                <w:noProof/>
                <w:spacing w:val="-6"/>
                <w:lang w:val="sk-SK"/>
              </w:rPr>
              <w:t>ranom detstve</w:t>
            </w:r>
          </w:p>
        </w:tc>
      </w:tr>
      <w:tr w:rsidR="00BF03AA" w:rsidRPr="00326E55" w14:paraId="2DE1B7B2" w14:textId="77777777">
        <w:trPr>
          <w:trHeight w:val="300"/>
        </w:trPr>
        <w:tc>
          <w:tcPr>
            <w:tcW w:w="1435" w:type="dxa"/>
            <w:shd w:val="clear" w:color="auto" w:fill="C6EFCE"/>
            <w:tcMar>
              <w:left w:w="108" w:type="dxa"/>
              <w:right w:w="108" w:type="dxa"/>
            </w:tcMar>
            <w:vAlign w:val="center"/>
          </w:tcPr>
          <w:p w14:paraId="02E629A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M5C3 – 8</w:t>
            </w:r>
          </w:p>
        </w:tc>
        <w:tc>
          <w:tcPr>
            <w:tcW w:w="3543" w:type="dxa"/>
            <w:shd w:val="clear" w:color="auto" w:fill="C6EFCE"/>
            <w:tcMar>
              <w:left w:w="108" w:type="dxa"/>
              <w:right w:w="108" w:type="dxa"/>
            </w:tcMar>
            <w:vAlign w:val="center"/>
          </w:tcPr>
          <w:p w14:paraId="52D8B6D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1.3: Štruktúrované </w:t>
            </w:r>
            <w:r w:rsidRPr="00326E55">
              <w:rPr>
                <w:noProof/>
                <w:spacing w:val="-6"/>
                <w:lang w:val="sk-SK"/>
              </w:rPr>
              <w:t>sociálno-vzdelávacie intervencie na boj proti vzdelanostnej chudobe na juhu, ktoré podporujú tretí sektor</w:t>
            </w:r>
          </w:p>
        </w:tc>
        <w:tc>
          <w:tcPr>
            <w:tcW w:w="1276" w:type="dxa"/>
            <w:shd w:val="clear" w:color="auto" w:fill="C6EFCE"/>
            <w:tcMar>
              <w:left w:w="108" w:type="dxa"/>
              <w:right w:w="108" w:type="dxa"/>
            </w:tcMar>
            <w:vAlign w:val="center"/>
          </w:tcPr>
          <w:p w14:paraId="5EEA773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shd w:val="clear" w:color="auto" w:fill="C6EFCE"/>
            <w:tcMar>
              <w:left w:w="108" w:type="dxa"/>
              <w:right w:w="108" w:type="dxa"/>
            </w:tcMar>
            <w:vAlign w:val="center"/>
          </w:tcPr>
          <w:p w14:paraId="63ED9E60" w14:textId="77777777" w:rsidR="00BF03AA" w:rsidRPr="00326E55" w:rsidRDefault="00FB452D">
            <w:pPr>
              <w:pStyle w:val="P68B1DB1-Normal121"/>
              <w:spacing w:after="0" w:line="240" w:lineRule="auto"/>
              <w:rPr>
                <w:noProof/>
                <w:spacing w:val="-6"/>
                <w:lang w:val="sk-SK"/>
              </w:rPr>
            </w:pPr>
            <w:r w:rsidRPr="00326E55">
              <w:rPr>
                <w:noProof/>
                <w:spacing w:val="-6"/>
                <w:lang w:val="sk-SK"/>
              </w:rPr>
              <w:t>Podpora vzdelávania pre maloleté osoby (prvá skupina)</w:t>
            </w:r>
          </w:p>
        </w:tc>
      </w:tr>
      <w:tr w:rsidR="00BF03AA" w:rsidRPr="00326E55" w14:paraId="49F92A3A" w14:textId="77777777">
        <w:trPr>
          <w:trHeight w:val="300"/>
        </w:trPr>
        <w:tc>
          <w:tcPr>
            <w:tcW w:w="1435" w:type="dxa"/>
            <w:shd w:val="clear" w:color="auto" w:fill="C6EFCE"/>
            <w:tcMar>
              <w:left w:w="108" w:type="dxa"/>
              <w:right w:w="108" w:type="dxa"/>
            </w:tcMar>
            <w:vAlign w:val="center"/>
          </w:tcPr>
          <w:p w14:paraId="4750F3F1"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shd w:val="clear" w:color="auto" w:fill="C6EFCE"/>
            <w:tcMar>
              <w:left w:w="108" w:type="dxa"/>
              <w:right w:w="108" w:type="dxa"/>
            </w:tcMar>
            <w:vAlign w:val="center"/>
          </w:tcPr>
          <w:p w14:paraId="07AB3AF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76" w:type="dxa"/>
            <w:shd w:val="clear" w:color="auto" w:fill="C6EFCE"/>
            <w:tcMar>
              <w:left w:w="108" w:type="dxa"/>
              <w:right w:w="108" w:type="dxa"/>
            </w:tcMar>
            <w:vAlign w:val="center"/>
          </w:tcPr>
          <w:p w14:paraId="4F0119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103" w:type="dxa"/>
            <w:shd w:val="clear" w:color="auto" w:fill="C6EFCE"/>
            <w:tcMar>
              <w:left w:w="108" w:type="dxa"/>
              <w:right w:w="108" w:type="dxa"/>
            </w:tcMar>
            <w:vAlign w:val="center"/>
          </w:tcPr>
          <w:p w14:paraId="784D566A"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2315646882 EUR</w:t>
            </w:r>
            <w:r w:rsidRPr="00326E55">
              <w:rPr>
                <w:noProof/>
                <w:spacing w:val="-6"/>
                <w:sz w:val="23"/>
                <w:szCs w:val="23"/>
                <w:lang w:val="sk-SK"/>
              </w:rPr>
              <w:t xml:space="preserve">  </w:t>
            </w:r>
          </w:p>
        </w:tc>
      </w:tr>
    </w:tbl>
    <w:p w14:paraId="0253E1A2" w14:textId="2AF57A8C" w:rsidR="00BF03AA" w:rsidRPr="00326E55" w:rsidRDefault="00BF03AA">
      <w:pPr>
        <w:rPr>
          <w:rFonts w:ascii="Times New Roman" w:eastAsiaTheme="majorEastAsia" w:hAnsi="Times New Roman" w:cs="Times New Roman"/>
          <w:noProof/>
          <w:spacing w:val="-6"/>
          <w:highlight w:val="lightGray"/>
          <w:lang w:val="sk-SK"/>
        </w:rPr>
      </w:pPr>
    </w:p>
    <w:p w14:paraId="6703ACD6"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Piata splátka (nenávratná podpora):</w:t>
      </w:r>
    </w:p>
    <w:tbl>
      <w:tblPr>
        <w:tblW w:w="936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0"/>
        <w:gridCol w:w="3543"/>
        <w:gridCol w:w="1276"/>
        <w:gridCol w:w="3112"/>
      </w:tblGrid>
      <w:tr w:rsidR="00BF03AA" w:rsidRPr="00326E55" w14:paraId="421DF51F" w14:textId="77777777">
        <w:trPr>
          <w:trHeight w:val="1425"/>
          <w:tblHeader/>
        </w:trPr>
        <w:tc>
          <w:tcPr>
            <w:tcW w:w="1430" w:type="dxa"/>
            <w:shd w:val="clear" w:color="auto" w:fill="BDD7EE"/>
            <w:tcMar>
              <w:left w:w="108" w:type="dxa"/>
              <w:right w:w="108" w:type="dxa"/>
            </w:tcMar>
            <w:vAlign w:val="center"/>
          </w:tcPr>
          <w:p w14:paraId="130A754C"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543" w:type="dxa"/>
            <w:shd w:val="clear" w:color="auto" w:fill="BDD7EE"/>
            <w:tcMar>
              <w:left w:w="108" w:type="dxa"/>
              <w:right w:w="108" w:type="dxa"/>
            </w:tcMar>
            <w:vAlign w:val="center"/>
          </w:tcPr>
          <w:p w14:paraId="1342B024"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76" w:type="dxa"/>
            <w:shd w:val="clear" w:color="auto" w:fill="BDD7EE"/>
            <w:tcMar>
              <w:left w:w="108" w:type="dxa"/>
              <w:right w:w="108" w:type="dxa"/>
            </w:tcMar>
            <w:vAlign w:val="center"/>
          </w:tcPr>
          <w:p w14:paraId="006C0C28"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112" w:type="dxa"/>
            <w:shd w:val="clear" w:color="auto" w:fill="BDD7EE"/>
            <w:tcMar>
              <w:left w:w="108" w:type="dxa"/>
              <w:right w:w="108" w:type="dxa"/>
            </w:tcMar>
            <w:vAlign w:val="center"/>
          </w:tcPr>
          <w:p w14:paraId="4C1AFB0D"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4781D6F8" w14:textId="77777777">
        <w:trPr>
          <w:trHeight w:val="300"/>
        </w:trPr>
        <w:tc>
          <w:tcPr>
            <w:tcW w:w="1430" w:type="dxa"/>
            <w:shd w:val="clear" w:color="auto" w:fill="C6EFCE"/>
            <w:tcMar>
              <w:left w:w="108" w:type="dxa"/>
              <w:right w:w="108" w:type="dxa"/>
            </w:tcMar>
            <w:vAlign w:val="center"/>
          </w:tcPr>
          <w:p w14:paraId="12516B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4</w:t>
            </w:r>
          </w:p>
        </w:tc>
        <w:tc>
          <w:tcPr>
            <w:tcW w:w="3543" w:type="dxa"/>
            <w:shd w:val="clear" w:color="auto" w:fill="C6EFCE"/>
            <w:tcMar>
              <w:left w:w="108" w:type="dxa"/>
              <w:right w:w="108" w:type="dxa"/>
            </w:tcMar>
            <w:vAlign w:val="center"/>
          </w:tcPr>
          <w:p w14:paraId="58989A8D"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 Reforma systému priemyselného vlastníctva</w:t>
            </w:r>
          </w:p>
        </w:tc>
        <w:tc>
          <w:tcPr>
            <w:tcW w:w="1276" w:type="dxa"/>
            <w:shd w:val="clear" w:color="auto" w:fill="C6EFCE"/>
            <w:tcMar>
              <w:left w:w="108" w:type="dxa"/>
              <w:right w:w="108" w:type="dxa"/>
            </w:tcMar>
            <w:vAlign w:val="center"/>
          </w:tcPr>
          <w:p w14:paraId="716DFD3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2399348D" w14:textId="1D357F49"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legislatívneho dekrétu zameraného na reformu talianskeho zákonníka priemyselného vlastníctva</w:t>
            </w:r>
            <w:r w:rsidR="00326E55" w:rsidRPr="00326E55">
              <w:rPr>
                <w:noProof/>
                <w:spacing w:val="-6"/>
                <w:lang w:val="sk-SK"/>
              </w:rPr>
              <w:t xml:space="preserve"> a </w:t>
            </w:r>
            <w:r w:rsidRPr="00326E55">
              <w:rPr>
                <w:noProof/>
                <w:spacing w:val="-6"/>
                <w:lang w:val="sk-SK"/>
              </w:rPr>
              <w:t>príslušných vykonávacích aktov</w:t>
            </w:r>
          </w:p>
        </w:tc>
      </w:tr>
      <w:tr w:rsidR="00BF03AA" w:rsidRPr="00326E55" w14:paraId="1222FCED" w14:textId="77777777">
        <w:trPr>
          <w:trHeight w:val="300"/>
        </w:trPr>
        <w:tc>
          <w:tcPr>
            <w:tcW w:w="1430" w:type="dxa"/>
            <w:shd w:val="clear" w:color="auto" w:fill="C6EFCE"/>
            <w:tcMar>
              <w:left w:w="108" w:type="dxa"/>
              <w:right w:w="108" w:type="dxa"/>
            </w:tcMar>
            <w:vAlign w:val="center"/>
          </w:tcPr>
          <w:p w14:paraId="5B20C87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4</w:t>
            </w:r>
          </w:p>
        </w:tc>
        <w:tc>
          <w:tcPr>
            <w:tcW w:w="3543" w:type="dxa"/>
            <w:shd w:val="clear" w:color="auto" w:fill="C6EFCE"/>
            <w:tcMar>
              <w:left w:w="108" w:type="dxa"/>
              <w:right w:w="108" w:type="dxa"/>
            </w:tcMar>
            <w:vAlign w:val="center"/>
          </w:tcPr>
          <w:p w14:paraId="13B6D43F" w14:textId="26C153A7" w:rsidR="00BF03AA" w:rsidRPr="00326E55" w:rsidRDefault="00FB452D">
            <w:pPr>
              <w:pStyle w:val="P68B1DB1-Normal121"/>
              <w:spacing w:after="0" w:line="240" w:lineRule="auto"/>
              <w:rPr>
                <w:noProof/>
                <w:spacing w:val="-6"/>
                <w:lang w:val="sk-SK"/>
              </w:rPr>
            </w:pPr>
            <w:r w:rsidRPr="00326E55">
              <w:rPr>
                <w:noProof/>
                <w:spacing w:val="-6"/>
                <w:lang w:val="sk-SK"/>
              </w:rPr>
              <w:t>Investície – 1.3 Zlepšiť energetickú účinnosť kín, divadiel</w:t>
            </w:r>
            <w:r w:rsidR="00326E55" w:rsidRPr="00326E55">
              <w:rPr>
                <w:noProof/>
                <w:spacing w:val="-6"/>
                <w:lang w:val="sk-SK"/>
              </w:rPr>
              <w:t xml:space="preserve"> a </w:t>
            </w:r>
            <w:r w:rsidRPr="00326E55">
              <w:rPr>
                <w:noProof/>
                <w:spacing w:val="-6"/>
                <w:lang w:val="sk-SK"/>
              </w:rPr>
              <w:t>múzeí</w:t>
            </w:r>
          </w:p>
        </w:tc>
        <w:tc>
          <w:tcPr>
            <w:tcW w:w="1276" w:type="dxa"/>
            <w:shd w:val="clear" w:color="auto" w:fill="C6EFCE"/>
            <w:tcMar>
              <w:left w:w="108" w:type="dxa"/>
              <w:right w:w="108" w:type="dxa"/>
            </w:tcMar>
            <w:vAlign w:val="center"/>
          </w:tcPr>
          <w:p w14:paraId="67F9410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603FFEE8" w14:textId="1C777E02" w:rsidR="00BF03AA" w:rsidRPr="00326E55" w:rsidRDefault="00FB452D">
            <w:pPr>
              <w:pStyle w:val="P68B1DB1-Normal121"/>
              <w:spacing w:after="0" w:line="240" w:lineRule="auto"/>
              <w:rPr>
                <w:noProof/>
                <w:spacing w:val="-6"/>
                <w:lang w:val="sk-SK"/>
              </w:rPr>
            </w:pPr>
            <w:r w:rsidRPr="00326E55">
              <w:rPr>
                <w:noProof/>
                <w:spacing w:val="-6"/>
                <w:lang w:val="sk-SK"/>
              </w:rPr>
              <w:t>Skončili sa vystúpenia na štátnych múzeách</w:t>
            </w:r>
            <w:r w:rsidR="00326E55" w:rsidRPr="00326E55">
              <w:rPr>
                <w:noProof/>
                <w:spacing w:val="-6"/>
                <w:lang w:val="sk-SK"/>
              </w:rPr>
              <w:t xml:space="preserve"> a </w:t>
            </w:r>
            <w:r w:rsidRPr="00326E55">
              <w:rPr>
                <w:noProof/>
                <w:spacing w:val="-6"/>
                <w:lang w:val="sk-SK"/>
              </w:rPr>
              <w:t>kultúrnych pamiatok, divadelných sálach</w:t>
            </w:r>
            <w:r w:rsidR="00326E55" w:rsidRPr="00326E55">
              <w:rPr>
                <w:noProof/>
                <w:spacing w:val="-6"/>
                <w:lang w:val="sk-SK"/>
              </w:rPr>
              <w:t xml:space="preserve"> a </w:t>
            </w:r>
            <w:r w:rsidRPr="00326E55">
              <w:rPr>
                <w:noProof/>
                <w:spacing w:val="-6"/>
                <w:lang w:val="sk-SK"/>
              </w:rPr>
              <w:t>kinách (prvá séria)</w:t>
            </w:r>
          </w:p>
        </w:tc>
      </w:tr>
      <w:tr w:rsidR="00BF03AA" w:rsidRPr="00326E55" w14:paraId="4F7A6BBC" w14:textId="77777777">
        <w:trPr>
          <w:trHeight w:val="300"/>
        </w:trPr>
        <w:tc>
          <w:tcPr>
            <w:tcW w:w="1430" w:type="dxa"/>
            <w:shd w:val="clear" w:color="auto" w:fill="C6EFCE"/>
            <w:tcMar>
              <w:left w:w="108" w:type="dxa"/>
              <w:right w:w="108" w:type="dxa"/>
            </w:tcMar>
            <w:vAlign w:val="center"/>
          </w:tcPr>
          <w:p w14:paraId="634DC02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w:t>
            </w:r>
          </w:p>
        </w:tc>
        <w:tc>
          <w:tcPr>
            <w:tcW w:w="3543" w:type="dxa"/>
            <w:shd w:val="clear" w:color="auto" w:fill="C6EFCE"/>
            <w:tcMar>
              <w:left w:w="108" w:type="dxa"/>
              <w:right w:w="108" w:type="dxa"/>
            </w:tcMar>
            <w:vAlign w:val="center"/>
          </w:tcPr>
          <w:p w14:paraId="38D07606" w14:textId="55532DC9"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1.3.2: </w:t>
            </w:r>
            <w:r w:rsidRPr="00326E55">
              <w:rPr>
                <w:noProof/>
                <w:spacing w:val="-6"/>
                <w:lang w:val="sk-SK"/>
              </w:rPr>
              <w:t>Jednotná digitálna brána</w:t>
            </w:r>
          </w:p>
        </w:tc>
        <w:tc>
          <w:tcPr>
            <w:tcW w:w="1276" w:type="dxa"/>
            <w:shd w:val="clear" w:color="auto" w:fill="C6EFCE"/>
            <w:tcMar>
              <w:left w:w="108" w:type="dxa"/>
              <w:right w:w="108" w:type="dxa"/>
            </w:tcMar>
            <w:vAlign w:val="center"/>
          </w:tcPr>
          <w:p w14:paraId="304C9B5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05EF7C26" w14:textId="77777777" w:rsidR="00BF03AA" w:rsidRPr="00326E55" w:rsidRDefault="00FB452D">
            <w:pPr>
              <w:pStyle w:val="P68B1DB1-Normal121"/>
              <w:spacing w:after="0" w:line="240" w:lineRule="auto"/>
              <w:rPr>
                <w:noProof/>
                <w:spacing w:val="-6"/>
                <w:lang w:val="sk-SK"/>
              </w:rPr>
            </w:pPr>
            <w:r w:rsidRPr="00326E55">
              <w:rPr>
                <w:noProof/>
                <w:spacing w:val="-6"/>
                <w:lang w:val="sk-SK"/>
              </w:rPr>
              <w:t>Jednotná digitálna brána</w:t>
            </w:r>
          </w:p>
        </w:tc>
      </w:tr>
      <w:tr w:rsidR="00BF03AA" w:rsidRPr="00326E55" w14:paraId="36485D96" w14:textId="77777777">
        <w:trPr>
          <w:trHeight w:val="300"/>
        </w:trPr>
        <w:tc>
          <w:tcPr>
            <w:tcW w:w="1430" w:type="dxa"/>
            <w:shd w:val="clear" w:color="auto" w:fill="C6EFCE"/>
            <w:tcMar>
              <w:left w:w="108" w:type="dxa"/>
              <w:right w:w="108" w:type="dxa"/>
            </w:tcMar>
            <w:vAlign w:val="center"/>
          </w:tcPr>
          <w:p w14:paraId="2683F26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w:t>
            </w:r>
          </w:p>
        </w:tc>
        <w:tc>
          <w:tcPr>
            <w:tcW w:w="3543" w:type="dxa"/>
            <w:shd w:val="clear" w:color="auto" w:fill="C6EFCE"/>
            <w:tcMar>
              <w:left w:w="108" w:type="dxa"/>
              <w:right w:w="108" w:type="dxa"/>
            </w:tcMar>
            <w:vAlign w:val="center"/>
          </w:tcPr>
          <w:p w14:paraId="2EF70A7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1.4.6: Mobilita ako služba pre Taliansko</w:t>
            </w:r>
          </w:p>
        </w:tc>
        <w:tc>
          <w:tcPr>
            <w:tcW w:w="1276" w:type="dxa"/>
            <w:shd w:val="clear" w:color="auto" w:fill="C6EFCE"/>
            <w:tcMar>
              <w:left w:w="108" w:type="dxa"/>
              <w:right w:w="108" w:type="dxa"/>
            </w:tcMar>
            <w:vAlign w:val="center"/>
          </w:tcPr>
          <w:p w14:paraId="565A830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6960812C" w14:textId="77777777" w:rsidR="00BF03AA" w:rsidRPr="00326E55" w:rsidRDefault="00FB452D">
            <w:pPr>
              <w:pStyle w:val="P68B1DB1-Normal121"/>
              <w:spacing w:after="0" w:line="240" w:lineRule="auto"/>
              <w:rPr>
                <w:noProof/>
                <w:spacing w:val="-6"/>
                <w:lang w:val="sk-SK"/>
              </w:rPr>
            </w:pPr>
            <w:r w:rsidRPr="00326E55">
              <w:rPr>
                <w:noProof/>
                <w:spacing w:val="-6"/>
                <w:lang w:val="sk-SK"/>
              </w:rPr>
              <w:t>Mobilita ako servisné riešenia M1</w:t>
            </w:r>
          </w:p>
        </w:tc>
      </w:tr>
      <w:tr w:rsidR="00BF03AA" w:rsidRPr="00326E55" w14:paraId="154B5EEB" w14:textId="77777777">
        <w:trPr>
          <w:trHeight w:val="300"/>
        </w:trPr>
        <w:tc>
          <w:tcPr>
            <w:tcW w:w="1430" w:type="dxa"/>
            <w:shd w:val="clear" w:color="auto" w:fill="C6EFCE"/>
            <w:tcMar>
              <w:left w:w="108" w:type="dxa"/>
              <w:right w:w="108" w:type="dxa"/>
            </w:tcMar>
            <w:vAlign w:val="center"/>
          </w:tcPr>
          <w:p w14:paraId="113B0CD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38</w:t>
            </w:r>
          </w:p>
        </w:tc>
        <w:tc>
          <w:tcPr>
            <w:tcW w:w="3543" w:type="dxa"/>
            <w:shd w:val="clear" w:color="auto" w:fill="C6EFCE"/>
            <w:tcMar>
              <w:left w:w="108" w:type="dxa"/>
              <w:right w:w="108" w:type="dxa"/>
            </w:tcMar>
            <w:vAlign w:val="center"/>
          </w:tcPr>
          <w:p w14:paraId="2168B401"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1.8: Digitalizácia justície</w:t>
            </w:r>
          </w:p>
        </w:tc>
        <w:tc>
          <w:tcPr>
            <w:tcW w:w="1276" w:type="dxa"/>
            <w:shd w:val="clear" w:color="auto" w:fill="C6EFCE"/>
            <w:tcMar>
              <w:left w:w="108" w:type="dxa"/>
              <w:right w:w="108" w:type="dxa"/>
            </w:tcMar>
            <w:vAlign w:val="center"/>
          </w:tcPr>
          <w:p w14:paraId="48CE55A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2EB949A7" w14:textId="77777777" w:rsidR="00BF03AA" w:rsidRPr="00326E55" w:rsidRDefault="00FB452D">
            <w:pPr>
              <w:pStyle w:val="P68B1DB1-Normal121"/>
              <w:spacing w:after="0" w:line="240" w:lineRule="auto"/>
              <w:rPr>
                <w:noProof/>
                <w:spacing w:val="-6"/>
                <w:lang w:val="sk-SK"/>
              </w:rPr>
            </w:pPr>
            <w:r w:rsidRPr="00326E55">
              <w:rPr>
                <w:noProof/>
                <w:spacing w:val="-6"/>
                <w:lang w:val="sk-SK"/>
              </w:rPr>
              <w:t>Digitalizácia justičného systému</w:t>
            </w:r>
          </w:p>
        </w:tc>
      </w:tr>
      <w:tr w:rsidR="00BF03AA" w:rsidRPr="00326E55" w14:paraId="0FE96698" w14:textId="77777777">
        <w:trPr>
          <w:trHeight w:val="300"/>
        </w:trPr>
        <w:tc>
          <w:tcPr>
            <w:tcW w:w="1430" w:type="dxa"/>
            <w:shd w:val="clear" w:color="auto" w:fill="C6EFCE"/>
            <w:tcMar>
              <w:left w:w="108" w:type="dxa"/>
              <w:right w:w="108" w:type="dxa"/>
            </w:tcMar>
            <w:vAlign w:val="center"/>
          </w:tcPr>
          <w:p w14:paraId="0785094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59</w:t>
            </w:r>
          </w:p>
        </w:tc>
        <w:tc>
          <w:tcPr>
            <w:tcW w:w="3543" w:type="dxa"/>
            <w:shd w:val="clear" w:color="auto" w:fill="C6EFCE"/>
            <w:tcMar>
              <w:left w:w="108" w:type="dxa"/>
              <w:right w:w="108" w:type="dxa"/>
            </w:tcMar>
            <w:vAlign w:val="center"/>
          </w:tcPr>
          <w:p w14:paraId="15C1D392"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276" w:type="dxa"/>
            <w:shd w:val="clear" w:color="auto" w:fill="C6EFCE"/>
            <w:tcMar>
              <w:left w:w="108" w:type="dxa"/>
              <w:right w:w="108" w:type="dxa"/>
            </w:tcMar>
            <w:vAlign w:val="center"/>
          </w:tcPr>
          <w:p w14:paraId="47DE354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32AF735C"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strategického riadenia ľudských zdrojov vo verejnej správe</w:t>
            </w:r>
          </w:p>
        </w:tc>
      </w:tr>
      <w:tr w:rsidR="00BF03AA" w:rsidRPr="00326E55" w14:paraId="6373BA9D" w14:textId="77777777">
        <w:trPr>
          <w:trHeight w:val="300"/>
        </w:trPr>
        <w:tc>
          <w:tcPr>
            <w:tcW w:w="1430" w:type="dxa"/>
            <w:shd w:val="clear" w:color="auto" w:fill="C6EFCE"/>
            <w:tcMar>
              <w:left w:w="108" w:type="dxa"/>
              <w:right w:w="108" w:type="dxa"/>
            </w:tcMar>
            <w:vAlign w:val="center"/>
          </w:tcPr>
          <w:p w14:paraId="0811845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73c</w:t>
            </w:r>
          </w:p>
        </w:tc>
        <w:tc>
          <w:tcPr>
            <w:tcW w:w="3543" w:type="dxa"/>
            <w:shd w:val="clear" w:color="auto" w:fill="C6EFCE"/>
            <w:tcMar>
              <w:left w:w="108" w:type="dxa"/>
              <w:right w:w="108" w:type="dxa"/>
            </w:tcMar>
            <w:vAlign w:val="center"/>
          </w:tcPr>
          <w:p w14:paraId="230F2DD7"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shd w:val="clear" w:color="auto" w:fill="C6EFCE"/>
            <w:tcMar>
              <w:left w:w="108" w:type="dxa"/>
              <w:right w:w="108" w:type="dxa"/>
            </w:tcMar>
            <w:vAlign w:val="center"/>
          </w:tcPr>
          <w:p w14:paraId="185E4CF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74BBCB50" w14:textId="28214F20"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usmernení</w:t>
            </w:r>
            <w:r w:rsidR="00326E55" w:rsidRPr="00326E55">
              <w:rPr>
                <w:noProof/>
                <w:spacing w:val="-6"/>
                <w:lang w:val="sk-SK"/>
              </w:rPr>
              <w:t xml:space="preserve"> o </w:t>
            </w:r>
            <w:r w:rsidRPr="00326E55">
              <w:rPr>
                <w:noProof/>
                <w:spacing w:val="-6"/>
                <w:lang w:val="sk-SK"/>
              </w:rPr>
              <w:t>obstarávaní pod prahovou hodnotou EÚ</w:t>
            </w:r>
          </w:p>
        </w:tc>
      </w:tr>
      <w:tr w:rsidR="00BF03AA" w:rsidRPr="00326E55" w14:paraId="75D24762" w14:textId="77777777">
        <w:trPr>
          <w:trHeight w:val="300"/>
        </w:trPr>
        <w:tc>
          <w:tcPr>
            <w:tcW w:w="1430" w:type="dxa"/>
            <w:shd w:val="clear" w:color="auto" w:fill="C6EFCE"/>
            <w:tcMar>
              <w:left w:w="108" w:type="dxa"/>
              <w:right w:w="108" w:type="dxa"/>
            </w:tcMar>
            <w:vAlign w:val="center"/>
          </w:tcPr>
          <w:p w14:paraId="69CB114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75</w:t>
            </w:r>
          </w:p>
        </w:tc>
        <w:tc>
          <w:tcPr>
            <w:tcW w:w="3543" w:type="dxa"/>
            <w:shd w:val="clear" w:color="auto" w:fill="C6EFCE"/>
            <w:tcMar>
              <w:left w:w="108" w:type="dxa"/>
              <w:right w:w="108" w:type="dxa"/>
            </w:tcMar>
            <w:vAlign w:val="center"/>
          </w:tcPr>
          <w:p w14:paraId="2E63588B"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shd w:val="clear" w:color="auto" w:fill="C6EFCE"/>
            <w:tcMar>
              <w:left w:w="108" w:type="dxa"/>
              <w:right w:w="108" w:type="dxa"/>
            </w:tcMar>
            <w:vAlign w:val="center"/>
          </w:tcPr>
          <w:p w14:paraId="34488E5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5E8A2C4C" w14:textId="77777777" w:rsidR="00BF03AA" w:rsidRPr="00326E55" w:rsidRDefault="00FB452D">
            <w:pPr>
              <w:pStyle w:val="P68B1DB1-Normal121"/>
              <w:spacing w:after="0" w:line="240" w:lineRule="auto"/>
              <w:rPr>
                <w:noProof/>
                <w:spacing w:val="-6"/>
                <w:lang w:val="sk-SK"/>
              </w:rPr>
            </w:pPr>
            <w:r w:rsidRPr="00326E55">
              <w:rPr>
                <w:noProof/>
                <w:spacing w:val="-6"/>
                <w:lang w:val="sk-SK"/>
              </w:rPr>
              <w:t>Úplná prevádzka vnútroštátneho systému elektronického obstarávania</w:t>
            </w:r>
          </w:p>
        </w:tc>
      </w:tr>
      <w:tr w:rsidR="00BF03AA" w:rsidRPr="00326E55" w14:paraId="2CA23512" w14:textId="77777777">
        <w:trPr>
          <w:trHeight w:val="300"/>
        </w:trPr>
        <w:tc>
          <w:tcPr>
            <w:tcW w:w="1430" w:type="dxa"/>
            <w:shd w:val="clear" w:color="auto" w:fill="C6EFCE"/>
            <w:tcMar>
              <w:left w:w="108" w:type="dxa"/>
              <w:right w:w="108" w:type="dxa"/>
            </w:tcMar>
            <w:vAlign w:val="center"/>
          </w:tcPr>
          <w:p w14:paraId="1F096A6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84</w:t>
            </w:r>
          </w:p>
        </w:tc>
        <w:tc>
          <w:tcPr>
            <w:tcW w:w="3543" w:type="dxa"/>
            <w:shd w:val="clear" w:color="auto" w:fill="C6EFCE"/>
            <w:tcMar>
              <w:left w:w="108" w:type="dxa"/>
              <w:right w:w="108" w:type="dxa"/>
            </w:tcMar>
            <w:vAlign w:val="center"/>
          </w:tcPr>
          <w:p w14:paraId="47437ED4"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1.10: Reforma legislatívneho rámca pre verejné </w:t>
            </w:r>
            <w:r w:rsidRPr="00326E55">
              <w:rPr>
                <w:noProof/>
                <w:spacing w:val="-6"/>
                <w:lang w:val="sk-SK"/>
              </w:rPr>
              <w:t>obstarávanie</w:t>
            </w:r>
          </w:p>
        </w:tc>
        <w:tc>
          <w:tcPr>
            <w:tcW w:w="1276" w:type="dxa"/>
            <w:shd w:val="clear" w:color="auto" w:fill="C6EFCE"/>
            <w:tcMar>
              <w:left w:w="108" w:type="dxa"/>
              <w:right w:w="108" w:type="dxa"/>
            </w:tcMar>
            <w:vAlign w:val="center"/>
          </w:tcPr>
          <w:p w14:paraId="0365789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66CEF537" w14:textId="723238B6" w:rsidR="00BF03AA" w:rsidRPr="00326E55" w:rsidRDefault="00FB452D">
            <w:pPr>
              <w:pStyle w:val="P68B1DB1-Normal121"/>
              <w:spacing w:after="0" w:line="240" w:lineRule="auto"/>
              <w:rPr>
                <w:noProof/>
                <w:spacing w:val="-6"/>
                <w:lang w:val="sk-SK"/>
              </w:rPr>
            </w:pPr>
            <w:r w:rsidRPr="00326E55">
              <w:rPr>
                <w:noProof/>
                <w:spacing w:val="-6"/>
                <w:lang w:val="sk-SK"/>
              </w:rPr>
              <w:t>Priemerný čas medzi uverejnením</w:t>
            </w:r>
            <w:r w:rsidR="00326E55" w:rsidRPr="00326E55">
              <w:rPr>
                <w:noProof/>
                <w:spacing w:val="-6"/>
                <w:lang w:val="sk-SK"/>
              </w:rPr>
              <w:t xml:space="preserve"> a </w:t>
            </w:r>
            <w:r w:rsidRPr="00326E55">
              <w:rPr>
                <w:noProof/>
                <w:spacing w:val="-6"/>
                <w:lang w:val="sk-SK"/>
              </w:rPr>
              <w:t>zadaním zákazky</w:t>
            </w:r>
          </w:p>
        </w:tc>
      </w:tr>
      <w:tr w:rsidR="00BF03AA" w:rsidRPr="00326E55" w14:paraId="08FBAF27" w14:textId="77777777">
        <w:trPr>
          <w:trHeight w:val="300"/>
        </w:trPr>
        <w:tc>
          <w:tcPr>
            <w:tcW w:w="1430" w:type="dxa"/>
            <w:shd w:val="clear" w:color="auto" w:fill="C6EFCE"/>
            <w:tcMar>
              <w:left w:w="108" w:type="dxa"/>
              <w:right w:w="108" w:type="dxa"/>
            </w:tcMar>
            <w:vAlign w:val="center"/>
          </w:tcPr>
          <w:p w14:paraId="65DAB13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86</w:t>
            </w:r>
          </w:p>
        </w:tc>
        <w:tc>
          <w:tcPr>
            <w:tcW w:w="3543" w:type="dxa"/>
            <w:shd w:val="clear" w:color="auto" w:fill="C6EFCE"/>
            <w:tcMar>
              <w:left w:w="108" w:type="dxa"/>
              <w:right w:w="108" w:type="dxa"/>
            </w:tcMar>
            <w:vAlign w:val="center"/>
          </w:tcPr>
          <w:p w14:paraId="11CD048A"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shd w:val="clear" w:color="auto" w:fill="C6EFCE"/>
            <w:tcMar>
              <w:left w:w="108" w:type="dxa"/>
              <w:right w:w="108" w:type="dxa"/>
            </w:tcMar>
            <w:vAlign w:val="center"/>
          </w:tcPr>
          <w:p w14:paraId="0133E42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3EC43A41" w14:textId="258A8FA6" w:rsidR="00BF03AA" w:rsidRPr="00326E55" w:rsidRDefault="00FB452D">
            <w:pPr>
              <w:pStyle w:val="P68B1DB1-Normal121"/>
              <w:spacing w:after="0" w:line="240" w:lineRule="auto"/>
              <w:rPr>
                <w:noProof/>
                <w:spacing w:val="-6"/>
                <w:lang w:val="sk-SK"/>
              </w:rPr>
            </w:pPr>
            <w:r w:rsidRPr="00326E55">
              <w:rPr>
                <w:noProof/>
                <w:spacing w:val="-6"/>
                <w:lang w:val="sk-SK"/>
              </w:rPr>
              <w:t>Štátni zamestnanci vyškolení</w:t>
            </w:r>
            <w:r w:rsidR="00326E55" w:rsidRPr="00326E55">
              <w:rPr>
                <w:noProof/>
                <w:spacing w:val="-6"/>
                <w:lang w:val="sk-SK"/>
              </w:rPr>
              <w:t xml:space="preserve"> v </w:t>
            </w:r>
            <w:r w:rsidRPr="00326E55">
              <w:rPr>
                <w:noProof/>
                <w:spacing w:val="-6"/>
                <w:lang w:val="sk-SK"/>
              </w:rPr>
              <w:t>rámci stratégie profesionalizácie verejných kupujúcich</w:t>
            </w:r>
          </w:p>
        </w:tc>
      </w:tr>
      <w:tr w:rsidR="00BF03AA" w:rsidRPr="00326E55" w14:paraId="141D99BE" w14:textId="77777777">
        <w:trPr>
          <w:trHeight w:val="300"/>
        </w:trPr>
        <w:tc>
          <w:tcPr>
            <w:tcW w:w="1430" w:type="dxa"/>
            <w:shd w:val="clear" w:color="auto" w:fill="C6EFCE"/>
            <w:tcMar>
              <w:left w:w="108" w:type="dxa"/>
              <w:right w:w="108" w:type="dxa"/>
            </w:tcMar>
            <w:vAlign w:val="center"/>
          </w:tcPr>
          <w:p w14:paraId="3A7B1A7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87</w:t>
            </w:r>
          </w:p>
        </w:tc>
        <w:tc>
          <w:tcPr>
            <w:tcW w:w="3543" w:type="dxa"/>
            <w:shd w:val="clear" w:color="auto" w:fill="C6EFCE"/>
            <w:tcMar>
              <w:left w:w="108" w:type="dxa"/>
              <w:right w:w="108" w:type="dxa"/>
            </w:tcMar>
            <w:vAlign w:val="center"/>
          </w:tcPr>
          <w:p w14:paraId="1FB278DC"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w:t>
            </w:r>
            <w:r w:rsidRPr="00326E55">
              <w:rPr>
                <w:noProof/>
                <w:spacing w:val="-6"/>
                <w:lang w:val="sk-SK"/>
              </w:rPr>
              <w:t xml:space="preserve"> 1.10: Reforma legislatívneho rámca pre verejné obstarávanie</w:t>
            </w:r>
          </w:p>
        </w:tc>
        <w:tc>
          <w:tcPr>
            <w:tcW w:w="1276" w:type="dxa"/>
            <w:shd w:val="clear" w:color="auto" w:fill="C6EFCE"/>
            <w:tcMar>
              <w:left w:w="108" w:type="dxa"/>
              <w:right w:w="108" w:type="dxa"/>
            </w:tcMar>
            <w:vAlign w:val="center"/>
          </w:tcPr>
          <w:p w14:paraId="1CD3438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6FD33177" w14:textId="77777777" w:rsidR="00BF03AA" w:rsidRPr="00326E55" w:rsidRDefault="00FB452D">
            <w:pPr>
              <w:pStyle w:val="P68B1DB1-Normal121"/>
              <w:spacing w:after="0" w:line="240" w:lineRule="auto"/>
              <w:rPr>
                <w:noProof/>
                <w:spacing w:val="-6"/>
                <w:lang w:val="sk-SK"/>
              </w:rPr>
            </w:pPr>
            <w:r w:rsidRPr="00326E55">
              <w:rPr>
                <w:noProof/>
                <w:spacing w:val="-6"/>
                <w:lang w:val="sk-SK"/>
              </w:rPr>
              <w:t>Verejní obstarávatelia používajúci dynamické nákupné systémy</w:t>
            </w:r>
          </w:p>
        </w:tc>
      </w:tr>
      <w:tr w:rsidR="00BF03AA" w:rsidRPr="00326E55" w14:paraId="0ED15FFE" w14:textId="77777777">
        <w:trPr>
          <w:trHeight w:val="300"/>
        </w:trPr>
        <w:tc>
          <w:tcPr>
            <w:tcW w:w="1430" w:type="dxa"/>
            <w:shd w:val="clear" w:color="auto" w:fill="C6EFCE"/>
            <w:tcMar>
              <w:left w:w="108" w:type="dxa"/>
              <w:right w:w="108" w:type="dxa"/>
            </w:tcMar>
            <w:vAlign w:val="center"/>
          </w:tcPr>
          <w:p w14:paraId="4E9FDD1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110</w:t>
            </w:r>
          </w:p>
        </w:tc>
        <w:tc>
          <w:tcPr>
            <w:tcW w:w="3543" w:type="dxa"/>
            <w:shd w:val="clear" w:color="auto" w:fill="C6EFCE"/>
            <w:tcMar>
              <w:left w:w="108" w:type="dxa"/>
              <w:right w:w="108" w:type="dxa"/>
            </w:tcMar>
            <w:vAlign w:val="center"/>
          </w:tcPr>
          <w:p w14:paraId="65F0ED94"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1.13: Reforma rámca preskúmania výdavkov</w:t>
            </w:r>
          </w:p>
        </w:tc>
        <w:tc>
          <w:tcPr>
            <w:tcW w:w="1276" w:type="dxa"/>
            <w:shd w:val="clear" w:color="auto" w:fill="C6EFCE"/>
            <w:tcMar>
              <w:left w:w="108" w:type="dxa"/>
              <w:right w:w="108" w:type="dxa"/>
            </w:tcMar>
            <w:vAlign w:val="center"/>
          </w:tcPr>
          <w:p w14:paraId="66D7322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68AB4DB7" w14:textId="78D5F6AB" w:rsidR="00BF03AA" w:rsidRPr="00326E55" w:rsidRDefault="00FB452D">
            <w:pPr>
              <w:pStyle w:val="P68B1DB1-Normal121"/>
              <w:spacing w:after="0" w:line="240" w:lineRule="auto"/>
              <w:rPr>
                <w:noProof/>
                <w:spacing w:val="-6"/>
                <w:lang w:val="sk-SK"/>
              </w:rPr>
            </w:pPr>
            <w:r w:rsidRPr="00326E55">
              <w:rPr>
                <w:noProof/>
                <w:spacing w:val="-6"/>
                <w:lang w:val="sk-SK"/>
              </w:rPr>
              <w:t>Preklasifikovanie všeobecného štátneho rozpočtu</w:t>
            </w:r>
            <w:r w:rsidR="00326E55" w:rsidRPr="00326E55">
              <w:rPr>
                <w:noProof/>
                <w:spacing w:val="-6"/>
                <w:lang w:val="sk-SK"/>
              </w:rPr>
              <w:t xml:space="preserve"> s </w:t>
            </w:r>
            <w:r w:rsidRPr="00326E55">
              <w:rPr>
                <w:noProof/>
                <w:spacing w:val="-6"/>
                <w:lang w:val="sk-SK"/>
              </w:rPr>
              <w:t xml:space="preserve">odkazom na </w:t>
            </w:r>
            <w:r w:rsidRPr="00326E55">
              <w:rPr>
                <w:noProof/>
                <w:spacing w:val="-6"/>
                <w:lang w:val="sk-SK"/>
              </w:rPr>
              <w:t>environmentálne výdavky</w:t>
            </w:r>
            <w:r w:rsidR="00326E55" w:rsidRPr="00326E55">
              <w:rPr>
                <w:noProof/>
                <w:spacing w:val="-6"/>
                <w:lang w:val="sk-SK"/>
              </w:rPr>
              <w:t xml:space="preserve"> a </w:t>
            </w:r>
            <w:r w:rsidRPr="00326E55">
              <w:rPr>
                <w:noProof/>
                <w:spacing w:val="-6"/>
                <w:lang w:val="sk-SK"/>
              </w:rPr>
              <w:t>výdavky na podporu rodovej rovnosti</w:t>
            </w:r>
          </w:p>
        </w:tc>
      </w:tr>
      <w:tr w:rsidR="00BF03AA" w:rsidRPr="00326E55" w14:paraId="6979BF20" w14:textId="77777777">
        <w:trPr>
          <w:trHeight w:val="300"/>
        </w:trPr>
        <w:tc>
          <w:tcPr>
            <w:tcW w:w="1430" w:type="dxa"/>
            <w:shd w:val="clear" w:color="auto" w:fill="C6EFCE"/>
            <w:tcMar>
              <w:left w:w="108" w:type="dxa"/>
              <w:right w:w="108" w:type="dxa"/>
            </w:tcMar>
            <w:vAlign w:val="center"/>
          </w:tcPr>
          <w:p w14:paraId="115C461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9</w:t>
            </w:r>
          </w:p>
        </w:tc>
        <w:tc>
          <w:tcPr>
            <w:tcW w:w="3543" w:type="dxa"/>
            <w:shd w:val="clear" w:color="auto" w:fill="C6EFCE"/>
            <w:tcMar>
              <w:left w:w="108" w:type="dxa"/>
              <w:right w:w="108" w:type="dxa"/>
            </w:tcMar>
            <w:vAlign w:val="center"/>
          </w:tcPr>
          <w:p w14:paraId="1BF92697" w14:textId="03B284CE" w:rsidR="00BF03AA" w:rsidRPr="00326E55" w:rsidRDefault="00FB452D">
            <w:pPr>
              <w:pStyle w:val="P68B1DB1-Normal121"/>
              <w:spacing w:after="0" w:line="240" w:lineRule="auto"/>
              <w:rPr>
                <w:noProof/>
                <w:spacing w:val="-6"/>
                <w:lang w:val="sk-SK"/>
              </w:rPr>
            </w:pPr>
            <w:r w:rsidRPr="00326E55">
              <w:rPr>
                <w:noProof/>
                <w:spacing w:val="-6"/>
                <w:lang w:val="sk-SK"/>
              </w:rPr>
              <w:t>Reforma 2: Ročné právne predpisy</w:t>
            </w:r>
            <w:r w:rsidR="00326E55" w:rsidRPr="00326E55">
              <w:rPr>
                <w:noProof/>
                <w:spacing w:val="-6"/>
                <w:lang w:val="sk-SK"/>
              </w:rPr>
              <w:t xml:space="preserve"> v </w:t>
            </w:r>
            <w:r w:rsidRPr="00326E55">
              <w:rPr>
                <w:noProof/>
                <w:spacing w:val="-6"/>
                <w:lang w:val="sk-SK"/>
              </w:rPr>
              <w:t>oblasti hospodárskej súťaže</w:t>
            </w:r>
          </w:p>
        </w:tc>
        <w:tc>
          <w:tcPr>
            <w:tcW w:w="1276" w:type="dxa"/>
            <w:shd w:val="clear" w:color="auto" w:fill="C6EFCE"/>
            <w:tcMar>
              <w:left w:w="108" w:type="dxa"/>
              <w:right w:w="108" w:type="dxa"/>
            </w:tcMar>
            <w:vAlign w:val="center"/>
          </w:tcPr>
          <w:p w14:paraId="404A209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76D1CB86" w14:textId="14835853"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ročného zákona</w:t>
            </w:r>
            <w:r w:rsidR="00326E55" w:rsidRPr="00326E55">
              <w:rPr>
                <w:noProof/>
                <w:spacing w:val="-6"/>
                <w:lang w:val="sk-SK"/>
              </w:rPr>
              <w:t xml:space="preserve"> o </w:t>
            </w:r>
            <w:r w:rsidRPr="00326E55">
              <w:rPr>
                <w:noProof/>
                <w:spacing w:val="-6"/>
                <w:lang w:val="sk-SK"/>
              </w:rPr>
              <w:t>hospodárskej súťaži 2022</w:t>
            </w:r>
          </w:p>
        </w:tc>
      </w:tr>
      <w:tr w:rsidR="00BF03AA" w:rsidRPr="00326E55" w14:paraId="738332AA" w14:textId="77777777">
        <w:trPr>
          <w:trHeight w:val="300"/>
        </w:trPr>
        <w:tc>
          <w:tcPr>
            <w:tcW w:w="1430" w:type="dxa"/>
            <w:shd w:val="clear" w:color="auto" w:fill="C6EFCE"/>
            <w:tcMar>
              <w:left w:w="108" w:type="dxa"/>
              <w:right w:w="108" w:type="dxa"/>
            </w:tcMar>
            <w:vAlign w:val="center"/>
          </w:tcPr>
          <w:p w14:paraId="7EA61A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10</w:t>
            </w:r>
          </w:p>
        </w:tc>
        <w:tc>
          <w:tcPr>
            <w:tcW w:w="3543" w:type="dxa"/>
            <w:shd w:val="clear" w:color="auto" w:fill="C6EFCE"/>
            <w:tcMar>
              <w:left w:w="108" w:type="dxa"/>
              <w:right w:w="108" w:type="dxa"/>
            </w:tcMar>
            <w:vAlign w:val="center"/>
          </w:tcPr>
          <w:p w14:paraId="455CEF59" w14:textId="1EE06C20" w:rsidR="00BF03AA" w:rsidRPr="00326E55" w:rsidRDefault="00FB452D">
            <w:pPr>
              <w:pStyle w:val="P68B1DB1-Normal121"/>
              <w:spacing w:after="0" w:line="240" w:lineRule="auto"/>
              <w:rPr>
                <w:noProof/>
                <w:spacing w:val="-6"/>
                <w:lang w:val="sk-SK"/>
              </w:rPr>
            </w:pPr>
            <w:r w:rsidRPr="00326E55">
              <w:rPr>
                <w:noProof/>
                <w:spacing w:val="-6"/>
                <w:lang w:val="sk-SK"/>
              </w:rPr>
              <w:t>Reforma 2: Ročné právne predpisy</w:t>
            </w:r>
            <w:r w:rsidR="00326E55" w:rsidRPr="00326E55">
              <w:rPr>
                <w:noProof/>
                <w:spacing w:val="-6"/>
                <w:lang w:val="sk-SK"/>
              </w:rPr>
              <w:t xml:space="preserve"> v </w:t>
            </w:r>
            <w:r w:rsidRPr="00326E55">
              <w:rPr>
                <w:noProof/>
                <w:spacing w:val="-6"/>
                <w:lang w:val="sk-SK"/>
              </w:rPr>
              <w:t>oblasti hospodárskej súťaže</w:t>
            </w:r>
          </w:p>
        </w:tc>
        <w:tc>
          <w:tcPr>
            <w:tcW w:w="1276" w:type="dxa"/>
            <w:shd w:val="clear" w:color="auto" w:fill="C6EFCE"/>
            <w:tcMar>
              <w:left w:w="108" w:type="dxa"/>
              <w:right w:w="108" w:type="dxa"/>
            </w:tcMar>
            <w:vAlign w:val="center"/>
          </w:tcPr>
          <w:p w14:paraId="1956FAC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38DF8F24" w14:textId="15551E4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všetkých vykonávacích opatrení (v prípade potreby vrátane sekundárnych právnych predpisov) na účinné vykonávanie</w:t>
            </w:r>
            <w:r w:rsidR="00326E55" w:rsidRPr="00326E55">
              <w:rPr>
                <w:noProof/>
                <w:spacing w:val="-6"/>
                <w:lang w:val="sk-SK"/>
              </w:rPr>
              <w:t xml:space="preserve"> a </w:t>
            </w:r>
            <w:r w:rsidRPr="00326E55">
              <w:rPr>
                <w:noProof/>
                <w:spacing w:val="-6"/>
                <w:lang w:val="sk-SK"/>
              </w:rPr>
              <w:t>uplatňovanie opatrení vyplývajúcich</w:t>
            </w:r>
            <w:r w:rsidR="00326E55" w:rsidRPr="00326E55">
              <w:rPr>
                <w:noProof/>
                <w:spacing w:val="-6"/>
                <w:lang w:val="sk-SK"/>
              </w:rPr>
              <w:t xml:space="preserve"> z </w:t>
            </w:r>
            <w:r w:rsidRPr="00326E55">
              <w:rPr>
                <w:noProof/>
                <w:spacing w:val="-6"/>
                <w:lang w:val="sk-SK"/>
              </w:rPr>
              <w:t>ročného zákona</w:t>
            </w:r>
            <w:r w:rsidR="00326E55" w:rsidRPr="00326E55">
              <w:rPr>
                <w:noProof/>
                <w:spacing w:val="-6"/>
                <w:lang w:val="sk-SK"/>
              </w:rPr>
              <w:t xml:space="preserve"> o </w:t>
            </w:r>
            <w:r w:rsidRPr="00326E55">
              <w:rPr>
                <w:noProof/>
                <w:spacing w:val="-6"/>
                <w:lang w:val="sk-SK"/>
              </w:rPr>
              <w:t>hospodárskej súťaži za rok 2</w:t>
            </w:r>
            <w:r w:rsidRPr="00326E55">
              <w:rPr>
                <w:noProof/>
                <w:spacing w:val="-6"/>
                <w:lang w:val="sk-SK"/>
              </w:rPr>
              <w:t>022</w:t>
            </w:r>
          </w:p>
        </w:tc>
      </w:tr>
      <w:tr w:rsidR="00BF03AA" w:rsidRPr="00326E55" w14:paraId="13325CA1" w14:textId="77777777">
        <w:trPr>
          <w:trHeight w:val="300"/>
        </w:trPr>
        <w:tc>
          <w:tcPr>
            <w:tcW w:w="1430" w:type="dxa"/>
            <w:shd w:val="clear" w:color="auto" w:fill="C6EFCE"/>
            <w:tcMar>
              <w:left w:w="108" w:type="dxa"/>
              <w:right w:w="108" w:type="dxa"/>
            </w:tcMar>
            <w:vAlign w:val="center"/>
          </w:tcPr>
          <w:p w14:paraId="0B3B94C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7</w:t>
            </w:r>
          </w:p>
        </w:tc>
        <w:tc>
          <w:tcPr>
            <w:tcW w:w="3543" w:type="dxa"/>
            <w:shd w:val="clear" w:color="auto" w:fill="C6EFCE"/>
            <w:tcMar>
              <w:left w:w="108" w:type="dxa"/>
              <w:right w:w="108" w:type="dxa"/>
            </w:tcMar>
            <w:vAlign w:val="center"/>
          </w:tcPr>
          <w:p w14:paraId="07C6604C" w14:textId="64285E35" w:rsidR="00BF03AA" w:rsidRPr="00326E55" w:rsidRDefault="00FB452D">
            <w:pPr>
              <w:pStyle w:val="P68B1DB1-Normal121"/>
              <w:spacing w:after="0" w:line="240" w:lineRule="auto"/>
              <w:rPr>
                <w:noProof/>
                <w:spacing w:val="-6"/>
                <w:lang w:val="sk-SK"/>
              </w:rPr>
            </w:pPr>
            <w:r w:rsidRPr="00326E55">
              <w:rPr>
                <w:noProof/>
                <w:spacing w:val="-6"/>
                <w:lang w:val="sk-SK"/>
              </w:rPr>
              <w:t>Investície – 3.3 Budovanie kapacít pre prevádzkovateľov</w:t>
            </w:r>
            <w:r w:rsidR="00326E55" w:rsidRPr="00326E55">
              <w:rPr>
                <w:noProof/>
                <w:spacing w:val="-6"/>
                <w:lang w:val="sk-SK"/>
              </w:rPr>
              <w:t xml:space="preserve"> v </w:t>
            </w:r>
            <w:r w:rsidRPr="00326E55">
              <w:rPr>
                <w:noProof/>
                <w:spacing w:val="-6"/>
                <w:lang w:val="sk-SK"/>
              </w:rPr>
              <w:t>oblasti kultúry na riadenie digitálnej</w:t>
            </w:r>
            <w:r w:rsidR="00326E55" w:rsidRPr="00326E55">
              <w:rPr>
                <w:noProof/>
                <w:spacing w:val="-6"/>
                <w:lang w:val="sk-SK"/>
              </w:rPr>
              <w:t xml:space="preserve"> a </w:t>
            </w:r>
            <w:r w:rsidRPr="00326E55">
              <w:rPr>
                <w:noProof/>
                <w:spacing w:val="-6"/>
                <w:lang w:val="sk-SK"/>
              </w:rPr>
              <w:t>zelenej transformácie.</w:t>
            </w:r>
          </w:p>
        </w:tc>
        <w:tc>
          <w:tcPr>
            <w:tcW w:w="1276" w:type="dxa"/>
            <w:shd w:val="clear" w:color="auto" w:fill="C6EFCE"/>
            <w:tcMar>
              <w:left w:w="108" w:type="dxa"/>
              <w:right w:w="108" w:type="dxa"/>
            </w:tcMar>
            <w:vAlign w:val="center"/>
          </w:tcPr>
          <w:p w14:paraId="6068EF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34AE063F" w14:textId="1F448470"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vykonávacej organizácii/príjemcom na všetky intervencie na riadenie digitál</w:t>
            </w:r>
            <w:r w:rsidRPr="00326E55">
              <w:rPr>
                <w:noProof/>
                <w:spacing w:val="-6"/>
                <w:lang w:val="sk-SK"/>
              </w:rPr>
              <w:t>nej</w:t>
            </w:r>
            <w:r w:rsidR="00326E55" w:rsidRPr="00326E55">
              <w:rPr>
                <w:noProof/>
                <w:spacing w:val="-6"/>
                <w:lang w:val="sk-SK"/>
              </w:rPr>
              <w:t xml:space="preserve"> a </w:t>
            </w:r>
            <w:r w:rsidRPr="00326E55">
              <w:rPr>
                <w:noProof/>
                <w:spacing w:val="-6"/>
                <w:lang w:val="sk-SK"/>
              </w:rPr>
              <w:t>zelenej transformácie kultúrnych subjektov</w:t>
            </w:r>
          </w:p>
        </w:tc>
      </w:tr>
      <w:tr w:rsidR="00BF03AA" w:rsidRPr="00326E55" w14:paraId="6E5E4F48" w14:textId="77777777">
        <w:trPr>
          <w:trHeight w:val="300"/>
        </w:trPr>
        <w:tc>
          <w:tcPr>
            <w:tcW w:w="1430" w:type="dxa"/>
            <w:shd w:val="clear" w:color="auto" w:fill="C6EFCE"/>
            <w:tcMar>
              <w:left w:w="108" w:type="dxa"/>
              <w:right w:w="108" w:type="dxa"/>
            </w:tcMar>
            <w:vAlign w:val="center"/>
          </w:tcPr>
          <w:p w14:paraId="0E1859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5</w:t>
            </w:r>
          </w:p>
        </w:tc>
        <w:tc>
          <w:tcPr>
            <w:tcW w:w="3543" w:type="dxa"/>
            <w:shd w:val="clear" w:color="auto" w:fill="C6EFCE"/>
            <w:tcMar>
              <w:left w:w="108" w:type="dxa"/>
              <w:right w:w="108" w:type="dxa"/>
            </w:tcMar>
            <w:vAlign w:val="center"/>
          </w:tcPr>
          <w:p w14:paraId="57378BEA"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2.2: Poľnohospodársko-solárny park</w:t>
            </w:r>
          </w:p>
        </w:tc>
        <w:tc>
          <w:tcPr>
            <w:tcW w:w="1276" w:type="dxa"/>
            <w:shd w:val="clear" w:color="auto" w:fill="C6EFCE"/>
            <w:tcMar>
              <w:left w:w="108" w:type="dxa"/>
              <w:right w:w="108" w:type="dxa"/>
            </w:tcMar>
            <w:vAlign w:val="center"/>
          </w:tcPr>
          <w:p w14:paraId="08FF6B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49C0392D" w14:textId="306952E9" w:rsidR="00BF03AA" w:rsidRPr="00326E55" w:rsidRDefault="00FB452D">
            <w:pPr>
              <w:pStyle w:val="P68B1DB1-Normal121"/>
              <w:spacing w:after="0" w:line="240" w:lineRule="auto"/>
              <w:rPr>
                <w:noProof/>
                <w:spacing w:val="-6"/>
                <w:lang w:val="sk-SK"/>
              </w:rPr>
            </w:pPr>
            <w:r w:rsidRPr="00326E55">
              <w:rPr>
                <w:noProof/>
                <w:spacing w:val="-6"/>
                <w:lang w:val="sk-SK"/>
              </w:rPr>
              <w:t>Pridelenie zdrojov príjemcom ako</w:t>
            </w:r>
            <w:r w:rsidR="00326E55" w:rsidRPr="00326E55">
              <w:rPr>
                <w:noProof/>
                <w:spacing w:val="-6"/>
                <w:lang w:val="sk-SK"/>
              </w:rPr>
              <w:t> %</w:t>
            </w:r>
            <w:r w:rsidRPr="00326E55">
              <w:rPr>
                <w:noProof/>
                <w:spacing w:val="-6"/>
                <w:lang w:val="sk-SK"/>
              </w:rPr>
              <w:t xml:space="preserve"> celkových finančných zdrojov pridelených na investíciu</w:t>
            </w:r>
          </w:p>
        </w:tc>
      </w:tr>
      <w:tr w:rsidR="00BF03AA" w:rsidRPr="00326E55" w14:paraId="63C09C3A" w14:textId="77777777">
        <w:trPr>
          <w:trHeight w:val="300"/>
        </w:trPr>
        <w:tc>
          <w:tcPr>
            <w:tcW w:w="1430" w:type="dxa"/>
            <w:shd w:val="clear" w:color="auto" w:fill="C6EFCE"/>
            <w:tcMar>
              <w:left w:w="108" w:type="dxa"/>
              <w:right w:w="108" w:type="dxa"/>
            </w:tcMar>
            <w:vAlign w:val="center"/>
          </w:tcPr>
          <w:p w14:paraId="3314787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22</w:t>
            </w:r>
          </w:p>
        </w:tc>
        <w:tc>
          <w:tcPr>
            <w:tcW w:w="3543" w:type="dxa"/>
            <w:shd w:val="clear" w:color="auto" w:fill="C6EFCE"/>
            <w:tcMar>
              <w:left w:w="108" w:type="dxa"/>
              <w:right w:w="108" w:type="dxa"/>
            </w:tcMar>
            <w:vAlign w:val="center"/>
          </w:tcPr>
          <w:p w14:paraId="335F2CA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4.1 Investície do bezmotorovej </w:t>
            </w:r>
            <w:r w:rsidRPr="00326E55">
              <w:rPr>
                <w:noProof/>
                <w:spacing w:val="-6"/>
                <w:lang w:val="sk-SK"/>
              </w:rPr>
              <w:t>mobility (národný plán cyklistickej cesty)</w:t>
            </w:r>
          </w:p>
        </w:tc>
        <w:tc>
          <w:tcPr>
            <w:tcW w:w="1276" w:type="dxa"/>
            <w:shd w:val="clear" w:color="auto" w:fill="C6EFCE"/>
            <w:tcMar>
              <w:left w:w="108" w:type="dxa"/>
              <w:right w:w="108" w:type="dxa"/>
            </w:tcMar>
            <w:vAlign w:val="center"/>
          </w:tcPr>
          <w:p w14:paraId="6540C2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00840501" w14:textId="77777777" w:rsidR="00BF03AA" w:rsidRPr="00326E55" w:rsidRDefault="00FB452D">
            <w:pPr>
              <w:pStyle w:val="P68B1DB1-Normal121"/>
              <w:spacing w:after="0" w:line="240" w:lineRule="auto"/>
              <w:rPr>
                <w:noProof/>
                <w:spacing w:val="-6"/>
                <w:lang w:val="sk-SK"/>
              </w:rPr>
            </w:pPr>
            <w:r w:rsidRPr="00326E55">
              <w:rPr>
                <w:noProof/>
                <w:spacing w:val="-6"/>
                <w:lang w:val="sk-SK"/>
              </w:rPr>
              <w:t>Cyklistické jazdné pruhy T1</w:t>
            </w:r>
          </w:p>
        </w:tc>
      </w:tr>
      <w:tr w:rsidR="00BF03AA" w:rsidRPr="00326E55" w14:paraId="2A4F6435" w14:textId="77777777">
        <w:trPr>
          <w:trHeight w:val="300"/>
        </w:trPr>
        <w:tc>
          <w:tcPr>
            <w:tcW w:w="1430" w:type="dxa"/>
            <w:shd w:val="clear" w:color="auto" w:fill="C6EFCE"/>
            <w:tcMar>
              <w:left w:w="108" w:type="dxa"/>
              <w:right w:w="108" w:type="dxa"/>
            </w:tcMar>
            <w:vAlign w:val="center"/>
          </w:tcPr>
          <w:p w14:paraId="6F3644F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10</w:t>
            </w:r>
          </w:p>
        </w:tc>
        <w:tc>
          <w:tcPr>
            <w:tcW w:w="3543" w:type="dxa"/>
            <w:shd w:val="clear" w:color="auto" w:fill="C6EFCE"/>
            <w:tcMar>
              <w:left w:w="108" w:type="dxa"/>
              <w:right w:w="108" w:type="dxa"/>
            </w:tcMar>
            <w:vAlign w:val="center"/>
          </w:tcPr>
          <w:p w14:paraId="1001CD78"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2.1: Nábor u</w:t>
            </w:r>
            <w:r w:rsidRPr="00326E55">
              <w:rPr>
                <w:noProof/>
                <w:spacing w:val="-6"/>
                <w:lang w:val="sk-SK"/>
              </w:rPr>
              <w:t xml:space="preserve">čiteľov; Reforma 1.3: Reorganizácia školského systému; Reforma 1.2: Reforma systému terciárneho odborného vzdelávania (ITS); Reforma 1.4: Reforma systému „Orientácie“; Reforma 1.5: Reforma univerzitných skupín; Reforma 1.6: Umožnenie reformy univerzitných </w:t>
            </w:r>
            <w:r w:rsidRPr="00326E55">
              <w:rPr>
                <w:noProof/>
                <w:spacing w:val="-6"/>
                <w:lang w:val="sk-SK"/>
              </w:rPr>
              <w:t>titulov</w:t>
            </w:r>
          </w:p>
        </w:tc>
        <w:tc>
          <w:tcPr>
            <w:tcW w:w="1276" w:type="dxa"/>
            <w:shd w:val="clear" w:color="auto" w:fill="C6EFCE"/>
            <w:tcMar>
              <w:left w:w="108" w:type="dxa"/>
              <w:right w:w="108" w:type="dxa"/>
            </w:tcMar>
            <w:vAlign w:val="center"/>
          </w:tcPr>
          <w:p w14:paraId="30343E8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12" w:type="dxa"/>
            <w:shd w:val="clear" w:color="auto" w:fill="C6EFCE"/>
            <w:tcMar>
              <w:left w:w="108" w:type="dxa"/>
              <w:right w:w="108" w:type="dxa"/>
            </w:tcMar>
            <w:vAlign w:val="center"/>
          </w:tcPr>
          <w:p w14:paraId="5F506569" w14:textId="2EC5C170"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nariadení na účinné vykonávanie</w:t>
            </w:r>
            <w:r w:rsidR="00326E55" w:rsidRPr="00326E55">
              <w:rPr>
                <w:noProof/>
                <w:spacing w:val="-6"/>
                <w:lang w:val="sk-SK"/>
              </w:rPr>
              <w:t xml:space="preserve"> a </w:t>
            </w:r>
            <w:r w:rsidRPr="00326E55">
              <w:rPr>
                <w:noProof/>
                <w:spacing w:val="-6"/>
                <w:lang w:val="sk-SK"/>
              </w:rPr>
              <w:t>uplatňovanie všetkých opatrení týkajúcich sa reforiem základného, sekundárneho</w:t>
            </w:r>
            <w:r w:rsidR="00326E55" w:rsidRPr="00326E55">
              <w:rPr>
                <w:noProof/>
                <w:spacing w:val="-6"/>
                <w:lang w:val="sk-SK"/>
              </w:rPr>
              <w:t xml:space="preserve"> a </w:t>
            </w:r>
            <w:r w:rsidRPr="00326E55">
              <w:rPr>
                <w:noProof/>
                <w:spacing w:val="-6"/>
                <w:lang w:val="sk-SK"/>
              </w:rPr>
              <w:t>terciárneho vzdelávania, ak je to potrebné</w:t>
            </w:r>
          </w:p>
        </w:tc>
      </w:tr>
      <w:tr w:rsidR="00BF03AA" w:rsidRPr="00326E55" w14:paraId="47F969A1" w14:textId="77777777">
        <w:trPr>
          <w:trHeight w:val="300"/>
        </w:trPr>
        <w:tc>
          <w:tcPr>
            <w:tcW w:w="1430" w:type="dxa"/>
            <w:shd w:val="clear" w:color="auto" w:fill="C6EFCE"/>
            <w:tcMar>
              <w:left w:w="108" w:type="dxa"/>
              <w:right w:w="108" w:type="dxa"/>
            </w:tcMar>
            <w:vAlign w:val="center"/>
          </w:tcPr>
          <w:p w14:paraId="42C410C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11</w:t>
            </w:r>
          </w:p>
        </w:tc>
        <w:tc>
          <w:tcPr>
            <w:tcW w:w="3543" w:type="dxa"/>
            <w:shd w:val="clear" w:color="auto" w:fill="C6EFCE"/>
            <w:tcMar>
              <w:left w:w="108" w:type="dxa"/>
              <w:right w:w="108" w:type="dxa"/>
            </w:tcMar>
            <w:vAlign w:val="center"/>
          </w:tcPr>
          <w:p w14:paraId="76C4A61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1.7: Štipendiá na prístup na </w:t>
            </w:r>
            <w:r w:rsidRPr="00326E55">
              <w:rPr>
                <w:noProof/>
                <w:spacing w:val="-6"/>
                <w:lang w:val="sk-SK"/>
              </w:rPr>
              <w:t>univerzitu</w:t>
            </w:r>
          </w:p>
        </w:tc>
        <w:tc>
          <w:tcPr>
            <w:tcW w:w="1276" w:type="dxa"/>
            <w:shd w:val="clear" w:color="auto" w:fill="C6EFCE"/>
            <w:tcMar>
              <w:left w:w="108" w:type="dxa"/>
              <w:right w:w="108" w:type="dxa"/>
            </w:tcMar>
            <w:vAlign w:val="center"/>
          </w:tcPr>
          <w:p w14:paraId="7124AD9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2724C07E" w14:textId="77777777" w:rsidR="00BF03AA" w:rsidRPr="00326E55" w:rsidRDefault="00FB452D">
            <w:pPr>
              <w:pStyle w:val="P68B1DB1-Normal121"/>
              <w:spacing w:after="0" w:line="240" w:lineRule="auto"/>
              <w:rPr>
                <w:noProof/>
                <w:spacing w:val="-6"/>
                <w:lang w:val="sk-SK"/>
              </w:rPr>
            </w:pPr>
            <w:r w:rsidRPr="00326E55">
              <w:rPr>
                <w:noProof/>
                <w:spacing w:val="-6"/>
                <w:lang w:val="sk-SK"/>
              </w:rPr>
              <w:t>Udelené univerzitné štipendium</w:t>
            </w:r>
          </w:p>
        </w:tc>
      </w:tr>
      <w:tr w:rsidR="00BF03AA" w:rsidRPr="00326E55" w14:paraId="37F1F7CF" w14:textId="77777777">
        <w:trPr>
          <w:trHeight w:val="300"/>
        </w:trPr>
        <w:tc>
          <w:tcPr>
            <w:tcW w:w="1430" w:type="dxa"/>
            <w:shd w:val="clear" w:color="auto" w:fill="C6EFCE"/>
            <w:tcMar>
              <w:left w:w="108" w:type="dxa"/>
              <w:right w:w="108" w:type="dxa"/>
            </w:tcMar>
            <w:vAlign w:val="center"/>
          </w:tcPr>
          <w:p w14:paraId="465626B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M5C3 – 3</w:t>
            </w:r>
          </w:p>
        </w:tc>
        <w:tc>
          <w:tcPr>
            <w:tcW w:w="3543" w:type="dxa"/>
            <w:shd w:val="clear" w:color="auto" w:fill="C6EFCE"/>
            <w:tcMar>
              <w:left w:w="108" w:type="dxa"/>
              <w:right w:w="108" w:type="dxa"/>
            </w:tcMar>
            <w:vAlign w:val="center"/>
          </w:tcPr>
          <w:p w14:paraId="72193E62" w14:textId="1DF74368" w:rsidR="00BF03AA" w:rsidRPr="00326E55" w:rsidRDefault="00FB452D">
            <w:pPr>
              <w:pStyle w:val="P68B1DB1-Normal121"/>
              <w:spacing w:after="0" w:line="240" w:lineRule="auto"/>
              <w:rPr>
                <w:noProof/>
                <w:spacing w:val="-6"/>
                <w:lang w:val="sk-SK"/>
              </w:rPr>
            </w:pPr>
            <w:r w:rsidRPr="00326E55">
              <w:rPr>
                <w:noProof/>
                <w:spacing w:val="-6"/>
                <w:lang w:val="sk-SK"/>
              </w:rPr>
              <w:t>Investícia 2: Zdravotnícke zariadenia</w:t>
            </w:r>
            <w:r w:rsidR="00326E55" w:rsidRPr="00326E55">
              <w:rPr>
                <w:noProof/>
                <w:spacing w:val="-6"/>
                <w:lang w:val="sk-SK"/>
              </w:rPr>
              <w:t xml:space="preserve"> v </w:t>
            </w:r>
            <w:r w:rsidRPr="00326E55">
              <w:rPr>
                <w:noProof/>
                <w:spacing w:val="-6"/>
                <w:lang w:val="sk-SK"/>
              </w:rPr>
              <w:t>blízkosti územia</w:t>
            </w:r>
          </w:p>
        </w:tc>
        <w:tc>
          <w:tcPr>
            <w:tcW w:w="1276" w:type="dxa"/>
            <w:shd w:val="clear" w:color="auto" w:fill="C6EFCE"/>
            <w:tcMar>
              <w:left w:w="108" w:type="dxa"/>
              <w:right w:w="108" w:type="dxa"/>
            </w:tcMar>
            <w:vAlign w:val="center"/>
          </w:tcPr>
          <w:p w14:paraId="4D7B1D0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07147C52" w14:textId="396BC30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Podpora vidieckych lekární</w:t>
            </w:r>
            <w:r w:rsidR="00326E55" w:rsidRPr="00326E55">
              <w:rPr>
                <w:noProof/>
                <w:color w:val="006100"/>
                <w:spacing w:val="-6"/>
                <w:sz w:val="20"/>
                <w:szCs w:val="20"/>
                <w:lang w:val="sk-SK"/>
              </w:rPr>
              <w:t xml:space="preserve"> v </w:t>
            </w:r>
            <w:r w:rsidRPr="00326E55">
              <w:rPr>
                <w:noProof/>
                <w:color w:val="006100"/>
                <w:spacing w:val="-6"/>
                <w:sz w:val="20"/>
                <w:szCs w:val="20"/>
                <w:lang w:val="sk-SK"/>
              </w:rPr>
              <w:t>obciach, osadách alebo sídlach</w:t>
            </w:r>
            <w:r w:rsidR="00326E55" w:rsidRPr="00326E55">
              <w:rPr>
                <w:noProof/>
                <w:color w:val="006100"/>
                <w:spacing w:val="-6"/>
                <w:sz w:val="20"/>
                <w:szCs w:val="20"/>
                <w:lang w:val="sk-SK"/>
              </w:rPr>
              <w:t xml:space="preserve"> s </w:t>
            </w:r>
            <w:r w:rsidRPr="00326E55">
              <w:rPr>
                <w:noProof/>
                <w:color w:val="006100"/>
                <w:spacing w:val="-6"/>
                <w:sz w:val="20"/>
                <w:szCs w:val="20"/>
                <w:lang w:val="sk-SK"/>
              </w:rPr>
              <w:t>menej ako 5000</w:t>
            </w:r>
            <w:r w:rsidRPr="00326E55">
              <w:rPr>
                <w:noProof/>
                <w:spacing w:val="-6"/>
                <w:sz w:val="23"/>
                <w:szCs w:val="23"/>
                <w:lang w:val="sk-SK"/>
              </w:rPr>
              <w:t xml:space="preserve"> </w:t>
            </w:r>
            <w:r w:rsidRPr="00326E55">
              <w:rPr>
                <w:noProof/>
                <w:color w:val="006100"/>
                <w:spacing w:val="-6"/>
                <w:sz w:val="20"/>
                <w:szCs w:val="20"/>
                <w:lang w:val="sk-SK"/>
              </w:rPr>
              <w:t>obyvateľmi (prvá séria)</w:t>
            </w:r>
          </w:p>
        </w:tc>
      </w:tr>
      <w:tr w:rsidR="00BF03AA" w:rsidRPr="00326E55" w14:paraId="126193C3" w14:textId="77777777">
        <w:trPr>
          <w:trHeight w:val="300"/>
        </w:trPr>
        <w:tc>
          <w:tcPr>
            <w:tcW w:w="1430" w:type="dxa"/>
            <w:shd w:val="clear" w:color="auto" w:fill="C6EFCE"/>
            <w:tcMar>
              <w:left w:w="108" w:type="dxa"/>
              <w:right w:w="108" w:type="dxa"/>
            </w:tcMar>
            <w:vAlign w:val="center"/>
          </w:tcPr>
          <w:p w14:paraId="58BC858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113</w:t>
            </w:r>
          </w:p>
        </w:tc>
        <w:tc>
          <w:tcPr>
            <w:tcW w:w="3543" w:type="dxa"/>
            <w:shd w:val="clear" w:color="auto" w:fill="C6EFCE"/>
            <w:tcMar>
              <w:left w:w="108" w:type="dxa"/>
              <w:right w:w="108" w:type="dxa"/>
            </w:tcMar>
            <w:vAlign w:val="center"/>
          </w:tcPr>
          <w:p w14:paraId="535AA6B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1.12: Reforma </w:t>
            </w:r>
            <w:r w:rsidRPr="00326E55">
              <w:rPr>
                <w:noProof/>
                <w:spacing w:val="-6"/>
                <w:lang w:val="sk-SK"/>
              </w:rPr>
              <w:t>daňovej správy</w:t>
            </w:r>
          </w:p>
        </w:tc>
        <w:tc>
          <w:tcPr>
            <w:tcW w:w="1276" w:type="dxa"/>
            <w:shd w:val="clear" w:color="auto" w:fill="C6EFCE"/>
            <w:tcMar>
              <w:left w:w="108" w:type="dxa"/>
              <w:right w:w="108" w:type="dxa"/>
            </w:tcMar>
            <w:vAlign w:val="center"/>
          </w:tcPr>
          <w:p w14:paraId="57BB8AA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50C4363D" w14:textId="052C34CB" w:rsidR="00BF03AA" w:rsidRPr="00326E55" w:rsidRDefault="00FB452D">
            <w:pPr>
              <w:pStyle w:val="P68B1DB1-Normal121"/>
              <w:spacing w:after="0" w:line="240" w:lineRule="auto"/>
              <w:rPr>
                <w:noProof/>
                <w:spacing w:val="-6"/>
                <w:lang w:val="sk-SK"/>
              </w:rPr>
            </w:pPr>
            <w:r w:rsidRPr="00326E55">
              <w:rPr>
                <w:noProof/>
                <w:spacing w:val="-6"/>
                <w:lang w:val="sk-SK"/>
              </w:rPr>
              <w:t>Vyšší počet „listov</w:t>
            </w:r>
            <w:r w:rsidR="00326E55" w:rsidRPr="00326E55">
              <w:rPr>
                <w:noProof/>
                <w:spacing w:val="-6"/>
                <w:lang w:val="sk-SK"/>
              </w:rPr>
              <w:t xml:space="preserve"> o </w:t>
            </w:r>
            <w:r w:rsidRPr="00326E55">
              <w:rPr>
                <w:noProof/>
                <w:spacing w:val="-6"/>
                <w:lang w:val="sk-SK"/>
              </w:rPr>
              <w:t>zhode“</w:t>
            </w:r>
          </w:p>
        </w:tc>
      </w:tr>
      <w:tr w:rsidR="00BF03AA" w:rsidRPr="00326E55" w14:paraId="7C58A14B" w14:textId="77777777">
        <w:trPr>
          <w:trHeight w:val="300"/>
        </w:trPr>
        <w:tc>
          <w:tcPr>
            <w:tcW w:w="1430" w:type="dxa"/>
            <w:shd w:val="clear" w:color="auto" w:fill="C6EFCE"/>
            <w:tcMar>
              <w:left w:w="108" w:type="dxa"/>
              <w:right w:w="108" w:type="dxa"/>
            </w:tcMar>
            <w:vAlign w:val="center"/>
          </w:tcPr>
          <w:p w14:paraId="446E4BE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114</w:t>
            </w:r>
          </w:p>
        </w:tc>
        <w:tc>
          <w:tcPr>
            <w:tcW w:w="3543" w:type="dxa"/>
            <w:shd w:val="clear" w:color="auto" w:fill="C6EFCE"/>
            <w:tcMar>
              <w:left w:w="108" w:type="dxa"/>
              <w:right w:w="108" w:type="dxa"/>
            </w:tcMar>
            <w:vAlign w:val="center"/>
          </w:tcPr>
          <w:p w14:paraId="566288E6"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1.12: Reforma daňovej správy</w:t>
            </w:r>
          </w:p>
        </w:tc>
        <w:tc>
          <w:tcPr>
            <w:tcW w:w="1276" w:type="dxa"/>
            <w:shd w:val="clear" w:color="auto" w:fill="C6EFCE"/>
            <w:tcMar>
              <w:left w:w="108" w:type="dxa"/>
              <w:right w:w="108" w:type="dxa"/>
            </w:tcMar>
            <w:vAlign w:val="center"/>
          </w:tcPr>
          <w:p w14:paraId="1D2AD14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12" w:type="dxa"/>
            <w:shd w:val="clear" w:color="auto" w:fill="C6EFCE"/>
            <w:tcMar>
              <w:left w:w="108" w:type="dxa"/>
              <w:right w:w="108" w:type="dxa"/>
            </w:tcMar>
            <w:vAlign w:val="center"/>
          </w:tcPr>
          <w:p w14:paraId="0EAC201D" w14:textId="5CA3A833" w:rsidR="00BF03AA" w:rsidRPr="00326E55" w:rsidRDefault="00FB452D">
            <w:pPr>
              <w:pStyle w:val="P68B1DB1-Normal121"/>
              <w:spacing w:after="0" w:line="240" w:lineRule="auto"/>
              <w:rPr>
                <w:noProof/>
                <w:spacing w:val="-6"/>
                <w:lang w:val="sk-SK"/>
              </w:rPr>
            </w:pPr>
            <w:r w:rsidRPr="00326E55">
              <w:rPr>
                <w:noProof/>
                <w:spacing w:val="-6"/>
                <w:lang w:val="sk-SK"/>
              </w:rPr>
              <w:t>Zvýšenie daňových príjmov vytvorených „listami</w:t>
            </w:r>
            <w:r w:rsidR="00326E55" w:rsidRPr="00326E55">
              <w:rPr>
                <w:noProof/>
                <w:spacing w:val="-6"/>
                <w:lang w:val="sk-SK"/>
              </w:rPr>
              <w:t xml:space="preserve"> o </w:t>
            </w:r>
            <w:r w:rsidRPr="00326E55">
              <w:rPr>
                <w:noProof/>
                <w:spacing w:val="-6"/>
                <w:lang w:val="sk-SK"/>
              </w:rPr>
              <w:t>dodržiavaní predpisov“</w:t>
            </w:r>
          </w:p>
        </w:tc>
      </w:tr>
      <w:tr w:rsidR="00BF03AA" w:rsidRPr="00326E55" w14:paraId="4742C241" w14:textId="77777777">
        <w:trPr>
          <w:trHeight w:val="300"/>
        </w:trPr>
        <w:tc>
          <w:tcPr>
            <w:tcW w:w="1430" w:type="dxa"/>
            <w:shd w:val="clear" w:color="auto" w:fill="C6EFCE"/>
            <w:tcMar>
              <w:left w:w="108" w:type="dxa"/>
              <w:right w:w="108" w:type="dxa"/>
            </w:tcMar>
            <w:vAlign w:val="bottom"/>
          </w:tcPr>
          <w:p w14:paraId="6F30B3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 </w:t>
            </w:r>
          </w:p>
        </w:tc>
        <w:tc>
          <w:tcPr>
            <w:tcW w:w="3543" w:type="dxa"/>
            <w:shd w:val="clear" w:color="auto" w:fill="C6EFCE"/>
            <w:tcMar>
              <w:left w:w="108" w:type="dxa"/>
              <w:right w:w="108" w:type="dxa"/>
            </w:tcMar>
            <w:vAlign w:val="center"/>
          </w:tcPr>
          <w:p w14:paraId="3A59ABF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76" w:type="dxa"/>
            <w:shd w:val="clear" w:color="auto" w:fill="C6EFCE"/>
            <w:tcMar>
              <w:left w:w="108" w:type="dxa"/>
              <w:right w:w="108" w:type="dxa"/>
            </w:tcMar>
            <w:vAlign w:val="center"/>
          </w:tcPr>
          <w:p w14:paraId="1D26029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112" w:type="dxa"/>
            <w:shd w:val="clear" w:color="auto" w:fill="C6EFCE"/>
            <w:tcMar>
              <w:left w:w="108" w:type="dxa"/>
              <w:right w:w="108" w:type="dxa"/>
            </w:tcMar>
            <w:vAlign w:val="center"/>
          </w:tcPr>
          <w:p w14:paraId="563EEE24" w14:textId="77777777" w:rsidR="00BF03AA" w:rsidRPr="00326E55" w:rsidRDefault="00FB452D">
            <w:pPr>
              <w:spacing w:after="0" w:line="240" w:lineRule="auto"/>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color w:val="006100"/>
                <w:spacing w:val="-6"/>
                <w:sz w:val="20"/>
                <w:szCs w:val="20"/>
                <w:lang w:val="sk-SK"/>
              </w:rPr>
              <w:t xml:space="preserve"> 3621492701 EUR</w:t>
            </w:r>
            <w:r w:rsidRPr="00326E55">
              <w:rPr>
                <w:rFonts w:ascii="Times New Roman" w:eastAsia="Times New Roman" w:hAnsi="Times New Roman" w:cs="Times New Roman"/>
                <w:noProof/>
                <w:spacing w:val="-6"/>
                <w:sz w:val="23"/>
                <w:szCs w:val="23"/>
                <w:lang w:val="sk-SK"/>
              </w:rPr>
              <w:t xml:space="preserve">  </w:t>
            </w:r>
            <w:r w:rsidRPr="00326E55">
              <w:rPr>
                <w:rFonts w:ascii="Times New Roman" w:eastAsia="Arial Narrow" w:hAnsi="Times New Roman" w:cs="Arial Narrow"/>
                <w:noProof/>
                <w:color w:val="006100"/>
                <w:spacing w:val="-6"/>
                <w:sz w:val="20"/>
                <w:szCs w:val="20"/>
                <w:lang w:val="sk-SK"/>
              </w:rPr>
              <w:t xml:space="preserve"> </w:t>
            </w:r>
          </w:p>
        </w:tc>
      </w:tr>
    </w:tbl>
    <w:p w14:paraId="67231605"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44932048"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Šiesta fáza (nenávratná podpora):</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38"/>
        <w:gridCol w:w="1185"/>
        <w:gridCol w:w="3200"/>
      </w:tblGrid>
      <w:tr w:rsidR="00BF03AA" w:rsidRPr="00326E55" w14:paraId="52EF9C3B" w14:textId="77777777">
        <w:trPr>
          <w:trHeight w:val="900"/>
          <w:tblHeader/>
        </w:trPr>
        <w:tc>
          <w:tcPr>
            <w:tcW w:w="1435" w:type="dxa"/>
            <w:vMerge w:val="restart"/>
            <w:shd w:val="clear" w:color="auto" w:fill="BDD7EE"/>
            <w:tcMar>
              <w:left w:w="108" w:type="dxa"/>
              <w:right w:w="108" w:type="dxa"/>
            </w:tcMar>
            <w:vAlign w:val="center"/>
          </w:tcPr>
          <w:p w14:paraId="5B4A4F3C" w14:textId="77777777" w:rsidR="00BF03AA" w:rsidRPr="00326E55" w:rsidRDefault="00FB452D">
            <w:pPr>
              <w:pStyle w:val="P68B1DB1-Normal120"/>
              <w:spacing w:after="0" w:line="240" w:lineRule="auto"/>
              <w:jc w:val="center"/>
              <w:rPr>
                <w:bCs/>
                <w:noProof/>
                <w:spacing w:val="-6"/>
                <w:lang w:val="sk-SK"/>
              </w:rPr>
            </w:pPr>
            <w:r w:rsidRPr="00326E55">
              <w:rPr>
                <w:noProof/>
                <w:spacing w:val="-6"/>
                <w:lang w:val="sk-SK"/>
              </w:rPr>
              <w:t>Poradové</w:t>
            </w:r>
            <w:r w:rsidRPr="00326E55">
              <w:rPr>
                <w:noProof/>
                <w:spacing w:val="-6"/>
                <w:lang w:val="sk-SK"/>
              </w:rPr>
              <w:t xml:space="preserve"> číslo</w:t>
            </w:r>
          </w:p>
        </w:tc>
        <w:tc>
          <w:tcPr>
            <w:tcW w:w="3538" w:type="dxa"/>
            <w:vMerge w:val="restart"/>
            <w:shd w:val="clear" w:color="auto" w:fill="BDD7EE"/>
            <w:tcMar>
              <w:left w:w="108" w:type="dxa"/>
              <w:right w:w="108" w:type="dxa"/>
            </w:tcMar>
            <w:vAlign w:val="center"/>
          </w:tcPr>
          <w:p w14:paraId="4CCE8BE9"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185" w:type="dxa"/>
            <w:vMerge w:val="restart"/>
            <w:shd w:val="clear" w:color="auto" w:fill="BDD7EE"/>
            <w:tcMar>
              <w:left w:w="108" w:type="dxa"/>
              <w:right w:w="108" w:type="dxa"/>
            </w:tcMar>
            <w:vAlign w:val="center"/>
          </w:tcPr>
          <w:p w14:paraId="2ADA3EB1"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200" w:type="dxa"/>
            <w:vMerge w:val="restart"/>
            <w:shd w:val="clear" w:color="auto" w:fill="BDD7EE"/>
            <w:tcMar>
              <w:left w:w="108" w:type="dxa"/>
              <w:right w:w="108" w:type="dxa"/>
            </w:tcMar>
            <w:vAlign w:val="center"/>
          </w:tcPr>
          <w:p w14:paraId="11A3C600"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0EBFBF81" w14:textId="77777777">
        <w:trPr>
          <w:trHeight w:val="510"/>
        </w:trPr>
        <w:tc>
          <w:tcPr>
            <w:tcW w:w="1435" w:type="dxa"/>
            <w:vMerge/>
            <w:vAlign w:val="center"/>
          </w:tcPr>
          <w:p w14:paraId="4D49600B"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38" w:type="dxa"/>
            <w:vMerge/>
            <w:vAlign w:val="center"/>
          </w:tcPr>
          <w:p w14:paraId="12F67352"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185" w:type="dxa"/>
            <w:vMerge/>
            <w:vAlign w:val="center"/>
          </w:tcPr>
          <w:p w14:paraId="13B2C4CB"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200" w:type="dxa"/>
            <w:vMerge/>
            <w:vAlign w:val="center"/>
          </w:tcPr>
          <w:p w14:paraId="4C345578"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225D13B" w14:textId="77777777">
        <w:trPr>
          <w:trHeight w:val="300"/>
        </w:trPr>
        <w:tc>
          <w:tcPr>
            <w:tcW w:w="1435" w:type="dxa"/>
            <w:shd w:val="clear" w:color="auto" w:fill="C6EFCE"/>
            <w:tcMar>
              <w:left w:w="108" w:type="dxa"/>
              <w:right w:w="108" w:type="dxa"/>
            </w:tcMar>
            <w:vAlign w:val="center"/>
          </w:tcPr>
          <w:p w14:paraId="6D22625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14bis</w:t>
            </w:r>
          </w:p>
        </w:tc>
        <w:tc>
          <w:tcPr>
            <w:tcW w:w="3538" w:type="dxa"/>
            <w:shd w:val="clear" w:color="auto" w:fill="C6EFCE"/>
            <w:tcMar>
              <w:left w:w="108" w:type="dxa"/>
              <w:right w:w="108" w:type="dxa"/>
            </w:tcMar>
            <w:vAlign w:val="center"/>
          </w:tcPr>
          <w:p w14:paraId="5B23C9CC"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1.9a: Reforma na urýchlenie vykonávania politiky súdržnosti</w:t>
            </w:r>
          </w:p>
        </w:tc>
        <w:tc>
          <w:tcPr>
            <w:tcW w:w="1185" w:type="dxa"/>
            <w:shd w:val="clear" w:color="auto" w:fill="C6EFCE"/>
            <w:tcMar>
              <w:left w:w="108" w:type="dxa"/>
              <w:right w:w="108" w:type="dxa"/>
            </w:tcMar>
            <w:vAlign w:val="center"/>
          </w:tcPr>
          <w:p w14:paraId="07016C7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5CAA73B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vnútroštátnych právnych predpisov na urýchlenie vykonávania </w:t>
            </w:r>
            <w:r w:rsidRPr="00326E55">
              <w:rPr>
                <w:noProof/>
                <w:spacing w:val="-6"/>
                <w:lang w:val="sk-SK"/>
              </w:rPr>
              <w:t>politiky súdržnosti</w:t>
            </w:r>
          </w:p>
        </w:tc>
      </w:tr>
      <w:tr w:rsidR="00BF03AA" w:rsidRPr="00326E55" w14:paraId="2BBCE6F4" w14:textId="77777777">
        <w:trPr>
          <w:trHeight w:val="300"/>
        </w:trPr>
        <w:tc>
          <w:tcPr>
            <w:tcW w:w="1435" w:type="dxa"/>
            <w:shd w:val="clear" w:color="auto" w:fill="C6EFCE"/>
            <w:tcMar>
              <w:left w:w="108" w:type="dxa"/>
              <w:right w:w="108" w:type="dxa"/>
            </w:tcMar>
            <w:vAlign w:val="center"/>
          </w:tcPr>
          <w:p w14:paraId="4FD87C2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15</w:t>
            </w:r>
          </w:p>
        </w:tc>
        <w:tc>
          <w:tcPr>
            <w:tcW w:w="3538" w:type="dxa"/>
            <w:shd w:val="clear" w:color="auto" w:fill="C6EFCE"/>
            <w:tcMar>
              <w:left w:w="108" w:type="dxa"/>
              <w:right w:w="108" w:type="dxa"/>
            </w:tcMar>
            <w:vAlign w:val="center"/>
          </w:tcPr>
          <w:p w14:paraId="3F20CFF2"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1.6.6: Digitalizácia finančnej polície</w:t>
            </w:r>
          </w:p>
        </w:tc>
        <w:tc>
          <w:tcPr>
            <w:tcW w:w="1185" w:type="dxa"/>
            <w:shd w:val="clear" w:color="auto" w:fill="C6EFCE"/>
            <w:tcMar>
              <w:left w:w="108" w:type="dxa"/>
              <w:right w:w="108" w:type="dxa"/>
            </w:tcMar>
            <w:vAlign w:val="center"/>
          </w:tcPr>
          <w:p w14:paraId="68D64B9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001E76B6" w14:textId="77777777" w:rsidR="00BF03AA" w:rsidRPr="00326E55" w:rsidRDefault="00FB452D">
            <w:pPr>
              <w:pStyle w:val="P68B1DB1-Normal121"/>
              <w:spacing w:after="0" w:line="240" w:lineRule="auto"/>
              <w:rPr>
                <w:noProof/>
                <w:spacing w:val="-6"/>
                <w:lang w:val="sk-SK"/>
              </w:rPr>
            </w:pPr>
            <w:r w:rsidRPr="00326E55">
              <w:rPr>
                <w:noProof/>
                <w:spacing w:val="-6"/>
                <w:lang w:val="sk-SK"/>
              </w:rPr>
              <w:t>Finančná polícia – Nákup odborných dátových vied T2</w:t>
            </w:r>
          </w:p>
        </w:tc>
      </w:tr>
      <w:tr w:rsidR="00BF03AA" w:rsidRPr="00326E55" w14:paraId="1DF2E77A" w14:textId="77777777">
        <w:trPr>
          <w:trHeight w:val="300"/>
        </w:trPr>
        <w:tc>
          <w:tcPr>
            <w:tcW w:w="1435" w:type="dxa"/>
            <w:shd w:val="clear" w:color="auto" w:fill="C6EFCE"/>
            <w:tcMar>
              <w:left w:w="108" w:type="dxa"/>
              <w:right w:w="108" w:type="dxa"/>
            </w:tcMar>
            <w:vAlign w:val="center"/>
          </w:tcPr>
          <w:p w14:paraId="08F4F96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37bis</w:t>
            </w:r>
          </w:p>
        </w:tc>
        <w:tc>
          <w:tcPr>
            <w:tcW w:w="3538" w:type="dxa"/>
            <w:shd w:val="clear" w:color="auto" w:fill="C6EFCE"/>
            <w:tcMar>
              <w:left w:w="108" w:type="dxa"/>
              <w:right w:w="108" w:type="dxa"/>
            </w:tcMar>
            <w:vAlign w:val="center"/>
          </w:tcPr>
          <w:p w14:paraId="390FE531"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1.4: Reforma občianskeho súdnictva</w:t>
            </w:r>
          </w:p>
        </w:tc>
        <w:tc>
          <w:tcPr>
            <w:tcW w:w="1185" w:type="dxa"/>
            <w:shd w:val="clear" w:color="auto" w:fill="C6EFCE"/>
            <w:tcMar>
              <w:left w:w="108" w:type="dxa"/>
              <w:right w:w="108" w:type="dxa"/>
            </w:tcMar>
            <w:vAlign w:val="center"/>
          </w:tcPr>
          <w:p w14:paraId="31D8524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52DA5B71"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opatrení zameraných na zníženie</w:t>
            </w:r>
            <w:r w:rsidRPr="00326E55">
              <w:rPr>
                <w:noProof/>
                <w:spacing w:val="-6"/>
                <w:lang w:val="sk-SK"/>
              </w:rPr>
              <w:t xml:space="preserve"> počtu nevybavených prípadov</w:t>
            </w:r>
          </w:p>
        </w:tc>
      </w:tr>
      <w:tr w:rsidR="00BF03AA" w:rsidRPr="00326E55" w14:paraId="61C79FB2" w14:textId="77777777">
        <w:trPr>
          <w:trHeight w:val="300"/>
        </w:trPr>
        <w:tc>
          <w:tcPr>
            <w:tcW w:w="1435" w:type="dxa"/>
            <w:shd w:val="clear" w:color="auto" w:fill="C6EFCE"/>
            <w:tcMar>
              <w:left w:w="108" w:type="dxa"/>
              <w:right w:w="108" w:type="dxa"/>
            </w:tcMar>
            <w:vAlign w:val="center"/>
          </w:tcPr>
          <w:p w14:paraId="0AA6FC9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72bis</w:t>
            </w:r>
          </w:p>
        </w:tc>
        <w:tc>
          <w:tcPr>
            <w:tcW w:w="3538" w:type="dxa"/>
            <w:shd w:val="clear" w:color="auto" w:fill="C6EFCE"/>
            <w:tcMar>
              <w:left w:w="108" w:type="dxa"/>
              <w:right w:w="108" w:type="dxa"/>
            </w:tcMar>
            <w:vAlign w:val="center"/>
          </w:tcPr>
          <w:p w14:paraId="43356C26" w14:textId="106AE9F9"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185" w:type="dxa"/>
            <w:shd w:val="clear" w:color="auto" w:fill="C6EFCE"/>
            <w:tcMar>
              <w:left w:w="108" w:type="dxa"/>
              <w:right w:w="108" w:type="dxa"/>
            </w:tcMar>
            <w:vAlign w:val="center"/>
          </w:tcPr>
          <w:p w14:paraId="7382BD3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79A24896" w14:textId="1098B7F3" w:rsidR="00BF03AA" w:rsidRPr="00326E55" w:rsidRDefault="00FB452D">
            <w:pPr>
              <w:pStyle w:val="P68B1DB1-Normal121"/>
              <w:spacing w:after="0" w:line="240" w:lineRule="auto"/>
              <w:rPr>
                <w:noProof/>
                <w:spacing w:val="-6"/>
                <w:lang w:val="sk-SK"/>
              </w:rPr>
            </w:pPr>
            <w:r w:rsidRPr="00326E55">
              <w:rPr>
                <w:noProof/>
                <w:spacing w:val="-6"/>
                <w:lang w:val="sk-SK"/>
              </w:rPr>
              <w:t>Legislatívne</w:t>
            </w:r>
            <w:r w:rsidR="00326E55" w:rsidRPr="00326E55">
              <w:rPr>
                <w:noProof/>
                <w:spacing w:val="-6"/>
                <w:lang w:val="sk-SK"/>
              </w:rPr>
              <w:t xml:space="preserve"> a </w:t>
            </w:r>
            <w:r w:rsidRPr="00326E55">
              <w:rPr>
                <w:noProof/>
                <w:spacing w:val="-6"/>
                <w:lang w:val="sk-SK"/>
              </w:rPr>
              <w:t>osobitné opatrenia na zníženie oneskorených platieb na centrálnej/miestnej úrovni</w:t>
            </w:r>
          </w:p>
        </w:tc>
      </w:tr>
      <w:tr w:rsidR="00BF03AA" w:rsidRPr="00326E55" w14:paraId="7C4AAEE7" w14:textId="77777777">
        <w:trPr>
          <w:trHeight w:val="300"/>
        </w:trPr>
        <w:tc>
          <w:tcPr>
            <w:tcW w:w="1435" w:type="dxa"/>
            <w:shd w:val="clear" w:color="auto" w:fill="C6EFCE"/>
            <w:tcMar>
              <w:left w:w="108" w:type="dxa"/>
              <w:right w:w="108" w:type="dxa"/>
            </w:tcMar>
            <w:vAlign w:val="center"/>
          </w:tcPr>
          <w:p w14:paraId="42465D9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M1C1 </w:t>
            </w:r>
            <w:r w:rsidRPr="00326E55">
              <w:rPr>
                <w:noProof/>
                <w:spacing w:val="-6"/>
                <w:lang w:val="sk-SK"/>
              </w:rPr>
              <w:t>– 85</w:t>
            </w:r>
          </w:p>
        </w:tc>
        <w:tc>
          <w:tcPr>
            <w:tcW w:w="3538" w:type="dxa"/>
            <w:shd w:val="clear" w:color="auto" w:fill="C6EFCE"/>
            <w:tcMar>
              <w:left w:w="108" w:type="dxa"/>
              <w:right w:w="108" w:type="dxa"/>
            </w:tcMar>
            <w:vAlign w:val="center"/>
          </w:tcPr>
          <w:p w14:paraId="208108E1"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185" w:type="dxa"/>
            <w:shd w:val="clear" w:color="auto" w:fill="C6EFCE"/>
            <w:tcMar>
              <w:left w:w="108" w:type="dxa"/>
              <w:right w:w="108" w:type="dxa"/>
            </w:tcMar>
            <w:vAlign w:val="center"/>
          </w:tcPr>
          <w:p w14:paraId="113E5A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20306977" w14:textId="17436AED" w:rsidR="00BF03AA" w:rsidRPr="00326E55" w:rsidRDefault="00FB452D">
            <w:pPr>
              <w:pStyle w:val="P68B1DB1-Normal121"/>
              <w:spacing w:after="0" w:line="240" w:lineRule="auto"/>
              <w:rPr>
                <w:noProof/>
                <w:spacing w:val="-6"/>
                <w:lang w:val="sk-SK"/>
              </w:rPr>
            </w:pPr>
            <w:r w:rsidRPr="00326E55">
              <w:rPr>
                <w:noProof/>
                <w:spacing w:val="-6"/>
                <w:lang w:val="sk-SK"/>
              </w:rPr>
              <w:t>Priemerný čas medzi zadaním zákazky</w:t>
            </w:r>
            <w:r w:rsidR="00326E55" w:rsidRPr="00326E55">
              <w:rPr>
                <w:noProof/>
                <w:spacing w:val="-6"/>
                <w:lang w:val="sk-SK"/>
              </w:rPr>
              <w:t xml:space="preserve"> a </w:t>
            </w:r>
            <w:r w:rsidRPr="00326E55">
              <w:rPr>
                <w:noProof/>
                <w:spacing w:val="-6"/>
                <w:lang w:val="sk-SK"/>
              </w:rPr>
              <w:t>realizáciou infraštruktúry</w:t>
            </w:r>
          </w:p>
        </w:tc>
      </w:tr>
      <w:tr w:rsidR="00BF03AA" w:rsidRPr="00326E55" w14:paraId="5912808E" w14:textId="77777777">
        <w:trPr>
          <w:trHeight w:val="300"/>
        </w:trPr>
        <w:tc>
          <w:tcPr>
            <w:tcW w:w="1435" w:type="dxa"/>
            <w:shd w:val="clear" w:color="auto" w:fill="C6EFCE"/>
            <w:tcMar>
              <w:left w:w="108" w:type="dxa"/>
              <w:right w:w="108" w:type="dxa"/>
            </w:tcMar>
            <w:vAlign w:val="center"/>
          </w:tcPr>
          <w:p w14:paraId="5824C85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99</w:t>
            </w:r>
          </w:p>
        </w:tc>
        <w:tc>
          <w:tcPr>
            <w:tcW w:w="3538" w:type="dxa"/>
            <w:shd w:val="clear" w:color="auto" w:fill="C6EFCE"/>
            <w:tcMar>
              <w:left w:w="108" w:type="dxa"/>
              <w:right w:w="108" w:type="dxa"/>
            </w:tcMar>
            <w:vAlign w:val="center"/>
          </w:tcPr>
          <w:p w14:paraId="16272F64"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 </w:t>
            </w:r>
          </w:p>
        </w:tc>
        <w:tc>
          <w:tcPr>
            <w:tcW w:w="1185" w:type="dxa"/>
            <w:shd w:val="clear" w:color="auto" w:fill="C6EFCE"/>
            <w:tcMar>
              <w:left w:w="108" w:type="dxa"/>
              <w:right w:w="108" w:type="dxa"/>
            </w:tcMar>
            <w:vAlign w:val="center"/>
          </w:tcPr>
          <w:p w14:paraId="7851CB1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74EA3C26"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Verejní obstarávatelia </w:t>
            </w:r>
            <w:r w:rsidRPr="00326E55">
              <w:rPr>
                <w:noProof/>
                <w:spacing w:val="-6"/>
                <w:lang w:val="sk-SK"/>
              </w:rPr>
              <w:t>používajúci dynamické nákupné systémy </w:t>
            </w:r>
          </w:p>
        </w:tc>
      </w:tr>
      <w:tr w:rsidR="00BF03AA" w:rsidRPr="00326E55" w14:paraId="3395CF0C" w14:textId="77777777">
        <w:trPr>
          <w:trHeight w:val="300"/>
        </w:trPr>
        <w:tc>
          <w:tcPr>
            <w:tcW w:w="1435" w:type="dxa"/>
            <w:shd w:val="clear" w:color="auto" w:fill="C6EFCE"/>
            <w:tcMar>
              <w:left w:w="108" w:type="dxa"/>
              <w:right w:w="108" w:type="dxa"/>
            </w:tcMar>
            <w:vAlign w:val="center"/>
          </w:tcPr>
          <w:p w14:paraId="35DAA01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6</w:t>
            </w:r>
          </w:p>
        </w:tc>
        <w:tc>
          <w:tcPr>
            <w:tcW w:w="3538" w:type="dxa"/>
            <w:shd w:val="clear" w:color="auto" w:fill="C6EFCE"/>
            <w:tcMar>
              <w:left w:w="108" w:type="dxa"/>
              <w:right w:w="108" w:type="dxa"/>
            </w:tcMar>
            <w:vAlign w:val="center"/>
          </w:tcPr>
          <w:p w14:paraId="1F3BE69A" w14:textId="60469AD9" w:rsidR="00BF03AA" w:rsidRPr="00326E55" w:rsidRDefault="00FB452D">
            <w:pPr>
              <w:pStyle w:val="P68B1DB1-Normal121"/>
              <w:spacing w:after="0" w:line="240" w:lineRule="auto"/>
              <w:rPr>
                <w:noProof/>
                <w:spacing w:val="-6"/>
                <w:lang w:val="sk-SK"/>
              </w:rPr>
            </w:pPr>
            <w:r w:rsidRPr="00326E55">
              <w:rPr>
                <w:noProof/>
                <w:spacing w:val="-6"/>
                <w:lang w:val="sk-SK"/>
              </w:rPr>
              <w:t>Reforma 1 Zjednodušenie postupov udeľovania povolení pre zariadenia na výrobu energie</w:t>
            </w:r>
            <w:r w:rsidR="00326E55" w:rsidRPr="00326E55">
              <w:rPr>
                <w:noProof/>
                <w:spacing w:val="-6"/>
                <w:lang w:val="sk-SK"/>
              </w:rPr>
              <w:t xml:space="preserve"> z </w:t>
            </w:r>
            <w:r w:rsidRPr="00326E55">
              <w:rPr>
                <w:noProof/>
                <w:spacing w:val="-6"/>
                <w:lang w:val="sk-SK"/>
              </w:rPr>
              <w:t>obnoviteľných zdrojov na pevnine</w:t>
            </w:r>
            <w:r w:rsidR="00326E55" w:rsidRPr="00326E55">
              <w:rPr>
                <w:noProof/>
                <w:spacing w:val="-6"/>
                <w:lang w:val="sk-SK"/>
              </w:rPr>
              <w:t xml:space="preserve"> a </w:t>
            </w:r>
            <w:r w:rsidRPr="00326E55">
              <w:rPr>
                <w:noProof/>
                <w:spacing w:val="-6"/>
                <w:lang w:val="sk-SK"/>
              </w:rPr>
              <w:t>na mori</w:t>
            </w:r>
            <w:r w:rsidR="00326E55" w:rsidRPr="00326E55">
              <w:rPr>
                <w:noProof/>
                <w:spacing w:val="-6"/>
                <w:lang w:val="sk-SK"/>
              </w:rPr>
              <w:t xml:space="preserve"> a </w:t>
            </w:r>
            <w:r w:rsidRPr="00326E55">
              <w:rPr>
                <w:noProof/>
                <w:spacing w:val="-6"/>
                <w:lang w:val="sk-SK"/>
              </w:rPr>
              <w:t>nový právny rámec na udržanie výroby</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a </w:t>
            </w:r>
            <w:r w:rsidRPr="00326E55">
              <w:rPr>
                <w:noProof/>
                <w:spacing w:val="-6"/>
                <w:lang w:val="sk-SK"/>
              </w:rPr>
              <w:t xml:space="preserve">predĺženie </w:t>
            </w:r>
            <w:r w:rsidRPr="00326E55">
              <w:rPr>
                <w:noProof/>
                <w:spacing w:val="-6"/>
                <w:lang w:val="sk-SK"/>
              </w:rPr>
              <w:t>času</w:t>
            </w:r>
            <w:r w:rsidR="00326E55" w:rsidRPr="00326E55">
              <w:rPr>
                <w:noProof/>
                <w:spacing w:val="-6"/>
                <w:lang w:val="sk-SK"/>
              </w:rPr>
              <w:t xml:space="preserve"> a </w:t>
            </w:r>
            <w:r w:rsidRPr="00326E55">
              <w:rPr>
                <w:noProof/>
                <w:spacing w:val="-6"/>
                <w:lang w:val="sk-SK"/>
              </w:rPr>
              <w:t>oprávnenosti súčasných režimov podpory</w:t>
            </w:r>
          </w:p>
        </w:tc>
        <w:tc>
          <w:tcPr>
            <w:tcW w:w="1185" w:type="dxa"/>
            <w:shd w:val="clear" w:color="auto" w:fill="C6EFCE"/>
            <w:tcMar>
              <w:left w:w="108" w:type="dxa"/>
              <w:right w:w="108" w:type="dxa"/>
            </w:tcMar>
            <w:vAlign w:val="center"/>
          </w:tcPr>
          <w:p w14:paraId="580A526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1F08E715" w14:textId="5509D8E5"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právneho rámca na zjednodušenie postupov udeľovania povolení na výstavbu štruktúr pre energiu</w:t>
            </w:r>
            <w:r w:rsidR="00326E55" w:rsidRPr="00326E55">
              <w:rPr>
                <w:noProof/>
                <w:spacing w:val="-6"/>
                <w:lang w:val="sk-SK"/>
              </w:rPr>
              <w:t xml:space="preserve"> z </w:t>
            </w:r>
            <w:r w:rsidRPr="00326E55">
              <w:rPr>
                <w:noProof/>
                <w:spacing w:val="-6"/>
                <w:lang w:val="sk-SK"/>
              </w:rPr>
              <w:t>obnoviteľných zdrojov na pevnine</w:t>
            </w:r>
            <w:r w:rsidR="00326E55" w:rsidRPr="00326E55">
              <w:rPr>
                <w:noProof/>
                <w:spacing w:val="-6"/>
                <w:lang w:val="sk-SK"/>
              </w:rPr>
              <w:t xml:space="preserve"> a </w:t>
            </w:r>
            <w:r w:rsidRPr="00326E55">
              <w:rPr>
                <w:noProof/>
                <w:spacing w:val="-6"/>
                <w:lang w:val="sk-SK"/>
              </w:rPr>
              <w:t>na mori</w:t>
            </w:r>
          </w:p>
        </w:tc>
      </w:tr>
      <w:tr w:rsidR="00BF03AA" w:rsidRPr="00326E55" w14:paraId="0AB27E58" w14:textId="77777777">
        <w:trPr>
          <w:trHeight w:val="300"/>
        </w:trPr>
        <w:tc>
          <w:tcPr>
            <w:tcW w:w="1435" w:type="dxa"/>
            <w:shd w:val="clear" w:color="auto" w:fill="C6EFCE"/>
            <w:tcMar>
              <w:left w:w="108" w:type="dxa"/>
              <w:right w:w="108" w:type="dxa"/>
            </w:tcMar>
            <w:vAlign w:val="center"/>
          </w:tcPr>
          <w:p w14:paraId="1534BE9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8</w:t>
            </w:r>
          </w:p>
        </w:tc>
        <w:tc>
          <w:tcPr>
            <w:tcW w:w="3538" w:type="dxa"/>
            <w:shd w:val="clear" w:color="auto" w:fill="C6EFCE"/>
            <w:tcMar>
              <w:left w:w="108" w:type="dxa"/>
              <w:right w:w="108" w:type="dxa"/>
            </w:tcMar>
            <w:vAlign w:val="center"/>
          </w:tcPr>
          <w:p w14:paraId="2380D91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1.3: Plán na posilne</w:t>
            </w:r>
            <w:r w:rsidRPr="00326E55">
              <w:rPr>
                <w:noProof/>
                <w:spacing w:val="-6"/>
                <w:lang w:val="sk-SK"/>
              </w:rPr>
              <w:t>nie školskej športovej infraštruktúry</w:t>
            </w:r>
          </w:p>
        </w:tc>
        <w:tc>
          <w:tcPr>
            <w:tcW w:w="1185" w:type="dxa"/>
            <w:shd w:val="clear" w:color="auto" w:fill="C6EFCE"/>
            <w:tcMar>
              <w:left w:w="108" w:type="dxa"/>
              <w:right w:w="108" w:type="dxa"/>
            </w:tcMar>
            <w:vAlign w:val="center"/>
          </w:tcPr>
          <w:p w14:paraId="2115E5B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601B199D" w14:textId="01F88AF2" w:rsidR="00BF03AA" w:rsidRPr="00326E55" w:rsidRDefault="00FB452D">
            <w:pPr>
              <w:pStyle w:val="P68B1DB1-Normal121"/>
              <w:spacing w:after="0" w:line="240" w:lineRule="auto"/>
              <w:rPr>
                <w:noProof/>
                <w:spacing w:val="-6"/>
                <w:lang w:val="sk-SK"/>
              </w:rPr>
            </w:pPr>
            <w:r w:rsidRPr="00326E55">
              <w:rPr>
                <w:noProof/>
                <w:spacing w:val="-6"/>
                <w:lang w:val="sk-SK"/>
              </w:rPr>
              <w:t>Zadávanie zákaziek na intervencie na výstavbu</w:t>
            </w:r>
            <w:r w:rsidR="00326E55" w:rsidRPr="00326E55">
              <w:rPr>
                <w:noProof/>
                <w:spacing w:val="-6"/>
                <w:lang w:val="sk-SK"/>
              </w:rPr>
              <w:t xml:space="preserve"> a </w:t>
            </w:r>
            <w:r w:rsidRPr="00326E55">
              <w:rPr>
                <w:noProof/>
                <w:spacing w:val="-6"/>
                <w:lang w:val="sk-SK"/>
              </w:rPr>
              <w:t>renováciu športových zariadení</w:t>
            </w:r>
            <w:r w:rsidR="00326E55" w:rsidRPr="00326E55">
              <w:rPr>
                <w:noProof/>
                <w:spacing w:val="-6"/>
                <w:lang w:val="sk-SK"/>
              </w:rPr>
              <w:t xml:space="preserve"> a </w:t>
            </w:r>
            <w:r w:rsidRPr="00326E55">
              <w:rPr>
                <w:noProof/>
                <w:spacing w:val="-6"/>
                <w:lang w:val="sk-SK"/>
              </w:rPr>
              <w:t>telocviční na školské použitie</w:t>
            </w:r>
          </w:p>
        </w:tc>
      </w:tr>
      <w:tr w:rsidR="00BF03AA" w:rsidRPr="00326E55" w14:paraId="2316D176" w14:textId="77777777">
        <w:trPr>
          <w:trHeight w:val="300"/>
        </w:trPr>
        <w:tc>
          <w:tcPr>
            <w:tcW w:w="1435" w:type="dxa"/>
            <w:shd w:val="clear" w:color="auto" w:fill="C6EFCE"/>
            <w:tcMar>
              <w:left w:w="108" w:type="dxa"/>
              <w:right w:w="108" w:type="dxa"/>
            </w:tcMar>
            <w:vAlign w:val="center"/>
          </w:tcPr>
          <w:p w14:paraId="7CA5B56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9</w:t>
            </w:r>
          </w:p>
        </w:tc>
        <w:tc>
          <w:tcPr>
            <w:tcW w:w="3538" w:type="dxa"/>
            <w:shd w:val="clear" w:color="auto" w:fill="C6EFCE"/>
            <w:tcMar>
              <w:left w:w="108" w:type="dxa"/>
              <w:right w:w="108" w:type="dxa"/>
            </w:tcMar>
            <w:vAlign w:val="center"/>
          </w:tcPr>
          <w:p w14:paraId="7C2E3764"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 – Nedeklarovaná práca</w:t>
            </w:r>
          </w:p>
        </w:tc>
        <w:tc>
          <w:tcPr>
            <w:tcW w:w="1185" w:type="dxa"/>
            <w:shd w:val="clear" w:color="auto" w:fill="C6EFCE"/>
            <w:tcMar>
              <w:left w:w="108" w:type="dxa"/>
              <w:right w:w="108" w:type="dxa"/>
            </w:tcMar>
            <w:vAlign w:val="center"/>
          </w:tcPr>
          <w:p w14:paraId="140FF00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42787B16"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Vykonávať opatrenia na boj proti nelegálnej práci</w:t>
            </w:r>
          </w:p>
        </w:tc>
      </w:tr>
      <w:tr w:rsidR="00BF03AA" w:rsidRPr="00326E55" w14:paraId="2197A769" w14:textId="77777777">
        <w:trPr>
          <w:trHeight w:val="300"/>
        </w:trPr>
        <w:tc>
          <w:tcPr>
            <w:tcW w:w="1435" w:type="dxa"/>
            <w:shd w:val="clear" w:color="auto" w:fill="C6EFCE"/>
            <w:tcMar>
              <w:left w:w="108" w:type="dxa"/>
              <w:right w:w="108" w:type="dxa"/>
            </w:tcMar>
            <w:vAlign w:val="center"/>
          </w:tcPr>
          <w:p w14:paraId="3D6E66D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4</w:t>
            </w:r>
          </w:p>
        </w:tc>
        <w:tc>
          <w:tcPr>
            <w:tcW w:w="3538" w:type="dxa"/>
            <w:shd w:val="clear" w:color="auto" w:fill="C6EFCE"/>
            <w:tcMar>
              <w:left w:w="108" w:type="dxa"/>
              <w:right w:w="108" w:type="dxa"/>
            </w:tcMar>
            <w:vAlign w:val="center"/>
          </w:tcPr>
          <w:p w14:paraId="4F6D4C08"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 – Reforma pre staršie osoby, ktoré nie sú sebestačné</w:t>
            </w:r>
          </w:p>
        </w:tc>
        <w:tc>
          <w:tcPr>
            <w:tcW w:w="1185" w:type="dxa"/>
            <w:shd w:val="clear" w:color="auto" w:fill="C6EFCE"/>
            <w:tcMar>
              <w:left w:w="108" w:type="dxa"/>
              <w:right w:w="108" w:type="dxa"/>
            </w:tcMar>
            <w:vAlign w:val="center"/>
          </w:tcPr>
          <w:p w14:paraId="2F0AB2A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4873E7FD" w14:textId="1E1C0A1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legislatívnych dekrétov, ktorými sa rozvíjajú ustanovenia rámcového zákona na posilnenie opatrení</w:t>
            </w:r>
            <w:r w:rsidR="00326E55" w:rsidRPr="00326E55">
              <w:rPr>
                <w:noProof/>
                <w:spacing w:val="-6"/>
                <w:lang w:val="sk-SK"/>
              </w:rPr>
              <w:t xml:space="preserve"> v </w:t>
            </w:r>
            <w:r w:rsidRPr="00326E55">
              <w:rPr>
                <w:noProof/>
                <w:spacing w:val="-6"/>
                <w:lang w:val="sk-SK"/>
              </w:rPr>
              <w:t>prospech starších ľudí, ktorí nie sú sebestační</w:t>
            </w:r>
          </w:p>
        </w:tc>
      </w:tr>
      <w:tr w:rsidR="00BF03AA" w:rsidRPr="00326E55" w14:paraId="2A781FED" w14:textId="77777777">
        <w:trPr>
          <w:trHeight w:val="300"/>
        </w:trPr>
        <w:tc>
          <w:tcPr>
            <w:tcW w:w="1435" w:type="dxa"/>
            <w:shd w:val="clear" w:color="auto" w:fill="C6EFCE"/>
            <w:tcMar>
              <w:left w:w="108" w:type="dxa"/>
              <w:right w:w="108" w:type="dxa"/>
            </w:tcMar>
            <w:vAlign w:val="center"/>
          </w:tcPr>
          <w:p w14:paraId="51FE1A1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w:t>
            </w:r>
            <w:r w:rsidRPr="00326E55">
              <w:rPr>
                <w:noProof/>
                <w:spacing w:val="-6"/>
                <w:lang w:val="sk-SK"/>
              </w:rPr>
              <w:t xml:space="preserve"> 9</w:t>
            </w:r>
          </w:p>
        </w:tc>
        <w:tc>
          <w:tcPr>
            <w:tcW w:w="3538" w:type="dxa"/>
            <w:shd w:val="clear" w:color="auto" w:fill="C6EFCE"/>
            <w:tcMar>
              <w:left w:w="108" w:type="dxa"/>
              <w:right w:w="108" w:type="dxa"/>
            </w:tcMar>
            <w:vAlign w:val="center"/>
          </w:tcPr>
          <w:p w14:paraId="1C3BF857"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5: Plán pre nové zručnosti – Prechody</w:t>
            </w:r>
          </w:p>
        </w:tc>
        <w:tc>
          <w:tcPr>
            <w:tcW w:w="1185" w:type="dxa"/>
            <w:shd w:val="clear" w:color="auto" w:fill="C6EFCE"/>
            <w:tcMar>
              <w:left w:w="108" w:type="dxa"/>
              <w:right w:w="108" w:type="dxa"/>
            </w:tcMar>
            <w:vAlign w:val="center"/>
          </w:tcPr>
          <w:p w14:paraId="43B2F17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42E6C749" w14:textId="4E9216DE" w:rsidR="00BF03AA" w:rsidRPr="00326E55" w:rsidRDefault="00FB452D">
            <w:pPr>
              <w:pStyle w:val="P68B1DB1-Normal121"/>
              <w:spacing w:after="0" w:line="240" w:lineRule="auto"/>
              <w:rPr>
                <w:noProof/>
                <w:spacing w:val="-6"/>
                <w:lang w:val="sk-SK"/>
              </w:rPr>
            </w:pPr>
            <w:r w:rsidRPr="00326E55">
              <w:rPr>
                <w:noProof/>
                <w:spacing w:val="-6"/>
                <w:lang w:val="sk-SK"/>
              </w:rPr>
              <w:t>Prijatie</w:t>
            </w:r>
            <w:r w:rsidR="00326E55" w:rsidRPr="00326E55">
              <w:rPr>
                <w:noProof/>
                <w:spacing w:val="-6"/>
                <w:lang w:val="sk-SK"/>
              </w:rPr>
              <w:t xml:space="preserve"> a </w:t>
            </w:r>
            <w:r w:rsidRPr="00326E55">
              <w:rPr>
                <w:noProof/>
                <w:spacing w:val="-6"/>
                <w:lang w:val="sk-SK"/>
              </w:rPr>
              <w:t>uverejnenie nového plánu</w:t>
            </w:r>
            <w:r w:rsidR="00326E55" w:rsidRPr="00326E55">
              <w:rPr>
                <w:noProof/>
                <w:spacing w:val="-6"/>
                <w:lang w:val="sk-SK"/>
              </w:rPr>
              <w:t xml:space="preserve"> v </w:t>
            </w:r>
            <w:r w:rsidRPr="00326E55">
              <w:rPr>
                <w:noProof/>
                <w:spacing w:val="-6"/>
                <w:lang w:val="sk-SK"/>
              </w:rPr>
              <w:t>oblasti zručností – Prechody</w:t>
            </w:r>
            <w:r w:rsidR="00326E55" w:rsidRPr="00326E55">
              <w:rPr>
                <w:noProof/>
                <w:spacing w:val="-6"/>
                <w:lang w:val="sk-SK"/>
              </w:rPr>
              <w:t xml:space="preserve"> a </w:t>
            </w:r>
            <w:r w:rsidRPr="00326E55">
              <w:rPr>
                <w:noProof/>
                <w:spacing w:val="-6"/>
                <w:lang w:val="sk-SK"/>
              </w:rPr>
              <w:t>cestovnej mapy na vykonávanie</w:t>
            </w:r>
          </w:p>
        </w:tc>
      </w:tr>
      <w:tr w:rsidR="00BF03AA" w:rsidRPr="00326E55" w14:paraId="1F1224FD" w14:textId="77777777">
        <w:trPr>
          <w:trHeight w:val="300"/>
        </w:trPr>
        <w:tc>
          <w:tcPr>
            <w:tcW w:w="1435" w:type="dxa"/>
            <w:shd w:val="clear" w:color="auto" w:fill="C6EFCE"/>
            <w:tcMar>
              <w:left w:w="108" w:type="dxa"/>
              <w:right w:w="108" w:type="dxa"/>
            </w:tcMar>
            <w:vAlign w:val="center"/>
          </w:tcPr>
          <w:p w14:paraId="5D6D89D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32</w:t>
            </w:r>
          </w:p>
        </w:tc>
        <w:tc>
          <w:tcPr>
            <w:tcW w:w="3538" w:type="dxa"/>
            <w:shd w:val="clear" w:color="auto" w:fill="C6EFCE"/>
            <w:tcMar>
              <w:left w:w="108" w:type="dxa"/>
              <w:right w:w="108" w:type="dxa"/>
            </w:tcMar>
            <w:vAlign w:val="center"/>
          </w:tcPr>
          <w:p w14:paraId="4E4E90B1" w14:textId="5175404A" w:rsidR="00BF03AA" w:rsidRPr="00326E55" w:rsidRDefault="00FB452D">
            <w:pPr>
              <w:pStyle w:val="P68B1DB1-Normal121"/>
              <w:spacing w:after="0" w:line="240" w:lineRule="auto"/>
              <w:rPr>
                <w:noProof/>
                <w:spacing w:val="-6"/>
                <w:lang w:val="sk-SK"/>
              </w:rPr>
            </w:pPr>
            <w:r w:rsidRPr="00326E55">
              <w:rPr>
                <w:noProof/>
                <w:spacing w:val="-6"/>
                <w:lang w:val="sk-SK"/>
              </w:rPr>
              <w:t>Investícia 12 Finančný nástroj na rozvoj medzinárodného</w:t>
            </w:r>
            <w:r w:rsidR="00326E55" w:rsidRPr="00326E55">
              <w:rPr>
                <w:noProof/>
                <w:spacing w:val="-6"/>
                <w:lang w:val="sk-SK"/>
              </w:rPr>
              <w:t xml:space="preserve"> a </w:t>
            </w:r>
            <w:r w:rsidRPr="00326E55">
              <w:rPr>
                <w:noProof/>
                <w:spacing w:val="-6"/>
                <w:lang w:val="sk-SK"/>
              </w:rPr>
              <w:t>priemyselného vedúceho postavenia</w:t>
            </w:r>
            <w:r w:rsidR="00326E55" w:rsidRPr="00326E55">
              <w:rPr>
                <w:noProof/>
                <w:spacing w:val="-6"/>
                <w:lang w:val="sk-SK"/>
              </w:rPr>
              <w:t xml:space="preserve"> a </w:t>
            </w:r>
            <w:r w:rsidRPr="00326E55">
              <w:rPr>
                <w:noProof/>
                <w:spacing w:val="-6"/>
                <w:lang w:val="sk-SK"/>
              </w:rPr>
              <w:t>vedúceho postavenia</w:t>
            </w:r>
            <w:r w:rsidR="00326E55" w:rsidRPr="00326E55">
              <w:rPr>
                <w:noProof/>
                <w:spacing w:val="-6"/>
                <w:lang w:val="sk-SK"/>
              </w:rPr>
              <w:t xml:space="preserve"> v </w:t>
            </w:r>
            <w:r w:rsidRPr="00326E55">
              <w:rPr>
                <w:noProof/>
                <w:spacing w:val="-6"/>
                <w:lang w:val="sk-SK"/>
              </w:rPr>
              <w:t>oblasti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v </w:t>
            </w:r>
            <w:r w:rsidRPr="00326E55">
              <w:rPr>
                <w:noProof/>
                <w:spacing w:val="-6"/>
                <w:lang w:val="sk-SK"/>
              </w:rPr>
              <w:t>oblasti autobusov</w:t>
            </w:r>
            <w:r w:rsidR="00326E55" w:rsidRPr="00326E55">
              <w:rPr>
                <w:noProof/>
                <w:spacing w:val="-6"/>
                <w:lang w:val="sk-SK"/>
              </w:rPr>
              <w:t xml:space="preserve"> s </w:t>
            </w:r>
            <w:r w:rsidRPr="00326E55">
              <w:rPr>
                <w:noProof/>
                <w:spacing w:val="-6"/>
                <w:lang w:val="sk-SK"/>
              </w:rPr>
              <w:t>nulovými emisiami</w:t>
            </w:r>
          </w:p>
        </w:tc>
        <w:tc>
          <w:tcPr>
            <w:tcW w:w="1185" w:type="dxa"/>
            <w:shd w:val="clear" w:color="auto" w:fill="C6EFCE"/>
            <w:tcMar>
              <w:left w:w="108" w:type="dxa"/>
              <w:right w:w="108" w:type="dxa"/>
            </w:tcMar>
            <w:vAlign w:val="center"/>
          </w:tcPr>
          <w:p w14:paraId="3711B2F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3D0C61D6"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p>
        </w:tc>
      </w:tr>
      <w:tr w:rsidR="00BF03AA" w:rsidRPr="00326E55" w14:paraId="4E126783" w14:textId="77777777">
        <w:trPr>
          <w:trHeight w:val="300"/>
        </w:trPr>
        <w:tc>
          <w:tcPr>
            <w:tcW w:w="1435" w:type="dxa"/>
            <w:shd w:val="clear" w:color="auto" w:fill="C6EFCE"/>
            <w:tcMar>
              <w:left w:w="108" w:type="dxa"/>
              <w:right w:w="108" w:type="dxa"/>
            </w:tcMar>
            <w:vAlign w:val="center"/>
          </w:tcPr>
          <w:p w14:paraId="1621B40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39</w:t>
            </w:r>
          </w:p>
        </w:tc>
        <w:tc>
          <w:tcPr>
            <w:tcW w:w="3538" w:type="dxa"/>
            <w:shd w:val="clear" w:color="auto" w:fill="C6EFCE"/>
            <w:tcMar>
              <w:left w:w="108" w:type="dxa"/>
              <w:right w:w="108" w:type="dxa"/>
            </w:tcMar>
            <w:vAlign w:val="center"/>
          </w:tcPr>
          <w:p w14:paraId="2603901D" w14:textId="472B8AF9" w:rsidR="00BF03AA" w:rsidRPr="00326E55" w:rsidRDefault="00FB452D">
            <w:pPr>
              <w:pStyle w:val="P68B1DB1-Normal121"/>
              <w:spacing w:after="0" w:line="240" w:lineRule="auto"/>
              <w:rPr>
                <w:noProof/>
                <w:spacing w:val="-6"/>
                <w:lang w:val="sk-SK"/>
              </w:rPr>
            </w:pPr>
            <w:r w:rsidRPr="00326E55">
              <w:rPr>
                <w:noProof/>
                <w:spacing w:val="-6"/>
                <w:lang w:val="sk-SK"/>
              </w:rPr>
              <w:t>Investícia 1.8: Postupy prijímania zamestnancov na občianske</w:t>
            </w:r>
            <w:r w:rsidR="00326E55" w:rsidRPr="00326E55">
              <w:rPr>
                <w:noProof/>
                <w:spacing w:val="-6"/>
                <w:lang w:val="sk-SK"/>
              </w:rPr>
              <w:t xml:space="preserve"> a </w:t>
            </w:r>
            <w:r w:rsidRPr="00326E55">
              <w:rPr>
                <w:noProof/>
                <w:spacing w:val="-6"/>
                <w:lang w:val="sk-SK"/>
              </w:rPr>
              <w:t>trestné súdy</w:t>
            </w:r>
          </w:p>
        </w:tc>
        <w:tc>
          <w:tcPr>
            <w:tcW w:w="1185" w:type="dxa"/>
            <w:shd w:val="clear" w:color="auto" w:fill="C6EFCE"/>
            <w:tcMar>
              <w:left w:w="108" w:type="dxa"/>
              <w:right w:w="108" w:type="dxa"/>
            </w:tcMar>
            <w:vAlign w:val="center"/>
          </w:tcPr>
          <w:p w14:paraId="71BC64C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637301A1" w14:textId="6B487876" w:rsidR="00BF03AA" w:rsidRPr="00326E55" w:rsidRDefault="00FB452D">
            <w:pPr>
              <w:pStyle w:val="P68B1DB1-Normal121"/>
              <w:spacing w:after="0" w:line="240" w:lineRule="auto"/>
              <w:rPr>
                <w:noProof/>
                <w:spacing w:val="-6"/>
                <w:lang w:val="sk-SK"/>
              </w:rPr>
            </w:pPr>
            <w:r w:rsidRPr="00326E55">
              <w:rPr>
                <w:noProof/>
                <w:spacing w:val="-6"/>
                <w:lang w:val="sk-SK"/>
              </w:rPr>
              <w:t>Ukončenie postupov prijímania zamestnancov na ob</w:t>
            </w:r>
            <w:r w:rsidRPr="00326E55">
              <w:rPr>
                <w:noProof/>
                <w:spacing w:val="-6"/>
                <w:lang w:val="sk-SK"/>
              </w:rPr>
              <w:t>čianske</w:t>
            </w:r>
            <w:r w:rsidR="00326E55" w:rsidRPr="00326E55">
              <w:rPr>
                <w:noProof/>
                <w:spacing w:val="-6"/>
                <w:lang w:val="sk-SK"/>
              </w:rPr>
              <w:t xml:space="preserve"> a </w:t>
            </w:r>
            <w:r w:rsidRPr="00326E55">
              <w:rPr>
                <w:noProof/>
                <w:spacing w:val="-6"/>
                <w:lang w:val="sk-SK"/>
              </w:rPr>
              <w:t>trestné súdy</w:t>
            </w:r>
            <w:r w:rsidR="00326E55" w:rsidRPr="00326E55">
              <w:rPr>
                <w:noProof/>
                <w:spacing w:val="-6"/>
                <w:lang w:val="sk-SK"/>
              </w:rPr>
              <w:t xml:space="preserve"> a </w:t>
            </w:r>
            <w:r w:rsidRPr="00326E55">
              <w:rPr>
                <w:noProof/>
                <w:spacing w:val="-6"/>
                <w:lang w:val="sk-SK"/>
              </w:rPr>
              <w:t>územné</w:t>
            </w:r>
            <w:r w:rsidR="00326E55" w:rsidRPr="00326E55">
              <w:rPr>
                <w:noProof/>
                <w:spacing w:val="-6"/>
                <w:lang w:val="sk-SK"/>
              </w:rPr>
              <w:t xml:space="preserve"> a </w:t>
            </w:r>
            <w:r w:rsidRPr="00326E55">
              <w:rPr>
                <w:noProof/>
                <w:spacing w:val="-6"/>
                <w:lang w:val="sk-SK"/>
              </w:rPr>
              <w:t>ústredné útvary ministerstva spravodlivosti zodpovedné za vykonávanie plánu obnovy</w:t>
            </w:r>
            <w:r w:rsidR="00326E55" w:rsidRPr="00326E55">
              <w:rPr>
                <w:noProof/>
                <w:spacing w:val="-6"/>
                <w:lang w:val="sk-SK"/>
              </w:rPr>
              <w:t xml:space="preserve"> a </w:t>
            </w:r>
            <w:r w:rsidRPr="00326E55">
              <w:rPr>
                <w:noProof/>
                <w:spacing w:val="-6"/>
                <w:lang w:val="sk-SK"/>
              </w:rPr>
              <w:t>odolnosti</w:t>
            </w:r>
          </w:p>
        </w:tc>
      </w:tr>
      <w:tr w:rsidR="00BF03AA" w:rsidRPr="00326E55" w14:paraId="61D8F18F" w14:textId="77777777">
        <w:trPr>
          <w:trHeight w:val="300"/>
        </w:trPr>
        <w:tc>
          <w:tcPr>
            <w:tcW w:w="1435" w:type="dxa"/>
            <w:shd w:val="clear" w:color="auto" w:fill="C6EFCE"/>
            <w:tcMar>
              <w:left w:w="108" w:type="dxa"/>
              <w:right w:w="108" w:type="dxa"/>
            </w:tcMar>
            <w:vAlign w:val="center"/>
          </w:tcPr>
          <w:p w14:paraId="3319E7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40</w:t>
            </w:r>
          </w:p>
        </w:tc>
        <w:tc>
          <w:tcPr>
            <w:tcW w:w="3538" w:type="dxa"/>
            <w:shd w:val="clear" w:color="auto" w:fill="C6EFCE"/>
            <w:tcMar>
              <w:left w:w="108" w:type="dxa"/>
              <w:right w:w="108" w:type="dxa"/>
            </w:tcMar>
            <w:vAlign w:val="center"/>
          </w:tcPr>
          <w:p w14:paraId="03C97A3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1.8: Postupy prijímania zamestnancov na správne súdy</w:t>
            </w:r>
          </w:p>
        </w:tc>
        <w:tc>
          <w:tcPr>
            <w:tcW w:w="1185" w:type="dxa"/>
            <w:shd w:val="clear" w:color="auto" w:fill="C6EFCE"/>
            <w:tcMar>
              <w:left w:w="108" w:type="dxa"/>
              <w:right w:w="108" w:type="dxa"/>
            </w:tcMar>
            <w:vAlign w:val="center"/>
          </w:tcPr>
          <w:p w14:paraId="63623C0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4AA61DFB"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Ukončenie postupov prijímania zamestnancov na </w:t>
            </w:r>
            <w:r w:rsidRPr="00326E55">
              <w:rPr>
                <w:noProof/>
                <w:spacing w:val="-6"/>
                <w:lang w:val="sk-SK"/>
              </w:rPr>
              <w:t>správne súdy</w:t>
            </w:r>
          </w:p>
        </w:tc>
      </w:tr>
      <w:tr w:rsidR="00BF03AA" w:rsidRPr="00326E55" w14:paraId="4440F19E" w14:textId="77777777">
        <w:trPr>
          <w:trHeight w:val="300"/>
        </w:trPr>
        <w:tc>
          <w:tcPr>
            <w:tcW w:w="1435" w:type="dxa"/>
            <w:shd w:val="clear" w:color="auto" w:fill="C6EFCE"/>
            <w:tcMar>
              <w:left w:w="108" w:type="dxa"/>
              <w:right w:w="108" w:type="dxa"/>
            </w:tcMar>
            <w:vAlign w:val="center"/>
          </w:tcPr>
          <w:p w14:paraId="5AB7F0C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41</w:t>
            </w:r>
          </w:p>
        </w:tc>
        <w:tc>
          <w:tcPr>
            <w:tcW w:w="3538" w:type="dxa"/>
            <w:shd w:val="clear" w:color="auto" w:fill="C6EFCE"/>
            <w:tcMar>
              <w:left w:w="108" w:type="dxa"/>
              <w:right w:w="108" w:type="dxa"/>
            </w:tcMar>
            <w:vAlign w:val="center"/>
          </w:tcPr>
          <w:p w14:paraId="5D9E2AA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1.8: Postupy prijímania zamestnancov na správne súdy</w:t>
            </w:r>
          </w:p>
        </w:tc>
        <w:tc>
          <w:tcPr>
            <w:tcW w:w="1185" w:type="dxa"/>
            <w:shd w:val="clear" w:color="auto" w:fill="C6EFCE"/>
            <w:tcMar>
              <w:left w:w="108" w:type="dxa"/>
              <w:right w:w="108" w:type="dxa"/>
            </w:tcMar>
            <w:vAlign w:val="center"/>
          </w:tcPr>
          <w:p w14:paraId="17D8749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65FD5F61" w14:textId="77777777" w:rsidR="00BF03AA" w:rsidRPr="00326E55" w:rsidRDefault="00FB452D">
            <w:pPr>
              <w:pStyle w:val="P68B1DB1-Normal121"/>
              <w:spacing w:after="0" w:line="240" w:lineRule="auto"/>
              <w:rPr>
                <w:noProof/>
                <w:spacing w:val="-6"/>
                <w:lang w:val="sk-SK"/>
              </w:rPr>
            </w:pPr>
            <w:r w:rsidRPr="00326E55">
              <w:rPr>
                <w:noProof/>
                <w:spacing w:val="-6"/>
                <w:lang w:val="sk-SK"/>
              </w:rPr>
              <w:t>Zníženie počtu nevybavených prípadov na krajinských správnych súdoch</w:t>
            </w:r>
          </w:p>
        </w:tc>
      </w:tr>
      <w:tr w:rsidR="00BF03AA" w:rsidRPr="00326E55" w14:paraId="3983E530" w14:textId="77777777">
        <w:trPr>
          <w:trHeight w:val="300"/>
        </w:trPr>
        <w:tc>
          <w:tcPr>
            <w:tcW w:w="1435" w:type="dxa"/>
            <w:shd w:val="clear" w:color="auto" w:fill="C6EFCE"/>
            <w:tcMar>
              <w:left w:w="108" w:type="dxa"/>
              <w:right w:w="108" w:type="dxa"/>
            </w:tcMar>
            <w:vAlign w:val="center"/>
          </w:tcPr>
          <w:p w14:paraId="0A820B0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42</w:t>
            </w:r>
          </w:p>
        </w:tc>
        <w:tc>
          <w:tcPr>
            <w:tcW w:w="3538" w:type="dxa"/>
            <w:shd w:val="clear" w:color="auto" w:fill="C6EFCE"/>
            <w:tcMar>
              <w:left w:w="108" w:type="dxa"/>
              <w:right w:w="108" w:type="dxa"/>
            </w:tcMar>
            <w:vAlign w:val="center"/>
          </w:tcPr>
          <w:p w14:paraId="39EDA9B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1.8: Postupy prijímania zamestnancov na správne súdy</w:t>
            </w:r>
          </w:p>
        </w:tc>
        <w:tc>
          <w:tcPr>
            <w:tcW w:w="1185" w:type="dxa"/>
            <w:shd w:val="clear" w:color="auto" w:fill="C6EFCE"/>
            <w:tcMar>
              <w:left w:w="108" w:type="dxa"/>
              <w:right w:w="108" w:type="dxa"/>
            </w:tcMar>
            <w:vAlign w:val="center"/>
          </w:tcPr>
          <w:p w14:paraId="6D9599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1F23BFDB" w14:textId="77777777" w:rsidR="00BF03AA" w:rsidRPr="00326E55" w:rsidRDefault="00FB452D">
            <w:pPr>
              <w:pStyle w:val="P68B1DB1-Normal121"/>
              <w:spacing w:after="0" w:line="240" w:lineRule="auto"/>
              <w:rPr>
                <w:noProof/>
                <w:spacing w:val="-6"/>
                <w:lang w:val="sk-SK"/>
              </w:rPr>
            </w:pPr>
            <w:r w:rsidRPr="00326E55">
              <w:rPr>
                <w:noProof/>
                <w:spacing w:val="-6"/>
                <w:lang w:val="sk-SK"/>
              </w:rPr>
              <w:t>Zníženie počtu</w:t>
            </w:r>
            <w:r w:rsidRPr="00326E55">
              <w:rPr>
                <w:noProof/>
                <w:spacing w:val="-6"/>
                <w:lang w:val="sk-SK"/>
              </w:rPr>
              <w:t xml:space="preserve"> nevybavených prípadov Štátnej rady</w:t>
            </w:r>
          </w:p>
        </w:tc>
      </w:tr>
      <w:tr w:rsidR="00BF03AA" w:rsidRPr="00326E55" w14:paraId="3AD072E4" w14:textId="77777777">
        <w:trPr>
          <w:trHeight w:val="300"/>
        </w:trPr>
        <w:tc>
          <w:tcPr>
            <w:tcW w:w="1435" w:type="dxa"/>
            <w:shd w:val="clear" w:color="auto" w:fill="C6EFCE"/>
            <w:tcMar>
              <w:left w:w="108" w:type="dxa"/>
              <w:right w:w="108" w:type="dxa"/>
            </w:tcMar>
            <w:vAlign w:val="center"/>
          </w:tcPr>
          <w:p w14:paraId="13FC37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59 BIS</w:t>
            </w:r>
          </w:p>
        </w:tc>
        <w:tc>
          <w:tcPr>
            <w:tcW w:w="3538" w:type="dxa"/>
            <w:shd w:val="clear" w:color="auto" w:fill="C6EFCE"/>
            <w:tcMar>
              <w:left w:w="108" w:type="dxa"/>
              <w:right w:w="108" w:type="dxa"/>
            </w:tcMar>
            <w:vAlign w:val="center"/>
          </w:tcPr>
          <w:p w14:paraId="4DF7A91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1.9: Reforma verejnej správy </w:t>
            </w:r>
          </w:p>
        </w:tc>
        <w:tc>
          <w:tcPr>
            <w:tcW w:w="1185" w:type="dxa"/>
            <w:shd w:val="clear" w:color="auto" w:fill="C6EFCE"/>
            <w:tcMar>
              <w:left w:w="108" w:type="dxa"/>
              <w:right w:w="108" w:type="dxa"/>
            </w:tcMar>
            <w:vAlign w:val="center"/>
          </w:tcPr>
          <w:p w14:paraId="311EE41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09206507"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Vykonávanie strategického riadenia ľudských zdrojov vo verejnej správe</w:t>
            </w:r>
          </w:p>
        </w:tc>
      </w:tr>
      <w:tr w:rsidR="00BF03AA" w:rsidRPr="00326E55" w14:paraId="0BB6CB4C" w14:textId="77777777">
        <w:trPr>
          <w:trHeight w:val="300"/>
        </w:trPr>
        <w:tc>
          <w:tcPr>
            <w:tcW w:w="1435" w:type="dxa"/>
            <w:shd w:val="clear" w:color="auto" w:fill="C6EFCE"/>
            <w:tcMar>
              <w:left w:w="108" w:type="dxa"/>
              <w:right w:w="108" w:type="dxa"/>
            </w:tcMar>
            <w:vAlign w:val="center"/>
          </w:tcPr>
          <w:p w14:paraId="69D47B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73bis</w:t>
            </w:r>
          </w:p>
        </w:tc>
        <w:tc>
          <w:tcPr>
            <w:tcW w:w="3538" w:type="dxa"/>
            <w:shd w:val="clear" w:color="auto" w:fill="C6EFCE"/>
            <w:tcMar>
              <w:left w:w="108" w:type="dxa"/>
              <w:right w:w="108" w:type="dxa"/>
            </w:tcMar>
            <w:vAlign w:val="center"/>
          </w:tcPr>
          <w:p w14:paraId="17895212"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185" w:type="dxa"/>
            <w:shd w:val="clear" w:color="auto" w:fill="C6EFCE"/>
            <w:tcMar>
              <w:left w:w="108" w:type="dxa"/>
              <w:right w:w="108" w:type="dxa"/>
            </w:tcMar>
            <w:vAlign w:val="center"/>
          </w:tcPr>
          <w:p w14:paraId="0A1E2DC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42CE9F01" w14:textId="77777777" w:rsidR="00BF03AA" w:rsidRPr="00326E55" w:rsidRDefault="00FB452D">
            <w:pPr>
              <w:pStyle w:val="P68B1DB1-Normal121"/>
              <w:spacing w:after="0" w:line="240" w:lineRule="auto"/>
              <w:rPr>
                <w:noProof/>
                <w:spacing w:val="-6"/>
                <w:lang w:val="sk-SK"/>
              </w:rPr>
            </w:pPr>
            <w:r w:rsidRPr="00326E55">
              <w:rPr>
                <w:noProof/>
                <w:spacing w:val="-6"/>
                <w:lang w:val="sk-SK"/>
              </w:rPr>
              <w:t>Prijatie obežníka poskytujúceho usmernenia týkajúce sa kvalifikačného systému pre verejných obstarávateľov</w:t>
            </w:r>
          </w:p>
        </w:tc>
      </w:tr>
      <w:tr w:rsidR="00BF03AA" w:rsidRPr="00326E55" w14:paraId="47AB7FEE" w14:textId="77777777">
        <w:trPr>
          <w:trHeight w:val="300"/>
        </w:trPr>
        <w:tc>
          <w:tcPr>
            <w:tcW w:w="1435" w:type="dxa"/>
            <w:shd w:val="clear" w:color="auto" w:fill="C6EFCE"/>
            <w:tcMar>
              <w:left w:w="108" w:type="dxa"/>
              <w:right w:w="108" w:type="dxa"/>
            </w:tcMar>
            <w:vAlign w:val="center"/>
          </w:tcPr>
          <w:p w14:paraId="7EA1E59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108</w:t>
            </w:r>
          </w:p>
        </w:tc>
        <w:tc>
          <w:tcPr>
            <w:tcW w:w="3538" w:type="dxa"/>
            <w:shd w:val="clear" w:color="auto" w:fill="C6EFCE"/>
            <w:tcMar>
              <w:left w:w="108" w:type="dxa"/>
              <w:right w:w="108" w:type="dxa"/>
            </w:tcMar>
            <w:vAlign w:val="center"/>
          </w:tcPr>
          <w:p w14:paraId="23F1E0E5"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1.15: Reforma pravidiel verejného účtovníctva</w:t>
            </w:r>
          </w:p>
        </w:tc>
        <w:tc>
          <w:tcPr>
            <w:tcW w:w="1185" w:type="dxa"/>
            <w:shd w:val="clear" w:color="auto" w:fill="C6EFCE"/>
            <w:tcMar>
              <w:left w:w="108" w:type="dxa"/>
              <w:right w:w="108" w:type="dxa"/>
            </w:tcMar>
            <w:vAlign w:val="center"/>
          </w:tcPr>
          <w:p w14:paraId="114D819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657153DF" w14:textId="4770F214" w:rsidR="00BF03AA" w:rsidRPr="00326E55" w:rsidRDefault="00FB452D">
            <w:pPr>
              <w:pStyle w:val="P68B1DB1-Normal121"/>
              <w:spacing w:after="0" w:line="240" w:lineRule="auto"/>
              <w:rPr>
                <w:noProof/>
                <w:spacing w:val="-6"/>
                <w:lang w:val="sk-SK"/>
              </w:rPr>
            </w:pPr>
            <w:r w:rsidRPr="00326E55">
              <w:rPr>
                <w:noProof/>
                <w:spacing w:val="-6"/>
                <w:lang w:val="sk-SK"/>
              </w:rPr>
              <w:t>Schválenie koncepčného rámca, súboru akruálnych účtovných štandardov</w:t>
            </w:r>
            <w:r w:rsidR="00326E55" w:rsidRPr="00326E55">
              <w:rPr>
                <w:noProof/>
                <w:spacing w:val="-6"/>
                <w:lang w:val="sk-SK"/>
              </w:rPr>
              <w:t xml:space="preserve"> a </w:t>
            </w:r>
            <w:r w:rsidRPr="00326E55">
              <w:rPr>
                <w:noProof/>
                <w:spacing w:val="-6"/>
                <w:lang w:val="sk-SK"/>
              </w:rPr>
              <w:t>viacr</w:t>
            </w:r>
            <w:r w:rsidRPr="00326E55">
              <w:rPr>
                <w:noProof/>
                <w:spacing w:val="-6"/>
                <w:lang w:val="sk-SK"/>
              </w:rPr>
              <w:t>ozmernej účtovnej osnovy</w:t>
            </w:r>
          </w:p>
        </w:tc>
      </w:tr>
      <w:tr w:rsidR="00BF03AA" w:rsidRPr="00326E55" w14:paraId="0D7CF0C1" w14:textId="77777777">
        <w:trPr>
          <w:trHeight w:val="300"/>
        </w:trPr>
        <w:tc>
          <w:tcPr>
            <w:tcW w:w="1435" w:type="dxa"/>
            <w:shd w:val="clear" w:color="auto" w:fill="C6EFCE"/>
            <w:tcMar>
              <w:left w:w="108" w:type="dxa"/>
              <w:right w:w="108" w:type="dxa"/>
            </w:tcMar>
            <w:vAlign w:val="center"/>
          </w:tcPr>
          <w:p w14:paraId="1957B93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111</w:t>
            </w:r>
          </w:p>
        </w:tc>
        <w:tc>
          <w:tcPr>
            <w:tcW w:w="3538" w:type="dxa"/>
            <w:shd w:val="clear" w:color="auto" w:fill="C6EFCE"/>
            <w:tcMar>
              <w:left w:w="108" w:type="dxa"/>
              <w:right w:w="108" w:type="dxa"/>
            </w:tcMar>
            <w:vAlign w:val="center"/>
          </w:tcPr>
          <w:p w14:paraId="556907BC"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1.13: Reforma rámca preskúmania výdavkov</w:t>
            </w:r>
          </w:p>
        </w:tc>
        <w:tc>
          <w:tcPr>
            <w:tcW w:w="1185" w:type="dxa"/>
            <w:shd w:val="clear" w:color="auto" w:fill="C6EFCE"/>
            <w:tcMar>
              <w:left w:w="108" w:type="dxa"/>
              <w:right w:w="108" w:type="dxa"/>
            </w:tcMar>
            <w:vAlign w:val="center"/>
          </w:tcPr>
          <w:p w14:paraId="395A9D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644D8890" w14:textId="7A17BDD0" w:rsidR="00BF03AA" w:rsidRPr="00326E55" w:rsidRDefault="00FB452D">
            <w:pPr>
              <w:pStyle w:val="P68B1DB1-Normal121"/>
              <w:spacing w:after="0" w:line="240" w:lineRule="auto"/>
              <w:rPr>
                <w:noProof/>
                <w:spacing w:val="-6"/>
                <w:lang w:val="sk-SK"/>
              </w:rPr>
            </w:pPr>
            <w:r w:rsidRPr="00326E55">
              <w:rPr>
                <w:noProof/>
                <w:spacing w:val="-6"/>
                <w:lang w:val="sk-SK"/>
              </w:rPr>
              <w:t>Dokončenie ročného preskúmania výdavkov na rok 2023</w:t>
            </w:r>
            <w:r w:rsidR="00326E55" w:rsidRPr="00326E55">
              <w:rPr>
                <w:noProof/>
                <w:spacing w:val="-6"/>
                <w:lang w:val="sk-SK"/>
              </w:rPr>
              <w:t xml:space="preserve"> s </w:t>
            </w:r>
            <w:r w:rsidRPr="00326E55">
              <w:rPr>
                <w:noProof/>
                <w:spacing w:val="-6"/>
                <w:lang w:val="sk-SK"/>
              </w:rPr>
              <w:t>odkazom na cieľ úspor stanovený na rok 2022 na rok 2023</w:t>
            </w:r>
          </w:p>
        </w:tc>
      </w:tr>
      <w:tr w:rsidR="00BF03AA" w:rsidRPr="00326E55" w14:paraId="6283A2E5" w14:textId="77777777">
        <w:trPr>
          <w:trHeight w:val="300"/>
        </w:trPr>
        <w:tc>
          <w:tcPr>
            <w:tcW w:w="1435" w:type="dxa"/>
            <w:shd w:val="clear" w:color="auto" w:fill="C6EFCE"/>
            <w:tcMar>
              <w:left w:w="108" w:type="dxa"/>
              <w:right w:w="108" w:type="dxa"/>
            </w:tcMar>
            <w:vAlign w:val="center"/>
          </w:tcPr>
          <w:p w14:paraId="0D2CD9E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112</w:t>
            </w:r>
          </w:p>
        </w:tc>
        <w:tc>
          <w:tcPr>
            <w:tcW w:w="3538" w:type="dxa"/>
            <w:shd w:val="clear" w:color="auto" w:fill="C6EFCE"/>
            <w:tcMar>
              <w:left w:w="108" w:type="dxa"/>
              <w:right w:w="108" w:type="dxa"/>
            </w:tcMar>
            <w:vAlign w:val="center"/>
          </w:tcPr>
          <w:p w14:paraId="0CB153AF"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1.12: Reforma daňovej správy</w:t>
            </w:r>
          </w:p>
        </w:tc>
        <w:tc>
          <w:tcPr>
            <w:tcW w:w="1185" w:type="dxa"/>
            <w:shd w:val="clear" w:color="auto" w:fill="C6EFCE"/>
            <w:tcMar>
              <w:left w:w="108" w:type="dxa"/>
              <w:right w:w="108" w:type="dxa"/>
            </w:tcMar>
            <w:vAlign w:val="center"/>
          </w:tcPr>
          <w:p w14:paraId="09E41A5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0ED37D89" w14:textId="648F5F9D" w:rsidR="00BF03AA" w:rsidRPr="00326E55" w:rsidRDefault="00FB452D">
            <w:pPr>
              <w:pStyle w:val="P68B1DB1-Normal121"/>
              <w:spacing w:after="0" w:line="240" w:lineRule="auto"/>
              <w:rPr>
                <w:noProof/>
                <w:spacing w:val="-6"/>
                <w:lang w:val="sk-SK"/>
              </w:rPr>
            </w:pPr>
            <w:r w:rsidRPr="00326E55">
              <w:rPr>
                <w:noProof/>
                <w:spacing w:val="-6"/>
                <w:lang w:val="sk-SK"/>
              </w:rPr>
              <w:t>Zlepšiť operačnú kapacitu daňovej správy</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cieľmi prijímania zamestnancov uvedenými</w:t>
            </w:r>
            <w:r w:rsidR="00326E55" w:rsidRPr="00326E55">
              <w:rPr>
                <w:noProof/>
                <w:spacing w:val="-6"/>
                <w:lang w:val="sk-SK"/>
              </w:rPr>
              <w:t xml:space="preserve"> v </w:t>
            </w:r>
            <w:r w:rsidRPr="00326E55">
              <w:rPr>
                <w:noProof/>
                <w:spacing w:val="-6"/>
                <w:lang w:val="sk-SK"/>
              </w:rPr>
              <w:t>„Pláne výkonnosti na roky 2021 – 2023“ agentúry pre príjmy</w:t>
            </w:r>
          </w:p>
        </w:tc>
      </w:tr>
      <w:tr w:rsidR="00BF03AA" w:rsidRPr="00326E55" w14:paraId="36C0FCE8" w14:textId="77777777">
        <w:trPr>
          <w:trHeight w:val="300"/>
        </w:trPr>
        <w:tc>
          <w:tcPr>
            <w:tcW w:w="1435" w:type="dxa"/>
            <w:shd w:val="clear" w:color="auto" w:fill="C6EFCE"/>
            <w:tcMar>
              <w:left w:w="108" w:type="dxa"/>
              <w:right w:w="108" w:type="dxa"/>
            </w:tcMar>
            <w:vAlign w:val="center"/>
          </w:tcPr>
          <w:p w14:paraId="6F0D18E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w:t>
            </w:r>
          </w:p>
        </w:tc>
        <w:tc>
          <w:tcPr>
            <w:tcW w:w="3538" w:type="dxa"/>
            <w:shd w:val="clear" w:color="auto" w:fill="C6EFCE"/>
            <w:tcMar>
              <w:left w:w="108" w:type="dxa"/>
              <w:right w:w="108" w:type="dxa"/>
            </w:tcMar>
            <w:vAlign w:val="center"/>
          </w:tcPr>
          <w:p w14:paraId="6480934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 Transformácia 4.0</w:t>
            </w:r>
          </w:p>
        </w:tc>
        <w:tc>
          <w:tcPr>
            <w:tcW w:w="1185" w:type="dxa"/>
            <w:shd w:val="clear" w:color="auto" w:fill="C6EFCE"/>
            <w:tcMar>
              <w:left w:w="108" w:type="dxa"/>
              <w:right w:w="108" w:type="dxa"/>
            </w:tcMar>
            <w:vAlign w:val="center"/>
          </w:tcPr>
          <w:p w14:paraId="33A0054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1CF67A5D" w14:textId="11E5DA2A" w:rsidR="00BF03AA" w:rsidRPr="00326E55" w:rsidRDefault="00FB452D">
            <w:pPr>
              <w:pStyle w:val="P68B1DB1-Normal121"/>
              <w:spacing w:after="0" w:line="240" w:lineRule="auto"/>
              <w:rPr>
                <w:noProof/>
                <w:spacing w:val="-6"/>
                <w:lang w:val="sk-SK"/>
              </w:rPr>
            </w:pPr>
            <w:r w:rsidRPr="00326E55">
              <w:rPr>
                <w:noProof/>
                <w:spacing w:val="-6"/>
                <w:lang w:val="sk-SK"/>
              </w:rPr>
              <w:t xml:space="preserve">Prechod 4.0 dobropisov na dane poskytnutých firmám na </w:t>
            </w:r>
            <w:r w:rsidRPr="00326E55">
              <w:rPr>
                <w:noProof/>
                <w:spacing w:val="-6"/>
                <w:lang w:val="sk-SK"/>
              </w:rPr>
              <w:t>základe daňových priznaní predložených</w:t>
            </w:r>
            <w:r w:rsidR="00326E55" w:rsidRPr="00326E55">
              <w:rPr>
                <w:noProof/>
                <w:spacing w:val="-6"/>
                <w:lang w:val="sk-SK"/>
              </w:rPr>
              <w:t xml:space="preserve"> v </w:t>
            </w:r>
            <w:r w:rsidRPr="00326E55">
              <w:rPr>
                <w:noProof/>
                <w:spacing w:val="-6"/>
                <w:lang w:val="sk-SK"/>
              </w:rPr>
              <w:t>rokoch 2021 – 2022</w:t>
            </w:r>
          </w:p>
        </w:tc>
      </w:tr>
      <w:tr w:rsidR="00BF03AA" w:rsidRPr="00326E55" w14:paraId="5164E07D" w14:textId="77777777">
        <w:trPr>
          <w:trHeight w:val="300"/>
        </w:trPr>
        <w:tc>
          <w:tcPr>
            <w:tcW w:w="1435" w:type="dxa"/>
            <w:shd w:val="clear" w:color="auto" w:fill="C6EFCE"/>
            <w:tcMar>
              <w:left w:w="108" w:type="dxa"/>
              <w:right w:w="108" w:type="dxa"/>
            </w:tcMar>
            <w:vAlign w:val="center"/>
          </w:tcPr>
          <w:p w14:paraId="24B30FD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9</w:t>
            </w:r>
          </w:p>
        </w:tc>
        <w:tc>
          <w:tcPr>
            <w:tcW w:w="3538" w:type="dxa"/>
            <w:shd w:val="clear" w:color="auto" w:fill="C6EFCE"/>
            <w:tcMar>
              <w:left w:w="108" w:type="dxa"/>
              <w:right w:w="108" w:type="dxa"/>
            </w:tcMar>
            <w:vAlign w:val="center"/>
          </w:tcPr>
          <w:p w14:paraId="0472C655"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4.1 Centrum digitálneho cestovného ruchu</w:t>
            </w:r>
          </w:p>
        </w:tc>
        <w:tc>
          <w:tcPr>
            <w:tcW w:w="1185" w:type="dxa"/>
            <w:shd w:val="clear" w:color="auto" w:fill="C6EFCE"/>
            <w:tcMar>
              <w:left w:w="108" w:type="dxa"/>
              <w:right w:w="108" w:type="dxa"/>
            </w:tcMar>
            <w:vAlign w:val="center"/>
          </w:tcPr>
          <w:p w14:paraId="422F529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2C804F09" w14:textId="77777777" w:rsidR="00BF03AA" w:rsidRPr="00326E55" w:rsidRDefault="00FB452D">
            <w:pPr>
              <w:pStyle w:val="P68B1DB1-Normal121"/>
              <w:spacing w:after="0" w:line="240" w:lineRule="auto"/>
              <w:rPr>
                <w:noProof/>
                <w:spacing w:val="-6"/>
                <w:lang w:val="sk-SK"/>
              </w:rPr>
            </w:pPr>
            <w:r w:rsidRPr="00326E55">
              <w:rPr>
                <w:noProof/>
                <w:spacing w:val="-6"/>
                <w:lang w:val="sk-SK"/>
              </w:rPr>
              <w:t>Zapojenie prevádzkovateľov cestovného ruchu do centra digitálneho cestovného ruchu</w:t>
            </w:r>
          </w:p>
        </w:tc>
      </w:tr>
      <w:tr w:rsidR="00BF03AA" w:rsidRPr="00326E55" w14:paraId="1DD3F2F2" w14:textId="77777777">
        <w:trPr>
          <w:trHeight w:val="300"/>
        </w:trPr>
        <w:tc>
          <w:tcPr>
            <w:tcW w:w="1435" w:type="dxa"/>
            <w:shd w:val="clear" w:color="auto" w:fill="C6EFCE"/>
            <w:tcMar>
              <w:left w:w="108" w:type="dxa"/>
              <w:right w:w="108" w:type="dxa"/>
            </w:tcMar>
            <w:vAlign w:val="center"/>
          </w:tcPr>
          <w:p w14:paraId="2604FB8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10</w:t>
            </w:r>
          </w:p>
        </w:tc>
        <w:tc>
          <w:tcPr>
            <w:tcW w:w="3538" w:type="dxa"/>
            <w:shd w:val="clear" w:color="auto" w:fill="C6EFCE"/>
            <w:tcMar>
              <w:left w:w="108" w:type="dxa"/>
              <w:right w:w="108" w:type="dxa"/>
            </w:tcMar>
            <w:vAlign w:val="center"/>
          </w:tcPr>
          <w:p w14:paraId="2832DF0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4.1 Nariadenie, ktorým sa nariaďujú povolania sprievodcov cestovného ruchu. </w:t>
            </w:r>
          </w:p>
        </w:tc>
        <w:tc>
          <w:tcPr>
            <w:tcW w:w="1185" w:type="dxa"/>
            <w:shd w:val="clear" w:color="auto" w:fill="C6EFCE"/>
            <w:tcMar>
              <w:left w:w="108" w:type="dxa"/>
              <w:right w:w="108" w:type="dxa"/>
            </w:tcMar>
            <w:vAlign w:val="center"/>
          </w:tcPr>
          <w:p w14:paraId="42A41AF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2CAA56E2" w14:textId="77777777" w:rsidR="00BF03AA" w:rsidRPr="00326E55" w:rsidRDefault="00FB452D">
            <w:pPr>
              <w:pStyle w:val="P68B1DB1-Normal121"/>
              <w:spacing w:after="0" w:line="240" w:lineRule="auto"/>
              <w:rPr>
                <w:noProof/>
                <w:spacing w:val="-6"/>
                <w:lang w:val="sk-SK"/>
              </w:rPr>
            </w:pPr>
            <w:r w:rsidRPr="00326E55">
              <w:rPr>
                <w:noProof/>
                <w:spacing w:val="-6"/>
                <w:lang w:val="sk-SK"/>
              </w:rPr>
              <w:t>Vymedzenie vnútroštátnej normy pre turistických sprievodcov</w:t>
            </w:r>
          </w:p>
        </w:tc>
      </w:tr>
      <w:tr w:rsidR="00BF03AA" w:rsidRPr="00326E55" w14:paraId="2E072CDD" w14:textId="77777777">
        <w:trPr>
          <w:trHeight w:val="300"/>
        </w:trPr>
        <w:tc>
          <w:tcPr>
            <w:tcW w:w="1435" w:type="dxa"/>
            <w:shd w:val="clear" w:color="auto" w:fill="C6EFCE"/>
            <w:tcMar>
              <w:left w:w="108" w:type="dxa"/>
              <w:right w:w="108" w:type="dxa"/>
            </w:tcMar>
            <w:vAlign w:val="center"/>
          </w:tcPr>
          <w:p w14:paraId="671BF56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6</w:t>
            </w:r>
          </w:p>
        </w:tc>
        <w:tc>
          <w:tcPr>
            <w:tcW w:w="3538" w:type="dxa"/>
            <w:shd w:val="clear" w:color="auto" w:fill="C6EFCE"/>
            <w:tcMar>
              <w:left w:w="108" w:type="dxa"/>
              <w:right w:w="108" w:type="dxa"/>
            </w:tcMar>
            <w:vAlign w:val="center"/>
          </w:tcPr>
          <w:p w14:paraId="36A2087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2.2: Poľnohospodársko-solárny park</w:t>
            </w:r>
          </w:p>
        </w:tc>
        <w:tc>
          <w:tcPr>
            <w:tcW w:w="1185" w:type="dxa"/>
            <w:shd w:val="clear" w:color="auto" w:fill="C6EFCE"/>
            <w:tcMar>
              <w:left w:w="108" w:type="dxa"/>
              <w:right w:w="108" w:type="dxa"/>
            </w:tcMar>
            <w:vAlign w:val="center"/>
          </w:tcPr>
          <w:p w14:paraId="012BC9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07D268B2" w14:textId="0331EF37" w:rsidR="00BF03AA" w:rsidRPr="00326E55" w:rsidRDefault="00FB452D">
            <w:pPr>
              <w:pStyle w:val="P68B1DB1-Normal121"/>
              <w:spacing w:after="0" w:line="240" w:lineRule="auto"/>
              <w:rPr>
                <w:noProof/>
                <w:spacing w:val="-6"/>
                <w:lang w:val="sk-SK"/>
              </w:rPr>
            </w:pPr>
            <w:r w:rsidRPr="00326E55">
              <w:rPr>
                <w:noProof/>
                <w:spacing w:val="-6"/>
                <w:lang w:val="sk-SK"/>
              </w:rPr>
              <w:t>Pridelenie zdrojov príjemcom ako</w:t>
            </w:r>
            <w:r w:rsidR="00326E55" w:rsidRPr="00326E55">
              <w:rPr>
                <w:noProof/>
                <w:spacing w:val="-6"/>
                <w:lang w:val="sk-SK"/>
              </w:rPr>
              <w:t> %</w:t>
            </w:r>
            <w:r w:rsidRPr="00326E55">
              <w:rPr>
                <w:noProof/>
                <w:spacing w:val="-6"/>
                <w:lang w:val="sk-SK"/>
              </w:rPr>
              <w:t xml:space="preserve"> celkovýc</w:t>
            </w:r>
            <w:r w:rsidRPr="00326E55">
              <w:rPr>
                <w:noProof/>
                <w:spacing w:val="-6"/>
                <w:lang w:val="sk-SK"/>
              </w:rPr>
              <w:t>h finančných zdrojov pridelených na investíciu</w:t>
            </w:r>
          </w:p>
        </w:tc>
      </w:tr>
      <w:tr w:rsidR="00BF03AA" w:rsidRPr="00326E55" w14:paraId="3B66F3A2" w14:textId="77777777">
        <w:trPr>
          <w:trHeight w:val="300"/>
        </w:trPr>
        <w:tc>
          <w:tcPr>
            <w:tcW w:w="1435" w:type="dxa"/>
            <w:shd w:val="clear" w:color="auto" w:fill="C6EFCE"/>
            <w:tcMar>
              <w:left w:w="108" w:type="dxa"/>
              <w:right w:w="108" w:type="dxa"/>
            </w:tcMar>
            <w:vAlign w:val="center"/>
          </w:tcPr>
          <w:p w14:paraId="6450E21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5</w:t>
            </w:r>
          </w:p>
        </w:tc>
        <w:tc>
          <w:tcPr>
            <w:tcW w:w="3538" w:type="dxa"/>
            <w:shd w:val="clear" w:color="auto" w:fill="C6EFCE"/>
            <w:tcMar>
              <w:left w:w="108" w:type="dxa"/>
              <w:right w:w="108" w:type="dxa"/>
            </w:tcMar>
            <w:vAlign w:val="center"/>
          </w:tcPr>
          <w:p w14:paraId="0DFEF06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2.1 – Digitalizácia logistického reťazca</w:t>
            </w:r>
          </w:p>
        </w:tc>
        <w:tc>
          <w:tcPr>
            <w:tcW w:w="1185" w:type="dxa"/>
            <w:shd w:val="clear" w:color="auto" w:fill="C6EFCE"/>
            <w:tcMar>
              <w:left w:w="108" w:type="dxa"/>
              <w:right w:w="108" w:type="dxa"/>
            </w:tcMar>
            <w:vAlign w:val="center"/>
          </w:tcPr>
          <w:p w14:paraId="08595F4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00" w:type="dxa"/>
            <w:shd w:val="clear" w:color="auto" w:fill="C6EFCE"/>
            <w:tcMar>
              <w:left w:w="108" w:type="dxa"/>
              <w:right w:w="108" w:type="dxa"/>
            </w:tcMar>
            <w:vAlign w:val="center"/>
          </w:tcPr>
          <w:p w14:paraId="67A83786" w14:textId="77777777" w:rsidR="00BF03AA" w:rsidRPr="00326E55" w:rsidRDefault="00FB452D">
            <w:pPr>
              <w:pStyle w:val="P68B1DB1-Normal121"/>
              <w:spacing w:after="0" w:line="240" w:lineRule="auto"/>
              <w:rPr>
                <w:noProof/>
                <w:spacing w:val="-6"/>
                <w:lang w:val="sk-SK"/>
              </w:rPr>
            </w:pPr>
            <w:r w:rsidRPr="00326E55">
              <w:rPr>
                <w:noProof/>
                <w:spacing w:val="-6"/>
                <w:lang w:val="sk-SK"/>
              </w:rPr>
              <w:t>Digitalizácia logistického reťazca</w:t>
            </w:r>
          </w:p>
        </w:tc>
      </w:tr>
      <w:tr w:rsidR="00BF03AA" w:rsidRPr="00326E55" w14:paraId="1A75F960" w14:textId="77777777">
        <w:trPr>
          <w:trHeight w:val="300"/>
        </w:trPr>
        <w:tc>
          <w:tcPr>
            <w:tcW w:w="1435" w:type="dxa"/>
            <w:shd w:val="clear" w:color="auto" w:fill="C6EFCE"/>
            <w:tcMar>
              <w:left w:w="108" w:type="dxa"/>
              <w:right w:w="108" w:type="dxa"/>
            </w:tcMar>
            <w:vAlign w:val="center"/>
          </w:tcPr>
          <w:p w14:paraId="779D738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2</w:t>
            </w:r>
          </w:p>
        </w:tc>
        <w:tc>
          <w:tcPr>
            <w:tcW w:w="3538" w:type="dxa"/>
            <w:shd w:val="clear" w:color="auto" w:fill="C6EFCE"/>
            <w:tcMar>
              <w:left w:w="108" w:type="dxa"/>
              <w:right w:w="108" w:type="dxa"/>
            </w:tcMar>
            <w:vAlign w:val="center"/>
          </w:tcPr>
          <w:p w14:paraId="6E65EE89"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 – Rámcový zákon pre osoby so zdravotným postihnutím</w:t>
            </w:r>
          </w:p>
        </w:tc>
        <w:tc>
          <w:tcPr>
            <w:tcW w:w="1185" w:type="dxa"/>
            <w:shd w:val="clear" w:color="auto" w:fill="C6EFCE"/>
            <w:tcMar>
              <w:left w:w="108" w:type="dxa"/>
              <w:right w:w="108" w:type="dxa"/>
            </w:tcMar>
            <w:vAlign w:val="center"/>
          </w:tcPr>
          <w:p w14:paraId="577CFE9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00" w:type="dxa"/>
            <w:shd w:val="clear" w:color="auto" w:fill="C6EFCE"/>
            <w:tcMar>
              <w:left w:w="108" w:type="dxa"/>
              <w:right w:w="108" w:type="dxa"/>
            </w:tcMar>
            <w:vAlign w:val="center"/>
          </w:tcPr>
          <w:p w14:paraId="713F0A2B"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w:t>
            </w:r>
            <w:r w:rsidRPr="00326E55">
              <w:rPr>
                <w:noProof/>
                <w:spacing w:val="-6"/>
                <w:lang w:val="sk-SK"/>
              </w:rPr>
              <w:t>legislatívnych dekrétov, ktorými sa rozvíjajú ustanovenia rámcového zákona na posilnenie autonómie osôb so zdravotným postihnutím</w:t>
            </w:r>
          </w:p>
        </w:tc>
      </w:tr>
      <w:tr w:rsidR="00BF03AA" w:rsidRPr="00326E55" w14:paraId="57E4B01C" w14:textId="77777777">
        <w:trPr>
          <w:trHeight w:val="300"/>
        </w:trPr>
        <w:tc>
          <w:tcPr>
            <w:tcW w:w="1435" w:type="dxa"/>
            <w:shd w:val="clear" w:color="auto" w:fill="C6EFCE"/>
            <w:tcMar>
              <w:left w:w="108" w:type="dxa"/>
              <w:right w:w="108" w:type="dxa"/>
            </w:tcMar>
            <w:vAlign w:val="center"/>
          </w:tcPr>
          <w:p w14:paraId="3AECA520"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38" w:type="dxa"/>
            <w:shd w:val="clear" w:color="auto" w:fill="C6EFCE"/>
            <w:tcMar>
              <w:left w:w="108" w:type="dxa"/>
              <w:right w:w="108" w:type="dxa"/>
            </w:tcMar>
            <w:vAlign w:val="center"/>
          </w:tcPr>
          <w:p w14:paraId="2387A0E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185" w:type="dxa"/>
            <w:shd w:val="clear" w:color="auto" w:fill="C6EFCE"/>
            <w:tcMar>
              <w:left w:w="108" w:type="dxa"/>
              <w:right w:w="108" w:type="dxa"/>
            </w:tcMar>
            <w:vAlign w:val="center"/>
          </w:tcPr>
          <w:p w14:paraId="2533B2E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200" w:type="dxa"/>
            <w:shd w:val="clear" w:color="auto" w:fill="C6EFCE"/>
            <w:tcMar>
              <w:left w:w="108" w:type="dxa"/>
              <w:right w:w="108" w:type="dxa"/>
            </w:tcMar>
            <w:vAlign w:val="center"/>
          </w:tcPr>
          <w:p w14:paraId="4B640A1C"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2053579667 EUR</w:t>
            </w:r>
            <w:r w:rsidRPr="00326E55">
              <w:rPr>
                <w:noProof/>
                <w:spacing w:val="-6"/>
                <w:sz w:val="23"/>
                <w:szCs w:val="23"/>
                <w:lang w:val="sk-SK"/>
              </w:rPr>
              <w:t xml:space="preserve">  </w:t>
            </w:r>
          </w:p>
        </w:tc>
      </w:tr>
    </w:tbl>
    <w:p w14:paraId="7B44F723"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1FC9F92C"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Siedme zriadenie (nenávratná podpora):</w:t>
      </w:r>
    </w:p>
    <w:tbl>
      <w:tblPr>
        <w:tblW w:w="9357" w:type="dxa"/>
        <w:tblInd w:w="120" w:type="dxa"/>
        <w:tblLayout w:type="fixed"/>
        <w:tblLook w:val="04A0" w:firstRow="1" w:lastRow="0" w:firstColumn="1" w:lastColumn="0" w:noHBand="0" w:noVBand="1"/>
      </w:tblPr>
      <w:tblGrid>
        <w:gridCol w:w="1435"/>
        <w:gridCol w:w="3543"/>
        <w:gridCol w:w="1276"/>
        <w:gridCol w:w="3103"/>
      </w:tblGrid>
      <w:tr w:rsidR="00BF03AA" w:rsidRPr="00326E55" w14:paraId="5A3D21DE" w14:textId="77777777">
        <w:trPr>
          <w:trHeight w:val="900"/>
          <w:tblHeader/>
        </w:trPr>
        <w:tc>
          <w:tcPr>
            <w:tcW w:w="143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268BF6A"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784025A"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 xml:space="preserve">Súvisiace opatrenie (reforma alebo </w:t>
            </w:r>
            <w:r w:rsidRPr="00326E55">
              <w:rPr>
                <w:noProof/>
                <w:spacing w:val="-6"/>
                <w:lang w:val="sk-SK"/>
              </w:rPr>
              <w:t>investícia)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E5AFD0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103"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53AACB11"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09607967" w14:textId="77777777">
        <w:trPr>
          <w:trHeight w:val="510"/>
        </w:trPr>
        <w:tc>
          <w:tcPr>
            <w:tcW w:w="1435" w:type="dxa"/>
            <w:vMerge/>
            <w:tcBorders>
              <w:top w:val="single" w:sz="4" w:space="0" w:color="auto"/>
              <w:left w:val="single" w:sz="4" w:space="0" w:color="auto"/>
              <w:bottom w:val="single" w:sz="4" w:space="0" w:color="auto"/>
              <w:right w:val="single" w:sz="4" w:space="0" w:color="auto"/>
            </w:tcBorders>
            <w:vAlign w:val="center"/>
          </w:tcPr>
          <w:p w14:paraId="7649218E"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6E99319B"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610EC3E"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103" w:type="dxa"/>
            <w:vMerge/>
            <w:tcBorders>
              <w:top w:val="single" w:sz="4" w:space="0" w:color="auto"/>
              <w:left w:val="single" w:sz="4" w:space="0" w:color="auto"/>
              <w:bottom w:val="single" w:sz="4" w:space="0" w:color="auto"/>
              <w:right w:val="single" w:sz="4" w:space="0" w:color="auto"/>
            </w:tcBorders>
            <w:vAlign w:val="center"/>
          </w:tcPr>
          <w:p w14:paraId="5243AD69"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7F4F83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1E193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BB3B88"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1.1: Digitálna infraštruktúra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E7D2B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8B3ECD" w14:textId="77777777" w:rsidR="00BF03AA" w:rsidRPr="00326E55" w:rsidRDefault="00FB452D">
            <w:pPr>
              <w:pStyle w:val="P68B1DB1-Normal121"/>
              <w:spacing w:after="0" w:line="240" w:lineRule="auto"/>
              <w:rPr>
                <w:noProof/>
                <w:spacing w:val="-6"/>
                <w:lang w:val="sk-SK"/>
              </w:rPr>
            </w:pPr>
            <w:r w:rsidRPr="00326E55">
              <w:rPr>
                <w:noProof/>
                <w:spacing w:val="-6"/>
                <w:lang w:val="sk-SK"/>
              </w:rPr>
              <w:t>Migrácia na Polo Strategico Nazionale T1</w:t>
            </w:r>
          </w:p>
        </w:tc>
      </w:tr>
      <w:tr w:rsidR="00BF03AA" w:rsidRPr="00326E55" w14:paraId="54865B1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E43E1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2EAA7B" w14:textId="7E317753" w:rsidR="00BF03AA" w:rsidRPr="00326E55" w:rsidRDefault="00FB452D">
            <w:pPr>
              <w:pStyle w:val="P68B1DB1-Normal121"/>
              <w:spacing w:after="0" w:line="240" w:lineRule="auto"/>
              <w:rPr>
                <w:noProof/>
                <w:spacing w:val="-6"/>
                <w:lang w:val="sk-SK"/>
              </w:rPr>
            </w:pPr>
            <w:r w:rsidRPr="00326E55">
              <w:rPr>
                <w:noProof/>
                <w:spacing w:val="-6"/>
                <w:lang w:val="sk-SK"/>
              </w:rPr>
              <w:t>Reforma 4: Zmiernenie finančného rizika spojeného</w:t>
            </w:r>
            <w:r w:rsidR="00326E55" w:rsidRPr="00326E55">
              <w:rPr>
                <w:noProof/>
                <w:spacing w:val="-6"/>
                <w:lang w:val="sk-SK"/>
              </w:rPr>
              <w:t xml:space="preserve"> s </w:t>
            </w:r>
            <w:r w:rsidRPr="00326E55">
              <w:rPr>
                <w:noProof/>
                <w:spacing w:val="-6"/>
                <w:lang w:val="sk-SK"/>
              </w:rPr>
              <w:t>obnoviteľnými zmluvami</w:t>
            </w:r>
            <w:r w:rsidR="00326E55" w:rsidRPr="00326E55">
              <w:rPr>
                <w:noProof/>
                <w:spacing w:val="-6"/>
                <w:lang w:val="sk-SK"/>
              </w:rPr>
              <w:t xml:space="preserve"> o </w:t>
            </w:r>
            <w:r w:rsidRPr="00326E55">
              <w:rPr>
                <w:noProof/>
                <w:spacing w:val="-6"/>
                <w:lang w:val="sk-SK"/>
              </w:rPr>
              <w:t>nákupe elektriny (zmluvy</w:t>
            </w:r>
            <w:r w:rsidR="00326E55" w:rsidRPr="00326E55">
              <w:rPr>
                <w:noProof/>
                <w:spacing w:val="-6"/>
                <w:lang w:val="sk-SK"/>
              </w:rPr>
              <w:t xml:space="preserve"> o </w:t>
            </w:r>
            <w:r w:rsidRPr="00326E55">
              <w:rPr>
                <w:noProof/>
                <w:spacing w:val="-6"/>
                <w:lang w:val="sk-SK"/>
              </w:rPr>
              <w:t xml:space="preserve">nákupe </w:t>
            </w:r>
            <w:r w:rsidRPr="00326E55">
              <w:rPr>
                <w:noProof/>
                <w:spacing w:val="-6"/>
                <w:lang w:val="sk-SK"/>
              </w:rPr>
              <w:t>elektrickej energie)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4F1E6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4D4614" w14:textId="501EEE79"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primárnych</w:t>
            </w:r>
            <w:r w:rsidR="00326E55" w:rsidRPr="00326E55">
              <w:rPr>
                <w:noProof/>
                <w:spacing w:val="-6"/>
                <w:lang w:val="sk-SK"/>
              </w:rPr>
              <w:t xml:space="preserve"> a </w:t>
            </w:r>
            <w:r w:rsidRPr="00326E55">
              <w:rPr>
                <w:noProof/>
                <w:spacing w:val="-6"/>
                <w:lang w:val="sk-SK"/>
              </w:rPr>
              <w:t>sekundárnych právnych predpisov</w:t>
            </w:r>
          </w:p>
        </w:tc>
      </w:tr>
      <w:tr w:rsidR="00BF03AA" w:rsidRPr="00326E55" w14:paraId="6BE844E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6225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56C0E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 Tyrrhenský odkaz</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325D4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30D857" w14:textId="77777777" w:rsidR="00BF03AA" w:rsidRPr="00326E55" w:rsidRDefault="00FB452D">
            <w:pPr>
              <w:pStyle w:val="P68B1DB1-Normal121"/>
              <w:spacing w:after="0" w:line="240" w:lineRule="auto"/>
              <w:rPr>
                <w:noProof/>
                <w:spacing w:val="-6"/>
                <w:lang w:val="sk-SK"/>
              </w:rPr>
            </w:pPr>
            <w:r w:rsidRPr="00326E55">
              <w:rPr>
                <w:noProof/>
                <w:spacing w:val="-6"/>
                <w:lang w:val="sk-SK"/>
              </w:rPr>
              <w:t>Zadávanie zákaziek</w:t>
            </w:r>
          </w:p>
        </w:tc>
      </w:tr>
      <w:tr w:rsidR="00BF03AA" w:rsidRPr="00326E55" w14:paraId="632BFAE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A7BD0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0B025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2.3: Žehlenie za studena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66A7A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3B049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Zadávanie všetkých verejných zákaziek </w:t>
            </w:r>
          </w:p>
        </w:tc>
      </w:tr>
      <w:tr w:rsidR="00BF03AA" w:rsidRPr="00326E55" w14:paraId="786B418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457F4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2FCCC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1.3.1: Vnútroštátna platforma digitálnych údajov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D1062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BE4ED2A" w14:textId="77777777" w:rsidR="00BF03AA" w:rsidRPr="00326E55" w:rsidRDefault="00FB452D">
            <w:pPr>
              <w:pStyle w:val="P68B1DB1-Normal121"/>
              <w:spacing w:after="0" w:line="240" w:lineRule="auto"/>
              <w:rPr>
                <w:noProof/>
                <w:spacing w:val="-6"/>
                <w:lang w:val="sk-SK"/>
              </w:rPr>
            </w:pPr>
            <w:r w:rsidRPr="00326E55">
              <w:rPr>
                <w:noProof/>
                <w:spacing w:val="-6"/>
                <w:lang w:val="sk-SK"/>
              </w:rPr>
              <w:t>API na národnej platforme digitálnych údajov T1</w:t>
            </w:r>
          </w:p>
        </w:tc>
      </w:tr>
      <w:tr w:rsidR="00BF03AA" w:rsidRPr="00326E55" w14:paraId="2A9CD3E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BE50C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2ECA7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Kybernetická bezpečnosť</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1A636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64C314" w14:textId="77777777" w:rsidR="00BF03AA" w:rsidRPr="00326E55" w:rsidRDefault="00FB452D">
            <w:pPr>
              <w:pStyle w:val="P68B1DB1-Normal121"/>
              <w:spacing w:after="0" w:line="240" w:lineRule="auto"/>
              <w:rPr>
                <w:noProof/>
                <w:spacing w:val="-6"/>
                <w:lang w:val="sk-SK"/>
              </w:rPr>
            </w:pPr>
            <w:r w:rsidRPr="00326E55">
              <w:rPr>
                <w:noProof/>
                <w:spacing w:val="-6"/>
                <w:lang w:val="sk-SK"/>
              </w:rPr>
              <w:t>Podpora modernizácie bezpečnostných štruktúr T2</w:t>
            </w:r>
          </w:p>
        </w:tc>
      </w:tr>
      <w:tr w:rsidR="00BF03AA" w:rsidRPr="00326E55" w14:paraId="24AA96A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7ACFB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8058A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w:t>
            </w:r>
            <w:r w:rsidRPr="00326E55">
              <w:rPr>
                <w:noProof/>
                <w:spacing w:val="-6"/>
                <w:lang w:val="sk-SK"/>
              </w:rPr>
              <w:t>bernetická bezpečnosť</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D6EEF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996452" w14:textId="77777777" w:rsidR="00BF03AA" w:rsidRPr="00326E55" w:rsidRDefault="00FB452D">
            <w:pPr>
              <w:pStyle w:val="P68B1DB1-Normal121"/>
              <w:spacing w:after="0" w:line="240" w:lineRule="auto"/>
              <w:rPr>
                <w:noProof/>
                <w:spacing w:val="-6"/>
                <w:lang w:val="sk-SK"/>
              </w:rPr>
            </w:pPr>
            <w:r w:rsidRPr="00326E55">
              <w:rPr>
                <w:noProof/>
                <w:spacing w:val="-6"/>
                <w:lang w:val="sk-SK"/>
              </w:rPr>
              <w:t>Úplné zavedenie vnútroštátnych služieb kybernetickej bezpečnosti</w:t>
            </w:r>
          </w:p>
        </w:tc>
      </w:tr>
      <w:tr w:rsidR="00BF03AA" w:rsidRPr="00326E55" w14:paraId="4B75FBB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6237B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FF75E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Kybernetická bezpečnosť</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5A779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AA5B1B" w14:textId="62032A5F" w:rsidR="00BF03AA" w:rsidRPr="00326E55" w:rsidRDefault="00FB452D">
            <w:pPr>
              <w:pStyle w:val="P68B1DB1-Normal121"/>
              <w:spacing w:after="0" w:line="240" w:lineRule="auto"/>
              <w:rPr>
                <w:noProof/>
                <w:spacing w:val="-6"/>
                <w:lang w:val="sk-SK"/>
              </w:rPr>
            </w:pPr>
            <w:r w:rsidRPr="00326E55">
              <w:rPr>
                <w:noProof/>
                <w:spacing w:val="-6"/>
                <w:lang w:val="sk-SK"/>
              </w:rPr>
              <w:t>Dokončenie siete laboratórií na preverovanie</w:t>
            </w:r>
            <w:r w:rsidR="00326E55" w:rsidRPr="00326E55">
              <w:rPr>
                <w:noProof/>
                <w:spacing w:val="-6"/>
                <w:lang w:val="sk-SK"/>
              </w:rPr>
              <w:t xml:space="preserve"> a </w:t>
            </w:r>
            <w:r w:rsidRPr="00326E55">
              <w:rPr>
                <w:noProof/>
                <w:spacing w:val="-6"/>
                <w:lang w:val="sk-SK"/>
              </w:rPr>
              <w:t>certifikáciu kybernetickej bezpečnosti, hodnotiace centrá</w:t>
            </w:r>
          </w:p>
        </w:tc>
      </w:tr>
      <w:tr w:rsidR="00BF03AA" w:rsidRPr="00326E55" w14:paraId="5D9FABA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4589D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C512E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Kybernetická bezpečnosť</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7425E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DEE90F" w14:textId="1A2EE0CF" w:rsidR="00BF03AA" w:rsidRPr="00326E55" w:rsidRDefault="00FB452D">
            <w:pPr>
              <w:pStyle w:val="P68B1DB1-Normal121"/>
              <w:spacing w:after="0" w:line="240" w:lineRule="auto"/>
              <w:rPr>
                <w:noProof/>
                <w:spacing w:val="-6"/>
                <w:lang w:val="sk-SK"/>
              </w:rPr>
            </w:pPr>
            <w:r w:rsidRPr="00326E55">
              <w:rPr>
                <w:noProof/>
                <w:spacing w:val="-6"/>
                <w:lang w:val="sk-SK"/>
              </w:rPr>
              <w:t>Úplná prevádzka Centrálnej audítorskej jednotky pre bezpečnostné opatrenia PSNC</w:t>
            </w:r>
            <w:r w:rsidR="00326E55" w:rsidRPr="00326E55">
              <w:rPr>
                <w:noProof/>
                <w:spacing w:val="-6"/>
                <w:lang w:val="sk-SK"/>
              </w:rPr>
              <w:t xml:space="preserve"> a </w:t>
            </w:r>
            <w:r w:rsidRPr="00326E55">
              <w:rPr>
                <w:noProof/>
                <w:spacing w:val="-6"/>
                <w:lang w:val="sk-SK"/>
              </w:rPr>
              <w:t>NIS</w:t>
            </w:r>
            <w:r w:rsidR="00326E55" w:rsidRPr="00326E55">
              <w:rPr>
                <w:noProof/>
                <w:spacing w:val="-6"/>
                <w:lang w:val="sk-SK"/>
              </w:rPr>
              <w:t xml:space="preserve"> s </w:t>
            </w:r>
            <w:r w:rsidRPr="00326E55">
              <w:rPr>
                <w:noProof/>
                <w:spacing w:val="-6"/>
                <w:lang w:val="sk-SK"/>
              </w:rPr>
              <w:t>ukončením najmenej 30 inšpekcií</w:t>
            </w:r>
          </w:p>
        </w:tc>
      </w:tr>
      <w:tr w:rsidR="00BF03AA" w:rsidRPr="00326E55" w14:paraId="0ED543A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882EC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769833"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1.4: Reforma občianskeho súdnictva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B9C08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1CF44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Zníženie počtu </w:t>
            </w:r>
            <w:r w:rsidRPr="00326E55">
              <w:rPr>
                <w:noProof/>
                <w:spacing w:val="-6"/>
                <w:lang w:val="sk-SK"/>
              </w:rPr>
              <w:t>nevyriešených prípadov na občianskoprávnych všeobecných súdoch (prvý stupeň)</w:t>
            </w:r>
          </w:p>
        </w:tc>
      </w:tr>
      <w:tr w:rsidR="00BF03AA" w:rsidRPr="00326E55" w14:paraId="20DBC2D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9240E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D0BDD3"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1.4: Reforma občianskeho súdnictva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0F34A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648F58" w14:textId="77777777" w:rsidR="00BF03AA" w:rsidRPr="00326E55" w:rsidRDefault="00FB452D">
            <w:pPr>
              <w:pStyle w:val="P68B1DB1-Normal121"/>
              <w:spacing w:after="0" w:line="240" w:lineRule="auto"/>
              <w:rPr>
                <w:noProof/>
                <w:spacing w:val="-6"/>
                <w:lang w:val="sk-SK"/>
              </w:rPr>
            </w:pPr>
            <w:r w:rsidRPr="00326E55">
              <w:rPr>
                <w:noProof/>
                <w:spacing w:val="-6"/>
                <w:lang w:val="sk-SK"/>
              </w:rPr>
              <w:t>Zníženie počtu nevyriešených prípadov na občianskom odvolacom súde (druhá inštancia)</w:t>
            </w:r>
          </w:p>
        </w:tc>
      </w:tr>
      <w:tr w:rsidR="00BF03AA" w:rsidRPr="00326E55" w14:paraId="5530BB2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CD86F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60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FB707"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w:t>
            </w:r>
            <w:r w:rsidRPr="00326E55">
              <w:rPr>
                <w:noProof/>
                <w:spacing w:val="-6"/>
                <w:lang w:val="sk-SK"/>
              </w:rPr>
              <w:t>ejnej správy</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DD66B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B9D517" w14:textId="43A5BE14" w:rsidR="00BF03AA" w:rsidRPr="00326E55" w:rsidRDefault="00FB452D">
            <w:pPr>
              <w:pStyle w:val="P68B1DB1-Normal121"/>
              <w:spacing w:after="0" w:line="240" w:lineRule="auto"/>
              <w:rPr>
                <w:noProof/>
                <w:spacing w:val="-6"/>
                <w:lang w:val="sk-SK"/>
              </w:rPr>
            </w:pPr>
            <w:r w:rsidRPr="00326E55">
              <w:rPr>
                <w:noProof/>
                <w:spacing w:val="-6"/>
                <w:lang w:val="sk-SK"/>
              </w:rPr>
              <w:t>Zjednodušenie a/alebo digitalizácia 200 kritických postupov, ktoré majú vplyv na občanov</w:t>
            </w:r>
            <w:r w:rsidR="00326E55" w:rsidRPr="00326E55">
              <w:rPr>
                <w:noProof/>
                <w:spacing w:val="-6"/>
                <w:lang w:val="sk-SK"/>
              </w:rPr>
              <w:t xml:space="preserve"> a </w:t>
            </w:r>
            <w:r w:rsidRPr="00326E55">
              <w:rPr>
                <w:noProof/>
                <w:spacing w:val="-6"/>
                <w:lang w:val="sk-SK"/>
              </w:rPr>
              <w:t>podniky</w:t>
            </w:r>
          </w:p>
        </w:tc>
      </w:tr>
      <w:tr w:rsidR="00BF03AA" w:rsidRPr="00326E55" w14:paraId="7EEB60A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87D0C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72b</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A6162CB" w14:textId="04A2154E"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17F34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DD4D4E" w14:textId="77777777" w:rsidR="00BF03AA" w:rsidRPr="00326E55" w:rsidRDefault="00FB452D">
            <w:pPr>
              <w:pStyle w:val="P68B1DB1-Normal121"/>
              <w:spacing w:after="0" w:line="240" w:lineRule="auto"/>
              <w:rPr>
                <w:noProof/>
                <w:spacing w:val="-6"/>
                <w:lang w:val="sk-SK"/>
              </w:rPr>
            </w:pPr>
            <w:r w:rsidRPr="00326E55">
              <w:rPr>
                <w:noProof/>
                <w:spacing w:val="-6"/>
                <w:lang w:val="sk-SK"/>
              </w:rPr>
              <w:t>Zvýšenie ľudských</w:t>
            </w:r>
            <w:r w:rsidRPr="00326E55">
              <w:rPr>
                <w:noProof/>
                <w:spacing w:val="-6"/>
                <w:lang w:val="sk-SK"/>
              </w:rPr>
              <w:t xml:space="preserve"> zdrojov zaoberajúcich sa platbami</w:t>
            </w:r>
          </w:p>
        </w:tc>
      </w:tr>
      <w:tr w:rsidR="00BF03AA" w:rsidRPr="00326E55" w14:paraId="7BAD240B"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E702A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72cc</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5D2B9E" w14:textId="0B1E3E7C"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5EFE4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4EA8C4" w14:textId="77777777" w:rsidR="00BF03AA" w:rsidRPr="00326E55" w:rsidRDefault="00FB452D">
            <w:pPr>
              <w:pStyle w:val="P68B1DB1-Normal121"/>
              <w:spacing w:after="0" w:line="240" w:lineRule="auto"/>
              <w:rPr>
                <w:noProof/>
                <w:spacing w:val="-6"/>
                <w:lang w:val="sk-SK"/>
              </w:rPr>
            </w:pPr>
            <w:r w:rsidRPr="00326E55">
              <w:rPr>
                <w:noProof/>
                <w:spacing w:val="-6"/>
                <w:lang w:val="sk-SK"/>
              </w:rPr>
              <w:t>Prijatie akčného plánu</w:t>
            </w:r>
          </w:p>
        </w:tc>
      </w:tr>
      <w:tr w:rsidR="00BF03AA" w:rsidRPr="00326E55" w14:paraId="1AEC49A6"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4CA6B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73b</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A4C0D3"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w:t>
            </w:r>
            <w:r w:rsidRPr="00326E55">
              <w:rPr>
                <w:noProof/>
                <w:spacing w:val="-6"/>
                <w:lang w:val="sk-SK"/>
              </w:rPr>
              <w:t>anie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8652A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61D3E50" w14:textId="6D114110" w:rsidR="00BF03AA" w:rsidRPr="00326E55" w:rsidRDefault="00FB452D">
            <w:pPr>
              <w:pStyle w:val="P68B1DB1-Normal121"/>
              <w:spacing w:after="0" w:line="240" w:lineRule="auto"/>
              <w:rPr>
                <w:noProof/>
                <w:spacing w:val="-6"/>
                <w:lang w:val="sk-SK"/>
              </w:rPr>
            </w:pPr>
            <w:r w:rsidRPr="00326E55">
              <w:rPr>
                <w:noProof/>
                <w:spacing w:val="-6"/>
                <w:lang w:val="sk-SK"/>
              </w:rPr>
              <w:t>Stimuly na kvalifikáciu</w:t>
            </w:r>
            <w:r w:rsidR="00326E55" w:rsidRPr="00326E55">
              <w:rPr>
                <w:noProof/>
                <w:spacing w:val="-6"/>
                <w:lang w:val="sk-SK"/>
              </w:rPr>
              <w:t xml:space="preserve"> a </w:t>
            </w:r>
            <w:r w:rsidRPr="00326E55">
              <w:rPr>
                <w:noProof/>
                <w:spacing w:val="-6"/>
                <w:lang w:val="sk-SK"/>
              </w:rPr>
              <w:t xml:space="preserve">profesionalizáciu verejných obstarávateľov. </w:t>
            </w:r>
          </w:p>
        </w:tc>
      </w:tr>
      <w:tr w:rsidR="00BF03AA" w:rsidRPr="00326E55" w14:paraId="7BC06FE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D21CD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73quinquies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8BB59"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28000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94E275" w14:textId="0C702756"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nových právnych ustanovení</w:t>
            </w:r>
            <w:r w:rsidR="00326E55" w:rsidRPr="00326E55">
              <w:rPr>
                <w:noProof/>
                <w:spacing w:val="-6"/>
                <w:lang w:val="sk-SK"/>
              </w:rPr>
              <w:t xml:space="preserve"> o </w:t>
            </w:r>
            <w:r w:rsidRPr="00326E55">
              <w:rPr>
                <w:noProof/>
                <w:spacing w:val="-6"/>
                <w:lang w:val="sk-SK"/>
              </w:rPr>
              <w:t>financovaní projektov</w:t>
            </w:r>
          </w:p>
        </w:tc>
      </w:tr>
      <w:tr w:rsidR="00BF03AA" w:rsidRPr="00326E55" w14:paraId="3360500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1E31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75bis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C27C1F" w14:textId="136D0F01" w:rsidR="00BF03AA" w:rsidRPr="00326E55" w:rsidRDefault="00FB452D">
            <w:pPr>
              <w:pStyle w:val="P68B1DB1-Normal121"/>
              <w:spacing w:after="0" w:line="240" w:lineRule="auto"/>
              <w:rPr>
                <w:noProof/>
                <w:spacing w:val="-6"/>
                <w:lang w:val="sk-SK"/>
              </w:rPr>
            </w:pPr>
            <w:r w:rsidRPr="00326E55">
              <w:rPr>
                <w:noProof/>
                <w:spacing w:val="-6"/>
                <w:lang w:val="sk-SK"/>
              </w:rPr>
              <w:t>Investícia 1.10: Podpora kvalifikácie</w:t>
            </w:r>
            <w:r w:rsidR="00326E55" w:rsidRPr="00326E55">
              <w:rPr>
                <w:noProof/>
                <w:spacing w:val="-6"/>
                <w:lang w:val="sk-SK"/>
              </w:rPr>
              <w:t xml:space="preserve"> a </w:t>
            </w:r>
            <w:r w:rsidRPr="00326E55">
              <w:rPr>
                <w:noProof/>
                <w:spacing w:val="-6"/>
                <w:lang w:val="sk-SK"/>
              </w:rPr>
              <w:t xml:space="preserve">elektronického obstarávania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2067A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35934A" w14:textId="4E45B451" w:rsidR="00BF03AA" w:rsidRPr="00326E55" w:rsidRDefault="00FB452D">
            <w:pPr>
              <w:pStyle w:val="P68B1DB1-Normal121"/>
              <w:spacing w:after="0" w:line="240" w:lineRule="auto"/>
              <w:rPr>
                <w:noProof/>
                <w:spacing w:val="-6"/>
                <w:lang w:val="sk-SK"/>
              </w:rPr>
            </w:pPr>
            <w:r w:rsidRPr="00326E55">
              <w:rPr>
                <w:noProof/>
                <w:spacing w:val="-6"/>
                <w:lang w:val="sk-SK"/>
              </w:rPr>
              <w:t>Podpora kvalifikácie</w:t>
            </w:r>
            <w:r w:rsidR="00326E55" w:rsidRPr="00326E55">
              <w:rPr>
                <w:noProof/>
                <w:spacing w:val="-6"/>
                <w:lang w:val="sk-SK"/>
              </w:rPr>
              <w:t xml:space="preserve"> a </w:t>
            </w:r>
            <w:r w:rsidRPr="00326E55">
              <w:rPr>
                <w:noProof/>
                <w:spacing w:val="-6"/>
                <w:lang w:val="sk-SK"/>
              </w:rPr>
              <w:t>elektronického obstarávania</w:t>
            </w:r>
          </w:p>
        </w:tc>
      </w:tr>
      <w:tr w:rsidR="00BF03AA" w:rsidRPr="00326E55" w14:paraId="2594FBC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EA133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84bis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EF6763"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5E355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30B4C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Opatrenia na zlepšenie </w:t>
            </w:r>
            <w:r w:rsidRPr="00326E55">
              <w:rPr>
                <w:noProof/>
                <w:spacing w:val="-6"/>
                <w:lang w:val="sk-SK"/>
              </w:rPr>
              <w:t>rýchlosti rozhodovania verejných obstarávateľov pri zadávaní zákaziek</w:t>
            </w:r>
          </w:p>
        </w:tc>
      </w:tr>
      <w:tr w:rsidR="00BF03AA" w:rsidRPr="00326E55" w14:paraId="6CAFD13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8C034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98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6733B5"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3769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E8FFF3" w14:textId="27BA7325" w:rsidR="00BF03AA" w:rsidRPr="00326E55" w:rsidRDefault="00FB452D">
            <w:pPr>
              <w:pStyle w:val="P68B1DB1-Normal121"/>
              <w:spacing w:after="0" w:line="240" w:lineRule="auto"/>
              <w:rPr>
                <w:noProof/>
                <w:spacing w:val="-6"/>
                <w:lang w:val="sk-SK"/>
              </w:rPr>
            </w:pPr>
            <w:r w:rsidRPr="00326E55">
              <w:rPr>
                <w:noProof/>
                <w:spacing w:val="-6"/>
                <w:lang w:val="sk-SK"/>
              </w:rPr>
              <w:t>Štátni zamestnanci vyškolení</w:t>
            </w:r>
            <w:r w:rsidR="00326E55" w:rsidRPr="00326E55">
              <w:rPr>
                <w:noProof/>
                <w:spacing w:val="-6"/>
                <w:lang w:val="sk-SK"/>
              </w:rPr>
              <w:t xml:space="preserve"> v </w:t>
            </w:r>
            <w:r w:rsidRPr="00326E55">
              <w:rPr>
                <w:noProof/>
                <w:spacing w:val="-6"/>
                <w:lang w:val="sk-SK"/>
              </w:rPr>
              <w:t>rámci stratégie profesionalizácie verejných kupujúcich</w:t>
            </w:r>
          </w:p>
        </w:tc>
      </w:tr>
      <w:tr w:rsidR="00BF03AA" w:rsidRPr="00326E55" w14:paraId="5047438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FAE15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A36181" w14:textId="4CF38729" w:rsidR="00BF03AA" w:rsidRPr="00326E55" w:rsidRDefault="00FB452D">
            <w:pPr>
              <w:pStyle w:val="P68B1DB1-Normal121"/>
              <w:spacing w:after="0" w:line="240" w:lineRule="auto"/>
              <w:rPr>
                <w:noProof/>
                <w:spacing w:val="-6"/>
                <w:lang w:val="sk-SK"/>
              </w:rPr>
            </w:pPr>
            <w:r w:rsidRPr="00326E55">
              <w:rPr>
                <w:noProof/>
                <w:spacing w:val="-6"/>
                <w:lang w:val="sk-SK"/>
              </w:rPr>
              <w:t>Refor</w:t>
            </w:r>
            <w:r w:rsidRPr="00326E55">
              <w:rPr>
                <w:noProof/>
                <w:spacing w:val="-6"/>
                <w:lang w:val="sk-SK"/>
              </w:rPr>
              <w:t>ma 2: Ročné právne predpisy</w:t>
            </w:r>
            <w:r w:rsidR="00326E55" w:rsidRPr="00326E55">
              <w:rPr>
                <w:noProof/>
                <w:spacing w:val="-6"/>
                <w:lang w:val="sk-SK"/>
              </w:rPr>
              <w:t xml:space="preserve"> v </w:t>
            </w:r>
            <w:r w:rsidRPr="00326E55">
              <w:rPr>
                <w:noProof/>
                <w:spacing w:val="-6"/>
                <w:lang w:val="sk-SK"/>
              </w:rPr>
              <w:t>oblasti hospodárskej súťaže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E073B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C43C3A" w14:textId="6A77772B"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ročného zákona</w:t>
            </w:r>
            <w:r w:rsidR="00326E55" w:rsidRPr="00326E55">
              <w:rPr>
                <w:noProof/>
                <w:spacing w:val="-6"/>
                <w:lang w:val="sk-SK"/>
              </w:rPr>
              <w:t xml:space="preserve"> o </w:t>
            </w:r>
            <w:r w:rsidRPr="00326E55">
              <w:rPr>
                <w:noProof/>
                <w:spacing w:val="-6"/>
                <w:lang w:val="sk-SK"/>
              </w:rPr>
              <w:t>hospodárskej súťaži na rok 2023</w:t>
            </w:r>
          </w:p>
        </w:tc>
      </w:tr>
      <w:tr w:rsidR="00BF03AA" w:rsidRPr="00326E55" w14:paraId="0F22D5F2"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57BD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9BAD22" w14:textId="3363AECC" w:rsidR="00BF03AA" w:rsidRPr="00326E55" w:rsidRDefault="00FB452D">
            <w:pPr>
              <w:pStyle w:val="P68B1DB1-Normal121"/>
              <w:spacing w:after="0" w:line="240" w:lineRule="auto"/>
              <w:rPr>
                <w:noProof/>
                <w:spacing w:val="-6"/>
                <w:lang w:val="sk-SK"/>
              </w:rPr>
            </w:pPr>
            <w:r w:rsidRPr="00326E55">
              <w:rPr>
                <w:noProof/>
                <w:spacing w:val="-6"/>
                <w:lang w:val="sk-SK"/>
              </w:rPr>
              <w:t>Reforma 2: Ročné právne predpisy</w:t>
            </w:r>
            <w:r w:rsidR="00326E55" w:rsidRPr="00326E55">
              <w:rPr>
                <w:noProof/>
                <w:spacing w:val="-6"/>
                <w:lang w:val="sk-SK"/>
              </w:rPr>
              <w:t xml:space="preserve"> v </w:t>
            </w:r>
            <w:r w:rsidRPr="00326E55">
              <w:rPr>
                <w:noProof/>
                <w:spacing w:val="-6"/>
                <w:lang w:val="sk-SK"/>
              </w:rPr>
              <w:t>oblasti hospodárskej súťaže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B4DD1A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701D5A" w14:textId="7A21446A" w:rsidR="00BF03AA" w:rsidRPr="00326E55" w:rsidRDefault="00FB452D">
            <w:pPr>
              <w:pStyle w:val="P68B1DB1-Normal19"/>
              <w:spacing w:after="0" w:line="240" w:lineRule="auto"/>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spacing w:val="-6"/>
                <w:lang w:val="sk-SK"/>
              </w:rPr>
              <w:t xml:space="preserve">Nadobudnutie účinnosti vykonávacích </w:t>
            </w:r>
            <w:r w:rsidRPr="00326E55">
              <w:rPr>
                <w:rFonts w:ascii="Times New Roman" w:eastAsia="Times New Roman" w:hAnsi="Times New Roman" w:cs="Times New Roman"/>
                <w:noProof/>
                <w:spacing w:val="-6"/>
                <w:lang w:val="sk-SK"/>
              </w:rPr>
              <w:t>opatrení (v prípade potreby vrátane sekundárnych právnych predpisov) na vykonávanie</w:t>
            </w:r>
            <w:r w:rsidR="00326E55" w:rsidRPr="00326E55">
              <w:rPr>
                <w:rFonts w:ascii="Times New Roman" w:eastAsia="Times New Roman" w:hAnsi="Times New Roman" w:cs="Times New Roman"/>
                <w:noProof/>
                <w:spacing w:val="-6"/>
                <w:lang w:val="sk-SK"/>
              </w:rPr>
              <w:t xml:space="preserve"> a </w:t>
            </w:r>
            <w:r w:rsidRPr="00326E55">
              <w:rPr>
                <w:rFonts w:ascii="Times New Roman" w:eastAsia="Times New Roman" w:hAnsi="Times New Roman" w:cs="Times New Roman"/>
                <w:noProof/>
                <w:spacing w:val="-6"/>
                <w:lang w:val="sk-SK"/>
              </w:rPr>
              <w:t>uplatňovanie opatrení stanovených</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ročnom zákone</w:t>
            </w:r>
            <w:r w:rsidR="00326E55" w:rsidRPr="00326E55">
              <w:rPr>
                <w:rFonts w:ascii="Times New Roman" w:eastAsia="Times New Roman" w:hAnsi="Times New Roman" w:cs="Times New Roman"/>
                <w:noProof/>
                <w:spacing w:val="-6"/>
                <w:lang w:val="sk-SK"/>
              </w:rPr>
              <w:t xml:space="preserve"> o </w:t>
            </w:r>
            <w:r w:rsidRPr="00326E55">
              <w:rPr>
                <w:rFonts w:ascii="Times New Roman" w:eastAsia="Times New Roman" w:hAnsi="Times New Roman" w:cs="Times New Roman"/>
                <w:noProof/>
                <w:spacing w:val="-6"/>
                <w:lang w:val="sk-SK"/>
              </w:rPr>
              <w:t>hospodárskej súťaži za rok</w:t>
            </w:r>
            <w:r w:rsidRPr="00326E55">
              <w:rPr>
                <w:rFonts w:ascii="Times New Roman" w:hAnsi="Times New Roman"/>
                <w:noProof/>
                <w:spacing w:val="-6"/>
                <w:lang w:val="sk-SK"/>
              </w:rPr>
              <w:t xml:space="preserve"> </w:t>
            </w:r>
            <w:r w:rsidRPr="00326E55">
              <w:rPr>
                <w:rFonts w:ascii="Times New Roman" w:eastAsia="Times New Roman" w:hAnsi="Times New Roman" w:cs="Times New Roman"/>
                <w:noProof/>
                <w:spacing w:val="-6"/>
                <w:lang w:val="sk-SK"/>
              </w:rPr>
              <w:t xml:space="preserve"> 2023</w:t>
            </w:r>
            <w:r w:rsidR="00326E55" w:rsidRPr="00326E55">
              <w:rPr>
                <w:rFonts w:ascii="Times New Roman" w:eastAsia="Times New Roman" w:hAnsi="Times New Roman" w:cs="Times New Roman"/>
                <w:noProof/>
                <w:spacing w:val="-6"/>
                <w:lang w:val="sk-SK"/>
              </w:rPr>
              <w:t xml:space="preserve"> a v </w:t>
            </w:r>
            <w:r w:rsidRPr="00326E55">
              <w:rPr>
                <w:rFonts w:ascii="Times New Roman" w:eastAsia="Times New Roman" w:hAnsi="Times New Roman" w:cs="Times New Roman"/>
                <w:noProof/>
                <w:spacing w:val="-6"/>
                <w:lang w:val="sk-SK"/>
              </w:rPr>
              <w:t>iných primárnych právnych predpisoch</w:t>
            </w:r>
          </w:p>
        </w:tc>
      </w:tr>
      <w:tr w:rsidR="00BF03AA" w:rsidRPr="00326E55" w14:paraId="01CA0ED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766CF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6bis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40426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2.2: Poľnohospodársk</w:t>
            </w:r>
            <w:r w:rsidRPr="00326E55">
              <w:rPr>
                <w:noProof/>
                <w:spacing w:val="-6"/>
                <w:lang w:val="sk-SK"/>
              </w:rPr>
              <w:t>o-solárny park</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41875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F13D50" w14:textId="402A1707" w:rsidR="00BF03AA" w:rsidRPr="00326E55" w:rsidRDefault="00FB452D">
            <w:pPr>
              <w:pStyle w:val="P68B1DB1-Normal121"/>
              <w:spacing w:after="0" w:line="240" w:lineRule="auto"/>
              <w:rPr>
                <w:noProof/>
                <w:spacing w:val="-6"/>
                <w:lang w:val="sk-SK"/>
              </w:rPr>
            </w:pPr>
            <w:r w:rsidRPr="00326E55">
              <w:rPr>
                <w:noProof/>
                <w:spacing w:val="-6"/>
                <w:lang w:val="sk-SK"/>
              </w:rPr>
              <w:t>Pridelenie zdrojov príjemcom ako</w:t>
            </w:r>
            <w:r w:rsidR="00326E55" w:rsidRPr="00326E55">
              <w:rPr>
                <w:noProof/>
                <w:spacing w:val="-6"/>
                <w:lang w:val="sk-SK"/>
              </w:rPr>
              <w:t> %</w:t>
            </w:r>
            <w:r w:rsidRPr="00326E55">
              <w:rPr>
                <w:noProof/>
                <w:spacing w:val="-6"/>
                <w:lang w:val="sk-SK"/>
              </w:rPr>
              <w:t xml:space="preserve"> celkových finančných zdrojov pridelených na investíciu</w:t>
            </w:r>
          </w:p>
        </w:tc>
      </w:tr>
      <w:tr w:rsidR="00BF03AA" w:rsidRPr="00326E55" w14:paraId="793C80B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718D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71547E" w14:textId="60AD0FEE" w:rsidR="00BF03AA" w:rsidRPr="00326E55" w:rsidRDefault="00FB452D">
            <w:pPr>
              <w:pStyle w:val="P68B1DB1-Normal121"/>
              <w:spacing w:after="0" w:line="240" w:lineRule="auto"/>
              <w:rPr>
                <w:noProof/>
                <w:spacing w:val="-6"/>
                <w:lang w:val="sk-SK"/>
              </w:rPr>
            </w:pPr>
            <w:r w:rsidRPr="00326E55">
              <w:rPr>
                <w:noProof/>
                <w:spacing w:val="-6"/>
                <w:lang w:val="sk-SK"/>
              </w:rPr>
              <w:t>Investícia 2.3: Inovácie</w:t>
            </w:r>
            <w:r w:rsidR="00326E55" w:rsidRPr="00326E55">
              <w:rPr>
                <w:noProof/>
                <w:spacing w:val="-6"/>
                <w:lang w:val="sk-SK"/>
              </w:rPr>
              <w:t xml:space="preserve"> a </w:t>
            </w:r>
            <w:r w:rsidRPr="00326E55">
              <w:rPr>
                <w:noProof/>
                <w:spacing w:val="-6"/>
                <w:lang w:val="sk-SK"/>
              </w:rPr>
              <w:t>mechanizácia</w:t>
            </w:r>
            <w:r w:rsidR="00326E55" w:rsidRPr="00326E55">
              <w:rPr>
                <w:noProof/>
                <w:spacing w:val="-6"/>
                <w:lang w:val="sk-SK"/>
              </w:rPr>
              <w:t xml:space="preserve"> v </w:t>
            </w:r>
            <w:r w:rsidRPr="00326E55">
              <w:rPr>
                <w:noProof/>
                <w:spacing w:val="-6"/>
                <w:lang w:val="sk-SK"/>
              </w:rPr>
              <w:t>odvetví poľnohospodárstva</w:t>
            </w:r>
            <w:r w:rsidR="00326E55" w:rsidRPr="00326E55">
              <w:rPr>
                <w:noProof/>
                <w:spacing w:val="-6"/>
                <w:lang w:val="sk-SK"/>
              </w:rPr>
              <w:t xml:space="preserve"> a </w:t>
            </w:r>
            <w:r w:rsidRPr="00326E55">
              <w:rPr>
                <w:noProof/>
                <w:spacing w:val="-6"/>
                <w:lang w:val="sk-SK"/>
              </w:rPr>
              <w:t>potravinárstva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C3227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0E0E04" w14:textId="4D494A5E" w:rsidR="00BF03AA" w:rsidRPr="00326E55" w:rsidRDefault="00FB452D">
            <w:pPr>
              <w:pStyle w:val="P68B1DB1-Normal121"/>
              <w:spacing w:after="0" w:line="240" w:lineRule="auto"/>
              <w:rPr>
                <w:noProof/>
                <w:spacing w:val="-6"/>
                <w:lang w:val="sk-SK"/>
              </w:rPr>
            </w:pPr>
            <w:r w:rsidRPr="00326E55">
              <w:rPr>
                <w:noProof/>
                <w:spacing w:val="-6"/>
                <w:lang w:val="sk-SK"/>
              </w:rPr>
              <w:t>Uverejnenie konečných poradia</w:t>
            </w:r>
            <w:r w:rsidR="00326E55" w:rsidRPr="00326E55">
              <w:rPr>
                <w:noProof/>
                <w:spacing w:val="-6"/>
                <w:lang w:val="sk-SK"/>
              </w:rPr>
              <w:t xml:space="preserve"> s </w:t>
            </w:r>
            <w:r w:rsidRPr="00326E55">
              <w:rPr>
                <w:noProof/>
                <w:spacing w:val="-6"/>
                <w:lang w:val="sk-SK"/>
              </w:rPr>
              <w:t>identifikáciou</w:t>
            </w:r>
            <w:r w:rsidRPr="00326E55">
              <w:rPr>
                <w:noProof/>
                <w:spacing w:val="-6"/>
                <w:lang w:val="sk-SK"/>
              </w:rPr>
              <w:t xml:space="preserve"> konečných prijímateľov.</w:t>
            </w:r>
          </w:p>
        </w:tc>
      </w:tr>
      <w:tr w:rsidR="00BF03AA" w:rsidRPr="00326E55" w14:paraId="2DAA6F1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2422A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52903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4.3: Inštalácia nabíjacích infraštruktúr</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73CA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3DA9DD" w14:textId="77777777" w:rsidR="00BF03AA" w:rsidRPr="00326E55" w:rsidRDefault="00FB452D">
            <w:pPr>
              <w:pStyle w:val="P68B1DB1-Normal121"/>
              <w:spacing w:after="0" w:line="240" w:lineRule="auto"/>
              <w:rPr>
                <w:noProof/>
                <w:spacing w:val="-6"/>
                <w:lang w:val="sk-SK"/>
              </w:rPr>
            </w:pPr>
            <w:r w:rsidRPr="00326E55">
              <w:rPr>
                <w:noProof/>
                <w:spacing w:val="-6"/>
                <w:lang w:val="sk-SK"/>
              </w:rPr>
              <w:t>Zadávanie verejných zákaziek na inštaláciu nabíjacej infraštruktúry</w:t>
            </w:r>
          </w:p>
        </w:tc>
      </w:tr>
      <w:tr w:rsidR="00BF03AA" w:rsidRPr="00326E55" w14:paraId="7A5FAEE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7547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3B90C1" w14:textId="13F6C376" w:rsidR="00BF03AA" w:rsidRPr="00326E55" w:rsidRDefault="00FB452D">
            <w:pPr>
              <w:pStyle w:val="P68B1DB1-Normal121"/>
              <w:spacing w:after="0" w:line="240" w:lineRule="auto"/>
              <w:rPr>
                <w:noProof/>
                <w:spacing w:val="-6"/>
                <w:lang w:val="sk-SK"/>
              </w:rPr>
            </w:pPr>
            <w:r w:rsidRPr="00326E55">
              <w:rPr>
                <w:noProof/>
                <w:spacing w:val="-6"/>
                <w:lang w:val="sk-SK"/>
              </w:rPr>
              <w:t>Investícia 4.1: Rozšírenie počtu</w:t>
            </w:r>
            <w:r w:rsidR="00326E55" w:rsidRPr="00326E55">
              <w:rPr>
                <w:noProof/>
                <w:spacing w:val="-6"/>
                <w:lang w:val="sk-SK"/>
              </w:rPr>
              <w:t xml:space="preserve"> a </w:t>
            </w:r>
            <w:r w:rsidRPr="00326E55">
              <w:rPr>
                <w:noProof/>
                <w:spacing w:val="-6"/>
                <w:lang w:val="sk-SK"/>
              </w:rPr>
              <w:t xml:space="preserve">kariérnych príležitostí doktorandského štúdia </w:t>
            </w:r>
            <w:r w:rsidRPr="00326E55">
              <w:rPr>
                <w:noProof/>
                <w:spacing w:val="-6"/>
                <w:lang w:val="sk-SK"/>
              </w:rPr>
              <w:t>(výskum, verejná správa</w:t>
            </w:r>
            <w:r w:rsidR="00326E55" w:rsidRPr="00326E55">
              <w:rPr>
                <w:noProof/>
                <w:spacing w:val="-6"/>
                <w:lang w:val="sk-SK"/>
              </w:rPr>
              <w:t xml:space="preserve"> a </w:t>
            </w:r>
            <w:r w:rsidRPr="00326E55">
              <w:rPr>
                <w:noProof/>
                <w:spacing w:val="-6"/>
                <w:lang w:val="sk-SK"/>
              </w:rPr>
              <w:t>kultúrne dedičstvo)</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2D3D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AEFE53" w14:textId="77777777" w:rsidR="00BF03AA" w:rsidRPr="00326E55" w:rsidRDefault="00FB452D">
            <w:pPr>
              <w:pStyle w:val="P68B1DB1-Normal121"/>
              <w:spacing w:after="0" w:line="240" w:lineRule="auto"/>
              <w:rPr>
                <w:noProof/>
                <w:spacing w:val="-6"/>
                <w:lang w:val="sk-SK"/>
              </w:rPr>
            </w:pPr>
            <w:r w:rsidRPr="00326E55">
              <w:rPr>
                <w:noProof/>
                <w:spacing w:val="-6"/>
                <w:lang w:val="sk-SK"/>
              </w:rPr>
              <w:t>Štipendijné programy doktorandského štúdia poskytované ročne (viac ako tri roky)</w:t>
            </w:r>
          </w:p>
        </w:tc>
      </w:tr>
      <w:tr w:rsidR="00BF03AA" w:rsidRPr="00326E55" w14:paraId="027D0BB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C6FF8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45F63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2.1: Nábor učiteľov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03BF2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C9EC59" w14:textId="755A74CB" w:rsidR="00BF03AA" w:rsidRPr="00326E55" w:rsidRDefault="00FB452D">
            <w:pPr>
              <w:pStyle w:val="P68B1DB1-Normal121"/>
              <w:spacing w:after="0" w:line="240" w:lineRule="auto"/>
              <w:rPr>
                <w:noProof/>
                <w:spacing w:val="-6"/>
                <w:lang w:val="sk-SK"/>
              </w:rPr>
            </w:pPr>
            <w:r w:rsidRPr="00326E55">
              <w:rPr>
                <w:noProof/>
                <w:spacing w:val="-6"/>
                <w:lang w:val="sk-SK"/>
              </w:rPr>
              <w:t>Učitelia prijatí do zamestnania</w:t>
            </w:r>
            <w:r w:rsidR="00326E55" w:rsidRPr="00326E55">
              <w:rPr>
                <w:noProof/>
                <w:spacing w:val="-6"/>
                <w:lang w:val="sk-SK"/>
              </w:rPr>
              <w:t xml:space="preserve"> s </w:t>
            </w:r>
            <w:r w:rsidRPr="00326E55">
              <w:rPr>
                <w:noProof/>
                <w:spacing w:val="-6"/>
                <w:lang w:val="sk-SK"/>
              </w:rPr>
              <w:t>reformovaným systémom prijímania zamestnancov</w:t>
            </w:r>
          </w:p>
        </w:tc>
      </w:tr>
      <w:tr w:rsidR="00BF03AA" w:rsidRPr="00326E55" w14:paraId="68F7EDC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374F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15</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E69B6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1.7: Štipendiá na prístup na univerzitu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E434D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CB7944" w14:textId="77777777" w:rsidR="00BF03AA" w:rsidRPr="00326E55" w:rsidRDefault="00FB452D">
            <w:pPr>
              <w:pStyle w:val="P68B1DB1-Normal121"/>
              <w:spacing w:after="0" w:line="240" w:lineRule="auto"/>
              <w:rPr>
                <w:noProof/>
                <w:spacing w:val="-6"/>
                <w:lang w:val="sk-SK"/>
              </w:rPr>
            </w:pPr>
            <w:r w:rsidRPr="00326E55">
              <w:rPr>
                <w:noProof/>
                <w:spacing w:val="-6"/>
                <w:lang w:val="sk-SK"/>
              </w:rPr>
              <w:t>Udelené štipendiá na prístup na univerzitu</w:t>
            </w:r>
          </w:p>
        </w:tc>
      </w:tr>
      <w:tr w:rsidR="00BF03AA" w:rsidRPr="00326E55" w14:paraId="1F6BABDD" w14:textId="77777777">
        <w:trPr>
          <w:trHeight w:val="114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6A07D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BAC7ED" w14:textId="523A160D" w:rsidR="00BF03AA" w:rsidRPr="00326E55" w:rsidRDefault="00FB452D">
            <w:pPr>
              <w:pStyle w:val="P68B1DB1-Normal19"/>
              <w:spacing w:after="0" w:line="240" w:lineRule="auto"/>
              <w:rPr>
                <w:rFonts w:ascii="Times New Roman" w:eastAsia="Times New Roman" w:hAnsi="Times New Roman" w:cs="Times New Roman"/>
                <w:noProof/>
                <w:spacing w:val="-6"/>
                <w:lang w:val="sk-SK"/>
              </w:rPr>
            </w:pPr>
            <w:r w:rsidRPr="00326E55">
              <w:rPr>
                <w:rFonts w:ascii="Times New Roman" w:eastAsia="Times New Roman" w:hAnsi="Times New Roman" w:cs="Times New Roman"/>
                <w:noProof/>
                <w:spacing w:val="-6"/>
                <w:lang w:val="sk-SK"/>
              </w:rPr>
              <w:t>Investícia 3.3: Udeľovanie doktorandských štipendií</w:t>
            </w:r>
            <w:r w:rsidR="00326E55" w:rsidRPr="00326E55">
              <w:rPr>
                <w:rFonts w:ascii="Times New Roman" w:eastAsia="Times New Roman" w:hAnsi="Times New Roman" w:cs="Times New Roman"/>
                <w:noProof/>
                <w:spacing w:val="-6"/>
                <w:lang w:val="sk-SK"/>
              </w:rPr>
              <w:t xml:space="preserve"> v </w:t>
            </w:r>
            <w:r w:rsidRPr="00326E55">
              <w:rPr>
                <w:rFonts w:ascii="Times New Roman" w:eastAsia="Times New Roman" w:hAnsi="Times New Roman" w:cs="Times New Roman"/>
                <w:noProof/>
                <w:spacing w:val="-6"/>
                <w:lang w:val="sk-SK"/>
              </w:rPr>
              <w:t>spolupráci</w:t>
            </w:r>
            <w:r w:rsidR="00326E55" w:rsidRPr="00326E55">
              <w:rPr>
                <w:rFonts w:ascii="Times New Roman" w:eastAsia="Times New Roman" w:hAnsi="Times New Roman" w:cs="Times New Roman"/>
                <w:noProof/>
                <w:spacing w:val="-6"/>
                <w:lang w:val="sk-SK"/>
              </w:rPr>
              <w:t xml:space="preserve"> s </w:t>
            </w:r>
            <w:r w:rsidRPr="00326E55">
              <w:rPr>
                <w:rFonts w:ascii="Times New Roman" w:eastAsia="Times New Roman" w:hAnsi="Times New Roman" w:cs="Times New Roman"/>
                <w:noProof/>
                <w:spacing w:val="-6"/>
                <w:lang w:val="sk-SK"/>
              </w:rPr>
              <w:t>podnikmi</w:t>
            </w:r>
            <w:r w:rsidR="00326E55" w:rsidRPr="00326E55">
              <w:rPr>
                <w:rFonts w:ascii="Times New Roman" w:hAnsi="Times New Roman"/>
                <w:noProof/>
                <w:spacing w:val="-6"/>
                <w:lang w:val="sk-SK"/>
              </w:rPr>
              <w:t xml:space="preserve"> a </w:t>
            </w:r>
            <w:r w:rsidRPr="00326E55">
              <w:rPr>
                <w:rFonts w:ascii="Times New Roman" w:eastAsia="Times New Roman" w:hAnsi="Times New Roman" w:cs="Times New Roman"/>
                <w:noProof/>
                <w:spacing w:val="-6"/>
                <w:lang w:val="sk-SK"/>
              </w:rPr>
              <w:t xml:space="preserve">podpora zamestnávania výskumných pracovníkov </w:t>
            </w:r>
            <w:r w:rsidRPr="00326E55">
              <w:rPr>
                <w:rFonts w:ascii="Times New Roman" w:eastAsia="Times New Roman" w:hAnsi="Times New Roman" w:cs="Times New Roman"/>
                <w:noProof/>
                <w:spacing w:val="-6"/>
                <w:lang w:val="sk-SK"/>
              </w:rPr>
              <w:t>spoločnosťami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94914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69579BA"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udelených doktorandských štipendií</w:t>
            </w:r>
          </w:p>
        </w:tc>
      </w:tr>
      <w:tr w:rsidR="00BF03AA" w:rsidRPr="00326E55" w14:paraId="20A3E195"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AD083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15bis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20F20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 – Univerzálna štátna služba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F204C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AD6261" w14:textId="7D30CD27" w:rsidR="00BF03AA" w:rsidRPr="00326E55" w:rsidRDefault="00FB452D">
            <w:pPr>
              <w:pStyle w:val="P68B1DB1-Normal121"/>
              <w:spacing w:after="0" w:line="240" w:lineRule="auto"/>
              <w:rPr>
                <w:noProof/>
                <w:spacing w:val="-6"/>
                <w:lang w:val="sk-SK"/>
              </w:rPr>
            </w:pPr>
            <w:r w:rsidRPr="00326E55">
              <w:rPr>
                <w:noProof/>
                <w:spacing w:val="-6"/>
                <w:lang w:val="sk-SK"/>
              </w:rPr>
              <w:t>Realizovať opatrenia na zvýšenie účasti mladých ľudí, zjednodušiť postupy</w:t>
            </w:r>
            <w:r w:rsidR="00326E55" w:rsidRPr="00326E55">
              <w:rPr>
                <w:noProof/>
                <w:spacing w:val="-6"/>
                <w:lang w:val="sk-SK"/>
              </w:rPr>
              <w:t xml:space="preserve"> a </w:t>
            </w:r>
            <w:r w:rsidRPr="00326E55">
              <w:rPr>
                <w:noProof/>
                <w:spacing w:val="-6"/>
                <w:lang w:val="sk-SK"/>
              </w:rPr>
              <w:t xml:space="preserve">zlepšiť kvalitu projektov univerzálnej verejnej služby </w:t>
            </w:r>
            <w:r w:rsidRPr="00326E55">
              <w:rPr>
                <w:noProof/>
                <w:spacing w:val="-6"/>
                <w:lang w:val="sk-SK"/>
              </w:rPr>
              <w:t>(UCS),</w:t>
            </w:r>
          </w:p>
        </w:tc>
      </w:tr>
      <w:tr w:rsidR="00BF03AA" w:rsidRPr="00326E55" w14:paraId="500605DB"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11C96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837B5" w14:textId="0A15A066" w:rsidR="00BF03AA" w:rsidRPr="00326E55" w:rsidRDefault="00FB452D">
            <w:pPr>
              <w:pStyle w:val="P68B1DB1-Normal121"/>
              <w:spacing w:after="0" w:line="240" w:lineRule="auto"/>
              <w:rPr>
                <w:noProof/>
                <w:spacing w:val="-6"/>
                <w:lang w:val="sk-SK"/>
              </w:rPr>
            </w:pPr>
            <w:r w:rsidRPr="00326E55">
              <w:rPr>
                <w:noProof/>
                <w:spacing w:val="-6"/>
                <w:lang w:val="sk-SK"/>
              </w:rPr>
              <w:t>Reforma 1: Zefektívnenie povoľovacích postupov pre energiu</w:t>
            </w:r>
            <w:r w:rsidR="00326E55" w:rsidRPr="00326E55">
              <w:rPr>
                <w:noProof/>
                <w:spacing w:val="-6"/>
                <w:lang w:val="sk-SK"/>
              </w:rPr>
              <w:t xml:space="preserve"> z </w:t>
            </w:r>
            <w:r w:rsidRPr="00326E55">
              <w:rPr>
                <w:noProof/>
                <w:spacing w:val="-6"/>
                <w:lang w:val="sk-SK"/>
              </w:rPr>
              <w:t>obnoviteľných zdrojov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2DD2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F4379B" w14:textId="5EDC92EB" w:rsidR="00BF03AA" w:rsidRPr="00326E55" w:rsidRDefault="00FB452D">
            <w:pPr>
              <w:pStyle w:val="P68B1DB1-Normal121"/>
              <w:spacing w:after="0" w:line="240" w:lineRule="auto"/>
              <w:rPr>
                <w:noProof/>
                <w:spacing w:val="-6"/>
                <w:lang w:val="sk-SK"/>
              </w:rPr>
            </w:pPr>
            <w:r w:rsidRPr="00326E55">
              <w:rPr>
                <w:noProof/>
                <w:spacing w:val="-6"/>
                <w:lang w:val="sk-SK"/>
              </w:rPr>
              <w:t>Identifikácia „oblastí zrýchlenia výroby energie</w:t>
            </w:r>
            <w:r w:rsidR="00326E55" w:rsidRPr="00326E55">
              <w:rPr>
                <w:noProof/>
                <w:spacing w:val="-6"/>
                <w:lang w:val="sk-SK"/>
              </w:rPr>
              <w:t xml:space="preserve"> z </w:t>
            </w:r>
            <w:r w:rsidRPr="00326E55">
              <w:rPr>
                <w:noProof/>
                <w:spacing w:val="-6"/>
                <w:lang w:val="sk-SK"/>
              </w:rPr>
              <w:t>obnoviteľných zdrojov“</w:t>
            </w:r>
          </w:p>
        </w:tc>
      </w:tr>
      <w:tr w:rsidR="00BF03AA" w:rsidRPr="00326E55" w14:paraId="46637AC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1B868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043544"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 Zníženie dotácií škodlivých pre životné prostredie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7C5E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36A4F7" w14:textId="2F2566E9" w:rsidR="00BF03AA" w:rsidRPr="00326E55" w:rsidRDefault="00FB452D">
            <w:pPr>
              <w:pStyle w:val="P68B1DB1-Normal121"/>
              <w:spacing w:after="0" w:line="240" w:lineRule="auto"/>
              <w:rPr>
                <w:noProof/>
                <w:spacing w:val="-6"/>
                <w:lang w:val="sk-SK"/>
              </w:rPr>
            </w:pPr>
            <w:r w:rsidRPr="00326E55">
              <w:rPr>
                <w:noProof/>
                <w:spacing w:val="-6"/>
                <w:lang w:val="sk-SK"/>
              </w:rPr>
              <w:t>Prijatie vládnej správy,</w:t>
            </w:r>
            <w:r w:rsidR="00326E55" w:rsidRPr="00326E55">
              <w:rPr>
                <w:noProof/>
                <w:spacing w:val="-6"/>
                <w:lang w:val="sk-SK"/>
              </w:rPr>
              <w:t xml:space="preserve"> v </w:t>
            </w:r>
            <w:r w:rsidRPr="00326E55">
              <w:rPr>
                <w:noProof/>
                <w:spacing w:val="-6"/>
                <w:lang w:val="sk-SK"/>
              </w:rPr>
              <w:t>ktorej sa predloží výsledok vládnej konzultácie so zainteresovanými stranami</w:t>
            </w:r>
            <w:r w:rsidR="00326E55" w:rsidRPr="00326E55">
              <w:rPr>
                <w:noProof/>
                <w:spacing w:val="-6"/>
                <w:lang w:val="sk-SK"/>
              </w:rPr>
              <w:t xml:space="preserve"> s </w:t>
            </w:r>
            <w:r w:rsidRPr="00326E55">
              <w:rPr>
                <w:noProof/>
                <w:spacing w:val="-6"/>
                <w:lang w:val="sk-SK"/>
              </w:rPr>
              <w:t>cieľom vymedziť plán na zníženie dotácií škodlivých pre životné prostredie.</w:t>
            </w:r>
          </w:p>
        </w:tc>
      </w:tr>
      <w:tr w:rsidR="00BF03AA" w:rsidRPr="00326E55" w14:paraId="1B3176D0"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6A4FC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84631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SA.CO.I.3</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D90C6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BD3F47" w14:textId="77777777" w:rsidR="00BF03AA" w:rsidRPr="00326E55" w:rsidRDefault="00FB452D">
            <w:pPr>
              <w:pStyle w:val="P68B1DB1-Normal121"/>
              <w:spacing w:after="0" w:line="240" w:lineRule="auto"/>
              <w:rPr>
                <w:noProof/>
                <w:spacing w:val="-6"/>
                <w:lang w:val="sk-SK"/>
              </w:rPr>
            </w:pPr>
            <w:r w:rsidRPr="00326E55">
              <w:rPr>
                <w:noProof/>
                <w:spacing w:val="-6"/>
                <w:lang w:val="sk-SK"/>
              </w:rPr>
              <w:t>Zadávanie zákaziek</w:t>
            </w:r>
          </w:p>
        </w:tc>
      </w:tr>
      <w:tr w:rsidR="00BF03AA" w:rsidRPr="00326E55" w14:paraId="5A0396A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A7D25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10 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3C5593" w14:textId="04512862" w:rsidR="00BF03AA" w:rsidRPr="00326E55" w:rsidRDefault="00FB452D">
            <w:pPr>
              <w:pStyle w:val="P68B1DB1-Normal121"/>
              <w:spacing w:after="0" w:line="240" w:lineRule="auto"/>
              <w:rPr>
                <w:noProof/>
                <w:spacing w:val="-6"/>
                <w:lang w:val="sk-SK"/>
              </w:rPr>
            </w:pPr>
            <w:r w:rsidRPr="00326E55">
              <w:rPr>
                <w:noProof/>
                <w:spacing w:val="-6"/>
                <w:lang w:val="sk-SK"/>
              </w:rPr>
              <w:t>Reforma 1.1: Reforma technických</w:t>
            </w:r>
            <w:r w:rsidR="00326E55" w:rsidRPr="00326E55">
              <w:rPr>
                <w:noProof/>
                <w:spacing w:val="-6"/>
                <w:lang w:val="sk-SK"/>
              </w:rPr>
              <w:t xml:space="preserve"> a </w:t>
            </w:r>
            <w:r w:rsidRPr="00326E55">
              <w:rPr>
                <w:noProof/>
                <w:spacing w:val="-6"/>
                <w:lang w:val="sk-SK"/>
              </w:rPr>
              <w:t>odborných inštitútov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ABD4A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0AB661"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sekundárnych právnych predpisov.</w:t>
            </w:r>
          </w:p>
        </w:tc>
      </w:tr>
      <w:tr w:rsidR="00BF03AA" w:rsidRPr="00326E55" w14:paraId="0EA940F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B788C4"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06A9F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3054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DE5681"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5294563760 EUR</w:t>
            </w:r>
            <w:r w:rsidRPr="00326E55">
              <w:rPr>
                <w:noProof/>
                <w:spacing w:val="-6"/>
                <w:sz w:val="23"/>
                <w:szCs w:val="23"/>
                <w:lang w:val="sk-SK"/>
              </w:rPr>
              <w:t xml:space="preserve">  </w:t>
            </w:r>
          </w:p>
        </w:tc>
      </w:tr>
    </w:tbl>
    <w:p w14:paraId="0E2D5298" w14:textId="16604680"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067D608A" w14:textId="77777777" w:rsidR="00BF03AA" w:rsidRPr="00326E55" w:rsidRDefault="00FB452D">
      <w:pPr>
        <w:pStyle w:val="P68B1DB1-Normal8"/>
        <w:rPr>
          <w:noProof/>
          <w:spacing w:val="-6"/>
          <w:lang w:val="sk-SK"/>
        </w:rPr>
      </w:pPr>
      <w:r w:rsidRPr="00326E55">
        <w:rPr>
          <w:noProof/>
          <w:spacing w:val="-6"/>
          <w:lang w:val="sk-SK"/>
        </w:rPr>
        <w:br w:type="page"/>
      </w:r>
    </w:p>
    <w:p w14:paraId="7BC63A0D"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Ôsma splátka (nenávratná podpora):</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4"/>
        <w:gridCol w:w="3543"/>
        <w:gridCol w:w="1277"/>
        <w:gridCol w:w="3105"/>
      </w:tblGrid>
      <w:tr w:rsidR="00BF03AA" w:rsidRPr="00326E55" w14:paraId="36E872D7" w14:textId="77777777">
        <w:trPr>
          <w:trHeight w:val="900"/>
          <w:tblHeader/>
        </w:trPr>
        <w:tc>
          <w:tcPr>
            <w:tcW w:w="1434" w:type="dxa"/>
            <w:vMerge w:val="restart"/>
            <w:shd w:val="clear" w:color="auto" w:fill="BDD7EE"/>
            <w:tcMar>
              <w:left w:w="108" w:type="dxa"/>
              <w:right w:w="108" w:type="dxa"/>
            </w:tcMar>
            <w:vAlign w:val="center"/>
          </w:tcPr>
          <w:p w14:paraId="7EAE04B2"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543" w:type="dxa"/>
            <w:vMerge w:val="restart"/>
            <w:shd w:val="clear" w:color="auto" w:fill="BDD7EE"/>
            <w:tcMar>
              <w:left w:w="108" w:type="dxa"/>
              <w:right w:w="108" w:type="dxa"/>
            </w:tcMar>
            <w:vAlign w:val="center"/>
          </w:tcPr>
          <w:p w14:paraId="74F72A28"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77" w:type="dxa"/>
            <w:vMerge w:val="restart"/>
            <w:shd w:val="clear" w:color="auto" w:fill="BDD7EE"/>
            <w:tcMar>
              <w:left w:w="108" w:type="dxa"/>
              <w:right w:w="108" w:type="dxa"/>
            </w:tcMar>
            <w:vAlign w:val="center"/>
          </w:tcPr>
          <w:p w14:paraId="4919265C"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105" w:type="dxa"/>
            <w:vMerge w:val="restart"/>
            <w:shd w:val="clear" w:color="auto" w:fill="BDD7EE"/>
            <w:tcMar>
              <w:left w:w="108" w:type="dxa"/>
              <w:right w:w="108" w:type="dxa"/>
            </w:tcMar>
            <w:vAlign w:val="center"/>
          </w:tcPr>
          <w:p w14:paraId="64E16B90"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63865BEB" w14:textId="77777777">
        <w:trPr>
          <w:trHeight w:val="510"/>
        </w:trPr>
        <w:tc>
          <w:tcPr>
            <w:tcW w:w="1434" w:type="dxa"/>
            <w:vMerge/>
            <w:vAlign w:val="center"/>
          </w:tcPr>
          <w:p w14:paraId="0E8A81CB"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vMerge/>
            <w:vAlign w:val="center"/>
          </w:tcPr>
          <w:p w14:paraId="72A1FA7F"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77" w:type="dxa"/>
            <w:vMerge/>
            <w:vAlign w:val="center"/>
          </w:tcPr>
          <w:p w14:paraId="4B13CB5A"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105" w:type="dxa"/>
            <w:vMerge/>
            <w:vAlign w:val="center"/>
          </w:tcPr>
          <w:p w14:paraId="516D2737"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14479714" w14:textId="77777777">
        <w:trPr>
          <w:trHeight w:val="300"/>
        </w:trPr>
        <w:tc>
          <w:tcPr>
            <w:tcW w:w="1434" w:type="dxa"/>
            <w:shd w:val="clear" w:color="auto" w:fill="C6EFCE"/>
            <w:tcMar>
              <w:left w:w="108" w:type="dxa"/>
              <w:right w:w="108" w:type="dxa"/>
            </w:tcMar>
            <w:vAlign w:val="center"/>
          </w:tcPr>
          <w:p w14:paraId="348138A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23</w:t>
            </w:r>
          </w:p>
        </w:tc>
        <w:tc>
          <w:tcPr>
            <w:tcW w:w="3543" w:type="dxa"/>
            <w:shd w:val="clear" w:color="auto" w:fill="C6EFCE"/>
            <w:tcMar>
              <w:left w:w="108" w:type="dxa"/>
              <w:right w:w="108" w:type="dxa"/>
            </w:tcMar>
            <w:vAlign w:val="center"/>
          </w:tcPr>
          <w:p w14:paraId="5C669F2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1.4.6: Mobilita ako služba pre Taliansko</w:t>
            </w:r>
          </w:p>
        </w:tc>
        <w:tc>
          <w:tcPr>
            <w:tcW w:w="1277" w:type="dxa"/>
            <w:shd w:val="clear" w:color="auto" w:fill="C6EFCE"/>
            <w:tcMar>
              <w:left w:w="108" w:type="dxa"/>
              <w:right w:w="108" w:type="dxa"/>
            </w:tcMar>
            <w:vAlign w:val="center"/>
          </w:tcPr>
          <w:p w14:paraId="67F38DA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058D2EC3"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Realizácia siedmich pilotných projektov </w:t>
            </w:r>
          </w:p>
        </w:tc>
      </w:tr>
      <w:tr w:rsidR="00BF03AA" w:rsidRPr="00326E55" w14:paraId="37038207" w14:textId="77777777">
        <w:trPr>
          <w:trHeight w:val="300"/>
        </w:trPr>
        <w:tc>
          <w:tcPr>
            <w:tcW w:w="1434" w:type="dxa"/>
            <w:shd w:val="clear" w:color="auto" w:fill="C6EFCE"/>
            <w:tcMar>
              <w:left w:w="108" w:type="dxa"/>
              <w:right w:w="108" w:type="dxa"/>
            </w:tcMar>
            <w:vAlign w:val="center"/>
          </w:tcPr>
          <w:p w14:paraId="197BA28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76</w:t>
            </w:r>
          </w:p>
        </w:tc>
        <w:tc>
          <w:tcPr>
            <w:tcW w:w="3543" w:type="dxa"/>
            <w:shd w:val="clear" w:color="auto" w:fill="C6EFCE"/>
            <w:tcMar>
              <w:left w:w="108" w:type="dxa"/>
              <w:right w:w="108" w:type="dxa"/>
            </w:tcMar>
            <w:vAlign w:val="center"/>
          </w:tcPr>
          <w:p w14:paraId="3715BFDF" w14:textId="280131F4"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7" w:type="dxa"/>
            <w:shd w:val="clear" w:color="auto" w:fill="C6EFCE"/>
            <w:tcMar>
              <w:left w:w="108" w:type="dxa"/>
              <w:right w:w="108" w:type="dxa"/>
            </w:tcMar>
            <w:vAlign w:val="center"/>
          </w:tcPr>
          <w:p w14:paraId="586EB0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2980387B" w14:textId="77777777" w:rsidR="00BF03AA" w:rsidRPr="00326E55" w:rsidRDefault="00FB452D">
            <w:pPr>
              <w:pStyle w:val="P68B1DB1-Normal121"/>
              <w:spacing w:after="0" w:line="240" w:lineRule="auto"/>
              <w:rPr>
                <w:noProof/>
                <w:spacing w:val="-6"/>
                <w:lang w:val="sk-SK"/>
              </w:rPr>
            </w:pPr>
            <w:r w:rsidRPr="00326E55">
              <w:rPr>
                <w:noProof/>
                <w:spacing w:val="-6"/>
                <w:lang w:val="sk-SK"/>
              </w:rPr>
              <w:t>Priemerný počet dní, počas ktorých ústredné orgány verejnej moci platia podnikom, sa znižuje</w:t>
            </w:r>
          </w:p>
        </w:tc>
      </w:tr>
      <w:tr w:rsidR="00BF03AA" w:rsidRPr="00326E55" w14:paraId="7C199A22" w14:textId="77777777">
        <w:trPr>
          <w:trHeight w:val="300"/>
        </w:trPr>
        <w:tc>
          <w:tcPr>
            <w:tcW w:w="1434" w:type="dxa"/>
            <w:shd w:val="clear" w:color="auto" w:fill="C6EFCE"/>
            <w:tcMar>
              <w:left w:w="108" w:type="dxa"/>
              <w:right w:w="108" w:type="dxa"/>
            </w:tcMar>
            <w:vAlign w:val="center"/>
          </w:tcPr>
          <w:p w14:paraId="1CA01AF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77</w:t>
            </w:r>
          </w:p>
        </w:tc>
        <w:tc>
          <w:tcPr>
            <w:tcW w:w="3543" w:type="dxa"/>
            <w:shd w:val="clear" w:color="auto" w:fill="C6EFCE"/>
            <w:tcMar>
              <w:left w:w="108" w:type="dxa"/>
              <w:right w:w="108" w:type="dxa"/>
            </w:tcMar>
            <w:vAlign w:val="center"/>
          </w:tcPr>
          <w:p w14:paraId="45382A96" w14:textId="268D0DAA"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7" w:type="dxa"/>
            <w:shd w:val="clear" w:color="auto" w:fill="C6EFCE"/>
            <w:tcMar>
              <w:left w:w="108" w:type="dxa"/>
              <w:right w:w="108" w:type="dxa"/>
            </w:tcMar>
            <w:vAlign w:val="center"/>
          </w:tcPr>
          <w:p w14:paraId="16C68BB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59E9DEE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Priemerný počet dní, počas ktorých majú </w:t>
            </w:r>
            <w:r w:rsidRPr="00326E55">
              <w:rPr>
                <w:noProof/>
                <w:spacing w:val="-6"/>
                <w:lang w:val="sk-SK"/>
              </w:rPr>
              <w:t>regionálne verejné orgány platiť podnikom, sa znižuje</w:t>
            </w:r>
          </w:p>
        </w:tc>
      </w:tr>
      <w:tr w:rsidR="00BF03AA" w:rsidRPr="00326E55" w14:paraId="1A4BDC99" w14:textId="77777777">
        <w:trPr>
          <w:trHeight w:val="300"/>
        </w:trPr>
        <w:tc>
          <w:tcPr>
            <w:tcW w:w="1434" w:type="dxa"/>
            <w:shd w:val="clear" w:color="auto" w:fill="C6EFCE"/>
            <w:tcMar>
              <w:left w:w="108" w:type="dxa"/>
              <w:right w:w="108" w:type="dxa"/>
            </w:tcMar>
            <w:vAlign w:val="center"/>
          </w:tcPr>
          <w:p w14:paraId="7D3B167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78</w:t>
            </w:r>
          </w:p>
        </w:tc>
        <w:tc>
          <w:tcPr>
            <w:tcW w:w="3543" w:type="dxa"/>
            <w:shd w:val="clear" w:color="auto" w:fill="C6EFCE"/>
            <w:tcMar>
              <w:left w:w="108" w:type="dxa"/>
              <w:right w:w="108" w:type="dxa"/>
            </w:tcMar>
            <w:vAlign w:val="center"/>
          </w:tcPr>
          <w:p w14:paraId="5ED9C6D8" w14:textId="416F8A20"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7" w:type="dxa"/>
            <w:shd w:val="clear" w:color="auto" w:fill="C6EFCE"/>
            <w:tcMar>
              <w:left w:w="108" w:type="dxa"/>
              <w:right w:w="108" w:type="dxa"/>
            </w:tcMar>
            <w:vAlign w:val="center"/>
          </w:tcPr>
          <w:p w14:paraId="63AE30C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2C92E444" w14:textId="77777777" w:rsidR="00BF03AA" w:rsidRPr="00326E55" w:rsidRDefault="00FB452D">
            <w:pPr>
              <w:pStyle w:val="P68B1DB1-Normal121"/>
              <w:spacing w:after="0" w:line="240" w:lineRule="auto"/>
              <w:rPr>
                <w:noProof/>
                <w:spacing w:val="-6"/>
                <w:lang w:val="sk-SK"/>
              </w:rPr>
            </w:pPr>
            <w:r w:rsidRPr="00326E55">
              <w:rPr>
                <w:noProof/>
                <w:spacing w:val="-6"/>
                <w:lang w:val="sk-SK"/>
              </w:rPr>
              <w:t>Priemerný počet dní, počas</w:t>
            </w:r>
            <w:r w:rsidRPr="00326E55">
              <w:rPr>
                <w:noProof/>
                <w:spacing w:val="-6"/>
                <w:lang w:val="sk-SK"/>
              </w:rPr>
              <w:t xml:space="preserve"> ktorých majú miestne verejné orgány platiť podnikom, sa znižuje</w:t>
            </w:r>
          </w:p>
        </w:tc>
      </w:tr>
      <w:tr w:rsidR="00BF03AA" w:rsidRPr="00326E55" w14:paraId="0E64AE04" w14:textId="77777777">
        <w:trPr>
          <w:trHeight w:val="300"/>
        </w:trPr>
        <w:tc>
          <w:tcPr>
            <w:tcW w:w="1434" w:type="dxa"/>
            <w:shd w:val="clear" w:color="auto" w:fill="C6EFCE"/>
            <w:tcMar>
              <w:left w:w="108" w:type="dxa"/>
              <w:right w:w="108" w:type="dxa"/>
            </w:tcMar>
            <w:vAlign w:val="center"/>
          </w:tcPr>
          <w:p w14:paraId="6B5A8F8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79</w:t>
            </w:r>
          </w:p>
        </w:tc>
        <w:tc>
          <w:tcPr>
            <w:tcW w:w="3543" w:type="dxa"/>
            <w:shd w:val="clear" w:color="auto" w:fill="C6EFCE"/>
            <w:tcMar>
              <w:left w:w="108" w:type="dxa"/>
              <w:right w:w="108" w:type="dxa"/>
            </w:tcMar>
            <w:vAlign w:val="center"/>
          </w:tcPr>
          <w:p w14:paraId="0C4125DB" w14:textId="4071FB45"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7" w:type="dxa"/>
            <w:shd w:val="clear" w:color="auto" w:fill="C6EFCE"/>
            <w:tcMar>
              <w:left w:w="108" w:type="dxa"/>
              <w:right w:w="108" w:type="dxa"/>
            </w:tcMar>
            <w:vAlign w:val="center"/>
          </w:tcPr>
          <w:p w14:paraId="3A56071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115BEB75" w14:textId="77777777" w:rsidR="00BF03AA" w:rsidRPr="00326E55" w:rsidRDefault="00FB452D">
            <w:pPr>
              <w:pStyle w:val="P68B1DB1-Normal121"/>
              <w:spacing w:after="0" w:line="240" w:lineRule="auto"/>
              <w:rPr>
                <w:noProof/>
                <w:spacing w:val="-6"/>
                <w:lang w:val="sk-SK"/>
              </w:rPr>
            </w:pPr>
            <w:r w:rsidRPr="00326E55">
              <w:rPr>
                <w:noProof/>
                <w:spacing w:val="-6"/>
                <w:lang w:val="sk-SK"/>
              </w:rPr>
              <w:t>Priemerný počet dní, počas ktorých majú orgány verejného zdravotníctva z</w:t>
            </w:r>
            <w:r w:rsidRPr="00326E55">
              <w:rPr>
                <w:noProof/>
                <w:spacing w:val="-6"/>
                <w:lang w:val="sk-SK"/>
              </w:rPr>
              <w:t>aplatiť podnikom, sa znižuje</w:t>
            </w:r>
          </w:p>
        </w:tc>
      </w:tr>
      <w:tr w:rsidR="00BF03AA" w:rsidRPr="00326E55" w14:paraId="796025AF" w14:textId="77777777">
        <w:trPr>
          <w:trHeight w:val="300"/>
        </w:trPr>
        <w:tc>
          <w:tcPr>
            <w:tcW w:w="1434" w:type="dxa"/>
            <w:shd w:val="clear" w:color="auto" w:fill="C6EFCE"/>
            <w:tcMar>
              <w:left w:w="108" w:type="dxa"/>
              <w:right w:w="108" w:type="dxa"/>
            </w:tcMar>
            <w:vAlign w:val="center"/>
          </w:tcPr>
          <w:p w14:paraId="4774800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25</w:t>
            </w:r>
          </w:p>
        </w:tc>
        <w:tc>
          <w:tcPr>
            <w:tcW w:w="3543" w:type="dxa"/>
            <w:shd w:val="clear" w:color="auto" w:fill="C6EFCE"/>
            <w:tcMar>
              <w:left w:w="108" w:type="dxa"/>
              <w:right w:w="108" w:type="dxa"/>
            </w:tcMar>
            <w:vAlign w:val="center"/>
          </w:tcPr>
          <w:p w14:paraId="5B5F9B2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1.6.6: Digitalizácia finančnej polície</w:t>
            </w:r>
          </w:p>
        </w:tc>
        <w:tc>
          <w:tcPr>
            <w:tcW w:w="1277" w:type="dxa"/>
            <w:shd w:val="clear" w:color="auto" w:fill="C6EFCE"/>
            <w:tcMar>
              <w:left w:w="108" w:type="dxa"/>
              <w:right w:w="108" w:type="dxa"/>
            </w:tcMar>
            <w:vAlign w:val="center"/>
          </w:tcPr>
          <w:p w14:paraId="7DD0EE0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53478257" w14:textId="77777777" w:rsidR="00BF03AA" w:rsidRPr="00326E55" w:rsidRDefault="00FB452D">
            <w:pPr>
              <w:pStyle w:val="P68B1DB1-Normal121"/>
              <w:spacing w:after="0" w:line="240" w:lineRule="auto"/>
              <w:rPr>
                <w:noProof/>
                <w:spacing w:val="-6"/>
                <w:lang w:val="sk-SK"/>
              </w:rPr>
            </w:pPr>
            <w:r w:rsidRPr="00326E55">
              <w:rPr>
                <w:noProof/>
                <w:spacing w:val="-6"/>
                <w:lang w:val="sk-SK"/>
              </w:rPr>
              <w:t>Rozvíjať informačné systémy používané na boj proti hospodárskej trestnej činnosti</w:t>
            </w:r>
          </w:p>
        </w:tc>
      </w:tr>
      <w:tr w:rsidR="00BF03AA" w:rsidRPr="00326E55" w14:paraId="50AA1924" w14:textId="77777777">
        <w:trPr>
          <w:trHeight w:val="300"/>
        </w:trPr>
        <w:tc>
          <w:tcPr>
            <w:tcW w:w="1434" w:type="dxa"/>
            <w:shd w:val="clear" w:color="auto" w:fill="C6EFCE"/>
            <w:tcMar>
              <w:left w:w="108" w:type="dxa"/>
              <w:right w:w="108" w:type="dxa"/>
            </w:tcMar>
            <w:vAlign w:val="center"/>
          </w:tcPr>
          <w:p w14:paraId="7892A1D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62</w:t>
            </w:r>
          </w:p>
        </w:tc>
        <w:tc>
          <w:tcPr>
            <w:tcW w:w="3543" w:type="dxa"/>
            <w:shd w:val="clear" w:color="auto" w:fill="C6EFCE"/>
            <w:tcMar>
              <w:left w:w="108" w:type="dxa"/>
              <w:right w:w="108" w:type="dxa"/>
            </w:tcMar>
            <w:vAlign w:val="center"/>
          </w:tcPr>
          <w:p w14:paraId="2C58555B"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277" w:type="dxa"/>
            <w:shd w:val="clear" w:color="auto" w:fill="C6EFCE"/>
            <w:tcMar>
              <w:left w:w="108" w:type="dxa"/>
              <w:right w:w="108" w:type="dxa"/>
            </w:tcMar>
            <w:vAlign w:val="center"/>
          </w:tcPr>
          <w:p w14:paraId="53CF553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5404A13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Zvýšiť absorpciu </w:t>
            </w:r>
            <w:r w:rsidRPr="00326E55">
              <w:rPr>
                <w:noProof/>
                <w:spacing w:val="-6"/>
                <w:lang w:val="sk-SK"/>
              </w:rPr>
              <w:t>investícií</w:t>
            </w:r>
          </w:p>
        </w:tc>
      </w:tr>
      <w:tr w:rsidR="00BF03AA" w:rsidRPr="00326E55" w14:paraId="7DD28031" w14:textId="77777777">
        <w:trPr>
          <w:trHeight w:val="300"/>
        </w:trPr>
        <w:tc>
          <w:tcPr>
            <w:tcW w:w="1434" w:type="dxa"/>
            <w:shd w:val="clear" w:color="auto" w:fill="C6EFCE"/>
            <w:tcMar>
              <w:left w:w="108" w:type="dxa"/>
              <w:right w:w="108" w:type="dxa"/>
            </w:tcMar>
            <w:vAlign w:val="center"/>
          </w:tcPr>
          <w:p w14:paraId="289369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115</w:t>
            </w:r>
          </w:p>
        </w:tc>
        <w:tc>
          <w:tcPr>
            <w:tcW w:w="3543" w:type="dxa"/>
            <w:shd w:val="clear" w:color="auto" w:fill="C6EFCE"/>
            <w:tcMar>
              <w:left w:w="108" w:type="dxa"/>
              <w:right w:w="108" w:type="dxa"/>
            </w:tcMar>
            <w:vAlign w:val="center"/>
          </w:tcPr>
          <w:p w14:paraId="3A45EAAB"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1.13: Reforma rámca preskúmania výdavkov</w:t>
            </w:r>
          </w:p>
        </w:tc>
        <w:tc>
          <w:tcPr>
            <w:tcW w:w="1277" w:type="dxa"/>
            <w:shd w:val="clear" w:color="auto" w:fill="C6EFCE"/>
            <w:tcMar>
              <w:left w:w="108" w:type="dxa"/>
              <w:right w:w="108" w:type="dxa"/>
            </w:tcMar>
            <w:vAlign w:val="center"/>
          </w:tcPr>
          <w:p w14:paraId="274879C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227501CB" w14:textId="69A2CC47" w:rsidR="00BF03AA" w:rsidRPr="00326E55" w:rsidRDefault="00FB452D">
            <w:pPr>
              <w:pStyle w:val="P68B1DB1-Normal121"/>
              <w:spacing w:after="0" w:line="240" w:lineRule="auto"/>
              <w:rPr>
                <w:noProof/>
                <w:spacing w:val="-6"/>
                <w:lang w:val="sk-SK"/>
              </w:rPr>
            </w:pPr>
            <w:r w:rsidRPr="00326E55">
              <w:rPr>
                <w:noProof/>
                <w:spacing w:val="-6"/>
                <w:lang w:val="sk-SK"/>
              </w:rPr>
              <w:t>Dokončenie ročného preskúmania výdavkov na rok 2024</w:t>
            </w:r>
            <w:r w:rsidR="00326E55" w:rsidRPr="00326E55">
              <w:rPr>
                <w:noProof/>
                <w:spacing w:val="-6"/>
                <w:lang w:val="sk-SK"/>
              </w:rPr>
              <w:t xml:space="preserve"> s </w:t>
            </w:r>
            <w:r w:rsidRPr="00326E55">
              <w:rPr>
                <w:noProof/>
                <w:spacing w:val="-6"/>
                <w:lang w:val="sk-SK"/>
              </w:rPr>
              <w:t>odkazom na cieľ úspor stanovený</w:t>
            </w:r>
            <w:r w:rsidR="00326E55" w:rsidRPr="00326E55">
              <w:rPr>
                <w:noProof/>
                <w:spacing w:val="-6"/>
                <w:lang w:val="sk-SK"/>
              </w:rPr>
              <w:t xml:space="preserve"> v </w:t>
            </w:r>
            <w:r w:rsidRPr="00326E55">
              <w:rPr>
                <w:noProof/>
                <w:spacing w:val="-6"/>
                <w:lang w:val="sk-SK"/>
              </w:rPr>
              <w:t>rokoch 2022</w:t>
            </w:r>
            <w:r w:rsidR="00326E55" w:rsidRPr="00326E55">
              <w:rPr>
                <w:noProof/>
                <w:spacing w:val="-6"/>
                <w:lang w:val="sk-SK"/>
              </w:rPr>
              <w:t xml:space="preserve"> a </w:t>
            </w:r>
            <w:r w:rsidRPr="00326E55">
              <w:rPr>
                <w:noProof/>
                <w:spacing w:val="-6"/>
                <w:lang w:val="sk-SK"/>
              </w:rPr>
              <w:t>2023 na rok 2024</w:t>
            </w:r>
          </w:p>
        </w:tc>
      </w:tr>
      <w:tr w:rsidR="00BF03AA" w:rsidRPr="00326E55" w14:paraId="54A8FC18" w14:textId="77777777">
        <w:trPr>
          <w:trHeight w:val="300"/>
        </w:trPr>
        <w:tc>
          <w:tcPr>
            <w:tcW w:w="1434" w:type="dxa"/>
            <w:shd w:val="clear" w:color="auto" w:fill="C6EFCE"/>
            <w:tcMar>
              <w:left w:w="108" w:type="dxa"/>
              <w:right w:w="108" w:type="dxa"/>
            </w:tcMar>
            <w:vAlign w:val="center"/>
          </w:tcPr>
          <w:p w14:paraId="0F8CC18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3</w:t>
            </w:r>
          </w:p>
        </w:tc>
        <w:tc>
          <w:tcPr>
            <w:tcW w:w="3543" w:type="dxa"/>
            <w:shd w:val="clear" w:color="auto" w:fill="C6EFCE"/>
            <w:tcMar>
              <w:left w:w="108" w:type="dxa"/>
              <w:right w:w="108" w:type="dxa"/>
            </w:tcMar>
            <w:vAlign w:val="center"/>
          </w:tcPr>
          <w:p w14:paraId="25E916E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 Transformácia 4.0</w:t>
            </w:r>
          </w:p>
        </w:tc>
        <w:tc>
          <w:tcPr>
            <w:tcW w:w="1277" w:type="dxa"/>
            <w:shd w:val="clear" w:color="auto" w:fill="C6EFCE"/>
            <w:tcMar>
              <w:left w:w="108" w:type="dxa"/>
              <w:right w:w="108" w:type="dxa"/>
            </w:tcMar>
            <w:vAlign w:val="center"/>
          </w:tcPr>
          <w:p w14:paraId="7A20AB5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5259A8AE" w14:textId="0A40F650" w:rsidR="00BF03AA" w:rsidRPr="00326E55" w:rsidRDefault="00FB452D">
            <w:pPr>
              <w:pStyle w:val="P68B1DB1-Normal121"/>
              <w:spacing w:after="0" w:line="240" w:lineRule="auto"/>
              <w:rPr>
                <w:noProof/>
                <w:spacing w:val="-6"/>
                <w:lang w:val="sk-SK"/>
              </w:rPr>
            </w:pPr>
            <w:r w:rsidRPr="00326E55">
              <w:rPr>
                <w:noProof/>
                <w:spacing w:val="-6"/>
                <w:lang w:val="sk-SK"/>
              </w:rPr>
              <w:t>Prechod 4.0</w:t>
            </w:r>
            <w:r w:rsidRPr="00326E55">
              <w:rPr>
                <w:noProof/>
                <w:spacing w:val="-6"/>
                <w:lang w:val="sk-SK"/>
              </w:rPr>
              <w:t xml:space="preserve"> dobropisov na dane poskytnutých firmám na základe daňových priznaní predložených</w:t>
            </w:r>
            <w:r w:rsidR="00326E55" w:rsidRPr="00326E55">
              <w:rPr>
                <w:noProof/>
                <w:spacing w:val="-6"/>
                <w:lang w:val="sk-SK"/>
              </w:rPr>
              <w:t xml:space="preserve"> v </w:t>
            </w:r>
            <w:r w:rsidRPr="00326E55">
              <w:rPr>
                <w:noProof/>
                <w:spacing w:val="-6"/>
                <w:lang w:val="sk-SK"/>
              </w:rPr>
              <w:t>rokoch 2021 – 2023</w:t>
            </w:r>
          </w:p>
        </w:tc>
      </w:tr>
      <w:tr w:rsidR="00BF03AA" w:rsidRPr="00326E55" w14:paraId="31655923" w14:textId="77777777">
        <w:trPr>
          <w:trHeight w:val="300"/>
        </w:trPr>
        <w:tc>
          <w:tcPr>
            <w:tcW w:w="1434" w:type="dxa"/>
            <w:shd w:val="clear" w:color="auto" w:fill="C6EFCE"/>
            <w:tcMar>
              <w:left w:w="108" w:type="dxa"/>
              <w:right w:w="108" w:type="dxa"/>
            </w:tcMar>
            <w:vAlign w:val="center"/>
          </w:tcPr>
          <w:p w14:paraId="71DBF93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16</w:t>
            </w:r>
          </w:p>
        </w:tc>
        <w:tc>
          <w:tcPr>
            <w:tcW w:w="3543" w:type="dxa"/>
            <w:shd w:val="clear" w:color="auto" w:fill="C6EFCE"/>
            <w:tcMar>
              <w:left w:w="108" w:type="dxa"/>
              <w:right w:w="108" w:type="dxa"/>
            </w:tcMar>
            <w:vAlign w:val="center"/>
          </w:tcPr>
          <w:p w14:paraId="1EF56ECE" w14:textId="47500F01" w:rsidR="00BF03AA" w:rsidRPr="00326E55" w:rsidRDefault="00FB452D">
            <w:pPr>
              <w:pStyle w:val="P68B1DB1-Normal121"/>
              <w:spacing w:after="0" w:line="240" w:lineRule="auto"/>
              <w:rPr>
                <w:noProof/>
                <w:spacing w:val="-6"/>
                <w:lang w:val="sk-SK"/>
              </w:rPr>
            </w:pPr>
            <w:r w:rsidRPr="00326E55">
              <w:rPr>
                <w:noProof/>
                <w:spacing w:val="-6"/>
                <w:lang w:val="sk-SK"/>
              </w:rPr>
              <w:t>Investícia 3.1: Nové zručnosti</w:t>
            </w:r>
            <w:r w:rsidR="00326E55" w:rsidRPr="00326E55">
              <w:rPr>
                <w:noProof/>
                <w:spacing w:val="-6"/>
                <w:lang w:val="sk-SK"/>
              </w:rPr>
              <w:t xml:space="preserve"> a </w:t>
            </w:r>
            <w:r w:rsidRPr="00326E55">
              <w:rPr>
                <w:noProof/>
                <w:spacing w:val="-6"/>
                <w:lang w:val="sk-SK"/>
              </w:rPr>
              <w:t>nové jazyky</w:t>
            </w:r>
          </w:p>
        </w:tc>
        <w:tc>
          <w:tcPr>
            <w:tcW w:w="1277" w:type="dxa"/>
            <w:shd w:val="clear" w:color="auto" w:fill="C6EFCE"/>
            <w:tcMar>
              <w:left w:w="108" w:type="dxa"/>
              <w:right w:w="108" w:type="dxa"/>
            </w:tcMar>
            <w:vAlign w:val="center"/>
          </w:tcPr>
          <w:p w14:paraId="48A89FF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080E8DDF" w14:textId="216454DE" w:rsidR="00BF03AA" w:rsidRPr="00326E55" w:rsidRDefault="00FB452D">
            <w:pPr>
              <w:pStyle w:val="P68B1DB1-Normal121"/>
              <w:spacing w:after="0" w:line="240" w:lineRule="auto"/>
              <w:rPr>
                <w:noProof/>
                <w:spacing w:val="-6"/>
                <w:lang w:val="sk-SK"/>
              </w:rPr>
            </w:pPr>
            <w:r w:rsidRPr="00326E55">
              <w:rPr>
                <w:noProof/>
                <w:spacing w:val="-6"/>
                <w:lang w:val="sk-SK"/>
              </w:rPr>
              <w:t>Prijatie rozhodnutia (rozhodnutí)</w:t>
            </w:r>
            <w:r w:rsidR="00326E55" w:rsidRPr="00326E55">
              <w:rPr>
                <w:noProof/>
                <w:spacing w:val="-6"/>
                <w:lang w:val="sk-SK"/>
              </w:rPr>
              <w:t xml:space="preserve"> o </w:t>
            </w:r>
            <w:r w:rsidRPr="00326E55">
              <w:rPr>
                <w:noProof/>
                <w:spacing w:val="-6"/>
                <w:lang w:val="sk-SK"/>
              </w:rPr>
              <w:t xml:space="preserve">udelení grantu na aktiváciu projektov STEM  </w:t>
            </w:r>
          </w:p>
        </w:tc>
      </w:tr>
      <w:tr w:rsidR="00BF03AA" w:rsidRPr="00326E55" w14:paraId="712D7FAB" w14:textId="77777777">
        <w:trPr>
          <w:trHeight w:val="300"/>
        </w:trPr>
        <w:tc>
          <w:tcPr>
            <w:tcW w:w="1434" w:type="dxa"/>
            <w:shd w:val="clear" w:color="auto" w:fill="C6EFCE"/>
            <w:tcMar>
              <w:left w:w="108" w:type="dxa"/>
              <w:right w:w="108" w:type="dxa"/>
            </w:tcMar>
            <w:vAlign w:val="center"/>
          </w:tcPr>
          <w:p w14:paraId="1819653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w:t>
            </w:r>
            <w:r w:rsidRPr="00326E55">
              <w:rPr>
                <w:noProof/>
                <w:spacing w:val="-6"/>
                <w:lang w:val="sk-SK"/>
              </w:rPr>
              <w:t>7</w:t>
            </w:r>
          </w:p>
        </w:tc>
        <w:tc>
          <w:tcPr>
            <w:tcW w:w="3543" w:type="dxa"/>
            <w:shd w:val="clear" w:color="auto" w:fill="C6EFCE"/>
            <w:tcMar>
              <w:left w:w="108" w:type="dxa"/>
              <w:right w:w="108" w:type="dxa"/>
            </w:tcMar>
            <w:vAlign w:val="center"/>
          </w:tcPr>
          <w:p w14:paraId="214DA09D" w14:textId="24A5BB9E" w:rsidR="00BF03AA" w:rsidRPr="00326E55" w:rsidRDefault="00FB452D">
            <w:pPr>
              <w:pStyle w:val="P68B1DB1-Normal121"/>
              <w:spacing w:after="0" w:line="240" w:lineRule="auto"/>
              <w:rPr>
                <w:noProof/>
                <w:spacing w:val="-6"/>
                <w:lang w:val="sk-SK"/>
              </w:rPr>
            </w:pPr>
            <w:r w:rsidRPr="00326E55">
              <w:rPr>
                <w:noProof/>
                <w:spacing w:val="-6"/>
                <w:lang w:val="sk-SK"/>
              </w:rPr>
              <w:t>Investícia 3.1: Nové zručnosti</w:t>
            </w:r>
            <w:r w:rsidR="00326E55" w:rsidRPr="00326E55">
              <w:rPr>
                <w:noProof/>
                <w:spacing w:val="-6"/>
                <w:lang w:val="sk-SK"/>
              </w:rPr>
              <w:t xml:space="preserve"> a </w:t>
            </w:r>
            <w:r w:rsidRPr="00326E55">
              <w:rPr>
                <w:noProof/>
                <w:spacing w:val="-6"/>
                <w:lang w:val="sk-SK"/>
              </w:rPr>
              <w:t>nové jazyky</w:t>
            </w:r>
          </w:p>
        </w:tc>
        <w:tc>
          <w:tcPr>
            <w:tcW w:w="1277" w:type="dxa"/>
            <w:shd w:val="clear" w:color="auto" w:fill="C6EFCE"/>
            <w:tcMar>
              <w:left w:w="108" w:type="dxa"/>
              <w:right w:w="108" w:type="dxa"/>
            </w:tcMar>
            <w:vAlign w:val="center"/>
          </w:tcPr>
          <w:p w14:paraId="3A177D8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323688D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Nové zručnosti      </w:t>
            </w:r>
          </w:p>
        </w:tc>
      </w:tr>
      <w:tr w:rsidR="00BF03AA" w:rsidRPr="00326E55" w14:paraId="6E743455" w14:textId="77777777">
        <w:trPr>
          <w:trHeight w:val="300"/>
        </w:trPr>
        <w:tc>
          <w:tcPr>
            <w:tcW w:w="1434" w:type="dxa"/>
            <w:shd w:val="clear" w:color="auto" w:fill="C6EFCE"/>
            <w:tcMar>
              <w:left w:w="108" w:type="dxa"/>
              <w:right w:w="108" w:type="dxa"/>
            </w:tcMar>
            <w:vAlign w:val="center"/>
          </w:tcPr>
          <w:p w14:paraId="7987A6D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 bis</w:t>
            </w:r>
          </w:p>
        </w:tc>
        <w:tc>
          <w:tcPr>
            <w:tcW w:w="3543" w:type="dxa"/>
            <w:shd w:val="clear" w:color="auto" w:fill="C6EFCE"/>
            <w:tcMar>
              <w:left w:w="108" w:type="dxa"/>
              <w:right w:w="108" w:type="dxa"/>
            </w:tcMar>
            <w:vAlign w:val="center"/>
          </w:tcPr>
          <w:p w14:paraId="6418CA0B"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1.2: Financovanie projektov prezentovaných mladými výskumníkmi </w:t>
            </w:r>
          </w:p>
        </w:tc>
        <w:tc>
          <w:tcPr>
            <w:tcW w:w="1277" w:type="dxa"/>
            <w:shd w:val="clear" w:color="auto" w:fill="C6EFCE"/>
            <w:tcMar>
              <w:left w:w="108" w:type="dxa"/>
              <w:right w:w="108" w:type="dxa"/>
            </w:tcMar>
            <w:vAlign w:val="center"/>
          </w:tcPr>
          <w:p w14:paraId="260BE18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30D820E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Uverejnenie dekrétu (vyhlášok), ktorým sa udeľujú finančné prostriedky mladým výskumným pracovníkom </w:t>
            </w:r>
          </w:p>
        </w:tc>
      </w:tr>
      <w:tr w:rsidR="00BF03AA" w:rsidRPr="00326E55" w14:paraId="16A27429" w14:textId="77777777">
        <w:trPr>
          <w:trHeight w:val="300"/>
        </w:trPr>
        <w:tc>
          <w:tcPr>
            <w:tcW w:w="1434" w:type="dxa"/>
            <w:shd w:val="clear" w:color="auto" w:fill="C6EFCE"/>
            <w:tcMar>
              <w:left w:w="108" w:type="dxa"/>
              <w:right w:w="108" w:type="dxa"/>
            </w:tcMar>
            <w:vAlign w:val="center"/>
          </w:tcPr>
          <w:p w14:paraId="7B0893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2</w:t>
            </w:r>
          </w:p>
        </w:tc>
        <w:tc>
          <w:tcPr>
            <w:tcW w:w="3543" w:type="dxa"/>
            <w:shd w:val="clear" w:color="auto" w:fill="C6EFCE"/>
            <w:tcMar>
              <w:left w:w="108" w:type="dxa"/>
              <w:right w:w="108" w:type="dxa"/>
            </w:tcMar>
            <w:vAlign w:val="center"/>
          </w:tcPr>
          <w:p w14:paraId="13216AF0" w14:textId="0965D5E8" w:rsidR="00BF03AA" w:rsidRPr="00326E55" w:rsidRDefault="00FB452D">
            <w:pPr>
              <w:pStyle w:val="P68B1DB1-Normal121"/>
              <w:spacing w:after="0" w:line="240" w:lineRule="auto"/>
              <w:rPr>
                <w:noProof/>
                <w:spacing w:val="-6"/>
                <w:lang w:val="sk-SK"/>
              </w:rPr>
            </w:pPr>
            <w:r w:rsidRPr="00326E55">
              <w:rPr>
                <w:noProof/>
                <w:spacing w:val="-6"/>
                <w:lang w:val="sk-SK"/>
              </w:rPr>
              <w:t>Investícia 2.1: Posilnenie</w:t>
            </w:r>
            <w:r w:rsidR="00326E55" w:rsidRPr="00326E55">
              <w:rPr>
                <w:noProof/>
                <w:spacing w:val="-6"/>
                <w:lang w:val="sk-SK"/>
              </w:rPr>
              <w:t xml:space="preserve"> a </w:t>
            </w:r>
            <w:r w:rsidRPr="00326E55">
              <w:rPr>
                <w:noProof/>
                <w:spacing w:val="-6"/>
                <w:lang w:val="sk-SK"/>
              </w:rPr>
              <w:t>posilnenie biomedicínskeho výskumu NHS</w:t>
            </w:r>
          </w:p>
        </w:tc>
        <w:tc>
          <w:tcPr>
            <w:tcW w:w="1277" w:type="dxa"/>
            <w:shd w:val="clear" w:color="auto" w:fill="C6EFCE"/>
            <w:tcMar>
              <w:left w:w="108" w:type="dxa"/>
              <w:right w:w="108" w:type="dxa"/>
            </w:tcMar>
            <w:vAlign w:val="center"/>
          </w:tcPr>
          <w:p w14:paraId="041024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7A57D565" w14:textId="16AF090D" w:rsidR="00BF03AA" w:rsidRPr="00326E55" w:rsidRDefault="00FB452D">
            <w:pPr>
              <w:pStyle w:val="P68B1DB1-Normal121"/>
              <w:spacing w:after="0" w:line="240" w:lineRule="auto"/>
              <w:rPr>
                <w:noProof/>
                <w:spacing w:val="-6"/>
                <w:lang w:val="sk-SK"/>
              </w:rPr>
            </w:pPr>
            <w:r w:rsidRPr="00326E55">
              <w:rPr>
                <w:noProof/>
                <w:spacing w:val="-6"/>
                <w:lang w:val="sk-SK"/>
              </w:rPr>
              <w:t>Výskumné projekty financované</w:t>
            </w:r>
            <w:r w:rsidR="00326E55" w:rsidRPr="00326E55">
              <w:rPr>
                <w:noProof/>
                <w:spacing w:val="-6"/>
                <w:lang w:val="sk-SK"/>
              </w:rPr>
              <w:t xml:space="preserve"> v </w:t>
            </w:r>
            <w:r w:rsidRPr="00326E55">
              <w:rPr>
                <w:noProof/>
                <w:spacing w:val="-6"/>
                <w:lang w:val="sk-SK"/>
              </w:rPr>
              <w:t>oblasti boja proti rakovine (Dôkaz konce</w:t>
            </w:r>
            <w:r w:rsidRPr="00326E55">
              <w:rPr>
                <w:noProof/>
                <w:spacing w:val="-6"/>
                <w:lang w:val="sk-SK"/>
              </w:rPr>
              <w:t>pcie)</w:t>
            </w:r>
            <w:r w:rsidR="00326E55" w:rsidRPr="00326E55">
              <w:rPr>
                <w:noProof/>
                <w:spacing w:val="-6"/>
                <w:lang w:val="sk-SK"/>
              </w:rPr>
              <w:t xml:space="preserve"> a </w:t>
            </w:r>
            <w:r w:rsidRPr="00326E55">
              <w:rPr>
                <w:noProof/>
                <w:spacing w:val="-6"/>
                <w:lang w:val="sk-SK"/>
              </w:rPr>
              <w:t>zriedkavých druhov rakoviny</w:t>
            </w:r>
            <w:r w:rsidR="00326E55" w:rsidRPr="00326E55">
              <w:rPr>
                <w:noProof/>
                <w:spacing w:val="-6"/>
                <w:lang w:val="sk-SK"/>
              </w:rPr>
              <w:t xml:space="preserve"> a </w:t>
            </w:r>
            <w:r w:rsidRPr="00326E55">
              <w:rPr>
                <w:noProof/>
                <w:spacing w:val="-6"/>
                <w:lang w:val="sk-SK"/>
              </w:rPr>
              <w:t>chorôb</w:t>
            </w:r>
          </w:p>
        </w:tc>
      </w:tr>
      <w:tr w:rsidR="00BF03AA" w:rsidRPr="00326E55" w14:paraId="18104808" w14:textId="77777777">
        <w:trPr>
          <w:trHeight w:val="300"/>
        </w:trPr>
        <w:tc>
          <w:tcPr>
            <w:tcW w:w="1434" w:type="dxa"/>
            <w:shd w:val="clear" w:color="auto" w:fill="C6EFCE"/>
            <w:tcMar>
              <w:left w:w="108" w:type="dxa"/>
              <w:right w:w="108" w:type="dxa"/>
            </w:tcMar>
            <w:vAlign w:val="center"/>
          </w:tcPr>
          <w:p w14:paraId="714F151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3</w:t>
            </w:r>
          </w:p>
        </w:tc>
        <w:tc>
          <w:tcPr>
            <w:tcW w:w="3543" w:type="dxa"/>
            <w:shd w:val="clear" w:color="auto" w:fill="C6EFCE"/>
            <w:tcMar>
              <w:left w:w="108" w:type="dxa"/>
              <w:right w:w="108" w:type="dxa"/>
            </w:tcMar>
            <w:vAlign w:val="center"/>
          </w:tcPr>
          <w:p w14:paraId="01E92F83" w14:textId="5F794E87" w:rsidR="00BF03AA" w:rsidRPr="00326E55" w:rsidRDefault="00FB452D">
            <w:pPr>
              <w:pStyle w:val="P68B1DB1-Normal121"/>
              <w:spacing w:after="0" w:line="240" w:lineRule="auto"/>
              <w:rPr>
                <w:noProof/>
                <w:spacing w:val="-6"/>
                <w:lang w:val="sk-SK"/>
              </w:rPr>
            </w:pPr>
            <w:r w:rsidRPr="00326E55">
              <w:rPr>
                <w:noProof/>
                <w:spacing w:val="-6"/>
                <w:lang w:val="sk-SK"/>
              </w:rPr>
              <w:t>Investícia 2.1: Posilnenie</w:t>
            </w:r>
            <w:r w:rsidR="00326E55" w:rsidRPr="00326E55">
              <w:rPr>
                <w:noProof/>
                <w:spacing w:val="-6"/>
                <w:lang w:val="sk-SK"/>
              </w:rPr>
              <w:t xml:space="preserve"> a </w:t>
            </w:r>
            <w:r w:rsidRPr="00326E55">
              <w:rPr>
                <w:noProof/>
                <w:spacing w:val="-6"/>
                <w:lang w:val="sk-SK"/>
              </w:rPr>
              <w:t>posilnenie biomedicínskeho výskumu NHS</w:t>
            </w:r>
          </w:p>
        </w:tc>
        <w:tc>
          <w:tcPr>
            <w:tcW w:w="1277" w:type="dxa"/>
            <w:shd w:val="clear" w:color="auto" w:fill="C6EFCE"/>
            <w:tcMar>
              <w:left w:w="108" w:type="dxa"/>
              <w:right w:w="108" w:type="dxa"/>
            </w:tcMar>
            <w:vAlign w:val="center"/>
          </w:tcPr>
          <w:p w14:paraId="69D0566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788EC45E" w14:textId="6D685D6F" w:rsidR="00BF03AA" w:rsidRPr="00326E55" w:rsidRDefault="00FB452D">
            <w:pPr>
              <w:pStyle w:val="P68B1DB1-Normal121"/>
              <w:spacing w:after="0" w:line="240" w:lineRule="auto"/>
              <w:rPr>
                <w:noProof/>
                <w:spacing w:val="-6"/>
                <w:lang w:val="sk-SK"/>
              </w:rPr>
            </w:pPr>
            <w:r w:rsidRPr="00326E55">
              <w:rPr>
                <w:noProof/>
                <w:spacing w:val="-6"/>
                <w:lang w:val="sk-SK"/>
              </w:rPr>
              <w:t>Výskumné projekty financované</w:t>
            </w:r>
            <w:r w:rsidR="00326E55" w:rsidRPr="00326E55">
              <w:rPr>
                <w:noProof/>
                <w:spacing w:val="-6"/>
                <w:lang w:val="sk-SK"/>
              </w:rPr>
              <w:t xml:space="preserve"> v </w:t>
            </w:r>
            <w:r w:rsidRPr="00326E55">
              <w:rPr>
                <w:noProof/>
                <w:spacing w:val="-6"/>
                <w:lang w:val="sk-SK"/>
              </w:rPr>
              <w:t>oblasti chorôb</w:t>
            </w:r>
            <w:r w:rsidR="00326E55" w:rsidRPr="00326E55">
              <w:rPr>
                <w:noProof/>
                <w:spacing w:val="-6"/>
                <w:lang w:val="sk-SK"/>
              </w:rPr>
              <w:t xml:space="preserve"> s </w:t>
            </w:r>
            <w:r w:rsidRPr="00326E55">
              <w:rPr>
                <w:noProof/>
                <w:spacing w:val="-6"/>
                <w:lang w:val="sk-SK"/>
              </w:rPr>
              <w:t>veľkým vplyvom na zdravie</w:t>
            </w:r>
          </w:p>
        </w:tc>
      </w:tr>
      <w:tr w:rsidR="00BF03AA" w:rsidRPr="00326E55" w14:paraId="39D4C83A" w14:textId="77777777">
        <w:trPr>
          <w:trHeight w:val="300"/>
        </w:trPr>
        <w:tc>
          <w:tcPr>
            <w:tcW w:w="1434" w:type="dxa"/>
            <w:shd w:val="clear" w:color="auto" w:fill="C6EFCE"/>
            <w:tcMar>
              <w:left w:w="108" w:type="dxa"/>
              <w:right w:w="108" w:type="dxa"/>
            </w:tcMar>
            <w:vAlign w:val="center"/>
          </w:tcPr>
          <w:p w14:paraId="43A8146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2</w:t>
            </w:r>
          </w:p>
        </w:tc>
        <w:tc>
          <w:tcPr>
            <w:tcW w:w="3543" w:type="dxa"/>
            <w:shd w:val="clear" w:color="auto" w:fill="C6EFCE"/>
            <w:tcMar>
              <w:left w:w="108" w:type="dxa"/>
              <w:right w:w="108" w:type="dxa"/>
            </w:tcMar>
            <w:vAlign w:val="center"/>
          </w:tcPr>
          <w:p w14:paraId="22228CEE" w14:textId="64287D51"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 Zefektívnenie povoľovacích </w:t>
            </w:r>
            <w:r w:rsidRPr="00326E55">
              <w:rPr>
                <w:noProof/>
                <w:spacing w:val="-6"/>
                <w:lang w:val="sk-SK"/>
              </w:rPr>
              <w:t>postupov pre energiu</w:t>
            </w:r>
            <w:r w:rsidR="00326E55" w:rsidRPr="00326E55">
              <w:rPr>
                <w:noProof/>
                <w:spacing w:val="-6"/>
                <w:lang w:val="sk-SK"/>
              </w:rPr>
              <w:t xml:space="preserve"> z </w:t>
            </w:r>
            <w:r w:rsidRPr="00326E55">
              <w:rPr>
                <w:noProof/>
                <w:spacing w:val="-6"/>
                <w:lang w:val="sk-SK"/>
              </w:rPr>
              <w:t>obnoviteľných zdrojov</w:t>
            </w:r>
          </w:p>
        </w:tc>
        <w:tc>
          <w:tcPr>
            <w:tcW w:w="1277" w:type="dxa"/>
            <w:shd w:val="clear" w:color="auto" w:fill="C6EFCE"/>
            <w:tcMar>
              <w:left w:w="108" w:type="dxa"/>
              <w:right w:w="108" w:type="dxa"/>
            </w:tcMar>
            <w:vAlign w:val="center"/>
          </w:tcPr>
          <w:p w14:paraId="2285491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6E5123BC"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právneho aktu (Testo Unico) </w:t>
            </w:r>
          </w:p>
        </w:tc>
      </w:tr>
      <w:tr w:rsidR="00BF03AA" w:rsidRPr="00326E55" w14:paraId="2A58F8FC" w14:textId="77777777">
        <w:trPr>
          <w:trHeight w:val="300"/>
        </w:trPr>
        <w:tc>
          <w:tcPr>
            <w:tcW w:w="1434" w:type="dxa"/>
            <w:shd w:val="clear" w:color="auto" w:fill="C6EFCE"/>
            <w:tcMar>
              <w:left w:w="108" w:type="dxa"/>
              <w:right w:w="108" w:type="dxa"/>
            </w:tcMar>
            <w:vAlign w:val="center"/>
          </w:tcPr>
          <w:p w14:paraId="42DA4A6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25</w:t>
            </w:r>
          </w:p>
        </w:tc>
        <w:tc>
          <w:tcPr>
            <w:tcW w:w="3543" w:type="dxa"/>
            <w:shd w:val="clear" w:color="auto" w:fill="C6EFCE"/>
            <w:tcMar>
              <w:left w:w="108" w:type="dxa"/>
              <w:right w:w="108" w:type="dxa"/>
            </w:tcMar>
            <w:vAlign w:val="center"/>
          </w:tcPr>
          <w:p w14:paraId="4B663733" w14:textId="1AFE583A" w:rsidR="00BF03AA" w:rsidRPr="00326E55" w:rsidRDefault="00FB452D">
            <w:pPr>
              <w:pStyle w:val="P68B1DB1-Normal121"/>
              <w:spacing w:after="0" w:line="240" w:lineRule="auto"/>
              <w:rPr>
                <w:noProof/>
                <w:spacing w:val="-6"/>
                <w:lang w:val="sk-SK"/>
              </w:rPr>
            </w:pPr>
            <w:r w:rsidRPr="00326E55">
              <w:rPr>
                <w:noProof/>
                <w:spacing w:val="-6"/>
                <w:lang w:val="sk-SK"/>
              </w:rPr>
              <w:t>Investícia 8: Udržateľné, obehové</w:t>
            </w:r>
            <w:r w:rsidR="00326E55" w:rsidRPr="00326E55">
              <w:rPr>
                <w:noProof/>
                <w:spacing w:val="-6"/>
                <w:lang w:val="sk-SK"/>
              </w:rPr>
              <w:t xml:space="preserve"> a </w:t>
            </w:r>
            <w:r w:rsidRPr="00326E55">
              <w:rPr>
                <w:noProof/>
                <w:spacing w:val="-6"/>
                <w:lang w:val="sk-SK"/>
              </w:rPr>
              <w:t>bezpečné dodávky kritických surovín</w:t>
            </w:r>
          </w:p>
        </w:tc>
        <w:tc>
          <w:tcPr>
            <w:tcW w:w="1277" w:type="dxa"/>
            <w:shd w:val="clear" w:color="auto" w:fill="C6EFCE"/>
            <w:tcMar>
              <w:left w:w="108" w:type="dxa"/>
              <w:right w:w="108" w:type="dxa"/>
            </w:tcMar>
            <w:vAlign w:val="center"/>
          </w:tcPr>
          <w:p w14:paraId="2B60862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310866B5" w14:textId="407B4C3F" w:rsidR="00BF03AA" w:rsidRPr="00326E55" w:rsidRDefault="00FB452D">
            <w:pPr>
              <w:pStyle w:val="P68B1DB1-Normal121"/>
              <w:spacing w:after="0" w:line="240" w:lineRule="auto"/>
              <w:rPr>
                <w:noProof/>
                <w:spacing w:val="-6"/>
                <w:lang w:val="sk-SK"/>
              </w:rPr>
            </w:pPr>
            <w:r w:rsidRPr="00326E55">
              <w:rPr>
                <w:noProof/>
                <w:spacing w:val="-6"/>
                <w:lang w:val="sk-SK"/>
              </w:rPr>
              <w:t>Uverejnenie správy</w:t>
            </w:r>
            <w:r w:rsidR="00326E55" w:rsidRPr="00326E55">
              <w:rPr>
                <w:noProof/>
                <w:spacing w:val="-6"/>
                <w:lang w:val="sk-SK"/>
              </w:rPr>
              <w:t xml:space="preserve"> o </w:t>
            </w:r>
            <w:r w:rsidRPr="00326E55">
              <w:rPr>
                <w:noProof/>
                <w:spacing w:val="-6"/>
                <w:lang w:val="sk-SK"/>
              </w:rPr>
              <w:t>budúcich potrebách kritických surovín</w:t>
            </w:r>
            <w:r w:rsidR="00326E55" w:rsidRPr="00326E55">
              <w:rPr>
                <w:noProof/>
                <w:spacing w:val="-6"/>
                <w:lang w:val="sk-SK"/>
              </w:rPr>
              <w:t xml:space="preserve"> a </w:t>
            </w:r>
            <w:r w:rsidRPr="00326E55">
              <w:rPr>
                <w:noProof/>
                <w:spacing w:val="-6"/>
                <w:lang w:val="sk-SK"/>
              </w:rPr>
              <w:t xml:space="preserve">potenciáli ekodizajnu </w:t>
            </w:r>
          </w:p>
        </w:tc>
      </w:tr>
      <w:tr w:rsidR="00BF03AA" w:rsidRPr="00326E55" w14:paraId="0EC985D7" w14:textId="77777777">
        <w:trPr>
          <w:trHeight w:val="300"/>
        </w:trPr>
        <w:tc>
          <w:tcPr>
            <w:tcW w:w="1434" w:type="dxa"/>
            <w:shd w:val="clear" w:color="auto" w:fill="C6EFCE"/>
            <w:tcMar>
              <w:left w:w="108" w:type="dxa"/>
              <w:right w:w="108" w:type="dxa"/>
            </w:tcMar>
            <w:vAlign w:val="center"/>
          </w:tcPr>
          <w:p w14:paraId="32549D1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14bis</w:t>
            </w:r>
          </w:p>
        </w:tc>
        <w:tc>
          <w:tcPr>
            <w:tcW w:w="3543" w:type="dxa"/>
            <w:shd w:val="clear" w:color="auto" w:fill="C6EFCE"/>
            <w:tcMar>
              <w:left w:w="108" w:type="dxa"/>
              <w:right w:w="108" w:type="dxa"/>
            </w:tcMar>
            <w:vAlign w:val="center"/>
          </w:tcPr>
          <w:p w14:paraId="731C1289" w14:textId="1BE92D9A" w:rsidR="00BF03AA" w:rsidRPr="00326E55" w:rsidRDefault="00FB452D">
            <w:pPr>
              <w:pStyle w:val="P68B1DB1-Normal121"/>
              <w:spacing w:after="0" w:line="240" w:lineRule="auto"/>
              <w:rPr>
                <w:noProof/>
                <w:spacing w:val="-6"/>
                <w:lang w:val="sk-SK"/>
              </w:rPr>
            </w:pPr>
            <w:r w:rsidRPr="00326E55">
              <w:rPr>
                <w:noProof/>
                <w:spacing w:val="-6"/>
                <w:lang w:val="sk-SK"/>
              </w:rPr>
              <w:t>Reforma 3: Racionalizácia</w:t>
            </w:r>
            <w:r w:rsidR="00326E55" w:rsidRPr="00326E55">
              <w:rPr>
                <w:noProof/>
                <w:spacing w:val="-6"/>
                <w:lang w:val="sk-SK"/>
              </w:rPr>
              <w:t xml:space="preserve"> a </w:t>
            </w:r>
            <w:r w:rsidRPr="00326E55">
              <w:rPr>
                <w:noProof/>
                <w:spacing w:val="-6"/>
                <w:lang w:val="sk-SK"/>
              </w:rPr>
              <w:t>zjednodušenie stimulov pre firmy.</w:t>
            </w:r>
          </w:p>
        </w:tc>
        <w:tc>
          <w:tcPr>
            <w:tcW w:w="1277" w:type="dxa"/>
            <w:shd w:val="clear" w:color="auto" w:fill="C6EFCE"/>
            <w:tcMar>
              <w:left w:w="108" w:type="dxa"/>
              <w:right w:w="108" w:type="dxa"/>
            </w:tcMar>
            <w:vAlign w:val="center"/>
          </w:tcPr>
          <w:p w14:paraId="17000A0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778D9CE9" w14:textId="094FB1F6" w:rsidR="00BF03AA" w:rsidRPr="00326E55" w:rsidRDefault="00FB452D">
            <w:pPr>
              <w:pStyle w:val="P68B1DB1-Normal121"/>
              <w:spacing w:after="0" w:line="240" w:lineRule="auto"/>
              <w:rPr>
                <w:noProof/>
                <w:spacing w:val="-6"/>
                <w:lang w:val="sk-SK"/>
              </w:rPr>
            </w:pPr>
            <w:r w:rsidRPr="00326E55">
              <w:rPr>
                <w:noProof/>
                <w:spacing w:val="-6"/>
                <w:lang w:val="sk-SK"/>
              </w:rPr>
              <w:t>Uverejnenie hodnotenia správy</w:t>
            </w:r>
            <w:r w:rsidR="00326E55" w:rsidRPr="00326E55">
              <w:rPr>
                <w:noProof/>
                <w:spacing w:val="-6"/>
                <w:lang w:val="sk-SK"/>
              </w:rPr>
              <w:t xml:space="preserve"> o </w:t>
            </w:r>
            <w:r w:rsidRPr="00326E55">
              <w:rPr>
                <w:noProof/>
                <w:spacing w:val="-6"/>
                <w:lang w:val="sk-SK"/>
              </w:rPr>
              <w:t>všetkých stimuloch pre podniky</w:t>
            </w:r>
          </w:p>
        </w:tc>
      </w:tr>
      <w:tr w:rsidR="00BF03AA" w:rsidRPr="00326E55" w14:paraId="0694A424" w14:textId="77777777">
        <w:trPr>
          <w:trHeight w:val="300"/>
        </w:trPr>
        <w:tc>
          <w:tcPr>
            <w:tcW w:w="1434" w:type="dxa"/>
            <w:shd w:val="clear" w:color="auto" w:fill="C6EFCE"/>
            <w:tcMar>
              <w:left w:w="108" w:type="dxa"/>
              <w:right w:w="108" w:type="dxa"/>
            </w:tcMar>
            <w:vAlign w:val="center"/>
          </w:tcPr>
          <w:p w14:paraId="642051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15</w:t>
            </w:r>
          </w:p>
        </w:tc>
        <w:tc>
          <w:tcPr>
            <w:tcW w:w="3543" w:type="dxa"/>
            <w:shd w:val="clear" w:color="auto" w:fill="C6EFCE"/>
            <w:tcMar>
              <w:left w:w="108" w:type="dxa"/>
              <w:right w:w="108" w:type="dxa"/>
            </w:tcMar>
            <w:vAlign w:val="center"/>
          </w:tcPr>
          <w:p w14:paraId="46F14D12"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 – Posilnenie duálneho systému</w:t>
            </w:r>
          </w:p>
        </w:tc>
        <w:tc>
          <w:tcPr>
            <w:tcW w:w="1277" w:type="dxa"/>
            <w:shd w:val="clear" w:color="auto" w:fill="C6EFCE"/>
            <w:tcMar>
              <w:left w:w="108" w:type="dxa"/>
              <w:right w:w="108" w:type="dxa"/>
            </w:tcMar>
            <w:vAlign w:val="center"/>
          </w:tcPr>
          <w:p w14:paraId="322697D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0D9ACC1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Osvedčenia vydané </w:t>
            </w:r>
            <w:r w:rsidRPr="00326E55">
              <w:rPr>
                <w:noProof/>
                <w:spacing w:val="-6"/>
                <w:lang w:val="sk-SK"/>
              </w:rPr>
              <w:t>prostredníctvom systému duálneho vzdelávania</w:t>
            </w:r>
          </w:p>
        </w:tc>
      </w:tr>
      <w:tr w:rsidR="00BF03AA" w:rsidRPr="00326E55" w14:paraId="34D23886" w14:textId="77777777">
        <w:trPr>
          <w:trHeight w:val="300"/>
        </w:trPr>
        <w:tc>
          <w:tcPr>
            <w:tcW w:w="1434" w:type="dxa"/>
            <w:shd w:val="clear" w:color="auto" w:fill="C6EFCE"/>
            <w:tcMar>
              <w:left w:w="108" w:type="dxa"/>
              <w:right w:w="108" w:type="dxa"/>
            </w:tcMar>
            <w:vAlign w:val="center"/>
          </w:tcPr>
          <w:p w14:paraId="0F69B06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12</w:t>
            </w:r>
          </w:p>
        </w:tc>
        <w:tc>
          <w:tcPr>
            <w:tcW w:w="3543" w:type="dxa"/>
            <w:shd w:val="clear" w:color="auto" w:fill="C6EFCE"/>
            <w:tcMar>
              <w:left w:w="108" w:type="dxa"/>
              <w:right w:w="108" w:type="dxa"/>
            </w:tcMar>
            <w:vAlign w:val="center"/>
          </w:tcPr>
          <w:p w14:paraId="64A02EA9" w14:textId="65BF2495" w:rsidR="00BF03AA" w:rsidRPr="00326E55" w:rsidRDefault="00FB452D">
            <w:pPr>
              <w:pStyle w:val="P68B1DB1-Normal121"/>
              <w:spacing w:after="0" w:line="240" w:lineRule="auto"/>
              <w:rPr>
                <w:noProof/>
                <w:spacing w:val="-6"/>
                <w:lang w:val="sk-SK"/>
              </w:rPr>
            </w:pPr>
            <w:r w:rsidRPr="00326E55">
              <w:rPr>
                <w:noProof/>
                <w:spacing w:val="-6"/>
                <w:lang w:val="sk-SK"/>
              </w:rPr>
              <w:t>Investícia 3.3: Kultúra</w:t>
            </w:r>
            <w:r w:rsidR="00326E55" w:rsidRPr="00326E55">
              <w:rPr>
                <w:noProof/>
                <w:spacing w:val="-6"/>
                <w:lang w:val="sk-SK"/>
              </w:rPr>
              <w:t xml:space="preserve"> a </w:t>
            </w:r>
            <w:r w:rsidRPr="00326E55">
              <w:rPr>
                <w:noProof/>
                <w:spacing w:val="-6"/>
                <w:lang w:val="sk-SK"/>
              </w:rPr>
              <w:t>informovanosť</w:t>
            </w:r>
            <w:r w:rsidR="00326E55" w:rsidRPr="00326E55">
              <w:rPr>
                <w:noProof/>
                <w:spacing w:val="-6"/>
                <w:lang w:val="sk-SK"/>
              </w:rPr>
              <w:t xml:space="preserve"> o </w:t>
            </w:r>
            <w:r w:rsidRPr="00326E55">
              <w:rPr>
                <w:noProof/>
                <w:spacing w:val="-6"/>
                <w:lang w:val="sk-SK"/>
              </w:rPr>
              <w:t>environmentálnych témach</w:t>
            </w:r>
            <w:r w:rsidR="00326E55" w:rsidRPr="00326E55">
              <w:rPr>
                <w:noProof/>
                <w:spacing w:val="-6"/>
                <w:lang w:val="sk-SK"/>
              </w:rPr>
              <w:t xml:space="preserve"> a </w:t>
            </w:r>
            <w:r w:rsidRPr="00326E55">
              <w:rPr>
                <w:noProof/>
                <w:spacing w:val="-6"/>
                <w:lang w:val="sk-SK"/>
              </w:rPr>
              <w:t>výzvach</w:t>
            </w:r>
          </w:p>
        </w:tc>
        <w:tc>
          <w:tcPr>
            <w:tcW w:w="1277" w:type="dxa"/>
            <w:shd w:val="clear" w:color="auto" w:fill="C6EFCE"/>
            <w:tcMar>
              <w:left w:w="108" w:type="dxa"/>
              <w:right w:w="108" w:type="dxa"/>
            </w:tcMar>
            <w:vAlign w:val="center"/>
          </w:tcPr>
          <w:p w14:paraId="702AF6C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3B4A84B7" w14:textId="6230A857" w:rsidR="00BF03AA" w:rsidRPr="00326E55" w:rsidRDefault="00FB452D">
            <w:pPr>
              <w:pStyle w:val="P68B1DB1-Normal121"/>
              <w:spacing w:after="0" w:line="240" w:lineRule="auto"/>
              <w:rPr>
                <w:noProof/>
                <w:spacing w:val="-6"/>
                <w:lang w:val="sk-SK"/>
              </w:rPr>
            </w:pPr>
            <w:r w:rsidRPr="00326E55">
              <w:rPr>
                <w:noProof/>
                <w:spacing w:val="-6"/>
                <w:lang w:val="sk-SK"/>
              </w:rPr>
              <w:t>Podcasty</w:t>
            </w:r>
            <w:r w:rsidR="00326E55" w:rsidRPr="00326E55">
              <w:rPr>
                <w:noProof/>
                <w:spacing w:val="-6"/>
                <w:lang w:val="sk-SK"/>
              </w:rPr>
              <w:t xml:space="preserve"> o </w:t>
            </w:r>
            <w:r w:rsidRPr="00326E55">
              <w:rPr>
                <w:noProof/>
                <w:spacing w:val="-6"/>
                <w:lang w:val="sk-SK"/>
              </w:rPr>
              <w:t>environmentálnej transformácii</w:t>
            </w:r>
          </w:p>
        </w:tc>
      </w:tr>
      <w:tr w:rsidR="00BF03AA" w:rsidRPr="00326E55" w14:paraId="413C4F0E" w14:textId="77777777">
        <w:trPr>
          <w:trHeight w:val="300"/>
        </w:trPr>
        <w:tc>
          <w:tcPr>
            <w:tcW w:w="1434" w:type="dxa"/>
            <w:shd w:val="clear" w:color="auto" w:fill="C6EFCE"/>
            <w:tcMar>
              <w:left w:w="108" w:type="dxa"/>
              <w:right w:w="108" w:type="dxa"/>
            </w:tcMar>
            <w:vAlign w:val="center"/>
          </w:tcPr>
          <w:p w14:paraId="7FCF309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19</w:t>
            </w:r>
          </w:p>
        </w:tc>
        <w:tc>
          <w:tcPr>
            <w:tcW w:w="3543" w:type="dxa"/>
            <w:shd w:val="clear" w:color="auto" w:fill="C6EFCE"/>
            <w:tcMar>
              <w:left w:w="108" w:type="dxa"/>
              <w:right w:w="108" w:type="dxa"/>
            </w:tcMar>
            <w:vAlign w:val="center"/>
          </w:tcPr>
          <w:p w14:paraId="4A86F3E1" w14:textId="10B28634" w:rsidR="00BF03AA" w:rsidRPr="00326E55" w:rsidRDefault="00FB452D">
            <w:pPr>
              <w:pStyle w:val="P68B1DB1-Normal121"/>
              <w:spacing w:after="0" w:line="240" w:lineRule="auto"/>
              <w:rPr>
                <w:noProof/>
                <w:spacing w:val="-6"/>
                <w:lang w:val="sk-SK"/>
              </w:rPr>
            </w:pPr>
            <w:r w:rsidRPr="00326E55">
              <w:rPr>
                <w:noProof/>
                <w:spacing w:val="-6"/>
                <w:lang w:val="sk-SK"/>
              </w:rPr>
              <w:t>Investícia 3.2: Škola 4.0: inovačné školy, elektroinštalácie, nov</w:t>
            </w:r>
            <w:r w:rsidRPr="00326E55">
              <w:rPr>
                <w:noProof/>
                <w:spacing w:val="-6"/>
                <w:lang w:val="sk-SK"/>
              </w:rPr>
              <w:t>é triedy</w:t>
            </w:r>
            <w:r w:rsidR="00326E55" w:rsidRPr="00326E55">
              <w:rPr>
                <w:noProof/>
                <w:spacing w:val="-6"/>
                <w:lang w:val="sk-SK"/>
              </w:rPr>
              <w:t xml:space="preserve"> a </w:t>
            </w:r>
            <w:r w:rsidRPr="00326E55">
              <w:rPr>
                <w:noProof/>
                <w:spacing w:val="-6"/>
                <w:lang w:val="sk-SK"/>
              </w:rPr>
              <w:t>semináre</w:t>
            </w:r>
          </w:p>
        </w:tc>
        <w:tc>
          <w:tcPr>
            <w:tcW w:w="1277" w:type="dxa"/>
            <w:shd w:val="clear" w:color="auto" w:fill="C6EFCE"/>
            <w:tcMar>
              <w:left w:w="108" w:type="dxa"/>
              <w:right w:w="108" w:type="dxa"/>
            </w:tcMar>
            <w:vAlign w:val="center"/>
          </w:tcPr>
          <w:p w14:paraId="3646EA6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599B98A8" w14:textId="275C471F" w:rsidR="00BF03AA" w:rsidRPr="00326E55" w:rsidRDefault="00FB452D">
            <w:pPr>
              <w:pStyle w:val="P68B1DB1-Normal121"/>
              <w:spacing w:after="0" w:line="240" w:lineRule="auto"/>
              <w:rPr>
                <w:noProof/>
                <w:spacing w:val="-6"/>
                <w:lang w:val="sk-SK"/>
              </w:rPr>
            </w:pPr>
            <w:r w:rsidRPr="00326E55">
              <w:rPr>
                <w:noProof/>
                <w:spacing w:val="-6"/>
                <w:lang w:val="sk-SK"/>
              </w:rPr>
              <w:t>Prijatie rozhodnutia (rozhodnutí)</w:t>
            </w:r>
            <w:r w:rsidR="00326E55" w:rsidRPr="00326E55">
              <w:rPr>
                <w:noProof/>
                <w:spacing w:val="-6"/>
                <w:lang w:val="sk-SK"/>
              </w:rPr>
              <w:t xml:space="preserve"> o </w:t>
            </w:r>
            <w:r w:rsidRPr="00326E55">
              <w:rPr>
                <w:noProof/>
                <w:spacing w:val="-6"/>
                <w:lang w:val="sk-SK"/>
              </w:rPr>
              <w:t>udelení grantu na nákup digitálnych zariadení a/alebo vytvorenie digitálnych laboratórií</w:t>
            </w:r>
          </w:p>
        </w:tc>
      </w:tr>
      <w:tr w:rsidR="00BF03AA" w:rsidRPr="00326E55" w14:paraId="7128613E" w14:textId="77777777">
        <w:trPr>
          <w:trHeight w:val="300"/>
        </w:trPr>
        <w:tc>
          <w:tcPr>
            <w:tcW w:w="1434" w:type="dxa"/>
            <w:shd w:val="clear" w:color="auto" w:fill="C6EFCE"/>
            <w:tcMar>
              <w:left w:w="108" w:type="dxa"/>
              <w:right w:w="108" w:type="dxa"/>
            </w:tcMar>
            <w:vAlign w:val="center"/>
          </w:tcPr>
          <w:p w14:paraId="41B1A6C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98bis</w:t>
            </w:r>
          </w:p>
        </w:tc>
        <w:tc>
          <w:tcPr>
            <w:tcW w:w="3543" w:type="dxa"/>
            <w:shd w:val="clear" w:color="auto" w:fill="C6EFCE"/>
            <w:tcMar>
              <w:left w:w="108" w:type="dxa"/>
              <w:right w:w="108" w:type="dxa"/>
            </w:tcMar>
            <w:vAlign w:val="center"/>
          </w:tcPr>
          <w:p w14:paraId="5756E559"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7" w:type="dxa"/>
            <w:shd w:val="clear" w:color="auto" w:fill="C6EFCE"/>
            <w:tcMar>
              <w:left w:w="108" w:type="dxa"/>
              <w:right w:w="108" w:type="dxa"/>
            </w:tcMar>
            <w:vAlign w:val="center"/>
          </w:tcPr>
          <w:p w14:paraId="3BA959C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6AE51375" w14:textId="31E127E9" w:rsidR="00BF03AA" w:rsidRPr="00326E55" w:rsidRDefault="00FB452D">
            <w:pPr>
              <w:pStyle w:val="P68B1DB1-Normal121"/>
              <w:spacing w:after="0" w:line="240" w:lineRule="auto"/>
              <w:rPr>
                <w:noProof/>
                <w:spacing w:val="-6"/>
                <w:lang w:val="sk-SK"/>
              </w:rPr>
            </w:pPr>
            <w:r w:rsidRPr="00326E55">
              <w:rPr>
                <w:noProof/>
                <w:spacing w:val="-6"/>
                <w:lang w:val="sk-SK"/>
              </w:rPr>
              <w:t xml:space="preserve">Štátni </w:t>
            </w:r>
            <w:r w:rsidRPr="00326E55">
              <w:rPr>
                <w:noProof/>
                <w:spacing w:val="-6"/>
                <w:lang w:val="sk-SK"/>
              </w:rPr>
              <w:t>zamestnanci vyškolení</w:t>
            </w:r>
            <w:r w:rsidR="00326E55" w:rsidRPr="00326E55">
              <w:rPr>
                <w:noProof/>
                <w:spacing w:val="-6"/>
                <w:lang w:val="sk-SK"/>
              </w:rPr>
              <w:t xml:space="preserve"> v </w:t>
            </w:r>
            <w:r w:rsidRPr="00326E55">
              <w:rPr>
                <w:noProof/>
                <w:spacing w:val="-6"/>
                <w:lang w:val="sk-SK"/>
              </w:rPr>
              <w:t>rámci stratégie profesionalizácie verejných kupujúcich</w:t>
            </w:r>
          </w:p>
        </w:tc>
      </w:tr>
      <w:tr w:rsidR="00BF03AA" w:rsidRPr="00326E55" w14:paraId="2F4FD992" w14:textId="77777777">
        <w:trPr>
          <w:trHeight w:val="300"/>
        </w:trPr>
        <w:tc>
          <w:tcPr>
            <w:tcW w:w="1434" w:type="dxa"/>
            <w:shd w:val="clear" w:color="auto" w:fill="C6EFCE"/>
            <w:tcMar>
              <w:left w:w="108" w:type="dxa"/>
              <w:right w:w="108" w:type="dxa"/>
            </w:tcMar>
            <w:vAlign w:val="center"/>
          </w:tcPr>
          <w:p w14:paraId="35277D89"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shd w:val="clear" w:color="auto" w:fill="C6EFCE"/>
            <w:tcMar>
              <w:left w:w="108" w:type="dxa"/>
              <w:right w:w="108" w:type="dxa"/>
            </w:tcMar>
            <w:vAlign w:val="center"/>
          </w:tcPr>
          <w:p w14:paraId="4707CDE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77" w:type="dxa"/>
            <w:shd w:val="clear" w:color="auto" w:fill="C6EFCE"/>
            <w:tcMar>
              <w:left w:w="108" w:type="dxa"/>
              <w:right w:w="108" w:type="dxa"/>
            </w:tcMar>
            <w:vAlign w:val="center"/>
          </w:tcPr>
          <w:p w14:paraId="11730EA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105" w:type="dxa"/>
            <w:shd w:val="clear" w:color="auto" w:fill="C6EFCE"/>
            <w:tcMar>
              <w:left w:w="108" w:type="dxa"/>
              <w:right w:w="108" w:type="dxa"/>
            </w:tcMar>
            <w:vAlign w:val="center"/>
          </w:tcPr>
          <w:p w14:paraId="0606008D"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3541589877 EUR</w:t>
            </w:r>
            <w:r w:rsidRPr="00326E55">
              <w:rPr>
                <w:noProof/>
                <w:spacing w:val="-6"/>
                <w:sz w:val="23"/>
                <w:szCs w:val="23"/>
                <w:lang w:val="sk-SK"/>
              </w:rPr>
              <w:t xml:space="preserve">  </w:t>
            </w:r>
          </w:p>
        </w:tc>
      </w:tr>
    </w:tbl>
    <w:p w14:paraId="1BF89750" w14:textId="12ED3EEA" w:rsidR="00BF03AA" w:rsidRPr="00326E55" w:rsidRDefault="00BF03AA">
      <w:pPr>
        <w:rPr>
          <w:rFonts w:ascii="Times New Roman" w:eastAsia="Times New Roman" w:hAnsi="Times New Roman" w:cs="Times New Roman"/>
          <w:noProof/>
          <w:spacing w:val="-6"/>
          <w:lang w:val="sk-SK"/>
        </w:rPr>
      </w:pPr>
    </w:p>
    <w:p w14:paraId="2AD19847"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Deviata inštalácia (nenávratná podpora):</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276"/>
        <w:gridCol w:w="3105"/>
      </w:tblGrid>
      <w:tr w:rsidR="00BF03AA" w:rsidRPr="00326E55" w14:paraId="5987E9DB" w14:textId="77777777">
        <w:trPr>
          <w:trHeight w:val="1425"/>
          <w:tblHeader/>
        </w:trPr>
        <w:tc>
          <w:tcPr>
            <w:tcW w:w="1435" w:type="dxa"/>
            <w:shd w:val="clear" w:color="auto" w:fill="BDD7EE"/>
            <w:tcMar>
              <w:left w:w="108" w:type="dxa"/>
              <w:right w:w="108" w:type="dxa"/>
            </w:tcMar>
            <w:vAlign w:val="center"/>
          </w:tcPr>
          <w:p w14:paraId="45CBA8D2"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543" w:type="dxa"/>
            <w:shd w:val="clear" w:color="auto" w:fill="BDD7EE"/>
            <w:tcMar>
              <w:left w:w="108" w:type="dxa"/>
              <w:right w:w="108" w:type="dxa"/>
            </w:tcMar>
            <w:vAlign w:val="center"/>
          </w:tcPr>
          <w:p w14:paraId="31184FA4"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76" w:type="dxa"/>
            <w:shd w:val="clear" w:color="auto" w:fill="BDD7EE"/>
            <w:tcMar>
              <w:left w:w="108" w:type="dxa"/>
              <w:right w:w="108" w:type="dxa"/>
            </w:tcMar>
            <w:vAlign w:val="center"/>
          </w:tcPr>
          <w:p w14:paraId="0CB407C5"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105" w:type="dxa"/>
            <w:shd w:val="clear" w:color="auto" w:fill="BDD7EE"/>
            <w:tcMar>
              <w:left w:w="108" w:type="dxa"/>
              <w:right w:w="108" w:type="dxa"/>
            </w:tcMar>
            <w:vAlign w:val="center"/>
          </w:tcPr>
          <w:p w14:paraId="719AC517"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5C129F7B" w14:textId="77777777">
        <w:trPr>
          <w:trHeight w:val="300"/>
        </w:trPr>
        <w:tc>
          <w:tcPr>
            <w:tcW w:w="1435" w:type="dxa"/>
            <w:shd w:val="clear" w:color="auto" w:fill="C6EFCE"/>
            <w:tcMar>
              <w:left w:w="108" w:type="dxa"/>
              <w:right w:w="108" w:type="dxa"/>
            </w:tcMar>
            <w:vAlign w:val="center"/>
          </w:tcPr>
          <w:p w14:paraId="4E2362F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7</w:t>
            </w:r>
          </w:p>
        </w:tc>
        <w:tc>
          <w:tcPr>
            <w:tcW w:w="3543" w:type="dxa"/>
            <w:shd w:val="clear" w:color="auto" w:fill="C6EFCE"/>
            <w:tcMar>
              <w:left w:w="108" w:type="dxa"/>
              <w:right w:w="108" w:type="dxa"/>
            </w:tcMar>
            <w:vAlign w:val="center"/>
          </w:tcPr>
          <w:p w14:paraId="3E990AA7" w14:textId="11A6A839" w:rsidR="00BF03AA" w:rsidRPr="00326E55" w:rsidRDefault="00FB452D">
            <w:pPr>
              <w:pStyle w:val="P68B1DB1-Normal121"/>
              <w:spacing w:after="0" w:line="240" w:lineRule="auto"/>
              <w:rPr>
                <w:noProof/>
                <w:spacing w:val="-6"/>
                <w:lang w:val="sk-SK"/>
              </w:rPr>
            </w:pPr>
            <w:r w:rsidRPr="00326E55">
              <w:rPr>
                <w:noProof/>
                <w:spacing w:val="-6"/>
                <w:lang w:val="sk-SK"/>
              </w:rPr>
              <w:t>Investícia 1.4: Mimoriadna intervencia zameraná na zníženie územných rozdielov</w:t>
            </w:r>
            <w:r w:rsidR="00326E55" w:rsidRPr="00326E55">
              <w:rPr>
                <w:noProof/>
                <w:spacing w:val="-6"/>
                <w:lang w:val="sk-SK"/>
              </w:rPr>
              <w:t xml:space="preserve"> v </w:t>
            </w:r>
            <w:r w:rsidRPr="00326E55">
              <w:rPr>
                <w:noProof/>
                <w:spacing w:val="-6"/>
                <w:lang w:val="sk-SK"/>
              </w:rPr>
              <w:t>I</w:t>
            </w:r>
            <w:r w:rsidR="00326E55" w:rsidRPr="00326E55">
              <w:rPr>
                <w:noProof/>
                <w:spacing w:val="-6"/>
                <w:lang w:val="sk-SK"/>
              </w:rPr>
              <w:t xml:space="preserve"> a </w:t>
            </w:r>
            <w:r w:rsidRPr="00326E55">
              <w:rPr>
                <w:noProof/>
                <w:spacing w:val="-6"/>
                <w:lang w:val="sk-SK"/>
              </w:rPr>
              <w:t>II cykloch stredných škôl</w:t>
            </w:r>
            <w:r w:rsidR="00326E55" w:rsidRPr="00326E55">
              <w:rPr>
                <w:noProof/>
                <w:spacing w:val="-6"/>
                <w:lang w:val="sk-SK"/>
              </w:rPr>
              <w:t xml:space="preserve"> a </w:t>
            </w:r>
            <w:r w:rsidRPr="00326E55">
              <w:rPr>
                <w:noProof/>
                <w:spacing w:val="-6"/>
                <w:lang w:val="sk-SK"/>
              </w:rPr>
              <w:t>na riešenie problému predčasného ukončenia školskej dochádzky</w:t>
            </w:r>
          </w:p>
        </w:tc>
        <w:tc>
          <w:tcPr>
            <w:tcW w:w="1276" w:type="dxa"/>
            <w:shd w:val="clear" w:color="auto" w:fill="C6EFCE"/>
            <w:tcMar>
              <w:left w:w="108" w:type="dxa"/>
              <w:right w:w="108" w:type="dxa"/>
            </w:tcMar>
            <w:vAlign w:val="center"/>
          </w:tcPr>
          <w:p w14:paraId="103A8FD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31AD2FE1" w14:textId="63AE24F5" w:rsidR="00BF03AA" w:rsidRPr="00326E55" w:rsidRDefault="00FB452D">
            <w:pPr>
              <w:pStyle w:val="P68B1DB1-Normal121"/>
              <w:spacing w:after="0" w:line="240" w:lineRule="auto"/>
              <w:rPr>
                <w:noProof/>
                <w:spacing w:val="-6"/>
                <w:lang w:val="sk-SK"/>
              </w:rPr>
            </w:pPr>
            <w:r w:rsidRPr="00326E55">
              <w:rPr>
                <w:noProof/>
                <w:spacing w:val="-6"/>
                <w:lang w:val="sk-SK"/>
              </w:rPr>
              <w:t>Študenti alebo mladí ľudia, ktorí sa zúčastnili na mentorských činnostiach a</w:t>
            </w:r>
            <w:r w:rsidRPr="00326E55">
              <w:rPr>
                <w:noProof/>
                <w:spacing w:val="-6"/>
                <w:lang w:val="sk-SK"/>
              </w:rPr>
              <w:t>lebo kurzoch odbornej prípravy</w:t>
            </w:r>
          </w:p>
        </w:tc>
      </w:tr>
      <w:tr w:rsidR="00BF03AA" w:rsidRPr="00326E55" w14:paraId="00E93C63" w14:textId="77777777">
        <w:trPr>
          <w:trHeight w:val="300"/>
        </w:trPr>
        <w:tc>
          <w:tcPr>
            <w:tcW w:w="1435" w:type="dxa"/>
            <w:shd w:val="clear" w:color="auto" w:fill="C6EFCE"/>
            <w:tcMar>
              <w:left w:w="108" w:type="dxa"/>
              <w:right w:w="108" w:type="dxa"/>
            </w:tcMar>
            <w:vAlign w:val="center"/>
          </w:tcPr>
          <w:p w14:paraId="517D1C3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14 bis</w:t>
            </w:r>
          </w:p>
        </w:tc>
        <w:tc>
          <w:tcPr>
            <w:tcW w:w="3543" w:type="dxa"/>
            <w:shd w:val="clear" w:color="auto" w:fill="C6EFCE"/>
            <w:tcMar>
              <w:left w:w="108" w:type="dxa"/>
              <w:right w:w="108" w:type="dxa"/>
            </w:tcMar>
            <w:vAlign w:val="center"/>
          </w:tcPr>
          <w:p w14:paraId="47B0E883"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2.1: Nábor učiteľov   </w:t>
            </w:r>
          </w:p>
        </w:tc>
        <w:tc>
          <w:tcPr>
            <w:tcW w:w="1276" w:type="dxa"/>
            <w:shd w:val="clear" w:color="auto" w:fill="C6EFCE"/>
            <w:tcMar>
              <w:left w:w="108" w:type="dxa"/>
              <w:right w:w="108" w:type="dxa"/>
            </w:tcMar>
            <w:vAlign w:val="center"/>
          </w:tcPr>
          <w:p w14:paraId="68D4C4B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458B026F" w14:textId="211975DB" w:rsidR="00BF03AA" w:rsidRPr="00326E55" w:rsidRDefault="00FB452D">
            <w:pPr>
              <w:pStyle w:val="P68B1DB1-Normal121"/>
              <w:spacing w:after="0" w:line="240" w:lineRule="auto"/>
              <w:rPr>
                <w:noProof/>
                <w:spacing w:val="-6"/>
                <w:lang w:val="sk-SK"/>
              </w:rPr>
            </w:pPr>
            <w:r w:rsidRPr="00326E55">
              <w:rPr>
                <w:noProof/>
                <w:spacing w:val="-6"/>
                <w:lang w:val="sk-SK"/>
              </w:rPr>
              <w:t>Učitelia prijatí do zamestnania</w:t>
            </w:r>
            <w:r w:rsidR="00326E55" w:rsidRPr="00326E55">
              <w:rPr>
                <w:noProof/>
                <w:spacing w:val="-6"/>
                <w:lang w:val="sk-SK"/>
              </w:rPr>
              <w:t xml:space="preserve"> s </w:t>
            </w:r>
            <w:r w:rsidRPr="00326E55">
              <w:rPr>
                <w:noProof/>
                <w:spacing w:val="-6"/>
                <w:lang w:val="sk-SK"/>
              </w:rPr>
              <w:t>reformovaným systémom prijímania zamestnancov</w:t>
            </w:r>
          </w:p>
        </w:tc>
      </w:tr>
      <w:tr w:rsidR="00BF03AA" w:rsidRPr="00326E55" w14:paraId="0BF79147" w14:textId="77777777">
        <w:trPr>
          <w:trHeight w:val="300"/>
        </w:trPr>
        <w:tc>
          <w:tcPr>
            <w:tcW w:w="1435" w:type="dxa"/>
            <w:shd w:val="clear" w:color="auto" w:fill="C6EFCE"/>
            <w:tcMar>
              <w:left w:w="108" w:type="dxa"/>
              <w:right w:w="108" w:type="dxa"/>
            </w:tcMar>
            <w:vAlign w:val="center"/>
          </w:tcPr>
          <w:p w14:paraId="0EBE50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6</w:t>
            </w:r>
          </w:p>
        </w:tc>
        <w:tc>
          <w:tcPr>
            <w:tcW w:w="3543" w:type="dxa"/>
            <w:shd w:val="clear" w:color="auto" w:fill="C6EFCE"/>
            <w:tcMar>
              <w:left w:w="108" w:type="dxa"/>
              <w:right w:w="108" w:type="dxa"/>
            </w:tcMar>
            <w:vAlign w:val="center"/>
          </w:tcPr>
          <w:p w14:paraId="36176AC7" w14:textId="0EA1D949" w:rsidR="00BF03AA" w:rsidRPr="00326E55" w:rsidRDefault="00FB452D">
            <w:pPr>
              <w:pStyle w:val="P68B1DB1-Normal121"/>
              <w:spacing w:after="0" w:line="240" w:lineRule="auto"/>
              <w:rPr>
                <w:noProof/>
                <w:spacing w:val="-6"/>
                <w:lang w:val="sk-SK"/>
              </w:rPr>
            </w:pPr>
            <w:r w:rsidRPr="00326E55">
              <w:rPr>
                <w:noProof/>
                <w:spacing w:val="-6"/>
                <w:lang w:val="sk-SK"/>
              </w:rPr>
              <w:t>Reforma 3: Zníženie nákladov na pripojenie</w:t>
            </w:r>
            <w:r w:rsidR="00326E55" w:rsidRPr="00326E55">
              <w:rPr>
                <w:noProof/>
                <w:spacing w:val="-6"/>
                <w:lang w:val="sk-SK"/>
              </w:rPr>
              <w:t xml:space="preserve"> k </w:t>
            </w:r>
            <w:r w:rsidRPr="00326E55">
              <w:rPr>
                <w:noProof/>
                <w:spacing w:val="-6"/>
                <w:lang w:val="sk-SK"/>
              </w:rPr>
              <w:t>plynárenskej sieti biometánu</w:t>
            </w:r>
          </w:p>
        </w:tc>
        <w:tc>
          <w:tcPr>
            <w:tcW w:w="1276" w:type="dxa"/>
            <w:shd w:val="clear" w:color="auto" w:fill="C6EFCE"/>
            <w:tcMar>
              <w:left w:w="108" w:type="dxa"/>
              <w:right w:w="108" w:type="dxa"/>
            </w:tcMar>
            <w:vAlign w:val="center"/>
          </w:tcPr>
          <w:p w14:paraId="3B6826C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25A37CCD" w14:textId="573DB50E"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právnych predpisov na zníženie nákladov na pripojenie</w:t>
            </w:r>
            <w:r w:rsidR="00326E55" w:rsidRPr="00326E55">
              <w:rPr>
                <w:noProof/>
                <w:spacing w:val="-6"/>
                <w:lang w:val="sk-SK"/>
              </w:rPr>
              <w:t xml:space="preserve"> k </w:t>
            </w:r>
            <w:r w:rsidRPr="00326E55">
              <w:rPr>
                <w:noProof/>
                <w:spacing w:val="-6"/>
                <w:lang w:val="sk-SK"/>
              </w:rPr>
              <w:t xml:space="preserve">plynárenskej sieti zariadení na výrobu biometánu </w:t>
            </w:r>
          </w:p>
        </w:tc>
      </w:tr>
      <w:tr w:rsidR="00BF03AA" w:rsidRPr="00326E55" w14:paraId="7EBACB58" w14:textId="77777777">
        <w:trPr>
          <w:trHeight w:val="300"/>
        </w:trPr>
        <w:tc>
          <w:tcPr>
            <w:tcW w:w="1435" w:type="dxa"/>
            <w:shd w:val="clear" w:color="auto" w:fill="C6EFCE"/>
            <w:tcMar>
              <w:left w:w="108" w:type="dxa"/>
              <w:right w:w="108" w:type="dxa"/>
            </w:tcMar>
            <w:vAlign w:val="center"/>
          </w:tcPr>
          <w:p w14:paraId="338D0B3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10</w:t>
            </w:r>
          </w:p>
        </w:tc>
        <w:tc>
          <w:tcPr>
            <w:tcW w:w="3543" w:type="dxa"/>
            <w:shd w:val="clear" w:color="auto" w:fill="C6EFCE"/>
            <w:tcMar>
              <w:left w:w="108" w:type="dxa"/>
              <w:right w:w="108" w:type="dxa"/>
            </w:tcMar>
            <w:vAlign w:val="center"/>
          </w:tcPr>
          <w:p w14:paraId="44F4F0B6"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5: Plán pre nové zručnosti – Prechody</w:t>
            </w:r>
          </w:p>
        </w:tc>
        <w:tc>
          <w:tcPr>
            <w:tcW w:w="1276" w:type="dxa"/>
            <w:shd w:val="clear" w:color="auto" w:fill="C6EFCE"/>
            <w:tcMar>
              <w:left w:w="108" w:type="dxa"/>
              <w:right w:w="108" w:type="dxa"/>
            </w:tcMar>
            <w:vAlign w:val="center"/>
          </w:tcPr>
          <w:p w14:paraId="03C34FE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76DC5BCD" w14:textId="57EF8A1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právnych aktov pre regióny</w:t>
            </w:r>
            <w:r w:rsidR="00326E55" w:rsidRPr="00326E55">
              <w:rPr>
                <w:noProof/>
                <w:spacing w:val="-6"/>
                <w:lang w:val="sk-SK"/>
              </w:rPr>
              <w:t xml:space="preserve"> a </w:t>
            </w:r>
            <w:r w:rsidRPr="00326E55">
              <w:rPr>
                <w:noProof/>
                <w:spacing w:val="-6"/>
                <w:lang w:val="sk-SK"/>
              </w:rPr>
              <w:t xml:space="preserve">autonómne </w:t>
            </w:r>
            <w:r w:rsidRPr="00326E55">
              <w:rPr>
                <w:noProof/>
                <w:spacing w:val="-6"/>
                <w:lang w:val="sk-SK"/>
              </w:rPr>
              <w:t>provincie</w:t>
            </w:r>
          </w:p>
        </w:tc>
      </w:tr>
      <w:tr w:rsidR="00BF03AA" w:rsidRPr="00326E55" w14:paraId="523E2AAC" w14:textId="77777777">
        <w:trPr>
          <w:trHeight w:val="300"/>
        </w:trPr>
        <w:tc>
          <w:tcPr>
            <w:tcW w:w="1435" w:type="dxa"/>
            <w:shd w:val="clear" w:color="auto" w:fill="C6EFCE"/>
            <w:tcMar>
              <w:left w:w="108" w:type="dxa"/>
              <w:right w:w="108" w:type="dxa"/>
            </w:tcMar>
            <w:vAlign w:val="center"/>
          </w:tcPr>
          <w:p w14:paraId="7CC7B71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24</w:t>
            </w:r>
          </w:p>
        </w:tc>
        <w:tc>
          <w:tcPr>
            <w:tcW w:w="3543" w:type="dxa"/>
            <w:shd w:val="clear" w:color="auto" w:fill="C6EFCE"/>
            <w:tcMar>
              <w:left w:w="108" w:type="dxa"/>
              <w:right w:w="108" w:type="dxa"/>
            </w:tcMar>
            <w:vAlign w:val="center"/>
          </w:tcPr>
          <w:p w14:paraId="14C74DB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1.7.1: Digitálna verejná služba</w:t>
            </w:r>
          </w:p>
        </w:tc>
        <w:tc>
          <w:tcPr>
            <w:tcW w:w="1276" w:type="dxa"/>
            <w:shd w:val="clear" w:color="auto" w:fill="C6EFCE"/>
            <w:tcMar>
              <w:left w:w="108" w:type="dxa"/>
              <w:right w:w="108" w:type="dxa"/>
            </w:tcMar>
            <w:vAlign w:val="center"/>
          </w:tcPr>
          <w:p w14:paraId="3CFE0CA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79371C1B"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Dobrovoľníci absolvovali odbornú prípravu </w:t>
            </w:r>
          </w:p>
        </w:tc>
      </w:tr>
      <w:tr w:rsidR="00BF03AA" w:rsidRPr="00326E55" w14:paraId="36A855F5" w14:textId="77777777">
        <w:trPr>
          <w:trHeight w:val="300"/>
        </w:trPr>
        <w:tc>
          <w:tcPr>
            <w:tcW w:w="1435" w:type="dxa"/>
            <w:shd w:val="clear" w:color="auto" w:fill="C6EFCE"/>
            <w:tcMar>
              <w:left w:w="108" w:type="dxa"/>
              <w:right w:w="108" w:type="dxa"/>
            </w:tcMar>
            <w:vAlign w:val="center"/>
          </w:tcPr>
          <w:p w14:paraId="35F7F3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96</w:t>
            </w:r>
          </w:p>
        </w:tc>
        <w:tc>
          <w:tcPr>
            <w:tcW w:w="3543" w:type="dxa"/>
            <w:shd w:val="clear" w:color="auto" w:fill="C6EFCE"/>
            <w:tcMar>
              <w:left w:w="108" w:type="dxa"/>
              <w:right w:w="108" w:type="dxa"/>
            </w:tcMar>
            <w:vAlign w:val="center"/>
          </w:tcPr>
          <w:p w14:paraId="0452FD91"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 rámca pre verejné obstarávanie</w:t>
            </w:r>
          </w:p>
        </w:tc>
        <w:tc>
          <w:tcPr>
            <w:tcW w:w="1276" w:type="dxa"/>
            <w:shd w:val="clear" w:color="auto" w:fill="C6EFCE"/>
            <w:tcMar>
              <w:left w:w="108" w:type="dxa"/>
              <w:right w:w="108" w:type="dxa"/>
            </w:tcMar>
            <w:vAlign w:val="center"/>
          </w:tcPr>
          <w:p w14:paraId="7ED6517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7EFFCEAA" w14:textId="36CCD3DC" w:rsidR="00BF03AA" w:rsidRPr="00326E55" w:rsidRDefault="00FB452D">
            <w:pPr>
              <w:pStyle w:val="P68B1DB1-Normal121"/>
              <w:spacing w:after="0" w:line="240" w:lineRule="auto"/>
              <w:rPr>
                <w:noProof/>
                <w:spacing w:val="-6"/>
                <w:lang w:val="sk-SK"/>
              </w:rPr>
            </w:pPr>
            <w:r w:rsidRPr="00326E55">
              <w:rPr>
                <w:noProof/>
                <w:spacing w:val="-6"/>
                <w:lang w:val="sk-SK"/>
              </w:rPr>
              <w:t>Priemerný čas medzi predložením ponúk</w:t>
            </w:r>
            <w:r w:rsidR="00326E55" w:rsidRPr="00326E55">
              <w:rPr>
                <w:noProof/>
                <w:spacing w:val="-6"/>
                <w:lang w:val="sk-SK"/>
              </w:rPr>
              <w:t xml:space="preserve"> a </w:t>
            </w:r>
            <w:r w:rsidRPr="00326E55">
              <w:rPr>
                <w:noProof/>
                <w:spacing w:val="-6"/>
                <w:lang w:val="sk-SK"/>
              </w:rPr>
              <w:t>zadaním zákazky</w:t>
            </w:r>
          </w:p>
        </w:tc>
      </w:tr>
      <w:tr w:rsidR="00BF03AA" w:rsidRPr="00326E55" w14:paraId="64401748" w14:textId="77777777">
        <w:trPr>
          <w:trHeight w:val="300"/>
        </w:trPr>
        <w:tc>
          <w:tcPr>
            <w:tcW w:w="1435" w:type="dxa"/>
            <w:shd w:val="clear" w:color="auto" w:fill="C6EFCE"/>
            <w:tcMar>
              <w:left w:w="108" w:type="dxa"/>
              <w:right w:w="108" w:type="dxa"/>
            </w:tcMar>
            <w:vAlign w:val="center"/>
          </w:tcPr>
          <w:p w14:paraId="72F657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116</w:t>
            </w:r>
          </w:p>
        </w:tc>
        <w:tc>
          <w:tcPr>
            <w:tcW w:w="3543" w:type="dxa"/>
            <w:shd w:val="clear" w:color="auto" w:fill="C6EFCE"/>
            <w:tcMar>
              <w:left w:w="108" w:type="dxa"/>
              <w:right w:w="108" w:type="dxa"/>
            </w:tcMar>
            <w:vAlign w:val="center"/>
          </w:tcPr>
          <w:p w14:paraId="6F91EA25"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1.12: Reforma daňovej správy</w:t>
            </w:r>
          </w:p>
        </w:tc>
        <w:tc>
          <w:tcPr>
            <w:tcW w:w="1276" w:type="dxa"/>
            <w:shd w:val="clear" w:color="auto" w:fill="C6EFCE"/>
            <w:tcMar>
              <w:left w:w="108" w:type="dxa"/>
              <w:right w:w="108" w:type="dxa"/>
            </w:tcMar>
            <w:vAlign w:val="center"/>
          </w:tcPr>
          <w:p w14:paraId="4BD075A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173EEE13" w14:textId="4846538C" w:rsidR="00BF03AA" w:rsidRPr="00326E55" w:rsidRDefault="00FB452D">
            <w:pPr>
              <w:pStyle w:val="P68B1DB1-Normal121"/>
              <w:spacing w:after="0" w:line="240" w:lineRule="auto"/>
              <w:rPr>
                <w:noProof/>
                <w:spacing w:val="-6"/>
                <w:lang w:val="sk-SK"/>
              </w:rPr>
            </w:pPr>
            <w:r w:rsidRPr="00326E55">
              <w:rPr>
                <w:noProof/>
                <w:spacing w:val="-6"/>
                <w:lang w:val="sk-SK"/>
              </w:rPr>
              <w:t>Zníženie daňových únikov, ako sa vymedzuje</w:t>
            </w:r>
            <w:r w:rsidR="00326E55" w:rsidRPr="00326E55">
              <w:rPr>
                <w:noProof/>
                <w:spacing w:val="-6"/>
                <w:lang w:val="sk-SK"/>
              </w:rPr>
              <w:t xml:space="preserve"> v </w:t>
            </w:r>
            <w:r w:rsidRPr="00326E55">
              <w:rPr>
                <w:noProof/>
                <w:spacing w:val="-6"/>
                <w:lang w:val="sk-SK"/>
              </w:rPr>
              <w:t>ukazovateli „vhodnosť vyhnúť sa daňovým únikom“</w:t>
            </w:r>
          </w:p>
        </w:tc>
      </w:tr>
      <w:tr w:rsidR="00BF03AA" w:rsidRPr="00326E55" w14:paraId="54BE4FB4" w14:textId="77777777">
        <w:trPr>
          <w:trHeight w:val="300"/>
        </w:trPr>
        <w:tc>
          <w:tcPr>
            <w:tcW w:w="1435" w:type="dxa"/>
            <w:shd w:val="clear" w:color="auto" w:fill="C6EFCE"/>
            <w:tcMar>
              <w:left w:w="108" w:type="dxa"/>
              <w:right w:w="108" w:type="dxa"/>
            </w:tcMar>
            <w:vAlign w:val="center"/>
          </w:tcPr>
          <w:p w14:paraId="09CA10D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5</w:t>
            </w:r>
          </w:p>
        </w:tc>
        <w:tc>
          <w:tcPr>
            <w:tcW w:w="3543" w:type="dxa"/>
            <w:shd w:val="clear" w:color="auto" w:fill="C6EFCE"/>
            <w:tcMar>
              <w:left w:w="108" w:type="dxa"/>
              <w:right w:w="108" w:type="dxa"/>
            </w:tcMar>
            <w:vAlign w:val="center"/>
          </w:tcPr>
          <w:p w14:paraId="27F46F88"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6: Investície do systému priemyselného vlastníctva</w:t>
            </w:r>
          </w:p>
        </w:tc>
        <w:tc>
          <w:tcPr>
            <w:tcW w:w="1276" w:type="dxa"/>
            <w:shd w:val="clear" w:color="auto" w:fill="C6EFCE"/>
            <w:tcMar>
              <w:left w:w="108" w:type="dxa"/>
              <w:right w:w="108" w:type="dxa"/>
            </w:tcMar>
            <w:vAlign w:val="center"/>
          </w:tcPr>
          <w:p w14:paraId="6767781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0775FED8" w14:textId="73C0FEC2" w:rsidR="00BF03AA" w:rsidRPr="00326E55" w:rsidRDefault="00FB452D">
            <w:pPr>
              <w:pStyle w:val="P68B1DB1-Normal121"/>
              <w:spacing w:after="0" w:line="240" w:lineRule="auto"/>
              <w:rPr>
                <w:noProof/>
                <w:spacing w:val="-6"/>
                <w:lang w:val="sk-SK"/>
              </w:rPr>
            </w:pPr>
            <w:r w:rsidRPr="00326E55">
              <w:rPr>
                <w:noProof/>
                <w:spacing w:val="-6"/>
                <w:lang w:val="sk-SK"/>
              </w:rPr>
              <w:t>Poskytnutie záverečnej správy</w:t>
            </w:r>
            <w:r w:rsidR="00326E55" w:rsidRPr="00326E55">
              <w:rPr>
                <w:noProof/>
                <w:spacing w:val="-6"/>
                <w:lang w:val="sk-SK"/>
              </w:rPr>
              <w:t xml:space="preserve"> o </w:t>
            </w:r>
            <w:r w:rsidRPr="00326E55">
              <w:rPr>
                <w:noProof/>
                <w:spacing w:val="-6"/>
                <w:lang w:val="sk-SK"/>
              </w:rPr>
              <w:t>č</w:t>
            </w:r>
            <w:r w:rsidRPr="00326E55">
              <w:rPr>
                <w:noProof/>
                <w:spacing w:val="-6"/>
                <w:lang w:val="sk-SK"/>
              </w:rPr>
              <w:t>innosti</w:t>
            </w:r>
            <w:r w:rsidR="00326E55" w:rsidRPr="00326E55">
              <w:rPr>
                <w:noProof/>
                <w:spacing w:val="-6"/>
                <w:lang w:val="sk-SK"/>
              </w:rPr>
              <w:t xml:space="preserve"> v </w:t>
            </w:r>
            <w:r w:rsidRPr="00326E55">
              <w:rPr>
                <w:noProof/>
                <w:spacing w:val="-6"/>
                <w:lang w:val="sk-SK"/>
              </w:rPr>
              <w:t>prípade najmenej 254 projektov súvisiacich</w:t>
            </w:r>
            <w:r w:rsidR="00326E55" w:rsidRPr="00326E55">
              <w:rPr>
                <w:noProof/>
                <w:spacing w:val="-6"/>
                <w:lang w:val="sk-SK"/>
              </w:rPr>
              <w:t xml:space="preserve"> s </w:t>
            </w:r>
            <w:r w:rsidRPr="00326E55">
              <w:rPr>
                <w:noProof/>
                <w:spacing w:val="-6"/>
                <w:lang w:val="sk-SK"/>
              </w:rPr>
              <w:t>priemyselným vlastníctvom</w:t>
            </w:r>
            <w:r w:rsidR="00326E55" w:rsidRPr="00326E55">
              <w:rPr>
                <w:noProof/>
                <w:spacing w:val="-6"/>
                <w:lang w:val="sk-SK"/>
              </w:rPr>
              <w:t xml:space="preserve"> a </w:t>
            </w:r>
            <w:r w:rsidRPr="00326E55">
              <w:rPr>
                <w:noProof/>
                <w:spacing w:val="-6"/>
                <w:lang w:val="sk-SK"/>
              </w:rPr>
              <w:t>výskumom</w:t>
            </w:r>
          </w:p>
        </w:tc>
      </w:tr>
      <w:tr w:rsidR="00BF03AA" w:rsidRPr="00326E55" w14:paraId="36B45856" w14:textId="77777777">
        <w:trPr>
          <w:trHeight w:val="300"/>
        </w:trPr>
        <w:tc>
          <w:tcPr>
            <w:tcW w:w="1435" w:type="dxa"/>
            <w:shd w:val="clear" w:color="auto" w:fill="C6EFCE"/>
            <w:tcMar>
              <w:left w:w="108" w:type="dxa"/>
              <w:right w:w="108" w:type="dxa"/>
            </w:tcMar>
            <w:vAlign w:val="center"/>
          </w:tcPr>
          <w:p w14:paraId="24047ED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13</w:t>
            </w:r>
          </w:p>
        </w:tc>
        <w:tc>
          <w:tcPr>
            <w:tcW w:w="3543" w:type="dxa"/>
            <w:shd w:val="clear" w:color="auto" w:fill="C6EFCE"/>
            <w:tcMar>
              <w:left w:w="108" w:type="dxa"/>
              <w:right w:w="108" w:type="dxa"/>
            </w:tcMar>
            <w:vAlign w:val="center"/>
          </w:tcPr>
          <w:p w14:paraId="5B81C3E8" w14:textId="6857D9A7" w:rsidR="00BF03AA" w:rsidRPr="00326E55" w:rsidRDefault="00FB452D">
            <w:pPr>
              <w:pStyle w:val="P68B1DB1-Normal121"/>
              <w:spacing w:after="0" w:line="240" w:lineRule="auto"/>
              <w:rPr>
                <w:noProof/>
                <w:spacing w:val="-6"/>
                <w:lang w:val="sk-SK"/>
              </w:rPr>
            </w:pPr>
            <w:r w:rsidRPr="00326E55">
              <w:rPr>
                <w:noProof/>
                <w:spacing w:val="-6"/>
                <w:lang w:val="sk-SK"/>
              </w:rPr>
              <w:t>Reforma 2: Ročné právne predpisy</w:t>
            </w:r>
            <w:r w:rsidR="00326E55" w:rsidRPr="00326E55">
              <w:rPr>
                <w:noProof/>
                <w:spacing w:val="-6"/>
                <w:lang w:val="sk-SK"/>
              </w:rPr>
              <w:t xml:space="preserve"> v </w:t>
            </w:r>
            <w:r w:rsidRPr="00326E55">
              <w:rPr>
                <w:noProof/>
                <w:spacing w:val="-6"/>
                <w:lang w:val="sk-SK"/>
              </w:rPr>
              <w:t>oblasti hospodárskej súťaže</w:t>
            </w:r>
          </w:p>
        </w:tc>
        <w:tc>
          <w:tcPr>
            <w:tcW w:w="1276" w:type="dxa"/>
            <w:shd w:val="clear" w:color="auto" w:fill="C6EFCE"/>
            <w:tcMar>
              <w:left w:w="108" w:type="dxa"/>
              <w:right w:w="108" w:type="dxa"/>
            </w:tcMar>
            <w:vAlign w:val="center"/>
          </w:tcPr>
          <w:p w14:paraId="1C458D0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333FEEAE" w14:textId="2B7E2EB3"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ročného zákona</w:t>
            </w:r>
            <w:r w:rsidR="00326E55" w:rsidRPr="00326E55">
              <w:rPr>
                <w:noProof/>
                <w:spacing w:val="-6"/>
                <w:lang w:val="sk-SK"/>
              </w:rPr>
              <w:t xml:space="preserve"> o </w:t>
            </w:r>
            <w:r w:rsidRPr="00326E55">
              <w:rPr>
                <w:noProof/>
                <w:spacing w:val="-6"/>
                <w:lang w:val="sk-SK"/>
              </w:rPr>
              <w:t>hospodárskej súťaži 2025</w:t>
            </w:r>
          </w:p>
        </w:tc>
      </w:tr>
      <w:tr w:rsidR="00BF03AA" w:rsidRPr="00326E55" w14:paraId="29CFD46C" w14:textId="77777777">
        <w:trPr>
          <w:trHeight w:val="300"/>
        </w:trPr>
        <w:tc>
          <w:tcPr>
            <w:tcW w:w="1435" w:type="dxa"/>
            <w:shd w:val="clear" w:color="auto" w:fill="C6EFCE"/>
            <w:tcMar>
              <w:left w:w="108" w:type="dxa"/>
              <w:right w:w="108" w:type="dxa"/>
            </w:tcMar>
            <w:vAlign w:val="center"/>
          </w:tcPr>
          <w:p w14:paraId="3FADADE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14</w:t>
            </w:r>
          </w:p>
        </w:tc>
        <w:tc>
          <w:tcPr>
            <w:tcW w:w="3543" w:type="dxa"/>
            <w:shd w:val="clear" w:color="auto" w:fill="C6EFCE"/>
            <w:tcMar>
              <w:left w:w="108" w:type="dxa"/>
              <w:right w:w="108" w:type="dxa"/>
            </w:tcMar>
            <w:vAlign w:val="center"/>
          </w:tcPr>
          <w:p w14:paraId="04F4C4B8" w14:textId="489E5363" w:rsidR="00BF03AA" w:rsidRPr="00326E55" w:rsidRDefault="00FB452D">
            <w:pPr>
              <w:pStyle w:val="P68B1DB1-Normal121"/>
              <w:spacing w:after="0" w:line="240" w:lineRule="auto"/>
              <w:rPr>
                <w:noProof/>
                <w:spacing w:val="-6"/>
                <w:lang w:val="sk-SK"/>
              </w:rPr>
            </w:pPr>
            <w:r w:rsidRPr="00326E55">
              <w:rPr>
                <w:noProof/>
                <w:spacing w:val="-6"/>
                <w:lang w:val="sk-SK"/>
              </w:rPr>
              <w:t>Reforma</w:t>
            </w:r>
            <w:r w:rsidRPr="00326E55">
              <w:rPr>
                <w:noProof/>
                <w:spacing w:val="-6"/>
                <w:lang w:val="sk-SK"/>
              </w:rPr>
              <w:t xml:space="preserve"> 2: Ročné právne predpisy</w:t>
            </w:r>
            <w:r w:rsidR="00326E55" w:rsidRPr="00326E55">
              <w:rPr>
                <w:noProof/>
                <w:spacing w:val="-6"/>
                <w:lang w:val="sk-SK"/>
              </w:rPr>
              <w:t xml:space="preserve"> v </w:t>
            </w:r>
            <w:r w:rsidRPr="00326E55">
              <w:rPr>
                <w:noProof/>
                <w:spacing w:val="-6"/>
                <w:lang w:val="sk-SK"/>
              </w:rPr>
              <w:t>oblasti hospodárskej súťaže</w:t>
            </w:r>
          </w:p>
        </w:tc>
        <w:tc>
          <w:tcPr>
            <w:tcW w:w="1276" w:type="dxa"/>
            <w:shd w:val="clear" w:color="auto" w:fill="C6EFCE"/>
            <w:tcMar>
              <w:left w:w="108" w:type="dxa"/>
              <w:right w:w="108" w:type="dxa"/>
            </w:tcMar>
            <w:vAlign w:val="center"/>
          </w:tcPr>
          <w:p w14:paraId="3D2B85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49BB198B" w14:textId="77777777" w:rsidR="00BF03AA" w:rsidRPr="00326E55" w:rsidRDefault="00FB452D">
            <w:pPr>
              <w:pStyle w:val="P68B1DB1-Normal121"/>
              <w:spacing w:after="0" w:line="240" w:lineRule="auto"/>
              <w:rPr>
                <w:noProof/>
                <w:spacing w:val="-6"/>
                <w:lang w:val="sk-SK"/>
              </w:rPr>
            </w:pPr>
            <w:r w:rsidRPr="00326E55">
              <w:rPr>
                <w:noProof/>
                <w:spacing w:val="-6"/>
                <w:lang w:val="sk-SK"/>
              </w:rPr>
              <w:t>Milióny inteligentných meračov 2G.</w:t>
            </w:r>
          </w:p>
        </w:tc>
      </w:tr>
      <w:tr w:rsidR="00BF03AA" w:rsidRPr="00326E55" w14:paraId="3BAE8A5E" w14:textId="77777777">
        <w:trPr>
          <w:trHeight w:val="300"/>
        </w:trPr>
        <w:tc>
          <w:tcPr>
            <w:tcW w:w="1435" w:type="dxa"/>
            <w:shd w:val="clear" w:color="auto" w:fill="C6EFCE"/>
            <w:tcMar>
              <w:left w:w="108" w:type="dxa"/>
              <w:right w:w="108" w:type="dxa"/>
            </w:tcMar>
            <w:vAlign w:val="center"/>
          </w:tcPr>
          <w:p w14:paraId="2514EE6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w:t>
            </w:r>
          </w:p>
        </w:tc>
        <w:tc>
          <w:tcPr>
            <w:tcW w:w="3543" w:type="dxa"/>
            <w:shd w:val="clear" w:color="auto" w:fill="C6EFCE"/>
            <w:tcMar>
              <w:left w:w="108" w:type="dxa"/>
              <w:right w:w="108" w:type="dxa"/>
            </w:tcMar>
            <w:vAlign w:val="center"/>
          </w:tcPr>
          <w:p w14:paraId="2F0BB878" w14:textId="1770E53D" w:rsidR="00BF03AA" w:rsidRPr="00326E55" w:rsidRDefault="00FB452D">
            <w:pPr>
              <w:pStyle w:val="P68B1DB1-Normal121"/>
              <w:spacing w:after="0" w:line="240" w:lineRule="auto"/>
              <w:rPr>
                <w:noProof/>
                <w:spacing w:val="-6"/>
                <w:lang w:val="sk-SK"/>
              </w:rPr>
            </w:pPr>
            <w:r w:rsidRPr="00326E55">
              <w:rPr>
                <w:noProof/>
                <w:spacing w:val="-6"/>
                <w:lang w:val="sk-SK"/>
              </w:rPr>
              <w:t>Investície – 1.1 Digitálna stratégia</w:t>
            </w:r>
            <w:r w:rsidR="00326E55" w:rsidRPr="00326E55">
              <w:rPr>
                <w:noProof/>
                <w:spacing w:val="-6"/>
                <w:lang w:val="sk-SK"/>
              </w:rPr>
              <w:t xml:space="preserve"> a </w:t>
            </w:r>
            <w:r w:rsidRPr="00326E55">
              <w:rPr>
                <w:noProof/>
                <w:spacing w:val="-6"/>
                <w:lang w:val="sk-SK"/>
              </w:rPr>
              <w:t>platformy pre kultúrne dedičstvo</w:t>
            </w:r>
          </w:p>
        </w:tc>
        <w:tc>
          <w:tcPr>
            <w:tcW w:w="1276" w:type="dxa"/>
            <w:shd w:val="clear" w:color="auto" w:fill="C6EFCE"/>
            <w:tcMar>
              <w:left w:w="108" w:type="dxa"/>
              <w:right w:w="108" w:type="dxa"/>
            </w:tcMar>
            <w:vAlign w:val="center"/>
          </w:tcPr>
          <w:p w14:paraId="6FB0AA8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678A320A" w14:textId="4BF543E9" w:rsidR="00BF03AA" w:rsidRPr="00326E55" w:rsidRDefault="00FB452D">
            <w:pPr>
              <w:pStyle w:val="P68B1DB1-Normal121"/>
              <w:spacing w:after="0" w:line="240" w:lineRule="auto"/>
              <w:rPr>
                <w:noProof/>
                <w:spacing w:val="-6"/>
                <w:lang w:val="sk-SK"/>
              </w:rPr>
            </w:pPr>
            <w:r w:rsidRPr="00326E55">
              <w:rPr>
                <w:noProof/>
                <w:spacing w:val="-6"/>
                <w:lang w:val="sk-SK"/>
              </w:rPr>
              <w:t>Uverejnené digitálne</w:t>
            </w:r>
            <w:r w:rsidR="00326E55" w:rsidRPr="00326E55">
              <w:rPr>
                <w:noProof/>
                <w:spacing w:val="-6"/>
                <w:lang w:val="sk-SK"/>
              </w:rPr>
              <w:t xml:space="preserve"> a </w:t>
            </w:r>
            <w:r w:rsidRPr="00326E55">
              <w:rPr>
                <w:noProof/>
                <w:spacing w:val="-6"/>
                <w:lang w:val="sk-SK"/>
              </w:rPr>
              <w:t>mediálne zdroje</w:t>
            </w:r>
          </w:p>
        </w:tc>
      </w:tr>
      <w:tr w:rsidR="00BF03AA" w:rsidRPr="00326E55" w14:paraId="6076936A" w14:textId="77777777">
        <w:trPr>
          <w:trHeight w:val="300"/>
        </w:trPr>
        <w:tc>
          <w:tcPr>
            <w:tcW w:w="1435" w:type="dxa"/>
            <w:shd w:val="clear" w:color="auto" w:fill="C6EFCE"/>
            <w:tcMar>
              <w:left w:w="108" w:type="dxa"/>
              <w:right w:w="108" w:type="dxa"/>
            </w:tcMar>
            <w:vAlign w:val="center"/>
          </w:tcPr>
          <w:p w14:paraId="31FEFEB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5</w:t>
            </w:r>
          </w:p>
        </w:tc>
        <w:tc>
          <w:tcPr>
            <w:tcW w:w="3543" w:type="dxa"/>
            <w:shd w:val="clear" w:color="auto" w:fill="C6EFCE"/>
            <w:tcMar>
              <w:left w:w="108" w:type="dxa"/>
              <w:right w:w="108" w:type="dxa"/>
            </w:tcMar>
            <w:vAlign w:val="center"/>
          </w:tcPr>
          <w:p w14:paraId="1E7F29D2" w14:textId="4893F372" w:rsidR="00BF03AA" w:rsidRPr="00326E55" w:rsidRDefault="00FB452D">
            <w:pPr>
              <w:pStyle w:val="P68B1DB1-Normal121"/>
              <w:spacing w:after="0" w:line="240" w:lineRule="auto"/>
              <w:rPr>
                <w:noProof/>
                <w:spacing w:val="-6"/>
                <w:lang w:val="sk-SK"/>
              </w:rPr>
            </w:pPr>
            <w:r w:rsidRPr="00326E55">
              <w:rPr>
                <w:noProof/>
                <w:spacing w:val="-6"/>
                <w:lang w:val="sk-SK"/>
              </w:rPr>
              <w:t>Investície – 1.3 Zlepšiť</w:t>
            </w:r>
            <w:r w:rsidRPr="00326E55">
              <w:rPr>
                <w:noProof/>
                <w:spacing w:val="-6"/>
                <w:lang w:val="sk-SK"/>
              </w:rPr>
              <w:t xml:space="preserve"> energetickú účinnosť kín, divadiel</w:t>
            </w:r>
            <w:r w:rsidR="00326E55" w:rsidRPr="00326E55">
              <w:rPr>
                <w:noProof/>
                <w:spacing w:val="-6"/>
                <w:lang w:val="sk-SK"/>
              </w:rPr>
              <w:t xml:space="preserve"> a </w:t>
            </w:r>
            <w:r w:rsidRPr="00326E55">
              <w:rPr>
                <w:noProof/>
                <w:spacing w:val="-6"/>
                <w:lang w:val="sk-SK"/>
              </w:rPr>
              <w:t>múzeí</w:t>
            </w:r>
          </w:p>
        </w:tc>
        <w:tc>
          <w:tcPr>
            <w:tcW w:w="1276" w:type="dxa"/>
            <w:shd w:val="clear" w:color="auto" w:fill="C6EFCE"/>
            <w:tcMar>
              <w:left w:w="108" w:type="dxa"/>
              <w:right w:w="108" w:type="dxa"/>
            </w:tcMar>
            <w:vAlign w:val="center"/>
          </w:tcPr>
          <w:p w14:paraId="0F74279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7620B96D" w14:textId="176998F5" w:rsidR="00BF03AA" w:rsidRPr="00326E55" w:rsidRDefault="00FB452D">
            <w:pPr>
              <w:pStyle w:val="P68B1DB1-Normal121"/>
              <w:spacing w:after="0" w:line="240" w:lineRule="auto"/>
              <w:rPr>
                <w:noProof/>
                <w:spacing w:val="-6"/>
                <w:lang w:val="sk-SK"/>
              </w:rPr>
            </w:pPr>
            <w:r w:rsidRPr="00326E55">
              <w:rPr>
                <w:noProof/>
                <w:spacing w:val="-6"/>
                <w:lang w:val="sk-SK"/>
              </w:rPr>
              <w:t>Uzatvárajú sa vystúpenia na štátnych múzeách</w:t>
            </w:r>
            <w:r w:rsidR="00326E55" w:rsidRPr="00326E55">
              <w:rPr>
                <w:noProof/>
                <w:spacing w:val="-6"/>
                <w:lang w:val="sk-SK"/>
              </w:rPr>
              <w:t xml:space="preserve"> a </w:t>
            </w:r>
            <w:r w:rsidRPr="00326E55">
              <w:rPr>
                <w:noProof/>
                <w:spacing w:val="-6"/>
                <w:lang w:val="sk-SK"/>
              </w:rPr>
              <w:t>kultúrnych pamiatok, divadelných sálach</w:t>
            </w:r>
            <w:r w:rsidR="00326E55" w:rsidRPr="00326E55">
              <w:rPr>
                <w:noProof/>
                <w:spacing w:val="-6"/>
                <w:lang w:val="sk-SK"/>
              </w:rPr>
              <w:t xml:space="preserve"> a </w:t>
            </w:r>
            <w:r w:rsidRPr="00326E55">
              <w:rPr>
                <w:noProof/>
                <w:spacing w:val="-6"/>
                <w:lang w:val="sk-SK"/>
              </w:rPr>
              <w:t>kinách (druhá séria)</w:t>
            </w:r>
          </w:p>
        </w:tc>
      </w:tr>
      <w:tr w:rsidR="00BF03AA" w:rsidRPr="00326E55" w14:paraId="3090BDC5" w14:textId="77777777">
        <w:trPr>
          <w:trHeight w:val="300"/>
        </w:trPr>
        <w:tc>
          <w:tcPr>
            <w:tcW w:w="1435" w:type="dxa"/>
            <w:shd w:val="clear" w:color="auto" w:fill="C6EFCE"/>
            <w:tcMar>
              <w:left w:w="108" w:type="dxa"/>
              <w:right w:w="108" w:type="dxa"/>
            </w:tcMar>
            <w:vAlign w:val="center"/>
          </w:tcPr>
          <w:p w14:paraId="40023D6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3</w:t>
            </w:r>
          </w:p>
        </w:tc>
        <w:tc>
          <w:tcPr>
            <w:tcW w:w="3543" w:type="dxa"/>
            <w:shd w:val="clear" w:color="auto" w:fill="C6EFCE"/>
            <w:tcMar>
              <w:left w:w="108" w:type="dxa"/>
              <w:right w:w="108" w:type="dxa"/>
            </w:tcMar>
            <w:vAlign w:val="center"/>
          </w:tcPr>
          <w:p w14:paraId="30FB3200" w14:textId="649990B4" w:rsidR="00BF03AA" w:rsidRPr="00326E55" w:rsidRDefault="00FB452D">
            <w:pPr>
              <w:pStyle w:val="P68B1DB1-Normal121"/>
              <w:spacing w:after="0" w:line="240" w:lineRule="auto"/>
              <w:rPr>
                <w:noProof/>
                <w:spacing w:val="-6"/>
                <w:lang w:val="sk-SK"/>
              </w:rPr>
            </w:pPr>
            <w:r w:rsidRPr="00326E55">
              <w:rPr>
                <w:noProof/>
                <w:spacing w:val="-6"/>
                <w:lang w:val="sk-SK"/>
              </w:rPr>
              <w:t>Investícia 2.1 – Posilnenie ekobonusu</w:t>
            </w:r>
            <w:r w:rsidR="00326E55" w:rsidRPr="00326E55">
              <w:rPr>
                <w:noProof/>
                <w:spacing w:val="-6"/>
                <w:lang w:val="sk-SK"/>
              </w:rPr>
              <w:t xml:space="preserve"> v </w:t>
            </w:r>
            <w:r w:rsidRPr="00326E55">
              <w:rPr>
                <w:noProof/>
                <w:spacing w:val="-6"/>
                <w:lang w:val="sk-SK"/>
              </w:rPr>
              <w:t xml:space="preserve">záujme energetickej efektívnosti </w:t>
            </w:r>
          </w:p>
        </w:tc>
        <w:tc>
          <w:tcPr>
            <w:tcW w:w="1276" w:type="dxa"/>
            <w:shd w:val="clear" w:color="auto" w:fill="C6EFCE"/>
            <w:tcMar>
              <w:left w:w="108" w:type="dxa"/>
              <w:right w:w="108" w:type="dxa"/>
            </w:tcMar>
            <w:vAlign w:val="center"/>
          </w:tcPr>
          <w:p w14:paraId="2FB9F4B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0BED7AE8" w14:textId="77777777" w:rsidR="00BF03AA" w:rsidRPr="00326E55" w:rsidRDefault="00FB452D">
            <w:pPr>
              <w:pStyle w:val="P68B1DB1-Normal121"/>
              <w:spacing w:after="0" w:line="240" w:lineRule="auto"/>
              <w:rPr>
                <w:noProof/>
                <w:spacing w:val="-6"/>
                <w:lang w:val="sk-SK"/>
              </w:rPr>
            </w:pPr>
            <w:r w:rsidRPr="00326E55">
              <w:rPr>
                <w:noProof/>
                <w:spacing w:val="-6"/>
                <w:lang w:val="sk-SK"/>
              </w:rPr>
              <w:t>Obnova b</w:t>
            </w:r>
            <w:r w:rsidRPr="00326E55">
              <w:rPr>
                <w:noProof/>
                <w:spacing w:val="-6"/>
                <w:lang w:val="sk-SK"/>
              </w:rPr>
              <w:t>udov Superbonus T2</w:t>
            </w:r>
          </w:p>
        </w:tc>
      </w:tr>
      <w:tr w:rsidR="00BF03AA" w:rsidRPr="00326E55" w14:paraId="4B836493" w14:textId="77777777">
        <w:trPr>
          <w:trHeight w:val="300"/>
        </w:trPr>
        <w:tc>
          <w:tcPr>
            <w:tcW w:w="1435" w:type="dxa"/>
            <w:shd w:val="clear" w:color="auto" w:fill="C6EFCE"/>
            <w:tcMar>
              <w:left w:w="108" w:type="dxa"/>
              <w:right w:w="108" w:type="dxa"/>
            </w:tcMar>
            <w:vAlign w:val="center"/>
          </w:tcPr>
          <w:p w14:paraId="3BCCFDD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13</w:t>
            </w:r>
          </w:p>
        </w:tc>
        <w:tc>
          <w:tcPr>
            <w:tcW w:w="3543" w:type="dxa"/>
            <w:shd w:val="clear" w:color="auto" w:fill="C6EFCE"/>
            <w:tcMar>
              <w:left w:w="108" w:type="dxa"/>
              <w:right w:w="108" w:type="dxa"/>
            </w:tcMar>
            <w:vAlign w:val="center"/>
          </w:tcPr>
          <w:p w14:paraId="423301B0" w14:textId="12116D4C" w:rsidR="00BF03AA" w:rsidRPr="00326E55" w:rsidRDefault="00FB452D">
            <w:pPr>
              <w:pStyle w:val="P68B1DB1-Normal121"/>
              <w:spacing w:after="0" w:line="240" w:lineRule="auto"/>
              <w:rPr>
                <w:noProof/>
                <w:spacing w:val="-6"/>
                <w:lang w:val="sk-SK"/>
              </w:rPr>
            </w:pPr>
            <w:r w:rsidRPr="00326E55">
              <w:rPr>
                <w:noProof/>
                <w:spacing w:val="-6"/>
                <w:lang w:val="sk-SK"/>
              </w:rPr>
              <w:t>Investícia 2.1: Integrovaná digitálna výučba</w:t>
            </w:r>
            <w:r w:rsidR="00326E55" w:rsidRPr="00326E55">
              <w:rPr>
                <w:noProof/>
                <w:spacing w:val="-6"/>
                <w:lang w:val="sk-SK"/>
              </w:rPr>
              <w:t xml:space="preserve"> a </w:t>
            </w:r>
            <w:r w:rsidRPr="00326E55">
              <w:rPr>
                <w:noProof/>
                <w:spacing w:val="-6"/>
                <w:lang w:val="sk-SK"/>
              </w:rPr>
              <w:t>odborná príprava zamestnancov škôl</w:t>
            </w:r>
            <w:r w:rsidR="00326E55" w:rsidRPr="00326E55">
              <w:rPr>
                <w:noProof/>
                <w:spacing w:val="-6"/>
                <w:lang w:val="sk-SK"/>
              </w:rPr>
              <w:t xml:space="preserve"> v </w:t>
            </w:r>
            <w:r w:rsidRPr="00326E55">
              <w:rPr>
                <w:noProof/>
                <w:spacing w:val="-6"/>
                <w:lang w:val="sk-SK"/>
              </w:rPr>
              <w:t>oblasti digitálnej transformácie;</w:t>
            </w:r>
          </w:p>
        </w:tc>
        <w:tc>
          <w:tcPr>
            <w:tcW w:w="1276" w:type="dxa"/>
            <w:shd w:val="clear" w:color="auto" w:fill="C6EFCE"/>
            <w:tcMar>
              <w:left w:w="108" w:type="dxa"/>
              <w:right w:w="108" w:type="dxa"/>
            </w:tcMar>
            <w:vAlign w:val="center"/>
          </w:tcPr>
          <w:p w14:paraId="39D49B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2C6F790B" w14:textId="672E247B" w:rsidR="00BF03AA" w:rsidRPr="00326E55" w:rsidRDefault="00FB452D">
            <w:pPr>
              <w:pStyle w:val="P68B1DB1-Normal121"/>
              <w:spacing w:after="0" w:line="240" w:lineRule="auto"/>
              <w:rPr>
                <w:noProof/>
                <w:spacing w:val="-6"/>
                <w:lang w:val="sk-SK"/>
              </w:rPr>
            </w:pPr>
            <w:r w:rsidRPr="00326E55">
              <w:rPr>
                <w:noProof/>
                <w:spacing w:val="-6"/>
                <w:lang w:val="sk-SK"/>
              </w:rPr>
              <w:t>Odborná príprava vedúcich pracovníkov škôl, učiteľov</w:t>
            </w:r>
            <w:r w:rsidR="00326E55" w:rsidRPr="00326E55">
              <w:rPr>
                <w:noProof/>
                <w:spacing w:val="-6"/>
                <w:lang w:val="sk-SK"/>
              </w:rPr>
              <w:t xml:space="preserve"> a </w:t>
            </w:r>
            <w:r w:rsidRPr="00326E55">
              <w:rPr>
                <w:noProof/>
                <w:spacing w:val="-6"/>
                <w:lang w:val="sk-SK"/>
              </w:rPr>
              <w:t xml:space="preserve">administratívnych pracovníkov    </w:t>
            </w:r>
          </w:p>
        </w:tc>
      </w:tr>
      <w:tr w:rsidR="00BF03AA" w:rsidRPr="00326E55" w14:paraId="30A1906D" w14:textId="77777777">
        <w:trPr>
          <w:trHeight w:val="300"/>
        </w:trPr>
        <w:tc>
          <w:tcPr>
            <w:tcW w:w="1435" w:type="dxa"/>
            <w:shd w:val="clear" w:color="auto" w:fill="C6EFCE"/>
            <w:tcMar>
              <w:left w:w="108" w:type="dxa"/>
              <w:right w:w="108" w:type="dxa"/>
            </w:tcMar>
            <w:vAlign w:val="center"/>
          </w:tcPr>
          <w:p w14:paraId="0AB6437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2bis</w:t>
            </w:r>
          </w:p>
        </w:tc>
        <w:tc>
          <w:tcPr>
            <w:tcW w:w="3543" w:type="dxa"/>
            <w:shd w:val="clear" w:color="auto" w:fill="C6EFCE"/>
            <w:tcMar>
              <w:left w:w="108" w:type="dxa"/>
              <w:right w:w="108" w:type="dxa"/>
            </w:tcMar>
            <w:vAlign w:val="center"/>
          </w:tcPr>
          <w:p w14:paraId="0D4784A0" w14:textId="79E8CA2F" w:rsidR="00BF03AA" w:rsidRPr="00326E55" w:rsidRDefault="00FB452D">
            <w:pPr>
              <w:pStyle w:val="P68B1DB1-Normal121"/>
              <w:spacing w:after="0" w:line="240" w:lineRule="auto"/>
              <w:rPr>
                <w:noProof/>
                <w:spacing w:val="-6"/>
                <w:lang w:val="sk-SK"/>
              </w:rPr>
            </w:pPr>
            <w:r w:rsidRPr="00326E55">
              <w:rPr>
                <w:noProof/>
                <w:spacing w:val="-6"/>
                <w:lang w:val="sk-SK"/>
              </w:rPr>
              <w:t>Investícia 2.2a: Dohody</w:t>
            </w:r>
            <w:r w:rsidR="00326E55" w:rsidRPr="00326E55">
              <w:rPr>
                <w:noProof/>
                <w:spacing w:val="-6"/>
                <w:lang w:val="sk-SK"/>
              </w:rPr>
              <w:t xml:space="preserve"> o </w:t>
            </w:r>
            <w:r w:rsidRPr="00326E55">
              <w:rPr>
                <w:noProof/>
                <w:spacing w:val="-6"/>
                <w:lang w:val="sk-SK"/>
              </w:rPr>
              <w:t>inováciách</w:t>
            </w:r>
          </w:p>
        </w:tc>
        <w:tc>
          <w:tcPr>
            <w:tcW w:w="1276" w:type="dxa"/>
            <w:shd w:val="clear" w:color="auto" w:fill="C6EFCE"/>
            <w:tcMar>
              <w:left w:w="108" w:type="dxa"/>
              <w:right w:w="108" w:type="dxa"/>
            </w:tcMar>
            <w:vAlign w:val="center"/>
          </w:tcPr>
          <w:p w14:paraId="0BB7B7C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22123C57" w14:textId="32E1F175" w:rsidR="00BF03AA" w:rsidRPr="00326E55" w:rsidRDefault="00FB452D">
            <w:pPr>
              <w:pStyle w:val="P68B1DB1-Normal121"/>
              <w:spacing w:after="0" w:line="240" w:lineRule="auto"/>
              <w:rPr>
                <w:noProof/>
                <w:spacing w:val="-6"/>
                <w:lang w:val="sk-SK"/>
              </w:rPr>
            </w:pPr>
            <w:r w:rsidRPr="00326E55">
              <w:rPr>
                <w:noProof/>
                <w:spacing w:val="-6"/>
                <w:lang w:val="sk-SK"/>
              </w:rPr>
              <w:t>Dokončené dohody</w:t>
            </w:r>
            <w:r w:rsidR="00326E55" w:rsidRPr="00326E55">
              <w:rPr>
                <w:noProof/>
                <w:spacing w:val="-6"/>
                <w:lang w:val="sk-SK"/>
              </w:rPr>
              <w:t xml:space="preserve"> o </w:t>
            </w:r>
            <w:r w:rsidRPr="00326E55">
              <w:rPr>
                <w:noProof/>
                <w:spacing w:val="-6"/>
                <w:lang w:val="sk-SK"/>
              </w:rPr>
              <w:t xml:space="preserve">inováciách  </w:t>
            </w:r>
          </w:p>
        </w:tc>
      </w:tr>
      <w:tr w:rsidR="00BF03AA" w:rsidRPr="00326E55" w14:paraId="3BFEE647" w14:textId="77777777">
        <w:trPr>
          <w:trHeight w:val="300"/>
        </w:trPr>
        <w:tc>
          <w:tcPr>
            <w:tcW w:w="1435" w:type="dxa"/>
            <w:shd w:val="clear" w:color="auto" w:fill="C6EFCE"/>
            <w:tcMar>
              <w:left w:w="108" w:type="dxa"/>
              <w:right w:w="108" w:type="dxa"/>
            </w:tcMar>
            <w:vAlign w:val="center"/>
          </w:tcPr>
          <w:p w14:paraId="412E6FA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M5C1 – 3 </w:t>
            </w:r>
          </w:p>
        </w:tc>
        <w:tc>
          <w:tcPr>
            <w:tcW w:w="3543" w:type="dxa"/>
            <w:shd w:val="clear" w:color="auto" w:fill="C6EFCE"/>
            <w:tcMar>
              <w:left w:w="108" w:type="dxa"/>
              <w:right w:w="108" w:type="dxa"/>
            </w:tcMar>
            <w:vAlign w:val="center"/>
          </w:tcPr>
          <w:p w14:paraId="2D7D38A6" w14:textId="0C101A6E" w:rsidR="00BF03AA" w:rsidRPr="00326E55" w:rsidRDefault="00FB452D">
            <w:pPr>
              <w:pStyle w:val="P68B1DB1-Normal121"/>
              <w:spacing w:after="0" w:line="240" w:lineRule="auto"/>
              <w:rPr>
                <w:noProof/>
                <w:spacing w:val="-6"/>
                <w:lang w:val="sk-SK"/>
              </w:rPr>
            </w:pPr>
            <w:r w:rsidRPr="00326E55">
              <w:rPr>
                <w:noProof/>
                <w:spacing w:val="-6"/>
                <w:lang w:val="sk-SK"/>
              </w:rPr>
              <w:t>Reforma 1 – aktívne politiky trhu práce</w:t>
            </w:r>
            <w:r w:rsidR="00326E55" w:rsidRPr="00326E55">
              <w:rPr>
                <w:noProof/>
                <w:spacing w:val="-6"/>
                <w:lang w:val="sk-SK"/>
              </w:rPr>
              <w:t xml:space="preserve"> a </w:t>
            </w:r>
            <w:r w:rsidRPr="00326E55">
              <w:rPr>
                <w:noProof/>
                <w:spacing w:val="-6"/>
                <w:lang w:val="sk-SK"/>
              </w:rPr>
              <w:t>odborná príprava</w:t>
            </w:r>
          </w:p>
        </w:tc>
        <w:tc>
          <w:tcPr>
            <w:tcW w:w="1276" w:type="dxa"/>
            <w:shd w:val="clear" w:color="auto" w:fill="C6EFCE"/>
            <w:tcMar>
              <w:left w:w="108" w:type="dxa"/>
              <w:right w:w="108" w:type="dxa"/>
            </w:tcMar>
            <w:vAlign w:val="center"/>
          </w:tcPr>
          <w:p w14:paraId="37F304E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010F1E0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Ľudia, ktorí využívajú program zaručenej zamestnateľnosti pracovníkov (GOL) </w:t>
            </w:r>
          </w:p>
        </w:tc>
      </w:tr>
      <w:tr w:rsidR="00BF03AA" w:rsidRPr="00326E55" w14:paraId="05BF7514" w14:textId="77777777">
        <w:trPr>
          <w:trHeight w:val="300"/>
        </w:trPr>
        <w:tc>
          <w:tcPr>
            <w:tcW w:w="1435" w:type="dxa"/>
            <w:shd w:val="clear" w:color="auto" w:fill="C6EFCE"/>
            <w:tcMar>
              <w:left w:w="108" w:type="dxa"/>
              <w:right w:w="108" w:type="dxa"/>
            </w:tcMar>
            <w:vAlign w:val="center"/>
          </w:tcPr>
          <w:p w14:paraId="3CD50A6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M5C1 – 4 </w:t>
            </w:r>
          </w:p>
        </w:tc>
        <w:tc>
          <w:tcPr>
            <w:tcW w:w="3543" w:type="dxa"/>
            <w:shd w:val="clear" w:color="auto" w:fill="C6EFCE"/>
            <w:tcMar>
              <w:left w:w="108" w:type="dxa"/>
              <w:right w:w="108" w:type="dxa"/>
            </w:tcMar>
            <w:vAlign w:val="center"/>
          </w:tcPr>
          <w:p w14:paraId="53FE250E" w14:textId="0C348F9A" w:rsidR="00BF03AA" w:rsidRPr="00326E55" w:rsidRDefault="00FB452D">
            <w:pPr>
              <w:pStyle w:val="P68B1DB1-Normal121"/>
              <w:spacing w:after="0" w:line="240" w:lineRule="auto"/>
              <w:rPr>
                <w:noProof/>
                <w:spacing w:val="-6"/>
                <w:lang w:val="sk-SK"/>
              </w:rPr>
            </w:pPr>
            <w:r w:rsidRPr="00326E55">
              <w:rPr>
                <w:noProof/>
                <w:spacing w:val="-6"/>
                <w:lang w:val="sk-SK"/>
              </w:rPr>
              <w:t>Reforma 1 – aktívne</w:t>
            </w:r>
            <w:r w:rsidRPr="00326E55">
              <w:rPr>
                <w:noProof/>
                <w:spacing w:val="-6"/>
                <w:lang w:val="sk-SK"/>
              </w:rPr>
              <w:t xml:space="preserve"> politiky trhu práce</w:t>
            </w:r>
            <w:r w:rsidR="00326E55" w:rsidRPr="00326E55">
              <w:rPr>
                <w:noProof/>
                <w:spacing w:val="-6"/>
                <w:lang w:val="sk-SK"/>
              </w:rPr>
              <w:t xml:space="preserve"> a </w:t>
            </w:r>
            <w:r w:rsidRPr="00326E55">
              <w:rPr>
                <w:noProof/>
                <w:spacing w:val="-6"/>
                <w:lang w:val="sk-SK"/>
              </w:rPr>
              <w:t xml:space="preserve">odborná príprava </w:t>
            </w:r>
          </w:p>
        </w:tc>
        <w:tc>
          <w:tcPr>
            <w:tcW w:w="1276" w:type="dxa"/>
            <w:shd w:val="clear" w:color="auto" w:fill="C6EFCE"/>
            <w:tcMar>
              <w:left w:w="108" w:type="dxa"/>
              <w:right w:w="108" w:type="dxa"/>
            </w:tcMar>
            <w:vAlign w:val="center"/>
          </w:tcPr>
          <w:p w14:paraId="57E0770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59434BCA" w14:textId="77777777" w:rsidR="00BF03AA" w:rsidRPr="00326E55" w:rsidRDefault="00FB452D">
            <w:pPr>
              <w:pStyle w:val="P68B1DB1-Normal121"/>
              <w:spacing w:after="0" w:line="240" w:lineRule="auto"/>
              <w:rPr>
                <w:noProof/>
                <w:spacing w:val="-6"/>
                <w:lang w:val="sk-SK"/>
              </w:rPr>
            </w:pPr>
            <w:r w:rsidRPr="00326E55">
              <w:rPr>
                <w:noProof/>
                <w:spacing w:val="-6"/>
                <w:lang w:val="sk-SK"/>
              </w:rPr>
              <w:t>Ľudia sa zúčastnili na programoch odbornej prípravy</w:t>
            </w:r>
          </w:p>
        </w:tc>
      </w:tr>
      <w:tr w:rsidR="00BF03AA" w:rsidRPr="00326E55" w14:paraId="7E4EA21B" w14:textId="77777777">
        <w:trPr>
          <w:trHeight w:val="300"/>
        </w:trPr>
        <w:tc>
          <w:tcPr>
            <w:tcW w:w="1435" w:type="dxa"/>
            <w:shd w:val="clear" w:color="auto" w:fill="C6EFCE"/>
            <w:tcMar>
              <w:left w:w="108" w:type="dxa"/>
              <w:right w:w="108" w:type="dxa"/>
            </w:tcMar>
            <w:vAlign w:val="center"/>
          </w:tcPr>
          <w:p w14:paraId="1CFB3AF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7</w:t>
            </w:r>
          </w:p>
        </w:tc>
        <w:tc>
          <w:tcPr>
            <w:tcW w:w="3543" w:type="dxa"/>
            <w:shd w:val="clear" w:color="auto" w:fill="C6EFCE"/>
            <w:tcMar>
              <w:left w:w="108" w:type="dxa"/>
              <w:right w:w="108" w:type="dxa"/>
            </w:tcMar>
            <w:vAlign w:val="center"/>
          </w:tcPr>
          <w:p w14:paraId="6D10C54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 – Posilnenie verejných služieb zamestnanosti (VSZ) </w:t>
            </w:r>
          </w:p>
        </w:tc>
        <w:tc>
          <w:tcPr>
            <w:tcW w:w="1276" w:type="dxa"/>
            <w:shd w:val="clear" w:color="auto" w:fill="C6EFCE"/>
            <w:tcMar>
              <w:left w:w="108" w:type="dxa"/>
              <w:right w:w="108" w:type="dxa"/>
            </w:tcMar>
            <w:vAlign w:val="center"/>
          </w:tcPr>
          <w:p w14:paraId="376D288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71B9C1D9" w14:textId="2584F883" w:rsidR="00BF03AA" w:rsidRPr="00326E55" w:rsidRDefault="00FB452D">
            <w:pPr>
              <w:pStyle w:val="P68B1DB1-Normal121"/>
              <w:spacing w:after="0" w:line="240" w:lineRule="auto"/>
              <w:rPr>
                <w:noProof/>
                <w:spacing w:val="-6"/>
                <w:lang w:val="sk-SK"/>
              </w:rPr>
            </w:pPr>
            <w:r w:rsidRPr="00326E55">
              <w:rPr>
                <w:noProof/>
                <w:spacing w:val="-6"/>
                <w:lang w:val="sk-SK"/>
              </w:rPr>
              <w:t>Verejné služby zamestnanosti (VSZ) dokončili činnosti plánované</w:t>
            </w:r>
            <w:r w:rsidR="00326E55" w:rsidRPr="00326E55">
              <w:rPr>
                <w:noProof/>
                <w:spacing w:val="-6"/>
                <w:lang w:val="sk-SK"/>
              </w:rPr>
              <w:t xml:space="preserve"> v </w:t>
            </w:r>
            <w:r w:rsidRPr="00326E55">
              <w:rPr>
                <w:noProof/>
                <w:spacing w:val="-6"/>
                <w:lang w:val="sk-SK"/>
              </w:rPr>
              <w:t xml:space="preserve">pláne </w:t>
            </w:r>
            <w:r w:rsidRPr="00326E55">
              <w:rPr>
                <w:noProof/>
                <w:spacing w:val="-6"/>
                <w:lang w:val="sk-SK"/>
              </w:rPr>
              <w:t>posilnenia</w:t>
            </w:r>
          </w:p>
        </w:tc>
      </w:tr>
      <w:tr w:rsidR="00BF03AA" w:rsidRPr="00326E55" w14:paraId="41F72672" w14:textId="77777777">
        <w:trPr>
          <w:trHeight w:val="300"/>
        </w:trPr>
        <w:tc>
          <w:tcPr>
            <w:tcW w:w="1435" w:type="dxa"/>
            <w:shd w:val="clear" w:color="auto" w:fill="C6EFCE"/>
            <w:tcMar>
              <w:left w:w="108" w:type="dxa"/>
              <w:right w:w="108" w:type="dxa"/>
            </w:tcMar>
            <w:vAlign w:val="center"/>
          </w:tcPr>
          <w:p w14:paraId="29ADE4D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M5C1 – 10 </w:t>
            </w:r>
          </w:p>
        </w:tc>
        <w:tc>
          <w:tcPr>
            <w:tcW w:w="3543" w:type="dxa"/>
            <w:shd w:val="clear" w:color="auto" w:fill="C6EFCE"/>
            <w:tcMar>
              <w:left w:w="108" w:type="dxa"/>
              <w:right w:w="108" w:type="dxa"/>
            </w:tcMar>
            <w:vAlign w:val="center"/>
          </w:tcPr>
          <w:p w14:paraId="0F2FD4E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2 – Nedeklarovaná práca </w:t>
            </w:r>
          </w:p>
        </w:tc>
        <w:tc>
          <w:tcPr>
            <w:tcW w:w="1276" w:type="dxa"/>
            <w:shd w:val="clear" w:color="auto" w:fill="C6EFCE"/>
            <w:tcMar>
              <w:left w:w="108" w:type="dxa"/>
              <w:right w:w="108" w:type="dxa"/>
            </w:tcMar>
            <w:vAlign w:val="center"/>
          </w:tcPr>
          <w:p w14:paraId="39079DD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743F784D" w14:textId="5D9CAEF4" w:rsidR="00BF03AA" w:rsidRPr="00326E55" w:rsidRDefault="00FB452D">
            <w:pPr>
              <w:pStyle w:val="P68B1DB1-Normal121"/>
              <w:spacing w:after="0" w:line="240" w:lineRule="auto"/>
              <w:rPr>
                <w:noProof/>
                <w:spacing w:val="-6"/>
                <w:lang w:val="sk-SK"/>
              </w:rPr>
            </w:pPr>
            <w:r w:rsidRPr="00326E55">
              <w:rPr>
                <w:noProof/>
                <w:spacing w:val="-6"/>
                <w:lang w:val="sk-SK"/>
              </w:rPr>
              <w:t>Zvýšený počet inšpekcií práce</w:t>
            </w:r>
            <w:r w:rsidR="00326E55" w:rsidRPr="00326E55">
              <w:rPr>
                <w:noProof/>
                <w:spacing w:val="-6"/>
                <w:lang w:val="sk-SK"/>
              </w:rPr>
              <w:t xml:space="preserve"> a </w:t>
            </w:r>
            <w:r w:rsidRPr="00326E55">
              <w:rPr>
                <w:noProof/>
                <w:spacing w:val="-6"/>
                <w:lang w:val="sk-SK"/>
              </w:rPr>
              <w:t>členstvo</w:t>
            </w:r>
            <w:r w:rsidR="00326E55" w:rsidRPr="00326E55">
              <w:rPr>
                <w:noProof/>
                <w:spacing w:val="-6"/>
                <w:lang w:val="sk-SK"/>
              </w:rPr>
              <w:t xml:space="preserve"> v </w:t>
            </w:r>
            <w:r w:rsidRPr="00326E55">
              <w:rPr>
                <w:noProof/>
                <w:spacing w:val="-6"/>
                <w:lang w:val="sk-SK"/>
              </w:rPr>
              <w:t>poľnohospodárskej sieti</w:t>
            </w:r>
          </w:p>
        </w:tc>
      </w:tr>
      <w:tr w:rsidR="00BF03AA" w:rsidRPr="00326E55" w14:paraId="13C582CC" w14:textId="77777777">
        <w:trPr>
          <w:trHeight w:val="300"/>
        </w:trPr>
        <w:tc>
          <w:tcPr>
            <w:tcW w:w="1435" w:type="dxa"/>
            <w:shd w:val="clear" w:color="auto" w:fill="C6EFCE"/>
            <w:tcMar>
              <w:left w:w="108" w:type="dxa"/>
              <w:right w:w="108" w:type="dxa"/>
            </w:tcMar>
            <w:vAlign w:val="center"/>
          </w:tcPr>
          <w:p w14:paraId="6DB9B78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M5C3 – 9</w:t>
            </w:r>
          </w:p>
        </w:tc>
        <w:tc>
          <w:tcPr>
            <w:tcW w:w="3543" w:type="dxa"/>
            <w:shd w:val="clear" w:color="auto" w:fill="C6EFCE"/>
            <w:tcMar>
              <w:left w:w="108" w:type="dxa"/>
              <w:right w:w="108" w:type="dxa"/>
            </w:tcMar>
            <w:vAlign w:val="center"/>
          </w:tcPr>
          <w:p w14:paraId="08C23E9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Investícia1.3: Štruktúrované sociálno-vzdelávacie intervencie na boj proti vzdelanostnej chudobe na juhu, ktoré podpor</w:t>
            </w:r>
            <w:r w:rsidRPr="00326E55">
              <w:rPr>
                <w:noProof/>
                <w:spacing w:val="-6"/>
                <w:lang w:val="sk-SK"/>
              </w:rPr>
              <w:t>ujú tretí sektor</w:t>
            </w:r>
          </w:p>
        </w:tc>
        <w:tc>
          <w:tcPr>
            <w:tcW w:w="1276" w:type="dxa"/>
            <w:shd w:val="clear" w:color="auto" w:fill="C6EFCE"/>
            <w:tcMar>
              <w:left w:w="108" w:type="dxa"/>
              <w:right w:w="108" w:type="dxa"/>
            </w:tcMar>
            <w:vAlign w:val="center"/>
          </w:tcPr>
          <w:p w14:paraId="1EE7CF3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3E0653B1" w14:textId="77777777" w:rsidR="00BF03AA" w:rsidRPr="00326E55" w:rsidRDefault="00FB452D">
            <w:pPr>
              <w:pStyle w:val="P68B1DB1-Normal121"/>
              <w:spacing w:after="0" w:line="240" w:lineRule="auto"/>
              <w:rPr>
                <w:noProof/>
                <w:spacing w:val="-6"/>
                <w:lang w:val="sk-SK"/>
              </w:rPr>
            </w:pPr>
            <w:r w:rsidRPr="00326E55">
              <w:rPr>
                <w:noProof/>
                <w:spacing w:val="-6"/>
                <w:lang w:val="sk-SK"/>
              </w:rPr>
              <w:t>Podpora vzdelávania pre maloleté osoby (druhá skupina)</w:t>
            </w:r>
          </w:p>
        </w:tc>
      </w:tr>
      <w:tr w:rsidR="00BF03AA" w:rsidRPr="00326E55" w14:paraId="51C558C2" w14:textId="77777777">
        <w:trPr>
          <w:trHeight w:val="300"/>
        </w:trPr>
        <w:tc>
          <w:tcPr>
            <w:tcW w:w="1435" w:type="dxa"/>
            <w:shd w:val="clear" w:color="auto" w:fill="C6EFCE"/>
            <w:tcMar>
              <w:left w:w="108" w:type="dxa"/>
              <w:right w:w="108" w:type="dxa"/>
            </w:tcMar>
            <w:vAlign w:val="center"/>
          </w:tcPr>
          <w:p w14:paraId="1B3789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3</w:t>
            </w:r>
          </w:p>
        </w:tc>
        <w:tc>
          <w:tcPr>
            <w:tcW w:w="3543" w:type="dxa"/>
            <w:shd w:val="clear" w:color="auto" w:fill="C6EFCE"/>
            <w:tcMar>
              <w:left w:w="108" w:type="dxa"/>
              <w:right w:w="108" w:type="dxa"/>
            </w:tcMar>
            <w:vAlign w:val="center"/>
          </w:tcPr>
          <w:p w14:paraId="3C993E7B" w14:textId="73D1D01D" w:rsidR="00BF03AA" w:rsidRPr="00326E55" w:rsidRDefault="00FB452D">
            <w:pPr>
              <w:pStyle w:val="P68B1DB1-Normal121"/>
              <w:spacing w:after="0" w:line="240" w:lineRule="auto"/>
              <w:rPr>
                <w:noProof/>
                <w:spacing w:val="-6"/>
                <w:lang w:val="sk-SK"/>
              </w:rPr>
            </w:pPr>
            <w:r w:rsidRPr="00326E55">
              <w:rPr>
                <w:noProof/>
                <w:spacing w:val="-6"/>
                <w:lang w:val="sk-SK"/>
              </w:rPr>
              <w:t>Reforma 1: Zefektívnenie povoľovacích postupov pre energiu</w:t>
            </w:r>
            <w:r w:rsidR="00326E55" w:rsidRPr="00326E55">
              <w:rPr>
                <w:noProof/>
                <w:spacing w:val="-6"/>
                <w:lang w:val="sk-SK"/>
              </w:rPr>
              <w:t xml:space="preserve"> z </w:t>
            </w:r>
            <w:r w:rsidRPr="00326E55">
              <w:rPr>
                <w:noProof/>
                <w:spacing w:val="-6"/>
                <w:lang w:val="sk-SK"/>
              </w:rPr>
              <w:t xml:space="preserve">obnoviteľných zdrojov </w:t>
            </w:r>
          </w:p>
        </w:tc>
        <w:tc>
          <w:tcPr>
            <w:tcW w:w="1276" w:type="dxa"/>
            <w:shd w:val="clear" w:color="auto" w:fill="C6EFCE"/>
            <w:tcMar>
              <w:left w:w="108" w:type="dxa"/>
              <w:right w:w="108" w:type="dxa"/>
            </w:tcMar>
            <w:vAlign w:val="center"/>
          </w:tcPr>
          <w:p w14:paraId="5DFED38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140653B1" w14:textId="77777777" w:rsidR="00BF03AA" w:rsidRPr="00326E55" w:rsidRDefault="00FB452D">
            <w:pPr>
              <w:pStyle w:val="P68B1DB1-Normal121"/>
              <w:spacing w:after="0" w:line="240" w:lineRule="auto"/>
              <w:rPr>
                <w:noProof/>
                <w:spacing w:val="-6"/>
                <w:lang w:val="sk-SK"/>
              </w:rPr>
            </w:pPr>
            <w:r w:rsidRPr="00326E55">
              <w:rPr>
                <w:noProof/>
                <w:spacing w:val="-6"/>
                <w:lang w:val="sk-SK"/>
              </w:rPr>
              <w:t>Zriadenie jednotnej digitálnej platformy pre povolenia týkajúce sa obnoviteľných</w:t>
            </w:r>
            <w:r w:rsidRPr="00326E55">
              <w:rPr>
                <w:noProof/>
                <w:spacing w:val="-6"/>
                <w:lang w:val="sk-SK"/>
              </w:rPr>
              <w:t xml:space="preserve"> zdrojov energie</w:t>
            </w:r>
          </w:p>
        </w:tc>
      </w:tr>
      <w:tr w:rsidR="00BF03AA" w:rsidRPr="00326E55" w14:paraId="0FACBA40" w14:textId="77777777">
        <w:trPr>
          <w:trHeight w:val="300"/>
        </w:trPr>
        <w:tc>
          <w:tcPr>
            <w:tcW w:w="1435" w:type="dxa"/>
            <w:shd w:val="clear" w:color="auto" w:fill="C6EFCE"/>
            <w:tcMar>
              <w:left w:w="108" w:type="dxa"/>
              <w:right w:w="108" w:type="dxa"/>
            </w:tcMar>
            <w:vAlign w:val="center"/>
          </w:tcPr>
          <w:p w14:paraId="1AEAF1C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5</w:t>
            </w:r>
          </w:p>
        </w:tc>
        <w:tc>
          <w:tcPr>
            <w:tcW w:w="3543" w:type="dxa"/>
            <w:shd w:val="clear" w:color="auto" w:fill="C6EFCE"/>
            <w:tcMar>
              <w:left w:w="108" w:type="dxa"/>
              <w:right w:w="108" w:type="dxa"/>
            </w:tcMar>
            <w:vAlign w:val="center"/>
          </w:tcPr>
          <w:p w14:paraId="424B31D2"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 Zníženie dotácií škodlivých pre životné prostredie</w:t>
            </w:r>
          </w:p>
        </w:tc>
        <w:tc>
          <w:tcPr>
            <w:tcW w:w="1276" w:type="dxa"/>
            <w:shd w:val="clear" w:color="auto" w:fill="C6EFCE"/>
            <w:tcMar>
              <w:left w:w="108" w:type="dxa"/>
              <w:right w:w="108" w:type="dxa"/>
            </w:tcMar>
            <w:vAlign w:val="center"/>
          </w:tcPr>
          <w:p w14:paraId="59C311C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2B8E5DAF" w14:textId="51015814"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primárnych</w:t>
            </w:r>
            <w:r w:rsidR="00326E55" w:rsidRPr="00326E55">
              <w:rPr>
                <w:noProof/>
                <w:spacing w:val="-6"/>
                <w:lang w:val="sk-SK"/>
              </w:rPr>
              <w:t xml:space="preserve"> a </w:t>
            </w:r>
            <w:r w:rsidRPr="00326E55">
              <w:rPr>
                <w:noProof/>
                <w:spacing w:val="-6"/>
                <w:lang w:val="sk-SK"/>
              </w:rPr>
              <w:t>sekundárnych právnych predpisov.</w:t>
            </w:r>
          </w:p>
        </w:tc>
      </w:tr>
      <w:tr w:rsidR="00BF03AA" w:rsidRPr="00326E55" w14:paraId="046D17B2" w14:textId="77777777">
        <w:trPr>
          <w:trHeight w:val="300"/>
        </w:trPr>
        <w:tc>
          <w:tcPr>
            <w:tcW w:w="1435" w:type="dxa"/>
            <w:shd w:val="clear" w:color="auto" w:fill="C6EFCE"/>
            <w:tcMar>
              <w:left w:w="108" w:type="dxa"/>
              <w:right w:w="108" w:type="dxa"/>
            </w:tcMar>
            <w:vAlign w:val="center"/>
          </w:tcPr>
          <w:p w14:paraId="7071DB2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26</w:t>
            </w:r>
          </w:p>
        </w:tc>
        <w:tc>
          <w:tcPr>
            <w:tcW w:w="3543" w:type="dxa"/>
            <w:shd w:val="clear" w:color="auto" w:fill="C6EFCE"/>
            <w:tcMar>
              <w:left w:w="108" w:type="dxa"/>
              <w:right w:w="108" w:type="dxa"/>
            </w:tcMar>
            <w:vAlign w:val="center"/>
          </w:tcPr>
          <w:p w14:paraId="5AF13FF5" w14:textId="0AB582FC" w:rsidR="00BF03AA" w:rsidRPr="00326E55" w:rsidRDefault="00FB452D">
            <w:pPr>
              <w:pStyle w:val="P68B1DB1-Normal121"/>
              <w:spacing w:after="0" w:line="240" w:lineRule="auto"/>
              <w:rPr>
                <w:noProof/>
                <w:spacing w:val="-6"/>
                <w:lang w:val="sk-SK"/>
              </w:rPr>
            </w:pPr>
            <w:r w:rsidRPr="00326E55">
              <w:rPr>
                <w:noProof/>
                <w:spacing w:val="-6"/>
                <w:lang w:val="sk-SK"/>
              </w:rPr>
              <w:t>Investícia 8: Udržateľné, obehové</w:t>
            </w:r>
            <w:r w:rsidR="00326E55" w:rsidRPr="00326E55">
              <w:rPr>
                <w:noProof/>
                <w:spacing w:val="-6"/>
                <w:lang w:val="sk-SK"/>
              </w:rPr>
              <w:t xml:space="preserve"> a </w:t>
            </w:r>
            <w:r w:rsidRPr="00326E55">
              <w:rPr>
                <w:noProof/>
                <w:spacing w:val="-6"/>
                <w:lang w:val="sk-SK"/>
              </w:rPr>
              <w:t>bezpečné dodávky kritických surovín</w:t>
            </w:r>
          </w:p>
        </w:tc>
        <w:tc>
          <w:tcPr>
            <w:tcW w:w="1276" w:type="dxa"/>
            <w:shd w:val="clear" w:color="auto" w:fill="C6EFCE"/>
            <w:tcMar>
              <w:left w:w="108" w:type="dxa"/>
              <w:right w:w="108" w:type="dxa"/>
            </w:tcMar>
            <w:vAlign w:val="center"/>
          </w:tcPr>
          <w:p w14:paraId="742F7D4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5CE626D8" w14:textId="602594E3" w:rsidR="00BF03AA" w:rsidRPr="00326E55" w:rsidRDefault="00FB452D">
            <w:pPr>
              <w:pStyle w:val="P68B1DB1-Normal121"/>
              <w:spacing w:after="0" w:line="240" w:lineRule="auto"/>
              <w:rPr>
                <w:noProof/>
                <w:spacing w:val="-6"/>
                <w:lang w:val="sk-SK"/>
              </w:rPr>
            </w:pPr>
            <w:r w:rsidRPr="00326E55">
              <w:rPr>
                <w:noProof/>
                <w:spacing w:val="-6"/>
                <w:lang w:val="sk-SK"/>
              </w:rPr>
              <w:t>Geografický informačný systém (GIS)</w:t>
            </w:r>
            <w:r w:rsidR="00326E55" w:rsidRPr="00326E55">
              <w:rPr>
                <w:noProof/>
                <w:spacing w:val="-6"/>
                <w:lang w:val="sk-SK"/>
              </w:rPr>
              <w:t xml:space="preserve"> o </w:t>
            </w:r>
            <w:r w:rsidRPr="00326E55">
              <w:rPr>
                <w:noProof/>
                <w:spacing w:val="-6"/>
                <w:lang w:val="sk-SK"/>
              </w:rPr>
              <w:t>ťažobnom odpade pre udržateľné, obehové</w:t>
            </w:r>
            <w:r w:rsidR="00326E55" w:rsidRPr="00326E55">
              <w:rPr>
                <w:noProof/>
                <w:spacing w:val="-6"/>
                <w:lang w:val="sk-SK"/>
              </w:rPr>
              <w:t xml:space="preserve"> a </w:t>
            </w:r>
            <w:r w:rsidRPr="00326E55">
              <w:rPr>
                <w:noProof/>
                <w:spacing w:val="-6"/>
                <w:lang w:val="sk-SK"/>
              </w:rPr>
              <w:t>bezpečné dodávky kritických surovín</w:t>
            </w:r>
          </w:p>
        </w:tc>
      </w:tr>
      <w:tr w:rsidR="00BF03AA" w:rsidRPr="00326E55" w14:paraId="7C4B7282" w14:textId="77777777">
        <w:trPr>
          <w:trHeight w:val="300"/>
        </w:trPr>
        <w:tc>
          <w:tcPr>
            <w:tcW w:w="1435" w:type="dxa"/>
            <w:shd w:val="clear" w:color="auto" w:fill="C6EFCE"/>
            <w:tcMar>
              <w:left w:w="108" w:type="dxa"/>
              <w:right w:w="108" w:type="dxa"/>
            </w:tcMar>
            <w:vAlign w:val="center"/>
          </w:tcPr>
          <w:p w14:paraId="6832B85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38bis</w:t>
            </w:r>
          </w:p>
        </w:tc>
        <w:tc>
          <w:tcPr>
            <w:tcW w:w="3543" w:type="dxa"/>
            <w:shd w:val="clear" w:color="auto" w:fill="C6EFCE"/>
            <w:tcMar>
              <w:left w:w="108" w:type="dxa"/>
              <w:right w:w="108" w:type="dxa"/>
            </w:tcMar>
            <w:vAlign w:val="center"/>
          </w:tcPr>
          <w:p w14:paraId="7CD7CA8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1.8: Digitalizácia justície </w:t>
            </w:r>
          </w:p>
        </w:tc>
        <w:tc>
          <w:tcPr>
            <w:tcW w:w="1276" w:type="dxa"/>
            <w:shd w:val="clear" w:color="auto" w:fill="C6EFCE"/>
            <w:tcMar>
              <w:left w:w="108" w:type="dxa"/>
              <w:right w:w="108" w:type="dxa"/>
            </w:tcMar>
            <w:vAlign w:val="center"/>
          </w:tcPr>
          <w:p w14:paraId="7D81C22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76036BCC" w14:textId="77777777" w:rsidR="00BF03AA" w:rsidRPr="00326E55" w:rsidRDefault="00FB452D">
            <w:pPr>
              <w:pStyle w:val="P68B1DB1-Normal121"/>
              <w:spacing w:after="0" w:line="240" w:lineRule="auto"/>
              <w:rPr>
                <w:noProof/>
                <w:spacing w:val="-6"/>
                <w:lang w:val="sk-SK"/>
              </w:rPr>
            </w:pPr>
            <w:r w:rsidRPr="00326E55">
              <w:rPr>
                <w:noProof/>
                <w:spacing w:val="-6"/>
                <w:lang w:val="sk-SK"/>
              </w:rPr>
              <w:t>Digitalizácia justičného systému</w:t>
            </w:r>
          </w:p>
        </w:tc>
      </w:tr>
      <w:tr w:rsidR="00BF03AA" w:rsidRPr="00326E55" w14:paraId="29625C2F" w14:textId="77777777">
        <w:trPr>
          <w:trHeight w:val="300"/>
        </w:trPr>
        <w:tc>
          <w:tcPr>
            <w:tcW w:w="1435" w:type="dxa"/>
            <w:shd w:val="clear" w:color="auto" w:fill="C6EFCE"/>
            <w:tcMar>
              <w:left w:w="108" w:type="dxa"/>
              <w:right w:w="108" w:type="dxa"/>
            </w:tcMar>
            <w:vAlign w:val="center"/>
          </w:tcPr>
          <w:p w14:paraId="7574D9B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72quinquies</w:t>
            </w:r>
          </w:p>
        </w:tc>
        <w:tc>
          <w:tcPr>
            <w:tcW w:w="3543" w:type="dxa"/>
            <w:shd w:val="clear" w:color="auto" w:fill="C6EFCE"/>
            <w:tcMar>
              <w:left w:w="108" w:type="dxa"/>
              <w:right w:w="108" w:type="dxa"/>
            </w:tcMar>
            <w:vAlign w:val="center"/>
          </w:tcPr>
          <w:p w14:paraId="1ED212E3" w14:textId="19A44751"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w:t>
            </w:r>
            <w:r w:rsidRPr="00326E55">
              <w:rPr>
                <w:noProof/>
                <w:spacing w:val="-6"/>
                <w:lang w:val="sk-SK"/>
              </w:rPr>
              <w:t>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6" w:type="dxa"/>
            <w:shd w:val="clear" w:color="auto" w:fill="C6EFCE"/>
            <w:tcMar>
              <w:left w:w="108" w:type="dxa"/>
              <w:right w:w="108" w:type="dxa"/>
            </w:tcMar>
            <w:vAlign w:val="center"/>
          </w:tcPr>
          <w:p w14:paraId="7C2B3F3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222610E1" w14:textId="0AFA7792" w:rsidR="00BF03AA" w:rsidRPr="00326E55" w:rsidRDefault="00FB452D">
            <w:pPr>
              <w:pStyle w:val="P68B1DB1-Normal121"/>
              <w:spacing w:after="0" w:line="240" w:lineRule="auto"/>
              <w:rPr>
                <w:noProof/>
                <w:spacing w:val="-6"/>
                <w:lang w:val="sk-SK"/>
              </w:rPr>
            </w:pPr>
            <w:r w:rsidRPr="00326E55">
              <w:rPr>
                <w:noProof/>
                <w:spacing w:val="-6"/>
                <w:lang w:val="sk-SK"/>
              </w:rPr>
              <w:t>Webová stránka</w:t>
            </w:r>
            <w:r w:rsidR="00326E55" w:rsidRPr="00326E55">
              <w:rPr>
                <w:noProof/>
                <w:spacing w:val="-6"/>
                <w:lang w:val="sk-SK"/>
              </w:rPr>
              <w:t xml:space="preserve"> s </w:t>
            </w:r>
            <w:r w:rsidRPr="00326E55">
              <w:rPr>
                <w:noProof/>
                <w:spacing w:val="-6"/>
                <w:lang w:val="sk-SK"/>
              </w:rPr>
              <w:t>informáciami</w:t>
            </w:r>
            <w:r w:rsidR="00326E55" w:rsidRPr="00326E55">
              <w:rPr>
                <w:noProof/>
                <w:spacing w:val="-6"/>
                <w:lang w:val="sk-SK"/>
              </w:rPr>
              <w:t xml:space="preserve"> a </w:t>
            </w:r>
            <w:r w:rsidRPr="00326E55">
              <w:rPr>
                <w:noProof/>
                <w:spacing w:val="-6"/>
                <w:lang w:val="sk-SK"/>
              </w:rPr>
              <w:t>údajmi</w:t>
            </w:r>
            <w:r w:rsidR="00326E55" w:rsidRPr="00326E55">
              <w:rPr>
                <w:noProof/>
                <w:spacing w:val="-6"/>
                <w:lang w:val="sk-SK"/>
              </w:rPr>
              <w:t xml:space="preserve"> o </w:t>
            </w:r>
            <w:r w:rsidRPr="00326E55">
              <w:rPr>
                <w:noProof/>
                <w:spacing w:val="-6"/>
                <w:lang w:val="sk-SK"/>
              </w:rPr>
              <w:t xml:space="preserve">platbách verejnej správy </w:t>
            </w:r>
          </w:p>
        </w:tc>
      </w:tr>
      <w:tr w:rsidR="00BF03AA" w:rsidRPr="00326E55" w14:paraId="76EE29D4" w14:textId="77777777">
        <w:trPr>
          <w:trHeight w:val="300"/>
        </w:trPr>
        <w:tc>
          <w:tcPr>
            <w:tcW w:w="1435" w:type="dxa"/>
            <w:shd w:val="clear" w:color="auto" w:fill="C6EFCE"/>
            <w:tcMar>
              <w:left w:w="108" w:type="dxa"/>
              <w:right w:w="108" w:type="dxa"/>
            </w:tcMar>
            <w:vAlign w:val="center"/>
          </w:tcPr>
          <w:p w14:paraId="3D7745C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Zmesi M1C1 – 72</w:t>
            </w:r>
          </w:p>
        </w:tc>
        <w:tc>
          <w:tcPr>
            <w:tcW w:w="3543" w:type="dxa"/>
            <w:shd w:val="clear" w:color="auto" w:fill="C6EFCE"/>
            <w:tcMar>
              <w:left w:w="108" w:type="dxa"/>
              <w:right w:w="108" w:type="dxa"/>
            </w:tcMar>
            <w:vAlign w:val="center"/>
          </w:tcPr>
          <w:p w14:paraId="23BBA5F4" w14:textId="69DA503E"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276" w:type="dxa"/>
            <w:shd w:val="clear" w:color="auto" w:fill="C6EFCE"/>
            <w:tcMar>
              <w:left w:w="108" w:type="dxa"/>
              <w:right w:w="108" w:type="dxa"/>
            </w:tcMar>
            <w:vAlign w:val="center"/>
          </w:tcPr>
          <w:p w14:paraId="70DA34E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7E2BF1F4" w14:textId="77777777" w:rsidR="00BF03AA" w:rsidRPr="00326E55" w:rsidRDefault="00FB452D">
            <w:pPr>
              <w:pStyle w:val="P68B1DB1-Normal121"/>
              <w:spacing w:after="0" w:line="240" w:lineRule="auto"/>
              <w:rPr>
                <w:noProof/>
                <w:spacing w:val="-6"/>
                <w:lang w:val="sk-SK"/>
              </w:rPr>
            </w:pPr>
            <w:r w:rsidRPr="00326E55">
              <w:rPr>
                <w:noProof/>
                <w:spacing w:val="-6"/>
                <w:lang w:val="sk-SK"/>
              </w:rPr>
              <w:t>Prijatie záverečnej audítorskej správy plánu auditu</w:t>
            </w:r>
          </w:p>
        </w:tc>
      </w:tr>
      <w:tr w:rsidR="00BF03AA" w:rsidRPr="00326E55" w14:paraId="4064EE51" w14:textId="77777777">
        <w:trPr>
          <w:trHeight w:val="300"/>
        </w:trPr>
        <w:tc>
          <w:tcPr>
            <w:tcW w:w="1435" w:type="dxa"/>
            <w:shd w:val="clear" w:color="auto" w:fill="C6EFCE"/>
            <w:tcMar>
              <w:left w:w="108" w:type="dxa"/>
              <w:right w:w="108" w:type="dxa"/>
            </w:tcMar>
            <w:vAlign w:val="center"/>
          </w:tcPr>
          <w:p w14:paraId="29C7A48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27</w:t>
            </w:r>
          </w:p>
        </w:tc>
        <w:tc>
          <w:tcPr>
            <w:tcW w:w="3543" w:type="dxa"/>
            <w:shd w:val="clear" w:color="auto" w:fill="C6EFCE"/>
            <w:tcMar>
              <w:left w:w="108" w:type="dxa"/>
              <w:right w:w="108" w:type="dxa"/>
            </w:tcMar>
            <w:vAlign w:val="center"/>
          </w:tcPr>
          <w:p w14:paraId="6AFF81E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1.3.1: Vnútroštátna platforma digitálnych údajov</w:t>
            </w:r>
          </w:p>
        </w:tc>
        <w:tc>
          <w:tcPr>
            <w:tcW w:w="1276" w:type="dxa"/>
            <w:shd w:val="clear" w:color="auto" w:fill="C6EFCE"/>
            <w:tcMar>
              <w:left w:w="108" w:type="dxa"/>
              <w:right w:w="108" w:type="dxa"/>
            </w:tcMar>
            <w:vAlign w:val="center"/>
          </w:tcPr>
          <w:p w14:paraId="6727FB0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105" w:type="dxa"/>
            <w:shd w:val="clear" w:color="auto" w:fill="C6EFCE"/>
            <w:tcMar>
              <w:left w:w="108" w:type="dxa"/>
              <w:right w:w="108" w:type="dxa"/>
            </w:tcMar>
            <w:vAlign w:val="center"/>
          </w:tcPr>
          <w:p w14:paraId="03D5E954" w14:textId="77777777" w:rsidR="00BF03AA" w:rsidRPr="00326E55" w:rsidRDefault="00FB452D">
            <w:pPr>
              <w:pStyle w:val="P68B1DB1-Normal121"/>
              <w:spacing w:after="0" w:line="240" w:lineRule="auto"/>
              <w:rPr>
                <w:noProof/>
                <w:spacing w:val="-6"/>
                <w:lang w:val="sk-SK"/>
              </w:rPr>
            </w:pPr>
            <w:r w:rsidRPr="00326E55">
              <w:rPr>
                <w:noProof/>
                <w:spacing w:val="-6"/>
                <w:lang w:val="sk-SK"/>
              </w:rPr>
              <w:t>API na národnej platforme digitálnych údajov T2</w:t>
            </w:r>
          </w:p>
        </w:tc>
      </w:tr>
      <w:tr w:rsidR="00BF03AA" w:rsidRPr="00326E55" w14:paraId="7D5B63FE" w14:textId="77777777">
        <w:trPr>
          <w:trHeight w:val="300"/>
        </w:trPr>
        <w:tc>
          <w:tcPr>
            <w:tcW w:w="1435" w:type="dxa"/>
            <w:shd w:val="clear" w:color="auto" w:fill="C6EFCE"/>
            <w:tcMar>
              <w:left w:w="108" w:type="dxa"/>
              <w:right w:w="108" w:type="dxa"/>
            </w:tcMar>
            <w:vAlign w:val="bottom"/>
          </w:tcPr>
          <w:p w14:paraId="7B17791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97ter</w:t>
            </w:r>
          </w:p>
        </w:tc>
        <w:tc>
          <w:tcPr>
            <w:tcW w:w="3543" w:type="dxa"/>
            <w:shd w:val="clear" w:color="auto" w:fill="C6EFCE"/>
            <w:tcMar>
              <w:left w:w="108" w:type="dxa"/>
              <w:right w:w="108" w:type="dxa"/>
            </w:tcMar>
            <w:vAlign w:val="center"/>
          </w:tcPr>
          <w:p w14:paraId="4E8DFF49"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1.10: Reforma legislatívneho</w:t>
            </w:r>
            <w:r w:rsidRPr="00326E55">
              <w:rPr>
                <w:noProof/>
                <w:spacing w:val="-6"/>
                <w:lang w:val="sk-SK"/>
              </w:rPr>
              <w:t xml:space="preserve"> rámca pre verejné obstarávanie</w:t>
            </w:r>
          </w:p>
        </w:tc>
        <w:tc>
          <w:tcPr>
            <w:tcW w:w="1276" w:type="dxa"/>
            <w:shd w:val="clear" w:color="auto" w:fill="C6EFCE"/>
            <w:tcMar>
              <w:left w:w="108" w:type="dxa"/>
              <w:right w:w="108" w:type="dxa"/>
            </w:tcMar>
            <w:vAlign w:val="center"/>
          </w:tcPr>
          <w:p w14:paraId="388784B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105" w:type="dxa"/>
            <w:shd w:val="clear" w:color="auto" w:fill="C6EFCE"/>
            <w:tcMar>
              <w:left w:w="108" w:type="dxa"/>
              <w:right w:w="108" w:type="dxa"/>
            </w:tcMar>
            <w:vAlign w:val="center"/>
          </w:tcPr>
          <w:p w14:paraId="41FC0BBF" w14:textId="77777777" w:rsidR="00BF03AA" w:rsidRPr="00326E55" w:rsidRDefault="00FB452D">
            <w:pPr>
              <w:pStyle w:val="P68B1DB1-Normal121"/>
              <w:spacing w:after="0" w:line="240" w:lineRule="auto"/>
              <w:rPr>
                <w:noProof/>
                <w:spacing w:val="-6"/>
                <w:lang w:val="sk-SK"/>
              </w:rPr>
            </w:pPr>
            <w:r w:rsidRPr="00326E55">
              <w:rPr>
                <w:noProof/>
                <w:spacing w:val="-6"/>
                <w:lang w:val="sk-SK"/>
              </w:rPr>
              <w:t>Opatrenia na zlepšenie rýchlosti vykonávania</w:t>
            </w:r>
          </w:p>
        </w:tc>
      </w:tr>
      <w:tr w:rsidR="00BF03AA" w:rsidRPr="00326E55" w14:paraId="56389C72"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72C09E11" w14:textId="77777777" w:rsidR="00BF03AA" w:rsidRPr="00326E55" w:rsidRDefault="00FB452D">
            <w:pPr>
              <w:pStyle w:val="P68B1DB1-Normal121"/>
              <w:spacing w:after="0"/>
              <w:jc w:val="center"/>
              <w:rPr>
                <w:noProof/>
                <w:spacing w:val="-6"/>
                <w:lang w:val="sk-SK"/>
              </w:rPr>
            </w:pPr>
            <w:r w:rsidRPr="00326E55">
              <w:rPr>
                <w:noProof/>
                <w:spacing w:val="-6"/>
                <w:lang w:val="sk-SK"/>
              </w:rPr>
              <w:t>M4C2 – 4bis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7CF96B" w14:textId="77777777" w:rsidR="00BF03AA" w:rsidRPr="00326E55" w:rsidRDefault="00FB452D">
            <w:pPr>
              <w:pStyle w:val="P68B1DB1-Normal121"/>
              <w:spacing w:after="0"/>
              <w:rPr>
                <w:noProof/>
                <w:spacing w:val="-6"/>
                <w:lang w:val="sk-SK"/>
              </w:rPr>
            </w:pPr>
            <w:r w:rsidRPr="00326E55">
              <w:rPr>
                <w:noProof/>
                <w:spacing w:val="-6"/>
                <w:lang w:val="sk-SK"/>
              </w:rPr>
              <w:t>Reforma 1.2: Trojročný plán financovania výskumných činností</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7978D3" w14:textId="77777777" w:rsidR="00BF03AA" w:rsidRPr="00326E55" w:rsidRDefault="00FB452D">
            <w:pPr>
              <w:pStyle w:val="P68B1DB1-Normal121"/>
              <w:spacing w:after="0"/>
              <w:jc w:val="center"/>
              <w:rPr>
                <w:noProof/>
                <w:spacing w:val="-6"/>
                <w:lang w:val="sk-SK"/>
              </w:rPr>
            </w:pPr>
            <w:r w:rsidRPr="00326E55">
              <w:rPr>
                <w:noProof/>
                <w:spacing w:val="-6"/>
                <w:lang w:val="sk-SK"/>
              </w:rPr>
              <w:t>Míľnik</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1D39A1" w14:textId="77777777" w:rsidR="00BF03AA" w:rsidRPr="00326E55" w:rsidRDefault="00FB452D">
            <w:pPr>
              <w:pStyle w:val="P68B1DB1-Normal121"/>
              <w:spacing w:after="0"/>
              <w:rPr>
                <w:noProof/>
                <w:spacing w:val="-6"/>
                <w:lang w:val="sk-SK"/>
              </w:rPr>
            </w:pPr>
            <w:r w:rsidRPr="00326E55">
              <w:rPr>
                <w:noProof/>
                <w:spacing w:val="-6"/>
                <w:lang w:val="sk-SK"/>
              </w:rPr>
              <w:t>Primárne právne predpisy na prijatie trojročného plánu financovania výskumných činností </w:t>
            </w:r>
          </w:p>
        </w:tc>
      </w:tr>
      <w:tr w:rsidR="00BF03AA" w:rsidRPr="00326E55" w14:paraId="0B06195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4D69BC7" w14:textId="77777777" w:rsidR="00BF03AA" w:rsidRPr="00326E55" w:rsidRDefault="00FB452D">
            <w:pPr>
              <w:pStyle w:val="P68B1DB1-Normal121"/>
              <w:spacing w:after="0"/>
              <w:jc w:val="center"/>
              <w:rPr>
                <w:noProof/>
                <w:spacing w:val="-6"/>
                <w:lang w:val="sk-SK"/>
              </w:rPr>
            </w:pPr>
            <w:r w:rsidRPr="00326E55">
              <w:rPr>
                <w:noProof/>
                <w:spacing w:val="-6"/>
                <w:lang w:val="sk-SK"/>
              </w:rPr>
              <w:t>M7 – 30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22FD61" w14:textId="6B2E0053" w:rsidR="00BF03AA" w:rsidRPr="00326E55" w:rsidRDefault="00FB452D">
            <w:pPr>
              <w:pStyle w:val="P68B1DB1-Normal121"/>
              <w:spacing w:after="0"/>
              <w:rPr>
                <w:noProof/>
                <w:spacing w:val="-6"/>
                <w:lang w:val="sk-SK"/>
              </w:rPr>
            </w:pPr>
            <w:r w:rsidRPr="00326E55">
              <w:rPr>
                <w:noProof/>
                <w:spacing w:val="-6"/>
                <w:lang w:val="sk-SK"/>
              </w:rPr>
              <w:t>Investícia 10: Pilotný projekt</w:t>
            </w:r>
            <w:r w:rsidR="00326E55" w:rsidRPr="00326E55">
              <w:rPr>
                <w:noProof/>
                <w:spacing w:val="-6"/>
                <w:lang w:val="sk-SK"/>
              </w:rPr>
              <w:t xml:space="preserve"> v </w:t>
            </w:r>
            <w:r w:rsidRPr="00326E55">
              <w:rPr>
                <w:noProof/>
                <w:spacing w:val="-6"/>
                <w:lang w:val="sk-SK"/>
              </w:rPr>
              <w:t>oblasti zručností „Crescere Green“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5F5526" w14:textId="77777777" w:rsidR="00BF03AA" w:rsidRPr="00326E55" w:rsidRDefault="00FB452D">
            <w:pPr>
              <w:pStyle w:val="P68B1DB1-Normal121"/>
              <w:spacing w:after="0"/>
              <w:jc w:val="center"/>
              <w:rPr>
                <w:noProof/>
                <w:spacing w:val="-6"/>
                <w:lang w:val="sk-SK"/>
              </w:rPr>
            </w:pPr>
            <w:r w:rsidRPr="00326E55">
              <w:rPr>
                <w:noProof/>
                <w:spacing w:val="-6"/>
                <w:lang w:val="sk-SK"/>
              </w:rPr>
              <w:t>Cieľ</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523D4A" w14:textId="77777777" w:rsidR="00BF03AA" w:rsidRPr="00326E55" w:rsidRDefault="00FB452D">
            <w:pPr>
              <w:pStyle w:val="P68B1DB1-Normal121"/>
              <w:spacing w:after="0"/>
              <w:rPr>
                <w:noProof/>
                <w:spacing w:val="-6"/>
                <w:lang w:val="sk-SK"/>
              </w:rPr>
            </w:pPr>
            <w:r w:rsidRPr="00326E55">
              <w:rPr>
                <w:noProof/>
                <w:spacing w:val="-6"/>
                <w:lang w:val="sk-SK"/>
              </w:rPr>
              <w:t>Vykonané moduly odbornej prípravy</w:t>
            </w:r>
          </w:p>
        </w:tc>
      </w:tr>
      <w:tr w:rsidR="00BF03AA" w:rsidRPr="00326E55" w14:paraId="0DC50A3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04074BFE" w14:textId="77777777" w:rsidR="00BF03AA" w:rsidRPr="00326E55" w:rsidRDefault="00FB452D">
            <w:pPr>
              <w:pStyle w:val="P68B1DB1-Normal121"/>
              <w:spacing w:after="0"/>
              <w:jc w:val="center"/>
              <w:rPr>
                <w:noProof/>
                <w:spacing w:val="-6"/>
                <w:lang w:val="sk-SK"/>
              </w:rPr>
            </w:pPr>
            <w:r w:rsidRPr="00326E55">
              <w:rPr>
                <w:noProof/>
                <w:spacing w:val="-6"/>
                <w:lang w:val="sk-SK"/>
              </w:rPr>
              <w:t>M1C1 – 144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FB0EE4" w14:textId="77777777" w:rsidR="00BF03AA" w:rsidRPr="00326E55" w:rsidRDefault="00FB452D">
            <w:pPr>
              <w:pStyle w:val="P68B1DB1-Normal121"/>
              <w:spacing w:after="0"/>
              <w:rPr>
                <w:noProof/>
                <w:spacing w:val="-6"/>
                <w:lang w:val="sk-SK"/>
              </w:rPr>
            </w:pPr>
            <w:r w:rsidRPr="00326E55">
              <w:rPr>
                <w:noProof/>
                <w:spacing w:val="-6"/>
                <w:lang w:val="sk-SK"/>
              </w:rPr>
              <w:t>Investícia 1.4.2 – Začlenenie občanov – Zlepšenie prístupnosti zavedených digitálnych verejných služieb/intervencií</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76FC7A" w14:textId="77777777" w:rsidR="00BF03AA" w:rsidRPr="00326E55" w:rsidRDefault="00FB452D">
            <w:pPr>
              <w:pStyle w:val="P68B1DB1-Normal121"/>
              <w:spacing w:after="0"/>
              <w:jc w:val="center"/>
              <w:rPr>
                <w:noProof/>
                <w:spacing w:val="-6"/>
                <w:lang w:val="sk-SK"/>
              </w:rPr>
            </w:pPr>
            <w:r w:rsidRPr="00326E55">
              <w:rPr>
                <w:noProof/>
                <w:spacing w:val="-6"/>
                <w:lang w:val="sk-SK"/>
              </w:rPr>
              <w:t>Cieľ</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7C077E9" w14:textId="77777777" w:rsidR="00BF03AA" w:rsidRPr="00326E55" w:rsidRDefault="00FB452D">
            <w:pPr>
              <w:pStyle w:val="P68B1DB1-Normal121"/>
              <w:spacing w:after="0"/>
              <w:rPr>
                <w:noProof/>
                <w:spacing w:val="-6"/>
                <w:lang w:val="sk-SK"/>
              </w:rPr>
            </w:pPr>
            <w:r w:rsidRPr="00326E55">
              <w:rPr>
                <w:noProof/>
                <w:spacing w:val="-6"/>
                <w:lang w:val="sk-SK"/>
              </w:rPr>
              <w:t>Lepšia d</w:t>
            </w:r>
            <w:r w:rsidRPr="00326E55">
              <w:rPr>
                <w:noProof/>
                <w:spacing w:val="-6"/>
                <w:lang w:val="sk-SK"/>
              </w:rPr>
              <w:t>ostupnosť digitálnych verejných služieb</w:t>
            </w:r>
          </w:p>
        </w:tc>
      </w:tr>
      <w:tr w:rsidR="00BF03AA" w:rsidRPr="00326E55" w14:paraId="5BC2EA6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B251739" w14:textId="77777777" w:rsidR="00BF03AA" w:rsidRPr="00326E55" w:rsidRDefault="00FB452D">
            <w:pPr>
              <w:pStyle w:val="P68B1DB1-Normal121"/>
              <w:spacing w:after="0"/>
              <w:jc w:val="center"/>
              <w:rPr>
                <w:noProof/>
                <w:spacing w:val="-6"/>
                <w:lang w:val="sk-SK"/>
              </w:rPr>
            </w:pPr>
            <w:r w:rsidRPr="00326E55">
              <w:rPr>
                <w:noProof/>
                <w:spacing w:val="-6"/>
                <w:lang w:val="sk-SK"/>
              </w:rPr>
              <w:t>M2C2 – 36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F8D799" w14:textId="77777777" w:rsidR="00BF03AA" w:rsidRPr="00326E55" w:rsidRDefault="00FB452D">
            <w:pPr>
              <w:pStyle w:val="P68B1DB1-Normal121"/>
              <w:spacing w:after="0"/>
              <w:rPr>
                <w:noProof/>
                <w:spacing w:val="-6"/>
                <w:lang w:val="sk-SK"/>
              </w:rPr>
            </w:pPr>
            <w:r w:rsidRPr="00326E55">
              <w:rPr>
                <w:noProof/>
                <w:spacing w:val="-6"/>
                <w:lang w:val="sk-SK"/>
              </w:rPr>
              <w:t>Investícia 4.4.3: Obnova vozového parku pre veliteľstvo národného hasičského zboru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73E605" w14:textId="77777777" w:rsidR="00BF03AA" w:rsidRPr="00326E55" w:rsidRDefault="00FB452D">
            <w:pPr>
              <w:pStyle w:val="P68B1DB1-Normal121"/>
              <w:spacing w:after="0"/>
              <w:jc w:val="center"/>
              <w:rPr>
                <w:noProof/>
                <w:spacing w:val="-6"/>
                <w:lang w:val="sk-SK"/>
              </w:rPr>
            </w:pPr>
            <w:r w:rsidRPr="00326E55">
              <w:rPr>
                <w:noProof/>
                <w:spacing w:val="-6"/>
                <w:lang w:val="sk-SK"/>
              </w:rPr>
              <w:t>Cieľ</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4C14B3" w14:textId="77777777" w:rsidR="00BF03AA" w:rsidRPr="00326E55" w:rsidRDefault="00FB452D">
            <w:pPr>
              <w:pStyle w:val="P68B1DB1-Normal121"/>
              <w:spacing w:after="0"/>
              <w:rPr>
                <w:noProof/>
                <w:spacing w:val="-6"/>
                <w:lang w:val="sk-SK"/>
              </w:rPr>
            </w:pPr>
            <w:r w:rsidRPr="00326E55">
              <w:rPr>
                <w:noProof/>
                <w:spacing w:val="-6"/>
                <w:lang w:val="sk-SK"/>
              </w:rPr>
              <w:t>Počet ekologických vozidiel pre obnovu vozového parku pre veliteľstvo národného hasičského zboru</w:t>
            </w:r>
          </w:p>
        </w:tc>
      </w:tr>
      <w:tr w:rsidR="00BF03AA" w:rsidRPr="00326E55" w14:paraId="3C41809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FA81171" w14:textId="77777777" w:rsidR="00BF03AA" w:rsidRPr="00326E55" w:rsidRDefault="00FB452D">
            <w:pPr>
              <w:pStyle w:val="P68B1DB1-Normal121"/>
              <w:spacing w:after="0"/>
              <w:jc w:val="center"/>
              <w:rPr>
                <w:noProof/>
                <w:spacing w:val="-6"/>
                <w:lang w:val="sk-SK"/>
              </w:rPr>
            </w:pPr>
            <w:r w:rsidRPr="00326E55">
              <w:rPr>
                <w:noProof/>
                <w:spacing w:val="-6"/>
                <w:lang w:val="sk-SK"/>
              </w:rPr>
              <w:t>M2C4 – 32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B1FE95" w14:textId="3AB0A380" w:rsidR="00BF03AA" w:rsidRPr="00326E55" w:rsidRDefault="00FB452D">
            <w:pPr>
              <w:pStyle w:val="P68B1DB1-Normal121"/>
              <w:spacing w:after="0"/>
              <w:rPr>
                <w:noProof/>
                <w:spacing w:val="-6"/>
                <w:lang w:val="sk-SK"/>
              </w:rPr>
            </w:pPr>
            <w:r w:rsidRPr="00326E55">
              <w:rPr>
                <w:noProof/>
                <w:spacing w:val="-6"/>
                <w:lang w:val="sk-SK"/>
              </w:rPr>
              <w:t>Investícia 4.2. Zníženie strát vo vodovodných sieťach vrátane digitalizácie</w:t>
            </w:r>
            <w:r w:rsidR="00326E55" w:rsidRPr="00326E55">
              <w:rPr>
                <w:noProof/>
                <w:spacing w:val="-6"/>
                <w:lang w:val="sk-SK"/>
              </w:rPr>
              <w:t xml:space="preserve"> a </w:t>
            </w:r>
            <w:r w:rsidRPr="00326E55">
              <w:rPr>
                <w:noProof/>
                <w:spacing w:val="-6"/>
                <w:lang w:val="sk-SK"/>
              </w:rPr>
              <w:t>monitorovania sietí</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806E80" w14:textId="77777777" w:rsidR="00BF03AA" w:rsidRPr="00326E55" w:rsidRDefault="00FB452D">
            <w:pPr>
              <w:pStyle w:val="P68B1DB1-Normal121"/>
              <w:spacing w:after="0"/>
              <w:jc w:val="center"/>
              <w:rPr>
                <w:noProof/>
                <w:spacing w:val="-6"/>
                <w:lang w:val="sk-SK"/>
              </w:rPr>
            </w:pPr>
            <w:r w:rsidRPr="00326E55">
              <w:rPr>
                <w:noProof/>
                <w:spacing w:val="-6"/>
                <w:lang w:val="sk-SK"/>
              </w:rPr>
              <w:t>Cieľ</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1BEC36" w14:textId="521EB0D4" w:rsidR="00BF03AA" w:rsidRPr="00326E55" w:rsidRDefault="00FB452D">
            <w:pPr>
              <w:pStyle w:val="P68B1DB1-Normal121"/>
              <w:spacing w:after="0"/>
              <w:rPr>
                <w:noProof/>
                <w:spacing w:val="-6"/>
                <w:lang w:val="sk-SK"/>
              </w:rPr>
            </w:pPr>
            <w:r w:rsidRPr="00326E55">
              <w:rPr>
                <w:noProof/>
                <w:spacing w:val="-6"/>
                <w:lang w:val="sk-SK"/>
              </w:rPr>
              <w:t>Zásahy do vodovodných distribučných sietí vrátane digitalizácie</w:t>
            </w:r>
            <w:r w:rsidR="00326E55" w:rsidRPr="00326E55">
              <w:rPr>
                <w:noProof/>
                <w:spacing w:val="-6"/>
                <w:lang w:val="sk-SK"/>
              </w:rPr>
              <w:t xml:space="preserve"> a </w:t>
            </w:r>
            <w:r w:rsidRPr="00326E55">
              <w:rPr>
                <w:noProof/>
                <w:spacing w:val="-6"/>
                <w:lang w:val="sk-SK"/>
              </w:rPr>
              <w:t>monitorovania sietí T2</w:t>
            </w:r>
          </w:p>
        </w:tc>
      </w:tr>
      <w:tr w:rsidR="00BF03AA" w:rsidRPr="00326E55" w14:paraId="14CAE95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37EE60A5" w14:textId="77777777" w:rsidR="00BF03AA" w:rsidRPr="00326E55" w:rsidRDefault="00FB452D">
            <w:pPr>
              <w:pStyle w:val="P68B1DB1-Normal121"/>
              <w:spacing w:after="0"/>
              <w:jc w:val="center"/>
              <w:rPr>
                <w:noProof/>
                <w:spacing w:val="-6"/>
                <w:lang w:val="sk-SK"/>
              </w:rPr>
            </w:pPr>
            <w:r w:rsidRPr="00326E55">
              <w:rPr>
                <w:noProof/>
                <w:spacing w:val="-6"/>
                <w:lang w:val="sk-SK"/>
              </w:rPr>
              <w:t>M1C1 – 153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FE5A3B" w14:textId="77777777" w:rsidR="00BF03AA" w:rsidRPr="00326E55" w:rsidRDefault="00FB452D">
            <w:pPr>
              <w:pStyle w:val="P68B1DB1-Normal121"/>
              <w:spacing w:after="0"/>
              <w:rPr>
                <w:noProof/>
                <w:spacing w:val="-6"/>
                <w:lang w:val="sk-SK"/>
              </w:rPr>
            </w:pPr>
            <w:r w:rsidRPr="00326E55">
              <w:rPr>
                <w:noProof/>
                <w:spacing w:val="-6"/>
                <w:lang w:val="sk-SK"/>
              </w:rPr>
              <w:t>Investícia 1.6.2 – Digitalizácia ministerstva spravo</w:t>
            </w:r>
            <w:r w:rsidRPr="00326E55">
              <w:rPr>
                <w:noProof/>
                <w:spacing w:val="-6"/>
                <w:lang w:val="sk-SK"/>
              </w:rPr>
              <w:t>dlivosti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D85D6E" w14:textId="77777777" w:rsidR="00BF03AA" w:rsidRPr="00326E55" w:rsidRDefault="00FB452D">
            <w:pPr>
              <w:pStyle w:val="P68B1DB1-Normal121"/>
              <w:spacing w:after="0"/>
              <w:jc w:val="center"/>
              <w:rPr>
                <w:noProof/>
                <w:spacing w:val="-6"/>
                <w:lang w:val="sk-SK"/>
              </w:rPr>
            </w:pPr>
            <w:r w:rsidRPr="00326E55">
              <w:rPr>
                <w:noProof/>
                <w:spacing w:val="-6"/>
                <w:lang w:val="sk-SK"/>
              </w:rPr>
              <w:t>Cieľ</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851031" w14:textId="77777777" w:rsidR="00BF03AA" w:rsidRPr="00326E55" w:rsidRDefault="00FB452D">
            <w:pPr>
              <w:pStyle w:val="P68B1DB1-Normal121"/>
              <w:spacing w:after="0"/>
              <w:rPr>
                <w:noProof/>
                <w:spacing w:val="-6"/>
                <w:lang w:val="sk-SK"/>
              </w:rPr>
            </w:pPr>
            <w:r w:rsidRPr="00326E55">
              <w:rPr>
                <w:noProof/>
                <w:spacing w:val="-6"/>
                <w:lang w:val="sk-SK"/>
              </w:rPr>
              <w:t>Digitalizované súdne spisy T2</w:t>
            </w:r>
          </w:p>
        </w:tc>
      </w:tr>
      <w:tr w:rsidR="00BF03AA" w:rsidRPr="00326E55" w14:paraId="528C3C25" w14:textId="77777777">
        <w:trPr>
          <w:trHeight w:val="300"/>
        </w:trPr>
        <w:tc>
          <w:tcPr>
            <w:tcW w:w="1435" w:type="dxa"/>
            <w:shd w:val="clear" w:color="auto" w:fill="C6EFCE"/>
            <w:tcMar>
              <w:left w:w="108" w:type="dxa"/>
              <w:right w:w="108" w:type="dxa"/>
            </w:tcMar>
            <w:vAlign w:val="bottom"/>
          </w:tcPr>
          <w:p w14:paraId="47676C2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 </w:t>
            </w:r>
          </w:p>
        </w:tc>
        <w:tc>
          <w:tcPr>
            <w:tcW w:w="3543" w:type="dxa"/>
            <w:shd w:val="clear" w:color="auto" w:fill="C6EFCE"/>
            <w:tcMar>
              <w:left w:w="108" w:type="dxa"/>
              <w:right w:w="108" w:type="dxa"/>
            </w:tcMar>
            <w:vAlign w:val="center"/>
          </w:tcPr>
          <w:p w14:paraId="65ACE61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76" w:type="dxa"/>
            <w:shd w:val="clear" w:color="auto" w:fill="C6EFCE"/>
            <w:tcMar>
              <w:left w:w="108" w:type="dxa"/>
              <w:right w:w="108" w:type="dxa"/>
            </w:tcMar>
            <w:vAlign w:val="center"/>
          </w:tcPr>
          <w:p w14:paraId="3502E21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105" w:type="dxa"/>
            <w:shd w:val="clear" w:color="auto" w:fill="C6EFCE"/>
            <w:tcMar>
              <w:left w:w="108" w:type="dxa"/>
              <w:right w:w="108" w:type="dxa"/>
            </w:tcMar>
            <w:vAlign w:val="center"/>
          </w:tcPr>
          <w:p w14:paraId="4AA90E09" w14:textId="77777777" w:rsidR="00BF03AA" w:rsidRPr="00326E55" w:rsidRDefault="00FB452D">
            <w:pPr>
              <w:pStyle w:val="P68B1DB1-Normal121"/>
              <w:spacing w:after="0" w:line="240" w:lineRule="auto"/>
              <w:rPr>
                <w:noProof/>
                <w:spacing w:val="-6"/>
                <w:lang w:val="sk-SK"/>
              </w:rPr>
            </w:pPr>
            <w:r w:rsidRPr="00326E55">
              <w:rPr>
                <w:noProof/>
                <w:spacing w:val="-6"/>
                <w:lang w:val="sk-SK"/>
              </w:rPr>
              <w:t>7 670 089 282 EUR</w:t>
            </w:r>
          </w:p>
        </w:tc>
      </w:tr>
    </w:tbl>
    <w:p w14:paraId="68EC3F37"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638A5611" w14:textId="77777777" w:rsidR="00BF03AA" w:rsidRPr="00326E55" w:rsidRDefault="00FB452D">
      <w:pPr>
        <w:pStyle w:val="P68B1DB1-Heading4119"/>
        <w:numPr>
          <w:ilvl w:val="1"/>
          <w:numId w:val="180"/>
        </w:numPr>
        <w:tabs>
          <w:tab w:val="num" w:pos="1440"/>
        </w:tabs>
        <w:ind w:left="1440" w:hanging="360"/>
        <w:rPr>
          <w:noProof/>
          <w:spacing w:val="-6"/>
          <w:lang w:val="sk-SK"/>
        </w:rPr>
      </w:pPr>
      <w:r w:rsidRPr="00326E55">
        <w:rPr>
          <w:noProof/>
          <w:spacing w:val="-6"/>
          <w:lang w:val="sk-SK"/>
        </w:rPr>
        <w:t>Desiata splátka (nenávratná podpora):</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418"/>
        <w:gridCol w:w="2963"/>
      </w:tblGrid>
      <w:tr w:rsidR="00BF03AA" w:rsidRPr="00326E55" w14:paraId="0DE91403" w14:textId="77777777">
        <w:trPr>
          <w:trHeight w:val="900"/>
          <w:tblHeader/>
        </w:trPr>
        <w:tc>
          <w:tcPr>
            <w:tcW w:w="1435" w:type="dxa"/>
            <w:vMerge w:val="restart"/>
            <w:shd w:val="clear" w:color="auto" w:fill="BDD7EE"/>
            <w:tcMar>
              <w:left w:w="108" w:type="dxa"/>
              <w:right w:w="108" w:type="dxa"/>
            </w:tcMar>
            <w:vAlign w:val="center"/>
          </w:tcPr>
          <w:p w14:paraId="4D14B7B8" w14:textId="77777777" w:rsidR="00BF03AA" w:rsidRPr="00326E55" w:rsidRDefault="00FB452D">
            <w:pPr>
              <w:pStyle w:val="P68B1DB1-Normal120"/>
              <w:spacing w:after="0" w:line="240" w:lineRule="auto"/>
              <w:jc w:val="center"/>
              <w:rPr>
                <w:bCs/>
                <w:noProof/>
                <w:spacing w:val="-6"/>
                <w:lang w:val="sk-SK"/>
              </w:rPr>
            </w:pPr>
            <w:r w:rsidRPr="00326E55">
              <w:rPr>
                <w:noProof/>
                <w:spacing w:val="-6"/>
                <w:lang w:val="sk-SK"/>
              </w:rPr>
              <w:t>Poradové číslo</w:t>
            </w:r>
          </w:p>
        </w:tc>
        <w:tc>
          <w:tcPr>
            <w:tcW w:w="3543" w:type="dxa"/>
            <w:vMerge w:val="restart"/>
            <w:shd w:val="clear" w:color="auto" w:fill="BDD7EE"/>
            <w:tcMar>
              <w:left w:w="108" w:type="dxa"/>
              <w:right w:w="108" w:type="dxa"/>
            </w:tcMar>
            <w:vAlign w:val="center"/>
          </w:tcPr>
          <w:p w14:paraId="2ED8FD1D"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418" w:type="dxa"/>
            <w:vMerge w:val="restart"/>
            <w:shd w:val="clear" w:color="auto" w:fill="BDD7EE"/>
            <w:tcMar>
              <w:left w:w="108" w:type="dxa"/>
              <w:right w:w="108" w:type="dxa"/>
            </w:tcMar>
            <w:vAlign w:val="center"/>
          </w:tcPr>
          <w:p w14:paraId="55731142"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2963" w:type="dxa"/>
            <w:vMerge w:val="restart"/>
            <w:shd w:val="clear" w:color="auto" w:fill="BDD7EE"/>
            <w:tcMar>
              <w:left w:w="108" w:type="dxa"/>
              <w:right w:w="108" w:type="dxa"/>
            </w:tcMar>
            <w:vAlign w:val="center"/>
          </w:tcPr>
          <w:p w14:paraId="3A69F502"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5C8FDBA9" w14:textId="77777777">
        <w:trPr>
          <w:trHeight w:val="510"/>
        </w:trPr>
        <w:tc>
          <w:tcPr>
            <w:tcW w:w="1435" w:type="dxa"/>
            <w:vMerge/>
            <w:vAlign w:val="center"/>
          </w:tcPr>
          <w:p w14:paraId="41B1791A"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vMerge/>
            <w:vAlign w:val="center"/>
          </w:tcPr>
          <w:p w14:paraId="507FB542"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418" w:type="dxa"/>
            <w:vMerge/>
            <w:vAlign w:val="center"/>
          </w:tcPr>
          <w:p w14:paraId="4E598482"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963" w:type="dxa"/>
            <w:vMerge/>
            <w:vAlign w:val="center"/>
          </w:tcPr>
          <w:p w14:paraId="5B3D5FC4"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0F972973" w14:textId="77777777">
        <w:trPr>
          <w:trHeight w:val="300"/>
        </w:trPr>
        <w:tc>
          <w:tcPr>
            <w:tcW w:w="1435" w:type="dxa"/>
            <w:shd w:val="clear" w:color="auto" w:fill="C6EFCE"/>
            <w:tcMar>
              <w:left w:w="108" w:type="dxa"/>
              <w:right w:w="108" w:type="dxa"/>
            </w:tcMar>
            <w:vAlign w:val="center"/>
          </w:tcPr>
          <w:p w14:paraId="15EACD1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88</w:t>
            </w:r>
          </w:p>
        </w:tc>
        <w:tc>
          <w:tcPr>
            <w:tcW w:w="3543" w:type="dxa"/>
            <w:shd w:val="clear" w:color="auto" w:fill="C6EFCE"/>
            <w:tcMar>
              <w:left w:w="108" w:type="dxa"/>
              <w:right w:w="108" w:type="dxa"/>
            </w:tcMar>
            <w:vAlign w:val="center"/>
          </w:tcPr>
          <w:p w14:paraId="6BCADE5E" w14:textId="0AD10564"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1.11: Zníženie oneskorených </w:t>
            </w:r>
            <w:r w:rsidRPr="00326E55">
              <w:rPr>
                <w:noProof/>
                <w:spacing w:val="-6"/>
                <w:lang w:val="sk-SK"/>
              </w:rPr>
              <w:t>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418" w:type="dxa"/>
            <w:shd w:val="clear" w:color="auto" w:fill="C6EFCE"/>
            <w:tcMar>
              <w:left w:w="108" w:type="dxa"/>
              <w:right w:w="108" w:type="dxa"/>
            </w:tcMar>
            <w:vAlign w:val="center"/>
          </w:tcPr>
          <w:p w14:paraId="60C1B56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0258468C" w14:textId="77777777" w:rsidR="00BF03AA" w:rsidRPr="00326E55" w:rsidRDefault="00FB452D">
            <w:pPr>
              <w:pStyle w:val="P68B1DB1-Normal121"/>
              <w:spacing w:after="0" w:line="240" w:lineRule="auto"/>
              <w:rPr>
                <w:noProof/>
                <w:spacing w:val="-6"/>
                <w:lang w:val="sk-SK"/>
              </w:rPr>
            </w:pPr>
            <w:r w:rsidRPr="00326E55">
              <w:rPr>
                <w:noProof/>
                <w:spacing w:val="-6"/>
                <w:lang w:val="sk-SK"/>
              </w:rPr>
              <w:t>Priemerný počet dní, počas ktorých ústredné orgány verejnej moci platia podnikom, sa znižuje</w:t>
            </w:r>
          </w:p>
        </w:tc>
      </w:tr>
      <w:tr w:rsidR="00BF03AA" w:rsidRPr="00326E55" w14:paraId="4FF0437F" w14:textId="77777777">
        <w:trPr>
          <w:trHeight w:val="300"/>
        </w:trPr>
        <w:tc>
          <w:tcPr>
            <w:tcW w:w="1435" w:type="dxa"/>
            <w:shd w:val="clear" w:color="auto" w:fill="C6EFCE"/>
            <w:tcMar>
              <w:left w:w="108" w:type="dxa"/>
              <w:right w:w="108" w:type="dxa"/>
            </w:tcMar>
            <w:vAlign w:val="center"/>
          </w:tcPr>
          <w:p w14:paraId="351DEA4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89</w:t>
            </w:r>
          </w:p>
        </w:tc>
        <w:tc>
          <w:tcPr>
            <w:tcW w:w="3543" w:type="dxa"/>
            <w:shd w:val="clear" w:color="auto" w:fill="C6EFCE"/>
            <w:tcMar>
              <w:left w:w="108" w:type="dxa"/>
              <w:right w:w="108" w:type="dxa"/>
            </w:tcMar>
            <w:vAlign w:val="center"/>
          </w:tcPr>
          <w:p w14:paraId="57B1C444" w14:textId="1A80AAD2"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418" w:type="dxa"/>
            <w:shd w:val="clear" w:color="auto" w:fill="C6EFCE"/>
            <w:tcMar>
              <w:left w:w="108" w:type="dxa"/>
              <w:right w:w="108" w:type="dxa"/>
            </w:tcMar>
            <w:vAlign w:val="center"/>
          </w:tcPr>
          <w:p w14:paraId="59C3450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333D40EB" w14:textId="77777777" w:rsidR="00BF03AA" w:rsidRPr="00326E55" w:rsidRDefault="00FB452D">
            <w:pPr>
              <w:pStyle w:val="P68B1DB1-Normal121"/>
              <w:spacing w:after="0" w:line="240" w:lineRule="auto"/>
              <w:rPr>
                <w:noProof/>
                <w:spacing w:val="-6"/>
                <w:lang w:val="sk-SK"/>
              </w:rPr>
            </w:pPr>
            <w:r w:rsidRPr="00326E55">
              <w:rPr>
                <w:noProof/>
                <w:spacing w:val="-6"/>
                <w:lang w:val="sk-SK"/>
              </w:rPr>
              <w:t>Priemerný počet dní, počas ktorých majú regionálne verejné orgány platiť podnikom, sa znižuje</w:t>
            </w:r>
          </w:p>
        </w:tc>
      </w:tr>
      <w:tr w:rsidR="00BF03AA" w:rsidRPr="00326E55" w14:paraId="0214F81F" w14:textId="77777777">
        <w:trPr>
          <w:trHeight w:val="300"/>
        </w:trPr>
        <w:tc>
          <w:tcPr>
            <w:tcW w:w="1435" w:type="dxa"/>
            <w:shd w:val="clear" w:color="auto" w:fill="C6EFCE"/>
            <w:tcMar>
              <w:left w:w="108" w:type="dxa"/>
              <w:right w:w="108" w:type="dxa"/>
            </w:tcMar>
            <w:vAlign w:val="center"/>
          </w:tcPr>
          <w:p w14:paraId="4F5A4D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90</w:t>
            </w:r>
          </w:p>
        </w:tc>
        <w:tc>
          <w:tcPr>
            <w:tcW w:w="3543" w:type="dxa"/>
            <w:shd w:val="clear" w:color="auto" w:fill="C6EFCE"/>
            <w:tcMar>
              <w:left w:w="108" w:type="dxa"/>
              <w:right w:w="108" w:type="dxa"/>
            </w:tcMar>
            <w:vAlign w:val="center"/>
          </w:tcPr>
          <w:p w14:paraId="566D7C48" w14:textId="2CA0788C"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418" w:type="dxa"/>
            <w:shd w:val="clear" w:color="auto" w:fill="C6EFCE"/>
            <w:tcMar>
              <w:left w:w="108" w:type="dxa"/>
              <w:right w:w="108" w:type="dxa"/>
            </w:tcMar>
            <w:vAlign w:val="center"/>
          </w:tcPr>
          <w:p w14:paraId="4145AC8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28F96142" w14:textId="77777777" w:rsidR="00BF03AA" w:rsidRPr="00326E55" w:rsidRDefault="00FB452D">
            <w:pPr>
              <w:pStyle w:val="P68B1DB1-Normal121"/>
              <w:spacing w:after="0" w:line="240" w:lineRule="auto"/>
              <w:rPr>
                <w:noProof/>
                <w:spacing w:val="-6"/>
                <w:lang w:val="sk-SK"/>
              </w:rPr>
            </w:pPr>
            <w:r w:rsidRPr="00326E55">
              <w:rPr>
                <w:noProof/>
                <w:spacing w:val="-6"/>
                <w:lang w:val="sk-SK"/>
              </w:rPr>
              <w:t>Priemerný počet</w:t>
            </w:r>
            <w:r w:rsidRPr="00326E55">
              <w:rPr>
                <w:noProof/>
                <w:spacing w:val="-6"/>
                <w:lang w:val="sk-SK"/>
              </w:rPr>
              <w:t xml:space="preserve"> dní, počas ktorých majú miestne verejné orgány platiť podnikom, sa znižuje</w:t>
            </w:r>
          </w:p>
        </w:tc>
      </w:tr>
      <w:tr w:rsidR="00BF03AA" w:rsidRPr="00326E55" w14:paraId="4E17384B" w14:textId="77777777">
        <w:trPr>
          <w:trHeight w:val="300"/>
        </w:trPr>
        <w:tc>
          <w:tcPr>
            <w:tcW w:w="1435" w:type="dxa"/>
            <w:shd w:val="clear" w:color="auto" w:fill="C6EFCE"/>
            <w:tcMar>
              <w:left w:w="108" w:type="dxa"/>
              <w:right w:w="108" w:type="dxa"/>
            </w:tcMar>
            <w:vAlign w:val="center"/>
          </w:tcPr>
          <w:p w14:paraId="797F7A4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91</w:t>
            </w:r>
          </w:p>
        </w:tc>
        <w:tc>
          <w:tcPr>
            <w:tcW w:w="3543" w:type="dxa"/>
            <w:shd w:val="clear" w:color="auto" w:fill="C6EFCE"/>
            <w:tcMar>
              <w:left w:w="108" w:type="dxa"/>
              <w:right w:w="108" w:type="dxa"/>
            </w:tcMar>
            <w:vAlign w:val="center"/>
          </w:tcPr>
          <w:p w14:paraId="2A81E3E9" w14:textId="0429FB9A" w:rsidR="00BF03AA" w:rsidRPr="00326E55" w:rsidRDefault="00FB452D">
            <w:pPr>
              <w:pStyle w:val="P68B1DB1-Normal121"/>
              <w:spacing w:after="0" w:line="240" w:lineRule="auto"/>
              <w:rPr>
                <w:noProof/>
                <w:spacing w:val="-6"/>
                <w:lang w:val="sk-SK"/>
              </w:rPr>
            </w:pPr>
            <w:r w:rsidRPr="00326E55">
              <w:rPr>
                <w:noProof/>
                <w:spacing w:val="-6"/>
                <w:lang w:val="sk-SK"/>
              </w:rPr>
              <w:t>Reforma 1.11: Zníženie oneskorených platieb zo strany orgánov verejnej správy</w:t>
            </w:r>
            <w:r w:rsidR="00326E55" w:rsidRPr="00326E55">
              <w:rPr>
                <w:noProof/>
                <w:spacing w:val="-6"/>
                <w:lang w:val="sk-SK"/>
              </w:rPr>
              <w:t xml:space="preserve"> a </w:t>
            </w:r>
            <w:r w:rsidRPr="00326E55">
              <w:rPr>
                <w:noProof/>
                <w:spacing w:val="-6"/>
                <w:lang w:val="sk-SK"/>
              </w:rPr>
              <w:t>zdravotníckych orgánov</w:t>
            </w:r>
          </w:p>
        </w:tc>
        <w:tc>
          <w:tcPr>
            <w:tcW w:w="1418" w:type="dxa"/>
            <w:shd w:val="clear" w:color="auto" w:fill="C6EFCE"/>
            <w:tcMar>
              <w:left w:w="108" w:type="dxa"/>
              <w:right w:w="108" w:type="dxa"/>
            </w:tcMar>
            <w:vAlign w:val="center"/>
          </w:tcPr>
          <w:p w14:paraId="5411396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33D3595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Priemerný počet dní, počas ktorých majú orgány verejného </w:t>
            </w:r>
            <w:r w:rsidRPr="00326E55">
              <w:rPr>
                <w:noProof/>
                <w:spacing w:val="-6"/>
                <w:lang w:val="sk-SK"/>
              </w:rPr>
              <w:t>zdravotníctva zaplatiť podnikom, sa znižuje</w:t>
            </w:r>
          </w:p>
        </w:tc>
      </w:tr>
      <w:tr w:rsidR="00BF03AA" w:rsidRPr="00326E55" w14:paraId="6344D29F" w14:textId="77777777">
        <w:trPr>
          <w:trHeight w:val="300"/>
        </w:trPr>
        <w:tc>
          <w:tcPr>
            <w:tcW w:w="1435" w:type="dxa"/>
            <w:shd w:val="clear" w:color="auto" w:fill="C6EFCE"/>
            <w:tcMar>
              <w:left w:w="108" w:type="dxa"/>
              <w:right w:w="108" w:type="dxa"/>
            </w:tcMar>
            <w:vAlign w:val="center"/>
          </w:tcPr>
          <w:p w14:paraId="6BD77F5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117</w:t>
            </w:r>
          </w:p>
        </w:tc>
        <w:tc>
          <w:tcPr>
            <w:tcW w:w="3543" w:type="dxa"/>
            <w:shd w:val="clear" w:color="auto" w:fill="C6EFCE"/>
            <w:tcMar>
              <w:left w:w="108" w:type="dxa"/>
              <w:right w:w="108" w:type="dxa"/>
            </w:tcMar>
            <w:vAlign w:val="center"/>
          </w:tcPr>
          <w:p w14:paraId="453D349A"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1.15: Reforma pravidiel verejného účtovníctva</w:t>
            </w:r>
          </w:p>
        </w:tc>
        <w:tc>
          <w:tcPr>
            <w:tcW w:w="1418" w:type="dxa"/>
            <w:shd w:val="clear" w:color="auto" w:fill="C6EFCE"/>
            <w:tcMar>
              <w:left w:w="108" w:type="dxa"/>
              <w:right w:w="108" w:type="dxa"/>
            </w:tcMar>
            <w:vAlign w:val="center"/>
          </w:tcPr>
          <w:p w14:paraId="5817C57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230072E7" w14:textId="77777777" w:rsidR="00BF03AA" w:rsidRPr="00326E55" w:rsidRDefault="00FB452D">
            <w:pPr>
              <w:pStyle w:val="P68B1DB1-Normal121"/>
              <w:spacing w:after="0" w:line="240" w:lineRule="auto"/>
              <w:rPr>
                <w:noProof/>
                <w:spacing w:val="-6"/>
                <w:lang w:val="sk-SK"/>
              </w:rPr>
            </w:pPr>
            <w:r w:rsidRPr="00326E55">
              <w:rPr>
                <w:noProof/>
                <w:spacing w:val="-6"/>
                <w:lang w:val="sk-SK"/>
              </w:rPr>
              <w:t>Verejné subjekty vyškolené na prechod na nový systém akruálneho účtovníctva</w:t>
            </w:r>
          </w:p>
        </w:tc>
      </w:tr>
      <w:tr w:rsidR="00BF03AA" w:rsidRPr="00326E55" w14:paraId="6D16A281" w14:textId="77777777">
        <w:trPr>
          <w:trHeight w:val="300"/>
        </w:trPr>
        <w:tc>
          <w:tcPr>
            <w:tcW w:w="1435" w:type="dxa"/>
            <w:shd w:val="clear" w:color="auto" w:fill="C6EFCE"/>
            <w:tcMar>
              <w:left w:w="108" w:type="dxa"/>
              <w:right w:w="108" w:type="dxa"/>
            </w:tcMar>
            <w:vAlign w:val="center"/>
          </w:tcPr>
          <w:p w14:paraId="6250FB4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119</w:t>
            </w:r>
          </w:p>
        </w:tc>
        <w:tc>
          <w:tcPr>
            <w:tcW w:w="3543" w:type="dxa"/>
            <w:shd w:val="clear" w:color="auto" w:fill="C6EFCE"/>
            <w:tcMar>
              <w:left w:w="108" w:type="dxa"/>
              <w:right w:w="108" w:type="dxa"/>
            </w:tcMar>
            <w:vAlign w:val="center"/>
          </w:tcPr>
          <w:p w14:paraId="57C47A4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1.14: Reforma fiškálneho rámca na nižšej ako </w:t>
            </w:r>
            <w:r w:rsidRPr="00326E55">
              <w:rPr>
                <w:noProof/>
                <w:spacing w:val="-6"/>
                <w:lang w:val="sk-SK"/>
              </w:rPr>
              <w:t>celoštátnej úrovni</w:t>
            </w:r>
          </w:p>
        </w:tc>
        <w:tc>
          <w:tcPr>
            <w:tcW w:w="1418" w:type="dxa"/>
            <w:shd w:val="clear" w:color="auto" w:fill="C6EFCE"/>
            <w:tcMar>
              <w:left w:w="108" w:type="dxa"/>
              <w:right w:w="108" w:type="dxa"/>
            </w:tcMar>
            <w:vAlign w:val="center"/>
          </w:tcPr>
          <w:p w14:paraId="2793EB6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70BBBB8A" w14:textId="77777777" w:rsidR="00BF03AA" w:rsidRPr="00326E55" w:rsidRDefault="00FB452D">
            <w:pPr>
              <w:pStyle w:val="P68B1DB1-Normal121"/>
              <w:spacing w:after="0" w:line="240" w:lineRule="auto"/>
              <w:rPr>
                <w:noProof/>
                <w:spacing w:val="-6"/>
                <w:lang w:val="sk-SK"/>
              </w:rPr>
            </w:pPr>
            <w:r w:rsidRPr="00326E55">
              <w:rPr>
                <w:noProof/>
                <w:spacing w:val="-6"/>
                <w:lang w:val="sk-SK"/>
              </w:rPr>
              <w:t>Vymedzenie parametrov regionálneho fiškálneho federalizmu</w:t>
            </w:r>
          </w:p>
        </w:tc>
      </w:tr>
      <w:tr w:rsidR="00BF03AA" w:rsidRPr="00326E55" w14:paraId="442CDE1C" w14:textId="77777777">
        <w:trPr>
          <w:trHeight w:val="300"/>
        </w:trPr>
        <w:tc>
          <w:tcPr>
            <w:tcW w:w="1435" w:type="dxa"/>
            <w:shd w:val="clear" w:color="auto" w:fill="C6EFCE"/>
            <w:tcMar>
              <w:left w:w="108" w:type="dxa"/>
              <w:right w:w="108" w:type="dxa"/>
            </w:tcMar>
            <w:vAlign w:val="center"/>
          </w:tcPr>
          <w:p w14:paraId="186514F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120</w:t>
            </w:r>
          </w:p>
        </w:tc>
        <w:tc>
          <w:tcPr>
            <w:tcW w:w="3543" w:type="dxa"/>
            <w:shd w:val="clear" w:color="auto" w:fill="C6EFCE"/>
            <w:tcMar>
              <w:left w:w="108" w:type="dxa"/>
              <w:right w:w="108" w:type="dxa"/>
            </w:tcMar>
            <w:vAlign w:val="center"/>
          </w:tcPr>
          <w:p w14:paraId="78E31DED"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1.14: Reforma fiškálneho rámca na nižšej ako celoštátnej úrovni</w:t>
            </w:r>
          </w:p>
        </w:tc>
        <w:tc>
          <w:tcPr>
            <w:tcW w:w="1418" w:type="dxa"/>
            <w:shd w:val="clear" w:color="auto" w:fill="C6EFCE"/>
            <w:tcMar>
              <w:left w:w="108" w:type="dxa"/>
              <w:right w:w="108" w:type="dxa"/>
            </w:tcMar>
            <w:vAlign w:val="center"/>
          </w:tcPr>
          <w:p w14:paraId="3BFFFC2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678D268" w14:textId="50D408EC"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právneho aktu, ktorým sa vymedzuje fiškálny federalizmus </w:t>
            </w:r>
            <w:r w:rsidRPr="00326E55">
              <w:rPr>
                <w:noProof/>
                <w:spacing w:val="-6"/>
                <w:lang w:val="sk-SK"/>
              </w:rPr>
              <w:t>pre provincie</w:t>
            </w:r>
            <w:r w:rsidR="00326E55" w:rsidRPr="00326E55">
              <w:rPr>
                <w:noProof/>
                <w:spacing w:val="-6"/>
                <w:lang w:val="sk-SK"/>
              </w:rPr>
              <w:t xml:space="preserve"> a </w:t>
            </w:r>
            <w:r w:rsidRPr="00326E55">
              <w:rPr>
                <w:noProof/>
                <w:spacing w:val="-6"/>
                <w:lang w:val="sk-SK"/>
              </w:rPr>
              <w:t>metropolitné mestá</w:t>
            </w:r>
          </w:p>
        </w:tc>
      </w:tr>
      <w:tr w:rsidR="00BF03AA" w:rsidRPr="00326E55" w14:paraId="16AFD8A5" w14:textId="77777777">
        <w:trPr>
          <w:trHeight w:val="300"/>
        </w:trPr>
        <w:tc>
          <w:tcPr>
            <w:tcW w:w="1435" w:type="dxa"/>
            <w:shd w:val="clear" w:color="auto" w:fill="C6EFCE"/>
            <w:tcMar>
              <w:left w:w="108" w:type="dxa"/>
              <w:right w:w="108" w:type="dxa"/>
            </w:tcMar>
            <w:vAlign w:val="center"/>
          </w:tcPr>
          <w:p w14:paraId="0851BB7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6</w:t>
            </w:r>
          </w:p>
        </w:tc>
        <w:tc>
          <w:tcPr>
            <w:tcW w:w="3543" w:type="dxa"/>
            <w:shd w:val="clear" w:color="auto" w:fill="C6EFCE"/>
            <w:tcMar>
              <w:left w:w="108" w:type="dxa"/>
              <w:right w:w="108" w:type="dxa"/>
            </w:tcMar>
            <w:vAlign w:val="center"/>
          </w:tcPr>
          <w:p w14:paraId="42911E7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2.2: Digitalizácia manažmentu letovej prevádzky</w:t>
            </w:r>
          </w:p>
        </w:tc>
        <w:tc>
          <w:tcPr>
            <w:tcW w:w="1418" w:type="dxa"/>
            <w:shd w:val="clear" w:color="auto" w:fill="C6EFCE"/>
            <w:tcMar>
              <w:left w:w="108" w:type="dxa"/>
              <w:right w:w="108" w:type="dxa"/>
            </w:tcMar>
            <w:vAlign w:val="center"/>
          </w:tcPr>
          <w:p w14:paraId="544AA67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4EE08735" w14:textId="77777777" w:rsidR="00BF03AA" w:rsidRPr="00326E55" w:rsidRDefault="00FB452D">
            <w:pPr>
              <w:pStyle w:val="P68B1DB1-Normal121"/>
              <w:spacing w:after="0" w:line="240" w:lineRule="auto"/>
              <w:rPr>
                <w:noProof/>
                <w:spacing w:val="-6"/>
                <w:lang w:val="sk-SK"/>
              </w:rPr>
            </w:pPr>
            <w:r w:rsidRPr="00326E55">
              <w:rPr>
                <w:noProof/>
                <w:spacing w:val="-6"/>
                <w:lang w:val="sk-SK"/>
              </w:rPr>
              <w:t>Digitalizácia manažmentu letovej prevádzky: uvedenie nových nástrojov do prevádzky</w:t>
            </w:r>
          </w:p>
        </w:tc>
      </w:tr>
      <w:tr w:rsidR="00BF03AA" w:rsidRPr="00326E55" w14:paraId="278A15EF" w14:textId="77777777">
        <w:trPr>
          <w:trHeight w:val="300"/>
        </w:trPr>
        <w:tc>
          <w:tcPr>
            <w:tcW w:w="1435" w:type="dxa"/>
            <w:shd w:val="clear" w:color="auto" w:fill="C6EFCE"/>
            <w:tcMar>
              <w:left w:w="108" w:type="dxa"/>
              <w:right w:w="108" w:type="dxa"/>
            </w:tcMar>
            <w:vAlign w:val="center"/>
          </w:tcPr>
          <w:p w14:paraId="7316E3F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M5C1 – 11 </w:t>
            </w:r>
          </w:p>
        </w:tc>
        <w:tc>
          <w:tcPr>
            <w:tcW w:w="3543" w:type="dxa"/>
            <w:shd w:val="clear" w:color="auto" w:fill="C6EFCE"/>
            <w:tcMar>
              <w:left w:w="108" w:type="dxa"/>
              <w:right w:w="108" w:type="dxa"/>
            </w:tcMar>
            <w:vAlign w:val="center"/>
          </w:tcPr>
          <w:p w14:paraId="50356E0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2 – Nedeklarovaná práca </w:t>
            </w:r>
          </w:p>
        </w:tc>
        <w:tc>
          <w:tcPr>
            <w:tcW w:w="1418" w:type="dxa"/>
            <w:shd w:val="clear" w:color="auto" w:fill="C6EFCE"/>
            <w:tcMar>
              <w:left w:w="108" w:type="dxa"/>
              <w:right w:w="108" w:type="dxa"/>
            </w:tcMar>
            <w:vAlign w:val="center"/>
          </w:tcPr>
          <w:p w14:paraId="2CC9D10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55653AB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Vykonávať </w:t>
            </w:r>
            <w:r w:rsidRPr="00326E55">
              <w:rPr>
                <w:noProof/>
                <w:spacing w:val="-6"/>
                <w:lang w:val="sk-SK"/>
              </w:rPr>
              <w:t>opatrenia na boj proti nelegálnej práci</w:t>
            </w:r>
          </w:p>
        </w:tc>
      </w:tr>
      <w:tr w:rsidR="00BF03AA" w:rsidRPr="00326E55" w14:paraId="4762CBB4" w14:textId="77777777">
        <w:trPr>
          <w:trHeight w:val="300"/>
        </w:trPr>
        <w:tc>
          <w:tcPr>
            <w:tcW w:w="1435" w:type="dxa"/>
            <w:shd w:val="clear" w:color="auto" w:fill="C6EFCE"/>
            <w:tcMar>
              <w:left w:w="108" w:type="dxa"/>
              <w:right w:w="108" w:type="dxa"/>
            </w:tcMar>
            <w:vAlign w:val="center"/>
          </w:tcPr>
          <w:p w14:paraId="7778460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12</w:t>
            </w:r>
          </w:p>
        </w:tc>
        <w:tc>
          <w:tcPr>
            <w:tcW w:w="3543" w:type="dxa"/>
            <w:shd w:val="clear" w:color="auto" w:fill="C6EFCE"/>
            <w:tcMar>
              <w:left w:w="108" w:type="dxa"/>
              <w:right w:w="108" w:type="dxa"/>
            </w:tcMar>
            <w:vAlign w:val="center"/>
          </w:tcPr>
          <w:p w14:paraId="5C23F42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2.3: Žehlenie za studena </w:t>
            </w:r>
          </w:p>
        </w:tc>
        <w:tc>
          <w:tcPr>
            <w:tcW w:w="1418" w:type="dxa"/>
            <w:shd w:val="clear" w:color="auto" w:fill="C6EFCE"/>
            <w:tcMar>
              <w:left w:w="108" w:type="dxa"/>
              <w:right w:w="108" w:type="dxa"/>
            </w:tcMar>
            <w:vAlign w:val="center"/>
          </w:tcPr>
          <w:p w14:paraId="6A5971A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0468E696" w14:textId="1AA0AE2F" w:rsidR="00BF03AA" w:rsidRPr="00326E55" w:rsidRDefault="00FB452D">
            <w:pPr>
              <w:pStyle w:val="P68B1DB1-Normal121"/>
              <w:spacing w:after="0" w:line="240" w:lineRule="auto"/>
              <w:rPr>
                <w:noProof/>
                <w:spacing w:val="-6"/>
                <w:lang w:val="sk-SK"/>
              </w:rPr>
            </w:pPr>
            <w:r w:rsidRPr="00326E55">
              <w:rPr>
                <w:noProof/>
                <w:spacing w:val="-6"/>
                <w:lang w:val="sk-SK"/>
              </w:rPr>
              <w:t>Dokončenie prác</w:t>
            </w:r>
            <w:r w:rsidR="00326E55" w:rsidRPr="00326E55">
              <w:rPr>
                <w:noProof/>
                <w:spacing w:val="-6"/>
                <w:lang w:val="sk-SK"/>
              </w:rPr>
              <w:t xml:space="preserve"> a </w:t>
            </w:r>
            <w:r w:rsidRPr="00326E55">
              <w:rPr>
                <w:noProof/>
                <w:spacing w:val="-6"/>
                <w:lang w:val="sk-SK"/>
              </w:rPr>
              <w:t xml:space="preserve">prijatie odhadov nákladov na pripojenie zo strany developera pre infraštruktúry na žehlenie chladu </w:t>
            </w:r>
          </w:p>
        </w:tc>
      </w:tr>
      <w:tr w:rsidR="00BF03AA" w:rsidRPr="00326E55" w14:paraId="1440FBF4" w14:textId="77777777">
        <w:trPr>
          <w:trHeight w:val="300"/>
        </w:trPr>
        <w:tc>
          <w:tcPr>
            <w:tcW w:w="1435" w:type="dxa"/>
            <w:shd w:val="clear" w:color="auto" w:fill="C6EFCE"/>
            <w:tcMar>
              <w:left w:w="108" w:type="dxa"/>
              <w:right w:w="108" w:type="dxa"/>
            </w:tcMar>
            <w:vAlign w:val="center"/>
          </w:tcPr>
          <w:p w14:paraId="342D8F9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26</w:t>
            </w:r>
          </w:p>
        </w:tc>
        <w:tc>
          <w:tcPr>
            <w:tcW w:w="3543" w:type="dxa"/>
            <w:shd w:val="clear" w:color="auto" w:fill="C6EFCE"/>
            <w:tcMar>
              <w:left w:w="108" w:type="dxa"/>
              <w:right w:w="108" w:type="dxa"/>
            </w:tcMar>
            <w:vAlign w:val="center"/>
          </w:tcPr>
          <w:p w14:paraId="52EB17A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1.1: Digitálna </w:t>
            </w:r>
            <w:r w:rsidRPr="00326E55">
              <w:rPr>
                <w:noProof/>
                <w:spacing w:val="-6"/>
                <w:lang w:val="sk-SK"/>
              </w:rPr>
              <w:t>infraštruktúra</w:t>
            </w:r>
          </w:p>
        </w:tc>
        <w:tc>
          <w:tcPr>
            <w:tcW w:w="1418" w:type="dxa"/>
            <w:shd w:val="clear" w:color="auto" w:fill="C6EFCE"/>
            <w:tcMar>
              <w:left w:w="108" w:type="dxa"/>
              <w:right w:w="108" w:type="dxa"/>
            </w:tcMar>
            <w:vAlign w:val="center"/>
          </w:tcPr>
          <w:p w14:paraId="1FF6720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4C8137A8" w14:textId="77777777" w:rsidR="00BF03AA" w:rsidRPr="00326E55" w:rsidRDefault="00FB452D">
            <w:pPr>
              <w:pStyle w:val="P68B1DB1-Normal121"/>
              <w:spacing w:after="0" w:line="240" w:lineRule="auto"/>
              <w:rPr>
                <w:noProof/>
                <w:spacing w:val="-6"/>
                <w:lang w:val="sk-SK"/>
              </w:rPr>
            </w:pPr>
            <w:r w:rsidRPr="00326E55">
              <w:rPr>
                <w:noProof/>
                <w:spacing w:val="-6"/>
                <w:lang w:val="sk-SK"/>
              </w:rPr>
              <w:t>Migrácia do Polo Strategico Nazionale alebo do bezpečného, certifikovaného verejného cloudového prostredia</w:t>
            </w:r>
          </w:p>
        </w:tc>
      </w:tr>
      <w:tr w:rsidR="00BF03AA" w:rsidRPr="00326E55" w14:paraId="67F0AECA" w14:textId="77777777">
        <w:trPr>
          <w:trHeight w:val="300"/>
        </w:trPr>
        <w:tc>
          <w:tcPr>
            <w:tcW w:w="1435" w:type="dxa"/>
            <w:shd w:val="clear" w:color="auto" w:fill="C6EFCE"/>
            <w:tcMar>
              <w:left w:w="108" w:type="dxa"/>
              <w:right w:w="108" w:type="dxa"/>
            </w:tcMar>
            <w:vAlign w:val="center"/>
          </w:tcPr>
          <w:p w14:paraId="1C0E83E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28</w:t>
            </w:r>
          </w:p>
        </w:tc>
        <w:tc>
          <w:tcPr>
            <w:tcW w:w="3543" w:type="dxa"/>
            <w:shd w:val="clear" w:color="auto" w:fill="C6EFCE"/>
            <w:tcMar>
              <w:left w:w="108" w:type="dxa"/>
              <w:right w:w="108" w:type="dxa"/>
            </w:tcMar>
            <w:vAlign w:val="center"/>
          </w:tcPr>
          <w:p w14:paraId="73E6FA9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1.7.2: Sieť digitálnych sprostredkovateľských služieb</w:t>
            </w:r>
          </w:p>
        </w:tc>
        <w:tc>
          <w:tcPr>
            <w:tcW w:w="1418" w:type="dxa"/>
            <w:shd w:val="clear" w:color="auto" w:fill="C6EFCE"/>
            <w:tcMar>
              <w:left w:w="108" w:type="dxa"/>
              <w:right w:w="108" w:type="dxa"/>
            </w:tcMar>
            <w:vAlign w:val="center"/>
          </w:tcPr>
          <w:p w14:paraId="7F28BCE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58E518A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Počet občanov zúčastňujúcich sa na digitálnych </w:t>
            </w:r>
            <w:r w:rsidRPr="00326E55">
              <w:rPr>
                <w:noProof/>
                <w:spacing w:val="-6"/>
                <w:lang w:val="sk-SK"/>
              </w:rPr>
              <w:t>vzdelávacích a/alebo podporných iniciatívach, ktoré poskytujú centrá digitálneho uľahčenia</w:t>
            </w:r>
          </w:p>
        </w:tc>
      </w:tr>
      <w:tr w:rsidR="00BF03AA" w:rsidRPr="00326E55" w14:paraId="101E5362" w14:textId="77777777">
        <w:trPr>
          <w:trHeight w:val="300"/>
        </w:trPr>
        <w:tc>
          <w:tcPr>
            <w:tcW w:w="1435" w:type="dxa"/>
            <w:shd w:val="clear" w:color="auto" w:fill="C6EFCE"/>
            <w:tcMar>
              <w:left w:w="108" w:type="dxa"/>
              <w:right w:w="108" w:type="dxa"/>
            </w:tcMar>
            <w:vAlign w:val="center"/>
          </w:tcPr>
          <w:p w14:paraId="176E649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45</w:t>
            </w:r>
          </w:p>
        </w:tc>
        <w:tc>
          <w:tcPr>
            <w:tcW w:w="3543" w:type="dxa"/>
            <w:shd w:val="clear" w:color="auto" w:fill="C6EFCE"/>
            <w:tcMar>
              <w:left w:w="108" w:type="dxa"/>
              <w:right w:w="108" w:type="dxa"/>
            </w:tcMar>
            <w:vAlign w:val="center"/>
          </w:tcPr>
          <w:p w14:paraId="011582DF"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1.4: Reforma občianskeho súdnictva</w:t>
            </w:r>
          </w:p>
        </w:tc>
        <w:tc>
          <w:tcPr>
            <w:tcW w:w="1418" w:type="dxa"/>
            <w:shd w:val="clear" w:color="auto" w:fill="C6EFCE"/>
            <w:tcMar>
              <w:left w:w="108" w:type="dxa"/>
              <w:right w:w="108" w:type="dxa"/>
            </w:tcMar>
            <w:vAlign w:val="center"/>
          </w:tcPr>
          <w:p w14:paraId="314A57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0C00A749" w14:textId="77777777" w:rsidR="00BF03AA" w:rsidRPr="00326E55" w:rsidRDefault="00FB452D">
            <w:pPr>
              <w:pStyle w:val="P68B1DB1-Normal121"/>
              <w:spacing w:after="0" w:line="240" w:lineRule="auto"/>
              <w:rPr>
                <w:noProof/>
                <w:spacing w:val="-6"/>
                <w:lang w:val="sk-SK"/>
              </w:rPr>
            </w:pPr>
            <w:r w:rsidRPr="00326E55">
              <w:rPr>
                <w:noProof/>
                <w:spacing w:val="-6"/>
                <w:lang w:val="sk-SK"/>
              </w:rPr>
              <w:t>Skrátenie dĺžky občianskoprávneho konania</w:t>
            </w:r>
          </w:p>
        </w:tc>
      </w:tr>
      <w:tr w:rsidR="00BF03AA" w:rsidRPr="00326E55" w14:paraId="3E44B9EC" w14:textId="77777777">
        <w:trPr>
          <w:trHeight w:val="300"/>
        </w:trPr>
        <w:tc>
          <w:tcPr>
            <w:tcW w:w="1435" w:type="dxa"/>
            <w:shd w:val="clear" w:color="auto" w:fill="C6EFCE"/>
            <w:tcMar>
              <w:left w:w="108" w:type="dxa"/>
              <w:right w:w="108" w:type="dxa"/>
            </w:tcMar>
            <w:vAlign w:val="center"/>
          </w:tcPr>
          <w:p w14:paraId="767186B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46</w:t>
            </w:r>
          </w:p>
        </w:tc>
        <w:tc>
          <w:tcPr>
            <w:tcW w:w="3543" w:type="dxa"/>
            <w:shd w:val="clear" w:color="auto" w:fill="C6EFCE"/>
            <w:tcMar>
              <w:left w:w="108" w:type="dxa"/>
              <w:right w:w="108" w:type="dxa"/>
            </w:tcMar>
            <w:vAlign w:val="center"/>
          </w:tcPr>
          <w:p w14:paraId="7C4B08B0"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Reforma1.5: Reforma trestného súdnictva</w:t>
            </w:r>
          </w:p>
        </w:tc>
        <w:tc>
          <w:tcPr>
            <w:tcW w:w="1418" w:type="dxa"/>
            <w:shd w:val="clear" w:color="auto" w:fill="C6EFCE"/>
            <w:tcMar>
              <w:left w:w="108" w:type="dxa"/>
              <w:right w:w="108" w:type="dxa"/>
            </w:tcMar>
            <w:vAlign w:val="center"/>
          </w:tcPr>
          <w:p w14:paraId="6599527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45FE0CFA" w14:textId="77777777" w:rsidR="00BF03AA" w:rsidRPr="00326E55" w:rsidRDefault="00FB452D">
            <w:pPr>
              <w:pStyle w:val="P68B1DB1-Normal121"/>
              <w:spacing w:after="0" w:line="240" w:lineRule="auto"/>
              <w:rPr>
                <w:noProof/>
                <w:spacing w:val="-6"/>
                <w:lang w:val="sk-SK"/>
              </w:rPr>
            </w:pPr>
            <w:r w:rsidRPr="00326E55">
              <w:rPr>
                <w:noProof/>
                <w:spacing w:val="-6"/>
                <w:lang w:val="sk-SK"/>
              </w:rPr>
              <w:t>Skrátenie dĺžky trestného konania</w:t>
            </w:r>
          </w:p>
        </w:tc>
      </w:tr>
      <w:tr w:rsidR="00BF03AA" w:rsidRPr="00326E55" w14:paraId="20DAFFAF" w14:textId="77777777">
        <w:trPr>
          <w:trHeight w:val="300"/>
        </w:trPr>
        <w:tc>
          <w:tcPr>
            <w:tcW w:w="1435" w:type="dxa"/>
            <w:shd w:val="clear" w:color="auto" w:fill="C6EFCE"/>
            <w:tcMar>
              <w:left w:w="108" w:type="dxa"/>
              <w:right w:w="108" w:type="dxa"/>
            </w:tcMar>
            <w:vAlign w:val="center"/>
          </w:tcPr>
          <w:p w14:paraId="6D9D6A2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47</w:t>
            </w:r>
          </w:p>
        </w:tc>
        <w:tc>
          <w:tcPr>
            <w:tcW w:w="3543" w:type="dxa"/>
            <w:shd w:val="clear" w:color="auto" w:fill="C6EFCE"/>
            <w:tcMar>
              <w:left w:w="108" w:type="dxa"/>
              <w:right w:w="108" w:type="dxa"/>
            </w:tcMar>
            <w:vAlign w:val="center"/>
          </w:tcPr>
          <w:p w14:paraId="4AFF1936"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1.4: Reforma občianskeho súdnictva</w:t>
            </w:r>
          </w:p>
        </w:tc>
        <w:tc>
          <w:tcPr>
            <w:tcW w:w="1418" w:type="dxa"/>
            <w:shd w:val="clear" w:color="auto" w:fill="C6EFCE"/>
            <w:tcMar>
              <w:left w:w="108" w:type="dxa"/>
              <w:right w:w="108" w:type="dxa"/>
            </w:tcMar>
            <w:vAlign w:val="center"/>
          </w:tcPr>
          <w:p w14:paraId="377716F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6EB7EBB9" w14:textId="77777777" w:rsidR="00BF03AA" w:rsidRPr="00326E55" w:rsidRDefault="00FB452D">
            <w:pPr>
              <w:pStyle w:val="P68B1DB1-Normal121"/>
              <w:spacing w:after="0" w:line="240" w:lineRule="auto"/>
              <w:rPr>
                <w:noProof/>
                <w:spacing w:val="-6"/>
                <w:lang w:val="sk-SK"/>
              </w:rPr>
            </w:pPr>
            <w:r w:rsidRPr="00326E55">
              <w:rPr>
                <w:noProof/>
                <w:spacing w:val="-6"/>
                <w:lang w:val="sk-SK"/>
              </w:rPr>
              <w:t>Zníženie počtu nevyriešených prípadov na občianskoprávnych všeobecných súdoch (prvý stupeň)</w:t>
            </w:r>
          </w:p>
        </w:tc>
      </w:tr>
      <w:tr w:rsidR="00BF03AA" w:rsidRPr="00326E55" w14:paraId="214E2254" w14:textId="77777777">
        <w:trPr>
          <w:trHeight w:val="300"/>
        </w:trPr>
        <w:tc>
          <w:tcPr>
            <w:tcW w:w="1435" w:type="dxa"/>
            <w:shd w:val="clear" w:color="auto" w:fill="C6EFCE"/>
            <w:tcMar>
              <w:left w:w="108" w:type="dxa"/>
              <w:right w:w="108" w:type="dxa"/>
            </w:tcMar>
            <w:vAlign w:val="center"/>
          </w:tcPr>
          <w:p w14:paraId="0C8FB0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48</w:t>
            </w:r>
          </w:p>
        </w:tc>
        <w:tc>
          <w:tcPr>
            <w:tcW w:w="3543" w:type="dxa"/>
            <w:shd w:val="clear" w:color="auto" w:fill="C6EFCE"/>
            <w:tcMar>
              <w:left w:w="108" w:type="dxa"/>
              <w:right w:w="108" w:type="dxa"/>
            </w:tcMar>
            <w:vAlign w:val="center"/>
          </w:tcPr>
          <w:p w14:paraId="7F759C43"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1.4: Reforma občianskeho súdnictva</w:t>
            </w:r>
          </w:p>
        </w:tc>
        <w:tc>
          <w:tcPr>
            <w:tcW w:w="1418" w:type="dxa"/>
            <w:shd w:val="clear" w:color="auto" w:fill="C6EFCE"/>
            <w:tcMar>
              <w:left w:w="108" w:type="dxa"/>
              <w:right w:w="108" w:type="dxa"/>
            </w:tcMar>
            <w:vAlign w:val="center"/>
          </w:tcPr>
          <w:p w14:paraId="5DF8C4A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2B9C2BE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Zníženie </w:t>
            </w:r>
            <w:r w:rsidRPr="00326E55">
              <w:rPr>
                <w:noProof/>
                <w:spacing w:val="-6"/>
                <w:lang w:val="sk-SK"/>
              </w:rPr>
              <w:t>počtu nevyriešených prípadov na občianskom odvolacom súde (druhá inštancia)</w:t>
            </w:r>
          </w:p>
        </w:tc>
      </w:tr>
      <w:tr w:rsidR="00BF03AA" w:rsidRPr="00326E55" w14:paraId="72C3C981" w14:textId="77777777">
        <w:trPr>
          <w:trHeight w:val="300"/>
        </w:trPr>
        <w:tc>
          <w:tcPr>
            <w:tcW w:w="1435" w:type="dxa"/>
            <w:shd w:val="clear" w:color="auto" w:fill="C6EFCE"/>
            <w:tcMar>
              <w:left w:w="108" w:type="dxa"/>
              <w:right w:w="108" w:type="dxa"/>
            </w:tcMar>
            <w:vAlign w:val="center"/>
          </w:tcPr>
          <w:p w14:paraId="4D87B45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49</w:t>
            </w:r>
          </w:p>
        </w:tc>
        <w:tc>
          <w:tcPr>
            <w:tcW w:w="3543" w:type="dxa"/>
            <w:shd w:val="clear" w:color="auto" w:fill="C6EFCE"/>
            <w:tcMar>
              <w:left w:w="108" w:type="dxa"/>
              <w:right w:w="108" w:type="dxa"/>
            </w:tcMar>
            <w:vAlign w:val="center"/>
          </w:tcPr>
          <w:p w14:paraId="6A1DBCC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1.8: Postupy prijímania zamestnancov na správne súdy</w:t>
            </w:r>
          </w:p>
        </w:tc>
        <w:tc>
          <w:tcPr>
            <w:tcW w:w="1418" w:type="dxa"/>
            <w:shd w:val="clear" w:color="auto" w:fill="C6EFCE"/>
            <w:tcMar>
              <w:left w:w="108" w:type="dxa"/>
              <w:right w:w="108" w:type="dxa"/>
            </w:tcMar>
            <w:vAlign w:val="center"/>
          </w:tcPr>
          <w:p w14:paraId="11DF017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33482BC4" w14:textId="77777777" w:rsidR="00BF03AA" w:rsidRPr="00326E55" w:rsidRDefault="00FB452D">
            <w:pPr>
              <w:pStyle w:val="P68B1DB1-Normal121"/>
              <w:spacing w:after="0" w:line="240" w:lineRule="auto"/>
              <w:rPr>
                <w:noProof/>
                <w:spacing w:val="-6"/>
                <w:lang w:val="sk-SK"/>
              </w:rPr>
            </w:pPr>
            <w:r w:rsidRPr="00326E55">
              <w:rPr>
                <w:noProof/>
                <w:spacing w:val="-6"/>
                <w:lang w:val="sk-SK"/>
              </w:rPr>
              <w:t>Zníženie počtu nevybavených prípadov pre správne krajské súdy (prvý stupeň)</w:t>
            </w:r>
          </w:p>
        </w:tc>
      </w:tr>
      <w:tr w:rsidR="00BF03AA" w:rsidRPr="00326E55" w14:paraId="344E5757" w14:textId="77777777">
        <w:trPr>
          <w:trHeight w:val="300"/>
        </w:trPr>
        <w:tc>
          <w:tcPr>
            <w:tcW w:w="1435" w:type="dxa"/>
            <w:shd w:val="clear" w:color="auto" w:fill="C6EFCE"/>
            <w:tcMar>
              <w:left w:w="108" w:type="dxa"/>
              <w:right w:w="108" w:type="dxa"/>
            </w:tcMar>
            <w:vAlign w:val="center"/>
          </w:tcPr>
          <w:p w14:paraId="5C1648C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50</w:t>
            </w:r>
          </w:p>
        </w:tc>
        <w:tc>
          <w:tcPr>
            <w:tcW w:w="3543" w:type="dxa"/>
            <w:shd w:val="clear" w:color="auto" w:fill="C6EFCE"/>
            <w:tcMar>
              <w:left w:w="108" w:type="dxa"/>
              <w:right w:w="108" w:type="dxa"/>
            </w:tcMar>
            <w:vAlign w:val="center"/>
          </w:tcPr>
          <w:p w14:paraId="5DF20DB8"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w:t>
            </w:r>
            <w:r w:rsidRPr="00326E55">
              <w:rPr>
                <w:noProof/>
                <w:spacing w:val="-6"/>
                <w:lang w:val="sk-SK"/>
              </w:rPr>
              <w:t>8: Postupy prijímania zamestnancov na správne súdy</w:t>
            </w:r>
          </w:p>
        </w:tc>
        <w:tc>
          <w:tcPr>
            <w:tcW w:w="1418" w:type="dxa"/>
            <w:shd w:val="clear" w:color="auto" w:fill="C6EFCE"/>
            <w:tcMar>
              <w:left w:w="108" w:type="dxa"/>
              <w:right w:w="108" w:type="dxa"/>
            </w:tcMar>
            <w:vAlign w:val="center"/>
          </w:tcPr>
          <w:p w14:paraId="2A05447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2720E718" w14:textId="77777777" w:rsidR="00BF03AA" w:rsidRPr="00326E55" w:rsidRDefault="00FB452D">
            <w:pPr>
              <w:pStyle w:val="P68B1DB1-Normal121"/>
              <w:spacing w:after="0" w:line="240" w:lineRule="auto"/>
              <w:rPr>
                <w:noProof/>
                <w:spacing w:val="-6"/>
                <w:lang w:val="sk-SK"/>
              </w:rPr>
            </w:pPr>
            <w:r w:rsidRPr="00326E55">
              <w:rPr>
                <w:noProof/>
                <w:spacing w:val="-6"/>
                <w:lang w:val="sk-SK"/>
              </w:rPr>
              <w:t>Zníženie počtu nevybavených prípadov Štátnej rady</w:t>
            </w:r>
          </w:p>
        </w:tc>
      </w:tr>
      <w:tr w:rsidR="00BF03AA" w:rsidRPr="00326E55" w14:paraId="43A7E528" w14:textId="77777777">
        <w:trPr>
          <w:trHeight w:val="300"/>
        </w:trPr>
        <w:tc>
          <w:tcPr>
            <w:tcW w:w="1435" w:type="dxa"/>
            <w:shd w:val="clear" w:color="auto" w:fill="C6EFCE"/>
            <w:tcMar>
              <w:left w:w="108" w:type="dxa"/>
              <w:right w:w="108" w:type="dxa"/>
            </w:tcMar>
            <w:vAlign w:val="center"/>
          </w:tcPr>
          <w:p w14:paraId="3C79735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59b</w:t>
            </w:r>
          </w:p>
        </w:tc>
        <w:tc>
          <w:tcPr>
            <w:tcW w:w="3543" w:type="dxa"/>
            <w:shd w:val="clear" w:color="auto" w:fill="C6EFCE"/>
            <w:tcMar>
              <w:left w:w="108" w:type="dxa"/>
              <w:right w:w="108" w:type="dxa"/>
            </w:tcMar>
            <w:vAlign w:val="center"/>
          </w:tcPr>
          <w:p w14:paraId="1A4B403B"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1.9: Reforma verejnej správy</w:t>
            </w:r>
          </w:p>
        </w:tc>
        <w:tc>
          <w:tcPr>
            <w:tcW w:w="1418" w:type="dxa"/>
            <w:shd w:val="clear" w:color="auto" w:fill="C6EFCE"/>
            <w:tcMar>
              <w:left w:w="108" w:type="dxa"/>
              <w:right w:w="108" w:type="dxa"/>
            </w:tcMar>
            <w:vAlign w:val="center"/>
          </w:tcPr>
          <w:p w14:paraId="53EBC69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172D65D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Vykonávanie strategického riadenia ľudských zdrojov vo verejnej správe  </w:t>
            </w:r>
          </w:p>
        </w:tc>
      </w:tr>
      <w:tr w:rsidR="00BF03AA" w:rsidRPr="00326E55" w14:paraId="43D88BFB" w14:textId="77777777">
        <w:trPr>
          <w:trHeight w:val="300"/>
        </w:trPr>
        <w:tc>
          <w:tcPr>
            <w:tcW w:w="1435" w:type="dxa"/>
            <w:shd w:val="clear" w:color="auto" w:fill="C6EFCE"/>
            <w:tcMar>
              <w:left w:w="108" w:type="dxa"/>
              <w:right w:w="108" w:type="dxa"/>
            </w:tcMar>
            <w:vAlign w:val="center"/>
          </w:tcPr>
          <w:p w14:paraId="1B0F0E6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63</w:t>
            </w:r>
          </w:p>
        </w:tc>
        <w:tc>
          <w:tcPr>
            <w:tcW w:w="3543" w:type="dxa"/>
            <w:shd w:val="clear" w:color="auto" w:fill="C6EFCE"/>
            <w:tcMar>
              <w:left w:w="108" w:type="dxa"/>
              <w:right w:w="108" w:type="dxa"/>
            </w:tcMar>
            <w:vAlign w:val="center"/>
          </w:tcPr>
          <w:p w14:paraId="2BA7EA8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w:t>
            </w:r>
            <w:r w:rsidRPr="00326E55">
              <w:rPr>
                <w:noProof/>
                <w:spacing w:val="-6"/>
                <w:lang w:val="sk-SK"/>
              </w:rPr>
              <w:t>1.9: Reforma verejnej správy</w:t>
            </w:r>
          </w:p>
        </w:tc>
        <w:tc>
          <w:tcPr>
            <w:tcW w:w="1418" w:type="dxa"/>
            <w:shd w:val="clear" w:color="auto" w:fill="C6EFCE"/>
            <w:tcMar>
              <w:left w:w="108" w:type="dxa"/>
              <w:right w:w="108" w:type="dxa"/>
            </w:tcMar>
            <w:vAlign w:val="center"/>
          </w:tcPr>
          <w:p w14:paraId="63DCC22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2710A00B" w14:textId="77777777" w:rsidR="00BF03AA" w:rsidRPr="00326E55" w:rsidRDefault="00FB452D">
            <w:pPr>
              <w:pStyle w:val="P68B1DB1-Normal121"/>
              <w:spacing w:after="0" w:line="240" w:lineRule="auto"/>
              <w:rPr>
                <w:noProof/>
                <w:spacing w:val="-6"/>
                <w:lang w:val="sk-SK"/>
              </w:rPr>
            </w:pPr>
            <w:r w:rsidRPr="00326E55">
              <w:rPr>
                <w:noProof/>
                <w:spacing w:val="-6"/>
                <w:lang w:val="sk-SK"/>
              </w:rPr>
              <w:t>Uverejnenie registra všetkých zjednodušených a/alebo digitalizovaných postupov</w:t>
            </w:r>
          </w:p>
        </w:tc>
      </w:tr>
      <w:tr w:rsidR="00BF03AA" w:rsidRPr="00326E55" w14:paraId="49E1D3EA" w14:textId="77777777">
        <w:trPr>
          <w:trHeight w:val="300"/>
        </w:trPr>
        <w:tc>
          <w:tcPr>
            <w:tcW w:w="1435" w:type="dxa"/>
            <w:shd w:val="clear" w:color="auto" w:fill="C6EFCE"/>
            <w:tcMar>
              <w:left w:w="108" w:type="dxa"/>
              <w:right w:w="108" w:type="dxa"/>
            </w:tcMar>
            <w:vAlign w:val="center"/>
          </w:tcPr>
          <w:p w14:paraId="657EE8A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66</w:t>
            </w:r>
          </w:p>
        </w:tc>
        <w:tc>
          <w:tcPr>
            <w:tcW w:w="3543" w:type="dxa"/>
            <w:shd w:val="clear" w:color="auto" w:fill="C6EFCE"/>
            <w:tcMar>
              <w:left w:w="108" w:type="dxa"/>
              <w:right w:w="108" w:type="dxa"/>
            </w:tcMar>
            <w:vAlign w:val="center"/>
          </w:tcPr>
          <w:p w14:paraId="50B16CDF" w14:textId="4C9A2D99" w:rsidR="00BF03AA" w:rsidRPr="00326E55" w:rsidRDefault="00FB452D">
            <w:pPr>
              <w:pStyle w:val="P68B1DB1-Normal121"/>
              <w:spacing w:after="0" w:line="240" w:lineRule="auto"/>
              <w:rPr>
                <w:noProof/>
                <w:spacing w:val="-6"/>
                <w:lang w:val="sk-SK"/>
              </w:rPr>
            </w:pPr>
            <w:r w:rsidRPr="00326E55">
              <w:rPr>
                <w:noProof/>
                <w:spacing w:val="-6"/>
                <w:lang w:val="sk-SK"/>
              </w:rPr>
              <w:t>Investícia 1.9: Poskytnúť technickú pomoc</w:t>
            </w:r>
            <w:r w:rsidR="00326E55" w:rsidRPr="00326E55">
              <w:rPr>
                <w:noProof/>
                <w:spacing w:val="-6"/>
                <w:lang w:val="sk-SK"/>
              </w:rPr>
              <w:t xml:space="preserve"> a </w:t>
            </w:r>
            <w:r w:rsidRPr="00326E55">
              <w:rPr>
                <w:noProof/>
                <w:spacing w:val="-6"/>
                <w:lang w:val="sk-SK"/>
              </w:rPr>
              <w:t>posilniť budovanie kapacít na vykonávanie talianskeho plánu obnovy</w:t>
            </w:r>
            <w:r w:rsidR="00326E55" w:rsidRPr="00326E55">
              <w:rPr>
                <w:noProof/>
                <w:spacing w:val="-6"/>
                <w:lang w:val="sk-SK"/>
              </w:rPr>
              <w:t xml:space="preserve"> a </w:t>
            </w:r>
            <w:r w:rsidRPr="00326E55">
              <w:rPr>
                <w:noProof/>
                <w:spacing w:val="-6"/>
                <w:lang w:val="sk-SK"/>
              </w:rPr>
              <w:t>odolnosti</w:t>
            </w:r>
          </w:p>
        </w:tc>
        <w:tc>
          <w:tcPr>
            <w:tcW w:w="1418" w:type="dxa"/>
            <w:shd w:val="clear" w:color="auto" w:fill="C6EFCE"/>
            <w:tcMar>
              <w:left w:w="108" w:type="dxa"/>
              <w:right w:w="108" w:type="dxa"/>
            </w:tcMar>
            <w:vAlign w:val="center"/>
          </w:tcPr>
          <w:p w14:paraId="41AA850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45BEF5A0" w14:textId="52DE160B" w:rsidR="00BF03AA" w:rsidRPr="00326E55" w:rsidRDefault="00FB452D">
            <w:pPr>
              <w:pStyle w:val="P68B1DB1-Normal121"/>
              <w:spacing w:after="0" w:line="240" w:lineRule="auto"/>
              <w:rPr>
                <w:noProof/>
                <w:spacing w:val="-6"/>
                <w:lang w:val="sk-SK"/>
              </w:rPr>
            </w:pPr>
            <w:r w:rsidRPr="00326E55">
              <w:rPr>
                <w:noProof/>
                <w:spacing w:val="-6"/>
                <w:lang w:val="sk-SK"/>
              </w:rPr>
              <w:t>Vzdelávanie</w:t>
            </w:r>
            <w:r w:rsidR="00326E55" w:rsidRPr="00326E55">
              <w:rPr>
                <w:noProof/>
                <w:spacing w:val="-6"/>
                <w:lang w:val="sk-SK"/>
              </w:rPr>
              <w:t xml:space="preserve"> a </w:t>
            </w:r>
            <w:r w:rsidRPr="00326E55">
              <w:rPr>
                <w:noProof/>
                <w:spacing w:val="-6"/>
                <w:lang w:val="sk-SK"/>
              </w:rPr>
              <w:t>odborná príprava</w:t>
            </w:r>
          </w:p>
        </w:tc>
      </w:tr>
      <w:tr w:rsidR="00BF03AA" w:rsidRPr="00326E55" w14:paraId="0B6442E0" w14:textId="77777777">
        <w:trPr>
          <w:trHeight w:val="300"/>
        </w:trPr>
        <w:tc>
          <w:tcPr>
            <w:tcW w:w="1435" w:type="dxa"/>
            <w:shd w:val="clear" w:color="auto" w:fill="C6EFCE"/>
            <w:tcMar>
              <w:left w:w="108" w:type="dxa"/>
              <w:right w:w="108" w:type="dxa"/>
            </w:tcMar>
            <w:vAlign w:val="center"/>
          </w:tcPr>
          <w:p w14:paraId="778B9B3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118</w:t>
            </w:r>
          </w:p>
        </w:tc>
        <w:tc>
          <w:tcPr>
            <w:tcW w:w="3543" w:type="dxa"/>
            <w:shd w:val="clear" w:color="auto" w:fill="C6EFCE"/>
            <w:tcMar>
              <w:left w:w="108" w:type="dxa"/>
              <w:right w:w="108" w:type="dxa"/>
            </w:tcMar>
            <w:vAlign w:val="center"/>
          </w:tcPr>
          <w:p w14:paraId="41CE5357"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1.15: Reforma pravidiel verejného účtovníctva</w:t>
            </w:r>
          </w:p>
        </w:tc>
        <w:tc>
          <w:tcPr>
            <w:tcW w:w="1418" w:type="dxa"/>
            <w:shd w:val="clear" w:color="auto" w:fill="C6EFCE"/>
            <w:tcMar>
              <w:left w:w="108" w:type="dxa"/>
              <w:right w:w="108" w:type="dxa"/>
            </w:tcMar>
            <w:vAlign w:val="center"/>
          </w:tcPr>
          <w:p w14:paraId="235FF9A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33F9A60E" w14:textId="1E64067B"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legislatívneho dokumentu</w:t>
            </w:r>
            <w:r w:rsidR="00326E55" w:rsidRPr="00326E55">
              <w:rPr>
                <w:noProof/>
                <w:spacing w:val="-6"/>
                <w:lang w:val="sk-SK"/>
              </w:rPr>
              <w:t xml:space="preserve"> o </w:t>
            </w:r>
            <w:r w:rsidRPr="00326E55">
              <w:rPr>
                <w:noProof/>
                <w:spacing w:val="-6"/>
                <w:lang w:val="sk-SK"/>
              </w:rPr>
              <w:t>reforme akruálneho účtovníctva pre aspoň 90</w:t>
            </w:r>
            <w:r w:rsidR="00326E55" w:rsidRPr="00326E55">
              <w:rPr>
                <w:noProof/>
                <w:spacing w:val="-6"/>
                <w:lang w:val="sk-SK"/>
              </w:rPr>
              <w:t> %</w:t>
            </w:r>
            <w:r w:rsidRPr="00326E55">
              <w:rPr>
                <w:noProof/>
                <w:spacing w:val="-6"/>
                <w:lang w:val="sk-SK"/>
              </w:rPr>
              <w:t xml:space="preserve"> celého verejného sektora bez štátom vlastnených spoločno</w:t>
            </w:r>
            <w:r w:rsidRPr="00326E55">
              <w:rPr>
                <w:noProof/>
                <w:spacing w:val="-6"/>
                <w:lang w:val="sk-SK"/>
              </w:rPr>
              <w:t>stí</w:t>
            </w:r>
          </w:p>
        </w:tc>
      </w:tr>
      <w:tr w:rsidR="00BF03AA" w:rsidRPr="00326E55" w14:paraId="3152E7FC" w14:textId="77777777">
        <w:trPr>
          <w:trHeight w:val="300"/>
        </w:trPr>
        <w:tc>
          <w:tcPr>
            <w:tcW w:w="1435" w:type="dxa"/>
            <w:shd w:val="clear" w:color="auto" w:fill="C6EFCE"/>
            <w:tcMar>
              <w:left w:w="108" w:type="dxa"/>
              <w:right w:w="108" w:type="dxa"/>
            </w:tcMar>
            <w:vAlign w:val="center"/>
          </w:tcPr>
          <w:p w14:paraId="2066526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122</w:t>
            </w:r>
          </w:p>
        </w:tc>
        <w:tc>
          <w:tcPr>
            <w:tcW w:w="3543" w:type="dxa"/>
            <w:shd w:val="clear" w:color="auto" w:fill="C6EFCE"/>
            <w:tcMar>
              <w:left w:w="108" w:type="dxa"/>
              <w:right w:w="108" w:type="dxa"/>
            </w:tcMar>
            <w:vAlign w:val="center"/>
          </w:tcPr>
          <w:p w14:paraId="1074411E"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1.13: Reforma rámca preskúmania výdavkov</w:t>
            </w:r>
          </w:p>
        </w:tc>
        <w:tc>
          <w:tcPr>
            <w:tcW w:w="1418" w:type="dxa"/>
            <w:shd w:val="clear" w:color="auto" w:fill="C6EFCE"/>
            <w:tcMar>
              <w:left w:w="108" w:type="dxa"/>
              <w:right w:w="108" w:type="dxa"/>
            </w:tcMar>
            <w:vAlign w:val="center"/>
          </w:tcPr>
          <w:p w14:paraId="56F2CD8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3BC28AC8" w14:textId="06B48EBF" w:rsidR="00BF03AA" w:rsidRPr="00326E55" w:rsidRDefault="00FB452D">
            <w:pPr>
              <w:pStyle w:val="P68B1DB1-Normal121"/>
              <w:spacing w:after="0" w:line="240" w:lineRule="auto"/>
              <w:rPr>
                <w:noProof/>
                <w:spacing w:val="-6"/>
                <w:lang w:val="sk-SK"/>
              </w:rPr>
            </w:pPr>
            <w:r w:rsidRPr="00326E55">
              <w:rPr>
                <w:noProof/>
                <w:spacing w:val="-6"/>
                <w:lang w:val="sk-SK"/>
              </w:rPr>
              <w:t>Dokončenie ročného preskúmania výdavkov na rok 2025</w:t>
            </w:r>
            <w:r w:rsidR="00326E55" w:rsidRPr="00326E55">
              <w:rPr>
                <w:noProof/>
                <w:spacing w:val="-6"/>
                <w:lang w:val="sk-SK"/>
              </w:rPr>
              <w:t xml:space="preserve"> s </w:t>
            </w:r>
            <w:r w:rsidRPr="00326E55">
              <w:rPr>
                <w:noProof/>
                <w:spacing w:val="-6"/>
                <w:lang w:val="sk-SK"/>
              </w:rPr>
              <w:t>odkazom na cieľ úspor stanovený na roky 2022, 2023</w:t>
            </w:r>
            <w:r w:rsidR="00326E55" w:rsidRPr="00326E55">
              <w:rPr>
                <w:noProof/>
                <w:spacing w:val="-6"/>
                <w:lang w:val="sk-SK"/>
              </w:rPr>
              <w:t xml:space="preserve"> a </w:t>
            </w:r>
            <w:r w:rsidRPr="00326E55">
              <w:rPr>
                <w:noProof/>
                <w:spacing w:val="-6"/>
                <w:lang w:val="sk-SK"/>
              </w:rPr>
              <w:t>2024 na rok 2025.</w:t>
            </w:r>
          </w:p>
        </w:tc>
      </w:tr>
      <w:tr w:rsidR="00BF03AA" w:rsidRPr="00326E55" w14:paraId="2551ED35" w14:textId="77777777">
        <w:trPr>
          <w:trHeight w:val="300"/>
        </w:trPr>
        <w:tc>
          <w:tcPr>
            <w:tcW w:w="1435" w:type="dxa"/>
            <w:shd w:val="clear" w:color="auto" w:fill="C6EFCE"/>
            <w:tcMar>
              <w:left w:w="108" w:type="dxa"/>
              <w:right w:w="108" w:type="dxa"/>
            </w:tcMar>
            <w:vAlign w:val="center"/>
          </w:tcPr>
          <w:p w14:paraId="549A736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13bis</w:t>
            </w:r>
          </w:p>
        </w:tc>
        <w:tc>
          <w:tcPr>
            <w:tcW w:w="3543" w:type="dxa"/>
            <w:shd w:val="clear" w:color="auto" w:fill="C6EFCE"/>
            <w:tcMar>
              <w:left w:w="108" w:type="dxa"/>
              <w:right w:w="108" w:type="dxa"/>
            </w:tcMar>
            <w:vAlign w:val="center"/>
          </w:tcPr>
          <w:p w14:paraId="444A33D9" w14:textId="51FFFF77" w:rsidR="00BF03AA" w:rsidRPr="00326E55" w:rsidRDefault="00FB452D">
            <w:pPr>
              <w:pStyle w:val="P68B1DB1-Normal121"/>
              <w:spacing w:after="0" w:line="240" w:lineRule="auto"/>
              <w:rPr>
                <w:noProof/>
                <w:spacing w:val="-6"/>
                <w:lang w:val="sk-SK"/>
              </w:rPr>
            </w:pPr>
            <w:r w:rsidRPr="00326E55">
              <w:rPr>
                <w:noProof/>
                <w:spacing w:val="-6"/>
                <w:lang w:val="sk-SK"/>
              </w:rPr>
              <w:t>Reforma 2: Ročné právne predpisy</w:t>
            </w:r>
            <w:r w:rsidR="00326E55" w:rsidRPr="00326E55">
              <w:rPr>
                <w:noProof/>
                <w:spacing w:val="-6"/>
                <w:lang w:val="sk-SK"/>
              </w:rPr>
              <w:t xml:space="preserve"> v </w:t>
            </w:r>
            <w:r w:rsidRPr="00326E55">
              <w:rPr>
                <w:noProof/>
                <w:spacing w:val="-6"/>
                <w:lang w:val="sk-SK"/>
              </w:rPr>
              <w:t xml:space="preserve">oblasti </w:t>
            </w:r>
            <w:r w:rsidRPr="00326E55">
              <w:rPr>
                <w:noProof/>
                <w:spacing w:val="-6"/>
                <w:lang w:val="sk-SK"/>
              </w:rPr>
              <w:t>hospodárskej súťaže</w:t>
            </w:r>
          </w:p>
        </w:tc>
        <w:tc>
          <w:tcPr>
            <w:tcW w:w="1418" w:type="dxa"/>
            <w:shd w:val="clear" w:color="auto" w:fill="C6EFCE"/>
            <w:tcMar>
              <w:left w:w="108" w:type="dxa"/>
              <w:right w:w="108" w:type="dxa"/>
            </w:tcMar>
            <w:vAlign w:val="center"/>
          </w:tcPr>
          <w:p w14:paraId="6DB3E8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29E084C3" w14:textId="297CE7CF"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právnych predpisov (vrátane sekundárnych právnych predpisov</w:t>
            </w:r>
            <w:r w:rsidR="00326E55" w:rsidRPr="00326E55">
              <w:rPr>
                <w:noProof/>
                <w:spacing w:val="-6"/>
                <w:lang w:val="sk-SK"/>
              </w:rPr>
              <w:t xml:space="preserve"> a </w:t>
            </w:r>
            <w:r w:rsidRPr="00326E55">
              <w:rPr>
                <w:noProof/>
                <w:spacing w:val="-6"/>
                <w:lang w:val="sk-SK"/>
              </w:rPr>
              <w:t>vykonávacích aktov týkajúcich sa ročného zákona</w:t>
            </w:r>
            <w:r w:rsidR="00326E55" w:rsidRPr="00326E55">
              <w:rPr>
                <w:noProof/>
                <w:spacing w:val="-6"/>
                <w:lang w:val="sk-SK"/>
              </w:rPr>
              <w:t xml:space="preserve"> o </w:t>
            </w:r>
            <w:r w:rsidRPr="00326E55">
              <w:rPr>
                <w:noProof/>
                <w:spacing w:val="-6"/>
                <w:lang w:val="sk-SK"/>
              </w:rPr>
              <w:t>hospodárskej súťaži na rok 2025)</w:t>
            </w:r>
            <w:r w:rsidR="00326E55" w:rsidRPr="00326E55">
              <w:rPr>
                <w:noProof/>
                <w:spacing w:val="-6"/>
                <w:lang w:val="sk-SK"/>
              </w:rPr>
              <w:t xml:space="preserve"> o </w:t>
            </w:r>
            <w:r w:rsidRPr="00326E55">
              <w:rPr>
                <w:noProof/>
                <w:spacing w:val="-6"/>
                <w:lang w:val="sk-SK"/>
              </w:rPr>
              <w:t>regionálnych železniciach</w:t>
            </w:r>
            <w:r w:rsidR="00326E55" w:rsidRPr="00326E55">
              <w:rPr>
                <w:noProof/>
                <w:spacing w:val="-6"/>
                <w:lang w:val="sk-SK"/>
              </w:rPr>
              <w:t xml:space="preserve"> a </w:t>
            </w:r>
            <w:r w:rsidRPr="00326E55">
              <w:rPr>
                <w:noProof/>
                <w:spacing w:val="-6"/>
                <w:lang w:val="sk-SK"/>
              </w:rPr>
              <w:t>transfere technológií</w:t>
            </w:r>
          </w:p>
        </w:tc>
      </w:tr>
      <w:tr w:rsidR="00BF03AA" w:rsidRPr="00326E55" w14:paraId="37A70FFA" w14:textId="77777777">
        <w:trPr>
          <w:trHeight w:val="300"/>
        </w:trPr>
        <w:tc>
          <w:tcPr>
            <w:tcW w:w="1435" w:type="dxa"/>
            <w:shd w:val="clear" w:color="auto" w:fill="C6EFCE"/>
            <w:tcMar>
              <w:left w:w="108" w:type="dxa"/>
              <w:right w:w="108" w:type="dxa"/>
            </w:tcMar>
            <w:vAlign w:val="center"/>
          </w:tcPr>
          <w:p w14:paraId="5305BED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3</w:t>
            </w:r>
          </w:p>
        </w:tc>
        <w:tc>
          <w:tcPr>
            <w:tcW w:w="3543" w:type="dxa"/>
            <w:shd w:val="clear" w:color="auto" w:fill="C6EFCE"/>
            <w:tcMar>
              <w:left w:w="108" w:type="dxa"/>
              <w:right w:w="108" w:type="dxa"/>
            </w:tcMar>
            <w:vAlign w:val="center"/>
          </w:tcPr>
          <w:p w14:paraId="1E779EAB" w14:textId="3D3E4D92" w:rsidR="00BF03AA" w:rsidRPr="00326E55" w:rsidRDefault="00FB452D">
            <w:pPr>
              <w:pStyle w:val="P68B1DB1-Normal121"/>
              <w:spacing w:after="0" w:line="240" w:lineRule="auto"/>
              <w:rPr>
                <w:noProof/>
                <w:spacing w:val="-6"/>
                <w:lang w:val="sk-SK"/>
              </w:rPr>
            </w:pPr>
            <w:r w:rsidRPr="00326E55">
              <w:rPr>
                <w:noProof/>
                <w:spacing w:val="-6"/>
                <w:lang w:val="sk-SK"/>
              </w:rPr>
              <w:t>Investície – 1.2 Odstránenie fyzických</w:t>
            </w:r>
            <w:r w:rsidR="00326E55" w:rsidRPr="00326E55">
              <w:rPr>
                <w:noProof/>
                <w:spacing w:val="-6"/>
                <w:lang w:val="sk-SK"/>
              </w:rPr>
              <w:t xml:space="preserve"> a </w:t>
            </w:r>
            <w:r w:rsidRPr="00326E55">
              <w:rPr>
                <w:noProof/>
                <w:spacing w:val="-6"/>
                <w:lang w:val="sk-SK"/>
              </w:rPr>
              <w:t>kognitívnych prekážok</w:t>
            </w:r>
            <w:r w:rsidR="00326E55" w:rsidRPr="00326E55">
              <w:rPr>
                <w:noProof/>
                <w:spacing w:val="-6"/>
                <w:lang w:val="sk-SK"/>
              </w:rPr>
              <w:t xml:space="preserve"> v </w:t>
            </w:r>
            <w:r w:rsidRPr="00326E55">
              <w:rPr>
                <w:noProof/>
                <w:spacing w:val="-6"/>
                <w:lang w:val="sk-SK"/>
              </w:rPr>
              <w:t>múzeách, knižniciach</w:t>
            </w:r>
            <w:r w:rsidR="00326E55" w:rsidRPr="00326E55">
              <w:rPr>
                <w:noProof/>
                <w:spacing w:val="-6"/>
                <w:lang w:val="sk-SK"/>
              </w:rPr>
              <w:t xml:space="preserve"> a </w:t>
            </w:r>
            <w:r w:rsidRPr="00326E55">
              <w:rPr>
                <w:noProof/>
                <w:spacing w:val="-6"/>
                <w:lang w:val="sk-SK"/>
              </w:rPr>
              <w:t>archívoch</w:t>
            </w:r>
            <w:r w:rsidR="00326E55" w:rsidRPr="00326E55">
              <w:rPr>
                <w:noProof/>
                <w:spacing w:val="-6"/>
                <w:lang w:val="sk-SK"/>
              </w:rPr>
              <w:t xml:space="preserve"> s </w:t>
            </w:r>
            <w:r w:rsidRPr="00326E55">
              <w:rPr>
                <w:noProof/>
                <w:spacing w:val="-6"/>
                <w:lang w:val="sk-SK"/>
              </w:rPr>
              <w:t>cieľom umožniť širší prístup ku kultúre</w:t>
            </w:r>
            <w:r w:rsidR="00326E55" w:rsidRPr="00326E55">
              <w:rPr>
                <w:noProof/>
                <w:spacing w:val="-6"/>
                <w:lang w:val="sk-SK"/>
              </w:rPr>
              <w:t xml:space="preserve"> a </w:t>
            </w:r>
            <w:r w:rsidRPr="00326E55">
              <w:rPr>
                <w:noProof/>
                <w:spacing w:val="-6"/>
                <w:lang w:val="sk-SK"/>
              </w:rPr>
              <w:t>účasť na nej</w:t>
            </w:r>
          </w:p>
        </w:tc>
        <w:tc>
          <w:tcPr>
            <w:tcW w:w="1418" w:type="dxa"/>
            <w:shd w:val="clear" w:color="auto" w:fill="C6EFCE"/>
            <w:tcMar>
              <w:left w:w="108" w:type="dxa"/>
              <w:right w:w="108" w:type="dxa"/>
            </w:tcMar>
            <w:vAlign w:val="center"/>
          </w:tcPr>
          <w:p w14:paraId="6E0EC80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481DBB4B" w14:textId="65951E4F" w:rsidR="00BF03AA" w:rsidRPr="00326E55" w:rsidRDefault="00FB452D">
            <w:pPr>
              <w:pStyle w:val="P68B1DB1-Normal121"/>
              <w:spacing w:after="0" w:line="240" w:lineRule="auto"/>
              <w:rPr>
                <w:noProof/>
                <w:spacing w:val="-6"/>
                <w:lang w:val="sk-SK"/>
              </w:rPr>
            </w:pPr>
            <w:r w:rsidRPr="00326E55">
              <w:rPr>
                <w:noProof/>
                <w:spacing w:val="-6"/>
                <w:lang w:val="sk-SK"/>
              </w:rPr>
              <w:t>Intervencie na odstránenie fyzických</w:t>
            </w:r>
            <w:r w:rsidR="00326E55" w:rsidRPr="00326E55">
              <w:rPr>
                <w:noProof/>
                <w:spacing w:val="-6"/>
                <w:lang w:val="sk-SK"/>
              </w:rPr>
              <w:t xml:space="preserve"> a </w:t>
            </w:r>
            <w:r w:rsidRPr="00326E55">
              <w:rPr>
                <w:noProof/>
                <w:spacing w:val="-6"/>
                <w:lang w:val="sk-SK"/>
              </w:rPr>
              <w:t>kognitívnych bariér</w:t>
            </w:r>
            <w:r w:rsidR="00326E55" w:rsidRPr="00326E55">
              <w:rPr>
                <w:noProof/>
                <w:spacing w:val="-6"/>
                <w:lang w:val="sk-SK"/>
              </w:rPr>
              <w:t xml:space="preserve"> v </w:t>
            </w:r>
            <w:r w:rsidRPr="00326E55">
              <w:rPr>
                <w:noProof/>
                <w:spacing w:val="-6"/>
                <w:lang w:val="sk-SK"/>
              </w:rPr>
              <w:t>múzeách, pamiatok, archeologických</w:t>
            </w:r>
            <w:r w:rsidRPr="00326E55">
              <w:rPr>
                <w:noProof/>
                <w:spacing w:val="-6"/>
                <w:lang w:val="sk-SK"/>
              </w:rPr>
              <w:t xml:space="preserve"> priestoroch</w:t>
            </w:r>
            <w:r w:rsidR="00326E55" w:rsidRPr="00326E55">
              <w:rPr>
                <w:noProof/>
                <w:spacing w:val="-6"/>
                <w:lang w:val="sk-SK"/>
              </w:rPr>
              <w:t xml:space="preserve"> a </w:t>
            </w:r>
            <w:r w:rsidRPr="00326E55">
              <w:rPr>
                <w:noProof/>
                <w:spacing w:val="-6"/>
                <w:lang w:val="sk-SK"/>
              </w:rPr>
              <w:t>parkoch, archívoch</w:t>
            </w:r>
            <w:r w:rsidR="00326E55" w:rsidRPr="00326E55">
              <w:rPr>
                <w:noProof/>
                <w:spacing w:val="-6"/>
                <w:lang w:val="sk-SK"/>
              </w:rPr>
              <w:t xml:space="preserve"> a </w:t>
            </w:r>
            <w:r w:rsidRPr="00326E55">
              <w:rPr>
                <w:noProof/>
                <w:spacing w:val="-6"/>
                <w:lang w:val="sk-SK"/>
              </w:rPr>
              <w:t>knižniciach</w:t>
            </w:r>
          </w:p>
        </w:tc>
      </w:tr>
      <w:tr w:rsidR="00BF03AA" w:rsidRPr="00326E55" w14:paraId="19233F06" w14:textId="77777777">
        <w:trPr>
          <w:trHeight w:val="300"/>
        </w:trPr>
        <w:tc>
          <w:tcPr>
            <w:tcW w:w="1435" w:type="dxa"/>
            <w:shd w:val="clear" w:color="auto" w:fill="C6EFCE"/>
            <w:tcMar>
              <w:left w:w="108" w:type="dxa"/>
              <w:right w:w="108" w:type="dxa"/>
            </w:tcMar>
            <w:vAlign w:val="center"/>
          </w:tcPr>
          <w:p w14:paraId="1F1CBA9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8</w:t>
            </w:r>
          </w:p>
        </w:tc>
        <w:tc>
          <w:tcPr>
            <w:tcW w:w="3543" w:type="dxa"/>
            <w:shd w:val="clear" w:color="auto" w:fill="C6EFCE"/>
            <w:tcMar>
              <w:left w:w="108" w:type="dxa"/>
              <w:right w:w="108" w:type="dxa"/>
            </w:tcMar>
            <w:vAlign w:val="center"/>
          </w:tcPr>
          <w:p w14:paraId="2C2F2BB7" w14:textId="05C7A744" w:rsidR="00BF03AA" w:rsidRPr="00326E55" w:rsidRDefault="00FB452D">
            <w:pPr>
              <w:pStyle w:val="P68B1DB1-Normal121"/>
              <w:spacing w:after="0" w:line="240" w:lineRule="auto"/>
              <w:rPr>
                <w:noProof/>
                <w:spacing w:val="-6"/>
                <w:lang w:val="sk-SK"/>
              </w:rPr>
            </w:pPr>
            <w:r w:rsidRPr="00326E55">
              <w:rPr>
                <w:noProof/>
                <w:spacing w:val="-6"/>
                <w:lang w:val="sk-SK"/>
              </w:rPr>
              <w:t>Investícia 2.3: Inovácie</w:t>
            </w:r>
            <w:r w:rsidR="00326E55" w:rsidRPr="00326E55">
              <w:rPr>
                <w:noProof/>
                <w:spacing w:val="-6"/>
                <w:lang w:val="sk-SK"/>
              </w:rPr>
              <w:t xml:space="preserve"> a </w:t>
            </w:r>
            <w:r w:rsidRPr="00326E55">
              <w:rPr>
                <w:noProof/>
                <w:spacing w:val="-6"/>
                <w:lang w:val="sk-SK"/>
              </w:rPr>
              <w:t>mechanizácia</w:t>
            </w:r>
            <w:r w:rsidR="00326E55" w:rsidRPr="00326E55">
              <w:rPr>
                <w:noProof/>
                <w:spacing w:val="-6"/>
                <w:lang w:val="sk-SK"/>
              </w:rPr>
              <w:t xml:space="preserve"> v </w:t>
            </w:r>
            <w:r w:rsidRPr="00326E55">
              <w:rPr>
                <w:noProof/>
                <w:spacing w:val="-6"/>
                <w:lang w:val="sk-SK"/>
              </w:rPr>
              <w:t>odvetví poľnohospodárstva</w:t>
            </w:r>
            <w:r w:rsidR="00326E55" w:rsidRPr="00326E55">
              <w:rPr>
                <w:noProof/>
                <w:spacing w:val="-6"/>
                <w:lang w:val="sk-SK"/>
              </w:rPr>
              <w:t xml:space="preserve"> a </w:t>
            </w:r>
            <w:r w:rsidRPr="00326E55">
              <w:rPr>
                <w:noProof/>
                <w:spacing w:val="-6"/>
                <w:lang w:val="sk-SK"/>
              </w:rPr>
              <w:t>potravinárstva</w:t>
            </w:r>
          </w:p>
        </w:tc>
        <w:tc>
          <w:tcPr>
            <w:tcW w:w="1418" w:type="dxa"/>
            <w:shd w:val="clear" w:color="auto" w:fill="C6EFCE"/>
            <w:tcMar>
              <w:left w:w="108" w:type="dxa"/>
              <w:right w:w="108" w:type="dxa"/>
            </w:tcMar>
            <w:vAlign w:val="center"/>
          </w:tcPr>
          <w:p w14:paraId="28ACE4C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0BD22D5F" w14:textId="63B96D51" w:rsidR="00BF03AA" w:rsidRPr="00326E55" w:rsidRDefault="00FB452D">
            <w:pPr>
              <w:pStyle w:val="P68B1DB1-Normal121"/>
              <w:spacing w:after="0" w:line="240" w:lineRule="auto"/>
              <w:rPr>
                <w:noProof/>
                <w:spacing w:val="-6"/>
                <w:lang w:val="sk-SK"/>
              </w:rPr>
            </w:pPr>
            <w:r w:rsidRPr="00326E55">
              <w:rPr>
                <w:noProof/>
                <w:spacing w:val="-6"/>
                <w:lang w:val="sk-SK"/>
              </w:rPr>
              <w:t>Podpora investícií do inovácií</w:t>
            </w:r>
            <w:r w:rsidR="00326E55" w:rsidRPr="00326E55">
              <w:rPr>
                <w:noProof/>
                <w:spacing w:val="-6"/>
                <w:lang w:val="sk-SK"/>
              </w:rPr>
              <w:t xml:space="preserve"> v </w:t>
            </w:r>
            <w:r w:rsidRPr="00326E55">
              <w:rPr>
                <w:noProof/>
                <w:spacing w:val="-6"/>
                <w:lang w:val="sk-SK"/>
              </w:rPr>
              <w:t>obehovom hospodárstve</w:t>
            </w:r>
            <w:r w:rsidR="00326E55" w:rsidRPr="00326E55">
              <w:rPr>
                <w:noProof/>
                <w:spacing w:val="-6"/>
                <w:lang w:val="sk-SK"/>
              </w:rPr>
              <w:t xml:space="preserve"> a </w:t>
            </w:r>
            <w:r w:rsidRPr="00326E55">
              <w:rPr>
                <w:noProof/>
                <w:spacing w:val="-6"/>
                <w:lang w:val="sk-SK"/>
              </w:rPr>
              <w:t>biohospodárstve</w:t>
            </w:r>
          </w:p>
        </w:tc>
      </w:tr>
      <w:tr w:rsidR="00BF03AA" w:rsidRPr="00326E55" w14:paraId="487590AC" w14:textId="77777777">
        <w:trPr>
          <w:trHeight w:val="300"/>
        </w:trPr>
        <w:tc>
          <w:tcPr>
            <w:tcW w:w="1435" w:type="dxa"/>
            <w:shd w:val="clear" w:color="auto" w:fill="C6EFCE"/>
            <w:tcMar>
              <w:left w:w="108" w:type="dxa"/>
              <w:right w:w="108" w:type="dxa"/>
            </w:tcMar>
            <w:vAlign w:val="center"/>
          </w:tcPr>
          <w:p w14:paraId="783594C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9</w:t>
            </w:r>
          </w:p>
        </w:tc>
        <w:tc>
          <w:tcPr>
            <w:tcW w:w="3543" w:type="dxa"/>
            <w:shd w:val="clear" w:color="auto" w:fill="C6EFCE"/>
            <w:tcMar>
              <w:left w:w="108" w:type="dxa"/>
              <w:right w:w="108" w:type="dxa"/>
            </w:tcMar>
            <w:vAlign w:val="center"/>
          </w:tcPr>
          <w:p w14:paraId="3A99A11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2.2: </w:t>
            </w:r>
            <w:r w:rsidRPr="00326E55">
              <w:rPr>
                <w:noProof/>
                <w:spacing w:val="-6"/>
                <w:lang w:val="sk-SK"/>
              </w:rPr>
              <w:t>Poľnohospodársko-solárny park</w:t>
            </w:r>
          </w:p>
        </w:tc>
        <w:tc>
          <w:tcPr>
            <w:tcW w:w="1418" w:type="dxa"/>
            <w:shd w:val="clear" w:color="auto" w:fill="C6EFCE"/>
            <w:tcMar>
              <w:left w:w="108" w:type="dxa"/>
              <w:right w:w="108" w:type="dxa"/>
            </w:tcMar>
            <w:vAlign w:val="center"/>
          </w:tcPr>
          <w:p w14:paraId="32C4A5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3D10CC2C" w14:textId="77777777" w:rsidR="00BF03AA" w:rsidRPr="00326E55" w:rsidRDefault="00FB452D">
            <w:pPr>
              <w:pStyle w:val="P68B1DB1-Normal121"/>
              <w:spacing w:after="0" w:line="240" w:lineRule="auto"/>
              <w:rPr>
                <w:noProof/>
                <w:spacing w:val="-6"/>
                <w:lang w:val="sk-SK"/>
              </w:rPr>
            </w:pPr>
            <w:r w:rsidRPr="00326E55">
              <w:rPr>
                <w:noProof/>
                <w:spacing w:val="-6"/>
                <w:lang w:val="sk-SK"/>
              </w:rPr>
              <w:t>Agrovoltaická výroba elektrickej energie</w:t>
            </w:r>
          </w:p>
        </w:tc>
      </w:tr>
      <w:tr w:rsidR="00BF03AA" w:rsidRPr="00326E55" w14:paraId="7DEF23C9" w14:textId="77777777">
        <w:trPr>
          <w:trHeight w:val="300"/>
        </w:trPr>
        <w:tc>
          <w:tcPr>
            <w:tcW w:w="1435" w:type="dxa"/>
            <w:shd w:val="clear" w:color="auto" w:fill="C6EFCE"/>
            <w:tcMar>
              <w:left w:w="108" w:type="dxa"/>
              <w:right w:w="108" w:type="dxa"/>
            </w:tcMar>
            <w:vAlign w:val="center"/>
          </w:tcPr>
          <w:p w14:paraId="613BE46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23</w:t>
            </w:r>
          </w:p>
        </w:tc>
        <w:tc>
          <w:tcPr>
            <w:tcW w:w="3543" w:type="dxa"/>
            <w:shd w:val="clear" w:color="auto" w:fill="C6EFCE"/>
            <w:tcMar>
              <w:left w:w="108" w:type="dxa"/>
              <w:right w:w="108" w:type="dxa"/>
            </w:tcMar>
            <w:vAlign w:val="center"/>
          </w:tcPr>
          <w:p w14:paraId="51B6666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4.1 Investície do bezmotorovej mobility (národný plán cyklistickej cesty)</w:t>
            </w:r>
          </w:p>
        </w:tc>
        <w:tc>
          <w:tcPr>
            <w:tcW w:w="1418" w:type="dxa"/>
            <w:shd w:val="clear" w:color="auto" w:fill="C6EFCE"/>
            <w:tcMar>
              <w:left w:w="108" w:type="dxa"/>
              <w:right w:w="108" w:type="dxa"/>
            </w:tcMar>
            <w:vAlign w:val="center"/>
          </w:tcPr>
          <w:p w14:paraId="5D82C06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7C1CF4FA" w14:textId="77777777" w:rsidR="00BF03AA" w:rsidRPr="00326E55" w:rsidRDefault="00FB452D">
            <w:pPr>
              <w:pStyle w:val="P68B1DB1-Normal121"/>
              <w:spacing w:after="0" w:line="240" w:lineRule="auto"/>
              <w:rPr>
                <w:noProof/>
                <w:spacing w:val="-6"/>
                <w:lang w:val="sk-SK"/>
              </w:rPr>
            </w:pPr>
            <w:r w:rsidRPr="00326E55">
              <w:rPr>
                <w:noProof/>
                <w:spacing w:val="-6"/>
                <w:lang w:val="sk-SK"/>
              </w:rPr>
              <w:t>Cyklistické jazdné pruhy T2</w:t>
            </w:r>
          </w:p>
        </w:tc>
      </w:tr>
      <w:tr w:rsidR="00BF03AA" w:rsidRPr="00326E55" w14:paraId="09B30590" w14:textId="77777777">
        <w:trPr>
          <w:trHeight w:val="300"/>
        </w:trPr>
        <w:tc>
          <w:tcPr>
            <w:tcW w:w="1435" w:type="dxa"/>
            <w:shd w:val="clear" w:color="auto" w:fill="C6EFCE"/>
            <w:tcMar>
              <w:left w:w="108" w:type="dxa"/>
              <w:right w:w="108" w:type="dxa"/>
            </w:tcMar>
            <w:vAlign w:val="center"/>
          </w:tcPr>
          <w:p w14:paraId="5A3CD7B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5bis</w:t>
            </w:r>
          </w:p>
        </w:tc>
        <w:tc>
          <w:tcPr>
            <w:tcW w:w="3543" w:type="dxa"/>
            <w:shd w:val="clear" w:color="auto" w:fill="C6EFCE"/>
            <w:tcMar>
              <w:left w:w="108" w:type="dxa"/>
              <w:right w:w="108" w:type="dxa"/>
            </w:tcMar>
            <w:vAlign w:val="center"/>
          </w:tcPr>
          <w:p w14:paraId="6B2C97D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2.1 – Digitalizácia </w:t>
            </w:r>
            <w:r w:rsidRPr="00326E55">
              <w:rPr>
                <w:noProof/>
                <w:spacing w:val="-6"/>
                <w:lang w:val="sk-SK"/>
              </w:rPr>
              <w:t>logistického reťazca</w:t>
            </w:r>
          </w:p>
        </w:tc>
        <w:tc>
          <w:tcPr>
            <w:tcW w:w="1418" w:type="dxa"/>
            <w:shd w:val="clear" w:color="auto" w:fill="C6EFCE"/>
            <w:tcMar>
              <w:left w:w="108" w:type="dxa"/>
              <w:right w:w="108" w:type="dxa"/>
            </w:tcMar>
            <w:vAlign w:val="center"/>
          </w:tcPr>
          <w:p w14:paraId="28CAFA5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0DF1A0D0" w14:textId="77777777" w:rsidR="00BF03AA" w:rsidRPr="00326E55" w:rsidRDefault="00FB452D">
            <w:pPr>
              <w:pStyle w:val="P68B1DB1-Normal121"/>
              <w:spacing w:after="0" w:line="240" w:lineRule="auto"/>
              <w:rPr>
                <w:noProof/>
                <w:spacing w:val="-6"/>
                <w:lang w:val="sk-SK"/>
              </w:rPr>
            </w:pPr>
            <w:r w:rsidRPr="00326E55">
              <w:rPr>
                <w:noProof/>
                <w:spacing w:val="-6"/>
                <w:lang w:val="sk-SK"/>
              </w:rPr>
              <w:t>Digitalizácia logistického reťazca</w:t>
            </w:r>
          </w:p>
        </w:tc>
      </w:tr>
      <w:tr w:rsidR="00BF03AA" w:rsidRPr="00326E55" w14:paraId="48EA261F" w14:textId="77777777">
        <w:trPr>
          <w:trHeight w:val="300"/>
        </w:trPr>
        <w:tc>
          <w:tcPr>
            <w:tcW w:w="1435" w:type="dxa"/>
            <w:shd w:val="clear" w:color="auto" w:fill="C6EFCE"/>
            <w:tcMar>
              <w:left w:w="108" w:type="dxa"/>
              <w:right w:w="108" w:type="dxa"/>
            </w:tcMar>
            <w:vAlign w:val="center"/>
          </w:tcPr>
          <w:p w14:paraId="33E9090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20</w:t>
            </w:r>
          </w:p>
        </w:tc>
        <w:tc>
          <w:tcPr>
            <w:tcW w:w="3543" w:type="dxa"/>
            <w:shd w:val="clear" w:color="auto" w:fill="C6EFCE"/>
            <w:tcMar>
              <w:left w:w="108" w:type="dxa"/>
              <w:right w:w="108" w:type="dxa"/>
            </w:tcMar>
            <w:vAlign w:val="center"/>
          </w:tcPr>
          <w:p w14:paraId="0E0D2A3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Rozvoj systému terciárneho odborného vzdelávania (ITS)</w:t>
            </w:r>
          </w:p>
        </w:tc>
        <w:tc>
          <w:tcPr>
            <w:tcW w:w="1418" w:type="dxa"/>
            <w:shd w:val="clear" w:color="auto" w:fill="C6EFCE"/>
            <w:tcMar>
              <w:left w:w="108" w:type="dxa"/>
              <w:right w:w="108" w:type="dxa"/>
            </w:tcMar>
            <w:vAlign w:val="center"/>
          </w:tcPr>
          <w:p w14:paraId="2A19487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26FCBCF7"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študentov zapísaných do systému odborného vzdelávania (ITS)</w:t>
            </w:r>
          </w:p>
        </w:tc>
      </w:tr>
      <w:tr w:rsidR="00BF03AA" w:rsidRPr="00326E55" w14:paraId="2587A379" w14:textId="77777777">
        <w:trPr>
          <w:trHeight w:val="300"/>
        </w:trPr>
        <w:tc>
          <w:tcPr>
            <w:tcW w:w="1435" w:type="dxa"/>
            <w:shd w:val="clear" w:color="auto" w:fill="C6EFCE"/>
            <w:tcMar>
              <w:left w:w="108" w:type="dxa"/>
              <w:right w:w="108" w:type="dxa"/>
            </w:tcMar>
            <w:vAlign w:val="center"/>
          </w:tcPr>
          <w:p w14:paraId="59C55DA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22</w:t>
            </w:r>
          </w:p>
        </w:tc>
        <w:tc>
          <w:tcPr>
            <w:tcW w:w="3543" w:type="dxa"/>
            <w:shd w:val="clear" w:color="auto" w:fill="C6EFCE"/>
            <w:tcMar>
              <w:left w:w="108" w:type="dxa"/>
              <w:right w:w="108" w:type="dxa"/>
            </w:tcMar>
            <w:vAlign w:val="center"/>
          </w:tcPr>
          <w:p w14:paraId="03A6F38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1.3: Plán na </w:t>
            </w:r>
            <w:r w:rsidRPr="00326E55">
              <w:rPr>
                <w:noProof/>
                <w:spacing w:val="-6"/>
                <w:lang w:val="sk-SK"/>
              </w:rPr>
              <w:t>posilnenie školskej športovej infraštruktúry</w:t>
            </w:r>
          </w:p>
        </w:tc>
        <w:tc>
          <w:tcPr>
            <w:tcW w:w="1418" w:type="dxa"/>
            <w:shd w:val="clear" w:color="auto" w:fill="C6EFCE"/>
            <w:tcMar>
              <w:left w:w="108" w:type="dxa"/>
              <w:right w:w="108" w:type="dxa"/>
            </w:tcMar>
            <w:vAlign w:val="center"/>
          </w:tcPr>
          <w:p w14:paraId="36D9B22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589349EB" w14:textId="31ADF380" w:rsidR="00BF03AA" w:rsidRPr="00326E55" w:rsidRDefault="00FB452D">
            <w:pPr>
              <w:pStyle w:val="P68B1DB1-Normal121"/>
              <w:spacing w:after="0" w:line="240" w:lineRule="auto"/>
              <w:rPr>
                <w:noProof/>
                <w:spacing w:val="-6"/>
                <w:lang w:val="sk-SK"/>
              </w:rPr>
            </w:pPr>
            <w:r w:rsidRPr="00326E55">
              <w:rPr>
                <w:noProof/>
                <w:spacing w:val="-6"/>
                <w:lang w:val="sk-SK"/>
              </w:rPr>
              <w:t>Výstavba alebo renovácia športových zariadení</w:t>
            </w:r>
            <w:r w:rsidR="00326E55" w:rsidRPr="00326E55">
              <w:rPr>
                <w:noProof/>
                <w:spacing w:val="-6"/>
                <w:lang w:val="sk-SK"/>
              </w:rPr>
              <w:t xml:space="preserve"> a </w:t>
            </w:r>
            <w:r w:rsidRPr="00326E55">
              <w:rPr>
                <w:noProof/>
                <w:spacing w:val="-6"/>
                <w:lang w:val="sk-SK"/>
              </w:rPr>
              <w:t>telocviční na školské použitie</w:t>
            </w:r>
          </w:p>
        </w:tc>
      </w:tr>
      <w:tr w:rsidR="00BF03AA" w:rsidRPr="00326E55" w14:paraId="0B99EF71" w14:textId="77777777">
        <w:trPr>
          <w:trHeight w:val="300"/>
        </w:trPr>
        <w:tc>
          <w:tcPr>
            <w:tcW w:w="1435" w:type="dxa"/>
            <w:shd w:val="clear" w:color="auto" w:fill="C6EFCE"/>
            <w:tcMar>
              <w:left w:w="108" w:type="dxa"/>
              <w:right w:w="108" w:type="dxa"/>
            </w:tcMar>
            <w:vAlign w:val="center"/>
          </w:tcPr>
          <w:p w14:paraId="5F97306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23</w:t>
            </w:r>
          </w:p>
        </w:tc>
        <w:tc>
          <w:tcPr>
            <w:tcW w:w="3543" w:type="dxa"/>
            <w:shd w:val="clear" w:color="auto" w:fill="C6EFCE"/>
            <w:tcMar>
              <w:left w:w="108" w:type="dxa"/>
              <w:right w:w="108" w:type="dxa"/>
            </w:tcMar>
            <w:vAlign w:val="center"/>
          </w:tcPr>
          <w:p w14:paraId="462891EB" w14:textId="70410149" w:rsidR="00BF03AA" w:rsidRPr="00326E55" w:rsidRDefault="00FB452D">
            <w:pPr>
              <w:pStyle w:val="P68B1DB1-Normal121"/>
              <w:spacing w:after="0" w:line="240" w:lineRule="auto"/>
              <w:rPr>
                <w:noProof/>
                <w:spacing w:val="-6"/>
                <w:lang w:val="sk-SK"/>
              </w:rPr>
            </w:pPr>
            <w:r w:rsidRPr="00326E55">
              <w:rPr>
                <w:noProof/>
                <w:spacing w:val="-6"/>
                <w:lang w:val="sk-SK"/>
              </w:rPr>
              <w:t>Investícia 3.4: Výučba</w:t>
            </w:r>
            <w:r w:rsidR="00326E55" w:rsidRPr="00326E55">
              <w:rPr>
                <w:noProof/>
                <w:spacing w:val="-6"/>
                <w:lang w:val="sk-SK"/>
              </w:rPr>
              <w:t xml:space="preserve"> a </w:t>
            </w:r>
            <w:r w:rsidRPr="00326E55">
              <w:rPr>
                <w:noProof/>
                <w:spacing w:val="-6"/>
                <w:lang w:val="sk-SK"/>
              </w:rPr>
              <w:t xml:space="preserve">pokročilé univerzitné zručnosti </w:t>
            </w:r>
          </w:p>
        </w:tc>
        <w:tc>
          <w:tcPr>
            <w:tcW w:w="1418" w:type="dxa"/>
            <w:shd w:val="clear" w:color="auto" w:fill="C6EFCE"/>
            <w:tcMar>
              <w:left w:w="108" w:type="dxa"/>
              <w:right w:w="108" w:type="dxa"/>
            </w:tcMar>
            <w:vAlign w:val="center"/>
          </w:tcPr>
          <w:p w14:paraId="1D72CE8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586A9318" w14:textId="0F8C9B66" w:rsidR="00BF03AA" w:rsidRPr="00326E55" w:rsidRDefault="00FB452D">
            <w:pPr>
              <w:pStyle w:val="P68B1DB1-Normal121"/>
              <w:spacing w:after="0" w:line="240" w:lineRule="auto"/>
              <w:rPr>
                <w:noProof/>
                <w:spacing w:val="-6"/>
                <w:lang w:val="sk-SK"/>
              </w:rPr>
            </w:pPr>
            <w:r w:rsidRPr="00326E55">
              <w:rPr>
                <w:noProof/>
                <w:spacing w:val="-6"/>
                <w:lang w:val="sk-SK"/>
              </w:rPr>
              <w:t>Akcie na kvalifikáciu</w:t>
            </w:r>
            <w:r w:rsidR="00326E55" w:rsidRPr="00326E55">
              <w:rPr>
                <w:noProof/>
                <w:spacing w:val="-6"/>
                <w:lang w:val="sk-SK"/>
              </w:rPr>
              <w:t xml:space="preserve"> a </w:t>
            </w:r>
            <w:r w:rsidRPr="00326E55">
              <w:rPr>
                <w:noProof/>
                <w:spacing w:val="-6"/>
                <w:lang w:val="sk-SK"/>
              </w:rPr>
              <w:t>inováciu stredných škôl</w:t>
            </w:r>
            <w:r w:rsidR="00326E55" w:rsidRPr="00326E55">
              <w:rPr>
                <w:noProof/>
                <w:spacing w:val="-6"/>
                <w:lang w:val="sk-SK"/>
              </w:rPr>
              <w:t xml:space="preserve"> a </w:t>
            </w:r>
            <w:r w:rsidRPr="00326E55">
              <w:rPr>
                <w:noProof/>
                <w:spacing w:val="-6"/>
                <w:lang w:val="sk-SK"/>
              </w:rPr>
              <w:t xml:space="preserve">univerzitných programov vrátane doktorandského štúdia </w:t>
            </w:r>
          </w:p>
        </w:tc>
      </w:tr>
      <w:tr w:rsidR="00BF03AA" w:rsidRPr="00326E55" w14:paraId="5965B312" w14:textId="77777777">
        <w:trPr>
          <w:trHeight w:val="300"/>
        </w:trPr>
        <w:tc>
          <w:tcPr>
            <w:tcW w:w="1435" w:type="dxa"/>
            <w:shd w:val="clear" w:color="auto" w:fill="C6EFCE"/>
            <w:tcMar>
              <w:left w:w="108" w:type="dxa"/>
              <w:right w:w="108" w:type="dxa"/>
            </w:tcMar>
            <w:vAlign w:val="center"/>
          </w:tcPr>
          <w:p w14:paraId="2B836E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24</w:t>
            </w:r>
          </w:p>
        </w:tc>
        <w:tc>
          <w:tcPr>
            <w:tcW w:w="3543" w:type="dxa"/>
            <w:shd w:val="clear" w:color="auto" w:fill="C6EFCE"/>
            <w:tcMar>
              <w:left w:w="108" w:type="dxa"/>
              <w:right w:w="108" w:type="dxa"/>
            </w:tcMar>
            <w:vAlign w:val="center"/>
          </w:tcPr>
          <w:p w14:paraId="6C40B939" w14:textId="4418571F" w:rsidR="00BF03AA" w:rsidRPr="00326E55" w:rsidRDefault="00FB452D">
            <w:pPr>
              <w:pStyle w:val="P68B1DB1-Normal121"/>
              <w:spacing w:after="0" w:line="240" w:lineRule="auto"/>
              <w:rPr>
                <w:noProof/>
                <w:spacing w:val="-6"/>
                <w:lang w:val="sk-SK"/>
              </w:rPr>
            </w:pPr>
            <w:r w:rsidRPr="00326E55">
              <w:rPr>
                <w:noProof/>
                <w:spacing w:val="-6"/>
                <w:lang w:val="sk-SK"/>
              </w:rPr>
              <w:t>Investícia 1.6: Aktívna orientácia pri prechode medzi školou</w:t>
            </w:r>
            <w:r w:rsidR="00326E55" w:rsidRPr="00326E55">
              <w:rPr>
                <w:noProof/>
                <w:spacing w:val="-6"/>
                <w:lang w:val="sk-SK"/>
              </w:rPr>
              <w:t xml:space="preserve"> a </w:t>
            </w:r>
            <w:r w:rsidRPr="00326E55">
              <w:rPr>
                <w:noProof/>
                <w:spacing w:val="-6"/>
                <w:lang w:val="sk-SK"/>
              </w:rPr>
              <w:t>univerzitou.</w:t>
            </w:r>
          </w:p>
        </w:tc>
        <w:tc>
          <w:tcPr>
            <w:tcW w:w="1418" w:type="dxa"/>
            <w:shd w:val="clear" w:color="auto" w:fill="C6EFCE"/>
            <w:tcMar>
              <w:left w:w="108" w:type="dxa"/>
              <w:right w:w="108" w:type="dxa"/>
            </w:tcMar>
            <w:vAlign w:val="center"/>
          </w:tcPr>
          <w:p w14:paraId="0A0EAE9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704D1D30" w14:textId="62A2BD59" w:rsidR="00BF03AA" w:rsidRPr="00326E55" w:rsidRDefault="00FB452D">
            <w:pPr>
              <w:pStyle w:val="P68B1DB1-Normal121"/>
              <w:spacing w:after="0" w:line="240" w:lineRule="auto"/>
              <w:rPr>
                <w:noProof/>
                <w:spacing w:val="-6"/>
                <w:lang w:val="sk-SK"/>
              </w:rPr>
            </w:pPr>
            <w:r w:rsidRPr="00326E55">
              <w:rPr>
                <w:noProof/>
                <w:spacing w:val="-6"/>
                <w:lang w:val="sk-SK"/>
              </w:rPr>
              <w:t>Potvrdenia</w:t>
            </w:r>
            <w:r w:rsidR="00326E55" w:rsidRPr="00326E55">
              <w:rPr>
                <w:noProof/>
                <w:spacing w:val="-6"/>
                <w:lang w:val="sk-SK"/>
              </w:rPr>
              <w:t xml:space="preserve"> o </w:t>
            </w:r>
            <w:r w:rsidRPr="00326E55">
              <w:rPr>
                <w:noProof/>
                <w:spacing w:val="-6"/>
                <w:lang w:val="sk-SK"/>
              </w:rPr>
              <w:t>účasti, ktoré boli vydané pre kurzy na prechod medzi školou</w:t>
            </w:r>
            <w:r w:rsidR="00326E55" w:rsidRPr="00326E55">
              <w:rPr>
                <w:noProof/>
                <w:spacing w:val="-6"/>
                <w:lang w:val="sk-SK"/>
              </w:rPr>
              <w:t xml:space="preserve"> a </w:t>
            </w:r>
            <w:r w:rsidRPr="00326E55">
              <w:rPr>
                <w:noProof/>
                <w:spacing w:val="-6"/>
                <w:lang w:val="sk-SK"/>
              </w:rPr>
              <w:t>univerzitou</w:t>
            </w:r>
          </w:p>
        </w:tc>
      </w:tr>
      <w:tr w:rsidR="00BF03AA" w:rsidRPr="00326E55" w14:paraId="51FB7805" w14:textId="77777777">
        <w:trPr>
          <w:trHeight w:val="300"/>
        </w:trPr>
        <w:tc>
          <w:tcPr>
            <w:tcW w:w="1435" w:type="dxa"/>
            <w:shd w:val="clear" w:color="auto" w:fill="C6EFCE"/>
            <w:tcMar>
              <w:left w:w="108" w:type="dxa"/>
              <w:right w:w="108" w:type="dxa"/>
            </w:tcMar>
            <w:vAlign w:val="center"/>
          </w:tcPr>
          <w:p w14:paraId="2D93A47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7bis</w:t>
            </w:r>
          </w:p>
        </w:tc>
        <w:tc>
          <w:tcPr>
            <w:tcW w:w="3543" w:type="dxa"/>
            <w:shd w:val="clear" w:color="auto" w:fill="C6EFCE"/>
            <w:tcMar>
              <w:left w:w="108" w:type="dxa"/>
              <w:right w:w="108" w:type="dxa"/>
            </w:tcMar>
            <w:vAlign w:val="center"/>
          </w:tcPr>
          <w:p w14:paraId="1419246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 – Posilnenie verejných služieb zamestnanosti (VSZ) </w:t>
            </w:r>
          </w:p>
        </w:tc>
        <w:tc>
          <w:tcPr>
            <w:tcW w:w="1418" w:type="dxa"/>
            <w:shd w:val="clear" w:color="auto" w:fill="C6EFCE"/>
            <w:tcMar>
              <w:left w:w="108" w:type="dxa"/>
              <w:right w:w="108" w:type="dxa"/>
            </w:tcMar>
            <w:vAlign w:val="center"/>
          </w:tcPr>
          <w:p w14:paraId="2397301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7A1D52B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Verejné služby zamestnanosti (VSZ) dokončili renovačné činnosti </w:t>
            </w:r>
          </w:p>
        </w:tc>
      </w:tr>
      <w:tr w:rsidR="00BF03AA" w:rsidRPr="00326E55" w14:paraId="7BFCEDCD" w14:textId="77777777">
        <w:trPr>
          <w:trHeight w:val="300"/>
        </w:trPr>
        <w:tc>
          <w:tcPr>
            <w:tcW w:w="1435" w:type="dxa"/>
            <w:shd w:val="clear" w:color="auto" w:fill="C6EFCE"/>
            <w:tcMar>
              <w:left w:w="108" w:type="dxa"/>
              <w:right w:w="108" w:type="dxa"/>
            </w:tcMar>
            <w:vAlign w:val="center"/>
          </w:tcPr>
          <w:p w14:paraId="3738388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14</w:t>
            </w:r>
          </w:p>
        </w:tc>
        <w:tc>
          <w:tcPr>
            <w:tcW w:w="3543" w:type="dxa"/>
            <w:shd w:val="clear" w:color="auto" w:fill="C6EFCE"/>
            <w:tcMar>
              <w:left w:w="108" w:type="dxa"/>
              <w:right w:w="108" w:type="dxa"/>
            </w:tcMar>
            <w:vAlign w:val="center"/>
          </w:tcPr>
          <w:p w14:paraId="02DE3FC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 – Systém certifikácie rodovej rovnosti</w:t>
            </w:r>
          </w:p>
        </w:tc>
        <w:tc>
          <w:tcPr>
            <w:tcW w:w="1418" w:type="dxa"/>
            <w:shd w:val="clear" w:color="auto" w:fill="C6EFCE"/>
            <w:tcMar>
              <w:left w:w="108" w:type="dxa"/>
              <w:right w:w="108" w:type="dxa"/>
            </w:tcMar>
            <w:vAlign w:val="center"/>
          </w:tcPr>
          <w:p w14:paraId="23429FB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4DF6468A" w14:textId="77777777" w:rsidR="00BF03AA" w:rsidRPr="00326E55" w:rsidRDefault="00FB452D">
            <w:pPr>
              <w:pStyle w:val="P68B1DB1-Normal121"/>
              <w:spacing w:after="0" w:line="240" w:lineRule="auto"/>
              <w:rPr>
                <w:noProof/>
                <w:spacing w:val="-6"/>
                <w:lang w:val="sk-SK"/>
              </w:rPr>
            </w:pPr>
            <w:r w:rsidRPr="00326E55">
              <w:rPr>
                <w:noProof/>
                <w:spacing w:val="-6"/>
                <w:lang w:val="sk-SK"/>
              </w:rPr>
              <w:t>Spoločnosti získali certifikáciu rodovej rovnosti</w:t>
            </w:r>
          </w:p>
        </w:tc>
      </w:tr>
      <w:tr w:rsidR="00BF03AA" w:rsidRPr="00326E55" w14:paraId="032E5BEE" w14:textId="77777777">
        <w:trPr>
          <w:trHeight w:val="300"/>
        </w:trPr>
        <w:tc>
          <w:tcPr>
            <w:tcW w:w="1435" w:type="dxa"/>
            <w:shd w:val="clear" w:color="auto" w:fill="C6EFCE"/>
            <w:tcMar>
              <w:left w:w="108" w:type="dxa"/>
              <w:right w:w="108" w:type="dxa"/>
            </w:tcMar>
            <w:vAlign w:val="center"/>
          </w:tcPr>
          <w:p w14:paraId="313BD13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16</w:t>
            </w:r>
          </w:p>
        </w:tc>
        <w:tc>
          <w:tcPr>
            <w:tcW w:w="3543" w:type="dxa"/>
            <w:shd w:val="clear" w:color="auto" w:fill="C6EFCE"/>
            <w:tcMar>
              <w:left w:w="108" w:type="dxa"/>
              <w:right w:w="108" w:type="dxa"/>
            </w:tcMar>
            <w:vAlign w:val="center"/>
          </w:tcPr>
          <w:p w14:paraId="5ED66C5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 – Univerzálna štátna služba</w:t>
            </w:r>
          </w:p>
        </w:tc>
        <w:tc>
          <w:tcPr>
            <w:tcW w:w="1418" w:type="dxa"/>
            <w:shd w:val="clear" w:color="auto" w:fill="C6EFCE"/>
            <w:tcMar>
              <w:left w:w="108" w:type="dxa"/>
              <w:right w:w="108" w:type="dxa"/>
            </w:tcMar>
            <w:vAlign w:val="center"/>
          </w:tcPr>
          <w:p w14:paraId="63084B3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503B04A7" w14:textId="7242706D" w:rsidR="00BF03AA" w:rsidRPr="00326E55" w:rsidRDefault="00FB452D">
            <w:pPr>
              <w:pStyle w:val="P68B1DB1-Normal121"/>
              <w:spacing w:after="0" w:line="240" w:lineRule="auto"/>
              <w:rPr>
                <w:noProof/>
                <w:spacing w:val="-6"/>
                <w:lang w:val="sk-SK"/>
              </w:rPr>
            </w:pPr>
            <w:r w:rsidRPr="00326E55">
              <w:rPr>
                <w:noProof/>
                <w:spacing w:val="-6"/>
                <w:lang w:val="sk-SK"/>
              </w:rPr>
              <w:t>Ľudia sa zúčastnili na projektoch univerzálnej verejnej služby, ktoré sa začali</w:t>
            </w:r>
            <w:r w:rsidR="00326E55" w:rsidRPr="00326E55">
              <w:rPr>
                <w:noProof/>
                <w:spacing w:val="-6"/>
                <w:lang w:val="sk-SK"/>
              </w:rPr>
              <w:t xml:space="preserve"> v </w:t>
            </w:r>
            <w:r w:rsidRPr="00326E55">
              <w:rPr>
                <w:noProof/>
                <w:spacing w:val="-6"/>
                <w:lang w:val="sk-SK"/>
              </w:rPr>
              <w:t>štvorročnom období 2021 – 2024,</w:t>
            </w:r>
            <w:r w:rsidR="00326E55" w:rsidRPr="00326E55">
              <w:rPr>
                <w:noProof/>
                <w:spacing w:val="-6"/>
                <w:lang w:val="sk-SK"/>
              </w:rPr>
              <w:t xml:space="preserve"> a </w:t>
            </w:r>
            <w:r w:rsidRPr="00326E55">
              <w:rPr>
                <w:noProof/>
                <w:spacing w:val="-6"/>
                <w:lang w:val="sk-SK"/>
              </w:rPr>
              <w:t>získali príslušnú certifikáciu</w:t>
            </w:r>
          </w:p>
        </w:tc>
      </w:tr>
      <w:tr w:rsidR="00BF03AA" w:rsidRPr="00326E55" w14:paraId="05A88588" w14:textId="77777777">
        <w:trPr>
          <w:trHeight w:val="300"/>
        </w:trPr>
        <w:tc>
          <w:tcPr>
            <w:tcW w:w="1435" w:type="dxa"/>
            <w:shd w:val="clear" w:color="auto" w:fill="C6EFCE"/>
            <w:tcMar>
              <w:left w:w="108" w:type="dxa"/>
              <w:right w:w="108" w:type="dxa"/>
            </w:tcMar>
            <w:vAlign w:val="center"/>
          </w:tcPr>
          <w:p w14:paraId="2489641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M5C3 – 4</w:t>
            </w:r>
          </w:p>
        </w:tc>
        <w:tc>
          <w:tcPr>
            <w:tcW w:w="3543" w:type="dxa"/>
            <w:shd w:val="clear" w:color="auto" w:fill="C6EFCE"/>
            <w:tcMar>
              <w:left w:w="108" w:type="dxa"/>
              <w:right w:w="108" w:type="dxa"/>
            </w:tcMar>
            <w:vAlign w:val="center"/>
          </w:tcPr>
          <w:p w14:paraId="45D1D41F" w14:textId="46E7DF2C" w:rsidR="00BF03AA" w:rsidRPr="00326E55" w:rsidRDefault="00FB452D">
            <w:pPr>
              <w:pStyle w:val="P68B1DB1-Normal121"/>
              <w:spacing w:after="0" w:line="240" w:lineRule="auto"/>
              <w:rPr>
                <w:noProof/>
                <w:spacing w:val="-6"/>
                <w:lang w:val="sk-SK"/>
              </w:rPr>
            </w:pPr>
            <w:r w:rsidRPr="00326E55">
              <w:rPr>
                <w:noProof/>
                <w:spacing w:val="-6"/>
                <w:lang w:val="sk-SK"/>
              </w:rPr>
              <w:t>Investícia 2: Zdravotnícke zariadenia</w:t>
            </w:r>
            <w:r w:rsidR="00326E55" w:rsidRPr="00326E55">
              <w:rPr>
                <w:noProof/>
                <w:spacing w:val="-6"/>
                <w:lang w:val="sk-SK"/>
              </w:rPr>
              <w:t xml:space="preserve"> v </w:t>
            </w:r>
            <w:r w:rsidRPr="00326E55">
              <w:rPr>
                <w:noProof/>
                <w:spacing w:val="-6"/>
                <w:lang w:val="sk-SK"/>
              </w:rPr>
              <w:t>blí</w:t>
            </w:r>
            <w:r w:rsidRPr="00326E55">
              <w:rPr>
                <w:noProof/>
                <w:spacing w:val="-6"/>
                <w:lang w:val="sk-SK"/>
              </w:rPr>
              <w:t>zkosti územia</w:t>
            </w:r>
          </w:p>
        </w:tc>
        <w:tc>
          <w:tcPr>
            <w:tcW w:w="1418" w:type="dxa"/>
            <w:shd w:val="clear" w:color="auto" w:fill="C6EFCE"/>
            <w:tcMar>
              <w:left w:w="108" w:type="dxa"/>
              <w:right w:w="108" w:type="dxa"/>
            </w:tcMar>
            <w:vAlign w:val="center"/>
          </w:tcPr>
          <w:p w14:paraId="1DC38D3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720D5CA8" w14:textId="12881F3F" w:rsidR="00BF03AA" w:rsidRPr="00326E55" w:rsidRDefault="00FB452D">
            <w:pPr>
              <w:pStyle w:val="P68B1DB1-Normal121"/>
              <w:spacing w:after="0" w:line="240" w:lineRule="auto"/>
              <w:rPr>
                <w:noProof/>
                <w:spacing w:val="-6"/>
                <w:lang w:val="sk-SK"/>
              </w:rPr>
            </w:pPr>
            <w:r w:rsidRPr="00326E55">
              <w:rPr>
                <w:noProof/>
                <w:spacing w:val="-6"/>
                <w:lang w:val="sk-SK"/>
              </w:rPr>
              <w:t>Podpora vidieckych lekární</w:t>
            </w:r>
            <w:r w:rsidR="00326E55" w:rsidRPr="00326E55">
              <w:rPr>
                <w:noProof/>
                <w:spacing w:val="-6"/>
                <w:lang w:val="sk-SK"/>
              </w:rPr>
              <w:t xml:space="preserve"> v </w:t>
            </w:r>
            <w:r w:rsidRPr="00326E55">
              <w:rPr>
                <w:noProof/>
                <w:spacing w:val="-6"/>
                <w:lang w:val="sk-SK"/>
              </w:rPr>
              <w:t>obciach, osadách alebo sídlach</w:t>
            </w:r>
            <w:r w:rsidR="00326E55" w:rsidRPr="00326E55">
              <w:rPr>
                <w:noProof/>
                <w:spacing w:val="-6"/>
                <w:lang w:val="sk-SK"/>
              </w:rPr>
              <w:t xml:space="preserve"> s </w:t>
            </w:r>
            <w:r w:rsidRPr="00326E55">
              <w:rPr>
                <w:noProof/>
                <w:spacing w:val="-6"/>
                <w:lang w:val="sk-SK"/>
              </w:rPr>
              <w:t>menej ako 5000 obyvateľmi (druhá séria)</w:t>
            </w:r>
          </w:p>
        </w:tc>
      </w:tr>
      <w:tr w:rsidR="00BF03AA" w:rsidRPr="00326E55" w14:paraId="6CB60507" w14:textId="77777777">
        <w:trPr>
          <w:trHeight w:val="300"/>
        </w:trPr>
        <w:tc>
          <w:tcPr>
            <w:tcW w:w="1435" w:type="dxa"/>
            <w:shd w:val="clear" w:color="auto" w:fill="C6EFCE"/>
            <w:tcMar>
              <w:left w:w="108" w:type="dxa"/>
              <w:right w:w="108" w:type="dxa"/>
            </w:tcMar>
            <w:vAlign w:val="center"/>
          </w:tcPr>
          <w:p w14:paraId="2D17667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11</w:t>
            </w:r>
          </w:p>
        </w:tc>
        <w:tc>
          <w:tcPr>
            <w:tcW w:w="3543" w:type="dxa"/>
            <w:shd w:val="clear" w:color="auto" w:fill="C6EFCE"/>
            <w:tcMar>
              <w:left w:w="108" w:type="dxa"/>
              <w:right w:w="108" w:type="dxa"/>
            </w:tcMar>
            <w:vAlign w:val="center"/>
          </w:tcPr>
          <w:p w14:paraId="75C35FBC"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 Rozšírenie opatrenia: Inteligentné sústavy</w:t>
            </w:r>
          </w:p>
        </w:tc>
        <w:tc>
          <w:tcPr>
            <w:tcW w:w="1418" w:type="dxa"/>
            <w:shd w:val="clear" w:color="auto" w:fill="C6EFCE"/>
            <w:tcMar>
              <w:left w:w="108" w:type="dxa"/>
              <w:right w:w="108" w:type="dxa"/>
            </w:tcMar>
            <w:vAlign w:val="center"/>
          </w:tcPr>
          <w:p w14:paraId="633CB47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2AE34AB6" w14:textId="77777777" w:rsidR="00BF03AA" w:rsidRPr="00326E55" w:rsidRDefault="00FB452D">
            <w:pPr>
              <w:pStyle w:val="P68B1DB1-Normal121"/>
              <w:spacing w:after="0" w:line="240" w:lineRule="auto"/>
              <w:rPr>
                <w:noProof/>
                <w:spacing w:val="-6"/>
                <w:lang w:val="sk-SK"/>
              </w:rPr>
            </w:pPr>
            <w:r w:rsidRPr="00326E55">
              <w:rPr>
                <w:noProof/>
                <w:spacing w:val="-6"/>
                <w:lang w:val="sk-SK"/>
              </w:rPr>
              <w:t>Inteligentné siete – elektrifikácia spotreby energie</w:t>
            </w:r>
          </w:p>
        </w:tc>
      </w:tr>
      <w:tr w:rsidR="00BF03AA" w:rsidRPr="00326E55" w14:paraId="508477EE" w14:textId="77777777">
        <w:trPr>
          <w:trHeight w:val="300"/>
        </w:trPr>
        <w:tc>
          <w:tcPr>
            <w:tcW w:w="1435" w:type="dxa"/>
            <w:shd w:val="clear" w:color="auto" w:fill="C6EFCE"/>
            <w:tcMar>
              <w:left w:w="108" w:type="dxa"/>
              <w:right w:w="108" w:type="dxa"/>
            </w:tcMar>
            <w:vAlign w:val="center"/>
          </w:tcPr>
          <w:p w14:paraId="1DEBC06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12</w:t>
            </w:r>
          </w:p>
        </w:tc>
        <w:tc>
          <w:tcPr>
            <w:tcW w:w="3543" w:type="dxa"/>
            <w:shd w:val="clear" w:color="auto" w:fill="C6EFCE"/>
            <w:tcMar>
              <w:left w:w="108" w:type="dxa"/>
              <w:right w:w="108" w:type="dxa"/>
            </w:tcMar>
            <w:vAlign w:val="center"/>
          </w:tcPr>
          <w:p w14:paraId="783FECD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 Rozšírenie opatrenia: Intervencie na zvýšenie odolnosti elektrizačnej sústavy</w:t>
            </w:r>
          </w:p>
        </w:tc>
        <w:tc>
          <w:tcPr>
            <w:tcW w:w="1418" w:type="dxa"/>
            <w:shd w:val="clear" w:color="auto" w:fill="C6EFCE"/>
            <w:tcMar>
              <w:left w:w="108" w:type="dxa"/>
              <w:right w:w="108" w:type="dxa"/>
            </w:tcMar>
            <w:vAlign w:val="center"/>
          </w:tcPr>
          <w:p w14:paraId="476D659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4ADE62E3" w14:textId="77777777" w:rsidR="00BF03AA" w:rsidRPr="00326E55" w:rsidRDefault="00FB452D">
            <w:pPr>
              <w:pStyle w:val="P68B1DB1-Normal121"/>
              <w:spacing w:after="0" w:line="240" w:lineRule="auto"/>
              <w:rPr>
                <w:noProof/>
                <w:spacing w:val="-6"/>
                <w:lang w:val="sk-SK"/>
              </w:rPr>
            </w:pPr>
            <w:r w:rsidRPr="00326E55">
              <w:rPr>
                <w:noProof/>
                <w:spacing w:val="-6"/>
                <w:lang w:val="sk-SK"/>
              </w:rPr>
              <w:t>Zvýšiť odolnosť siete elektrizačnej sústavy</w:t>
            </w:r>
          </w:p>
        </w:tc>
      </w:tr>
      <w:tr w:rsidR="00BF03AA" w:rsidRPr="00326E55" w14:paraId="59602E8E" w14:textId="77777777">
        <w:trPr>
          <w:trHeight w:val="300"/>
        </w:trPr>
        <w:tc>
          <w:tcPr>
            <w:tcW w:w="1435" w:type="dxa"/>
            <w:shd w:val="clear" w:color="auto" w:fill="C6EFCE"/>
            <w:tcMar>
              <w:left w:w="108" w:type="dxa"/>
              <w:right w:w="108" w:type="dxa"/>
            </w:tcMar>
            <w:vAlign w:val="center"/>
          </w:tcPr>
          <w:p w14:paraId="04F9BAA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13</w:t>
            </w:r>
          </w:p>
        </w:tc>
        <w:tc>
          <w:tcPr>
            <w:tcW w:w="3543" w:type="dxa"/>
            <w:shd w:val="clear" w:color="auto" w:fill="C6EFCE"/>
            <w:tcMar>
              <w:left w:w="108" w:type="dxa"/>
              <w:right w:w="108" w:type="dxa"/>
            </w:tcMar>
            <w:vAlign w:val="center"/>
          </w:tcPr>
          <w:p w14:paraId="7B7A86A9" w14:textId="6B016CC5" w:rsidR="00BF03AA" w:rsidRPr="00326E55" w:rsidRDefault="00FB452D">
            <w:pPr>
              <w:pStyle w:val="P68B1DB1-Normal121"/>
              <w:spacing w:after="0" w:line="240" w:lineRule="auto"/>
              <w:rPr>
                <w:noProof/>
                <w:spacing w:val="-6"/>
                <w:lang w:val="sk-SK"/>
              </w:rPr>
            </w:pPr>
            <w:r w:rsidRPr="00326E55">
              <w:rPr>
                <w:noProof/>
                <w:spacing w:val="-6"/>
                <w:lang w:val="sk-SK"/>
              </w:rPr>
              <w:t>Investícia 3: Rozšírenie opatrenia: Výroba vodíka</w:t>
            </w:r>
            <w:r w:rsidR="00326E55" w:rsidRPr="00326E55">
              <w:rPr>
                <w:noProof/>
                <w:spacing w:val="-6"/>
                <w:lang w:val="sk-SK"/>
              </w:rPr>
              <w:t xml:space="preserve"> v </w:t>
            </w:r>
            <w:r w:rsidRPr="00326E55">
              <w:rPr>
                <w:noProof/>
                <w:spacing w:val="-6"/>
                <w:lang w:val="sk-SK"/>
              </w:rPr>
              <w:t>opustených priemyselných lokalitách (Hydrogen Valleys)</w:t>
            </w:r>
          </w:p>
        </w:tc>
        <w:tc>
          <w:tcPr>
            <w:tcW w:w="1418" w:type="dxa"/>
            <w:shd w:val="clear" w:color="auto" w:fill="C6EFCE"/>
            <w:tcMar>
              <w:left w:w="108" w:type="dxa"/>
              <w:right w:w="108" w:type="dxa"/>
            </w:tcMar>
            <w:vAlign w:val="center"/>
          </w:tcPr>
          <w:p w14:paraId="268CF41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087DB39C" w14:textId="77777777" w:rsidR="00BF03AA" w:rsidRPr="00326E55" w:rsidRDefault="00FB452D">
            <w:pPr>
              <w:pStyle w:val="P68B1DB1-Normal121"/>
              <w:spacing w:after="0" w:line="240" w:lineRule="auto"/>
              <w:rPr>
                <w:noProof/>
                <w:spacing w:val="-6"/>
                <w:lang w:val="sk-SK"/>
              </w:rPr>
            </w:pPr>
            <w:r w:rsidRPr="00326E55">
              <w:rPr>
                <w:noProof/>
                <w:spacing w:val="-6"/>
                <w:lang w:val="sk-SK"/>
              </w:rPr>
              <w:t>Realizovaný projekt</w:t>
            </w:r>
          </w:p>
        </w:tc>
      </w:tr>
      <w:tr w:rsidR="00BF03AA" w:rsidRPr="00326E55" w14:paraId="088EAFF5" w14:textId="77777777">
        <w:trPr>
          <w:trHeight w:val="300"/>
        </w:trPr>
        <w:tc>
          <w:tcPr>
            <w:tcW w:w="1435" w:type="dxa"/>
            <w:shd w:val="clear" w:color="auto" w:fill="C6EFCE"/>
            <w:tcMar>
              <w:left w:w="108" w:type="dxa"/>
              <w:right w:w="108" w:type="dxa"/>
            </w:tcMar>
            <w:vAlign w:val="center"/>
          </w:tcPr>
          <w:p w14:paraId="59E6D0F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15</w:t>
            </w:r>
          </w:p>
        </w:tc>
        <w:tc>
          <w:tcPr>
            <w:tcW w:w="3543" w:type="dxa"/>
            <w:shd w:val="clear" w:color="auto" w:fill="C6EFCE"/>
            <w:tcMar>
              <w:left w:w="108" w:type="dxa"/>
              <w:right w:w="108" w:type="dxa"/>
            </w:tcMar>
            <w:vAlign w:val="center"/>
          </w:tcPr>
          <w:p w14:paraId="06EC0D65"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 Tyrrhenský odkaz</w:t>
            </w:r>
          </w:p>
        </w:tc>
        <w:tc>
          <w:tcPr>
            <w:tcW w:w="1418" w:type="dxa"/>
            <w:shd w:val="clear" w:color="auto" w:fill="C6EFCE"/>
            <w:tcMar>
              <w:left w:w="108" w:type="dxa"/>
              <w:right w:w="108" w:type="dxa"/>
            </w:tcMar>
            <w:vAlign w:val="center"/>
          </w:tcPr>
          <w:p w14:paraId="28CA97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7F30A74A" w14:textId="77777777" w:rsidR="00BF03AA" w:rsidRPr="00326E55" w:rsidRDefault="00FB452D">
            <w:pPr>
              <w:pStyle w:val="P68B1DB1-Normal121"/>
              <w:spacing w:after="0" w:line="240" w:lineRule="auto"/>
              <w:rPr>
                <w:noProof/>
                <w:spacing w:val="-6"/>
                <w:lang w:val="sk-SK"/>
              </w:rPr>
            </w:pPr>
            <w:r w:rsidRPr="00326E55">
              <w:rPr>
                <w:noProof/>
                <w:spacing w:val="-6"/>
                <w:lang w:val="sk-SK"/>
              </w:rPr>
              <w:t>Kábel stanovený</w:t>
            </w:r>
          </w:p>
        </w:tc>
      </w:tr>
      <w:tr w:rsidR="00BF03AA" w:rsidRPr="00326E55" w14:paraId="36FA4341" w14:textId="77777777">
        <w:trPr>
          <w:trHeight w:val="300"/>
        </w:trPr>
        <w:tc>
          <w:tcPr>
            <w:tcW w:w="1435" w:type="dxa"/>
            <w:shd w:val="clear" w:color="auto" w:fill="C6EFCE"/>
            <w:tcMar>
              <w:left w:w="108" w:type="dxa"/>
              <w:right w:w="108" w:type="dxa"/>
            </w:tcMar>
            <w:vAlign w:val="center"/>
          </w:tcPr>
          <w:p w14:paraId="6500F70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17</w:t>
            </w:r>
          </w:p>
        </w:tc>
        <w:tc>
          <w:tcPr>
            <w:tcW w:w="3543" w:type="dxa"/>
            <w:shd w:val="clear" w:color="auto" w:fill="C6EFCE"/>
            <w:tcMar>
              <w:left w:w="108" w:type="dxa"/>
              <w:right w:w="108" w:type="dxa"/>
            </w:tcMar>
            <w:vAlign w:val="center"/>
          </w:tcPr>
          <w:p w14:paraId="7111F47A"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SA.CO.I.3</w:t>
            </w:r>
          </w:p>
        </w:tc>
        <w:tc>
          <w:tcPr>
            <w:tcW w:w="1418" w:type="dxa"/>
            <w:shd w:val="clear" w:color="auto" w:fill="C6EFCE"/>
            <w:tcMar>
              <w:left w:w="108" w:type="dxa"/>
              <w:right w:w="108" w:type="dxa"/>
            </w:tcMar>
            <w:vAlign w:val="center"/>
          </w:tcPr>
          <w:p w14:paraId="58DCCED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29F855A4" w14:textId="23484FD7" w:rsidR="00BF03AA" w:rsidRPr="00326E55" w:rsidRDefault="00FB452D">
            <w:pPr>
              <w:pStyle w:val="P68B1DB1-Normal121"/>
              <w:spacing w:after="0" w:line="240" w:lineRule="auto"/>
              <w:rPr>
                <w:noProof/>
                <w:spacing w:val="-6"/>
                <w:lang w:val="sk-SK"/>
              </w:rPr>
            </w:pPr>
            <w:r w:rsidRPr="00326E55">
              <w:rPr>
                <w:noProof/>
                <w:spacing w:val="-6"/>
                <w:lang w:val="sk-SK"/>
              </w:rPr>
              <w:t>Dokončenie škrupín konverzných staníc na Sardínii (Codrongianos)</w:t>
            </w:r>
            <w:r w:rsidR="00326E55" w:rsidRPr="00326E55">
              <w:rPr>
                <w:noProof/>
                <w:spacing w:val="-6"/>
                <w:lang w:val="sk-SK"/>
              </w:rPr>
              <w:t xml:space="preserve"> a </w:t>
            </w:r>
            <w:r w:rsidRPr="00326E55">
              <w:rPr>
                <w:noProof/>
                <w:spacing w:val="-6"/>
                <w:lang w:val="sk-SK"/>
              </w:rPr>
              <w:t>Toskánsku (Suvereto)</w:t>
            </w:r>
          </w:p>
        </w:tc>
      </w:tr>
      <w:tr w:rsidR="00BF03AA" w:rsidRPr="00326E55" w14:paraId="714DB080" w14:textId="77777777">
        <w:trPr>
          <w:trHeight w:val="300"/>
        </w:trPr>
        <w:tc>
          <w:tcPr>
            <w:tcW w:w="1435" w:type="dxa"/>
            <w:shd w:val="clear" w:color="auto" w:fill="C6EFCE"/>
            <w:tcMar>
              <w:left w:w="108" w:type="dxa"/>
              <w:right w:w="108" w:type="dxa"/>
            </w:tcMar>
            <w:vAlign w:val="center"/>
          </w:tcPr>
          <w:p w14:paraId="7C03D58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OPATRENIA 7 – 22</w:t>
            </w:r>
          </w:p>
        </w:tc>
        <w:tc>
          <w:tcPr>
            <w:tcW w:w="3543" w:type="dxa"/>
            <w:shd w:val="clear" w:color="auto" w:fill="C6EFCE"/>
            <w:tcMar>
              <w:left w:w="108" w:type="dxa"/>
              <w:right w:w="108" w:type="dxa"/>
            </w:tcMar>
            <w:vAlign w:val="center"/>
          </w:tcPr>
          <w:p w14:paraId="3A240B1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7: </w:t>
            </w:r>
            <w:r w:rsidRPr="00326E55">
              <w:rPr>
                <w:noProof/>
                <w:spacing w:val="-6"/>
                <w:lang w:val="sk-SK"/>
              </w:rPr>
              <w:t>Inteligentná národná prenosová sústava</w:t>
            </w:r>
          </w:p>
        </w:tc>
        <w:tc>
          <w:tcPr>
            <w:tcW w:w="1418" w:type="dxa"/>
            <w:shd w:val="clear" w:color="auto" w:fill="C6EFCE"/>
            <w:tcMar>
              <w:left w:w="108" w:type="dxa"/>
              <w:right w:w="108" w:type="dxa"/>
            </w:tcMar>
            <w:vAlign w:val="center"/>
          </w:tcPr>
          <w:p w14:paraId="13C94F7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2CF9415F" w14:textId="30915C36" w:rsidR="00BF03AA" w:rsidRPr="00326E55" w:rsidRDefault="00FB452D">
            <w:pPr>
              <w:pStyle w:val="P68B1DB1-Normal121"/>
              <w:spacing w:after="0" w:line="240" w:lineRule="auto"/>
              <w:rPr>
                <w:noProof/>
                <w:spacing w:val="-6"/>
                <w:lang w:val="sk-SK"/>
              </w:rPr>
            </w:pPr>
            <w:r w:rsidRPr="00326E55">
              <w:rPr>
                <w:noProof/>
                <w:spacing w:val="-6"/>
                <w:lang w:val="sk-SK"/>
              </w:rPr>
              <w:t>Inštalácia zariadení 5G, architektúry IKT, zabezpečeného protokolu 104</w:t>
            </w:r>
            <w:r w:rsidR="00326E55" w:rsidRPr="00326E55">
              <w:rPr>
                <w:noProof/>
                <w:spacing w:val="-6"/>
                <w:lang w:val="sk-SK"/>
              </w:rPr>
              <w:t xml:space="preserve"> v </w:t>
            </w:r>
            <w:r w:rsidRPr="00326E55">
              <w:rPr>
                <w:noProof/>
                <w:spacing w:val="-6"/>
                <w:lang w:val="sk-SK"/>
              </w:rPr>
              <w:t>elektrických staniciach</w:t>
            </w:r>
            <w:r w:rsidR="00326E55" w:rsidRPr="00326E55">
              <w:rPr>
                <w:noProof/>
                <w:spacing w:val="-6"/>
                <w:lang w:val="sk-SK"/>
              </w:rPr>
              <w:t xml:space="preserve"> a </w:t>
            </w:r>
            <w:r w:rsidRPr="00326E55">
              <w:rPr>
                <w:noProof/>
                <w:spacing w:val="-6"/>
                <w:lang w:val="sk-SK"/>
              </w:rPr>
              <w:t>priemyselného internetu vecí</w:t>
            </w:r>
            <w:r w:rsidR="00326E55" w:rsidRPr="00326E55">
              <w:rPr>
                <w:noProof/>
                <w:spacing w:val="-6"/>
                <w:lang w:val="sk-SK"/>
              </w:rPr>
              <w:t xml:space="preserve"> v </w:t>
            </w:r>
            <w:r w:rsidRPr="00326E55">
              <w:rPr>
                <w:noProof/>
                <w:spacing w:val="-6"/>
                <w:lang w:val="sk-SK"/>
              </w:rPr>
              <w:t>elektrických pylónoch</w:t>
            </w:r>
          </w:p>
        </w:tc>
      </w:tr>
      <w:tr w:rsidR="00BF03AA" w:rsidRPr="00326E55" w14:paraId="03A43BA9" w14:textId="77777777">
        <w:trPr>
          <w:trHeight w:val="300"/>
        </w:trPr>
        <w:tc>
          <w:tcPr>
            <w:tcW w:w="1435" w:type="dxa"/>
            <w:shd w:val="clear" w:color="auto" w:fill="C6EFCE"/>
            <w:tcMar>
              <w:left w:w="108" w:type="dxa"/>
              <w:right w:w="108" w:type="dxa"/>
            </w:tcMar>
            <w:vAlign w:val="center"/>
          </w:tcPr>
          <w:p w14:paraId="1718DBB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27</w:t>
            </w:r>
          </w:p>
        </w:tc>
        <w:tc>
          <w:tcPr>
            <w:tcW w:w="3543" w:type="dxa"/>
            <w:shd w:val="clear" w:color="auto" w:fill="C6EFCE"/>
            <w:tcMar>
              <w:left w:w="108" w:type="dxa"/>
              <w:right w:w="108" w:type="dxa"/>
            </w:tcMar>
            <w:vAlign w:val="center"/>
          </w:tcPr>
          <w:p w14:paraId="2FB19063" w14:textId="216E0721" w:rsidR="00BF03AA" w:rsidRPr="00326E55" w:rsidRDefault="00FB452D">
            <w:pPr>
              <w:pStyle w:val="P68B1DB1-Normal121"/>
              <w:spacing w:after="0" w:line="240" w:lineRule="auto"/>
              <w:rPr>
                <w:noProof/>
                <w:spacing w:val="-6"/>
                <w:lang w:val="sk-SK"/>
              </w:rPr>
            </w:pPr>
            <w:r w:rsidRPr="00326E55">
              <w:rPr>
                <w:noProof/>
                <w:spacing w:val="-6"/>
                <w:lang w:val="sk-SK"/>
              </w:rPr>
              <w:t>Investícia 8: Udržateľné, obehové</w:t>
            </w:r>
            <w:r w:rsidR="00326E55" w:rsidRPr="00326E55">
              <w:rPr>
                <w:noProof/>
                <w:spacing w:val="-6"/>
                <w:lang w:val="sk-SK"/>
              </w:rPr>
              <w:t xml:space="preserve"> a </w:t>
            </w:r>
            <w:r w:rsidRPr="00326E55">
              <w:rPr>
                <w:noProof/>
                <w:spacing w:val="-6"/>
                <w:lang w:val="sk-SK"/>
              </w:rPr>
              <w:t>bezpečné dodá</w:t>
            </w:r>
            <w:r w:rsidRPr="00326E55">
              <w:rPr>
                <w:noProof/>
                <w:spacing w:val="-6"/>
                <w:lang w:val="sk-SK"/>
              </w:rPr>
              <w:t>vky kritických surovín</w:t>
            </w:r>
          </w:p>
        </w:tc>
        <w:tc>
          <w:tcPr>
            <w:tcW w:w="1418" w:type="dxa"/>
            <w:shd w:val="clear" w:color="auto" w:fill="C6EFCE"/>
            <w:tcMar>
              <w:left w:w="108" w:type="dxa"/>
              <w:right w:w="108" w:type="dxa"/>
            </w:tcMar>
            <w:vAlign w:val="center"/>
          </w:tcPr>
          <w:p w14:paraId="49FCF37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081408DA" w14:textId="2AB02A62" w:rsidR="00BF03AA" w:rsidRPr="00326E55" w:rsidRDefault="00FB452D">
            <w:pPr>
              <w:pStyle w:val="P68B1DB1-Normal121"/>
              <w:spacing w:after="0" w:line="240" w:lineRule="auto"/>
              <w:rPr>
                <w:noProof/>
                <w:spacing w:val="-6"/>
                <w:lang w:val="sk-SK"/>
              </w:rPr>
            </w:pPr>
            <w:r w:rsidRPr="00326E55">
              <w:rPr>
                <w:noProof/>
                <w:spacing w:val="-6"/>
                <w:lang w:val="sk-SK"/>
              </w:rPr>
              <w:t>Výskumné</w:t>
            </w:r>
            <w:r w:rsidR="00326E55" w:rsidRPr="00326E55">
              <w:rPr>
                <w:noProof/>
                <w:spacing w:val="-6"/>
                <w:lang w:val="sk-SK"/>
              </w:rPr>
              <w:t xml:space="preserve"> a </w:t>
            </w:r>
            <w:r w:rsidRPr="00326E55">
              <w:rPr>
                <w:noProof/>
                <w:spacing w:val="-6"/>
                <w:lang w:val="sk-SK"/>
              </w:rPr>
              <w:t>vývojové projekty</w:t>
            </w:r>
            <w:r w:rsidR="00326E55" w:rsidRPr="00326E55">
              <w:rPr>
                <w:noProof/>
                <w:spacing w:val="-6"/>
                <w:lang w:val="sk-SK"/>
              </w:rPr>
              <w:t xml:space="preserve"> a </w:t>
            </w:r>
            <w:r w:rsidRPr="00326E55">
              <w:rPr>
                <w:noProof/>
                <w:spacing w:val="-6"/>
                <w:lang w:val="sk-SK"/>
              </w:rPr>
              <w:t>vybavenie laboratórií</w:t>
            </w:r>
            <w:r w:rsidR="00326E55" w:rsidRPr="00326E55">
              <w:rPr>
                <w:noProof/>
                <w:spacing w:val="-6"/>
                <w:lang w:val="sk-SK"/>
              </w:rPr>
              <w:t xml:space="preserve"> v </w:t>
            </w:r>
            <w:r w:rsidRPr="00326E55">
              <w:rPr>
                <w:noProof/>
                <w:spacing w:val="-6"/>
                <w:lang w:val="sk-SK"/>
              </w:rPr>
              <w:t>oblasti mestskej ťažby</w:t>
            </w:r>
            <w:r w:rsidR="00326E55" w:rsidRPr="00326E55">
              <w:rPr>
                <w:noProof/>
                <w:spacing w:val="-6"/>
                <w:lang w:val="sk-SK"/>
              </w:rPr>
              <w:t xml:space="preserve"> a </w:t>
            </w:r>
            <w:r w:rsidRPr="00326E55">
              <w:rPr>
                <w:noProof/>
                <w:spacing w:val="-6"/>
                <w:lang w:val="sk-SK"/>
              </w:rPr>
              <w:t xml:space="preserve">ekodizajnu </w:t>
            </w:r>
          </w:p>
        </w:tc>
      </w:tr>
      <w:tr w:rsidR="00BF03AA" w:rsidRPr="00326E55" w14:paraId="028746FF" w14:textId="77777777">
        <w:trPr>
          <w:trHeight w:val="300"/>
        </w:trPr>
        <w:tc>
          <w:tcPr>
            <w:tcW w:w="1435" w:type="dxa"/>
            <w:shd w:val="clear" w:color="auto" w:fill="C6EFCE"/>
            <w:tcMar>
              <w:left w:w="108" w:type="dxa"/>
              <w:right w:w="108" w:type="dxa"/>
            </w:tcMar>
            <w:vAlign w:val="center"/>
          </w:tcPr>
          <w:p w14:paraId="4E91792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31</w:t>
            </w:r>
          </w:p>
        </w:tc>
        <w:tc>
          <w:tcPr>
            <w:tcW w:w="3543" w:type="dxa"/>
            <w:shd w:val="clear" w:color="auto" w:fill="C6EFCE"/>
            <w:tcMar>
              <w:left w:w="108" w:type="dxa"/>
              <w:right w:w="108" w:type="dxa"/>
            </w:tcMar>
            <w:vAlign w:val="center"/>
          </w:tcPr>
          <w:p w14:paraId="3DE237FE" w14:textId="70BF62A3" w:rsidR="00BF03AA" w:rsidRPr="00326E55" w:rsidRDefault="00FB452D">
            <w:pPr>
              <w:pStyle w:val="P68B1DB1-Normal121"/>
              <w:spacing w:after="0" w:line="240" w:lineRule="auto"/>
              <w:rPr>
                <w:noProof/>
                <w:spacing w:val="-6"/>
                <w:lang w:val="sk-SK"/>
              </w:rPr>
            </w:pPr>
            <w:r w:rsidRPr="00326E55">
              <w:rPr>
                <w:noProof/>
                <w:spacing w:val="-6"/>
                <w:lang w:val="sk-SK"/>
              </w:rPr>
              <w:t>Investícia 11:  Posilnenie vozového parku regionálnej verejnej železničnej dopravy (vlaky</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 xml:space="preserve">univerzálna </w:t>
            </w:r>
            <w:r w:rsidRPr="00326E55">
              <w:rPr>
                <w:noProof/>
                <w:spacing w:val="-6"/>
                <w:lang w:val="sk-SK"/>
              </w:rPr>
              <w:t>služba)</w:t>
            </w:r>
          </w:p>
        </w:tc>
        <w:tc>
          <w:tcPr>
            <w:tcW w:w="1418" w:type="dxa"/>
            <w:shd w:val="clear" w:color="auto" w:fill="C6EFCE"/>
            <w:tcMar>
              <w:left w:w="108" w:type="dxa"/>
              <w:right w:w="108" w:type="dxa"/>
            </w:tcMar>
            <w:vAlign w:val="center"/>
          </w:tcPr>
          <w:p w14:paraId="2A8AEF2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2F0589E1"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registrovaných vlakov</w:t>
            </w:r>
          </w:p>
        </w:tc>
      </w:tr>
      <w:tr w:rsidR="00BF03AA" w:rsidRPr="00326E55" w14:paraId="702E6BE9" w14:textId="77777777">
        <w:trPr>
          <w:trHeight w:val="300"/>
        </w:trPr>
        <w:tc>
          <w:tcPr>
            <w:tcW w:w="1435" w:type="dxa"/>
            <w:shd w:val="clear" w:color="auto" w:fill="C6EFCE"/>
            <w:tcMar>
              <w:left w:w="108" w:type="dxa"/>
              <w:right w:w="108" w:type="dxa"/>
            </w:tcMar>
            <w:vAlign w:val="center"/>
          </w:tcPr>
          <w:p w14:paraId="1ABB585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30</w:t>
            </w:r>
          </w:p>
        </w:tc>
        <w:tc>
          <w:tcPr>
            <w:tcW w:w="3543" w:type="dxa"/>
            <w:shd w:val="clear" w:color="auto" w:fill="C6EFCE"/>
            <w:tcMar>
              <w:left w:w="108" w:type="dxa"/>
              <w:right w:w="108" w:type="dxa"/>
            </w:tcMar>
            <w:vAlign w:val="center"/>
          </w:tcPr>
          <w:p w14:paraId="2038C1D3" w14:textId="7575E622" w:rsidR="00BF03AA" w:rsidRPr="00326E55" w:rsidRDefault="00FB452D">
            <w:pPr>
              <w:pStyle w:val="P68B1DB1-Normal121"/>
              <w:spacing w:after="0" w:line="240" w:lineRule="auto"/>
              <w:rPr>
                <w:noProof/>
                <w:spacing w:val="-6"/>
                <w:lang w:val="sk-SK"/>
              </w:rPr>
            </w:pPr>
            <w:r w:rsidRPr="00326E55">
              <w:rPr>
                <w:noProof/>
                <w:spacing w:val="-6"/>
                <w:lang w:val="sk-SK"/>
              </w:rPr>
              <w:t>Investícia 4.5 – Program obnovy vozového parku súkromných</w:t>
            </w:r>
            <w:r w:rsidR="00326E55" w:rsidRPr="00326E55">
              <w:rPr>
                <w:noProof/>
                <w:spacing w:val="-6"/>
                <w:lang w:val="sk-SK"/>
              </w:rPr>
              <w:t xml:space="preserve"> a </w:t>
            </w:r>
            <w:r w:rsidRPr="00326E55">
              <w:rPr>
                <w:noProof/>
                <w:spacing w:val="-6"/>
                <w:lang w:val="sk-SK"/>
              </w:rPr>
              <w:t>ľahkých úžitkových vozidiel</w:t>
            </w:r>
            <w:r w:rsidR="00326E55" w:rsidRPr="00326E55">
              <w:rPr>
                <w:noProof/>
                <w:spacing w:val="-6"/>
                <w:lang w:val="sk-SK"/>
              </w:rPr>
              <w:t xml:space="preserve"> s </w:t>
            </w:r>
            <w:r w:rsidRPr="00326E55">
              <w:rPr>
                <w:noProof/>
                <w:spacing w:val="-6"/>
                <w:lang w:val="sk-SK"/>
              </w:rPr>
              <w:t>elektrickými vozidlami</w:t>
            </w:r>
          </w:p>
        </w:tc>
        <w:tc>
          <w:tcPr>
            <w:tcW w:w="1418" w:type="dxa"/>
            <w:shd w:val="clear" w:color="auto" w:fill="C6EFCE"/>
            <w:tcMar>
              <w:left w:w="108" w:type="dxa"/>
              <w:right w:w="108" w:type="dxa"/>
            </w:tcMar>
            <w:vAlign w:val="center"/>
          </w:tcPr>
          <w:p w14:paraId="3C70795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41EB0512"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zakúpených vozidiel</w:t>
            </w:r>
          </w:p>
        </w:tc>
      </w:tr>
      <w:tr w:rsidR="00BF03AA" w:rsidRPr="00326E55" w14:paraId="3B4857A8" w14:textId="77777777">
        <w:trPr>
          <w:trHeight w:val="300"/>
        </w:trPr>
        <w:tc>
          <w:tcPr>
            <w:tcW w:w="1435" w:type="dxa"/>
            <w:shd w:val="clear" w:color="auto" w:fill="C6EFCE"/>
            <w:tcMar>
              <w:left w:w="108" w:type="dxa"/>
              <w:right w:w="108" w:type="dxa"/>
            </w:tcMar>
            <w:vAlign w:val="center"/>
          </w:tcPr>
          <w:p w14:paraId="3FEECAD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14ter</w:t>
            </w:r>
          </w:p>
        </w:tc>
        <w:tc>
          <w:tcPr>
            <w:tcW w:w="3543" w:type="dxa"/>
            <w:shd w:val="clear" w:color="auto" w:fill="C6EFCE"/>
            <w:tcMar>
              <w:left w:w="108" w:type="dxa"/>
              <w:right w:w="108" w:type="dxa"/>
            </w:tcMar>
            <w:vAlign w:val="center"/>
          </w:tcPr>
          <w:p w14:paraId="46E7B9D3" w14:textId="7C5A01B6" w:rsidR="00BF03AA" w:rsidRPr="00326E55" w:rsidRDefault="00FB452D">
            <w:pPr>
              <w:pStyle w:val="P68B1DB1-Normal121"/>
              <w:spacing w:after="0" w:line="240" w:lineRule="auto"/>
              <w:rPr>
                <w:noProof/>
                <w:spacing w:val="-6"/>
                <w:lang w:val="sk-SK"/>
              </w:rPr>
            </w:pPr>
            <w:r w:rsidRPr="00326E55">
              <w:rPr>
                <w:noProof/>
                <w:spacing w:val="-6"/>
                <w:lang w:val="sk-SK"/>
              </w:rPr>
              <w:t>Reforma 3: racionalizácia</w:t>
            </w:r>
            <w:r w:rsidR="00326E55" w:rsidRPr="00326E55">
              <w:rPr>
                <w:noProof/>
                <w:spacing w:val="-6"/>
                <w:lang w:val="sk-SK"/>
              </w:rPr>
              <w:t xml:space="preserve"> a </w:t>
            </w:r>
            <w:r w:rsidRPr="00326E55">
              <w:rPr>
                <w:noProof/>
                <w:spacing w:val="-6"/>
                <w:lang w:val="sk-SK"/>
              </w:rPr>
              <w:t>zjednodušenie stim</w:t>
            </w:r>
            <w:r w:rsidRPr="00326E55">
              <w:rPr>
                <w:noProof/>
                <w:spacing w:val="-6"/>
                <w:lang w:val="sk-SK"/>
              </w:rPr>
              <w:t>ulov pre firmy.</w:t>
            </w:r>
          </w:p>
        </w:tc>
        <w:tc>
          <w:tcPr>
            <w:tcW w:w="1418" w:type="dxa"/>
            <w:shd w:val="clear" w:color="auto" w:fill="C6EFCE"/>
            <w:tcMar>
              <w:left w:w="108" w:type="dxa"/>
              <w:right w:w="108" w:type="dxa"/>
            </w:tcMar>
            <w:vAlign w:val="center"/>
          </w:tcPr>
          <w:p w14:paraId="42D09DD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5843C779"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právnych aktov na racionalizáciu pevných stimulov</w:t>
            </w:r>
          </w:p>
        </w:tc>
      </w:tr>
      <w:tr w:rsidR="00BF03AA" w:rsidRPr="00326E55" w14:paraId="5FCEFDAF" w14:textId="77777777">
        <w:trPr>
          <w:trHeight w:val="300"/>
        </w:trPr>
        <w:tc>
          <w:tcPr>
            <w:tcW w:w="1435" w:type="dxa"/>
            <w:shd w:val="clear" w:color="auto" w:fill="C6EFCE"/>
            <w:tcMar>
              <w:left w:w="108" w:type="dxa"/>
              <w:right w:w="108" w:type="dxa"/>
            </w:tcMar>
            <w:vAlign w:val="center"/>
          </w:tcPr>
          <w:p w14:paraId="615794A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14ter</w:t>
            </w:r>
          </w:p>
        </w:tc>
        <w:tc>
          <w:tcPr>
            <w:tcW w:w="3543" w:type="dxa"/>
            <w:shd w:val="clear" w:color="auto" w:fill="C6EFCE"/>
            <w:tcMar>
              <w:left w:w="108" w:type="dxa"/>
              <w:right w:w="108" w:type="dxa"/>
            </w:tcMar>
            <w:vAlign w:val="center"/>
          </w:tcPr>
          <w:p w14:paraId="77EFD071"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2.1: Nábor učiteľov</w:t>
            </w:r>
          </w:p>
        </w:tc>
        <w:tc>
          <w:tcPr>
            <w:tcW w:w="1418" w:type="dxa"/>
            <w:shd w:val="clear" w:color="auto" w:fill="C6EFCE"/>
            <w:tcMar>
              <w:left w:w="108" w:type="dxa"/>
              <w:right w:w="108" w:type="dxa"/>
            </w:tcMar>
            <w:vAlign w:val="center"/>
          </w:tcPr>
          <w:p w14:paraId="461C7B3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4DAF795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Uchádzači, ktorí úspešne absolvovali verejné výberové konanie, aby sa stali učiteľmi podľa reformovaného </w:t>
            </w:r>
            <w:r w:rsidRPr="00326E55">
              <w:rPr>
                <w:noProof/>
                <w:spacing w:val="-6"/>
                <w:lang w:val="sk-SK"/>
              </w:rPr>
              <w:t>systému prijímania zamestnancov</w:t>
            </w:r>
          </w:p>
        </w:tc>
      </w:tr>
      <w:tr w:rsidR="00BF03AA" w:rsidRPr="00326E55" w14:paraId="14D1F30C" w14:textId="77777777">
        <w:trPr>
          <w:trHeight w:val="300"/>
        </w:trPr>
        <w:tc>
          <w:tcPr>
            <w:tcW w:w="1435" w:type="dxa"/>
            <w:shd w:val="clear" w:color="auto" w:fill="C6EFCE"/>
            <w:tcMar>
              <w:left w:w="108" w:type="dxa"/>
              <w:right w:w="108" w:type="dxa"/>
            </w:tcMar>
            <w:vAlign w:val="center"/>
          </w:tcPr>
          <w:p w14:paraId="22E6FED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121bis</w:t>
            </w:r>
          </w:p>
        </w:tc>
        <w:tc>
          <w:tcPr>
            <w:tcW w:w="3543" w:type="dxa"/>
            <w:shd w:val="clear" w:color="auto" w:fill="C6EFCE"/>
            <w:tcMar>
              <w:left w:w="108" w:type="dxa"/>
              <w:right w:w="108" w:type="dxa"/>
            </w:tcMar>
            <w:vAlign w:val="center"/>
          </w:tcPr>
          <w:p w14:paraId="12CA3C0B"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1.12: Reforma daňovej správy</w:t>
            </w:r>
          </w:p>
        </w:tc>
        <w:tc>
          <w:tcPr>
            <w:tcW w:w="1418" w:type="dxa"/>
            <w:shd w:val="clear" w:color="auto" w:fill="C6EFCE"/>
            <w:tcMar>
              <w:left w:w="108" w:type="dxa"/>
              <w:right w:w="108" w:type="dxa"/>
            </w:tcMar>
            <w:vAlign w:val="center"/>
          </w:tcPr>
          <w:p w14:paraId="736E3A9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6CB0028" w14:textId="4801ED0D"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primárnych</w:t>
            </w:r>
            <w:r w:rsidR="00326E55" w:rsidRPr="00326E55">
              <w:rPr>
                <w:noProof/>
                <w:spacing w:val="-6"/>
                <w:lang w:val="sk-SK"/>
              </w:rPr>
              <w:t xml:space="preserve"> a </w:t>
            </w:r>
            <w:r w:rsidRPr="00326E55">
              <w:rPr>
                <w:noProof/>
                <w:spacing w:val="-6"/>
                <w:lang w:val="sk-SK"/>
              </w:rPr>
              <w:t>sekundárnych právnych predpisov na zlepšenie výberu daní</w:t>
            </w:r>
          </w:p>
        </w:tc>
      </w:tr>
      <w:tr w:rsidR="00BF03AA" w:rsidRPr="00326E55" w14:paraId="74F97F6D"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C052A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2F884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4.3: Inštalácia nabíjacích infraštruktúr</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8B6A0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6E6A87"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rýchlonabíjacích staníc</w:t>
            </w:r>
          </w:p>
        </w:tc>
      </w:tr>
      <w:tr w:rsidR="00BF03AA" w:rsidRPr="00326E55" w14:paraId="611B1EB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9A76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15bis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B7669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1.7: Štipendiá na prístup na univerzitu</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E88E6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AC8299" w14:textId="77777777" w:rsidR="00BF03AA" w:rsidRPr="00326E55" w:rsidRDefault="00FB452D">
            <w:pPr>
              <w:pStyle w:val="P68B1DB1-Normal121"/>
              <w:spacing w:after="0" w:line="240" w:lineRule="auto"/>
              <w:rPr>
                <w:noProof/>
                <w:spacing w:val="-6"/>
                <w:lang w:val="sk-SK"/>
              </w:rPr>
            </w:pPr>
            <w:r w:rsidRPr="00326E55">
              <w:rPr>
                <w:noProof/>
                <w:spacing w:val="-6"/>
                <w:lang w:val="sk-SK"/>
              </w:rPr>
              <w:t>Udelené štipendiá na prístup na univerzitu</w:t>
            </w:r>
          </w:p>
        </w:tc>
      </w:tr>
      <w:tr w:rsidR="00BF03AA" w:rsidRPr="00326E55" w14:paraId="0FFFC66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764B5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4bis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3521EC" w14:textId="68BCC8B3" w:rsidR="00BF03AA" w:rsidRPr="00326E55" w:rsidRDefault="00FB452D">
            <w:pPr>
              <w:pStyle w:val="P68B1DB1-Normal121"/>
              <w:spacing w:after="0" w:line="240" w:lineRule="auto"/>
              <w:rPr>
                <w:noProof/>
                <w:spacing w:val="-6"/>
                <w:lang w:val="sk-SK"/>
              </w:rPr>
            </w:pPr>
            <w:r w:rsidRPr="00326E55">
              <w:rPr>
                <w:noProof/>
                <w:spacing w:val="-6"/>
                <w:lang w:val="sk-SK"/>
              </w:rPr>
              <w:t>Reforma 1 – aktívne politiky trhu práce</w:t>
            </w:r>
            <w:r w:rsidR="00326E55" w:rsidRPr="00326E55">
              <w:rPr>
                <w:noProof/>
                <w:spacing w:val="-6"/>
                <w:lang w:val="sk-SK"/>
              </w:rPr>
              <w:t xml:space="preserve"> a </w:t>
            </w:r>
            <w:r w:rsidRPr="00326E55">
              <w:rPr>
                <w:noProof/>
                <w:spacing w:val="-6"/>
                <w:lang w:val="sk-SK"/>
              </w:rPr>
              <w:t>odborná príprava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6321F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1BDD2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Osoby zúčastňujúce sa na programoch </w:t>
            </w:r>
            <w:r w:rsidRPr="00326E55">
              <w:rPr>
                <w:noProof/>
                <w:spacing w:val="-6"/>
                <w:lang w:val="sk-SK"/>
              </w:rPr>
              <w:t>odbornej prípravy</w:t>
            </w:r>
          </w:p>
        </w:tc>
      </w:tr>
      <w:tr w:rsidR="00BF03AA" w:rsidRPr="00326E55" w14:paraId="3E9D558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6B682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88BC3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1.2 – Umožnenie cloud computingu pre miestnu platobnú agentúru</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A8C44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7F744C" w14:textId="77777777" w:rsidR="00BF03AA" w:rsidRPr="00326E55" w:rsidRDefault="00FB452D">
            <w:pPr>
              <w:pStyle w:val="P68B1DB1-Normal121"/>
              <w:spacing w:after="0" w:line="240" w:lineRule="auto"/>
              <w:rPr>
                <w:noProof/>
                <w:spacing w:val="-6"/>
                <w:lang w:val="sk-SK"/>
              </w:rPr>
            </w:pPr>
            <w:r w:rsidRPr="00326E55">
              <w:rPr>
                <w:noProof/>
                <w:spacing w:val="-6"/>
                <w:lang w:val="sk-SK"/>
              </w:rPr>
              <w:t>Cloudové povolenie pre miestnu verejnú správu T2</w:t>
            </w:r>
          </w:p>
        </w:tc>
      </w:tr>
      <w:tr w:rsidR="00BF03AA" w:rsidRPr="00326E55" w14:paraId="6046125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E73F0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69328E" w14:textId="340E4BA2" w:rsidR="00BF03AA" w:rsidRPr="00326E55" w:rsidRDefault="00FB452D">
            <w:pPr>
              <w:pStyle w:val="P68B1DB1-Normal121"/>
              <w:spacing w:after="0" w:line="240" w:lineRule="auto"/>
              <w:rPr>
                <w:noProof/>
                <w:spacing w:val="-6"/>
                <w:lang w:val="sk-SK"/>
              </w:rPr>
            </w:pPr>
            <w:r w:rsidRPr="00326E55">
              <w:rPr>
                <w:noProof/>
                <w:spacing w:val="-6"/>
                <w:lang w:val="sk-SK"/>
              </w:rPr>
              <w:t>Investícia 1.4.1 – Občianske skúsenosti – Zlepšenie kvality</w:t>
            </w:r>
            <w:r w:rsidR="00326E55" w:rsidRPr="00326E55">
              <w:rPr>
                <w:noProof/>
                <w:spacing w:val="-6"/>
                <w:lang w:val="sk-SK"/>
              </w:rPr>
              <w:t xml:space="preserve"> a </w:t>
            </w:r>
            <w:r w:rsidRPr="00326E55">
              <w:rPr>
                <w:noProof/>
                <w:spacing w:val="-6"/>
                <w:lang w:val="sk-SK"/>
              </w:rPr>
              <w:t xml:space="preserve">použiteľnosti </w:t>
            </w:r>
            <w:r w:rsidRPr="00326E55">
              <w:rPr>
                <w:noProof/>
                <w:spacing w:val="-6"/>
                <w:lang w:val="sk-SK"/>
              </w:rPr>
              <w:t>digitálnych verejných služieb</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C52A9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005EEB" w14:textId="5D2F6D22" w:rsidR="00BF03AA" w:rsidRPr="00326E55" w:rsidRDefault="00FB452D">
            <w:pPr>
              <w:pStyle w:val="P68B1DB1-Normal121"/>
              <w:spacing w:after="0" w:line="240" w:lineRule="auto"/>
              <w:rPr>
                <w:noProof/>
                <w:spacing w:val="-6"/>
                <w:lang w:val="sk-SK"/>
              </w:rPr>
            </w:pPr>
            <w:r w:rsidRPr="00326E55">
              <w:rPr>
                <w:noProof/>
                <w:spacing w:val="-6"/>
                <w:lang w:val="sk-SK"/>
              </w:rPr>
              <w:t>Zvýšenie kvality</w:t>
            </w:r>
            <w:r w:rsidR="00326E55" w:rsidRPr="00326E55">
              <w:rPr>
                <w:noProof/>
                <w:spacing w:val="-6"/>
                <w:lang w:val="sk-SK"/>
              </w:rPr>
              <w:t xml:space="preserve"> a </w:t>
            </w:r>
            <w:r w:rsidRPr="00326E55">
              <w:rPr>
                <w:noProof/>
                <w:spacing w:val="-6"/>
                <w:lang w:val="sk-SK"/>
              </w:rPr>
              <w:t>použiteľnosti digitálnych verejných služieb T2</w:t>
            </w:r>
          </w:p>
        </w:tc>
      </w:tr>
      <w:tr w:rsidR="00BF03AA" w:rsidRPr="00326E55" w14:paraId="155A8DE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3AA3E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10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AF4212"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2.1 Posilnenie inteligentných sietí</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865B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83121C" w14:textId="1E11E7C1" w:rsidR="00BF03AA" w:rsidRPr="00326E55" w:rsidRDefault="00FB452D">
            <w:pPr>
              <w:pStyle w:val="P68B1DB1-Normal121"/>
              <w:spacing w:after="0" w:line="240" w:lineRule="auto"/>
              <w:rPr>
                <w:noProof/>
                <w:spacing w:val="-6"/>
                <w:lang w:val="sk-SK"/>
              </w:rPr>
            </w:pPr>
            <w:r w:rsidRPr="00326E55">
              <w:rPr>
                <w:noProof/>
                <w:spacing w:val="-6"/>
                <w:lang w:val="sk-SK"/>
              </w:rPr>
              <w:t>Inteligentné siete – Zvýšenie kapacity siete</w:t>
            </w:r>
            <w:r w:rsidR="00326E55" w:rsidRPr="00326E55">
              <w:rPr>
                <w:noProof/>
                <w:spacing w:val="-6"/>
                <w:lang w:val="sk-SK"/>
              </w:rPr>
              <w:t xml:space="preserve"> a </w:t>
            </w:r>
            <w:r w:rsidRPr="00326E55">
              <w:rPr>
                <w:noProof/>
                <w:spacing w:val="-6"/>
                <w:lang w:val="sk-SK"/>
              </w:rPr>
              <w:t xml:space="preserve">elektrifikácia spotreby energie </w:t>
            </w:r>
          </w:p>
        </w:tc>
      </w:tr>
      <w:tr w:rsidR="00BF03AA" w:rsidRPr="00326E55" w14:paraId="5648CFE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0350B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13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3CE00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2.2 Intervencie na zvýšenie odolnosti elektrizačnej sústavy</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6BABC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9204C" w14:textId="77777777" w:rsidR="00BF03AA" w:rsidRPr="00326E55" w:rsidRDefault="00FB452D">
            <w:pPr>
              <w:pStyle w:val="P68B1DB1-Normal121"/>
              <w:spacing w:after="0" w:line="240" w:lineRule="auto"/>
              <w:rPr>
                <w:noProof/>
                <w:spacing w:val="-6"/>
                <w:lang w:val="sk-SK"/>
              </w:rPr>
            </w:pPr>
            <w:r w:rsidRPr="00326E55">
              <w:rPr>
                <w:noProof/>
                <w:spacing w:val="-6"/>
                <w:lang w:val="sk-SK"/>
              </w:rPr>
              <w:t>Zvýšiť odolnosť siete elektrizačnej sústavy</w:t>
            </w:r>
          </w:p>
        </w:tc>
      </w:tr>
      <w:tr w:rsidR="00BF03AA" w:rsidRPr="00326E55" w14:paraId="484E1E6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5C0DD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35</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8C74F5" w14:textId="2EBF9BDB" w:rsidR="00BF03AA" w:rsidRPr="00326E55" w:rsidRDefault="00FB452D">
            <w:pPr>
              <w:pStyle w:val="P68B1DB1-Normal121"/>
              <w:spacing w:after="0" w:line="240" w:lineRule="auto"/>
              <w:rPr>
                <w:noProof/>
                <w:spacing w:val="-6"/>
                <w:lang w:val="sk-SK"/>
              </w:rPr>
            </w:pPr>
            <w:r w:rsidRPr="00326E55">
              <w:rPr>
                <w:noProof/>
                <w:spacing w:val="-6"/>
                <w:lang w:val="sk-SK"/>
              </w:rPr>
              <w:t>Investícia 4.4.1: Posilnenie regionálneho vozového parku verejnej autobusovej dopravy autobusmi</w:t>
            </w:r>
            <w:r w:rsidR="00326E55" w:rsidRPr="00326E55">
              <w:rPr>
                <w:noProof/>
                <w:spacing w:val="-6"/>
                <w:lang w:val="sk-SK"/>
              </w:rPr>
              <w:t xml:space="preserve"> s </w:t>
            </w:r>
            <w:r w:rsidRPr="00326E55">
              <w:rPr>
                <w:noProof/>
                <w:spacing w:val="-6"/>
                <w:lang w:val="sk-SK"/>
              </w:rPr>
              <w:t>nulovými emisiami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6FB22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1218CB" w14:textId="0EB046DB" w:rsidR="00BF03AA" w:rsidRPr="00326E55" w:rsidRDefault="00FB452D">
            <w:pPr>
              <w:pStyle w:val="P68B1DB1-Normal121"/>
              <w:spacing w:after="0" w:line="240" w:lineRule="auto"/>
              <w:rPr>
                <w:noProof/>
                <w:spacing w:val="-6"/>
                <w:lang w:val="sk-SK"/>
              </w:rPr>
            </w:pPr>
            <w:r w:rsidRPr="00326E55">
              <w:rPr>
                <w:noProof/>
                <w:spacing w:val="-6"/>
                <w:lang w:val="sk-SK"/>
              </w:rPr>
              <w:t>Poč</w:t>
            </w:r>
            <w:r w:rsidRPr="00326E55">
              <w:rPr>
                <w:noProof/>
                <w:spacing w:val="-6"/>
                <w:lang w:val="sk-SK"/>
              </w:rPr>
              <w:t>et registrovaných autobusov</w:t>
            </w:r>
            <w:r w:rsidR="00326E55" w:rsidRPr="00326E55">
              <w:rPr>
                <w:noProof/>
                <w:spacing w:val="-6"/>
                <w:lang w:val="sk-SK"/>
              </w:rPr>
              <w:t xml:space="preserve"> s </w:t>
            </w:r>
            <w:r w:rsidRPr="00326E55">
              <w:rPr>
                <w:noProof/>
                <w:spacing w:val="-6"/>
                <w:lang w:val="sk-SK"/>
              </w:rPr>
              <w:t>nulovými emisiami T2</w:t>
            </w:r>
          </w:p>
        </w:tc>
      </w:tr>
      <w:tr w:rsidR="00BF03AA" w:rsidRPr="00326E55" w14:paraId="52FDA3A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F13C8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35 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AB91C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4.4.1: Posilnenie vozového parku regionálnej verejnej autobusovej dopravy vozidlami na ekologické palivá</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03986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B0BB9" w14:textId="58215EBA" w:rsidR="00BF03AA" w:rsidRPr="00326E55" w:rsidRDefault="00FB452D">
            <w:pPr>
              <w:pStyle w:val="P68B1DB1-Normal121"/>
              <w:spacing w:after="0" w:line="240" w:lineRule="auto"/>
              <w:rPr>
                <w:noProof/>
                <w:spacing w:val="-6"/>
                <w:lang w:val="sk-SK"/>
              </w:rPr>
            </w:pPr>
            <w:r w:rsidRPr="00326E55">
              <w:rPr>
                <w:noProof/>
                <w:spacing w:val="-6"/>
                <w:lang w:val="sk-SK"/>
              </w:rPr>
              <w:t>Počet nabíjacích staníc pre nízkopodlažné autobusy</w:t>
            </w:r>
            <w:r w:rsidR="00326E55" w:rsidRPr="00326E55">
              <w:rPr>
                <w:noProof/>
                <w:spacing w:val="-6"/>
                <w:lang w:val="sk-SK"/>
              </w:rPr>
              <w:t xml:space="preserve"> s </w:t>
            </w:r>
            <w:r w:rsidRPr="00326E55">
              <w:rPr>
                <w:noProof/>
                <w:spacing w:val="-6"/>
                <w:lang w:val="sk-SK"/>
              </w:rPr>
              <w:t>nulovými</w:t>
            </w:r>
            <w:r w:rsidR="00326E55" w:rsidRPr="00326E55">
              <w:rPr>
                <w:noProof/>
                <w:spacing w:val="-6"/>
                <w:lang w:val="sk-SK"/>
              </w:rPr>
              <w:t xml:space="preserve"> a </w:t>
            </w:r>
            <w:r w:rsidRPr="00326E55">
              <w:rPr>
                <w:noProof/>
                <w:spacing w:val="-6"/>
                <w:lang w:val="sk-SK"/>
              </w:rPr>
              <w:t>nízkymi emisiami</w:t>
            </w:r>
          </w:p>
        </w:tc>
      </w:tr>
      <w:tr w:rsidR="00BF03AA" w:rsidRPr="00326E55" w14:paraId="3CA613D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7C29C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5C0858" w14:textId="7CB13CE6" w:rsidR="00BF03AA" w:rsidRPr="00326E55" w:rsidRDefault="00FB452D">
            <w:pPr>
              <w:pStyle w:val="P68B1DB1-Normal121"/>
              <w:spacing w:after="0" w:line="240" w:lineRule="auto"/>
              <w:rPr>
                <w:noProof/>
                <w:spacing w:val="-6"/>
                <w:lang w:val="sk-SK"/>
              </w:rPr>
            </w:pPr>
            <w:r w:rsidRPr="00326E55">
              <w:rPr>
                <w:noProof/>
                <w:spacing w:val="-6"/>
                <w:lang w:val="sk-SK"/>
              </w:rPr>
              <w:t>Investícia 2.2: Rozvoj technicko-profesijných, digitálnych</w:t>
            </w:r>
            <w:r w:rsidR="00326E55" w:rsidRPr="00326E55">
              <w:rPr>
                <w:noProof/>
                <w:spacing w:val="-6"/>
                <w:lang w:val="sk-SK"/>
              </w:rPr>
              <w:t xml:space="preserve"> a </w:t>
            </w:r>
            <w:r w:rsidRPr="00326E55">
              <w:rPr>
                <w:noProof/>
                <w:spacing w:val="-6"/>
                <w:lang w:val="sk-SK"/>
              </w:rPr>
              <w:t>manažérskych zručností odborníkov</w:t>
            </w:r>
            <w:r w:rsidR="00326E55" w:rsidRPr="00326E55">
              <w:rPr>
                <w:noProof/>
                <w:spacing w:val="-6"/>
                <w:lang w:val="sk-SK"/>
              </w:rPr>
              <w:t xml:space="preserve"> v </w:t>
            </w:r>
            <w:r w:rsidRPr="00326E55">
              <w:rPr>
                <w:noProof/>
                <w:spacing w:val="-6"/>
                <w:lang w:val="sk-SK"/>
              </w:rPr>
              <w:t>systéme zdravotnej starostlivosti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B8E94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D9B29D" w14:textId="0855DFF5" w:rsidR="00BF03AA" w:rsidRPr="00326E55" w:rsidRDefault="00FB452D">
            <w:pPr>
              <w:pStyle w:val="P68B1DB1-Normal121"/>
              <w:spacing w:after="0" w:line="240" w:lineRule="auto"/>
              <w:rPr>
                <w:noProof/>
                <w:spacing w:val="-6"/>
                <w:lang w:val="sk-SK"/>
              </w:rPr>
            </w:pPr>
            <w:r w:rsidRPr="00326E55">
              <w:rPr>
                <w:noProof/>
                <w:spacing w:val="-6"/>
                <w:lang w:val="sk-SK"/>
              </w:rPr>
              <w:t>Odborná príprava zdravotníckych pracovníkov</w:t>
            </w:r>
            <w:r w:rsidR="00326E55" w:rsidRPr="00326E55">
              <w:rPr>
                <w:noProof/>
                <w:spacing w:val="-6"/>
                <w:lang w:val="sk-SK"/>
              </w:rPr>
              <w:t xml:space="preserve"> v </w:t>
            </w:r>
            <w:r w:rsidRPr="00326E55">
              <w:rPr>
                <w:noProof/>
                <w:spacing w:val="-6"/>
                <w:lang w:val="sk-SK"/>
              </w:rPr>
              <w:t>oblasti manažérskych</w:t>
            </w:r>
            <w:r w:rsidR="00326E55" w:rsidRPr="00326E55">
              <w:rPr>
                <w:noProof/>
                <w:spacing w:val="-6"/>
                <w:lang w:val="sk-SK"/>
              </w:rPr>
              <w:t xml:space="preserve"> a </w:t>
            </w:r>
            <w:r w:rsidRPr="00326E55">
              <w:rPr>
                <w:noProof/>
                <w:spacing w:val="-6"/>
                <w:lang w:val="sk-SK"/>
              </w:rPr>
              <w:t>digitálnych zručností</w:t>
            </w:r>
          </w:p>
        </w:tc>
      </w:tr>
      <w:tr w:rsidR="00BF03AA" w:rsidRPr="00326E55" w14:paraId="21606D90"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54F59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5EF980" w14:textId="22038EB2" w:rsidR="00BF03AA" w:rsidRPr="00326E55" w:rsidRDefault="00FB452D">
            <w:pPr>
              <w:pStyle w:val="P68B1DB1-Normal121"/>
              <w:spacing w:after="0" w:line="240" w:lineRule="auto"/>
              <w:rPr>
                <w:noProof/>
                <w:spacing w:val="-6"/>
                <w:lang w:val="sk-SK"/>
              </w:rPr>
            </w:pPr>
            <w:r w:rsidRPr="00326E55">
              <w:rPr>
                <w:noProof/>
                <w:spacing w:val="-6"/>
                <w:lang w:val="sk-SK"/>
              </w:rPr>
              <w:t>Investícia 2.2: Rozvoj technicko-profesijných, digitálnych</w:t>
            </w:r>
            <w:r w:rsidR="00326E55" w:rsidRPr="00326E55">
              <w:rPr>
                <w:noProof/>
                <w:spacing w:val="-6"/>
                <w:lang w:val="sk-SK"/>
              </w:rPr>
              <w:t xml:space="preserve"> a </w:t>
            </w:r>
            <w:r w:rsidRPr="00326E55">
              <w:rPr>
                <w:noProof/>
                <w:spacing w:val="-6"/>
                <w:lang w:val="sk-SK"/>
              </w:rPr>
              <w:t>manažérskych zručností odborníkov</w:t>
            </w:r>
            <w:r w:rsidR="00326E55" w:rsidRPr="00326E55">
              <w:rPr>
                <w:noProof/>
                <w:spacing w:val="-6"/>
                <w:lang w:val="sk-SK"/>
              </w:rPr>
              <w:t xml:space="preserve"> v </w:t>
            </w:r>
            <w:r w:rsidRPr="00326E55">
              <w:rPr>
                <w:noProof/>
                <w:spacing w:val="-6"/>
                <w:lang w:val="sk-SK"/>
              </w:rPr>
              <w:t>systéme zdravotnej starostlivosti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E9674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B379D5" w14:textId="77777777" w:rsidR="00326E55" w:rsidRPr="00326E55" w:rsidRDefault="00FB452D">
            <w:pPr>
              <w:pStyle w:val="P68B1DB1-Normal121"/>
              <w:spacing w:after="0" w:line="240" w:lineRule="auto"/>
              <w:rPr>
                <w:noProof/>
                <w:spacing w:val="-6"/>
                <w:lang w:val="sk-SK"/>
              </w:rPr>
            </w:pPr>
            <w:r w:rsidRPr="00326E55">
              <w:rPr>
                <w:noProof/>
                <w:spacing w:val="-6"/>
                <w:lang w:val="sk-SK"/>
              </w:rPr>
              <w:t>Udeľovanie zdravotnej starostlivosti</w:t>
            </w:r>
          </w:p>
          <w:p w14:paraId="2DE0BA86" w14:textId="448E2879" w:rsidR="00BF03AA" w:rsidRPr="00326E55" w:rsidRDefault="00FB452D">
            <w:pPr>
              <w:pStyle w:val="P68B1DB1-Normal121"/>
              <w:spacing w:after="0" w:line="240" w:lineRule="auto"/>
              <w:rPr>
                <w:noProof/>
                <w:spacing w:val="-6"/>
                <w:lang w:val="sk-SK"/>
              </w:rPr>
            </w:pPr>
            <w:r w:rsidRPr="00326E55">
              <w:rPr>
                <w:noProof/>
                <w:spacing w:val="-6"/>
                <w:lang w:val="sk-SK"/>
              </w:rPr>
              <w:t>zmluvy</w:t>
            </w:r>
            <w:r w:rsidR="00326E55" w:rsidRPr="00326E55">
              <w:rPr>
                <w:noProof/>
                <w:spacing w:val="-6"/>
                <w:lang w:val="sk-SK"/>
              </w:rPr>
              <w:t xml:space="preserve"> o </w:t>
            </w:r>
            <w:r w:rsidRPr="00326E55">
              <w:rPr>
                <w:noProof/>
                <w:spacing w:val="-6"/>
                <w:lang w:val="sk-SK"/>
              </w:rPr>
              <w:t>odbornej príprave pre špecialistov</w:t>
            </w:r>
          </w:p>
        </w:tc>
      </w:tr>
      <w:tr w:rsidR="00BF03AA" w:rsidRPr="00326E55" w14:paraId="346A7CC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5800B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1FFFF6" w14:textId="1B59C58C"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1.4.3 </w:t>
            </w:r>
            <w:r w:rsidRPr="00326E55">
              <w:rPr>
                <w:noProof/>
                <w:spacing w:val="-6"/>
                <w:lang w:val="sk-SK"/>
              </w:rPr>
              <w:t>– Prijatie rozšírenia platformových služieb PagoPA</w:t>
            </w:r>
            <w:r w:rsidR="00326E55" w:rsidRPr="00326E55">
              <w:rPr>
                <w:noProof/>
                <w:spacing w:val="-6"/>
                <w:lang w:val="sk-SK"/>
              </w:rPr>
              <w:t xml:space="preserve"> a </w:t>
            </w:r>
            <w:r w:rsidRPr="00326E55">
              <w:rPr>
                <w:noProof/>
                <w:spacing w:val="-6"/>
                <w:lang w:val="sk-SK"/>
              </w:rPr>
              <w:t>aplikácie „IO“</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AB62E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FDE5EC" w14:textId="77777777" w:rsidR="00BF03AA" w:rsidRPr="00326E55" w:rsidRDefault="00FB452D">
            <w:pPr>
              <w:pStyle w:val="P68B1DB1-Normal121"/>
              <w:spacing w:after="0" w:line="240" w:lineRule="auto"/>
              <w:rPr>
                <w:noProof/>
                <w:spacing w:val="-6"/>
                <w:lang w:val="sk-SK"/>
              </w:rPr>
            </w:pPr>
            <w:r w:rsidRPr="00326E55">
              <w:rPr>
                <w:noProof/>
                <w:spacing w:val="-6"/>
                <w:lang w:val="sk-SK"/>
              </w:rPr>
              <w:t>Rozšírenie využívania platformových služieb PagoPA T2</w:t>
            </w:r>
          </w:p>
        </w:tc>
      </w:tr>
      <w:tr w:rsidR="00BF03AA" w:rsidRPr="00326E55" w14:paraId="5210215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42BE3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150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88BDA4" w14:textId="3594642F" w:rsidR="00BF03AA" w:rsidRPr="00326E55" w:rsidRDefault="00FB452D">
            <w:pPr>
              <w:pStyle w:val="P68B1DB1-Normal121"/>
              <w:spacing w:after="0" w:line="240" w:lineRule="auto"/>
              <w:rPr>
                <w:noProof/>
                <w:spacing w:val="-6"/>
                <w:lang w:val="sk-SK"/>
              </w:rPr>
            </w:pPr>
            <w:r w:rsidRPr="00326E55">
              <w:rPr>
                <w:noProof/>
                <w:spacing w:val="-6"/>
                <w:lang w:val="sk-SK"/>
              </w:rPr>
              <w:t>Investícia 1.4.3 – Prijatie rozšírenia platformových služieb PagoPA</w:t>
            </w:r>
            <w:r w:rsidR="00326E55" w:rsidRPr="00326E55">
              <w:rPr>
                <w:noProof/>
                <w:spacing w:val="-6"/>
                <w:lang w:val="sk-SK"/>
              </w:rPr>
              <w:t xml:space="preserve"> a </w:t>
            </w:r>
            <w:r w:rsidRPr="00326E55">
              <w:rPr>
                <w:noProof/>
                <w:spacing w:val="-6"/>
                <w:lang w:val="sk-SK"/>
              </w:rPr>
              <w:t>aplikácie „IO“</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E01F1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16498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Rozšírenie adopcie </w:t>
            </w:r>
            <w:r w:rsidRPr="00326E55">
              <w:rPr>
                <w:noProof/>
                <w:spacing w:val="-6"/>
                <w:lang w:val="sk-SK"/>
              </w:rPr>
              <w:t>aplikácie T2</w:t>
            </w:r>
          </w:p>
        </w:tc>
      </w:tr>
      <w:tr w:rsidR="00BF03AA" w:rsidRPr="00326E55" w14:paraId="16A3EA1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DC5A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152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9A13A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1.6.1 – Digitalizácia ministerstva vnútra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03B9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2BE95A" w14:textId="20B4F963" w:rsidR="00BF03AA" w:rsidRPr="00326E55" w:rsidRDefault="00FB452D">
            <w:pPr>
              <w:pStyle w:val="P68B1DB1-Normal121"/>
              <w:spacing w:after="0" w:line="240" w:lineRule="auto"/>
              <w:rPr>
                <w:noProof/>
                <w:spacing w:val="-6"/>
                <w:lang w:val="sk-SK"/>
              </w:rPr>
            </w:pPr>
            <w:r w:rsidRPr="00326E55">
              <w:rPr>
                <w:noProof/>
                <w:spacing w:val="-6"/>
                <w:lang w:val="sk-SK"/>
              </w:rPr>
              <w:t>Ministerstvo vnútra – Rekonštruované</w:t>
            </w:r>
            <w:r w:rsidR="00326E55" w:rsidRPr="00326E55">
              <w:rPr>
                <w:noProof/>
                <w:spacing w:val="-6"/>
                <w:lang w:val="sk-SK"/>
              </w:rPr>
              <w:t xml:space="preserve"> a </w:t>
            </w:r>
            <w:r w:rsidRPr="00326E55">
              <w:rPr>
                <w:noProof/>
                <w:spacing w:val="-6"/>
                <w:lang w:val="sk-SK"/>
              </w:rPr>
              <w:t>digitalizované procesy T2</w:t>
            </w:r>
          </w:p>
        </w:tc>
      </w:tr>
      <w:tr w:rsidR="00BF03AA" w:rsidRPr="00326E55" w14:paraId="1AEF89A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57C6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154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9CFE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1.6.2 – Digitalizácia ministerstva spravodlivosti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5A2E0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A4C39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Vedomostné systémy justičného </w:t>
            </w:r>
            <w:r w:rsidRPr="00326E55">
              <w:rPr>
                <w:noProof/>
                <w:spacing w:val="-6"/>
                <w:lang w:val="sk-SK"/>
              </w:rPr>
              <w:t>dátového jazera T2</w:t>
            </w:r>
          </w:p>
        </w:tc>
      </w:tr>
      <w:tr w:rsidR="00BF03AA" w:rsidRPr="00326E55" w14:paraId="4FBD5E7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B61BDD" w14:textId="1F17DA47" w:rsidR="00BF03AA" w:rsidRPr="00326E55" w:rsidRDefault="00FB452D">
            <w:pPr>
              <w:pStyle w:val="P68B1DB1-Normal121"/>
              <w:spacing w:after="0" w:line="240" w:lineRule="auto"/>
              <w:jc w:val="center"/>
              <w:rPr>
                <w:noProof/>
                <w:spacing w:val="-6"/>
                <w:lang w:val="sk-SK"/>
              </w:rPr>
            </w:pPr>
            <w:r w:rsidRPr="00326E55">
              <w:rPr>
                <w:noProof/>
                <w:spacing w:val="-6"/>
                <w:lang w:val="sk-SK"/>
              </w:rPr>
              <w:t>M7 – 50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57D2A9" w14:textId="20A24A33" w:rsidR="00BF03AA" w:rsidRPr="00326E55" w:rsidRDefault="00FB452D">
            <w:pPr>
              <w:pStyle w:val="P68B1DB1-Normal121"/>
              <w:spacing w:after="0" w:line="240" w:lineRule="auto"/>
              <w:rPr>
                <w:noProof/>
                <w:spacing w:val="-6"/>
                <w:lang w:val="sk-SK"/>
              </w:rPr>
            </w:pPr>
            <w:r w:rsidRPr="00326E55">
              <w:rPr>
                <w:noProof/>
                <w:spacing w:val="-6"/>
                <w:lang w:val="sk-SK"/>
              </w:rPr>
              <w:t>Investícia 18 – Rozširujúce opatrenie: Program obnovy vozového parku súkromných</w:t>
            </w:r>
            <w:r w:rsidR="00326E55" w:rsidRPr="00326E55">
              <w:rPr>
                <w:noProof/>
                <w:spacing w:val="-6"/>
                <w:lang w:val="sk-SK"/>
              </w:rPr>
              <w:t xml:space="preserve"> a </w:t>
            </w:r>
            <w:r w:rsidRPr="00326E55">
              <w:rPr>
                <w:noProof/>
                <w:spacing w:val="-6"/>
                <w:lang w:val="sk-SK"/>
              </w:rPr>
              <w:t>ľahkých úžitkových vozidiel</w:t>
            </w:r>
            <w:r w:rsidR="00326E55" w:rsidRPr="00326E55">
              <w:rPr>
                <w:noProof/>
                <w:spacing w:val="-6"/>
                <w:lang w:val="sk-SK"/>
              </w:rPr>
              <w:t xml:space="preserve"> s </w:t>
            </w:r>
            <w:r w:rsidRPr="00326E55">
              <w:rPr>
                <w:noProof/>
                <w:spacing w:val="-6"/>
                <w:lang w:val="sk-SK"/>
              </w:rPr>
              <w:t>elektrickými vozidlami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399461" w14:textId="17F68D69"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FE3829" w14:textId="689BADB7" w:rsidR="00BF03AA" w:rsidRPr="00326E55" w:rsidRDefault="00FB452D">
            <w:pPr>
              <w:pStyle w:val="P68B1DB1-Normal121"/>
              <w:spacing w:after="0" w:line="240" w:lineRule="auto"/>
              <w:rPr>
                <w:noProof/>
                <w:spacing w:val="-6"/>
                <w:lang w:val="sk-SK"/>
              </w:rPr>
            </w:pPr>
            <w:r w:rsidRPr="00326E55">
              <w:rPr>
                <w:noProof/>
                <w:spacing w:val="-6"/>
                <w:lang w:val="sk-SK"/>
              </w:rPr>
              <w:t>Počet zakúpených vozidiel</w:t>
            </w:r>
          </w:p>
        </w:tc>
      </w:tr>
      <w:tr w:rsidR="00BF03AA" w:rsidRPr="00326E55" w14:paraId="568AE87D"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8004A2"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3EB39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7B66C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2243AB"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12799902997 EUR</w:t>
            </w:r>
            <w:r w:rsidRPr="00326E55">
              <w:rPr>
                <w:noProof/>
                <w:spacing w:val="-6"/>
                <w:sz w:val="23"/>
                <w:szCs w:val="23"/>
                <w:lang w:val="sk-SK"/>
              </w:rPr>
              <w:t xml:space="preserve">  </w:t>
            </w:r>
          </w:p>
        </w:tc>
      </w:tr>
    </w:tbl>
    <w:p w14:paraId="2C55ABFC" w14:textId="77777777" w:rsidR="00326E55" w:rsidRPr="00326E55" w:rsidRDefault="00326E55">
      <w:pPr>
        <w:pStyle w:val="P68B1DB1-Normal8"/>
        <w:spacing w:before="120" w:after="120" w:line="240" w:lineRule="auto"/>
        <w:jc w:val="both"/>
        <w:rPr>
          <w:noProof/>
          <w:spacing w:val="-6"/>
          <w:lang w:val="sk-SK"/>
        </w:rPr>
      </w:pPr>
    </w:p>
    <w:p w14:paraId="3D02FD90" w14:textId="77777777" w:rsidR="00BF03AA" w:rsidRPr="00326E55" w:rsidRDefault="00FB452D">
      <w:pPr>
        <w:pStyle w:val="P68B1DB1-Normal8"/>
        <w:rPr>
          <w:noProof/>
          <w:spacing w:val="-6"/>
          <w:lang w:val="sk-SK"/>
        </w:rPr>
      </w:pPr>
      <w:r w:rsidRPr="00326E55">
        <w:rPr>
          <w:noProof/>
          <w:spacing w:val="-6"/>
          <w:lang w:val="sk-SK"/>
        </w:rPr>
        <w:br w:type="page"/>
      </w:r>
    </w:p>
    <w:p w14:paraId="36C649F7" w14:textId="77777777" w:rsidR="00BF03AA" w:rsidRPr="00326E55" w:rsidRDefault="00FB452D">
      <w:pPr>
        <w:pStyle w:val="P68B1DB1-Heading3118"/>
        <w:numPr>
          <w:ilvl w:val="0"/>
          <w:numId w:val="179"/>
        </w:numPr>
        <w:tabs>
          <w:tab w:val="clear" w:pos="850"/>
          <w:tab w:val="num" w:pos="720"/>
        </w:tabs>
        <w:ind w:left="720" w:hanging="360"/>
        <w:rPr>
          <w:bCs/>
          <w:noProof/>
          <w:spacing w:val="-6"/>
          <w:lang w:val="sk-SK"/>
        </w:rPr>
      </w:pPr>
      <w:r w:rsidRPr="00326E55">
        <w:rPr>
          <w:noProof/>
          <w:spacing w:val="-6"/>
          <w:lang w:val="sk-SK"/>
        </w:rPr>
        <w:t>Úverová podpora</w:t>
      </w:r>
    </w:p>
    <w:p w14:paraId="70105B99" w14:textId="6FA2ECF9" w:rsidR="00BF03AA" w:rsidRPr="00326E55" w:rsidRDefault="00FB452D">
      <w:pPr>
        <w:pStyle w:val="P68B1DB1-Normal8"/>
        <w:spacing w:before="120" w:after="120" w:line="240" w:lineRule="auto"/>
        <w:jc w:val="both"/>
        <w:rPr>
          <w:noProof/>
          <w:spacing w:val="-6"/>
          <w:lang w:val="sk-SK"/>
        </w:rPr>
      </w:pPr>
      <w:r w:rsidRPr="00326E55">
        <w:rPr>
          <w:noProof/>
          <w:spacing w:val="-6"/>
          <w:lang w:val="sk-SK"/>
        </w:rPr>
        <w:t>Splátky uvedené</w:t>
      </w:r>
      <w:r w:rsidR="00326E55" w:rsidRPr="00326E55">
        <w:rPr>
          <w:noProof/>
          <w:spacing w:val="-6"/>
          <w:lang w:val="sk-SK"/>
        </w:rPr>
        <w:t xml:space="preserve"> v </w:t>
      </w:r>
      <w:r w:rsidRPr="00326E55">
        <w:rPr>
          <w:noProof/>
          <w:spacing w:val="-6"/>
          <w:lang w:val="sk-SK"/>
        </w:rPr>
        <w:t>článku 3 ods. 2 sú štruktúrované takto:</w:t>
      </w:r>
    </w:p>
    <w:p w14:paraId="3E96F8BD"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Prvá splátka (úverová podpora):</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418"/>
        <w:gridCol w:w="2963"/>
      </w:tblGrid>
      <w:tr w:rsidR="00BF03AA" w:rsidRPr="00326E55" w14:paraId="4B745182" w14:textId="77777777">
        <w:trPr>
          <w:trHeight w:val="900"/>
          <w:tblHeader/>
        </w:trPr>
        <w:tc>
          <w:tcPr>
            <w:tcW w:w="1435" w:type="dxa"/>
            <w:vMerge w:val="restart"/>
            <w:shd w:val="clear" w:color="auto" w:fill="BDD7EE"/>
            <w:tcMar>
              <w:left w:w="108" w:type="dxa"/>
              <w:right w:w="108" w:type="dxa"/>
            </w:tcMar>
            <w:vAlign w:val="center"/>
          </w:tcPr>
          <w:p w14:paraId="40D143C0"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543" w:type="dxa"/>
            <w:vMerge w:val="restart"/>
            <w:shd w:val="clear" w:color="auto" w:fill="BDD7EE"/>
            <w:tcMar>
              <w:left w:w="108" w:type="dxa"/>
              <w:right w:w="108" w:type="dxa"/>
            </w:tcMar>
            <w:vAlign w:val="center"/>
          </w:tcPr>
          <w:p w14:paraId="3720F577"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418" w:type="dxa"/>
            <w:vMerge w:val="restart"/>
            <w:shd w:val="clear" w:color="auto" w:fill="BDD7EE"/>
            <w:tcMar>
              <w:left w:w="108" w:type="dxa"/>
              <w:right w:w="108" w:type="dxa"/>
            </w:tcMar>
            <w:vAlign w:val="center"/>
          </w:tcPr>
          <w:p w14:paraId="0675B279"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2963" w:type="dxa"/>
            <w:vMerge w:val="restart"/>
            <w:shd w:val="clear" w:color="auto" w:fill="BDD7EE"/>
            <w:tcMar>
              <w:left w:w="108" w:type="dxa"/>
              <w:right w:w="108" w:type="dxa"/>
            </w:tcMar>
            <w:vAlign w:val="center"/>
          </w:tcPr>
          <w:p w14:paraId="6C4C7012"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0683A1F2" w14:textId="77777777">
        <w:trPr>
          <w:trHeight w:val="510"/>
        </w:trPr>
        <w:tc>
          <w:tcPr>
            <w:tcW w:w="1435" w:type="dxa"/>
            <w:vMerge/>
            <w:vAlign w:val="center"/>
          </w:tcPr>
          <w:p w14:paraId="4867C284"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vMerge/>
            <w:vAlign w:val="center"/>
          </w:tcPr>
          <w:p w14:paraId="4F9E1712"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418" w:type="dxa"/>
            <w:vMerge/>
            <w:vAlign w:val="center"/>
          </w:tcPr>
          <w:p w14:paraId="7EE7F490"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963" w:type="dxa"/>
            <w:vMerge/>
            <w:vAlign w:val="center"/>
          </w:tcPr>
          <w:p w14:paraId="239E2F27"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BE2F7F1" w14:textId="77777777">
        <w:trPr>
          <w:trHeight w:val="300"/>
        </w:trPr>
        <w:tc>
          <w:tcPr>
            <w:tcW w:w="1435" w:type="dxa"/>
            <w:shd w:val="clear" w:color="auto" w:fill="C6EFCE"/>
            <w:tcMar>
              <w:left w:w="108" w:type="dxa"/>
              <w:right w:w="108" w:type="dxa"/>
            </w:tcMar>
            <w:vAlign w:val="center"/>
          </w:tcPr>
          <w:p w14:paraId="02E86BE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10</w:t>
            </w:r>
          </w:p>
        </w:tc>
        <w:tc>
          <w:tcPr>
            <w:tcW w:w="3543" w:type="dxa"/>
            <w:shd w:val="clear" w:color="auto" w:fill="C6EFCE"/>
            <w:tcMar>
              <w:left w:w="108" w:type="dxa"/>
              <w:right w:w="108" w:type="dxa"/>
            </w:tcMar>
            <w:vAlign w:val="center"/>
          </w:tcPr>
          <w:p w14:paraId="2981209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2.1: DÔLEŽITÝ PROJEKT SPOLOČNÉHO EURÓPSKEHO ZÁUJMU</w:t>
            </w:r>
          </w:p>
        </w:tc>
        <w:tc>
          <w:tcPr>
            <w:tcW w:w="1418" w:type="dxa"/>
            <w:shd w:val="clear" w:color="auto" w:fill="C6EFCE"/>
            <w:tcMar>
              <w:left w:w="108" w:type="dxa"/>
              <w:right w:w="108" w:type="dxa"/>
            </w:tcMar>
            <w:vAlign w:val="center"/>
          </w:tcPr>
          <w:p w14:paraId="59CD05B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296251A5" w14:textId="77777777" w:rsidR="00BF03AA" w:rsidRPr="00326E55" w:rsidRDefault="00FB452D">
            <w:pPr>
              <w:pStyle w:val="P68B1DB1-Normal121"/>
              <w:spacing w:after="0" w:line="240" w:lineRule="auto"/>
              <w:rPr>
                <w:noProof/>
                <w:spacing w:val="-6"/>
                <w:lang w:val="sk-SK"/>
              </w:rPr>
            </w:pPr>
            <w:r w:rsidRPr="00326E55">
              <w:rPr>
                <w:noProof/>
                <w:spacing w:val="-6"/>
                <w:lang w:val="sk-SK"/>
              </w:rPr>
              <w:t>Vyhlásenie výzvy na vyjadrenie záujmu na identifikáciu vnútroštátnych projektov vrátane projektov týkajúcich sa dôležitého projektu spoločného európskeho záujmu (IPCEI – mikroelektronika)</w:t>
            </w:r>
          </w:p>
        </w:tc>
      </w:tr>
      <w:tr w:rsidR="00BF03AA" w:rsidRPr="00326E55" w14:paraId="73E3B733" w14:textId="77777777">
        <w:trPr>
          <w:trHeight w:val="300"/>
        </w:trPr>
        <w:tc>
          <w:tcPr>
            <w:tcW w:w="1435" w:type="dxa"/>
            <w:shd w:val="clear" w:color="auto" w:fill="C6EFCE"/>
            <w:tcMar>
              <w:left w:w="108" w:type="dxa"/>
              <w:right w:w="108" w:type="dxa"/>
            </w:tcMar>
            <w:vAlign w:val="center"/>
          </w:tcPr>
          <w:p w14:paraId="0D4E999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26</w:t>
            </w:r>
          </w:p>
        </w:tc>
        <w:tc>
          <w:tcPr>
            <w:tcW w:w="3543" w:type="dxa"/>
            <w:shd w:val="clear" w:color="auto" w:fill="C6EFCE"/>
            <w:tcMar>
              <w:left w:w="108" w:type="dxa"/>
              <w:right w:w="108" w:type="dxa"/>
            </w:tcMar>
            <w:vAlign w:val="center"/>
          </w:tcPr>
          <w:p w14:paraId="1B6702CF" w14:textId="20AB1AB4" w:rsidR="00BF03AA" w:rsidRPr="00326E55" w:rsidRDefault="00FB452D">
            <w:pPr>
              <w:pStyle w:val="P68B1DB1-Normal121"/>
              <w:spacing w:after="0" w:line="240" w:lineRule="auto"/>
              <w:rPr>
                <w:noProof/>
                <w:spacing w:val="-6"/>
                <w:lang w:val="sk-SK"/>
              </w:rPr>
            </w:pPr>
            <w:r w:rsidRPr="00326E55">
              <w:rPr>
                <w:noProof/>
                <w:spacing w:val="-6"/>
                <w:lang w:val="sk-SK"/>
              </w:rPr>
              <w:t>Investícia 5.1: Refinancovanie</w:t>
            </w:r>
            <w:r w:rsidR="00326E55" w:rsidRPr="00326E55">
              <w:rPr>
                <w:noProof/>
                <w:spacing w:val="-6"/>
                <w:lang w:val="sk-SK"/>
              </w:rPr>
              <w:t xml:space="preserve"> a </w:t>
            </w:r>
            <w:r w:rsidRPr="00326E55">
              <w:rPr>
                <w:noProof/>
                <w:spacing w:val="-6"/>
                <w:lang w:val="sk-SK"/>
              </w:rPr>
              <w:t xml:space="preserve">reorganizácia fondu </w:t>
            </w:r>
            <w:r w:rsidRPr="00326E55">
              <w:rPr>
                <w:noProof/>
                <w:spacing w:val="-6"/>
                <w:lang w:val="sk-SK"/>
              </w:rPr>
              <w:t>394/81 spravovaného spoločnosťou SIMEST</w:t>
            </w:r>
          </w:p>
        </w:tc>
        <w:tc>
          <w:tcPr>
            <w:tcW w:w="1418" w:type="dxa"/>
            <w:shd w:val="clear" w:color="auto" w:fill="C6EFCE"/>
            <w:tcMar>
              <w:left w:w="108" w:type="dxa"/>
              <w:right w:w="108" w:type="dxa"/>
            </w:tcMar>
            <w:vAlign w:val="center"/>
          </w:tcPr>
          <w:p w14:paraId="59E3879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08D52471" w14:textId="3E85CFD5"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refinancovania fondu 394/81</w:t>
            </w:r>
            <w:r w:rsidR="00326E55" w:rsidRPr="00326E55">
              <w:rPr>
                <w:noProof/>
                <w:spacing w:val="-6"/>
                <w:lang w:val="sk-SK"/>
              </w:rPr>
              <w:t xml:space="preserve"> a </w:t>
            </w:r>
            <w:r w:rsidRPr="00326E55">
              <w:rPr>
                <w:noProof/>
                <w:spacing w:val="-6"/>
                <w:lang w:val="sk-SK"/>
              </w:rPr>
              <w:t>prijatie investičnej politiky</w:t>
            </w:r>
          </w:p>
        </w:tc>
      </w:tr>
      <w:tr w:rsidR="00BF03AA" w:rsidRPr="00326E55" w14:paraId="4A5036A4" w14:textId="77777777">
        <w:trPr>
          <w:trHeight w:val="300"/>
        </w:trPr>
        <w:tc>
          <w:tcPr>
            <w:tcW w:w="1435" w:type="dxa"/>
            <w:shd w:val="clear" w:color="auto" w:fill="C6EFCE"/>
            <w:tcMar>
              <w:left w:w="108" w:type="dxa"/>
              <w:right w:w="108" w:type="dxa"/>
            </w:tcMar>
            <w:vAlign w:val="center"/>
          </w:tcPr>
          <w:p w14:paraId="01F8098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14</w:t>
            </w:r>
          </w:p>
        </w:tc>
        <w:tc>
          <w:tcPr>
            <w:tcW w:w="3543" w:type="dxa"/>
            <w:shd w:val="clear" w:color="auto" w:fill="C6EFCE"/>
            <w:tcMar>
              <w:left w:w="108" w:type="dxa"/>
              <w:right w:w="108" w:type="dxa"/>
            </w:tcMar>
            <w:vAlign w:val="center"/>
          </w:tcPr>
          <w:p w14:paraId="239340F6" w14:textId="71AD0BAF" w:rsidR="00BF03AA" w:rsidRPr="00326E55" w:rsidRDefault="00FB452D">
            <w:pPr>
              <w:pStyle w:val="P68B1DB1-Normal121"/>
              <w:spacing w:after="0" w:line="240" w:lineRule="auto"/>
              <w:rPr>
                <w:noProof/>
                <w:spacing w:val="-6"/>
                <w:lang w:val="sk-SK"/>
              </w:rPr>
            </w:pPr>
            <w:r w:rsidRPr="00326E55">
              <w:rPr>
                <w:noProof/>
                <w:spacing w:val="-6"/>
                <w:lang w:val="sk-SK"/>
              </w:rPr>
              <w:t>Investícia 1.1 – Realizácia nových zariadení na nakladanie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modernizácia existujúcich zariadení; Investí</w:t>
            </w:r>
            <w:r w:rsidRPr="00326E55">
              <w:rPr>
                <w:noProof/>
                <w:spacing w:val="-6"/>
                <w:lang w:val="sk-SK"/>
              </w:rPr>
              <w:t>cia 1.2 – Hlavné projekty obehového hospodárstva</w:t>
            </w:r>
          </w:p>
        </w:tc>
        <w:tc>
          <w:tcPr>
            <w:tcW w:w="1418" w:type="dxa"/>
            <w:shd w:val="clear" w:color="auto" w:fill="C6EFCE"/>
            <w:tcMar>
              <w:left w:w="108" w:type="dxa"/>
              <w:right w:w="108" w:type="dxa"/>
            </w:tcMar>
            <w:vAlign w:val="center"/>
          </w:tcPr>
          <w:p w14:paraId="632FF5E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41FAB721"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ministerskej vyhlášky.</w:t>
            </w:r>
          </w:p>
        </w:tc>
      </w:tr>
      <w:tr w:rsidR="00BF03AA" w:rsidRPr="00326E55" w14:paraId="02F33BC8" w14:textId="77777777">
        <w:trPr>
          <w:trHeight w:val="300"/>
        </w:trPr>
        <w:tc>
          <w:tcPr>
            <w:tcW w:w="1435" w:type="dxa"/>
            <w:shd w:val="clear" w:color="auto" w:fill="C6EFCE"/>
            <w:tcMar>
              <w:left w:w="108" w:type="dxa"/>
              <w:right w:w="108" w:type="dxa"/>
            </w:tcMar>
            <w:vAlign w:val="center"/>
          </w:tcPr>
          <w:p w14:paraId="024D20A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8</w:t>
            </w:r>
          </w:p>
        </w:tc>
        <w:tc>
          <w:tcPr>
            <w:tcW w:w="3543" w:type="dxa"/>
            <w:shd w:val="clear" w:color="auto" w:fill="C6EFCE"/>
            <w:tcMar>
              <w:left w:w="108" w:type="dxa"/>
              <w:right w:w="108" w:type="dxa"/>
            </w:tcMar>
            <w:vAlign w:val="center"/>
          </w:tcPr>
          <w:p w14:paraId="63E954F1" w14:textId="0E6BFF10" w:rsidR="00BF03AA" w:rsidRPr="00326E55" w:rsidRDefault="00FB452D">
            <w:pPr>
              <w:pStyle w:val="P68B1DB1-Normal121"/>
              <w:spacing w:after="0" w:line="240" w:lineRule="auto"/>
              <w:rPr>
                <w:noProof/>
                <w:spacing w:val="-6"/>
                <w:lang w:val="sk-SK"/>
              </w:rPr>
            </w:pPr>
            <w:r w:rsidRPr="00326E55">
              <w:rPr>
                <w:noProof/>
                <w:spacing w:val="-6"/>
                <w:lang w:val="sk-SK"/>
              </w:rPr>
              <w:t>Investícia 1.1. Zavedenie pokročilého</w:t>
            </w:r>
            <w:r w:rsidR="00326E55" w:rsidRPr="00326E55">
              <w:rPr>
                <w:noProof/>
                <w:spacing w:val="-6"/>
                <w:lang w:val="sk-SK"/>
              </w:rPr>
              <w:t xml:space="preserve"> a </w:t>
            </w:r>
            <w:r w:rsidRPr="00326E55">
              <w:rPr>
                <w:noProof/>
                <w:spacing w:val="-6"/>
                <w:lang w:val="sk-SK"/>
              </w:rPr>
              <w:t>integrovaného systému monitorovania</w:t>
            </w:r>
            <w:r w:rsidR="00326E55" w:rsidRPr="00326E55">
              <w:rPr>
                <w:noProof/>
                <w:spacing w:val="-6"/>
                <w:lang w:val="sk-SK"/>
              </w:rPr>
              <w:t xml:space="preserve"> a </w:t>
            </w:r>
            <w:r w:rsidRPr="00326E55">
              <w:rPr>
                <w:noProof/>
                <w:spacing w:val="-6"/>
                <w:lang w:val="sk-SK"/>
              </w:rPr>
              <w:t>prognózovania</w:t>
            </w:r>
          </w:p>
        </w:tc>
        <w:tc>
          <w:tcPr>
            <w:tcW w:w="1418" w:type="dxa"/>
            <w:shd w:val="clear" w:color="auto" w:fill="C6EFCE"/>
            <w:tcMar>
              <w:left w:w="108" w:type="dxa"/>
              <w:right w:w="108" w:type="dxa"/>
            </w:tcMar>
            <w:vAlign w:val="center"/>
          </w:tcPr>
          <w:p w14:paraId="096C91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2527CD14" w14:textId="68E8170E" w:rsidR="00BF03AA" w:rsidRPr="00326E55" w:rsidRDefault="00FB452D">
            <w:pPr>
              <w:pStyle w:val="P68B1DB1-Normal121"/>
              <w:spacing w:after="0" w:line="240" w:lineRule="auto"/>
              <w:rPr>
                <w:noProof/>
                <w:spacing w:val="-6"/>
                <w:lang w:val="sk-SK"/>
              </w:rPr>
            </w:pPr>
            <w:r w:rsidRPr="00326E55">
              <w:rPr>
                <w:noProof/>
                <w:spacing w:val="-6"/>
                <w:lang w:val="sk-SK"/>
              </w:rPr>
              <w:t>Operačný plán pokročilého</w:t>
            </w:r>
            <w:r w:rsidR="00326E55" w:rsidRPr="00326E55">
              <w:rPr>
                <w:noProof/>
                <w:spacing w:val="-6"/>
                <w:lang w:val="sk-SK"/>
              </w:rPr>
              <w:t xml:space="preserve"> a </w:t>
            </w:r>
            <w:r w:rsidRPr="00326E55">
              <w:rPr>
                <w:noProof/>
                <w:spacing w:val="-6"/>
                <w:lang w:val="sk-SK"/>
              </w:rPr>
              <w:t xml:space="preserve">integrovaného </w:t>
            </w:r>
            <w:r w:rsidRPr="00326E55">
              <w:rPr>
                <w:noProof/>
                <w:spacing w:val="-6"/>
                <w:lang w:val="sk-SK"/>
              </w:rPr>
              <w:t>monitorovacieho</w:t>
            </w:r>
            <w:r w:rsidR="00326E55" w:rsidRPr="00326E55">
              <w:rPr>
                <w:noProof/>
                <w:spacing w:val="-6"/>
                <w:lang w:val="sk-SK"/>
              </w:rPr>
              <w:t xml:space="preserve"> a </w:t>
            </w:r>
            <w:r w:rsidRPr="00326E55">
              <w:rPr>
                <w:noProof/>
                <w:spacing w:val="-6"/>
                <w:lang w:val="sk-SK"/>
              </w:rPr>
              <w:t xml:space="preserve">prognostického systému na identifikáciu hydrologických rizík </w:t>
            </w:r>
          </w:p>
        </w:tc>
      </w:tr>
      <w:tr w:rsidR="00BF03AA" w:rsidRPr="00326E55" w14:paraId="69ABE650" w14:textId="77777777">
        <w:trPr>
          <w:trHeight w:val="300"/>
        </w:trPr>
        <w:tc>
          <w:tcPr>
            <w:tcW w:w="1435" w:type="dxa"/>
            <w:shd w:val="clear" w:color="auto" w:fill="C6EFCE"/>
            <w:tcMar>
              <w:left w:w="108" w:type="dxa"/>
              <w:right w:w="108" w:type="dxa"/>
            </w:tcMar>
            <w:vAlign w:val="center"/>
          </w:tcPr>
          <w:p w14:paraId="48490E0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17</w:t>
            </w:r>
          </w:p>
        </w:tc>
        <w:tc>
          <w:tcPr>
            <w:tcW w:w="3543" w:type="dxa"/>
            <w:shd w:val="clear" w:color="auto" w:fill="C6EFCE"/>
            <w:tcMar>
              <w:left w:w="108" w:type="dxa"/>
              <w:right w:w="108" w:type="dxa"/>
            </w:tcMar>
            <w:vAlign w:val="center"/>
          </w:tcPr>
          <w:p w14:paraId="35ABAFA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 Zakladanie podnikov žien</w:t>
            </w:r>
          </w:p>
        </w:tc>
        <w:tc>
          <w:tcPr>
            <w:tcW w:w="1418" w:type="dxa"/>
            <w:shd w:val="clear" w:color="auto" w:fill="C6EFCE"/>
            <w:tcMar>
              <w:left w:w="108" w:type="dxa"/>
              <w:right w:w="108" w:type="dxa"/>
            </w:tcMar>
            <w:vAlign w:val="center"/>
          </w:tcPr>
          <w:p w14:paraId="167EA8B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141AF814" w14:textId="77777777" w:rsidR="00BF03AA" w:rsidRPr="00326E55" w:rsidRDefault="00FB452D">
            <w:pPr>
              <w:pStyle w:val="P68B1DB1-Normal121"/>
              <w:spacing w:after="0" w:line="240" w:lineRule="auto"/>
              <w:rPr>
                <w:noProof/>
                <w:spacing w:val="-6"/>
                <w:lang w:val="sk-SK"/>
              </w:rPr>
            </w:pPr>
            <w:r w:rsidRPr="00326E55">
              <w:rPr>
                <w:noProof/>
                <w:spacing w:val="-6"/>
                <w:lang w:val="sk-SK"/>
              </w:rPr>
              <w:t>Bol prijatý fond na podporu podnikania žien</w:t>
            </w:r>
          </w:p>
        </w:tc>
      </w:tr>
      <w:tr w:rsidR="00BF03AA" w:rsidRPr="00326E55" w14:paraId="7BE0D4C4" w14:textId="77777777">
        <w:trPr>
          <w:trHeight w:val="300"/>
        </w:trPr>
        <w:tc>
          <w:tcPr>
            <w:tcW w:w="1435" w:type="dxa"/>
            <w:shd w:val="clear" w:color="auto" w:fill="C6EFCE"/>
            <w:tcMar>
              <w:left w:w="108" w:type="dxa"/>
              <w:right w:w="108" w:type="dxa"/>
            </w:tcMar>
            <w:vAlign w:val="center"/>
          </w:tcPr>
          <w:p w14:paraId="02AF7D1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27</w:t>
            </w:r>
          </w:p>
        </w:tc>
        <w:tc>
          <w:tcPr>
            <w:tcW w:w="3543" w:type="dxa"/>
            <w:shd w:val="clear" w:color="auto" w:fill="C6EFCE"/>
            <w:tcMar>
              <w:left w:w="108" w:type="dxa"/>
              <w:right w:w="108" w:type="dxa"/>
            </w:tcMar>
            <w:vAlign w:val="center"/>
          </w:tcPr>
          <w:p w14:paraId="215F39D2" w14:textId="091B2A97" w:rsidR="00BF03AA" w:rsidRPr="00326E55" w:rsidRDefault="00FB452D">
            <w:pPr>
              <w:pStyle w:val="P68B1DB1-Normal121"/>
              <w:spacing w:after="0" w:line="240" w:lineRule="auto"/>
              <w:rPr>
                <w:noProof/>
                <w:spacing w:val="-6"/>
                <w:lang w:val="sk-SK"/>
              </w:rPr>
            </w:pPr>
            <w:r w:rsidRPr="00326E55">
              <w:rPr>
                <w:noProof/>
                <w:spacing w:val="-6"/>
                <w:lang w:val="sk-SK"/>
              </w:rPr>
              <w:t>Investícia 5.1: Refinancovanie</w:t>
            </w:r>
            <w:r w:rsidR="00326E55" w:rsidRPr="00326E55">
              <w:rPr>
                <w:noProof/>
                <w:spacing w:val="-6"/>
                <w:lang w:val="sk-SK"/>
              </w:rPr>
              <w:t xml:space="preserve"> a </w:t>
            </w:r>
            <w:r w:rsidRPr="00326E55">
              <w:rPr>
                <w:noProof/>
                <w:spacing w:val="-6"/>
                <w:lang w:val="sk-SK"/>
              </w:rPr>
              <w:t>reorganizácia fondu 394/81 spr</w:t>
            </w:r>
            <w:r w:rsidRPr="00326E55">
              <w:rPr>
                <w:noProof/>
                <w:spacing w:val="-6"/>
                <w:lang w:val="sk-SK"/>
              </w:rPr>
              <w:t>avovaného spoločnosťou SIMEST</w:t>
            </w:r>
          </w:p>
        </w:tc>
        <w:tc>
          <w:tcPr>
            <w:tcW w:w="1418" w:type="dxa"/>
            <w:shd w:val="clear" w:color="auto" w:fill="C6EFCE"/>
            <w:tcMar>
              <w:left w:w="108" w:type="dxa"/>
              <w:right w:w="108" w:type="dxa"/>
            </w:tcMar>
            <w:vAlign w:val="center"/>
          </w:tcPr>
          <w:p w14:paraId="5D39EBE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63" w:type="dxa"/>
            <w:shd w:val="clear" w:color="auto" w:fill="C6EFCE"/>
            <w:tcMar>
              <w:left w:w="108" w:type="dxa"/>
              <w:right w:w="108" w:type="dxa"/>
            </w:tcMar>
            <w:vAlign w:val="center"/>
          </w:tcPr>
          <w:p w14:paraId="121CF49D" w14:textId="088509CC" w:rsidR="00BF03AA" w:rsidRPr="00326E55" w:rsidRDefault="00FB452D">
            <w:pPr>
              <w:pStyle w:val="P68B1DB1-Normal121"/>
              <w:spacing w:after="0" w:line="240" w:lineRule="auto"/>
              <w:rPr>
                <w:noProof/>
                <w:spacing w:val="-6"/>
                <w:lang w:val="sk-SK"/>
              </w:rPr>
            </w:pPr>
            <w:r w:rsidRPr="00326E55">
              <w:rPr>
                <w:noProof/>
                <w:spacing w:val="-6"/>
                <w:lang w:val="sk-SK"/>
              </w:rPr>
              <w:t>MSP, ktoré získali podporu</w:t>
            </w:r>
            <w:r w:rsidR="00326E55" w:rsidRPr="00326E55">
              <w:rPr>
                <w:noProof/>
                <w:spacing w:val="-6"/>
                <w:lang w:val="sk-SK"/>
              </w:rPr>
              <w:t xml:space="preserve"> z </w:t>
            </w:r>
            <w:r w:rsidRPr="00326E55">
              <w:rPr>
                <w:noProof/>
                <w:spacing w:val="-6"/>
                <w:lang w:val="sk-SK"/>
              </w:rPr>
              <w:t>fondu 394/81</w:t>
            </w:r>
          </w:p>
        </w:tc>
      </w:tr>
      <w:tr w:rsidR="00BF03AA" w:rsidRPr="00326E55" w14:paraId="5A549856" w14:textId="77777777">
        <w:trPr>
          <w:trHeight w:val="300"/>
        </w:trPr>
        <w:tc>
          <w:tcPr>
            <w:tcW w:w="1435" w:type="dxa"/>
            <w:shd w:val="clear" w:color="auto" w:fill="C6EFCE"/>
            <w:tcMar>
              <w:left w:w="108" w:type="dxa"/>
              <w:right w:w="108" w:type="dxa"/>
            </w:tcMar>
            <w:vAlign w:val="center"/>
          </w:tcPr>
          <w:p w14:paraId="7B4F6A1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22</w:t>
            </w:r>
          </w:p>
        </w:tc>
        <w:tc>
          <w:tcPr>
            <w:tcW w:w="3543" w:type="dxa"/>
            <w:shd w:val="clear" w:color="auto" w:fill="C6EFCE"/>
            <w:tcMar>
              <w:left w:w="108" w:type="dxa"/>
              <w:right w:w="108" w:type="dxa"/>
            </w:tcMar>
            <w:vAlign w:val="center"/>
          </w:tcPr>
          <w:p w14:paraId="30A532F2" w14:textId="0BA9873B"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Fondy na konkurencieschopnosť podnikov cestovného ruchu </w:t>
            </w:r>
          </w:p>
        </w:tc>
        <w:tc>
          <w:tcPr>
            <w:tcW w:w="1418" w:type="dxa"/>
            <w:shd w:val="clear" w:color="auto" w:fill="C6EFCE"/>
            <w:tcMar>
              <w:left w:w="108" w:type="dxa"/>
              <w:right w:w="108" w:type="dxa"/>
            </w:tcMar>
            <w:vAlign w:val="center"/>
          </w:tcPr>
          <w:p w14:paraId="4CA031E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38A62E8D" w14:textId="34466550" w:rsidR="00BF03AA" w:rsidRPr="00326E55" w:rsidRDefault="00FB452D">
            <w:pPr>
              <w:pStyle w:val="P68B1DB1-Normal121"/>
              <w:spacing w:after="0" w:line="240" w:lineRule="auto"/>
              <w:rPr>
                <w:noProof/>
                <w:spacing w:val="-6"/>
                <w:lang w:val="sk-SK"/>
              </w:rPr>
            </w:pPr>
            <w:r w:rsidRPr="00326E55">
              <w:rPr>
                <w:noProof/>
                <w:spacing w:val="-6"/>
                <w:lang w:val="sk-SK"/>
              </w:rPr>
              <w:t xml:space="preserve">Investičná politika pre: tematický fond Európskej investičnej banky;  </w:t>
            </w:r>
          </w:p>
        </w:tc>
      </w:tr>
      <w:tr w:rsidR="00BF03AA" w:rsidRPr="00326E55" w14:paraId="331FCB95" w14:textId="77777777">
        <w:trPr>
          <w:trHeight w:val="300"/>
        </w:trPr>
        <w:tc>
          <w:tcPr>
            <w:tcW w:w="1435" w:type="dxa"/>
            <w:shd w:val="clear" w:color="auto" w:fill="C6EFCE"/>
            <w:tcMar>
              <w:left w:w="108" w:type="dxa"/>
              <w:right w:w="108" w:type="dxa"/>
            </w:tcMar>
            <w:vAlign w:val="center"/>
          </w:tcPr>
          <w:p w14:paraId="7A64EF2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23</w:t>
            </w:r>
          </w:p>
        </w:tc>
        <w:tc>
          <w:tcPr>
            <w:tcW w:w="3543" w:type="dxa"/>
            <w:shd w:val="clear" w:color="auto" w:fill="C6EFCE"/>
            <w:tcMar>
              <w:left w:w="108" w:type="dxa"/>
              <w:right w:w="108" w:type="dxa"/>
            </w:tcMar>
            <w:vAlign w:val="center"/>
          </w:tcPr>
          <w:p w14:paraId="0D37E28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Fondy pre konkurencieschopnosť podnikov cestovného ruchu </w:t>
            </w:r>
          </w:p>
        </w:tc>
        <w:tc>
          <w:tcPr>
            <w:tcW w:w="1418" w:type="dxa"/>
            <w:shd w:val="clear" w:color="auto" w:fill="C6EFCE"/>
            <w:tcMar>
              <w:left w:w="108" w:type="dxa"/>
              <w:right w:w="108" w:type="dxa"/>
            </w:tcMar>
            <w:vAlign w:val="center"/>
          </w:tcPr>
          <w:p w14:paraId="33F9CE1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11638CD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Investičná politika pre Národný fond cestovného ruchu, </w:t>
            </w:r>
          </w:p>
        </w:tc>
      </w:tr>
      <w:tr w:rsidR="00BF03AA" w:rsidRPr="00326E55" w14:paraId="21D10B4C" w14:textId="77777777">
        <w:trPr>
          <w:trHeight w:val="300"/>
        </w:trPr>
        <w:tc>
          <w:tcPr>
            <w:tcW w:w="1435" w:type="dxa"/>
            <w:shd w:val="clear" w:color="auto" w:fill="C6EFCE"/>
            <w:tcMar>
              <w:left w:w="108" w:type="dxa"/>
              <w:right w:w="108" w:type="dxa"/>
            </w:tcMar>
            <w:vAlign w:val="center"/>
          </w:tcPr>
          <w:p w14:paraId="65D1F00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24</w:t>
            </w:r>
          </w:p>
        </w:tc>
        <w:tc>
          <w:tcPr>
            <w:tcW w:w="3543" w:type="dxa"/>
            <w:shd w:val="clear" w:color="auto" w:fill="C6EFCE"/>
            <w:tcMar>
              <w:left w:w="108" w:type="dxa"/>
              <w:right w:w="108" w:type="dxa"/>
            </w:tcMar>
            <w:vAlign w:val="center"/>
          </w:tcPr>
          <w:p w14:paraId="41F29277" w14:textId="01B59BC2"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Fondy na konkurencieschopnosť podnikov cestovného ruchu </w:t>
            </w:r>
          </w:p>
        </w:tc>
        <w:tc>
          <w:tcPr>
            <w:tcW w:w="1418" w:type="dxa"/>
            <w:shd w:val="clear" w:color="auto" w:fill="C6EFCE"/>
            <w:tcMar>
              <w:left w:w="108" w:type="dxa"/>
              <w:right w:w="108" w:type="dxa"/>
            </w:tcMar>
            <w:vAlign w:val="center"/>
          </w:tcPr>
          <w:p w14:paraId="11E9A91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4C0974C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Investičná politika pre: </w:t>
            </w:r>
            <w:r w:rsidRPr="00326E55">
              <w:rPr>
                <w:noProof/>
                <w:spacing w:val="-6"/>
                <w:lang w:val="sk-SK"/>
              </w:rPr>
              <w:t>Záručný fond pre MSP,</w:t>
            </w:r>
          </w:p>
        </w:tc>
      </w:tr>
      <w:tr w:rsidR="00BF03AA" w:rsidRPr="00326E55" w14:paraId="45BADD0B" w14:textId="77777777">
        <w:trPr>
          <w:trHeight w:val="300"/>
        </w:trPr>
        <w:tc>
          <w:tcPr>
            <w:tcW w:w="1435" w:type="dxa"/>
            <w:shd w:val="clear" w:color="auto" w:fill="C6EFCE"/>
            <w:tcMar>
              <w:left w:w="108" w:type="dxa"/>
              <w:right w:w="108" w:type="dxa"/>
            </w:tcMar>
            <w:vAlign w:val="center"/>
          </w:tcPr>
          <w:p w14:paraId="6BAB2DC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25</w:t>
            </w:r>
          </w:p>
        </w:tc>
        <w:tc>
          <w:tcPr>
            <w:tcW w:w="3543" w:type="dxa"/>
            <w:shd w:val="clear" w:color="auto" w:fill="C6EFCE"/>
            <w:tcMar>
              <w:left w:w="108" w:type="dxa"/>
              <w:right w:w="108" w:type="dxa"/>
            </w:tcMar>
            <w:vAlign w:val="center"/>
          </w:tcPr>
          <w:p w14:paraId="210772CD" w14:textId="2F25133B"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Fondy pre konkurencieschopnosť podnikov cestovného ruchu </w:t>
            </w:r>
          </w:p>
        </w:tc>
        <w:tc>
          <w:tcPr>
            <w:tcW w:w="1418" w:type="dxa"/>
            <w:shd w:val="clear" w:color="auto" w:fill="C6EFCE"/>
            <w:tcMar>
              <w:left w:w="108" w:type="dxa"/>
              <w:right w:w="108" w:type="dxa"/>
            </w:tcMar>
            <w:vAlign w:val="center"/>
          </w:tcPr>
          <w:p w14:paraId="35CBD7B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82099D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Investičná politika pre Fondo Rotativo </w:t>
            </w:r>
          </w:p>
        </w:tc>
      </w:tr>
      <w:tr w:rsidR="00BF03AA" w:rsidRPr="00326E55" w14:paraId="18A6ED7F" w14:textId="77777777">
        <w:trPr>
          <w:trHeight w:val="300"/>
        </w:trPr>
        <w:tc>
          <w:tcPr>
            <w:tcW w:w="1435" w:type="dxa"/>
            <w:shd w:val="clear" w:color="auto" w:fill="C6EFCE"/>
            <w:tcMar>
              <w:left w:w="108" w:type="dxa"/>
              <w:right w:w="108" w:type="dxa"/>
            </w:tcMar>
            <w:vAlign w:val="center"/>
          </w:tcPr>
          <w:p w14:paraId="2CBEC6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26</w:t>
            </w:r>
          </w:p>
        </w:tc>
        <w:tc>
          <w:tcPr>
            <w:tcW w:w="3543" w:type="dxa"/>
            <w:shd w:val="clear" w:color="auto" w:fill="C6EFCE"/>
            <w:tcMar>
              <w:left w:w="108" w:type="dxa"/>
              <w:right w:w="108" w:type="dxa"/>
            </w:tcMar>
            <w:vAlign w:val="center"/>
          </w:tcPr>
          <w:p w14:paraId="2DC6EFF1" w14:textId="3C5F894A"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Fondy pre konkurencieschopnosť podnikov cestovného ruchu </w:t>
            </w:r>
          </w:p>
        </w:tc>
        <w:tc>
          <w:tcPr>
            <w:tcW w:w="1418" w:type="dxa"/>
            <w:shd w:val="clear" w:color="auto" w:fill="C6EFCE"/>
            <w:tcMar>
              <w:left w:w="108" w:type="dxa"/>
              <w:right w:w="108" w:type="dxa"/>
            </w:tcMar>
            <w:vAlign w:val="center"/>
          </w:tcPr>
          <w:p w14:paraId="43EFC0B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5FC160AE" w14:textId="4452F218"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vykonávacieho dekrétu</w:t>
            </w:r>
            <w:r w:rsidR="00326E55" w:rsidRPr="00326E55">
              <w:rPr>
                <w:noProof/>
                <w:spacing w:val="-6"/>
                <w:lang w:val="sk-SK"/>
              </w:rPr>
              <w:t xml:space="preserve"> k </w:t>
            </w:r>
            <w:r w:rsidRPr="00326E55">
              <w:rPr>
                <w:noProof/>
                <w:spacing w:val="-6"/>
                <w:lang w:val="sk-SK"/>
              </w:rPr>
              <w:t>daňovému dobropisu na rekonštrukciu ubytovacích zariadení.</w:t>
            </w:r>
          </w:p>
        </w:tc>
      </w:tr>
      <w:tr w:rsidR="00BF03AA" w:rsidRPr="00326E55" w14:paraId="4F2A8087" w14:textId="77777777">
        <w:trPr>
          <w:trHeight w:val="300"/>
        </w:trPr>
        <w:tc>
          <w:tcPr>
            <w:tcW w:w="1435" w:type="dxa"/>
            <w:shd w:val="clear" w:color="auto" w:fill="C6EFCE"/>
            <w:tcMar>
              <w:left w:w="108" w:type="dxa"/>
              <w:right w:w="108" w:type="dxa"/>
            </w:tcMar>
            <w:vAlign w:val="center"/>
          </w:tcPr>
          <w:p w14:paraId="56F1E56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7</w:t>
            </w:r>
          </w:p>
        </w:tc>
        <w:tc>
          <w:tcPr>
            <w:tcW w:w="3543" w:type="dxa"/>
            <w:shd w:val="clear" w:color="auto" w:fill="C6EFCE"/>
            <w:tcMar>
              <w:left w:w="108" w:type="dxa"/>
              <w:right w:w="108" w:type="dxa"/>
            </w:tcMar>
            <w:vAlign w:val="center"/>
          </w:tcPr>
          <w:p w14:paraId="18FA3FBE"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3.1: Prijatie národných programov kontroly znečistenia ovzdušia</w:t>
            </w:r>
          </w:p>
        </w:tc>
        <w:tc>
          <w:tcPr>
            <w:tcW w:w="1418" w:type="dxa"/>
            <w:shd w:val="clear" w:color="auto" w:fill="C6EFCE"/>
            <w:tcMar>
              <w:left w:w="108" w:type="dxa"/>
              <w:right w:w="108" w:type="dxa"/>
            </w:tcMar>
            <w:vAlign w:val="center"/>
          </w:tcPr>
          <w:p w14:paraId="536C0CA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732E3815"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národného programu kontroly znečisteni</w:t>
            </w:r>
            <w:r w:rsidRPr="00326E55">
              <w:rPr>
                <w:noProof/>
                <w:spacing w:val="-6"/>
                <w:lang w:val="sk-SK"/>
              </w:rPr>
              <w:t>a ovzdušia</w:t>
            </w:r>
          </w:p>
        </w:tc>
      </w:tr>
      <w:tr w:rsidR="00BF03AA" w:rsidRPr="00326E55" w14:paraId="2CE31F33" w14:textId="77777777">
        <w:trPr>
          <w:trHeight w:val="300"/>
        </w:trPr>
        <w:tc>
          <w:tcPr>
            <w:tcW w:w="1435" w:type="dxa"/>
            <w:shd w:val="clear" w:color="auto" w:fill="C6EFCE"/>
            <w:tcMar>
              <w:left w:w="108" w:type="dxa"/>
              <w:right w:w="108" w:type="dxa"/>
            </w:tcMar>
            <w:vAlign w:val="center"/>
          </w:tcPr>
          <w:p w14:paraId="2C91A17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12</w:t>
            </w:r>
          </w:p>
        </w:tc>
        <w:tc>
          <w:tcPr>
            <w:tcW w:w="3543" w:type="dxa"/>
            <w:shd w:val="clear" w:color="auto" w:fill="C6EFCE"/>
            <w:tcMar>
              <w:left w:w="108" w:type="dxa"/>
              <w:right w:w="108" w:type="dxa"/>
            </w:tcMar>
            <w:vAlign w:val="center"/>
          </w:tcPr>
          <w:p w14:paraId="69EC5E0B" w14:textId="3E7B1B09" w:rsidR="00BF03AA" w:rsidRPr="00326E55" w:rsidRDefault="00FB452D">
            <w:pPr>
              <w:pStyle w:val="P68B1DB1-Normal121"/>
              <w:spacing w:after="0" w:line="240" w:lineRule="auto"/>
              <w:rPr>
                <w:noProof/>
                <w:spacing w:val="-6"/>
                <w:lang w:val="sk-SK"/>
              </w:rPr>
            </w:pPr>
            <w:r w:rsidRPr="00326E55">
              <w:rPr>
                <w:noProof/>
                <w:spacing w:val="-6"/>
                <w:lang w:val="sk-SK"/>
              </w:rPr>
              <w:t>Investícia 2.1.b. Opatrenia na zníženie povodňových</w:t>
            </w:r>
            <w:r w:rsidR="00326E55" w:rsidRPr="00326E55">
              <w:rPr>
                <w:noProof/>
                <w:spacing w:val="-6"/>
                <w:lang w:val="sk-SK"/>
              </w:rPr>
              <w:t xml:space="preserve"> a </w:t>
            </w:r>
            <w:r w:rsidRPr="00326E55">
              <w:rPr>
                <w:noProof/>
                <w:spacing w:val="-6"/>
                <w:lang w:val="sk-SK"/>
              </w:rPr>
              <w:t>hydrogeologických rizík</w:t>
            </w:r>
          </w:p>
        </w:tc>
        <w:tc>
          <w:tcPr>
            <w:tcW w:w="1418" w:type="dxa"/>
            <w:shd w:val="clear" w:color="auto" w:fill="C6EFCE"/>
            <w:tcMar>
              <w:left w:w="108" w:type="dxa"/>
              <w:right w:w="108" w:type="dxa"/>
            </w:tcMar>
            <w:vAlign w:val="center"/>
          </w:tcPr>
          <w:p w14:paraId="2BE0C9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9B05614" w14:textId="21853C4B"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revidovaného právneho rámca pre zásahy proti povodňovým</w:t>
            </w:r>
            <w:r w:rsidR="00326E55" w:rsidRPr="00326E55">
              <w:rPr>
                <w:noProof/>
                <w:spacing w:val="-6"/>
                <w:lang w:val="sk-SK"/>
              </w:rPr>
              <w:t xml:space="preserve"> a </w:t>
            </w:r>
            <w:r w:rsidRPr="00326E55">
              <w:rPr>
                <w:noProof/>
                <w:spacing w:val="-6"/>
                <w:lang w:val="sk-SK"/>
              </w:rPr>
              <w:t>hydrogeologickým rizikám</w:t>
            </w:r>
          </w:p>
        </w:tc>
      </w:tr>
      <w:tr w:rsidR="00BF03AA" w:rsidRPr="00326E55" w14:paraId="4B0E66E5" w14:textId="77777777">
        <w:trPr>
          <w:trHeight w:val="300"/>
        </w:trPr>
        <w:tc>
          <w:tcPr>
            <w:tcW w:w="1435" w:type="dxa"/>
            <w:shd w:val="clear" w:color="auto" w:fill="C6EFCE"/>
            <w:tcMar>
              <w:left w:w="108" w:type="dxa"/>
              <w:right w:w="108" w:type="dxa"/>
            </w:tcMar>
            <w:vAlign w:val="center"/>
          </w:tcPr>
          <w:p w14:paraId="2030AA8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18</w:t>
            </w:r>
          </w:p>
        </w:tc>
        <w:tc>
          <w:tcPr>
            <w:tcW w:w="3543" w:type="dxa"/>
            <w:shd w:val="clear" w:color="auto" w:fill="C6EFCE"/>
            <w:tcMar>
              <w:left w:w="108" w:type="dxa"/>
              <w:right w:w="108" w:type="dxa"/>
            </w:tcMar>
            <w:vAlign w:val="center"/>
          </w:tcPr>
          <w:p w14:paraId="060A4C45" w14:textId="3BD29BE1" w:rsidR="00BF03AA" w:rsidRPr="00326E55" w:rsidRDefault="00FB452D">
            <w:pPr>
              <w:pStyle w:val="P68B1DB1-Normal121"/>
              <w:spacing w:after="0" w:line="240" w:lineRule="auto"/>
              <w:rPr>
                <w:noProof/>
                <w:spacing w:val="-6"/>
                <w:lang w:val="sk-SK"/>
              </w:rPr>
            </w:pPr>
            <w:r w:rsidRPr="00326E55">
              <w:rPr>
                <w:noProof/>
                <w:spacing w:val="-6"/>
                <w:lang w:val="sk-SK"/>
              </w:rPr>
              <w:t>Investície. 3.1: Ochrana</w:t>
            </w:r>
            <w:r w:rsidR="00326E55" w:rsidRPr="00326E55">
              <w:rPr>
                <w:noProof/>
                <w:spacing w:val="-6"/>
                <w:lang w:val="sk-SK"/>
              </w:rPr>
              <w:t xml:space="preserve"> a </w:t>
            </w:r>
            <w:r w:rsidRPr="00326E55">
              <w:rPr>
                <w:noProof/>
                <w:spacing w:val="-6"/>
                <w:lang w:val="sk-SK"/>
              </w:rPr>
              <w:t>zveľaďovanie mestských</w:t>
            </w:r>
            <w:r w:rsidR="00326E55" w:rsidRPr="00326E55">
              <w:rPr>
                <w:noProof/>
                <w:spacing w:val="-6"/>
                <w:lang w:val="sk-SK"/>
              </w:rPr>
              <w:t xml:space="preserve"> a </w:t>
            </w:r>
            <w:r w:rsidRPr="00326E55">
              <w:rPr>
                <w:noProof/>
                <w:spacing w:val="-6"/>
                <w:lang w:val="sk-SK"/>
              </w:rPr>
              <w:t>prímestských lesov</w:t>
            </w:r>
          </w:p>
        </w:tc>
        <w:tc>
          <w:tcPr>
            <w:tcW w:w="1418" w:type="dxa"/>
            <w:shd w:val="clear" w:color="auto" w:fill="C6EFCE"/>
            <w:tcMar>
              <w:left w:w="108" w:type="dxa"/>
              <w:right w:w="108" w:type="dxa"/>
            </w:tcMar>
            <w:vAlign w:val="center"/>
          </w:tcPr>
          <w:p w14:paraId="541C9D0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8C0E497" w14:textId="4DA7696C"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revidovaných právnych zmien na ochranu</w:t>
            </w:r>
            <w:r w:rsidR="00326E55" w:rsidRPr="00326E55">
              <w:rPr>
                <w:noProof/>
                <w:spacing w:val="-6"/>
                <w:lang w:val="sk-SK"/>
              </w:rPr>
              <w:t xml:space="preserve"> a </w:t>
            </w:r>
            <w:r w:rsidRPr="00326E55">
              <w:rPr>
                <w:noProof/>
                <w:spacing w:val="-6"/>
                <w:lang w:val="sk-SK"/>
              </w:rPr>
              <w:t>zhodnocovanie mestských</w:t>
            </w:r>
            <w:r w:rsidR="00326E55" w:rsidRPr="00326E55">
              <w:rPr>
                <w:noProof/>
                <w:spacing w:val="-6"/>
                <w:lang w:val="sk-SK"/>
              </w:rPr>
              <w:t xml:space="preserve"> a </w:t>
            </w:r>
            <w:r w:rsidRPr="00326E55">
              <w:rPr>
                <w:noProof/>
                <w:spacing w:val="-6"/>
                <w:lang w:val="sk-SK"/>
              </w:rPr>
              <w:t xml:space="preserve">prímestských zelených plôch </w:t>
            </w:r>
          </w:p>
        </w:tc>
      </w:tr>
      <w:tr w:rsidR="00BF03AA" w:rsidRPr="00326E55" w14:paraId="66DA6ADE" w14:textId="77777777">
        <w:trPr>
          <w:trHeight w:val="300"/>
        </w:trPr>
        <w:tc>
          <w:tcPr>
            <w:tcW w:w="1435" w:type="dxa"/>
            <w:shd w:val="clear" w:color="auto" w:fill="C6EFCE"/>
            <w:tcMar>
              <w:left w:w="108" w:type="dxa"/>
              <w:right w:w="108" w:type="dxa"/>
            </w:tcMar>
            <w:vAlign w:val="center"/>
          </w:tcPr>
          <w:p w14:paraId="028E4A9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1</w:t>
            </w:r>
          </w:p>
        </w:tc>
        <w:tc>
          <w:tcPr>
            <w:tcW w:w="3543" w:type="dxa"/>
            <w:shd w:val="clear" w:color="auto" w:fill="C6EFCE"/>
            <w:tcMar>
              <w:left w:w="108" w:type="dxa"/>
              <w:right w:w="108" w:type="dxa"/>
            </w:tcMar>
            <w:vAlign w:val="center"/>
          </w:tcPr>
          <w:p w14:paraId="27CF5B51" w14:textId="52626278" w:rsidR="00BF03AA" w:rsidRPr="00326E55" w:rsidRDefault="00FB452D">
            <w:pPr>
              <w:pStyle w:val="P68B1DB1-Normal121"/>
              <w:spacing w:after="0" w:line="240" w:lineRule="auto"/>
              <w:rPr>
                <w:noProof/>
                <w:spacing w:val="-6"/>
                <w:lang w:val="sk-SK"/>
              </w:rPr>
            </w:pPr>
            <w:r w:rsidRPr="00326E55">
              <w:rPr>
                <w:noProof/>
                <w:spacing w:val="-6"/>
                <w:lang w:val="sk-SK"/>
              </w:rPr>
              <w:t>Reforma 1.1 – Zrýchlenie procesu schvaľovania zmluvy medzi ministerstvom inf</w:t>
            </w:r>
            <w:r w:rsidRPr="00326E55">
              <w:rPr>
                <w:noProof/>
                <w:spacing w:val="-6"/>
                <w:lang w:val="sk-SK"/>
              </w:rPr>
              <w:t>raštruktúry</w:t>
            </w:r>
            <w:r w:rsidR="00326E55" w:rsidRPr="00326E55">
              <w:rPr>
                <w:noProof/>
                <w:spacing w:val="-6"/>
                <w:lang w:val="sk-SK"/>
              </w:rPr>
              <w:t xml:space="preserve"> a </w:t>
            </w:r>
            <w:r w:rsidRPr="00326E55">
              <w:rPr>
                <w:noProof/>
                <w:spacing w:val="-6"/>
                <w:lang w:val="sk-SK"/>
              </w:rPr>
              <w:t>dopravy</w:t>
            </w:r>
            <w:r w:rsidR="00326E55" w:rsidRPr="00326E55">
              <w:rPr>
                <w:noProof/>
                <w:spacing w:val="-6"/>
                <w:lang w:val="sk-SK"/>
              </w:rPr>
              <w:t xml:space="preserve"> a </w:t>
            </w:r>
            <w:r w:rsidRPr="00326E55">
              <w:rPr>
                <w:noProof/>
                <w:spacing w:val="-6"/>
                <w:lang w:val="sk-SK"/>
              </w:rPr>
              <w:t>žiadosťou</w:t>
            </w:r>
            <w:r w:rsidR="00326E55" w:rsidRPr="00326E55">
              <w:rPr>
                <w:noProof/>
                <w:spacing w:val="-6"/>
                <w:lang w:val="sk-SK"/>
              </w:rPr>
              <w:t xml:space="preserve"> o </w:t>
            </w:r>
            <w:r w:rsidRPr="00326E55">
              <w:rPr>
                <w:noProof/>
                <w:spacing w:val="-6"/>
                <w:lang w:val="sk-SK"/>
              </w:rPr>
              <w:t>informácie</w:t>
            </w:r>
          </w:p>
        </w:tc>
        <w:tc>
          <w:tcPr>
            <w:tcW w:w="1418" w:type="dxa"/>
            <w:shd w:val="clear" w:color="auto" w:fill="C6EFCE"/>
            <w:tcMar>
              <w:left w:w="108" w:type="dxa"/>
              <w:right w:w="108" w:type="dxa"/>
            </w:tcMar>
            <w:vAlign w:val="center"/>
          </w:tcPr>
          <w:p w14:paraId="58EF069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4DBFF34"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legislatívnej zmeny postupu schvaľovania programu Contratti di (CdP)</w:t>
            </w:r>
          </w:p>
        </w:tc>
      </w:tr>
      <w:tr w:rsidR="00BF03AA" w:rsidRPr="00326E55" w14:paraId="4193241E" w14:textId="77777777">
        <w:trPr>
          <w:trHeight w:val="300"/>
        </w:trPr>
        <w:tc>
          <w:tcPr>
            <w:tcW w:w="1435" w:type="dxa"/>
            <w:shd w:val="clear" w:color="auto" w:fill="C6EFCE"/>
            <w:tcMar>
              <w:left w:w="108" w:type="dxa"/>
              <w:right w:w="108" w:type="dxa"/>
            </w:tcMar>
            <w:vAlign w:val="center"/>
          </w:tcPr>
          <w:p w14:paraId="6442C5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2</w:t>
            </w:r>
          </w:p>
        </w:tc>
        <w:tc>
          <w:tcPr>
            <w:tcW w:w="3543" w:type="dxa"/>
            <w:shd w:val="clear" w:color="auto" w:fill="C6EFCE"/>
            <w:tcMar>
              <w:left w:w="108" w:type="dxa"/>
              <w:right w:w="108" w:type="dxa"/>
            </w:tcMar>
            <w:vAlign w:val="center"/>
          </w:tcPr>
          <w:p w14:paraId="70B0EC6B"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1.2 – Urýchlenie procesu schvaľovania projektov</w:t>
            </w:r>
          </w:p>
        </w:tc>
        <w:tc>
          <w:tcPr>
            <w:tcW w:w="1418" w:type="dxa"/>
            <w:shd w:val="clear" w:color="auto" w:fill="C6EFCE"/>
            <w:tcMar>
              <w:left w:w="108" w:type="dxa"/>
              <w:right w:w="108" w:type="dxa"/>
            </w:tcMar>
            <w:vAlign w:val="center"/>
          </w:tcPr>
          <w:p w14:paraId="4E6AA95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CEFAB7F" w14:textId="081AECAC"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regulačnej </w:t>
            </w:r>
            <w:r w:rsidRPr="00326E55">
              <w:rPr>
                <w:noProof/>
                <w:spacing w:val="-6"/>
                <w:lang w:val="sk-SK"/>
              </w:rPr>
              <w:t>zmeny, ktorou sa skracuje čas schvaľovania projektov</w:t>
            </w:r>
            <w:r w:rsidR="00326E55" w:rsidRPr="00326E55">
              <w:rPr>
                <w:noProof/>
                <w:spacing w:val="-6"/>
                <w:lang w:val="sk-SK"/>
              </w:rPr>
              <w:t xml:space="preserve"> z </w:t>
            </w:r>
            <w:r w:rsidRPr="00326E55">
              <w:rPr>
                <w:noProof/>
                <w:spacing w:val="-6"/>
                <w:lang w:val="sk-SK"/>
              </w:rPr>
              <w:t>11 na šesť mesiacov</w:t>
            </w:r>
          </w:p>
        </w:tc>
      </w:tr>
      <w:tr w:rsidR="00BF03AA" w:rsidRPr="00326E55" w14:paraId="4E72E771" w14:textId="77777777">
        <w:trPr>
          <w:trHeight w:val="300"/>
        </w:trPr>
        <w:tc>
          <w:tcPr>
            <w:tcW w:w="1435" w:type="dxa"/>
            <w:shd w:val="clear" w:color="auto" w:fill="C6EFCE"/>
            <w:tcMar>
              <w:left w:w="108" w:type="dxa"/>
              <w:right w:w="108" w:type="dxa"/>
            </w:tcMar>
            <w:vAlign w:val="center"/>
          </w:tcPr>
          <w:p w14:paraId="44DD6BD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21</w:t>
            </w:r>
          </w:p>
        </w:tc>
        <w:tc>
          <w:tcPr>
            <w:tcW w:w="3543" w:type="dxa"/>
            <w:shd w:val="clear" w:color="auto" w:fill="C6EFCE"/>
            <w:tcMar>
              <w:left w:w="108" w:type="dxa"/>
              <w:right w:w="108" w:type="dxa"/>
            </w:tcMar>
            <w:vAlign w:val="center"/>
          </w:tcPr>
          <w:p w14:paraId="7D7EE1E1" w14:textId="6F6CC29E"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2.1 – Vykonávanie nedávneho „zjednodušenia zákonného dekrétu“ (zmeneného na zákon </w:t>
            </w:r>
            <w:r w:rsidR="00326E55" w:rsidRPr="00326E55">
              <w:rPr>
                <w:noProof/>
                <w:spacing w:val="-6"/>
                <w:lang w:val="sk-SK"/>
              </w:rPr>
              <w:t>č. </w:t>
            </w:r>
            <w:r w:rsidRPr="00326E55">
              <w:rPr>
                <w:noProof/>
                <w:spacing w:val="-6"/>
                <w:lang w:val="sk-SK"/>
              </w:rPr>
              <w:t>120</w:t>
            </w:r>
            <w:r w:rsidR="00326E55" w:rsidRPr="00326E55">
              <w:rPr>
                <w:noProof/>
                <w:spacing w:val="-6"/>
                <w:lang w:val="sk-SK"/>
              </w:rPr>
              <w:t xml:space="preserve"> z </w:t>
            </w:r>
            <w:r w:rsidRPr="00326E55">
              <w:rPr>
                <w:noProof/>
                <w:spacing w:val="-6"/>
                <w:lang w:val="sk-SK"/>
              </w:rPr>
              <w:t>11</w:t>
            </w:r>
            <w:r w:rsidR="00326E55" w:rsidRPr="00326E55">
              <w:rPr>
                <w:noProof/>
                <w:spacing w:val="-6"/>
                <w:lang w:val="sk-SK"/>
              </w:rPr>
              <w:t>. septembra</w:t>
            </w:r>
            <w:r w:rsidRPr="00326E55">
              <w:rPr>
                <w:noProof/>
                <w:spacing w:val="-6"/>
                <w:lang w:val="sk-SK"/>
              </w:rPr>
              <w:t xml:space="preserve"> 2020) vydaním dekrétu</w:t>
            </w:r>
            <w:r w:rsidR="00326E55" w:rsidRPr="00326E55">
              <w:rPr>
                <w:noProof/>
                <w:spacing w:val="-6"/>
                <w:lang w:val="sk-SK"/>
              </w:rPr>
              <w:t xml:space="preserve"> o </w:t>
            </w:r>
            <w:r w:rsidRPr="00326E55">
              <w:rPr>
                <w:noProof/>
                <w:spacing w:val="-6"/>
                <w:lang w:val="sk-SK"/>
              </w:rPr>
              <w:t>prijatí „Usmernení pre klasifikác</w:t>
            </w:r>
            <w:r w:rsidRPr="00326E55">
              <w:rPr>
                <w:noProof/>
                <w:spacing w:val="-6"/>
                <w:lang w:val="sk-SK"/>
              </w:rPr>
              <w:t>iu</w:t>
            </w:r>
            <w:r w:rsidR="00326E55" w:rsidRPr="00326E55">
              <w:rPr>
                <w:noProof/>
                <w:spacing w:val="-6"/>
                <w:lang w:val="sk-SK"/>
              </w:rPr>
              <w:t xml:space="preserve"> a </w:t>
            </w:r>
            <w:r w:rsidRPr="00326E55">
              <w:rPr>
                <w:noProof/>
                <w:spacing w:val="-6"/>
                <w:lang w:val="sk-SK"/>
              </w:rPr>
              <w:t>riadenie rizík, hodnotenie bezpečnosti</w:t>
            </w:r>
            <w:r w:rsidR="00326E55" w:rsidRPr="00326E55">
              <w:rPr>
                <w:noProof/>
                <w:spacing w:val="-6"/>
                <w:lang w:val="sk-SK"/>
              </w:rPr>
              <w:t xml:space="preserve"> a </w:t>
            </w:r>
            <w:r w:rsidRPr="00326E55">
              <w:rPr>
                <w:noProof/>
                <w:spacing w:val="-6"/>
                <w:lang w:val="sk-SK"/>
              </w:rPr>
              <w:t>monitorovanie existujúcich mostov“</w:t>
            </w:r>
          </w:p>
        </w:tc>
        <w:tc>
          <w:tcPr>
            <w:tcW w:w="1418" w:type="dxa"/>
            <w:shd w:val="clear" w:color="auto" w:fill="C6EFCE"/>
            <w:tcMar>
              <w:left w:w="108" w:type="dxa"/>
              <w:right w:w="108" w:type="dxa"/>
            </w:tcMar>
            <w:vAlign w:val="center"/>
          </w:tcPr>
          <w:p w14:paraId="07AC7F9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7FA740EE" w14:textId="1EC0B0CC"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„Usmernení pre klasifikáciu</w:t>
            </w:r>
            <w:r w:rsidR="00326E55" w:rsidRPr="00326E55">
              <w:rPr>
                <w:noProof/>
                <w:spacing w:val="-6"/>
                <w:lang w:val="sk-SK"/>
              </w:rPr>
              <w:t xml:space="preserve"> a </w:t>
            </w:r>
            <w:r w:rsidRPr="00326E55">
              <w:rPr>
                <w:noProof/>
                <w:spacing w:val="-6"/>
                <w:lang w:val="sk-SK"/>
              </w:rPr>
              <w:t>riadenie rizík, hodnotenie bezpečnosti</w:t>
            </w:r>
            <w:r w:rsidR="00326E55" w:rsidRPr="00326E55">
              <w:rPr>
                <w:noProof/>
                <w:spacing w:val="-6"/>
                <w:lang w:val="sk-SK"/>
              </w:rPr>
              <w:t xml:space="preserve"> a </w:t>
            </w:r>
            <w:r w:rsidRPr="00326E55">
              <w:rPr>
                <w:noProof/>
                <w:spacing w:val="-6"/>
                <w:lang w:val="sk-SK"/>
              </w:rPr>
              <w:t>monitorovanie existujúcich mostov“</w:t>
            </w:r>
          </w:p>
        </w:tc>
      </w:tr>
      <w:tr w:rsidR="00BF03AA" w:rsidRPr="00326E55" w14:paraId="6272CF69" w14:textId="77777777">
        <w:trPr>
          <w:trHeight w:val="300"/>
        </w:trPr>
        <w:tc>
          <w:tcPr>
            <w:tcW w:w="1435" w:type="dxa"/>
            <w:shd w:val="clear" w:color="auto" w:fill="C6EFCE"/>
            <w:tcMar>
              <w:left w:w="108" w:type="dxa"/>
              <w:right w:w="108" w:type="dxa"/>
            </w:tcMar>
            <w:vAlign w:val="center"/>
          </w:tcPr>
          <w:p w14:paraId="2925B2F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22</w:t>
            </w:r>
          </w:p>
        </w:tc>
        <w:tc>
          <w:tcPr>
            <w:tcW w:w="3543" w:type="dxa"/>
            <w:shd w:val="clear" w:color="auto" w:fill="C6EFCE"/>
            <w:tcMar>
              <w:left w:w="108" w:type="dxa"/>
              <w:right w:w="108" w:type="dxa"/>
            </w:tcMar>
            <w:vAlign w:val="center"/>
          </w:tcPr>
          <w:p w14:paraId="2650850E" w14:textId="1CC82370" w:rsidR="00BF03AA" w:rsidRPr="00326E55" w:rsidRDefault="00FB452D">
            <w:pPr>
              <w:pStyle w:val="P68B1DB1-Normal121"/>
              <w:spacing w:after="0" w:line="240" w:lineRule="auto"/>
              <w:rPr>
                <w:noProof/>
                <w:spacing w:val="-6"/>
                <w:lang w:val="sk-SK"/>
              </w:rPr>
            </w:pPr>
            <w:r w:rsidRPr="00326E55">
              <w:rPr>
                <w:noProof/>
                <w:spacing w:val="-6"/>
                <w:lang w:val="sk-SK"/>
              </w:rPr>
              <w:t>Reforma 2.2 – Prevod majetku</w:t>
            </w:r>
            <w:r w:rsidRPr="00326E55">
              <w:rPr>
                <w:noProof/>
                <w:spacing w:val="-6"/>
                <w:lang w:val="sk-SK"/>
              </w:rPr>
              <w:t xml:space="preserve"> mostov</w:t>
            </w:r>
            <w:r w:rsidR="00326E55" w:rsidRPr="00326E55">
              <w:rPr>
                <w:noProof/>
                <w:spacing w:val="-6"/>
                <w:lang w:val="sk-SK"/>
              </w:rPr>
              <w:t xml:space="preserve"> a </w:t>
            </w:r>
            <w:r w:rsidRPr="00326E55">
              <w:rPr>
                <w:noProof/>
                <w:spacing w:val="-6"/>
                <w:lang w:val="sk-SK"/>
              </w:rPr>
              <w:t>viaduktov</w:t>
            </w:r>
            <w:r w:rsidR="00326E55" w:rsidRPr="00326E55">
              <w:rPr>
                <w:noProof/>
                <w:spacing w:val="-6"/>
                <w:lang w:val="sk-SK"/>
              </w:rPr>
              <w:t xml:space="preserve"> z </w:t>
            </w:r>
            <w:r w:rsidRPr="00326E55">
              <w:rPr>
                <w:noProof/>
                <w:spacing w:val="-6"/>
                <w:lang w:val="sk-SK"/>
              </w:rPr>
              <w:t>ciest nižšej úrovne na cesty</w:t>
            </w:r>
            <w:r w:rsidR="00326E55" w:rsidRPr="00326E55">
              <w:rPr>
                <w:noProof/>
                <w:spacing w:val="-6"/>
                <w:lang w:val="sk-SK"/>
              </w:rPr>
              <w:t xml:space="preserve"> s </w:t>
            </w:r>
            <w:r w:rsidRPr="00326E55">
              <w:rPr>
                <w:noProof/>
                <w:spacing w:val="-6"/>
                <w:lang w:val="sk-SK"/>
              </w:rPr>
              <w:t>vyšším hodnotením</w:t>
            </w:r>
          </w:p>
        </w:tc>
        <w:tc>
          <w:tcPr>
            <w:tcW w:w="1418" w:type="dxa"/>
            <w:shd w:val="clear" w:color="auto" w:fill="C6EFCE"/>
            <w:tcMar>
              <w:left w:w="108" w:type="dxa"/>
              <w:right w:w="108" w:type="dxa"/>
            </w:tcMar>
            <w:vAlign w:val="center"/>
          </w:tcPr>
          <w:p w14:paraId="7A0D28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5CC1C9E" w14:textId="3444E3CF" w:rsidR="00BF03AA" w:rsidRPr="00326E55" w:rsidRDefault="00FB452D">
            <w:pPr>
              <w:pStyle w:val="P68B1DB1-Normal121"/>
              <w:spacing w:after="0" w:line="240" w:lineRule="auto"/>
              <w:rPr>
                <w:noProof/>
                <w:spacing w:val="-6"/>
                <w:lang w:val="sk-SK"/>
              </w:rPr>
            </w:pPr>
            <w:r w:rsidRPr="00326E55">
              <w:rPr>
                <w:noProof/>
                <w:spacing w:val="-6"/>
                <w:lang w:val="sk-SK"/>
              </w:rPr>
              <w:t>Previesť vlastníctvo mostov, viaduktov</w:t>
            </w:r>
            <w:r w:rsidR="00326E55" w:rsidRPr="00326E55">
              <w:rPr>
                <w:noProof/>
                <w:spacing w:val="-6"/>
                <w:lang w:val="sk-SK"/>
              </w:rPr>
              <w:t xml:space="preserve"> a </w:t>
            </w:r>
            <w:r w:rsidRPr="00326E55">
              <w:rPr>
                <w:noProof/>
                <w:spacing w:val="-6"/>
                <w:lang w:val="sk-SK"/>
              </w:rPr>
              <w:t>prejazdov</w:t>
            </w:r>
            <w:r w:rsidR="00326E55" w:rsidRPr="00326E55">
              <w:rPr>
                <w:noProof/>
                <w:spacing w:val="-6"/>
                <w:lang w:val="sk-SK"/>
              </w:rPr>
              <w:t xml:space="preserve"> z </w:t>
            </w:r>
            <w:r w:rsidRPr="00326E55">
              <w:rPr>
                <w:noProof/>
                <w:spacing w:val="-6"/>
                <w:lang w:val="sk-SK"/>
              </w:rPr>
              <w:t>ciest nižšej úrovne na tie, ktoré sú</w:t>
            </w:r>
            <w:r w:rsidR="00326E55" w:rsidRPr="00326E55">
              <w:rPr>
                <w:noProof/>
                <w:spacing w:val="-6"/>
                <w:lang w:val="sk-SK"/>
              </w:rPr>
              <w:t xml:space="preserve"> v </w:t>
            </w:r>
            <w:r w:rsidRPr="00326E55">
              <w:rPr>
                <w:noProof/>
                <w:spacing w:val="-6"/>
                <w:lang w:val="sk-SK"/>
              </w:rPr>
              <w:t>poradí vyššie (diaľnice</w:t>
            </w:r>
            <w:r w:rsidR="00326E55" w:rsidRPr="00326E55">
              <w:rPr>
                <w:noProof/>
                <w:spacing w:val="-6"/>
                <w:lang w:val="sk-SK"/>
              </w:rPr>
              <w:t xml:space="preserve"> a </w:t>
            </w:r>
            <w:r w:rsidRPr="00326E55">
              <w:rPr>
                <w:noProof/>
                <w:spacing w:val="-6"/>
                <w:lang w:val="sk-SK"/>
              </w:rPr>
              <w:t>hlavné štátne cesty)</w:t>
            </w:r>
          </w:p>
        </w:tc>
      </w:tr>
      <w:tr w:rsidR="00BF03AA" w:rsidRPr="00326E55" w14:paraId="63D4F54C" w14:textId="77777777">
        <w:trPr>
          <w:trHeight w:val="300"/>
        </w:trPr>
        <w:tc>
          <w:tcPr>
            <w:tcW w:w="1435" w:type="dxa"/>
            <w:shd w:val="clear" w:color="auto" w:fill="C6EFCE"/>
            <w:tcMar>
              <w:left w:w="108" w:type="dxa"/>
              <w:right w:w="108" w:type="dxa"/>
            </w:tcMar>
            <w:vAlign w:val="center"/>
          </w:tcPr>
          <w:p w14:paraId="698BCC3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27</w:t>
            </w:r>
          </w:p>
        </w:tc>
        <w:tc>
          <w:tcPr>
            <w:tcW w:w="3543" w:type="dxa"/>
            <w:shd w:val="clear" w:color="auto" w:fill="C6EFCE"/>
            <w:tcMar>
              <w:left w:w="108" w:type="dxa"/>
              <w:right w:w="108" w:type="dxa"/>
            </w:tcMar>
            <w:vAlign w:val="center"/>
          </w:tcPr>
          <w:p w14:paraId="3325D7A9" w14:textId="3EF9787D"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1.7: Reforma </w:t>
            </w:r>
            <w:r w:rsidRPr="00326E55">
              <w:rPr>
                <w:noProof/>
                <w:spacing w:val="-6"/>
                <w:lang w:val="sk-SK"/>
              </w:rPr>
              <w:t>regulácie bývania pre študentov</w:t>
            </w:r>
            <w:r w:rsidR="00326E55" w:rsidRPr="00326E55">
              <w:rPr>
                <w:noProof/>
                <w:spacing w:val="-6"/>
                <w:lang w:val="sk-SK"/>
              </w:rPr>
              <w:t xml:space="preserve"> a </w:t>
            </w:r>
            <w:r w:rsidRPr="00326E55">
              <w:rPr>
                <w:noProof/>
                <w:spacing w:val="-6"/>
                <w:lang w:val="sk-SK"/>
              </w:rPr>
              <w:t>investovanie do bývania pre študentov</w:t>
            </w:r>
          </w:p>
        </w:tc>
        <w:tc>
          <w:tcPr>
            <w:tcW w:w="1418" w:type="dxa"/>
            <w:shd w:val="clear" w:color="auto" w:fill="C6EFCE"/>
            <w:tcMar>
              <w:left w:w="108" w:type="dxa"/>
              <w:right w:w="108" w:type="dxa"/>
            </w:tcMar>
            <w:vAlign w:val="center"/>
          </w:tcPr>
          <w:p w14:paraId="4DCF300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2072813E"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právnych predpisov na zmenu súčasných pravidiel týkajúcich sa bývania pre študentov.</w:t>
            </w:r>
          </w:p>
        </w:tc>
      </w:tr>
      <w:tr w:rsidR="00BF03AA" w:rsidRPr="00326E55" w14:paraId="38775009" w14:textId="77777777">
        <w:trPr>
          <w:trHeight w:val="300"/>
        </w:trPr>
        <w:tc>
          <w:tcPr>
            <w:tcW w:w="1435" w:type="dxa"/>
            <w:shd w:val="clear" w:color="auto" w:fill="C6EFCE"/>
            <w:tcMar>
              <w:left w:w="108" w:type="dxa"/>
              <w:right w:w="108" w:type="dxa"/>
            </w:tcMar>
            <w:vAlign w:val="center"/>
          </w:tcPr>
          <w:p w14:paraId="7BD3534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M5C3 – 10</w:t>
            </w:r>
          </w:p>
        </w:tc>
        <w:tc>
          <w:tcPr>
            <w:tcW w:w="3543" w:type="dxa"/>
            <w:shd w:val="clear" w:color="auto" w:fill="C6EFCE"/>
            <w:tcMar>
              <w:left w:w="108" w:type="dxa"/>
              <w:right w:w="108" w:type="dxa"/>
            </w:tcMar>
            <w:vAlign w:val="center"/>
          </w:tcPr>
          <w:p w14:paraId="752EAF7E" w14:textId="4AEE7B66" w:rsidR="00BF03AA" w:rsidRPr="00326E55" w:rsidRDefault="00FB452D">
            <w:pPr>
              <w:pStyle w:val="P68B1DB1-Normal121"/>
              <w:spacing w:after="0" w:line="240" w:lineRule="auto"/>
              <w:rPr>
                <w:noProof/>
                <w:spacing w:val="-6"/>
                <w:lang w:val="sk-SK"/>
              </w:rPr>
            </w:pPr>
            <w:r w:rsidRPr="00326E55">
              <w:rPr>
                <w:noProof/>
                <w:spacing w:val="-6"/>
                <w:lang w:val="sk-SK"/>
              </w:rPr>
              <w:t>Reforma1: Zjednodušenie postupov</w:t>
            </w:r>
            <w:r w:rsidR="00326E55" w:rsidRPr="00326E55">
              <w:rPr>
                <w:noProof/>
                <w:spacing w:val="-6"/>
                <w:lang w:val="sk-SK"/>
              </w:rPr>
              <w:t xml:space="preserve"> a </w:t>
            </w:r>
            <w:r w:rsidRPr="00326E55">
              <w:rPr>
                <w:noProof/>
                <w:spacing w:val="-6"/>
                <w:lang w:val="sk-SK"/>
              </w:rPr>
              <w:t>posilnenie funkcie komi</w:t>
            </w:r>
            <w:r w:rsidRPr="00326E55">
              <w:rPr>
                <w:noProof/>
                <w:spacing w:val="-6"/>
                <w:lang w:val="sk-SK"/>
              </w:rPr>
              <w:t>sára</w:t>
            </w:r>
            <w:r w:rsidR="00326E55" w:rsidRPr="00326E55">
              <w:rPr>
                <w:noProof/>
                <w:spacing w:val="-6"/>
                <w:lang w:val="sk-SK"/>
              </w:rPr>
              <w:t xml:space="preserve"> v </w:t>
            </w:r>
            <w:r w:rsidRPr="00326E55">
              <w:rPr>
                <w:noProof/>
                <w:spacing w:val="-6"/>
                <w:lang w:val="sk-SK"/>
              </w:rPr>
              <w:t>osobitných hospodárskych zónach</w:t>
            </w:r>
          </w:p>
        </w:tc>
        <w:tc>
          <w:tcPr>
            <w:tcW w:w="1418" w:type="dxa"/>
            <w:shd w:val="clear" w:color="auto" w:fill="C6EFCE"/>
            <w:tcMar>
              <w:left w:w="108" w:type="dxa"/>
              <w:right w:w="108" w:type="dxa"/>
            </w:tcMar>
            <w:vAlign w:val="center"/>
          </w:tcPr>
          <w:p w14:paraId="1B0F79C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3BBF644A" w14:textId="4D5E65E8"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nariadenia len na postupy</w:t>
            </w:r>
            <w:r w:rsidR="00326E55" w:rsidRPr="00326E55">
              <w:rPr>
                <w:noProof/>
                <w:spacing w:val="-6"/>
                <w:lang w:val="sk-SK"/>
              </w:rPr>
              <w:t xml:space="preserve"> a </w:t>
            </w:r>
            <w:r w:rsidRPr="00326E55">
              <w:rPr>
                <w:noProof/>
                <w:spacing w:val="-6"/>
                <w:lang w:val="sk-SK"/>
              </w:rPr>
              <w:t>posilnenie úlohy komisára</w:t>
            </w:r>
            <w:r w:rsidR="00326E55" w:rsidRPr="00326E55">
              <w:rPr>
                <w:noProof/>
                <w:spacing w:val="-6"/>
                <w:lang w:val="sk-SK"/>
              </w:rPr>
              <w:t xml:space="preserve"> v </w:t>
            </w:r>
            <w:r w:rsidRPr="00326E55">
              <w:rPr>
                <w:noProof/>
                <w:spacing w:val="-6"/>
                <w:lang w:val="sk-SK"/>
              </w:rPr>
              <w:t>osobitných hospodárskych zónach</w:t>
            </w:r>
          </w:p>
        </w:tc>
      </w:tr>
      <w:tr w:rsidR="00BF03AA" w:rsidRPr="00326E55" w14:paraId="1D4DE726" w14:textId="77777777">
        <w:trPr>
          <w:trHeight w:val="300"/>
        </w:trPr>
        <w:tc>
          <w:tcPr>
            <w:tcW w:w="1435" w:type="dxa"/>
            <w:shd w:val="clear" w:color="auto" w:fill="C6EFCE"/>
            <w:tcMar>
              <w:left w:w="108" w:type="dxa"/>
              <w:right w:w="108" w:type="dxa"/>
            </w:tcMar>
            <w:vAlign w:val="center"/>
          </w:tcPr>
          <w:p w14:paraId="54464B5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M5C3 – 11</w:t>
            </w:r>
          </w:p>
        </w:tc>
        <w:tc>
          <w:tcPr>
            <w:tcW w:w="3543" w:type="dxa"/>
            <w:shd w:val="clear" w:color="auto" w:fill="C6EFCE"/>
            <w:tcMar>
              <w:left w:w="108" w:type="dxa"/>
              <w:right w:w="108" w:type="dxa"/>
            </w:tcMar>
            <w:vAlign w:val="center"/>
          </w:tcPr>
          <w:p w14:paraId="27C58C9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1.4: Investície do infraštruktúry pre osobitnú hospodársku zónu </w:t>
            </w:r>
          </w:p>
        </w:tc>
        <w:tc>
          <w:tcPr>
            <w:tcW w:w="1418" w:type="dxa"/>
            <w:shd w:val="clear" w:color="auto" w:fill="C6EFCE"/>
            <w:tcMar>
              <w:left w:w="108" w:type="dxa"/>
              <w:right w:w="108" w:type="dxa"/>
            </w:tcMar>
            <w:vAlign w:val="center"/>
          </w:tcPr>
          <w:p w14:paraId="60B069D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AD8E173"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vyhlášok ministerstva, ktorými sa schvaľujú operačné plány pre všetkých osem osobitných hospodárskych zón</w:t>
            </w:r>
          </w:p>
        </w:tc>
      </w:tr>
      <w:tr w:rsidR="00BF03AA" w:rsidRPr="00326E55" w14:paraId="6E8C6D02" w14:textId="77777777">
        <w:trPr>
          <w:trHeight w:val="300"/>
        </w:trPr>
        <w:tc>
          <w:tcPr>
            <w:tcW w:w="1435" w:type="dxa"/>
            <w:shd w:val="clear" w:color="auto" w:fill="C6EFCE"/>
            <w:tcMar>
              <w:left w:w="108" w:type="dxa"/>
              <w:right w:w="108" w:type="dxa"/>
            </w:tcMar>
            <w:vAlign w:val="center"/>
          </w:tcPr>
          <w:p w14:paraId="50A965B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4</w:t>
            </w:r>
          </w:p>
        </w:tc>
        <w:tc>
          <w:tcPr>
            <w:tcW w:w="3543" w:type="dxa"/>
            <w:shd w:val="clear" w:color="auto" w:fill="C6EFCE"/>
            <w:tcMar>
              <w:left w:w="108" w:type="dxa"/>
              <w:right w:w="108" w:type="dxa"/>
            </w:tcMar>
            <w:vAlign w:val="center"/>
          </w:tcPr>
          <w:p w14:paraId="0DAFC6D8" w14:textId="77777777" w:rsidR="00BF03AA" w:rsidRPr="00326E55" w:rsidRDefault="00FB452D">
            <w:pPr>
              <w:pStyle w:val="P68B1DB1-Normal123"/>
              <w:spacing w:after="0" w:line="240" w:lineRule="auto"/>
              <w:rPr>
                <w:noProof/>
                <w:spacing w:val="-6"/>
                <w:lang w:val="sk-SK"/>
              </w:rPr>
            </w:pPr>
            <w:r w:rsidRPr="00326E55">
              <w:rPr>
                <w:noProof/>
                <w:spacing w:val="-6"/>
                <w:lang w:val="sk-SK"/>
              </w:rPr>
              <w:t>Investícia 1.1: Digitálna aktualizácia technologického vybavenia nemocníc</w:t>
            </w:r>
          </w:p>
        </w:tc>
        <w:tc>
          <w:tcPr>
            <w:tcW w:w="1418" w:type="dxa"/>
            <w:shd w:val="clear" w:color="auto" w:fill="C6EFCE"/>
            <w:tcMar>
              <w:left w:w="108" w:type="dxa"/>
              <w:right w:w="108" w:type="dxa"/>
            </w:tcMar>
            <w:vAlign w:val="center"/>
          </w:tcPr>
          <w:p w14:paraId="2B6C0A23"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Míľnik</w:t>
            </w:r>
          </w:p>
        </w:tc>
        <w:tc>
          <w:tcPr>
            <w:tcW w:w="2963" w:type="dxa"/>
            <w:shd w:val="clear" w:color="auto" w:fill="C6EFCE"/>
            <w:tcMar>
              <w:left w:w="108" w:type="dxa"/>
              <w:right w:w="108" w:type="dxa"/>
            </w:tcMar>
            <w:vAlign w:val="center"/>
          </w:tcPr>
          <w:p w14:paraId="6ACDA6FF" w14:textId="77777777" w:rsidR="00BF03AA" w:rsidRPr="00326E55" w:rsidRDefault="00FB452D">
            <w:pPr>
              <w:pStyle w:val="P68B1DB1-Normal123"/>
              <w:spacing w:after="0" w:line="240" w:lineRule="auto"/>
              <w:rPr>
                <w:noProof/>
                <w:spacing w:val="-6"/>
                <w:lang w:val="sk-SK"/>
              </w:rPr>
            </w:pPr>
            <w:r w:rsidRPr="00326E55">
              <w:rPr>
                <w:noProof/>
                <w:spacing w:val="-6"/>
                <w:lang w:val="sk-SK"/>
              </w:rPr>
              <w:t xml:space="preserve">Plán reorganizácie schválený </w:t>
            </w:r>
            <w:r w:rsidRPr="00326E55">
              <w:rPr>
                <w:noProof/>
                <w:spacing w:val="-6"/>
                <w:lang w:val="sk-SK"/>
              </w:rPr>
              <w:t>ministerstvom zdravotníctva/talianskymi regiónmi</w:t>
            </w:r>
          </w:p>
        </w:tc>
      </w:tr>
      <w:tr w:rsidR="00BF03AA" w:rsidRPr="00326E55" w14:paraId="6308DF5F" w14:textId="77777777">
        <w:trPr>
          <w:trHeight w:val="300"/>
        </w:trPr>
        <w:tc>
          <w:tcPr>
            <w:tcW w:w="1435" w:type="dxa"/>
            <w:shd w:val="clear" w:color="auto" w:fill="C6EFCE"/>
            <w:tcMar>
              <w:left w:w="108" w:type="dxa"/>
              <w:right w:w="108" w:type="dxa"/>
            </w:tcMar>
            <w:vAlign w:val="center"/>
          </w:tcPr>
          <w:p w14:paraId="1C3EE6FB"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3" w:type="dxa"/>
            <w:shd w:val="clear" w:color="auto" w:fill="C6EFCE"/>
            <w:tcMar>
              <w:left w:w="108" w:type="dxa"/>
              <w:right w:w="108" w:type="dxa"/>
            </w:tcMar>
            <w:vAlign w:val="center"/>
          </w:tcPr>
          <w:p w14:paraId="342FEB66"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418" w:type="dxa"/>
            <w:shd w:val="clear" w:color="auto" w:fill="C6EFCE"/>
            <w:tcMar>
              <w:left w:w="108" w:type="dxa"/>
              <w:right w:w="108" w:type="dxa"/>
            </w:tcMar>
            <w:vAlign w:val="center"/>
          </w:tcPr>
          <w:p w14:paraId="2D66751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2963" w:type="dxa"/>
            <w:shd w:val="clear" w:color="auto" w:fill="C6EFCE"/>
            <w:tcMar>
              <w:left w:w="108" w:type="dxa"/>
              <w:right w:w="108" w:type="dxa"/>
            </w:tcMar>
            <w:vAlign w:val="center"/>
          </w:tcPr>
          <w:p w14:paraId="4EA675FA"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12643678161 EUR</w:t>
            </w:r>
            <w:r w:rsidRPr="00326E55">
              <w:rPr>
                <w:noProof/>
                <w:spacing w:val="-6"/>
                <w:sz w:val="23"/>
                <w:szCs w:val="23"/>
                <w:lang w:val="sk-SK"/>
              </w:rPr>
              <w:t xml:space="preserve">  </w:t>
            </w:r>
          </w:p>
        </w:tc>
      </w:tr>
    </w:tbl>
    <w:p w14:paraId="666E1A66"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28F7A18F" w14:textId="77777777" w:rsidR="00BF03AA" w:rsidRPr="00326E55" w:rsidRDefault="00FB452D">
      <w:pPr>
        <w:pStyle w:val="P68B1DB1-Normal8"/>
        <w:rPr>
          <w:noProof/>
          <w:spacing w:val="-6"/>
          <w:lang w:val="sk-SK"/>
        </w:rPr>
      </w:pPr>
      <w:r w:rsidRPr="00326E55">
        <w:rPr>
          <w:noProof/>
          <w:spacing w:val="-6"/>
          <w:lang w:val="sk-SK"/>
        </w:rPr>
        <w:br w:type="page"/>
      </w:r>
    </w:p>
    <w:p w14:paraId="3EFDB102"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Druhá fáza (úverová podpora):</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0"/>
        <w:gridCol w:w="2553"/>
        <w:gridCol w:w="1170"/>
        <w:gridCol w:w="4435"/>
      </w:tblGrid>
      <w:tr w:rsidR="00BF03AA" w:rsidRPr="00326E55" w14:paraId="6CA67CB6" w14:textId="77777777">
        <w:trPr>
          <w:trHeight w:val="900"/>
          <w:tblHeader/>
        </w:trPr>
        <w:tc>
          <w:tcPr>
            <w:tcW w:w="1200" w:type="dxa"/>
            <w:vMerge w:val="restart"/>
            <w:shd w:val="clear" w:color="auto" w:fill="BDD7EE"/>
            <w:tcMar>
              <w:left w:w="108" w:type="dxa"/>
              <w:right w:w="108" w:type="dxa"/>
            </w:tcMar>
            <w:vAlign w:val="center"/>
          </w:tcPr>
          <w:p w14:paraId="257C6D33"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2553" w:type="dxa"/>
            <w:vMerge w:val="restart"/>
            <w:shd w:val="clear" w:color="auto" w:fill="BDD7EE"/>
            <w:tcMar>
              <w:left w:w="108" w:type="dxa"/>
              <w:right w:w="108" w:type="dxa"/>
            </w:tcMar>
            <w:vAlign w:val="center"/>
          </w:tcPr>
          <w:p w14:paraId="3175FE57"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170" w:type="dxa"/>
            <w:vMerge w:val="restart"/>
            <w:shd w:val="clear" w:color="auto" w:fill="BDD7EE"/>
            <w:tcMar>
              <w:left w:w="108" w:type="dxa"/>
              <w:right w:w="108" w:type="dxa"/>
            </w:tcMar>
            <w:vAlign w:val="center"/>
          </w:tcPr>
          <w:p w14:paraId="16AB2E05"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4435" w:type="dxa"/>
            <w:vMerge w:val="restart"/>
            <w:shd w:val="clear" w:color="auto" w:fill="BDD7EE"/>
            <w:tcMar>
              <w:left w:w="108" w:type="dxa"/>
              <w:right w:w="108" w:type="dxa"/>
            </w:tcMar>
            <w:vAlign w:val="center"/>
          </w:tcPr>
          <w:p w14:paraId="40112433"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68CD4644" w14:textId="77777777">
        <w:trPr>
          <w:trHeight w:val="510"/>
        </w:trPr>
        <w:tc>
          <w:tcPr>
            <w:tcW w:w="1200" w:type="dxa"/>
            <w:vMerge/>
            <w:vAlign w:val="center"/>
          </w:tcPr>
          <w:p w14:paraId="4A0B3732"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553" w:type="dxa"/>
            <w:vMerge/>
            <w:vAlign w:val="center"/>
          </w:tcPr>
          <w:p w14:paraId="2B51545A"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170" w:type="dxa"/>
            <w:vMerge/>
            <w:vAlign w:val="center"/>
          </w:tcPr>
          <w:p w14:paraId="6A1DDCB4"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4435" w:type="dxa"/>
            <w:vMerge/>
            <w:vAlign w:val="center"/>
          </w:tcPr>
          <w:p w14:paraId="16A8E7B2"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7B1CD848" w14:textId="77777777">
        <w:trPr>
          <w:trHeight w:val="300"/>
        </w:trPr>
        <w:tc>
          <w:tcPr>
            <w:tcW w:w="1200" w:type="dxa"/>
            <w:shd w:val="clear" w:color="auto" w:fill="C6EFCE"/>
            <w:tcMar>
              <w:left w:w="108" w:type="dxa"/>
              <w:right w:w="108" w:type="dxa"/>
            </w:tcMar>
            <w:vAlign w:val="center"/>
          </w:tcPr>
          <w:p w14:paraId="260D9E2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28</w:t>
            </w:r>
          </w:p>
        </w:tc>
        <w:tc>
          <w:tcPr>
            <w:tcW w:w="2553" w:type="dxa"/>
            <w:shd w:val="clear" w:color="auto" w:fill="C6EFCE"/>
            <w:tcMar>
              <w:left w:w="108" w:type="dxa"/>
              <w:right w:w="108" w:type="dxa"/>
            </w:tcMar>
            <w:vAlign w:val="center"/>
          </w:tcPr>
          <w:p w14:paraId="73793D3E" w14:textId="55DF5CAF" w:rsidR="00BF03AA" w:rsidRPr="00326E55" w:rsidRDefault="00FB452D">
            <w:pPr>
              <w:pStyle w:val="P68B1DB1-Normal121"/>
              <w:spacing w:after="0" w:line="240" w:lineRule="auto"/>
              <w:rPr>
                <w:noProof/>
                <w:spacing w:val="-6"/>
                <w:lang w:val="sk-SK"/>
              </w:rPr>
            </w:pPr>
            <w:r w:rsidRPr="00326E55">
              <w:rPr>
                <w:noProof/>
                <w:spacing w:val="-6"/>
                <w:lang w:val="sk-SK"/>
              </w:rPr>
              <w:t>Investícia 5.2: Konkurencieschopnosť</w:t>
            </w:r>
            <w:r w:rsidR="00326E55" w:rsidRPr="00326E55">
              <w:rPr>
                <w:noProof/>
                <w:spacing w:val="-6"/>
                <w:lang w:val="sk-SK"/>
              </w:rPr>
              <w:t xml:space="preserve"> a </w:t>
            </w:r>
            <w:r w:rsidRPr="00326E55">
              <w:rPr>
                <w:noProof/>
                <w:spacing w:val="-6"/>
                <w:lang w:val="sk-SK"/>
              </w:rPr>
              <w:t>odolnosť dodávateľských reťazcov</w:t>
            </w:r>
          </w:p>
        </w:tc>
        <w:tc>
          <w:tcPr>
            <w:tcW w:w="1170" w:type="dxa"/>
            <w:shd w:val="clear" w:color="auto" w:fill="C6EFCE"/>
            <w:tcMar>
              <w:left w:w="108" w:type="dxa"/>
              <w:right w:w="108" w:type="dxa"/>
            </w:tcMar>
            <w:vAlign w:val="center"/>
          </w:tcPr>
          <w:p w14:paraId="0D2F762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70D3742D"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dekrétu obsahujúceho investičnú politiku rozvojových zmlúv</w:t>
            </w:r>
          </w:p>
        </w:tc>
      </w:tr>
      <w:tr w:rsidR="00BF03AA" w:rsidRPr="00326E55" w14:paraId="28236E4D" w14:textId="77777777">
        <w:trPr>
          <w:trHeight w:val="300"/>
        </w:trPr>
        <w:tc>
          <w:tcPr>
            <w:tcW w:w="1200" w:type="dxa"/>
            <w:shd w:val="clear" w:color="auto" w:fill="C6EFCE"/>
            <w:tcMar>
              <w:left w:w="108" w:type="dxa"/>
              <w:right w:w="108" w:type="dxa"/>
            </w:tcMar>
            <w:vAlign w:val="center"/>
          </w:tcPr>
          <w:p w14:paraId="1CA23E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27</w:t>
            </w:r>
          </w:p>
        </w:tc>
        <w:tc>
          <w:tcPr>
            <w:tcW w:w="2553" w:type="dxa"/>
            <w:shd w:val="clear" w:color="auto" w:fill="C6EFCE"/>
            <w:tcMar>
              <w:left w:w="108" w:type="dxa"/>
              <w:right w:w="108" w:type="dxa"/>
            </w:tcMar>
            <w:vAlign w:val="center"/>
          </w:tcPr>
          <w:p w14:paraId="174E9B61" w14:textId="3FAA91CE" w:rsidR="00BF03AA" w:rsidRPr="00326E55" w:rsidRDefault="00FB452D">
            <w:pPr>
              <w:pStyle w:val="P68B1DB1-Normal121"/>
              <w:spacing w:after="0" w:line="240" w:lineRule="auto"/>
              <w:rPr>
                <w:noProof/>
                <w:spacing w:val="-6"/>
                <w:lang w:val="sk-SK"/>
              </w:rPr>
            </w:pPr>
            <w:r w:rsidRPr="00326E55">
              <w:rPr>
                <w:noProof/>
                <w:spacing w:val="-6"/>
                <w:lang w:val="sk-SK"/>
              </w:rPr>
              <w:t>Reforma 4.1. Zjednodušenie právnych predpisov</w:t>
            </w:r>
            <w:r w:rsidR="00326E55" w:rsidRPr="00326E55">
              <w:rPr>
                <w:noProof/>
                <w:spacing w:val="-6"/>
                <w:lang w:val="sk-SK"/>
              </w:rPr>
              <w:t xml:space="preserve"> a </w:t>
            </w:r>
            <w:r w:rsidRPr="00326E55">
              <w:rPr>
                <w:noProof/>
                <w:spacing w:val="-6"/>
                <w:lang w:val="sk-SK"/>
              </w:rPr>
              <w:t xml:space="preserve">posilnenie riadenia pri realizácii investícií do infraštruktúry na </w:t>
            </w:r>
            <w:r w:rsidRPr="00326E55">
              <w:rPr>
                <w:noProof/>
                <w:spacing w:val="-6"/>
                <w:lang w:val="sk-SK"/>
              </w:rPr>
              <w:t>zásobovanie vodou</w:t>
            </w:r>
          </w:p>
        </w:tc>
        <w:tc>
          <w:tcPr>
            <w:tcW w:w="1170" w:type="dxa"/>
            <w:shd w:val="clear" w:color="auto" w:fill="C6EFCE"/>
            <w:tcMar>
              <w:left w:w="108" w:type="dxa"/>
              <w:right w:w="108" w:type="dxa"/>
            </w:tcMar>
            <w:vAlign w:val="center"/>
          </w:tcPr>
          <w:p w14:paraId="3DAB983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7AFBC78D" w14:textId="501C0F0E"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zjednodušenia právnych predpisov pre intervencie</w:t>
            </w:r>
            <w:r w:rsidR="00326E55" w:rsidRPr="00326E55">
              <w:rPr>
                <w:noProof/>
                <w:spacing w:val="-6"/>
                <w:lang w:val="sk-SK"/>
              </w:rPr>
              <w:t xml:space="preserve"> v </w:t>
            </w:r>
            <w:r w:rsidRPr="00326E55">
              <w:rPr>
                <w:noProof/>
                <w:spacing w:val="-6"/>
                <w:lang w:val="sk-SK"/>
              </w:rPr>
              <w:t xml:space="preserve">primárnej vodohospodárskej infraštruktúre na zabezpečenie dodávok vody </w:t>
            </w:r>
          </w:p>
        </w:tc>
      </w:tr>
      <w:tr w:rsidR="00BF03AA" w:rsidRPr="00326E55" w14:paraId="5766BE5B" w14:textId="77777777">
        <w:trPr>
          <w:trHeight w:val="300"/>
        </w:trPr>
        <w:tc>
          <w:tcPr>
            <w:tcW w:w="1200" w:type="dxa"/>
            <w:shd w:val="clear" w:color="auto" w:fill="C6EFCE"/>
            <w:tcMar>
              <w:left w:w="108" w:type="dxa"/>
              <w:right w:w="108" w:type="dxa"/>
            </w:tcMar>
            <w:vAlign w:val="center"/>
          </w:tcPr>
          <w:p w14:paraId="724B400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11</w:t>
            </w:r>
          </w:p>
        </w:tc>
        <w:tc>
          <w:tcPr>
            <w:tcW w:w="2553" w:type="dxa"/>
            <w:shd w:val="clear" w:color="auto" w:fill="C6EFCE"/>
            <w:tcMar>
              <w:left w:w="108" w:type="dxa"/>
              <w:right w:w="108" w:type="dxa"/>
            </w:tcMar>
            <w:vAlign w:val="center"/>
          </w:tcPr>
          <w:p w14:paraId="4BE47EB9" w14:textId="1000F325" w:rsidR="00BF03AA" w:rsidRPr="00326E55" w:rsidRDefault="00FB452D">
            <w:pPr>
              <w:pStyle w:val="P68B1DB1-Normal121"/>
              <w:spacing w:after="0" w:line="240" w:lineRule="auto"/>
              <w:rPr>
                <w:noProof/>
                <w:spacing w:val="-6"/>
                <w:lang w:val="sk-SK"/>
              </w:rPr>
            </w:pPr>
            <w:r w:rsidRPr="00326E55">
              <w:rPr>
                <w:noProof/>
                <w:spacing w:val="-6"/>
                <w:lang w:val="sk-SK"/>
              </w:rPr>
              <w:t>Investícia 4 – Investície do projektov obnovy miest zamerané na zníženie s</w:t>
            </w:r>
            <w:r w:rsidRPr="00326E55">
              <w:rPr>
                <w:noProof/>
                <w:spacing w:val="-6"/>
                <w:lang w:val="sk-SK"/>
              </w:rPr>
              <w:t>ituácií marginalizácie</w:t>
            </w:r>
            <w:r w:rsidR="00326E55" w:rsidRPr="00326E55">
              <w:rPr>
                <w:noProof/>
                <w:spacing w:val="-6"/>
                <w:lang w:val="sk-SK"/>
              </w:rPr>
              <w:t xml:space="preserve"> a </w:t>
            </w:r>
            <w:r w:rsidRPr="00326E55">
              <w:rPr>
                <w:noProof/>
                <w:spacing w:val="-6"/>
                <w:lang w:val="sk-SK"/>
              </w:rPr>
              <w:t>sociálnej degradácie</w:t>
            </w:r>
          </w:p>
        </w:tc>
        <w:tc>
          <w:tcPr>
            <w:tcW w:w="1170" w:type="dxa"/>
            <w:shd w:val="clear" w:color="auto" w:fill="C6EFCE"/>
            <w:tcMar>
              <w:left w:w="108" w:type="dxa"/>
              <w:right w:w="108" w:type="dxa"/>
            </w:tcMar>
            <w:vAlign w:val="center"/>
          </w:tcPr>
          <w:p w14:paraId="17DE56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47BA76A7" w14:textId="4A53D0C9"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investície do obnovy miest</w:t>
            </w:r>
            <w:r w:rsidR="00326E55" w:rsidRPr="00326E55">
              <w:rPr>
                <w:noProof/>
                <w:spacing w:val="-6"/>
                <w:lang w:val="sk-SK"/>
              </w:rPr>
              <w:t xml:space="preserve"> s </w:t>
            </w:r>
            <w:r w:rsidRPr="00326E55">
              <w:rPr>
                <w:noProof/>
                <w:spacing w:val="-6"/>
                <w:lang w:val="sk-SK"/>
              </w:rPr>
              <w:t>cieľom znížiť situácie marginalizácie</w:t>
            </w:r>
            <w:r w:rsidR="00326E55" w:rsidRPr="00326E55">
              <w:rPr>
                <w:noProof/>
                <w:spacing w:val="-6"/>
                <w:lang w:val="sk-SK"/>
              </w:rPr>
              <w:t xml:space="preserve"> a </w:t>
            </w:r>
            <w:r w:rsidRPr="00326E55">
              <w:rPr>
                <w:noProof/>
                <w:spacing w:val="-6"/>
                <w:lang w:val="sk-SK"/>
              </w:rPr>
              <w:t>sociálnej degradácie</w:t>
            </w:r>
            <w:r w:rsidR="00326E55" w:rsidRPr="00326E55">
              <w:rPr>
                <w:noProof/>
                <w:spacing w:val="-6"/>
                <w:lang w:val="sk-SK"/>
              </w:rPr>
              <w:t xml:space="preserve"> s </w:t>
            </w:r>
            <w:r w:rsidRPr="00326E55">
              <w:rPr>
                <w:noProof/>
                <w:spacing w:val="-6"/>
                <w:lang w:val="sk-SK"/>
              </w:rPr>
              <w:t>projektmi</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cieľmi Mechanizmu na podporu obnovy</w:t>
            </w:r>
            <w:r w:rsidR="00326E55" w:rsidRPr="00326E55">
              <w:rPr>
                <w:noProof/>
                <w:spacing w:val="-6"/>
                <w:lang w:val="sk-SK"/>
              </w:rPr>
              <w:t xml:space="preserve"> a </w:t>
            </w:r>
            <w:r w:rsidRPr="00326E55">
              <w:rPr>
                <w:noProof/>
                <w:spacing w:val="-6"/>
                <w:lang w:val="sk-SK"/>
              </w:rPr>
              <w:t>odolnosti v</w:t>
            </w:r>
            <w:r w:rsidRPr="00326E55">
              <w:rPr>
                <w:noProof/>
                <w:spacing w:val="-6"/>
                <w:lang w:val="sk-SK"/>
              </w:rPr>
              <w:t>rátane zásady „výrazne nenarušiť“</w:t>
            </w:r>
          </w:p>
        </w:tc>
      </w:tr>
      <w:tr w:rsidR="00BF03AA" w:rsidRPr="00326E55" w14:paraId="28F1458C" w14:textId="77777777">
        <w:trPr>
          <w:trHeight w:val="300"/>
        </w:trPr>
        <w:tc>
          <w:tcPr>
            <w:tcW w:w="1200" w:type="dxa"/>
            <w:shd w:val="clear" w:color="auto" w:fill="C6EFCE"/>
            <w:tcMar>
              <w:left w:w="108" w:type="dxa"/>
              <w:right w:w="108" w:type="dxa"/>
            </w:tcMar>
            <w:vAlign w:val="center"/>
          </w:tcPr>
          <w:p w14:paraId="1BA1932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15</w:t>
            </w:r>
          </w:p>
        </w:tc>
        <w:tc>
          <w:tcPr>
            <w:tcW w:w="2553" w:type="dxa"/>
            <w:shd w:val="clear" w:color="auto" w:fill="C6EFCE"/>
            <w:tcMar>
              <w:left w:w="108" w:type="dxa"/>
              <w:right w:w="108" w:type="dxa"/>
            </w:tcMar>
            <w:vAlign w:val="center"/>
          </w:tcPr>
          <w:p w14:paraId="2097472A" w14:textId="65203D9C" w:rsidR="00BF03AA" w:rsidRPr="00326E55" w:rsidRDefault="00FB452D">
            <w:pPr>
              <w:pStyle w:val="P68B1DB1-Normal121"/>
              <w:spacing w:after="0" w:line="240" w:lineRule="auto"/>
              <w:rPr>
                <w:noProof/>
                <w:spacing w:val="-6"/>
                <w:lang w:val="sk-SK"/>
              </w:rPr>
            </w:pPr>
            <w:r w:rsidRPr="00326E55">
              <w:rPr>
                <w:noProof/>
                <w:spacing w:val="-6"/>
                <w:lang w:val="sk-SK"/>
              </w:rPr>
              <w:t>Investícia 5 – Mestské integrované plány – Prekonanie nelegálnych osád</w:t>
            </w:r>
            <w:r w:rsidR="00326E55" w:rsidRPr="00326E55">
              <w:rPr>
                <w:noProof/>
                <w:spacing w:val="-6"/>
                <w:lang w:val="sk-SK"/>
              </w:rPr>
              <w:t xml:space="preserve"> v </w:t>
            </w:r>
            <w:r w:rsidRPr="00326E55">
              <w:rPr>
                <w:noProof/>
                <w:spacing w:val="-6"/>
                <w:lang w:val="sk-SK"/>
              </w:rPr>
              <w:t>boji proti pracovnému vykorisťovaniu</w:t>
            </w:r>
            <w:r w:rsidR="00326E55" w:rsidRPr="00326E55">
              <w:rPr>
                <w:noProof/>
                <w:spacing w:val="-6"/>
                <w:lang w:val="sk-SK"/>
              </w:rPr>
              <w:t xml:space="preserve"> v </w:t>
            </w:r>
            <w:r w:rsidRPr="00326E55">
              <w:rPr>
                <w:noProof/>
                <w:spacing w:val="-6"/>
                <w:lang w:val="sk-SK"/>
              </w:rPr>
              <w:t>poľnohospodárstve</w:t>
            </w:r>
          </w:p>
        </w:tc>
        <w:tc>
          <w:tcPr>
            <w:tcW w:w="1170" w:type="dxa"/>
            <w:shd w:val="clear" w:color="auto" w:fill="C6EFCE"/>
            <w:tcMar>
              <w:left w:w="108" w:type="dxa"/>
              <w:right w:w="108" w:type="dxa"/>
            </w:tcMar>
            <w:vAlign w:val="center"/>
          </w:tcPr>
          <w:p w14:paraId="6691E3B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05DA7619" w14:textId="45E9FDC0"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ministerskej vyhlášky, ktorou sa stanovuje </w:t>
            </w:r>
            <w:r w:rsidRPr="00326E55">
              <w:rPr>
                <w:noProof/>
                <w:spacing w:val="-6"/>
                <w:lang w:val="sk-SK"/>
              </w:rPr>
              <w:t>mapovanie nelegálnych osád, sa prijíma</w:t>
            </w:r>
            <w:r w:rsidR="00326E55" w:rsidRPr="00326E55">
              <w:rPr>
                <w:noProof/>
                <w:spacing w:val="-6"/>
                <w:lang w:val="sk-SK"/>
              </w:rPr>
              <w:t xml:space="preserve"> v </w:t>
            </w:r>
            <w:r w:rsidRPr="00326E55">
              <w:rPr>
                <w:noProof/>
                <w:spacing w:val="-6"/>
                <w:lang w:val="sk-SK"/>
              </w:rPr>
              <w:t>„Tavolo di contrasto allo sfruttamento lavorativo in agricoltura“</w:t>
            </w:r>
            <w:r w:rsidR="00326E55" w:rsidRPr="00326E55">
              <w:rPr>
                <w:noProof/>
                <w:spacing w:val="-6"/>
                <w:lang w:val="sk-SK"/>
              </w:rPr>
              <w:t xml:space="preserve"> a </w:t>
            </w:r>
            <w:r w:rsidRPr="00326E55">
              <w:rPr>
                <w:noProof/>
                <w:spacing w:val="-6"/>
                <w:lang w:val="sk-SK"/>
              </w:rPr>
              <w:t>prijíma sa ministerská vyhláška</w:t>
            </w:r>
            <w:r w:rsidR="00326E55" w:rsidRPr="00326E55">
              <w:rPr>
                <w:noProof/>
                <w:spacing w:val="-6"/>
                <w:lang w:val="sk-SK"/>
              </w:rPr>
              <w:t xml:space="preserve"> o </w:t>
            </w:r>
            <w:r w:rsidRPr="00326E55">
              <w:rPr>
                <w:noProof/>
                <w:spacing w:val="-6"/>
                <w:lang w:val="sk-SK"/>
              </w:rPr>
              <w:t>prideľovaní zdrojov.</w:t>
            </w:r>
          </w:p>
        </w:tc>
      </w:tr>
      <w:tr w:rsidR="00BF03AA" w:rsidRPr="00326E55" w14:paraId="79662224" w14:textId="77777777">
        <w:trPr>
          <w:trHeight w:val="300"/>
        </w:trPr>
        <w:tc>
          <w:tcPr>
            <w:tcW w:w="1200" w:type="dxa"/>
            <w:shd w:val="clear" w:color="auto" w:fill="C6EFCE"/>
            <w:tcMar>
              <w:left w:w="108" w:type="dxa"/>
              <w:right w:w="108" w:type="dxa"/>
            </w:tcMar>
            <w:vAlign w:val="center"/>
          </w:tcPr>
          <w:p w14:paraId="4B05C2A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19</w:t>
            </w:r>
          </w:p>
        </w:tc>
        <w:tc>
          <w:tcPr>
            <w:tcW w:w="2553" w:type="dxa"/>
            <w:shd w:val="clear" w:color="auto" w:fill="C6EFCE"/>
            <w:tcMar>
              <w:left w:w="108" w:type="dxa"/>
              <w:right w:w="108" w:type="dxa"/>
            </w:tcMar>
            <w:vAlign w:val="center"/>
          </w:tcPr>
          <w:p w14:paraId="3708923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6 – Inovačný program pre kvalitu bývania</w:t>
            </w:r>
          </w:p>
        </w:tc>
        <w:tc>
          <w:tcPr>
            <w:tcW w:w="1170" w:type="dxa"/>
            <w:shd w:val="clear" w:color="auto" w:fill="C6EFCE"/>
            <w:tcMar>
              <w:left w:w="108" w:type="dxa"/>
              <w:right w:w="108" w:type="dxa"/>
            </w:tcMar>
            <w:vAlign w:val="center"/>
          </w:tcPr>
          <w:p w14:paraId="5EDE789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17C4F134" w14:textId="6A10A778" w:rsidR="00BF03AA" w:rsidRPr="00326E55" w:rsidRDefault="00FB452D">
            <w:pPr>
              <w:pStyle w:val="P68B1DB1-Normal121"/>
              <w:spacing w:after="0" w:line="240" w:lineRule="auto"/>
              <w:rPr>
                <w:noProof/>
                <w:spacing w:val="-6"/>
                <w:lang w:val="sk-SK"/>
              </w:rPr>
            </w:pPr>
            <w:r w:rsidRPr="00326E55">
              <w:rPr>
                <w:noProof/>
                <w:spacing w:val="-6"/>
                <w:lang w:val="sk-SK"/>
              </w:rPr>
              <w:t>Regióny</w:t>
            </w:r>
            <w:r w:rsidR="00326E55" w:rsidRPr="00326E55">
              <w:rPr>
                <w:noProof/>
                <w:spacing w:val="-6"/>
                <w:lang w:val="sk-SK"/>
              </w:rPr>
              <w:t xml:space="preserve"> a </w:t>
            </w:r>
            <w:r w:rsidRPr="00326E55">
              <w:rPr>
                <w:noProof/>
                <w:spacing w:val="-6"/>
                <w:lang w:val="sk-SK"/>
              </w:rPr>
              <w:t>autonómne pr</w:t>
            </w:r>
            <w:r w:rsidRPr="00326E55">
              <w:rPr>
                <w:noProof/>
                <w:spacing w:val="-6"/>
                <w:lang w:val="sk-SK"/>
              </w:rPr>
              <w:t>ovincie (vrátane obcí a/alebo metropolitných miest nachádzajúcich sa na týchto územiach) podpísali dohody</w:t>
            </w:r>
            <w:r w:rsidR="00326E55" w:rsidRPr="00326E55">
              <w:rPr>
                <w:noProof/>
                <w:spacing w:val="-6"/>
                <w:lang w:val="sk-SK"/>
              </w:rPr>
              <w:t xml:space="preserve"> o </w:t>
            </w:r>
            <w:r w:rsidRPr="00326E55">
              <w:rPr>
                <w:noProof/>
                <w:spacing w:val="-6"/>
                <w:lang w:val="sk-SK"/>
              </w:rPr>
              <w:t>prestavbe</w:t>
            </w:r>
            <w:r w:rsidR="00326E55" w:rsidRPr="00326E55">
              <w:rPr>
                <w:noProof/>
                <w:spacing w:val="-6"/>
                <w:lang w:val="sk-SK"/>
              </w:rPr>
              <w:t xml:space="preserve"> a </w:t>
            </w:r>
            <w:r w:rsidRPr="00326E55">
              <w:rPr>
                <w:noProof/>
                <w:spacing w:val="-6"/>
                <w:lang w:val="sk-SK"/>
              </w:rPr>
              <w:t>rozšírení sociálneho bývania</w:t>
            </w:r>
          </w:p>
        </w:tc>
      </w:tr>
      <w:tr w:rsidR="00BF03AA" w:rsidRPr="00326E55" w14:paraId="491996FE" w14:textId="77777777">
        <w:trPr>
          <w:trHeight w:val="300"/>
        </w:trPr>
        <w:tc>
          <w:tcPr>
            <w:tcW w:w="1200" w:type="dxa"/>
            <w:shd w:val="clear" w:color="auto" w:fill="C6EFCE"/>
            <w:tcMar>
              <w:left w:w="108" w:type="dxa"/>
              <w:right w:w="108" w:type="dxa"/>
            </w:tcMar>
            <w:vAlign w:val="center"/>
          </w:tcPr>
          <w:p w14:paraId="5E38BF8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16</w:t>
            </w:r>
          </w:p>
        </w:tc>
        <w:tc>
          <w:tcPr>
            <w:tcW w:w="2553" w:type="dxa"/>
            <w:shd w:val="clear" w:color="auto" w:fill="C6EFCE"/>
            <w:tcMar>
              <w:left w:w="108" w:type="dxa"/>
              <w:right w:w="108" w:type="dxa"/>
            </w:tcMar>
            <w:vAlign w:val="center"/>
          </w:tcPr>
          <w:p w14:paraId="42179E97" w14:textId="37B6CCAF" w:rsidR="00BF03AA" w:rsidRPr="00326E55" w:rsidRDefault="00FB452D">
            <w:pPr>
              <w:pStyle w:val="P68B1DB1-Normal121"/>
              <w:spacing w:after="0" w:line="240" w:lineRule="auto"/>
              <w:rPr>
                <w:noProof/>
                <w:spacing w:val="-6"/>
                <w:lang w:val="sk-SK"/>
              </w:rPr>
            </w:pPr>
            <w:r w:rsidRPr="00326E55">
              <w:rPr>
                <w:noProof/>
                <w:spacing w:val="-6"/>
                <w:lang w:val="sk-SK"/>
              </w:rPr>
              <w:t>Investícia 3: Rýchle internetové pripojenie (širokopásmové pripojenie</w:t>
            </w:r>
            <w:r w:rsidR="00326E55" w:rsidRPr="00326E55">
              <w:rPr>
                <w:noProof/>
                <w:spacing w:val="-6"/>
                <w:lang w:val="sk-SK"/>
              </w:rPr>
              <w:t xml:space="preserve"> a </w:t>
            </w:r>
            <w:r w:rsidRPr="00326E55">
              <w:rPr>
                <w:noProof/>
                <w:spacing w:val="-6"/>
                <w:lang w:val="sk-SK"/>
              </w:rPr>
              <w:t>5G)</w:t>
            </w:r>
          </w:p>
        </w:tc>
        <w:tc>
          <w:tcPr>
            <w:tcW w:w="1170" w:type="dxa"/>
            <w:shd w:val="clear" w:color="auto" w:fill="C6EFCE"/>
            <w:tcMar>
              <w:left w:w="108" w:type="dxa"/>
              <w:right w:w="108" w:type="dxa"/>
            </w:tcMar>
            <w:vAlign w:val="center"/>
          </w:tcPr>
          <w:p w14:paraId="1F2BE1D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7182FC6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Zadávanie </w:t>
            </w:r>
            <w:r w:rsidRPr="00326E55">
              <w:rPr>
                <w:noProof/>
                <w:spacing w:val="-6"/>
                <w:lang w:val="sk-SK"/>
              </w:rPr>
              <w:t>všetkých verejných zákaziek na projekty rýchlejšieho pripojenia</w:t>
            </w:r>
          </w:p>
        </w:tc>
      </w:tr>
      <w:tr w:rsidR="00BF03AA" w:rsidRPr="00326E55" w14:paraId="10587FA3" w14:textId="77777777">
        <w:trPr>
          <w:trHeight w:val="300"/>
        </w:trPr>
        <w:tc>
          <w:tcPr>
            <w:tcW w:w="1200" w:type="dxa"/>
            <w:shd w:val="clear" w:color="auto" w:fill="C6EFCE"/>
            <w:tcMar>
              <w:left w:w="108" w:type="dxa"/>
              <w:right w:w="108" w:type="dxa"/>
            </w:tcMar>
            <w:vAlign w:val="center"/>
          </w:tcPr>
          <w:p w14:paraId="75C2621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12</w:t>
            </w:r>
          </w:p>
        </w:tc>
        <w:tc>
          <w:tcPr>
            <w:tcW w:w="2553" w:type="dxa"/>
            <w:shd w:val="clear" w:color="auto" w:fill="C6EFCE"/>
            <w:tcMar>
              <w:left w:w="108" w:type="dxa"/>
              <w:right w:w="108" w:type="dxa"/>
            </w:tcMar>
            <w:vAlign w:val="center"/>
          </w:tcPr>
          <w:p w14:paraId="3D3AFC8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2.1 – Atraktívnosť malých historických miest</w:t>
            </w:r>
          </w:p>
        </w:tc>
        <w:tc>
          <w:tcPr>
            <w:tcW w:w="1170" w:type="dxa"/>
            <w:shd w:val="clear" w:color="auto" w:fill="C6EFCE"/>
            <w:tcMar>
              <w:left w:w="108" w:type="dxa"/>
              <w:right w:w="108" w:type="dxa"/>
            </w:tcMar>
            <w:vAlign w:val="center"/>
          </w:tcPr>
          <w:p w14:paraId="1AF79D8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28639BB0" w14:textId="18213AB1"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vyhlášky ministerstva kultúry</w:t>
            </w:r>
            <w:r w:rsidR="00326E55" w:rsidRPr="00326E55">
              <w:rPr>
                <w:noProof/>
                <w:spacing w:val="-6"/>
                <w:lang w:val="sk-SK"/>
              </w:rPr>
              <w:t xml:space="preserve"> o </w:t>
            </w:r>
            <w:r w:rsidRPr="00326E55">
              <w:rPr>
                <w:noProof/>
                <w:spacing w:val="-6"/>
                <w:lang w:val="sk-SK"/>
              </w:rPr>
              <w:t>prideľovaní zdrojov obciam</w:t>
            </w:r>
            <w:r w:rsidR="00326E55" w:rsidRPr="00326E55">
              <w:rPr>
                <w:noProof/>
                <w:spacing w:val="-6"/>
                <w:lang w:val="sk-SK"/>
              </w:rPr>
              <w:t xml:space="preserve"> v </w:t>
            </w:r>
            <w:r w:rsidRPr="00326E55">
              <w:rPr>
                <w:noProof/>
                <w:spacing w:val="-6"/>
                <w:lang w:val="sk-SK"/>
              </w:rPr>
              <w:t>záujme atraktívnosti malých histor</w:t>
            </w:r>
            <w:r w:rsidRPr="00326E55">
              <w:rPr>
                <w:noProof/>
                <w:spacing w:val="-6"/>
                <w:lang w:val="sk-SK"/>
              </w:rPr>
              <w:t xml:space="preserve">ických miest  </w:t>
            </w:r>
          </w:p>
        </w:tc>
      </w:tr>
      <w:tr w:rsidR="00BF03AA" w:rsidRPr="00326E55" w14:paraId="014AD6A7" w14:textId="77777777">
        <w:trPr>
          <w:trHeight w:val="300"/>
        </w:trPr>
        <w:tc>
          <w:tcPr>
            <w:tcW w:w="1200" w:type="dxa"/>
            <w:shd w:val="clear" w:color="auto" w:fill="C6EFCE"/>
            <w:tcMar>
              <w:left w:w="108" w:type="dxa"/>
              <w:right w:w="108" w:type="dxa"/>
            </w:tcMar>
            <w:vAlign w:val="center"/>
          </w:tcPr>
          <w:p w14:paraId="2E255B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13</w:t>
            </w:r>
          </w:p>
        </w:tc>
        <w:tc>
          <w:tcPr>
            <w:tcW w:w="2553" w:type="dxa"/>
            <w:shd w:val="clear" w:color="auto" w:fill="C6EFCE"/>
            <w:tcMar>
              <w:left w:w="108" w:type="dxa"/>
              <w:right w:w="108" w:type="dxa"/>
            </w:tcMar>
            <w:vAlign w:val="center"/>
          </w:tcPr>
          <w:p w14:paraId="6A3D6575" w14:textId="7DD6D352" w:rsidR="00BF03AA" w:rsidRPr="00326E55" w:rsidRDefault="00FB452D">
            <w:pPr>
              <w:pStyle w:val="P68B1DB1-Normal121"/>
              <w:spacing w:after="0" w:line="240" w:lineRule="auto"/>
              <w:rPr>
                <w:noProof/>
                <w:spacing w:val="-6"/>
                <w:lang w:val="sk-SK"/>
              </w:rPr>
            </w:pPr>
            <w:r w:rsidRPr="00326E55">
              <w:rPr>
                <w:noProof/>
                <w:spacing w:val="-6"/>
                <w:lang w:val="sk-SK"/>
              </w:rPr>
              <w:t>Investícia 2.2 – Ochrana</w:t>
            </w:r>
            <w:r w:rsidR="00326E55" w:rsidRPr="00326E55">
              <w:rPr>
                <w:noProof/>
                <w:spacing w:val="-6"/>
                <w:lang w:val="sk-SK"/>
              </w:rPr>
              <w:t xml:space="preserve"> a </w:t>
            </w:r>
            <w:r w:rsidRPr="00326E55">
              <w:rPr>
                <w:noProof/>
                <w:spacing w:val="-6"/>
                <w:lang w:val="sk-SK"/>
              </w:rPr>
              <w:t>zlepšenie vidieckej architektúry</w:t>
            </w:r>
            <w:r w:rsidR="00326E55" w:rsidRPr="00326E55">
              <w:rPr>
                <w:noProof/>
                <w:spacing w:val="-6"/>
                <w:lang w:val="sk-SK"/>
              </w:rPr>
              <w:t xml:space="preserve"> a </w:t>
            </w:r>
            <w:r w:rsidRPr="00326E55">
              <w:rPr>
                <w:noProof/>
                <w:spacing w:val="-6"/>
                <w:lang w:val="sk-SK"/>
              </w:rPr>
              <w:t>krajiny</w:t>
            </w:r>
          </w:p>
        </w:tc>
        <w:tc>
          <w:tcPr>
            <w:tcW w:w="1170" w:type="dxa"/>
            <w:shd w:val="clear" w:color="auto" w:fill="C6EFCE"/>
            <w:tcMar>
              <w:left w:w="108" w:type="dxa"/>
              <w:right w:w="108" w:type="dxa"/>
            </w:tcMar>
            <w:vAlign w:val="center"/>
          </w:tcPr>
          <w:p w14:paraId="506A26C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135D6726" w14:textId="2B8E2D4B"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vyhlášky ministerstva kultúry</w:t>
            </w:r>
            <w:r w:rsidR="00326E55" w:rsidRPr="00326E55">
              <w:rPr>
                <w:noProof/>
                <w:spacing w:val="-6"/>
                <w:lang w:val="sk-SK"/>
              </w:rPr>
              <w:t xml:space="preserve"> o </w:t>
            </w:r>
            <w:r w:rsidRPr="00326E55">
              <w:rPr>
                <w:noProof/>
                <w:spacing w:val="-6"/>
                <w:lang w:val="sk-SK"/>
              </w:rPr>
              <w:t>prideľovaní zdrojov: na ochranu</w:t>
            </w:r>
            <w:r w:rsidR="00326E55" w:rsidRPr="00326E55">
              <w:rPr>
                <w:noProof/>
                <w:spacing w:val="-6"/>
                <w:lang w:val="sk-SK"/>
              </w:rPr>
              <w:t xml:space="preserve"> a </w:t>
            </w:r>
            <w:r w:rsidRPr="00326E55">
              <w:rPr>
                <w:noProof/>
                <w:spacing w:val="-6"/>
                <w:lang w:val="sk-SK"/>
              </w:rPr>
              <w:t>zlepšenie vidieckej architektúry</w:t>
            </w:r>
            <w:r w:rsidR="00326E55" w:rsidRPr="00326E55">
              <w:rPr>
                <w:noProof/>
                <w:spacing w:val="-6"/>
                <w:lang w:val="sk-SK"/>
              </w:rPr>
              <w:t xml:space="preserve"> a </w:t>
            </w:r>
            <w:r w:rsidRPr="00326E55">
              <w:rPr>
                <w:noProof/>
                <w:spacing w:val="-6"/>
                <w:lang w:val="sk-SK"/>
              </w:rPr>
              <w:t xml:space="preserve">krajiny </w:t>
            </w:r>
          </w:p>
        </w:tc>
      </w:tr>
      <w:tr w:rsidR="00BF03AA" w:rsidRPr="00326E55" w14:paraId="02B06881" w14:textId="77777777">
        <w:trPr>
          <w:trHeight w:val="300"/>
        </w:trPr>
        <w:tc>
          <w:tcPr>
            <w:tcW w:w="1200" w:type="dxa"/>
            <w:shd w:val="clear" w:color="auto" w:fill="C6EFCE"/>
            <w:tcMar>
              <w:left w:w="108" w:type="dxa"/>
              <w:right w:w="108" w:type="dxa"/>
            </w:tcMar>
            <w:vAlign w:val="center"/>
          </w:tcPr>
          <w:p w14:paraId="2F1980D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14</w:t>
            </w:r>
          </w:p>
        </w:tc>
        <w:tc>
          <w:tcPr>
            <w:tcW w:w="2553" w:type="dxa"/>
            <w:shd w:val="clear" w:color="auto" w:fill="C6EFCE"/>
            <w:tcMar>
              <w:left w:w="108" w:type="dxa"/>
              <w:right w:w="108" w:type="dxa"/>
            </w:tcMar>
            <w:vAlign w:val="center"/>
          </w:tcPr>
          <w:p w14:paraId="0070661E" w14:textId="3F631836" w:rsidR="00BF03AA" w:rsidRPr="00326E55" w:rsidRDefault="00FB452D">
            <w:pPr>
              <w:pStyle w:val="P68B1DB1-Normal121"/>
              <w:spacing w:after="0" w:line="240" w:lineRule="auto"/>
              <w:rPr>
                <w:noProof/>
                <w:spacing w:val="-6"/>
                <w:lang w:val="sk-SK"/>
              </w:rPr>
            </w:pPr>
            <w:r w:rsidRPr="00326E55">
              <w:rPr>
                <w:noProof/>
                <w:spacing w:val="-6"/>
                <w:lang w:val="sk-SK"/>
              </w:rPr>
              <w:t>Investícia 2.3 – Programy na posilnenie identity miest, parkov</w:t>
            </w:r>
            <w:r w:rsidR="00326E55" w:rsidRPr="00326E55">
              <w:rPr>
                <w:noProof/>
                <w:spacing w:val="-6"/>
                <w:lang w:val="sk-SK"/>
              </w:rPr>
              <w:t xml:space="preserve"> a </w:t>
            </w:r>
            <w:r w:rsidRPr="00326E55">
              <w:rPr>
                <w:noProof/>
                <w:spacing w:val="-6"/>
                <w:lang w:val="sk-SK"/>
              </w:rPr>
              <w:t>historických záhrad</w:t>
            </w:r>
          </w:p>
        </w:tc>
        <w:tc>
          <w:tcPr>
            <w:tcW w:w="1170" w:type="dxa"/>
            <w:shd w:val="clear" w:color="auto" w:fill="C6EFCE"/>
            <w:tcMar>
              <w:left w:w="108" w:type="dxa"/>
              <w:right w:w="108" w:type="dxa"/>
            </w:tcMar>
            <w:vAlign w:val="center"/>
          </w:tcPr>
          <w:p w14:paraId="730A39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6A560FFE" w14:textId="64EB8951"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vyhlášky ministerstva kultúry</w:t>
            </w:r>
            <w:r w:rsidR="00326E55" w:rsidRPr="00326E55">
              <w:rPr>
                <w:noProof/>
                <w:spacing w:val="-6"/>
                <w:lang w:val="sk-SK"/>
              </w:rPr>
              <w:t xml:space="preserve"> o </w:t>
            </w:r>
            <w:r w:rsidRPr="00326E55">
              <w:rPr>
                <w:noProof/>
                <w:spacing w:val="-6"/>
                <w:lang w:val="sk-SK"/>
              </w:rPr>
              <w:t>prideľovaní zdrojov: na projekty na posilnenie identity miest, parkov</w:t>
            </w:r>
            <w:r w:rsidR="00326E55" w:rsidRPr="00326E55">
              <w:rPr>
                <w:noProof/>
                <w:spacing w:val="-6"/>
                <w:lang w:val="sk-SK"/>
              </w:rPr>
              <w:t xml:space="preserve"> a </w:t>
            </w:r>
            <w:r w:rsidRPr="00326E55">
              <w:rPr>
                <w:noProof/>
                <w:spacing w:val="-6"/>
                <w:lang w:val="sk-SK"/>
              </w:rPr>
              <w:t xml:space="preserve">historických záhrad </w:t>
            </w:r>
          </w:p>
        </w:tc>
      </w:tr>
      <w:tr w:rsidR="00BF03AA" w:rsidRPr="00326E55" w14:paraId="40E22B11" w14:textId="77777777">
        <w:trPr>
          <w:trHeight w:val="300"/>
        </w:trPr>
        <w:tc>
          <w:tcPr>
            <w:tcW w:w="1200" w:type="dxa"/>
            <w:shd w:val="clear" w:color="auto" w:fill="C6EFCE"/>
            <w:tcMar>
              <w:left w:w="108" w:type="dxa"/>
              <w:right w:w="108" w:type="dxa"/>
            </w:tcMar>
            <w:vAlign w:val="center"/>
          </w:tcPr>
          <w:p w14:paraId="44A5DF8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15</w:t>
            </w:r>
          </w:p>
        </w:tc>
        <w:tc>
          <w:tcPr>
            <w:tcW w:w="2553" w:type="dxa"/>
            <w:shd w:val="clear" w:color="auto" w:fill="C6EFCE"/>
            <w:tcMar>
              <w:left w:w="108" w:type="dxa"/>
              <w:right w:w="108" w:type="dxa"/>
            </w:tcMar>
            <w:vAlign w:val="center"/>
          </w:tcPr>
          <w:p w14:paraId="2A7DF107" w14:textId="0597E528" w:rsidR="00BF03AA" w:rsidRPr="00326E55" w:rsidRDefault="00FB452D">
            <w:pPr>
              <w:pStyle w:val="P68B1DB1-Normal121"/>
              <w:spacing w:after="0" w:line="240" w:lineRule="auto"/>
              <w:rPr>
                <w:noProof/>
                <w:spacing w:val="-6"/>
                <w:lang w:val="sk-SK"/>
              </w:rPr>
            </w:pPr>
            <w:r w:rsidRPr="00326E55">
              <w:rPr>
                <w:noProof/>
                <w:spacing w:val="-6"/>
                <w:lang w:val="sk-SK"/>
              </w:rPr>
              <w:t>Inves</w:t>
            </w:r>
            <w:r w:rsidRPr="00326E55">
              <w:rPr>
                <w:noProof/>
                <w:spacing w:val="-6"/>
                <w:lang w:val="sk-SK"/>
              </w:rPr>
              <w:t>tícia 2.4 – Seizmická bezpečnosť miesta bohoslužieb, obnova dedičstva KES</w:t>
            </w:r>
            <w:r w:rsidR="00326E55" w:rsidRPr="00326E55">
              <w:rPr>
                <w:noProof/>
                <w:spacing w:val="-6"/>
                <w:lang w:val="sk-SK"/>
              </w:rPr>
              <w:t xml:space="preserve"> a </w:t>
            </w:r>
            <w:r w:rsidRPr="00326E55">
              <w:rPr>
                <w:noProof/>
                <w:spacing w:val="-6"/>
                <w:lang w:val="sk-SK"/>
              </w:rPr>
              <w:t>útulkov pre umelecké diela</w:t>
            </w:r>
          </w:p>
        </w:tc>
        <w:tc>
          <w:tcPr>
            <w:tcW w:w="1170" w:type="dxa"/>
            <w:shd w:val="clear" w:color="auto" w:fill="C6EFCE"/>
            <w:tcMar>
              <w:left w:w="108" w:type="dxa"/>
              <w:right w:w="108" w:type="dxa"/>
            </w:tcMar>
            <w:vAlign w:val="center"/>
          </w:tcPr>
          <w:p w14:paraId="3C946AF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24D956C3" w14:textId="1B46ED83"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vyhlášky ministerstva kultúry</w:t>
            </w:r>
            <w:r w:rsidR="00326E55" w:rsidRPr="00326E55">
              <w:rPr>
                <w:noProof/>
                <w:spacing w:val="-6"/>
                <w:lang w:val="sk-SK"/>
              </w:rPr>
              <w:t xml:space="preserve"> o </w:t>
            </w:r>
            <w:r w:rsidRPr="00326E55">
              <w:rPr>
                <w:noProof/>
                <w:spacing w:val="-6"/>
                <w:lang w:val="sk-SK"/>
              </w:rPr>
              <w:t>prideľovaní zdrojov: pre seizmickú bezpečnosť namiesto bohoslužieb</w:t>
            </w:r>
            <w:r w:rsidR="00326E55" w:rsidRPr="00326E55">
              <w:rPr>
                <w:noProof/>
                <w:spacing w:val="-6"/>
                <w:lang w:val="sk-SK"/>
              </w:rPr>
              <w:t xml:space="preserve"> a </w:t>
            </w:r>
            <w:r w:rsidRPr="00326E55">
              <w:rPr>
                <w:noProof/>
                <w:spacing w:val="-6"/>
                <w:lang w:val="sk-SK"/>
              </w:rPr>
              <w:t>obnovy dedičstva FEC (</w:t>
            </w:r>
            <w:r w:rsidRPr="00326E55">
              <w:rPr>
                <w:noProof/>
                <w:spacing w:val="-6"/>
                <w:lang w:val="sk-SK"/>
              </w:rPr>
              <w:t xml:space="preserve">Fondo Edifici di Culto) </w:t>
            </w:r>
          </w:p>
        </w:tc>
      </w:tr>
      <w:tr w:rsidR="00BF03AA" w:rsidRPr="00326E55" w14:paraId="2DDD3B0F" w14:textId="77777777">
        <w:trPr>
          <w:trHeight w:val="300"/>
        </w:trPr>
        <w:tc>
          <w:tcPr>
            <w:tcW w:w="1200" w:type="dxa"/>
            <w:shd w:val="clear" w:color="auto" w:fill="C6EFCE"/>
            <w:tcMar>
              <w:left w:w="108" w:type="dxa"/>
              <w:right w:w="108" w:type="dxa"/>
            </w:tcMar>
            <w:vAlign w:val="center"/>
          </w:tcPr>
          <w:p w14:paraId="3F9AF5C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35</w:t>
            </w:r>
          </w:p>
        </w:tc>
        <w:tc>
          <w:tcPr>
            <w:tcW w:w="2553" w:type="dxa"/>
            <w:shd w:val="clear" w:color="auto" w:fill="C6EFCE"/>
            <w:tcMar>
              <w:left w:w="108" w:type="dxa"/>
              <w:right w:w="108" w:type="dxa"/>
            </w:tcMar>
            <w:vAlign w:val="center"/>
          </w:tcPr>
          <w:p w14:paraId="36D4B66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 4.3 Caput Mundi-Next Generation EU na turistické veľké podujatia</w:t>
            </w:r>
          </w:p>
        </w:tc>
        <w:tc>
          <w:tcPr>
            <w:tcW w:w="1170" w:type="dxa"/>
            <w:shd w:val="clear" w:color="auto" w:fill="C6EFCE"/>
            <w:tcMar>
              <w:left w:w="108" w:type="dxa"/>
              <w:right w:w="108" w:type="dxa"/>
            </w:tcMar>
            <w:vAlign w:val="center"/>
          </w:tcPr>
          <w:p w14:paraId="1965793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64E7DB84" w14:textId="5F965702" w:rsidR="00BF03AA" w:rsidRPr="00326E55" w:rsidRDefault="00FB452D">
            <w:pPr>
              <w:pStyle w:val="P68B1DB1-Normal121"/>
              <w:spacing w:after="0" w:line="240" w:lineRule="auto"/>
              <w:rPr>
                <w:noProof/>
                <w:spacing w:val="-6"/>
                <w:lang w:val="sk-SK"/>
              </w:rPr>
            </w:pPr>
            <w:r w:rsidRPr="00326E55">
              <w:rPr>
                <w:noProof/>
                <w:spacing w:val="-6"/>
                <w:lang w:val="sk-SK"/>
              </w:rPr>
              <w:t>Podpísanie každej dohody</w:t>
            </w:r>
            <w:r w:rsidR="00326E55" w:rsidRPr="00326E55">
              <w:rPr>
                <w:noProof/>
                <w:spacing w:val="-6"/>
                <w:lang w:val="sk-SK"/>
              </w:rPr>
              <w:t xml:space="preserve"> o </w:t>
            </w:r>
            <w:r w:rsidRPr="00326E55">
              <w:rPr>
                <w:noProof/>
                <w:spacing w:val="-6"/>
                <w:lang w:val="sk-SK"/>
              </w:rPr>
              <w:t>šiestich projektoch medzi ministerstvom cestovného ruchu</w:t>
            </w:r>
            <w:r w:rsidR="00326E55" w:rsidRPr="00326E55">
              <w:rPr>
                <w:noProof/>
                <w:spacing w:val="-6"/>
                <w:lang w:val="sk-SK"/>
              </w:rPr>
              <w:t xml:space="preserve"> a </w:t>
            </w:r>
            <w:r w:rsidRPr="00326E55">
              <w:rPr>
                <w:noProof/>
                <w:spacing w:val="-6"/>
                <w:lang w:val="sk-SK"/>
              </w:rPr>
              <w:t>príjemcami/vykonávacími orgánmi</w:t>
            </w:r>
          </w:p>
        </w:tc>
      </w:tr>
      <w:tr w:rsidR="00BF03AA" w:rsidRPr="00326E55" w14:paraId="36AB031F" w14:textId="77777777">
        <w:trPr>
          <w:trHeight w:val="300"/>
        </w:trPr>
        <w:tc>
          <w:tcPr>
            <w:tcW w:w="1200" w:type="dxa"/>
            <w:shd w:val="clear" w:color="auto" w:fill="C6EFCE"/>
            <w:tcMar>
              <w:left w:w="108" w:type="dxa"/>
              <w:right w:w="108" w:type="dxa"/>
            </w:tcMar>
            <w:vAlign w:val="center"/>
          </w:tcPr>
          <w:p w14:paraId="1B2F7BB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13</w:t>
            </w:r>
          </w:p>
        </w:tc>
        <w:tc>
          <w:tcPr>
            <w:tcW w:w="2553" w:type="dxa"/>
            <w:shd w:val="clear" w:color="auto" w:fill="C6EFCE"/>
            <w:tcMar>
              <w:left w:w="108" w:type="dxa"/>
              <w:right w:w="108" w:type="dxa"/>
            </w:tcMar>
            <w:vAlign w:val="center"/>
          </w:tcPr>
          <w:p w14:paraId="07A96649"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1.2 – Národný program odpadového hospodárstva</w:t>
            </w:r>
          </w:p>
        </w:tc>
        <w:tc>
          <w:tcPr>
            <w:tcW w:w="1170" w:type="dxa"/>
            <w:shd w:val="clear" w:color="auto" w:fill="C6EFCE"/>
            <w:tcMar>
              <w:left w:w="108" w:type="dxa"/>
              <w:right w:w="108" w:type="dxa"/>
            </w:tcMar>
            <w:vAlign w:val="center"/>
          </w:tcPr>
          <w:p w14:paraId="08C5B35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237E12FC" w14:textId="1DE7A18A"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ministerskej vyhlášky</w:t>
            </w:r>
            <w:r w:rsidR="00326E55" w:rsidRPr="00326E55">
              <w:rPr>
                <w:noProof/>
                <w:spacing w:val="-6"/>
                <w:lang w:val="sk-SK"/>
              </w:rPr>
              <w:t xml:space="preserve"> o </w:t>
            </w:r>
            <w:r w:rsidRPr="00326E55">
              <w:rPr>
                <w:noProof/>
                <w:spacing w:val="-6"/>
                <w:lang w:val="sk-SK"/>
              </w:rPr>
              <w:t>národnom programe odpadového hospodárstva</w:t>
            </w:r>
          </w:p>
        </w:tc>
      </w:tr>
      <w:tr w:rsidR="00BF03AA" w:rsidRPr="00326E55" w14:paraId="31AFA104" w14:textId="77777777">
        <w:trPr>
          <w:trHeight w:val="300"/>
        </w:trPr>
        <w:tc>
          <w:tcPr>
            <w:tcW w:w="1200" w:type="dxa"/>
            <w:shd w:val="clear" w:color="auto" w:fill="C6EFCE"/>
            <w:tcMar>
              <w:left w:w="108" w:type="dxa"/>
              <w:right w:w="108" w:type="dxa"/>
            </w:tcMar>
            <w:vAlign w:val="center"/>
          </w:tcPr>
          <w:p w14:paraId="59A3913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52</w:t>
            </w:r>
          </w:p>
        </w:tc>
        <w:tc>
          <w:tcPr>
            <w:tcW w:w="2553" w:type="dxa"/>
            <w:shd w:val="clear" w:color="auto" w:fill="C6EFCE"/>
            <w:tcMar>
              <w:left w:w="108" w:type="dxa"/>
              <w:right w:w="108" w:type="dxa"/>
            </w:tcMar>
            <w:vAlign w:val="center"/>
          </w:tcPr>
          <w:p w14:paraId="73075D85"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5.2 Vodík</w:t>
            </w:r>
          </w:p>
        </w:tc>
        <w:tc>
          <w:tcPr>
            <w:tcW w:w="1170" w:type="dxa"/>
            <w:shd w:val="clear" w:color="auto" w:fill="C6EFCE"/>
            <w:tcMar>
              <w:left w:w="108" w:type="dxa"/>
              <w:right w:w="108" w:type="dxa"/>
            </w:tcMar>
            <w:vAlign w:val="center"/>
          </w:tcPr>
          <w:p w14:paraId="7C9BB66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7CB11CED" w14:textId="77777777" w:rsidR="00BF03AA" w:rsidRPr="00326E55" w:rsidRDefault="00FB452D">
            <w:pPr>
              <w:pStyle w:val="P68B1DB1-Normal121"/>
              <w:spacing w:after="0" w:line="240" w:lineRule="auto"/>
              <w:rPr>
                <w:noProof/>
                <w:spacing w:val="-6"/>
                <w:lang w:val="sk-SK"/>
              </w:rPr>
            </w:pPr>
            <w:r w:rsidRPr="00326E55">
              <w:rPr>
                <w:noProof/>
                <w:spacing w:val="-6"/>
                <w:lang w:val="sk-SK"/>
              </w:rPr>
              <w:t>Výroba elektrolyzérov</w:t>
            </w:r>
          </w:p>
        </w:tc>
      </w:tr>
      <w:tr w:rsidR="00BF03AA" w:rsidRPr="00326E55" w14:paraId="18F43EBF" w14:textId="77777777">
        <w:trPr>
          <w:trHeight w:val="300"/>
        </w:trPr>
        <w:tc>
          <w:tcPr>
            <w:tcW w:w="1200" w:type="dxa"/>
            <w:shd w:val="clear" w:color="auto" w:fill="C6EFCE"/>
            <w:tcMar>
              <w:left w:w="108" w:type="dxa"/>
              <w:right w:w="108" w:type="dxa"/>
            </w:tcMar>
            <w:vAlign w:val="center"/>
          </w:tcPr>
          <w:p w14:paraId="39C0E61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11</w:t>
            </w:r>
          </w:p>
        </w:tc>
        <w:tc>
          <w:tcPr>
            <w:tcW w:w="2553" w:type="dxa"/>
            <w:shd w:val="clear" w:color="auto" w:fill="C6EFCE"/>
            <w:tcMar>
              <w:left w:w="108" w:type="dxa"/>
              <w:right w:w="108" w:type="dxa"/>
            </w:tcMar>
            <w:vAlign w:val="center"/>
          </w:tcPr>
          <w:p w14:paraId="3848508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2.1: DÔLEŽITÝ </w:t>
            </w:r>
            <w:r w:rsidRPr="00326E55">
              <w:rPr>
                <w:noProof/>
                <w:spacing w:val="-6"/>
                <w:lang w:val="sk-SK"/>
              </w:rPr>
              <w:t xml:space="preserve">PROJEKT SPOLOČNÉHO EURÓPSKEHO ZÁUJMU </w:t>
            </w:r>
          </w:p>
        </w:tc>
        <w:tc>
          <w:tcPr>
            <w:tcW w:w="1170" w:type="dxa"/>
            <w:shd w:val="clear" w:color="auto" w:fill="C6EFCE"/>
            <w:tcMar>
              <w:left w:w="108" w:type="dxa"/>
              <w:right w:w="108" w:type="dxa"/>
            </w:tcMar>
            <w:vAlign w:val="center"/>
          </w:tcPr>
          <w:p w14:paraId="494555A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03F2E97E"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vnútroštátneho právneho aktu, ktorým sa prideľujú potrebné finančné prostriedky na poskytovanie podpory účastníkom projektov.</w:t>
            </w:r>
          </w:p>
        </w:tc>
      </w:tr>
      <w:tr w:rsidR="00BF03AA" w:rsidRPr="00326E55" w14:paraId="0FFAFA89" w14:textId="77777777">
        <w:trPr>
          <w:trHeight w:val="300"/>
        </w:trPr>
        <w:tc>
          <w:tcPr>
            <w:tcW w:w="1200" w:type="dxa"/>
            <w:shd w:val="clear" w:color="auto" w:fill="C6EFCE"/>
            <w:tcMar>
              <w:left w:w="108" w:type="dxa"/>
              <w:right w:w="108" w:type="dxa"/>
            </w:tcMar>
            <w:vAlign w:val="center"/>
          </w:tcPr>
          <w:p w14:paraId="6D17F32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17</w:t>
            </w:r>
          </w:p>
        </w:tc>
        <w:tc>
          <w:tcPr>
            <w:tcW w:w="2553" w:type="dxa"/>
            <w:shd w:val="clear" w:color="auto" w:fill="C6EFCE"/>
            <w:tcMar>
              <w:left w:w="108" w:type="dxa"/>
              <w:right w:w="108" w:type="dxa"/>
            </w:tcMar>
            <w:vAlign w:val="center"/>
          </w:tcPr>
          <w:p w14:paraId="4AD85A90" w14:textId="57038726" w:rsidR="00BF03AA" w:rsidRPr="00326E55" w:rsidRDefault="00FB452D">
            <w:pPr>
              <w:pStyle w:val="P68B1DB1-Normal121"/>
              <w:spacing w:after="0" w:line="240" w:lineRule="auto"/>
              <w:rPr>
                <w:noProof/>
                <w:spacing w:val="-6"/>
                <w:lang w:val="sk-SK"/>
              </w:rPr>
            </w:pPr>
            <w:r w:rsidRPr="00326E55">
              <w:rPr>
                <w:noProof/>
                <w:spacing w:val="-6"/>
                <w:lang w:val="sk-SK"/>
              </w:rPr>
              <w:t>Investícia 3.1: Fond na výstavbu integrovaného syst</w:t>
            </w:r>
            <w:r w:rsidRPr="00326E55">
              <w:rPr>
                <w:noProof/>
                <w:spacing w:val="-6"/>
                <w:lang w:val="sk-SK"/>
              </w:rPr>
              <w:t>ému výskumných</w:t>
            </w:r>
            <w:r w:rsidR="00326E55" w:rsidRPr="00326E55">
              <w:rPr>
                <w:noProof/>
                <w:spacing w:val="-6"/>
                <w:lang w:val="sk-SK"/>
              </w:rPr>
              <w:t xml:space="preserve"> a </w:t>
            </w:r>
            <w:r w:rsidRPr="00326E55">
              <w:rPr>
                <w:noProof/>
                <w:spacing w:val="-6"/>
                <w:lang w:val="sk-SK"/>
              </w:rPr>
              <w:t>inovačných infraštruktúr; Investície</w:t>
            </w:r>
          </w:p>
        </w:tc>
        <w:tc>
          <w:tcPr>
            <w:tcW w:w="1170" w:type="dxa"/>
            <w:shd w:val="clear" w:color="auto" w:fill="C6EFCE"/>
            <w:tcMar>
              <w:left w:w="108" w:type="dxa"/>
              <w:right w:w="108" w:type="dxa"/>
            </w:tcMar>
            <w:vAlign w:val="center"/>
          </w:tcPr>
          <w:p w14:paraId="69172B1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38DCF6F6" w14:textId="57E29EE1" w:rsidR="00BF03AA" w:rsidRPr="00326E55" w:rsidRDefault="00FB452D">
            <w:pPr>
              <w:pStyle w:val="P68B1DB1-Normal121"/>
              <w:spacing w:after="0" w:line="240" w:lineRule="auto"/>
              <w:rPr>
                <w:noProof/>
                <w:spacing w:val="-6"/>
                <w:lang w:val="sk-SK"/>
              </w:rPr>
            </w:pPr>
            <w:r w:rsidRPr="00326E55">
              <w:rPr>
                <w:noProof/>
                <w:spacing w:val="-6"/>
                <w:lang w:val="sk-SK"/>
              </w:rPr>
              <w:t>Zadávanie zákaziek na projekty, ktoré sa týkajú: a) integrovaný systém výskumných</w:t>
            </w:r>
            <w:r w:rsidR="00326E55" w:rsidRPr="00326E55">
              <w:rPr>
                <w:noProof/>
                <w:spacing w:val="-6"/>
                <w:lang w:val="sk-SK"/>
              </w:rPr>
              <w:t xml:space="preserve"> a </w:t>
            </w:r>
            <w:r w:rsidRPr="00326E55">
              <w:rPr>
                <w:noProof/>
                <w:spacing w:val="-6"/>
                <w:lang w:val="sk-SK"/>
              </w:rPr>
              <w:t>inovačných infraštruktúr</w:t>
            </w:r>
          </w:p>
        </w:tc>
      </w:tr>
      <w:tr w:rsidR="00BF03AA" w:rsidRPr="00326E55" w14:paraId="3D327861" w14:textId="77777777">
        <w:trPr>
          <w:trHeight w:val="300"/>
        </w:trPr>
        <w:tc>
          <w:tcPr>
            <w:tcW w:w="1200" w:type="dxa"/>
            <w:shd w:val="clear" w:color="auto" w:fill="C6EFCE"/>
            <w:tcMar>
              <w:left w:w="108" w:type="dxa"/>
              <w:right w:w="108" w:type="dxa"/>
            </w:tcMar>
            <w:vAlign w:val="center"/>
          </w:tcPr>
          <w:p w14:paraId="2A6A11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18</w:t>
            </w:r>
          </w:p>
        </w:tc>
        <w:tc>
          <w:tcPr>
            <w:tcW w:w="2553" w:type="dxa"/>
            <w:shd w:val="clear" w:color="auto" w:fill="C6EFCE"/>
            <w:tcMar>
              <w:left w:w="108" w:type="dxa"/>
              <w:right w:w="108" w:type="dxa"/>
            </w:tcMar>
            <w:vAlign w:val="center"/>
          </w:tcPr>
          <w:p w14:paraId="42401369" w14:textId="546A48FE" w:rsidR="00BF03AA" w:rsidRPr="00326E55" w:rsidRDefault="00FB452D">
            <w:pPr>
              <w:pStyle w:val="P68B1DB1-Normal121"/>
              <w:spacing w:after="0" w:line="240" w:lineRule="auto"/>
              <w:rPr>
                <w:noProof/>
                <w:spacing w:val="-6"/>
                <w:lang w:val="sk-SK"/>
              </w:rPr>
            </w:pPr>
            <w:r w:rsidRPr="00326E55">
              <w:rPr>
                <w:noProof/>
                <w:spacing w:val="-6"/>
                <w:lang w:val="sk-SK"/>
              </w:rPr>
              <w:t>Položka1.5: Vytvorenie</w:t>
            </w:r>
            <w:r w:rsidR="00326E55" w:rsidRPr="00326E55">
              <w:rPr>
                <w:noProof/>
                <w:spacing w:val="-6"/>
                <w:lang w:val="sk-SK"/>
              </w:rPr>
              <w:t xml:space="preserve"> a </w:t>
            </w:r>
            <w:r w:rsidRPr="00326E55">
              <w:rPr>
                <w:noProof/>
                <w:spacing w:val="-6"/>
                <w:lang w:val="sk-SK"/>
              </w:rPr>
              <w:t xml:space="preserve">posilnenie „inovačných ekosystémov pre </w:t>
            </w:r>
            <w:r w:rsidRPr="00326E55">
              <w:rPr>
                <w:noProof/>
                <w:spacing w:val="-6"/>
                <w:lang w:val="sk-SK"/>
              </w:rPr>
              <w:t>udržateľnosť“, budovanie „územných lídrov výskumu</w:t>
            </w:r>
            <w:r w:rsidR="00326E55" w:rsidRPr="00326E55">
              <w:rPr>
                <w:noProof/>
                <w:spacing w:val="-6"/>
                <w:lang w:val="sk-SK"/>
              </w:rPr>
              <w:t xml:space="preserve"> a </w:t>
            </w:r>
            <w:r w:rsidRPr="00326E55">
              <w:rPr>
                <w:noProof/>
                <w:spacing w:val="-6"/>
                <w:lang w:val="sk-SK"/>
              </w:rPr>
              <w:t>vývoja“</w:t>
            </w:r>
          </w:p>
        </w:tc>
        <w:tc>
          <w:tcPr>
            <w:tcW w:w="1170" w:type="dxa"/>
            <w:shd w:val="clear" w:color="auto" w:fill="C6EFCE"/>
            <w:tcMar>
              <w:left w:w="108" w:type="dxa"/>
              <w:right w:w="108" w:type="dxa"/>
            </w:tcMar>
            <w:vAlign w:val="center"/>
          </w:tcPr>
          <w:p w14:paraId="2F35857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334D729B" w14:textId="26F88800" w:rsidR="00BF03AA" w:rsidRPr="00326E55" w:rsidRDefault="00FB452D">
            <w:pPr>
              <w:pStyle w:val="P68B1DB1-Normal121"/>
              <w:spacing w:after="0" w:line="240" w:lineRule="auto"/>
              <w:rPr>
                <w:noProof/>
                <w:spacing w:val="-6"/>
                <w:lang w:val="sk-SK"/>
              </w:rPr>
            </w:pPr>
            <w:r w:rsidRPr="00326E55">
              <w:rPr>
                <w:noProof/>
                <w:spacing w:val="-6"/>
                <w:lang w:val="sk-SK"/>
              </w:rPr>
              <w:t>Zadávanie zákaziek na projekty týkajúce sa inovačných ekosystémov;</w:t>
            </w:r>
          </w:p>
        </w:tc>
      </w:tr>
      <w:tr w:rsidR="00BF03AA" w:rsidRPr="00326E55" w14:paraId="36D08664" w14:textId="77777777">
        <w:trPr>
          <w:trHeight w:val="300"/>
        </w:trPr>
        <w:tc>
          <w:tcPr>
            <w:tcW w:w="1200" w:type="dxa"/>
            <w:shd w:val="clear" w:color="auto" w:fill="C6EFCE"/>
            <w:tcMar>
              <w:left w:w="108" w:type="dxa"/>
              <w:right w:w="108" w:type="dxa"/>
            </w:tcMar>
            <w:vAlign w:val="center"/>
          </w:tcPr>
          <w:p w14:paraId="5440F36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19</w:t>
            </w:r>
          </w:p>
        </w:tc>
        <w:tc>
          <w:tcPr>
            <w:tcW w:w="2553" w:type="dxa"/>
            <w:shd w:val="clear" w:color="auto" w:fill="C6EFCE"/>
            <w:tcMar>
              <w:left w:w="108" w:type="dxa"/>
              <w:right w:w="108" w:type="dxa"/>
            </w:tcMar>
            <w:vAlign w:val="center"/>
          </w:tcPr>
          <w:p w14:paraId="5AC7CD21" w14:textId="371476E8" w:rsidR="00BF03AA" w:rsidRPr="00326E55" w:rsidRDefault="00FB452D">
            <w:pPr>
              <w:pStyle w:val="P68B1DB1-Normal121"/>
              <w:spacing w:after="0" w:line="240" w:lineRule="auto"/>
              <w:rPr>
                <w:noProof/>
                <w:spacing w:val="-6"/>
                <w:lang w:val="sk-SK"/>
              </w:rPr>
            </w:pPr>
            <w:r w:rsidRPr="00326E55">
              <w:rPr>
                <w:noProof/>
                <w:spacing w:val="-6"/>
                <w:lang w:val="sk-SK"/>
              </w:rPr>
              <w:t>Investícia 1.4: Posilnenie výskumných štruktúr</w:t>
            </w:r>
            <w:r w:rsidR="00326E55" w:rsidRPr="00326E55">
              <w:rPr>
                <w:noProof/>
                <w:spacing w:val="-6"/>
                <w:lang w:val="sk-SK"/>
              </w:rPr>
              <w:t xml:space="preserve"> a </w:t>
            </w:r>
            <w:r w:rsidRPr="00326E55">
              <w:rPr>
                <w:noProof/>
                <w:spacing w:val="-6"/>
                <w:lang w:val="sk-SK"/>
              </w:rPr>
              <w:t>podpora vytvárania „vnútroštátnych lídrov</w:t>
            </w:r>
            <w:r w:rsidR="00326E55" w:rsidRPr="00326E55">
              <w:rPr>
                <w:noProof/>
                <w:spacing w:val="-6"/>
                <w:lang w:val="sk-SK"/>
              </w:rPr>
              <w:t xml:space="preserve"> v </w:t>
            </w:r>
            <w:r w:rsidRPr="00326E55">
              <w:rPr>
                <w:noProof/>
                <w:spacing w:val="-6"/>
                <w:lang w:val="sk-SK"/>
              </w:rPr>
              <w:t>oblasti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v </w:t>
            </w:r>
            <w:r w:rsidRPr="00326E55">
              <w:rPr>
                <w:noProof/>
                <w:spacing w:val="-6"/>
                <w:lang w:val="sk-SK"/>
              </w:rPr>
              <w:t>oblasti niektorých kľúčových podporných technológií</w:t>
            </w:r>
          </w:p>
        </w:tc>
        <w:tc>
          <w:tcPr>
            <w:tcW w:w="1170" w:type="dxa"/>
            <w:shd w:val="clear" w:color="auto" w:fill="C6EFCE"/>
            <w:tcMar>
              <w:left w:w="108" w:type="dxa"/>
              <w:right w:w="108" w:type="dxa"/>
            </w:tcMar>
            <w:vAlign w:val="center"/>
          </w:tcPr>
          <w:p w14:paraId="3E1542B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50ADCE4F" w14:textId="713160BB" w:rsidR="00BF03AA" w:rsidRPr="00326E55" w:rsidRDefault="00FB452D">
            <w:pPr>
              <w:pStyle w:val="P68B1DB1-Normal121"/>
              <w:spacing w:after="0" w:line="240" w:lineRule="auto"/>
              <w:rPr>
                <w:noProof/>
                <w:spacing w:val="-6"/>
                <w:lang w:val="sk-SK"/>
              </w:rPr>
            </w:pPr>
            <w:r w:rsidRPr="00326E55">
              <w:rPr>
                <w:noProof/>
                <w:spacing w:val="-6"/>
                <w:lang w:val="sk-SK"/>
              </w:rPr>
              <w:t>Zadávanie zákaziek na projekty týkajúce sa vnútroštátnych vedúcich pracovníkov</w:t>
            </w:r>
            <w:r w:rsidR="00326E55" w:rsidRPr="00326E55">
              <w:rPr>
                <w:noProof/>
                <w:spacing w:val="-6"/>
                <w:lang w:val="sk-SK"/>
              </w:rPr>
              <w:t xml:space="preserve"> v </w:t>
            </w:r>
            <w:r w:rsidRPr="00326E55">
              <w:rPr>
                <w:noProof/>
                <w:spacing w:val="-6"/>
                <w:lang w:val="sk-SK"/>
              </w:rPr>
              <w:t>oblasti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v </w:t>
            </w:r>
            <w:r w:rsidRPr="00326E55">
              <w:rPr>
                <w:noProof/>
                <w:spacing w:val="-6"/>
                <w:lang w:val="sk-SK"/>
              </w:rPr>
              <w:t>oblasti kľúčových podporných technológií</w:t>
            </w:r>
          </w:p>
        </w:tc>
      </w:tr>
      <w:tr w:rsidR="00BF03AA" w:rsidRPr="00326E55" w14:paraId="187BBED8" w14:textId="77777777">
        <w:trPr>
          <w:trHeight w:val="300"/>
        </w:trPr>
        <w:tc>
          <w:tcPr>
            <w:tcW w:w="1200" w:type="dxa"/>
            <w:shd w:val="clear" w:color="auto" w:fill="C6EFCE"/>
            <w:tcMar>
              <w:left w:w="108" w:type="dxa"/>
              <w:right w:w="108" w:type="dxa"/>
            </w:tcMar>
            <w:vAlign w:val="center"/>
          </w:tcPr>
          <w:p w14:paraId="78C06E0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20</w:t>
            </w:r>
          </w:p>
        </w:tc>
        <w:tc>
          <w:tcPr>
            <w:tcW w:w="2553" w:type="dxa"/>
            <w:shd w:val="clear" w:color="auto" w:fill="C6EFCE"/>
            <w:tcMar>
              <w:left w:w="108" w:type="dxa"/>
              <w:right w:w="108" w:type="dxa"/>
            </w:tcMar>
            <w:vAlign w:val="center"/>
          </w:tcPr>
          <w:p w14:paraId="094B3D73"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3.2: Kapitálová </w:t>
            </w:r>
            <w:r w:rsidRPr="00326E55">
              <w:rPr>
                <w:noProof/>
                <w:spacing w:val="-6"/>
                <w:lang w:val="sk-SK"/>
              </w:rPr>
              <w:t>injekcia do Fondu na digitálnu transformáciu (ďalej len „DTF“)</w:t>
            </w:r>
          </w:p>
        </w:tc>
        <w:tc>
          <w:tcPr>
            <w:tcW w:w="1170" w:type="dxa"/>
            <w:shd w:val="clear" w:color="auto" w:fill="C6EFCE"/>
            <w:tcMar>
              <w:left w:w="108" w:type="dxa"/>
              <w:right w:w="108" w:type="dxa"/>
            </w:tcMar>
            <w:vAlign w:val="center"/>
          </w:tcPr>
          <w:p w14:paraId="26810B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3FB4DC7F" w14:textId="047033CE" w:rsidR="00BF03AA" w:rsidRPr="00326E55" w:rsidRDefault="00FB452D">
            <w:pPr>
              <w:pStyle w:val="P68B1DB1-Normal121"/>
              <w:spacing w:after="0" w:line="240" w:lineRule="auto"/>
              <w:rPr>
                <w:noProof/>
                <w:spacing w:val="-6"/>
                <w:lang w:val="sk-SK"/>
              </w:rPr>
            </w:pPr>
            <w:r w:rsidRPr="00326E55">
              <w:rPr>
                <w:noProof/>
                <w:spacing w:val="-6"/>
                <w:lang w:val="sk-SK"/>
              </w:rPr>
              <w:t>Podpísaná dohoda medzi IT vládou</w:t>
            </w:r>
            <w:r w:rsidR="00326E55" w:rsidRPr="00326E55">
              <w:rPr>
                <w:noProof/>
                <w:spacing w:val="-6"/>
                <w:lang w:val="sk-SK"/>
              </w:rPr>
              <w:t xml:space="preserve"> a </w:t>
            </w:r>
            <w:r w:rsidRPr="00326E55">
              <w:rPr>
                <w:noProof/>
                <w:spacing w:val="-6"/>
                <w:lang w:val="sk-SK"/>
              </w:rPr>
              <w:t>implementujúcim partnerom Cassa Depositi e Prestiti (CDP), ktorou sa zriaďuje finančný nástroj</w:t>
            </w:r>
          </w:p>
        </w:tc>
      </w:tr>
      <w:tr w:rsidR="00BF03AA" w:rsidRPr="00326E55" w14:paraId="4C78895A" w14:textId="77777777">
        <w:trPr>
          <w:trHeight w:val="300"/>
        </w:trPr>
        <w:tc>
          <w:tcPr>
            <w:tcW w:w="1200" w:type="dxa"/>
            <w:shd w:val="clear" w:color="auto" w:fill="C6EFCE"/>
            <w:tcMar>
              <w:left w:w="108" w:type="dxa"/>
              <w:right w:w="108" w:type="dxa"/>
            </w:tcMar>
            <w:vAlign w:val="center"/>
          </w:tcPr>
          <w:p w14:paraId="5E551B9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1</w:t>
            </w:r>
          </w:p>
        </w:tc>
        <w:tc>
          <w:tcPr>
            <w:tcW w:w="2553" w:type="dxa"/>
            <w:shd w:val="clear" w:color="auto" w:fill="C6EFCE"/>
            <w:tcMar>
              <w:left w:w="108" w:type="dxa"/>
              <w:right w:w="108" w:type="dxa"/>
            </w:tcMar>
            <w:vAlign w:val="center"/>
          </w:tcPr>
          <w:p w14:paraId="02114A4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  Vymedzenie nového organizačného </w:t>
            </w:r>
            <w:r w:rsidRPr="00326E55">
              <w:rPr>
                <w:noProof/>
                <w:spacing w:val="-6"/>
                <w:lang w:val="sk-SK"/>
              </w:rPr>
              <w:t>modelu siete územnej zdravotnej pomoci</w:t>
            </w:r>
          </w:p>
        </w:tc>
        <w:tc>
          <w:tcPr>
            <w:tcW w:w="1170" w:type="dxa"/>
            <w:shd w:val="clear" w:color="auto" w:fill="C6EFCE"/>
            <w:tcMar>
              <w:left w:w="108" w:type="dxa"/>
              <w:right w:w="108" w:type="dxa"/>
            </w:tcMar>
            <w:vAlign w:val="center"/>
          </w:tcPr>
          <w:p w14:paraId="6C5A488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5E9D1D43"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sekundárnych právnych predpisov (ministerského dekrétu), ktoré predpokladajú reformu organizácie zdravotnej starostlivosti.</w:t>
            </w:r>
          </w:p>
        </w:tc>
      </w:tr>
      <w:tr w:rsidR="00BF03AA" w:rsidRPr="00326E55" w14:paraId="527D1569" w14:textId="77777777">
        <w:trPr>
          <w:trHeight w:val="300"/>
        </w:trPr>
        <w:tc>
          <w:tcPr>
            <w:tcW w:w="1200" w:type="dxa"/>
            <w:shd w:val="clear" w:color="auto" w:fill="C6EFCE"/>
            <w:tcMar>
              <w:left w:w="108" w:type="dxa"/>
              <w:right w:w="108" w:type="dxa"/>
            </w:tcMar>
            <w:vAlign w:val="center"/>
          </w:tcPr>
          <w:p w14:paraId="473A1EC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2</w:t>
            </w:r>
          </w:p>
        </w:tc>
        <w:tc>
          <w:tcPr>
            <w:tcW w:w="2553" w:type="dxa"/>
            <w:shd w:val="clear" w:color="auto" w:fill="C6EFCE"/>
            <w:tcMar>
              <w:left w:w="108" w:type="dxa"/>
              <w:right w:w="108" w:type="dxa"/>
            </w:tcMar>
            <w:vAlign w:val="center"/>
          </w:tcPr>
          <w:p w14:paraId="1BBAC2E2"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1.1: Komunitné zdravotnícke domy na zlepše</w:t>
            </w:r>
            <w:r w:rsidRPr="00326E55">
              <w:rPr>
                <w:noProof/>
                <w:spacing w:val="-6"/>
                <w:lang w:val="sk-SK"/>
              </w:rPr>
              <w:t>nie územnej zdravotnej pomoci</w:t>
            </w:r>
          </w:p>
        </w:tc>
        <w:tc>
          <w:tcPr>
            <w:tcW w:w="1170" w:type="dxa"/>
            <w:shd w:val="clear" w:color="auto" w:fill="C6EFCE"/>
            <w:tcMar>
              <w:left w:w="108" w:type="dxa"/>
              <w:right w:w="108" w:type="dxa"/>
            </w:tcMar>
            <w:vAlign w:val="center"/>
          </w:tcPr>
          <w:p w14:paraId="66D319B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4B8F45FF" w14:textId="0A52EB15" w:rsidR="00BF03AA" w:rsidRPr="00326E55" w:rsidRDefault="00FB452D">
            <w:pPr>
              <w:pStyle w:val="P68B1DB1-Normal121"/>
              <w:spacing w:after="0" w:line="240" w:lineRule="auto"/>
              <w:rPr>
                <w:noProof/>
                <w:spacing w:val="-6"/>
                <w:lang w:val="sk-SK"/>
              </w:rPr>
            </w:pPr>
            <w:r w:rsidRPr="00326E55">
              <w:rPr>
                <w:noProof/>
                <w:spacing w:val="-6"/>
                <w:lang w:val="sk-SK"/>
              </w:rPr>
              <w:t>Schválenie zmluvy</w:t>
            </w:r>
            <w:r w:rsidR="00326E55" w:rsidRPr="00326E55">
              <w:rPr>
                <w:noProof/>
                <w:spacing w:val="-6"/>
                <w:lang w:val="sk-SK"/>
              </w:rPr>
              <w:t xml:space="preserve"> o </w:t>
            </w:r>
            <w:r w:rsidRPr="00326E55">
              <w:rPr>
                <w:noProof/>
                <w:spacing w:val="-6"/>
                <w:lang w:val="sk-SK"/>
              </w:rPr>
              <w:t xml:space="preserve">inštitucionálnom rozvoji </w:t>
            </w:r>
          </w:p>
        </w:tc>
      </w:tr>
      <w:tr w:rsidR="00BF03AA" w:rsidRPr="00326E55" w14:paraId="526856F5" w14:textId="77777777">
        <w:trPr>
          <w:trHeight w:val="300"/>
        </w:trPr>
        <w:tc>
          <w:tcPr>
            <w:tcW w:w="1200" w:type="dxa"/>
            <w:shd w:val="clear" w:color="auto" w:fill="C6EFCE"/>
            <w:tcMar>
              <w:left w:w="108" w:type="dxa"/>
              <w:right w:w="108" w:type="dxa"/>
            </w:tcMar>
            <w:vAlign w:val="center"/>
          </w:tcPr>
          <w:p w14:paraId="23AB4BD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4</w:t>
            </w:r>
          </w:p>
        </w:tc>
        <w:tc>
          <w:tcPr>
            <w:tcW w:w="2553" w:type="dxa"/>
            <w:shd w:val="clear" w:color="auto" w:fill="C6EFCE"/>
            <w:tcMar>
              <w:left w:w="108" w:type="dxa"/>
              <w:right w:w="108" w:type="dxa"/>
            </w:tcMar>
            <w:vAlign w:val="center"/>
          </w:tcPr>
          <w:p w14:paraId="7D884F43" w14:textId="52D8E6E5" w:rsidR="00BF03AA" w:rsidRPr="00326E55" w:rsidRDefault="00FB452D">
            <w:pPr>
              <w:pStyle w:val="P68B1DB1-Normal121"/>
              <w:spacing w:after="0" w:line="240" w:lineRule="auto"/>
              <w:rPr>
                <w:noProof/>
                <w:spacing w:val="-6"/>
                <w:lang w:val="sk-SK"/>
              </w:rPr>
            </w:pPr>
            <w:r w:rsidRPr="00326E55">
              <w:rPr>
                <w:noProof/>
                <w:spacing w:val="-6"/>
                <w:lang w:val="sk-SK"/>
              </w:rPr>
              <w:t>Investícia 1.2: Domov ako prvé miesto starostlivosti</w:t>
            </w:r>
            <w:r w:rsidR="00326E55" w:rsidRPr="00326E55">
              <w:rPr>
                <w:noProof/>
                <w:spacing w:val="-6"/>
                <w:lang w:val="sk-SK"/>
              </w:rPr>
              <w:t xml:space="preserve"> a </w:t>
            </w:r>
            <w:r w:rsidRPr="00326E55">
              <w:rPr>
                <w:noProof/>
                <w:spacing w:val="-6"/>
                <w:lang w:val="sk-SK"/>
              </w:rPr>
              <w:t>telemedicíny</w:t>
            </w:r>
          </w:p>
        </w:tc>
        <w:tc>
          <w:tcPr>
            <w:tcW w:w="1170" w:type="dxa"/>
            <w:shd w:val="clear" w:color="auto" w:fill="C6EFCE"/>
            <w:tcMar>
              <w:left w:w="108" w:type="dxa"/>
              <w:right w:w="108" w:type="dxa"/>
            </w:tcMar>
            <w:vAlign w:val="center"/>
          </w:tcPr>
          <w:p w14:paraId="7155C25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020D46F8" w14:textId="77777777" w:rsidR="00BF03AA" w:rsidRPr="00326E55" w:rsidRDefault="00FB452D">
            <w:pPr>
              <w:pStyle w:val="P68B1DB1-Normal121"/>
              <w:spacing w:after="0" w:line="240" w:lineRule="auto"/>
              <w:rPr>
                <w:noProof/>
                <w:spacing w:val="-6"/>
                <w:lang w:val="sk-SK"/>
              </w:rPr>
            </w:pPr>
            <w:r w:rsidRPr="00326E55">
              <w:rPr>
                <w:noProof/>
                <w:spacing w:val="-6"/>
                <w:lang w:val="sk-SK"/>
              </w:rPr>
              <w:t>Schválenie usmernení obsahujúcich digitálny model vykonávania domácej starostlivosti</w:t>
            </w:r>
          </w:p>
        </w:tc>
      </w:tr>
      <w:tr w:rsidR="00BF03AA" w:rsidRPr="00326E55" w14:paraId="1FE10B33" w14:textId="77777777">
        <w:trPr>
          <w:trHeight w:val="300"/>
        </w:trPr>
        <w:tc>
          <w:tcPr>
            <w:tcW w:w="1200" w:type="dxa"/>
            <w:shd w:val="clear" w:color="auto" w:fill="C6EFCE"/>
            <w:tcMar>
              <w:left w:w="108" w:type="dxa"/>
              <w:right w:w="108" w:type="dxa"/>
            </w:tcMar>
            <w:vAlign w:val="center"/>
          </w:tcPr>
          <w:p w14:paraId="07DCDE0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5</w:t>
            </w:r>
          </w:p>
        </w:tc>
        <w:tc>
          <w:tcPr>
            <w:tcW w:w="2553" w:type="dxa"/>
            <w:shd w:val="clear" w:color="auto" w:fill="C6EFCE"/>
            <w:tcMar>
              <w:left w:w="108" w:type="dxa"/>
              <w:right w:w="108" w:type="dxa"/>
            </w:tcMar>
            <w:vAlign w:val="center"/>
          </w:tcPr>
          <w:p w14:paraId="3F3FA2E4" w14:textId="43DE1761" w:rsidR="00BF03AA" w:rsidRPr="00326E55" w:rsidRDefault="00FB452D">
            <w:pPr>
              <w:pStyle w:val="P68B1DB1-Normal121"/>
              <w:spacing w:after="0" w:line="240" w:lineRule="auto"/>
              <w:rPr>
                <w:noProof/>
                <w:spacing w:val="-6"/>
                <w:lang w:val="sk-SK"/>
              </w:rPr>
            </w:pPr>
            <w:r w:rsidRPr="00326E55">
              <w:rPr>
                <w:noProof/>
                <w:spacing w:val="-6"/>
                <w:lang w:val="sk-SK"/>
              </w:rPr>
              <w:t>Investícia 1.2: Domov ako prvé miesto starostlivosti</w:t>
            </w:r>
            <w:r w:rsidR="00326E55" w:rsidRPr="00326E55">
              <w:rPr>
                <w:noProof/>
                <w:spacing w:val="-6"/>
                <w:lang w:val="sk-SK"/>
              </w:rPr>
              <w:t xml:space="preserve"> a </w:t>
            </w:r>
            <w:r w:rsidRPr="00326E55">
              <w:rPr>
                <w:noProof/>
                <w:spacing w:val="-6"/>
                <w:lang w:val="sk-SK"/>
              </w:rPr>
              <w:t>telemedicíny</w:t>
            </w:r>
          </w:p>
        </w:tc>
        <w:tc>
          <w:tcPr>
            <w:tcW w:w="1170" w:type="dxa"/>
            <w:shd w:val="clear" w:color="auto" w:fill="C6EFCE"/>
            <w:tcMar>
              <w:left w:w="108" w:type="dxa"/>
              <w:right w:w="108" w:type="dxa"/>
            </w:tcMar>
            <w:vAlign w:val="center"/>
          </w:tcPr>
          <w:p w14:paraId="0758DC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77129B69" w14:textId="6EFE6C33" w:rsidR="00BF03AA" w:rsidRPr="00326E55" w:rsidRDefault="00FB452D">
            <w:pPr>
              <w:pStyle w:val="P68B1DB1-Normal121"/>
              <w:spacing w:after="0" w:line="240" w:lineRule="auto"/>
              <w:rPr>
                <w:noProof/>
                <w:spacing w:val="-6"/>
                <w:lang w:val="sk-SK"/>
              </w:rPr>
            </w:pPr>
            <w:r w:rsidRPr="00326E55">
              <w:rPr>
                <w:noProof/>
                <w:spacing w:val="-6"/>
                <w:lang w:val="sk-SK"/>
              </w:rPr>
              <w:t>Zmluva</w:t>
            </w:r>
            <w:r w:rsidR="00326E55" w:rsidRPr="00326E55">
              <w:rPr>
                <w:noProof/>
                <w:spacing w:val="-6"/>
                <w:lang w:val="sk-SK"/>
              </w:rPr>
              <w:t xml:space="preserve"> o </w:t>
            </w:r>
            <w:r w:rsidRPr="00326E55">
              <w:rPr>
                <w:noProof/>
                <w:spacing w:val="-6"/>
                <w:lang w:val="sk-SK"/>
              </w:rPr>
              <w:t>inštitucionálnom rozvoji schválená ministerstvom zdravotníctva</w:t>
            </w:r>
            <w:r w:rsidR="00326E55" w:rsidRPr="00326E55">
              <w:rPr>
                <w:noProof/>
                <w:spacing w:val="-6"/>
                <w:lang w:val="sk-SK"/>
              </w:rPr>
              <w:t xml:space="preserve"> a </w:t>
            </w:r>
            <w:r w:rsidRPr="00326E55">
              <w:rPr>
                <w:noProof/>
                <w:spacing w:val="-6"/>
                <w:lang w:val="sk-SK"/>
              </w:rPr>
              <w:t xml:space="preserve">regiónov </w:t>
            </w:r>
          </w:p>
        </w:tc>
      </w:tr>
      <w:tr w:rsidR="00BF03AA" w:rsidRPr="00326E55" w14:paraId="6A5B23F4" w14:textId="77777777">
        <w:trPr>
          <w:trHeight w:val="300"/>
        </w:trPr>
        <w:tc>
          <w:tcPr>
            <w:tcW w:w="1200" w:type="dxa"/>
            <w:shd w:val="clear" w:color="auto" w:fill="C6EFCE"/>
            <w:tcMar>
              <w:left w:w="108" w:type="dxa"/>
              <w:right w:w="108" w:type="dxa"/>
            </w:tcMar>
            <w:vAlign w:val="center"/>
          </w:tcPr>
          <w:p w14:paraId="1777675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10</w:t>
            </w:r>
          </w:p>
        </w:tc>
        <w:tc>
          <w:tcPr>
            <w:tcW w:w="2553" w:type="dxa"/>
            <w:shd w:val="clear" w:color="auto" w:fill="C6EFCE"/>
            <w:tcMar>
              <w:left w:w="108" w:type="dxa"/>
              <w:right w:w="108" w:type="dxa"/>
            </w:tcMar>
            <w:vAlign w:val="center"/>
          </w:tcPr>
          <w:p w14:paraId="5AC436D7" w14:textId="11E992D3" w:rsidR="00BF03AA" w:rsidRPr="00326E55" w:rsidRDefault="00FB452D">
            <w:pPr>
              <w:pStyle w:val="P68B1DB1-Normal121"/>
              <w:spacing w:after="0" w:line="240" w:lineRule="auto"/>
              <w:rPr>
                <w:noProof/>
                <w:spacing w:val="-6"/>
                <w:lang w:val="sk-SK"/>
              </w:rPr>
            </w:pPr>
            <w:r w:rsidRPr="00326E55">
              <w:rPr>
                <w:noProof/>
                <w:spacing w:val="-6"/>
                <w:lang w:val="sk-SK"/>
              </w:rPr>
              <w:t>Investícia 1.3: Posilnenie strednej zdravotnej starostlivosti</w:t>
            </w:r>
            <w:r w:rsidR="00326E55" w:rsidRPr="00326E55">
              <w:rPr>
                <w:noProof/>
                <w:spacing w:val="-6"/>
                <w:lang w:val="sk-SK"/>
              </w:rPr>
              <w:t xml:space="preserve"> a </w:t>
            </w:r>
            <w:r w:rsidRPr="00326E55">
              <w:rPr>
                <w:noProof/>
                <w:spacing w:val="-6"/>
                <w:lang w:val="sk-SK"/>
              </w:rPr>
              <w:t>jej zariadení</w:t>
            </w:r>
            <w:r w:rsidRPr="00326E55">
              <w:rPr>
                <w:noProof/>
                <w:spacing w:val="-6"/>
                <w:lang w:val="sk-SK"/>
              </w:rPr>
              <w:t xml:space="preserve"> (komunitné nemocnice)</w:t>
            </w:r>
          </w:p>
        </w:tc>
        <w:tc>
          <w:tcPr>
            <w:tcW w:w="1170" w:type="dxa"/>
            <w:shd w:val="clear" w:color="auto" w:fill="C6EFCE"/>
            <w:tcMar>
              <w:left w:w="108" w:type="dxa"/>
              <w:right w:w="108" w:type="dxa"/>
            </w:tcMar>
            <w:vAlign w:val="center"/>
          </w:tcPr>
          <w:p w14:paraId="3478C5D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184A02D3" w14:textId="323814C2" w:rsidR="00BF03AA" w:rsidRPr="00326E55" w:rsidRDefault="00FB452D">
            <w:pPr>
              <w:pStyle w:val="P68B1DB1-Normal121"/>
              <w:spacing w:after="0" w:line="240" w:lineRule="auto"/>
              <w:rPr>
                <w:noProof/>
                <w:spacing w:val="-6"/>
                <w:lang w:val="sk-SK"/>
              </w:rPr>
            </w:pPr>
            <w:r w:rsidRPr="00326E55">
              <w:rPr>
                <w:noProof/>
                <w:spacing w:val="-6"/>
                <w:lang w:val="sk-SK"/>
              </w:rPr>
              <w:t>Schválenie zmluvy</w:t>
            </w:r>
            <w:r w:rsidR="00326E55" w:rsidRPr="00326E55">
              <w:rPr>
                <w:noProof/>
                <w:spacing w:val="-6"/>
                <w:lang w:val="sk-SK"/>
              </w:rPr>
              <w:t xml:space="preserve"> o </w:t>
            </w:r>
            <w:r w:rsidRPr="00326E55">
              <w:rPr>
                <w:noProof/>
                <w:spacing w:val="-6"/>
                <w:lang w:val="sk-SK"/>
              </w:rPr>
              <w:t>inštitucionálnom rozvoji (Contratto Istituzionale di Sviluppo)</w:t>
            </w:r>
          </w:p>
        </w:tc>
      </w:tr>
      <w:tr w:rsidR="00BF03AA" w:rsidRPr="00326E55" w14:paraId="3F0387CE" w14:textId="77777777">
        <w:trPr>
          <w:trHeight w:val="300"/>
        </w:trPr>
        <w:tc>
          <w:tcPr>
            <w:tcW w:w="1200" w:type="dxa"/>
            <w:shd w:val="clear" w:color="auto" w:fill="C6EFCE"/>
            <w:tcMar>
              <w:left w:w="108" w:type="dxa"/>
              <w:right w:w="108" w:type="dxa"/>
            </w:tcMar>
            <w:vAlign w:val="center"/>
          </w:tcPr>
          <w:p w14:paraId="457F368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5</w:t>
            </w:r>
          </w:p>
        </w:tc>
        <w:tc>
          <w:tcPr>
            <w:tcW w:w="2553" w:type="dxa"/>
            <w:shd w:val="clear" w:color="auto" w:fill="C6EFCE"/>
            <w:tcMar>
              <w:left w:w="108" w:type="dxa"/>
              <w:right w:w="108" w:type="dxa"/>
            </w:tcMar>
            <w:vAlign w:val="center"/>
          </w:tcPr>
          <w:p w14:paraId="3C5BF904" w14:textId="77777777" w:rsidR="00BF03AA" w:rsidRPr="00326E55" w:rsidRDefault="00FB452D">
            <w:pPr>
              <w:pStyle w:val="P68B1DB1-Normal123"/>
              <w:spacing w:after="0" w:line="240" w:lineRule="auto"/>
              <w:rPr>
                <w:noProof/>
                <w:spacing w:val="-6"/>
                <w:lang w:val="sk-SK"/>
              </w:rPr>
            </w:pPr>
            <w:r w:rsidRPr="00326E55">
              <w:rPr>
                <w:noProof/>
                <w:spacing w:val="-6"/>
                <w:lang w:val="sk-SK"/>
              </w:rPr>
              <w:t>Investícia 1.1: Digitálna aktualizácia technologického vybavenia nemocníc</w:t>
            </w:r>
          </w:p>
        </w:tc>
        <w:tc>
          <w:tcPr>
            <w:tcW w:w="1170" w:type="dxa"/>
            <w:shd w:val="clear" w:color="auto" w:fill="C6EFCE"/>
            <w:tcMar>
              <w:left w:w="108" w:type="dxa"/>
              <w:right w:w="108" w:type="dxa"/>
            </w:tcMar>
            <w:vAlign w:val="center"/>
          </w:tcPr>
          <w:p w14:paraId="2F6CE0BA"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Míľnik</w:t>
            </w:r>
          </w:p>
        </w:tc>
        <w:tc>
          <w:tcPr>
            <w:tcW w:w="4435" w:type="dxa"/>
            <w:shd w:val="clear" w:color="auto" w:fill="C6EFCE"/>
            <w:tcMar>
              <w:left w:w="108" w:type="dxa"/>
              <w:right w:w="108" w:type="dxa"/>
            </w:tcMar>
            <w:vAlign w:val="center"/>
          </w:tcPr>
          <w:p w14:paraId="7EF603FA" w14:textId="7005692D" w:rsidR="00BF03AA" w:rsidRPr="00326E55" w:rsidRDefault="00FB452D">
            <w:pPr>
              <w:pStyle w:val="P68B1DB1-Normal123"/>
              <w:spacing w:after="0" w:line="240" w:lineRule="auto"/>
              <w:rPr>
                <w:noProof/>
                <w:spacing w:val="-6"/>
                <w:lang w:val="sk-SK"/>
              </w:rPr>
            </w:pPr>
            <w:r w:rsidRPr="00326E55">
              <w:rPr>
                <w:noProof/>
                <w:spacing w:val="-6"/>
                <w:lang w:val="sk-SK"/>
              </w:rPr>
              <w:t>Schválenie zmluvy</w:t>
            </w:r>
            <w:r w:rsidR="00326E55" w:rsidRPr="00326E55">
              <w:rPr>
                <w:noProof/>
                <w:spacing w:val="-6"/>
                <w:lang w:val="sk-SK"/>
              </w:rPr>
              <w:t xml:space="preserve"> o </w:t>
            </w:r>
            <w:r w:rsidRPr="00326E55">
              <w:rPr>
                <w:noProof/>
                <w:spacing w:val="-6"/>
                <w:lang w:val="sk-SK"/>
              </w:rPr>
              <w:t>inštitucionálnom rozvoji</w:t>
            </w:r>
          </w:p>
        </w:tc>
      </w:tr>
      <w:tr w:rsidR="00BF03AA" w:rsidRPr="00326E55" w14:paraId="64DF2753" w14:textId="77777777">
        <w:trPr>
          <w:trHeight w:val="300"/>
        </w:trPr>
        <w:tc>
          <w:tcPr>
            <w:tcW w:w="1200" w:type="dxa"/>
            <w:shd w:val="clear" w:color="auto" w:fill="C6EFCE"/>
            <w:tcMar>
              <w:left w:w="108" w:type="dxa"/>
              <w:right w:w="108" w:type="dxa"/>
            </w:tcMar>
            <w:vAlign w:val="center"/>
          </w:tcPr>
          <w:p w14:paraId="057DB897"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553" w:type="dxa"/>
            <w:shd w:val="clear" w:color="auto" w:fill="C6EFCE"/>
            <w:tcMar>
              <w:left w:w="108" w:type="dxa"/>
              <w:right w:w="108" w:type="dxa"/>
            </w:tcMar>
            <w:vAlign w:val="center"/>
          </w:tcPr>
          <w:p w14:paraId="431F28A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170" w:type="dxa"/>
            <w:shd w:val="clear" w:color="auto" w:fill="C6EFCE"/>
            <w:tcMar>
              <w:left w:w="108" w:type="dxa"/>
              <w:right w:w="108" w:type="dxa"/>
            </w:tcMar>
            <w:vAlign w:val="center"/>
          </w:tcPr>
          <w:p w14:paraId="1D67B0E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4435" w:type="dxa"/>
            <w:shd w:val="clear" w:color="auto" w:fill="C6EFCE"/>
            <w:tcMar>
              <w:left w:w="108" w:type="dxa"/>
              <w:right w:w="108" w:type="dxa"/>
            </w:tcMar>
            <w:vAlign w:val="center"/>
          </w:tcPr>
          <w:p w14:paraId="2DF9D7F9"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12643678161 EUR</w:t>
            </w:r>
            <w:r w:rsidRPr="00326E55">
              <w:rPr>
                <w:noProof/>
                <w:spacing w:val="-6"/>
                <w:sz w:val="23"/>
                <w:szCs w:val="23"/>
                <w:lang w:val="sk-SK"/>
              </w:rPr>
              <w:t xml:space="preserve">  </w:t>
            </w:r>
          </w:p>
        </w:tc>
      </w:tr>
    </w:tbl>
    <w:p w14:paraId="5FF47A03" w14:textId="77777777" w:rsidR="00BF03AA" w:rsidRPr="00326E55" w:rsidRDefault="00FB452D">
      <w:pPr>
        <w:pStyle w:val="Heading3"/>
        <w:numPr>
          <w:ilvl w:val="1"/>
          <w:numId w:val="179"/>
        </w:numPr>
        <w:tabs>
          <w:tab w:val="clear" w:pos="850"/>
          <w:tab w:val="num" w:pos="1440"/>
        </w:tabs>
        <w:ind w:left="1440" w:hanging="360"/>
        <w:rPr>
          <w:rFonts w:ascii="Times New Roman" w:hAnsi="Times New Roman" w:cs="Times New Roman"/>
          <w:noProof/>
          <w:color w:val="auto"/>
          <w:spacing w:val="-6"/>
          <w:sz w:val="24"/>
          <w:szCs w:val="24"/>
          <w:lang w:val="sk-SK"/>
        </w:rPr>
      </w:pPr>
      <w:r w:rsidRPr="00326E55">
        <w:rPr>
          <w:rFonts w:ascii="Times New Roman" w:eastAsia="Times New Roman" w:hAnsi="Times New Roman" w:cs="Times New Roman"/>
          <w:noProof/>
          <w:spacing w:val="-6"/>
          <w:lang w:val="sk-SK"/>
        </w:rPr>
        <w:t xml:space="preserve"> </w:t>
      </w:r>
      <w:r w:rsidRPr="00326E55">
        <w:rPr>
          <w:rFonts w:ascii="Times New Roman" w:hAnsi="Times New Roman" w:cs="Times New Roman"/>
          <w:noProof/>
          <w:color w:val="auto"/>
          <w:spacing w:val="-6"/>
          <w:sz w:val="24"/>
          <w:szCs w:val="24"/>
          <w:lang w:val="sk-SK"/>
        </w:rPr>
        <w:t>Tretia splátka (úverová podpora):</w:t>
      </w:r>
    </w:p>
    <w:tbl>
      <w:tblPr>
        <w:tblW w:w="935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3665"/>
        <w:gridCol w:w="1125"/>
        <w:gridCol w:w="3426"/>
      </w:tblGrid>
      <w:tr w:rsidR="00BF03AA" w:rsidRPr="00326E55" w14:paraId="2DFE4EE3" w14:textId="77777777">
        <w:trPr>
          <w:trHeight w:val="900"/>
          <w:tblHeader/>
        </w:trPr>
        <w:tc>
          <w:tcPr>
            <w:tcW w:w="1140" w:type="dxa"/>
            <w:vMerge w:val="restart"/>
            <w:shd w:val="clear" w:color="auto" w:fill="BDD7EE"/>
            <w:tcMar>
              <w:left w:w="108" w:type="dxa"/>
              <w:right w:w="108" w:type="dxa"/>
            </w:tcMar>
            <w:vAlign w:val="center"/>
          </w:tcPr>
          <w:p w14:paraId="40F99D48"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665" w:type="dxa"/>
            <w:vMerge w:val="restart"/>
            <w:shd w:val="clear" w:color="auto" w:fill="BDD7EE"/>
            <w:tcMar>
              <w:left w:w="108" w:type="dxa"/>
              <w:right w:w="108" w:type="dxa"/>
            </w:tcMar>
            <w:vAlign w:val="center"/>
          </w:tcPr>
          <w:p w14:paraId="4313A4FA"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125" w:type="dxa"/>
            <w:vMerge w:val="restart"/>
            <w:shd w:val="clear" w:color="auto" w:fill="BDD7EE"/>
            <w:tcMar>
              <w:left w:w="108" w:type="dxa"/>
              <w:right w:w="108" w:type="dxa"/>
            </w:tcMar>
            <w:vAlign w:val="center"/>
          </w:tcPr>
          <w:p w14:paraId="63ACF225"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426" w:type="dxa"/>
            <w:vMerge w:val="restart"/>
            <w:shd w:val="clear" w:color="auto" w:fill="BDD7EE"/>
            <w:tcMar>
              <w:left w:w="108" w:type="dxa"/>
              <w:right w:w="108" w:type="dxa"/>
            </w:tcMar>
            <w:vAlign w:val="center"/>
          </w:tcPr>
          <w:p w14:paraId="7CD261C9"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14D863AC" w14:textId="77777777">
        <w:trPr>
          <w:trHeight w:val="465"/>
        </w:trPr>
        <w:tc>
          <w:tcPr>
            <w:tcW w:w="1140" w:type="dxa"/>
            <w:vMerge/>
            <w:vAlign w:val="center"/>
          </w:tcPr>
          <w:p w14:paraId="10251F7A"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665" w:type="dxa"/>
            <w:vMerge/>
            <w:vAlign w:val="center"/>
          </w:tcPr>
          <w:p w14:paraId="7B3549F5"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125" w:type="dxa"/>
            <w:vMerge/>
            <w:vAlign w:val="center"/>
          </w:tcPr>
          <w:p w14:paraId="46633683"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426" w:type="dxa"/>
            <w:vMerge/>
            <w:vAlign w:val="center"/>
          </w:tcPr>
          <w:p w14:paraId="672F18D4"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0995E2C1" w14:textId="77777777">
        <w:trPr>
          <w:trHeight w:val="300"/>
        </w:trPr>
        <w:tc>
          <w:tcPr>
            <w:tcW w:w="1140" w:type="dxa"/>
            <w:shd w:val="clear" w:color="auto" w:fill="C6EFCE"/>
            <w:tcMar>
              <w:left w:w="108" w:type="dxa"/>
              <w:right w:w="108" w:type="dxa"/>
            </w:tcMar>
            <w:vAlign w:val="center"/>
          </w:tcPr>
          <w:p w14:paraId="4C746B1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18</w:t>
            </w:r>
          </w:p>
        </w:tc>
        <w:tc>
          <w:tcPr>
            <w:tcW w:w="3665" w:type="dxa"/>
            <w:shd w:val="clear" w:color="auto" w:fill="C6EFCE"/>
            <w:tcMar>
              <w:left w:w="108" w:type="dxa"/>
              <w:right w:w="108" w:type="dxa"/>
            </w:tcMar>
            <w:vAlign w:val="center"/>
          </w:tcPr>
          <w:p w14:paraId="293E292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3.1: Zelené ostrovy</w:t>
            </w:r>
          </w:p>
        </w:tc>
        <w:tc>
          <w:tcPr>
            <w:tcW w:w="1125" w:type="dxa"/>
            <w:shd w:val="clear" w:color="auto" w:fill="C6EFCE"/>
            <w:tcMar>
              <w:left w:w="108" w:type="dxa"/>
              <w:right w:w="108" w:type="dxa"/>
            </w:tcMar>
            <w:vAlign w:val="center"/>
          </w:tcPr>
          <w:p w14:paraId="50BC988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6E353096"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nariadenia riaditeľa</w:t>
            </w:r>
          </w:p>
        </w:tc>
      </w:tr>
      <w:tr w:rsidR="00BF03AA" w:rsidRPr="00326E55" w14:paraId="18C8F707" w14:textId="77777777">
        <w:trPr>
          <w:trHeight w:val="300"/>
        </w:trPr>
        <w:tc>
          <w:tcPr>
            <w:tcW w:w="1140" w:type="dxa"/>
            <w:shd w:val="clear" w:color="auto" w:fill="C6EFCE"/>
            <w:tcMar>
              <w:left w:w="108" w:type="dxa"/>
              <w:right w:w="108" w:type="dxa"/>
            </w:tcMar>
            <w:vAlign w:val="center"/>
          </w:tcPr>
          <w:p w14:paraId="5628CE1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20</w:t>
            </w:r>
          </w:p>
        </w:tc>
        <w:tc>
          <w:tcPr>
            <w:tcW w:w="3665" w:type="dxa"/>
            <w:shd w:val="clear" w:color="auto" w:fill="C6EFCE"/>
            <w:tcMar>
              <w:left w:w="108" w:type="dxa"/>
              <w:right w:w="108" w:type="dxa"/>
            </w:tcMar>
            <w:vAlign w:val="center"/>
          </w:tcPr>
          <w:p w14:paraId="7678441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Zelené spoločenstvá</w:t>
            </w:r>
          </w:p>
        </w:tc>
        <w:tc>
          <w:tcPr>
            <w:tcW w:w="1125" w:type="dxa"/>
            <w:shd w:val="clear" w:color="auto" w:fill="C6EFCE"/>
            <w:tcMar>
              <w:left w:w="108" w:type="dxa"/>
              <w:right w:w="108" w:type="dxa"/>
            </w:tcMar>
            <w:vAlign w:val="center"/>
          </w:tcPr>
          <w:p w14:paraId="7ED915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6919AB2E" w14:textId="77777777"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výber zelených spoločenstiev</w:t>
            </w:r>
          </w:p>
        </w:tc>
      </w:tr>
      <w:tr w:rsidR="00BF03AA" w:rsidRPr="00326E55" w14:paraId="4AF1E29F" w14:textId="77777777">
        <w:trPr>
          <w:trHeight w:val="300"/>
        </w:trPr>
        <w:tc>
          <w:tcPr>
            <w:tcW w:w="1140" w:type="dxa"/>
            <w:shd w:val="clear" w:color="auto" w:fill="C6EFCE"/>
            <w:tcMar>
              <w:left w:w="108" w:type="dxa"/>
              <w:right w:w="108" w:type="dxa"/>
            </w:tcMar>
            <w:vAlign w:val="center"/>
          </w:tcPr>
          <w:p w14:paraId="70B98FE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17</w:t>
            </w:r>
          </w:p>
        </w:tc>
        <w:tc>
          <w:tcPr>
            <w:tcW w:w="3665" w:type="dxa"/>
            <w:shd w:val="clear" w:color="auto" w:fill="C6EFCE"/>
            <w:tcMar>
              <w:left w:w="108" w:type="dxa"/>
              <w:right w:w="108" w:type="dxa"/>
            </w:tcMar>
            <w:vAlign w:val="center"/>
          </w:tcPr>
          <w:p w14:paraId="19D33C6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 Mestské integrované plány – fond EIB – fond fondu</w:t>
            </w:r>
          </w:p>
        </w:tc>
        <w:tc>
          <w:tcPr>
            <w:tcW w:w="1125" w:type="dxa"/>
            <w:shd w:val="clear" w:color="auto" w:fill="C6EFCE"/>
            <w:tcMar>
              <w:left w:w="108" w:type="dxa"/>
              <w:right w:w="108" w:type="dxa"/>
            </w:tcMar>
            <w:vAlign w:val="center"/>
          </w:tcPr>
          <w:p w14:paraId="57C13C5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2B35D32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Investičnú stratégiu fondu schvaľuje ministerstvo financi</w:t>
            </w:r>
            <w:r w:rsidRPr="00326E55">
              <w:rPr>
                <w:noProof/>
                <w:spacing w:val="-6"/>
                <w:lang w:val="sk-SK"/>
              </w:rPr>
              <w:t>í (MEF).</w:t>
            </w:r>
          </w:p>
        </w:tc>
      </w:tr>
      <w:tr w:rsidR="00BF03AA" w:rsidRPr="00326E55" w14:paraId="634CE3AE" w14:textId="77777777">
        <w:trPr>
          <w:trHeight w:val="300"/>
        </w:trPr>
        <w:tc>
          <w:tcPr>
            <w:tcW w:w="1140" w:type="dxa"/>
            <w:shd w:val="clear" w:color="auto" w:fill="C6EFCE"/>
            <w:tcMar>
              <w:left w:w="108" w:type="dxa"/>
              <w:right w:w="108" w:type="dxa"/>
            </w:tcMar>
            <w:vAlign w:val="center"/>
          </w:tcPr>
          <w:p w14:paraId="3C8FBFB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123</w:t>
            </w:r>
          </w:p>
        </w:tc>
        <w:tc>
          <w:tcPr>
            <w:tcW w:w="3665" w:type="dxa"/>
            <w:shd w:val="clear" w:color="auto" w:fill="C6EFCE"/>
            <w:tcMar>
              <w:left w:w="108" w:type="dxa"/>
              <w:right w:w="108" w:type="dxa"/>
            </w:tcMar>
            <w:vAlign w:val="center"/>
          </w:tcPr>
          <w:p w14:paraId="71BB5E32" w14:textId="7D994EC0" w:rsidR="00BF03AA" w:rsidRPr="00326E55" w:rsidRDefault="00FB452D">
            <w:pPr>
              <w:pStyle w:val="P68B1DB1-Normal121"/>
              <w:spacing w:after="0" w:line="240" w:lineRule="auto"/>
              <w:rPr>
                <w:noProof/>
                <w:spacing w:val="-6"/>
                <w:lang w:val="sk-SK"/>
              </w:rPr>
            </w:pPr>
            <w:r w:rsidRPr="00326E55">
              <w:rPr>
                <w:noProof/>
                <w:spacing w:val="-6"/>
                <w:lang w:val="sk-SK"/>
              </w:rPr>
              <w:t>Investícia 1.6.3 – Digitalizácia Národného inštitútu sociálneho zabezpečenia (INPS)</w:t>
            </w:r>
            <w:r w:rsidR="00326E55" w:rsidRPr="00326E55">
              <w:rPr>
                <w:noProof/>
                <w:spacing w:val="-6"/>
                <w:lang w:val="sk-SK"/>
              </w:rPr>
              <w:t xml:space="preserve"> a </w:t>
            </w:r>
            <w:r w:rsidRPr="00326E55">
              <w:rPr>
                <w:noProof/>
                <w:spacing w:val="-6"/>
                <w:lang w:val="sk-SK"/>
              </w:rPr>
              <w:t>Národného inštitútu poistenia proti pracovným úrazom (INAIL)</w:t>
            </w:r>
          </w:p>
        </w:tc>
        <w:tc>
          <w:tcPr>
            <w:tcW w:w="1125" w:type="dxa"/>
            <w:shd w:val="clear" w:color="auto" w:fill="C6EFCE"/>
            <w:tcMar>
              <w:left w:w="108" w:type="dxa"/>
              <w:right w:w="108" w:type="dxa"/>
            </w:tcMar>
            <w:vAlign w:val="center"/>
          </w:tcPr>
          <w:p w14:paraId="3C19884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26" w:type="dxa"/>
            <w:shd w:val="clear" w:color="auto" w:fill="C6EFCE"/>
            <w:tcMar>
              <w:left w:w="108" w:type="dxa"/>
              <w:right w:w="108" w:type="dxa"/>
            </w:tcMar>
            <w:vAlign w:val="center"/>
          </w:tcPr>
          <w:p w14:paraId="3A8D8C51" w14:textId="77777777" w:rsidR="00BF03AA" w:rsidRPr="00326E55" w:rsidRDefault="00FB452D">
            <w:pPr>
              <w:pStyle w:val="P68B1DB1-Normal121"/>
              <w:spacing w:after="0" w:line="240" w:lineRule="auto"/>
              <w:rPr>
                <w:noProof/>
                <w:spacing w:val="-6"/>
                <w:lang w:val="sk-SK"/>
              </w:rPr>
            </w:pPr>
            <w:r w:rsidRPr="00326E55">
              <w:rPr>
                <w:noProof/>
                <w:spacing w:val="-6"/>
                <w:lang w:val="sk-SK"/>
              </w:rPr>
              <w:t>INPS – služby/obsah T1 „Jedno kliknutie podľa návrhu“</w:t>
            </w:r>
          </w:p>
        </w:tc>
      </w:tr>
      <w:tr w:rsidR="00BF03AA" w:rsidRPr="00326E55" w14:paraId="7ACD5CF3" w14:textId="77777777">
        <w:trPr>
          <w:trHeight w:val="300"/>
        </w:trPr>
        <w:tc>
          <w:tcPr>
            <w:tcW w:w="1140" w:type="dxa"/>
            <w:shd w:val="clear" w:color="auto" w:fill="C6EFCE"/>
            <w:tcMar>
              <w:left w:w="108" w:type="dxa"/>
              <w:right w:w="108" w:type="dxa"/>
            </w:tcMar>
            <w:vAlign w:val="center"/>
          </w:tcPr>
          <w:p w14:paraId="17C7656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124</w:t>
            </w:r>
          </w:p>
        </w:tc>
        <w:tc>
          <w:tcPr>
            <w:tcW w:w="3665" w:type="dxa"/>
            <w:shd w:val="clear" w:color="auto" w:fill="C6EFCE"/>
            <w:tcMar>
              <w:left w:w="108" w:type="dxa"/>
              <w:right w:w="108" w:type="dxa"/>
            </w:tcMar>
            <w:vAlign w:val="center"/>
          </w:tcPr>
          <w:p w14:paraId="5789D611" w14:textId="2BEC01AA"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1.6.3 </w:t>
            </w:r>
            <w:r w:rsidRPr="00326E55">
              <w:rPr>
                <w:noProof/>
                <w:spacing w:val="-6"/>
                <w:lang w:val="sk-SK"/>
              </w:rPr>
              <w:t>– Digitalizácia Národného inštitútu sociálneho zabezpečenia (INPS)</w:t>
            </w:r>
            <w:r w:rsidR="00326E55" w:rsidRPr="00326E55">
              <w:rPr>
                <w:noProof/>
                <w:spacing w:val="-6"/>
                <w:lang w:val="sk-SK"/>
              </w:rPr>
              <w:t xml:space="preserve"> a </w:t>
            </w:r>
            <w:r w:rsidRPr="00326E55">
              <w:rPr>
                <w:noProof/>
                <w:spacing w:val="-6"/>
                <w:lang w:val="sk-SK"/>
              </w:rPr>
              <w:t>Národného inštitútu poistenia proti pracovným úrazom (INAIL)</w:t>
            </w:r>
          </w:p>
        </w:tc>
        <w:tc>
          <w:tcPr>
            <w:tcW w:w="1125" w:type="dxa"/>
            <w:shd w:val="clear" w:color="auto" w:fill="C6EFCE"/>
            <w:tcMar>
              <w:left w:w="108" w:type="dxa"/>
              <w:right w:w="108" w:type="dxa"/>
            </w:tcMar>
            <w:vAlign w:val="center"/>
          </w:tcPr>
          <w:p w14:paraId="5DE6261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26" w:type="dxa"/>
            <w:shd w:val="clear" w:color="auto" w:fill="C6EFCE"/>
            <w:tcMar>
              <w:left w:w="108" w:type="dxa"/>
              <w:right w:w="108" w:type="dxa"/>
            </w:tcMar>
            <w:vAlign w:val="center"/>
          </w:tcPr>
          <w:p w14:paraId="6150FB81" w14:textId="20602FC6" w:rsidR="00BF03AA" w:rsidRPr="00326E55" w:rsidRDefault="00FB452D">
            <w:pPr>
              <w:pStyle w:val="P68B1DB1-Normal121"/>
              <w:spacing w:after="0" w:line="240" w:lineRule="auto"/>
              <w:rPr>
                <w:noProof/>
                <w:spacing w:val="-6"/>
                <w:lang w:val="sk-SK"/>
              </w:rPr>
            </w:pPr>
            <w:r w:rsidRPr="00326E55">
              <w:rPr>
                <w:noProof/>
                <w:spacing w:val="-6"/>
                <w:lang w:val="sk-SK"/>
              </w:rPr>
              <w:t>INPS – Zamestnanci so zlepšenými zručnosťami</w:t>
            </w:r>
            <w:r w:rsidR="00326E55" w:rsidRPr="00326E55">
              <w:rPr>
                <w:noProof/>
                <w:spacing w:val="-6"/>
                <w:lang w:val="sk-SK"/>
              </w:rPr>
              <w:t xml:space="preserve"> v </w:t>
            </w:r>
            <w:r w:rsidRPr="00326E55">
              <w:rPr>
                <w:noProof/>
                <w:spacing w:val="-6"/>
                <w:lang w:val="sk-SK"/>
              </w:rPr>
              <w:t>oblasti informačných</w:t>
            </w:r>
            <w:r w:rsidR="00326E55" w:rsidRPr="00326E55">
              <w:rPr>
                <w:noProof/>
                <w:spacing w:val="-6"/>
                <w:lang w:val="sk-SK"/>
              </w:rPr>
              <w:t xml:space="preserve"> a </w:t>
            </w:r>
            <w:r w:rsidRPr="00326E55">
              <w:rPr>
                <w:noProof/>
                <w:spacing w:val="-6"/>
                <w:lang w:val="sk-SK"/>
              </w:rPr>
              <w:t>komunikačných technológií (IKT) T1</w:t>
            </w:r>
          </w:p>
        </w:tc>
      </w:tr>
      <w:tr w:rsidR="00BF03AA" w:rsidRPr="00326E55" w14:paraId="6EAB0752" w14:textId="77777777">
        <w:trPr>
          <w:trHeight w:val="300"/>
        </w:trPr>
        <w:tc>
          <w:tcPr>
            <w:tcW w:w="1140" w:type="dxa"/>
            <w:shd w:val="clear" w:color="auto" w:fill="C6EFCE"/>
            <w:tcMar>
              <w:left w:w="108" w:type="dxa"/>
              <w:right w:w="108" w:type="dxa"/>
            </w:tcMar>
            <w:vAlign w:val="center"/>
          </w:tcPr>
          <w:p w14:paraId="3373D55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30</w:t>
            </w:r>
          </w:p>
        </w:tc>
        <w:tc>
          <w:tcPr>
            <w:tcW w:w="3665" w:type="dxa"/>
            <w:shd w:val="clear" w:color="auto" w:fill="C6EFCE"/>
            <w:tcMar>
              <w:left w:w="108" w:type="dxa"/>
              <w:right w:w="108" w:type="dxa"/>
            </w:tcMar>
            <w:vAlign w:val="center"/>
          </w:tcPr>
          <w:p w14:paraId="7DCCE04B" w14:textId="77777777" w:rsidR="00BF03AA" w:rsidRPr="00326E55" w:rsidRDefault="00FB452D">
            <w:pPr>
              <w:pStyle w:val="P68B1DB1-Normal121"/>
              <w:spacing w:after="0" w:line="240" w:lineRule="auto"/>
              <w:rPr>
                <w:noProof/>
                <w:spacing w:val="-6"/>
                <w:lang w:val="sk-SK"/>
              </w:rPr>
            </w:pPr>
            <w:r w:rsidRPr="00326E55">
              <w:rPr>
                <w:noProof/>
                <w:spacing w:val="-6"/>
                <w:lang w:val="sk-SK"/>
              </w:rPr>
              <w:t>Inves</w:t>
            </w:r>
            <w:r w:rsidRPr="00326E55">
              <w:rPr>
                <w:noProof/>
                <w:spacing w:val="-6"/>
                <w:lang w:val="sk-SK"/>
              </w:rPr>
              <w:t>tícia 4.2:  Fondy pre konkurencieschopnosť podnikov cestovného ruchu</w:t>
            </w:r>
          </w:p>
        </w:tc>
        <w:tc>
          <w:tcPr>
            <w:tcW w:w="1125" w:type="dxa"/>
            <w:shd w:val="clear" w:color="auto" w:fill="C6EFCE"/>
            <w:tcMar>
              <w:left w:w="108" w:type="dxa"/>
              <w:right w:w="108" w:type="dxa"/>
            </w:tcMar>
            <w:vAlign w:val="center"/>
          </w:tcPr>
          <w:p w14:paraId="37C58E1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26" w:type="dxa"/>
            <w:shd w:val="clear" w:color="auto" w:fill="C6EFCE"/>
            <w:tcMar>
              <w:left w:w="108" w:type="dxa"/>
              <w:right w:w="108" w:type="dxa"/>
            </w:tcMar>
            <w:vAlign w:val="center"/>
          </w:tcPr>
          <w:p w14:paraId="30E8D11D" w14:textId="3A1FE8D6" w:rsidR="00BF03AA" w:rsidRPr="00326E55" w:rsidRDefault="00FB452D">
            <w:pPr>
              <w:pStyle w:val="P68B1DB1-Normal8"/>
              <w:spacing w:after="0" w:line="240" w:lineRule="auto"/>
              <w:rPr>
                <w:noProof/>
                <w:spacing w:val="-6"/>
                <w:lang w:val="sk-SK"/>
              </w:rPr>
            </w:pPr>
            <w:r w:rsidRPr="00326E55">
              <w:rPr>
                <w:noProof/>
                <w:spacing w:val="-6"/>
                <w:sz w:val="23"/>
                <w:szCs w:val="23"/>
                <w:lang w:val="sk-SK"/>
              </w:rPr>
              <w:t xml:space="preserve">Tematické fondy </w:t>
            </w:r>
            <w:r w:rsidRPr="00326E55">
              <w:rPr>
                <w:noProof/>
                <w:color w:val="006100"/>
                <w:spacing w:val="-6"/>
                <w:sz w:val="20"/>
                <w:szCs w:val="20"/>
                <w:lang w:val="sk-SK"/>
              </w:rPr>
              <w:t>Európskej investičnej banky: Vyplatenie do fondu</w:t>
            </w:r>
            <w:r w:rsidR="00326E55" w:rsidRPr="00326E55">
              <w:rPr>
                <w:noProof/>
                <w:color w:val="006100"/>
                <w:spacing w:val="-6"/>
                <w:sz w:val="20"/>
                <w:szCs w:val="20"/>
                <w:lang w:val="sk-SK"/>
              </w:rPr>
              <w:t xml:space="preserve"> v </w:t>
            </w:r>
            <w:r w:rsidRPr="00326E55">
              <w:rPr>
                <w:noProof/>
                <w:color w:val="006100"/>
                <w:spacing w:val="-6"/>
                <w:sz w:val="20"/>
                <w:szCs w:val="20"/>
                <w:lang w:val="sk-SK"/>
              </w:rPr>
              <w:t>celkovej výške 350000000</w:t>
            </w:r>
            <w:r w:rsidRPr="00326E55">
              <w:rPr>
                <w:noProof/>
                <w:spacing w:val="-6"/>
                <w:sz w:val="23"/>
                <w:szCs w:val="23"/>
                <w:lang w:val="sk-SK"/>
              </w:rPr>
              <w:t xml:space="preserve"> </w:t>
            </w:r>
            <w:r w:rsidRPr="00326E55">
              <w:rPr>
                <w:noProof/>
                <w:color w:val="006100"/>
                <w:spacing w:val="-6"/>
                <w:sz w:val="20"/>
                <w:szCs w:val="20"/>
                <w:lang w:val="sk-SK"/>
              </w:rPr>
              <w:t>EUR.</w:t>
            </w:r>
          </w:p>
        </w:tc>
      </w:tr>
      <w:tr w:rsidR="00BF03AA" w:rsidRPr="00326E55" w14:paraId="6B24EC1D" w14:textId="77777777">
        <w:trPr>
          <w:trHeight w:val="300"/>
        </w:trPr>
        <w:tc>
          <w:tcPr>
            <w:tcW w:w="1140" w:type="dxa"/>
            <w:shd w:val="clear" w:color="auto" w:fill="C6EFCE"/>
            <w:tcMar>
              <w:left w:w="108" w:type="dxa"/>
              <w:right w:w="108" w:type="dxa"/>
            </w:tcMar>
            <w:vAlign w:val="center"/>
          </w:tcPr>
          <w:p w14:paraId="3244C11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31</w:t>
            </w:r>
          </w:p>
        </w:tc>
        <w:tc>
          <w:tcPr>
            <w:tcW w:w="3665" w:type="dxa"/>
            <w:shd w:val="clear" w:color="auto" w:fill="C6EFCE"/>
            <w:tcMar>
              <w:left w:w="108" w:type="dxa"/>
              <w:right w:w="108" w:type="dxa"/>
            </w:tcMar>
            <w:vAlign w:val="center"/>
          </w:tcPr>
          <w:p w14:paraId="12AF486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4.2:  Fondy pre konkurencieschopnosť podnikov cestovného ruchu</w:t>
            </w:r>
          </w:p>
        </w:tc>
        <w:tc>
          <w:tcPr>
            <w:tcW w:w="1125" w:type="dxa"/>
            <w:shd w:val="clear" w:color="auto" w:fill="C6EFCE"/>
            <w:tcMar>
              <w:left w:w="108" w:type="dxa"/>
              <w:right w:w="108" w:type="dxa"/>
            </w:tcMar>
            <w:vAlign w:val="center"/>
          </w:tcPr>
          <w:p w14:paraId="697A27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26" w:type="dxa"/>
            <w:shd w:val="clear" w:color="auto" w:fill="C6EFCE"/>
            <w:tcMar>
              <w:left w:w="108" w:type="dxa"/>
              <w:right w:w="108" w:type="dxa"/>
            </w:tcMar>
            <w:vAlign w:val="center"/>
          </w:tcPr>
          <w:p w14:paraId="0E40E885" w14:textId="6D80BA40"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Národný fond cestovného ruchu: Vyplatenie do fondu</w:t>
            </w:r>
            <w:r w:rsidR="00326E55" w:rsidRPr="00326E55">
              <w:rPr>
                <w:noProof/>
                <w:color w:val="006100"/>
                <w:spacing w:val="-6"/>
                <w:sz w:val="20"/>
                <w:szCs w:val="20"/>
                <w:lang w:val="sk-SK"/>
              </w:rPr>
              <w:t xml:space="preserve"> v </w:t>
            </w:r>
            <w:r w:rsidRPr="00326E55">
              <w:rPr>
                <w:noProof/>
                <w:color w:val="006100"/>
                <w:spacing w:val="-6"/>
                <w:sz w:val="20"/>
                <w:szCs w:val="20"/>
                <w:lang w:val="sk-SK"/>
              </w:rPr>
              <w:t>celkovej výške 150000000</w:t>
            </w:r>
            <w:r w:rsidRPr="00326E55">
              <w:rPr>
                <w:noProof/>
                <w:spacing w:val="-6"/>
                <w:sz w:val="23"/>
                <w:szCs w:val="23"/>
                <w:lang w:val="sk-SK"/>
              </w:rPr>
              <w:t xml:space="preserve"> </w:t>
            </w:r>
            <w:r w:rsidRPr="00326E55">
              <w:rPr>
                <w:noProof/>
                <w:color w:val="006100"/>
                <w:spacing w:val="-6"/>
                <w:sz w:val="20"/>
                <w:szCs w:val="20"/>
                <w:lang w:val="sk-SK"/>
              </w:rPr>
              <w:t>EUR</w:t>
            </w:r>
            <w:r w:rsidRPr="00326E55">
              <w:rPr>
                <w:noProof/>
                <w:spacing w:val="-6"/>
                <w:sz w:val="23"/>
                <w:szCs w:val="23"/>
                <w:lang w:val="sk-SK"/>
              </w:rPr>
              <w:t xml:space="preserve"> </w:t>
            </w:r>
            <w:r w:rsidRPr="00326E55">
              <w:rPr>
                <w:noProof/>
                <w:color w:val="006100"/>
                <w:spacing w:val="-6"/>
                <w:sz w:val="20"/>
                <w:szCs w:val="20"/>
                <w:lang w:val="sk-SK"/>
              </w:rPr>
              <w:t>na kapitálovú podporu.</w:t>
            </w:r>
          </w:p>
        </w:tc>
      </w:tr>
      <w:tr w:rsidR="00BF03AA" w:rsidRPr="00326E55" w14:paraId="68573C68" w14:textId="77777777">
        <w:trPr>
          <w:trHeight w:val="300"/>
        </w:trPr>
        <w:tc>
          <w:tcPr>
            <w:tcW w:w="1140" w:type="dxa"/>
            <w:shd w:val="clear" w:color="auto" w:fill="C6EFCE"/>
            <w:tcMar>
              <w:left w:w="108" w:type="dxa"/>
              <w:right w:w="108" w:type="dxa"/>
            </w:tcMar>
            <w:vAlign w:val="center"/>
          </w:tcPr>
          <w:p w14:paraId="0282FE6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9</w:t>
            </w:r>
          </w:p>
        </w:tc>
        <w:tc>
          <w:tcPr>
            <w:tcW w:w="3665" w:type="dxa"/>
            <w:shd w:val="clear" w:color="auto" w:fill="C6EFCE"/>
            <w:tcMar>
              <w:left w:w="108" w:type="dxa"/>
              <w:right w:w="108" w:type="dxa"/>
            </w:tcMar>
            <w:vAlign w:val="center"/>
          </w:tcPr>
          <w:p w14:paraId="7666CEF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3.1: Podpora účinného diaľkového vykurovania</w:t>
            </w:r>
          </w:p>
        </w:tc>
        <w:tc>
          <w:tcPr>
            <w:tcW w:w="1125" w:type="dxa"/>
            <w:shd w:val="clear" w:color="auto" w:fill="C6EFCE"/>
            <w:tcMar>
              <w:left w:w="108" w:type="dxa"/>
              <w:right w:w="108" w:type="dxa"/>
            </w:tcMar>
            <w:vAlign w:val="center"/>
          </w:tcPr>
          <w:p w14:paraId="611DFAB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56286FD6"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Zákazky na zlepšenie vykurovacích sietí zadáva ministerstvo pre ekologickú transformáciu na základe postupu verejného obstarávania. </w:t>
            </w:r>
          </w:p>
        </w:tc>
      </w:tr>
      <w:tr w:rsidR="00BF03AA" w:rsidRPr="00326E55" w14:paraId="32C6BCA9" w14:textId="77777777">
        <w:trPr>
          <w:trHeight w:val="300"/>
        </w:trPr>
        <w:tc>
          <w:tcPr>
            <w:tcW w:w="1140" w:type="dxa"/>
            <w:shd w:val="clear" w:color="auto" w:fill="C6EFCE"/>
            <w:tcMar>
              <w:left w:w="108" w:type="dxa"/>
              <w:right w:w="108" w:type="dxa"/>
            </w:tcMar>
            <w:vAlign w:val="center"/>
          </w:tcPr>
          <w:p w14:paraId="75B54F8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19</w:t>
            </w:r>
          </w:p>
        </w:tc>
        <w:tc>
          <w:tcPr>
            <w:tcW w:w="3665" w:type="dxa"/>
            <w:shd w:val="clear" w:color="auto" w:fill="C6EFCE"/>
            <w:tcMar>
              <w:left w:w="108" w:type="dxa"/>
              <w:right w:w="108" w:type="dxa"/>
            </w:tcMar>
            <w:vAlign w:val="center"/>
          </w:tcPr>
          <w:p w14:paraId="47B9B208" w14:textId="3E7CC306" w:rsidR="00BF03AA" w:rsidRPr="00326E55" w:rsidRDefault="00FB452D">
            <w:pPr>
              <w:pStyle w:val="P68B1DB1-Normal121"/>
              <w:spacing w:after="0" w:line="240" w:lineRule="auto"/>
              <w:rPr>
                <w:noProof/>
                <w:spacing w:val="-6"/>
                <w:lang w:val="sk-SK"/>
              </w:rPr>
            </w:pPr>
            <w:r w:rsidRPr="00326E55">
              <w:rPr>
                <w:noProof/>
                <w:spacing w:val="-6"/>
                <w:lang w:val="sk-SK"/>
              </w:rPr>
              <w:t>Investície. 3.1: Ochrana</w:t>
            </w:r>
            <w:r w:rsidR="00326E55" w:rsidRPr="00326E55">
              <w:rPr>
                <w:noProof/>
                <w:spacing w:val="-6"/>
                <w:lang w:val="sk-SK"/>
              </w:rPr>
              <w:t xml:space="preserve"> a </w:t>
            </w:r>
            <w:r w:rsidRPr="00326E55">
              <w:rPr>
                <w:noProof/>
                <w:spacing w:val="-6"/>
                <w:lang w:val="sk-SK"/>
              </w:rPr>
              <w:t>zveľaďovanie mestských</w:t>
            </w:r>
            <w:r w:rsidR="00326E55" w:rsidRPr="00326E55">
              <w:rPr>
                <w:noProof/>
                <w:spacing w:val="-6"/>
                <w:lang w:val="sk-SK"/>
              </w:rPr>
              <w:t xml:space="preserve"> a </w:t>
            </w:r>
            <w:r w:rsidRPr="00326E55">
              <w:rPr>
                <w:noProof/>
                <w:spacing w:val="-6"/>
                <w:lang w:val="sk-SK"/>
              </w:rPr>
              <w:t>prímestských lesov</w:t>
            </w:r>
          </w:p>
        </w:tc>
        <w:tc>
          <w:tcPr>
            <w:tcW w:w="1125" w:type="dxa"/>
            <w:shd w:val="clear" w:color="auto" w:fill="C6EFCE"/>
            <w:tcMar>
              <w:left w:w="108" w:type="dxa"/>
              <w:right w:w="108" w:type="dxa"/>
            </w:tcMar>
            <w:vAlign w:val="center"/>
          </w:tcPr>
          <w:p w14:paraId="39EFC6A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26" w:type="dxa"/>
            <w:shd w:val="clear" w:color="auto" w:fill="C6EFCE"/>
            <w:tcMar>
              <w:left w:w="108" w:type="dxa"/>
              <w:right w:w="108" w:type="dxa"/>
            </w:tcMar>
            <w:vAlign w:val="center"/>
          </w:tcPr>
          <w:p w14:paraId="3EA3F3A4" w14:textId="1E1B357C" w:rsidR="00BF03AA" w:rsidRPr="00326E55" w:rsidRDefault="00FB452D">
            <w:pPr>
              <w:pStyle w:val="P68B1DB1-Normal121"/>
              <w:spacing w:after="0" w:line="240" w:lineRule="auto"/>
              <w:rPr>
                <w:noProof/>
                <w:spacing w:val="-6"/>
                <w:lang w:val="sk-SK"/>
              </w:rPr>
            </w:pPr>
            <w:r w:rsidRPr="00326E55">
              <w:rPr>
                <w:noProof/>
                <w:spacing w:val="-6"/>
                <w:lang w:val="sk-SK"/>
              </w:rPr>
              <w:t>Rastlinné stromy na ochranu</w:t>
            </w:r>
            <w:r w:rsidR="00326E55" w:rsidRPr="00326E55">
              <w:rPr>
                <w:noProof/>
                <w:spacing w:val="-6"/>
                <w:lang w:val="sk-SK"/>
              </w:rPr>
              <w:t xml:space="preserve"> a </w:t>
            </w:r>
            <w:r w:rsidRPr="00326E55">
              <w:rPr>
                <w:noProof/>
                <w:spacing w:val="-6"/>
                <w:lang w:val="sk-SK"/>
              </w:rPr>
              <w:t>zhodno</w:t>
            </w:r>
            <w:r w:rsidRPr="00326E55">
              <w:rPr>
                <w:noProof/>
                <w:spacing w:val="-6"/>
                <w:lang w:val="sk-SK"/>
              </w:rPr>
              <w:t>covanie mestských</w:t>
            </w:r>
            <w:r w:rsidR="00326E55" w:rsidRPr="00326E55">
              <w:rPr>
                <w:noProof/>
                <w:spacing w:val="-6"/>
                <w:lang w:val="sk-SK"/>
              </w:rPr>
              <w:t xml:space="preserve"> a </w:t>
            </w:r>
            <w:r w:rsidRPr="00326E55">
              <w:rPr>
                <w:noProof/>
                <w:spacing w:val="-6"/>
                <w:lang w:val="sk-SK"/>
              </w:rPr>
              <w:t>prímestských zelených plôch T1</w:t>
            </w:r>
          </w:p>
        </w:tc>
      </w:tr>
      <w:tr w:rsidR="00BF03AA" w:rsidRPr="00326E55" w14:paraId="33800F84" w14:textId="77777777">
        <w:trPr>
          <w:trHeight w:val="300"/>
        </w:trPr>
        <w:tc>
          <w:tcPr>
            <w:tcW w:w="1140" w:type="dxa"/>
            <w:shd w:val="clear" w:color="auto" w:fill="C6EFCE"/>
            <w:tcMar>
              <w:left w:w="108" w:type="dxa"/>
              <w:right w:w="108" w:type="dxa"/>
            </w:tcMar>
            <w:vAlign w:val="center"/>
          </w:tcPr>
          <w:p w14:paraId="0D40705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24</w:t>
            </w:r>
          </w:p>
        </w:tc>
        <w:tc>
          <w:tcPr>
            <w:tcW w:w="3665" w:type="dxa"/>
            <w:shd w:val="clear" w:color="auto" w:fill="C6EFCE"/>
            <w:tcMar>
              <w:left w:w="108" w:type="dxa"/>
              <w:right w:w="108" w:type="dxa"/>
            </w:tcMar>
            <w:vAlign w:val="center"/>
          </w:tcPr>
          <w:p w14:paraId="7C21B3D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3.4. Sanácia „pôdy osirotených lokalít“</w:t>
            </w:r>
          </w:p>
        </w:tc>
        <w:tc>
          <w:tcPr>
            <w:tcW w:w="1125" w:type="dxa"/>
            <w:shd w:val="clear" w:color="auto" w:fill="C6EFCE"/>
            <w:tcMar>
              <w:left w:w="108" w:type="dxa"/>
              <w:right w:w="108" w:type="dxa"/>
            </w:tcMar>
            <w:vAlign w:val="center"/>
          </w:tcPr>
          <w:p w14:paraId="33FDCFF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2B2131CB" w14:textId="77777777" w:rsidR="00BF03AA" w:rsidRPr="00326E55" w:rsidRDefault="00FB452D">
            <w:pPr>
              <w:pStyle w:val="P68B1DB1-Normal121"/>
              <w:spacing w:after="0" w:line="240" w:lineRule="auto"/>
              <w:rPr>
                <w:noProof/>
                <w:spacing w:val="-6"/>
                <w:lang w:val="sk-SK"/>
              </w:rPr>
            </w:pPr>
            <w:r w:rsidRPr="00326E55">
              <w:rPr>
                <w:noProof/>
                <w:spacing w:val="-6"/>
                <w:lang w:val="sk-SK"/>
              </w:rPr>
              <w:t>Právny rámec pre sanáciu opustených lokalít</w:t>
            </w:r>
          </w:p>
        </w:tc>
      </w:tr>
      <w:tr w:rsidR="00BF03AA" w:rsidRPr="00326E55" w14:paraId="38297A94" w14:textId="77777777">
        <w:trPr>
          <w:trHeight w:val="300"/>
        </w:trPr>
        <w:tc>
          <w:tcPr>
            <w:tcW w:w="1140" w:type="dxa"/>
            <w:shd w:val="clear" w:color="auto" w:fill="C6EFCE"/>
            <w:tcMar>
              <w:left w:w="108" w:type="dxa"/>
              <w:right w:w="108" w:type="dxa"/>
            </w:tcMar>
            <w:vAlign w:val="center"/>
          </w:tcPr>
          <w:p w14:paraId="52DFFB7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3</w:t>
            </w:r>
          </w:p>
        </w:tc>
        <w:tc>
          <w:tcPr>
            <w:tcW w:w="3665" w:type="dxa"/>
            <w:shd w:val="clear" w:color="auto" w:fill="C6EFCE"/>
            <w:tcMar>
              <w:left w:w="108" w:type="dxa"/>
              <w:right w:w="108" w:type="dxa"/>
            </w:tcMar>
            <w:vAlign w:val="center"/>
          </w:tcPr>
          <w:p w14:paraId="75BEED21" w14:textId="5FBF9EEF" w:rsidR="00BF03AA" w:rsidRPr="00326E55" w:rsidRDefault="00FB452D">
            <w:pPr>
              <w:pStyle w:val="P68B1DB1-Normal121"/>
              <w:spacing w:after="0" w:line="240" w:lineRule="auto"/>
              <w:rPr>
                <w:noProof/>
                <w:spacing w:val="-6"/>
                <w:lang w:val="sk-SK"/>
              </w:rPr>
            </w:pPr>
            <w:r w:rsidRPr="00326E55">
              <w:rPr>
                <w:noProof/>
                <w:spacing w:val="-6"/>
                <w:lang w:val="sk-SK"/>
              </w:rPr>
              <w:t>Investícia 1.1 – Vysokorýchlostné železničné spojenia na juhu pre osobnú</w:t>
            </w:r>
            <w:r w:rsidR="00326E55" w:rsidRPr="00326E55">
              <w:rPr>
                <w:noProof/>
                <w:spacing w:val="-6"/>
                <w:lang w:val="sk-SK"/>
              </w:rPr>
              <w:t xml:space="preserve"> a </w:t>
            </w:r>
            <w:r w:rsidRPr="00326E55">
              <w:rPr>
                <w:noProof/>
                <w:spacing w:val="-6"/>
                <w:lang w:val="sk-SK"/>
              </w:rPr>
              <w:t>nákladnú dopravu</w:t>
            </w:r>
          </w:p>
        </w:tc>
        <w:tc>
          <w:tcPr>
            <w:tcW w:w="1125" w:type="dxa"/>
            <w:shd w:val="clear" w:color="auto" w:fill="C6EFCE"/>
            <w:tcMar>
              <w:left w:w="108" w:type="dxa"/>
              <w:right w:w="108" w:type="dxa"/>
            </w:tcMar>
            <w:vAlign w:val="center"/>
          </w:tcPr>
          <w:p w14:paraId="389BF03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515B571B" w14:textId="400BAEAF" w:rsidR="00BF03AA" w:rsidRPr="00326E55" w:rsidRDefault="00FB452D">
            <w:pPr>
              <w:pStyle w:val="P68B1DB1-Normal121"/>
              <w:spacing w:after="0" w:line="240" w:lineRule="auto"/>
              <w:rPr>
                <w:noProof/>
                <w:spacing w:val="-6"/>
                <w:lang w:val="sk-SK"/>
              </w:rPr>
            </w:pPr>
            <w:r w:rsidRPr="00326E55">
              <w:rPr>
                <w:noProof/>
                <w:spacing w:val="-6"/>
                <w:lang w:val="sk-SK"/>
              </w:rPr>
              <w:t>Zadanie zákazky na výstavbu vysokorýchlostnej železničnej trate na tratiach Napoli-Bari</w:t>
            </w:r>
            <w:r w:rsidR="00326E55" w:rsidRPr="00326E55">
              <w:rPr>
                <w:noProof/>
                <w:spacing w:val="-6"/>
                <w:lang w:val="sk-SK"/>
              </w:rPr>
              <w:t xml:space="preserve"> a </w:t>
            </w:r>
            <w:r w:rsidRPr="00326E55">
              <w:rPr>
                <w:noProof/>
                <w:spacing w:val="-6"/>
                <w:lang w:val="sk-SK"/>
              </w:rPr>
              <w:t>Palermo – Catania</w:t>
            </w:r>
          </w:p>
        </w:tc>
      </w:tr>
      <w:tr w:rsidR="00BF03AA" w:rsidRPr="00326E55" w14:paraId="04BACB44" w14:textId="77777777">
        <w:trPr>
          <w:trHeight w:val="300"/>
        </w:trPr>
        <w:tc>
          <w:tcPr>
            <w:tcW w:w="1140" w:type="dxa"/>
            <w:shd w:val="clear" w:color="auto" w:fill="C6EFCE"/>
            <w:tcMar>
              <w:left w:w="108" w:type="dxa"/>
              <w:right w:w="108" w:type="dxa"/>
            </w:tcMar>
            <w:vAlign w:val="center"/>
          </w:tcPr>
          <w:p w14:paraId="2A505C7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12</w:t>
            </w:r>
          </w:p>
        </w:tc>
        <w:tc>
          <w:tcPr>
            <w:tcW w:w="3665" w:type="dxa"/>
            <w:shd w:val="clear" w:color="auto" w:fill="C6EFCE"/>
            <w:tcMar>
              <w:left w:w="108" w:type="dxa"/>
              <w:right w:w="108" w:type="dxa"/>
            </w:tcMar>
            <w:vAlign w:val="center"/>
          </w:tcPr>
          <w:p w14:paraId="67F79C1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1.4 – Zavedenie Európskeho systému riadenia železničnej dopravy (ERTMS)</w:t>
            </w:r>
          </w:p>
        </w:tc>
        <w:tc>
          <w:tcPr>
            <w:tcW w:w="1125" w:type="dxa"/>
            <w:shd w:val="clear" w:color="auto" w:fill="C6EFCE"/>
            <w:tcMar>
              <w:left w:w="108" w:type="dxa"/>
              <w:right w:w="108" w:type="dxa"/>
            </w:tcMar>
            <w:vAlign w:val="center"/>
          </w:tcPr>
          <w:p w14:paraId="212B0E6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0BD4FB56"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Zadávanie zákaziek na </w:t>
            </w:r>
            <w:r w:rsidRPr="00326E55">
              <w:rPr>
                <w:noProof/>
                <w:spacing w:val="-6"/>
                <w:lang w:val="sk-SK"/>
              </w:rPr>
              <w:t>Európsky systém riadenia železničnej dopravy</w:t>
            </w:r>
          </w:p>
        </w:tc>
      </w:tr>
      <w:tr w:rsidR="00BF03AA" w:rsidRPr="00326E55" w14:paraId="701D372A" w14:textId="77777777">
        <w:trPr>
          <w:trHeight w:val="300"/>
        </w:trPr>
        <w:tc>
          <w:tcPr>
            <w:tcW w:w="1140" w:type="dxa"/>
            <w:shd w:val="clear" w:color="auto" w:fill="C6EFCE"/>
            <w:tcMar>
              <w:left w:w="108" w:type="dxa"/>
              <w:right w:w="108" w:type="dxa"/>
            </w:tcMar>
            <w:vAlign w:val="center"/>
          </w:tcPr>
          <w:p w14:paraId="0D14AB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8</w:t>
            </w:r>
          </w:p>
        </w:tc>
        <w:tc>
          <w:tcPr>
            <w:tcW w:w="3665" w:type="dxa"/>
            <w:shd w:val="clear" w:color="auto" w:fill="C6EFCE"/>
            <w:tcMar>
              <w:left w:w="108" w:type="dxa"/>
              <w:right w:w="108" w:type="dxa"/>
            </w:tcMar>
            <w:vAlign w:val="center"/>
          </w:tcPr>
          <w:p w14:paraId="6D153E40" w14:textId="7EB9C513" w:rsidR="00BF03AA" w:rsidRPr="00326E55" w:rsidRDefault="00FB452D">
            <w:pPr>
              <w:pStyle w:val="P68B1DB1-Normal121"/>
              <w:spacing w:after="0" w:line="240" w:lineRule="auto"/>
              <w:rPr>
                <w:noProof/>
                <w:spacing w:val="-6"/>
                <w:lang w:val="sk-SK"/>
              </w:rPr>
            </w:pPr>
            <w:r w:rsidRPr="00326E55">
              <w:rPr>
                <w:noProof/>
                <w:spacing w:val="-6"/>
                <w:lang w:val="sk-SK"/>
              </w:rPr>
              <w:t>Investícia 1.1: Zelené prístavy zásahy</w:t>
            </w:r>
            <w:r w:rsidR="00326E55" w:rsidRPr="00326E55">
              <w:rPr>
                <w:noProof/>
                <w:spacing w:val="-6"/>
                <w:lang w:val="sk-SK"/>
              </w:rPr>
              <w:t xml:space="preserve"> v </w:t>
            </w:r>
            <w:r w:rsidRPr="00326E55">
              <w:rPr>
                <w:noProof/>
                <w:spacing w:val="-6"/>
                <w:lang w:val="sk-SK"/>
              </w:rPr>
              <w:t>oblasti energie</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a </w:t>
            </w:r>
            <w:r w:rsidRPr="00326E55">
              <w:rPr>
                <w:noProof/>
                <w:spacing w:val="-6"/>
                <w:lang w:val="sk-SK"/>
              </w:rPr>
              <w:t>energetickej efektívnosti</w:t>
            </w:r>
            <w:r w:rsidR="00326E55" w:rsidRPr="00326E55">
              <w:rPr>
                <w:noProof/>
                <w:spacing w:val="-6"/>
                <w:lang w:val="sk-SK"/>
              </w:rPr>
              <w:t xml:space="preserve"> v </w:t>
            </w:r>
            <w:r w:rsidRPr="00326E55">
              <w:rPr>
                <w:noProof/>
                <w:spacing w:val="-6"/>
                <w:lang w:val="sk-SK"/>
              </w:rPr>
              <w:t>prístavoch</w:t>
            </w:r>
          </w:p>
        </w:tc>
        <w:tc>
          <w:tcPr>
            <w:tcW w:w="1125" w:type="dxa"/>
            <w:shd w:val="clear" w:color="auto" w:fill="C6EFCE"/>
            <w:tcMar>
              <w:left w:w="108" w:type="dxa"/>
              <w:right w:w="108" w:type="dxa"/>
            </w:tcMar>
            <w:vAlign w:val="center"/>
          </w:tcPr>
          <w:p w14:paraId="6302073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26" w:type="dxa"/>
            <w:shd w:val="clear" w:color="auto" w:fill="C6EFCE"/>
            <w:tcMar>
              <w:left w:w="108" w:type="dxa"/>
              <w:right w:w="108" w:type="dxa"/>
            </w:tcMar>
            <w:vAlign w:val="center"/>
          </w:tcPr>
          <w:p w14:paraId="5FDB035F" w14:textId="77777777" w:rsidR="00BF03AA" w:rsidRPr="00326E55" w:rsidRDefault="00FB452D">
            <w:pPr>
              <w:pStyle w:val="P68B1DB1-Normal121"/>
              <w:spacing w:after="0" w:line="240" w:lineRule="auto"/>
              <w:rPr>
                <w:noProof/>
                <w:spacing w:val="-6"/>
                <w:lang w:val="sk-SK"/>
              </w:rPr>
            </w:pPr>
            <w:r w:rsidRPr="00326E55">
              <w:rPr>
                <w:noProof/>
                <w:spacing w:val="-6"/>
                <w:lang w:val="sk-SK"/>
              </w:rPr>
              <w:t>Zelené prístavy prideľovanie prác</w:t>
            </w:r>
          </w:p>
        </w:tc>
      </w:tr>
      <w:tr w:rsidR="00BF03AA" w:rsidRPr="00326E55" w14:paraId="52799645" w14:textId="77777777">
        <w:trPr>
          <w:trHeight w:val="300"/>
        </w:trPr>
        <w:tc>
          <w:tcPr>
            <w:tcW w:w="1140" w:type="dxa"/>
            <w:shd w:val="clear" w:color="auto" w:fill="C6EFCE"/>
            <w:tcMar>
              <w:left w:w="108" w:type="dxa"/>
              <w:right w:w="108" w:type="dxa"/>
            </w:tcMar>
            <w:vAlign w:val="center"/>
          </w:tcPr>
          <w:p w14:paraId="2BDA366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29</w:t>
            </w:r>
          </w:p>
        </w:tc>
        <w:tc>
          <w:tcPr>
            <w:tcW w:w="3665" w:type="dxa"/>
            <w:shd w:val="clear" w:color="auto" w:fill="C6EFCE"/>
            <w:tcMar>
              <w:left w:w="108" w:type="dxa"/>
              <w:right w:w="108" w:type="dxa"/>
            </w:tcMar>
            <w:vAlign w:val="center"/>
          </w:tcPr>
          <w:p w14:paraId="6D66CA4A" w14:textId="6A97A81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1.7: Reforma </w:t>
            </w:r>
            <w:r w:rsidRPr="00326E55">
              <w:rPr>
                <w:noProof/>
                <w:spacing w:val="-6"/>
                <w:lang w:val="sk-SK"/>
              </w:rPr>
              <w:t>regulácie bývania pre študentov</w:t>
            </w:r>
            <w:r w:rsidR="00326E55" w:rsidRPr="00326E55">
              <w:rPr>
                <w:noProof/>
                <w:spacing w:val="-6"/>
                <w:lang w:val="sk-SK"/>
              </w:rPr>
              <w:t xml:space="preserve"> a </w:t>
            </w:r>
            <w:r w:rsidRPr="00326E55">
              <w:rPr>
                <w:noProof/>
                <w:spacing w:val="-6"/>
                <w:lang w:val="sk-SK"/>
              </w:rPr>
              <w:t xml:space="preserve">investovanie do bývania pre študentov </w:t>
            </w:r>
          </w:p>
        </w:tc>
        <w:tc>
          <w:tcPr>
            <w:tcW w:w="1125" w:type="dxa"/>
            <w:shd w:val="clear" w:color="auto" w:fill="C6EFCE"/>
            <w:tcMar>
              <w:left w:w="108" w:type="dxa"/>
              <w:right w:w="108" w:type="dxa"/>
            </w:tcMar>
            <w:vAlign w:val="center"/>
          </w:tcPr>
          <w:p w14:paraId="1B6B58C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003A2A68" w14:textId="56FED102"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reformy právnych predpisov</w:t>
            </w:r>
            <w:r w:rsidR="00326E55" w:rsidRPr="00326E55">
              <w:rPr>
                <w:noProof/>
                <w:spacing w:val="-6"/>
                <w:lang w:val="sk-SK"/>
              </w:rPr>
              <w:t xml:space="preserve"> v </w:t>
            </w:r>
            <w:r w:rsidRPr="00326E55">
              <w:rPr>
                <w:noProof/>
                <w:spacing w:val="-6"/>
                <w:lang w:val="sk-SK"/>
              </w:rPr>
              <w:t xml:space="preserve">oblasti bývania pre študentov.    </w:t>
            </w:r>
          </w:p>
        </w:tc>
      </w:tr>
      <w:tr w:rsidR="00BF03AA" w:rsidRPr="00326E55" w14:paraId="6EF6EB48" w14:textId="77777777">
        <w:trPr>
          <w:trHeight w:val="300"/>
        </w:trPr>
        <w:tc>
          <w:tcPr>
            <w:tcW w:w="1140" w:type="dxa"/>
            <w:shd w:val="clear" w:color="auto" w:fill="C6EFCE"/>
            <w:tcMar>
              <w:left w:w="108" w:type="dxa"/>
              <w:right w:w="108" w:type="dxa"/>
            </w:tcMar>
            <w:vAlign w:val="center"/>
          </w:tcPr>
          <w:p w14:paraId="1D86C1A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13</w:t>
            </w:r>
          </w:p>
        </w:tc>
        <w:tc>
          <w:tcPr>
            <w:tcW w:w="3665" w:type="dxa"/>
            <w:shd w:val="clear" w:color="auto" w:fill="C6EFCE"/>
            <w:tcMar>
              <w:left w:w="108" w:type="dxa"/>
              <w:right w:w="108" w:type="dxa"/>
            </w:tcMar>
            <w:vAlign w:val="center"/>
          </w:tcPr>
          <w:p w14:paraId="55BF7A02"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 Mestské integrované plány – všeobecné projekty</w:t>
            </w:r>
          </w:p>
        </w:tc>
        <w:tc>
          <w:tcPr>
            <w:tcW w:w="1125" w:type="dxa"/>
            <w:shd w:val="clear" w:color="auto" w:fill="C6EFCE"/>
            <w:tcMar>
              <w:left w:w="108" w:type="dxa"/>
              <w:right w:w="108" w:type="dxa"/>
            </w:tcMar>
            <w:vAlign w:val="center"/>
          </w:tcPr>
          <w:p w14:paraId="2DB878D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1901A3D5" w14:textId="43B247E5" w:rsidR="00BF03AA" w:rsidRPr="00326E55" w:rsidRDefault="00FB452D">
            <w:pPr>
              <w:pStyle w:val="P68B1DB1-Normal121"/>
              <w:spacing w:after="0" w:line="240" w:lineRule="auto"/>
              <w:rPr>
                <w:noProof/>
                <w:spacing w:val="-6"/>
                <w:lang w:val="sk-SK"/>
              </w:rPr>
            </w:pPr>
            <w:r w:rsidRPr="00326E55">
              <w:rPr>
                <w:noProof/>
                <w:spacing w:val="-6"/>
                <w:lang w:val="sk-SK"/>
              </w:rPr>
              <w:t>Nadobudnu</w:t>
            </w:r>
            <w:r w:rsidRPr="00326E55">
              <w:rPr>
                <w:noProof/>
                <w:spacing w:val="-6"/>
                <w:lang w:val="sk-SK"/>
              </w:rPr>
              <w:t>tie účinnosti investičného plánu pre projekty obnovy miest</w:t>
            </w:r>
            <w:r w:rsidR="00326E55" w:rsidRPr="00326E55">
              <w:rPr>
                <w:noProof/>
                <w:spacing w:val="-6"/>
                <w:lang w:val="sk-SK"/>
              </w:rPr>
              <w:t xml:space="preserve"> v </w:t>
            </w:r>
            <w:r w:rsidRPr="00326E55">
              <w:rPr>
                <w:noProof/>
                <w:spacing w:val="-6"/>
                <w:lang w:val="sk-SK"/>
              </w:rPr>
              <w:t>metropolitných oblastiach</w:t>
            </w:r>
          </w:p>
        </w:tc>
      </w:tr>
      <w:tr w:rsidR="00BF03AA" w:rsidRPr="00326E55" w14:paraId="350583FE" w14:textId="77777777">
        <w:trPr>
          <w:trHeight w:val="300"/>
        </w:trPr>
        <w:tc>
          <w:tcPr>
            <w:tcW w:w="1140" w:type="dxa"/>
            <w:shd w:val="clear" w:color="auto" w:fill="C6EFCE"/>
            <w:tcMar>
              <w:left w:w="108" w:type="dxa"/>
              <w:right w:w="108" w:type="dxa"/>
            </w:tcMar>
            <w:vAlign w:val="center"/>
          </w:tcPr>
          <w:p w14:paraId="11AD1F3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7</w:t>
            </w:r>
          </w:p>
        </w:tc>
        <w:tc>
          <w:tcPr>
            <w:tcW w:w="3665" w:type="dxa"/>
            <w:shd w:val="clear" w:color="auto" w:fill="C6EFCE"/>
            <w:tcMar>
              <w:left w:w="108" w:type="dxa"/>
              <w:right w:w="108" w:type="dxa"/>
            </w:tcMar>
            <w:vAlign w:val="center"/>
          </w:tcPr>
          <w:p w14:paraId="3994718E" w14:textId="77777777" w:rsidR="00BF03AA" w:rsidRPr="00326E55" w:rsidRDefault="00FB452D">
            <w:pPr>
              <w:pStyle w:val="P68B1DB1-Normal123"/>
              <w:spacing w:after="0" w:line="240" w:lineRule="auto"/>
              <w:rPr>
                <w:noProof/>
                <w:spacing w:val="-6"/>
                <w:lang w:val="sk-SK"/>
              </w:rPr>
            </w:pPr>
            <w:r w:rsidRPr="00326E55">
              <w:rPr>
                <w:noProof/>
                <w:spacing w:val="-6"/>
                <w:lang w:val="sk-SK"/>
              </w:rPr>
              <w:t>Investícia 1.1: Digitálna aktualizácia technologického vybavenia nemocníc</w:t>
            </w:r>
          </w:p>
        </w:tc>
        <w:tc>
          <w:tcPr>
            <w:tcW w:w="1125" w:type="dxa"/>
            <w:shd w:val="clear" w:color="auto" w:fill="C6EFCE"/>
            <w:tcMar>
              <w:left w:w="108" w:type="dxa"/>
              <w:right w:w="108" w:type="dxa"/>
            </w:tcMar>
            <w:vAlign w:val="center"/>
          </w:tcPr>
          <w:p w14:paraId="0ED51ADF"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Míľnik</w:t>
            </w:r>
          </w:p>
        </w:tc>
        <w:tc>
          <w:tcPr>
            <w:tcW w:w="3426" w:type="dxa"/>
            <w:shd w:val="clear" w:color="auto" w:fill="C6EFCE"/>
            <w:tcMar>
              <w:left w:w="108" w:type="dxa"/>
              <w:right w:w="108" w:type="dxa"/>
            </w:tcMar>
            <w:vAlign w:val="center"/>
          </w:tcPr>
          <w:p w14:paraId="20749F07" w14:textId="77777777" w:rsidR="00BF03AA" w:rsidRPr="00326E55" w:rsidRDefault="00FB452D">
            <w:pPr>
              <w:pStyle w:val="P68B1DB1-Normal123"/>
              <w:spacing w:after="0" w:line="240" w:lineRule="auto"/>
              <w:rPr>
                <w:noProof/>
                <w:spacing w:val="-6"/>
                <w:lang w:val="sk-SK"/>
              </w:rPr>
            </w:pPr>
            <w:r w:rsidRPr="00326E55">
              <w:rPr>
                <w:noProof/>
                <w:spacing w:val="-6"/>
                <w:lang w:val="sk-SK"/>
              </w:rPr>
              <w:t>Zadávanie všetkých verejných zákaziek</w:t>
            </w:r>
          </w:p>
        </w:tc>
      </w:tr>
      <w:tr w:rsidR="00BF03AA" w:rsidRPr="00326E55" w14:paraId="7F483249" w14:textId="77777777">
        <w:trPr>
          <w:trHeight w:val="300"/>
        </w:trPr>
        <w:tc>
          <w:tcPr>
            <w:tcW w:w="1140" w:type="dxa"/>
            <w:shd w:val="clear" w:color="auto" w:fill="C6EFCE"/>
            <w:tcMar>
              <w:left w:w="108" w:type="dxa"/>
              <w:right w:w="108" w:type="dxa"/>
            </w:tcMar>
            <w:vAlign w:val="center"/>
          </w:tcPr>
          <w:p w14:paraId="2FA586CF"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665" w:type="dxa"/>
            <w:shd w:val="clear" w:color="auto" w:fill="C6EFCE"/>
            <w:tcMar>
              <w:left w:w="108" w:type="dxa"/>
              <w:right w:w="108" w:type="dxa"/>
            </w:tcMar>
            <w:vAlign w:val="center"/>
          </w:tcPr>
          <w:p w14:paraId="7C317D6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125" w:type="dxa"/>
            <w:shd w:val="clear" w:color="auto" w:fill="C6EFCE"/>
            <w:tcMar>
              <w:left w:w="108" w:type="dxa"/>
              <w:right w:w="108" w:type="dxa"/>
            </w:tcMar>
            <w:vAlign w:val="center"/>
          </w:tcPr>
          <w:p w14:paraId="11A3C55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426" w:type="dxa"/>
            <w:shd w:val="clear" w:color="auto" w:fill="C6EFCE"/>
            <w:tcMar>
              <w:left w:w="108" w:type="dxa"/>
              <w:right w:w="108" w:type="dxa"/>
            </w:tcMar>
            <w:vAlign w:val="center"/>
          </w:tcPr>
          <w:p w14:paraId="52D638A7"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9825328389 EUR</w:t>
            </w:r>
            <w:r w:rsidRPr="00326E55">
              <w:rPr>
                <w:noProof/>
                <w:spacing w:val="-6"/>
                <w:sz w:val="23"/>
                <w:szCs w:val="23"/>
                <w:lang w:val="sk-SK"/>
              </w:rPr>
              <w:t xml:space="preserve">  </w:t>
            </w:r>
          </w:p>
        </w:tc>
      </w:tr>
    </w:tbl>
    <w:p w14:paraId="6DB3A096" w14:textId="77777777" w:rsidR="00326E55" w:rsidRPr="00326E55" w:rsidRDefault="00326E55">
      <w:pPr>
        <w:pStyle w:val="P68B1DB1-Normal8"/>
        <w:spacing w:after="200" w:line="276" w:lineRule="auto"/>
        <w:rPr>
          <w:noProof/>
          <w:spacing w:val="-6"/>
          <w:lang w:val="sk-SK"/>
        </w:rPr>
      </w:pPr>
    </w:p>
    <w:p w14:paraId="096A9019" w14:textId="77777777" w:rsidR="00BF03AA" w:rsidRPr="00326E55" w:rsidRDefault="00FB452D">
      <w:pPr>
        <w:pStyle w:val="P68B1DB1-Normal8"/>
        <w:rPr>
          <w:noProof/>
          <w:spacing w:val="-6"/>
          <w:lang w:val="sk-SK"/>
        </w:rPr>
      </w:pPr>
      <w:r w:rsidRPr="00326E55">
        <w:rPr>
          <w:noProof/>
          <w:spacing w:val="-6"/>
          <w:lang w:val="sk-SK"/>
        </w:rPr>
        <w:br w:type="page"/>
      </w:r>
    </w:p>
    <w:p w14:paraId="5826C52E"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Štvrtá splátka (úverová podpora):</w:t>
      </w:r>
    </w:p>
    <w:tbl>
      <w:tblPr>
        <w:tblW w:w="93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0"/>
        <w:gridCol w:w="3171"/>
        <w:gridCol w:w="1230"/>
        <w:gridCol w:w="3666"/>
      </w:tblGrid>
      <w:tr w:rsidR="00BF03AA" w:rsidRPr="00326E55" w14:paraId="624C3D1D" w14:textId="77777777">
        <w:trPr>
          <w:trHeight w:val="900"/>
          <w:tblHeader/>
        </w:trPr>
        <w:tc>
          <w:tcPr>
            <w:tcW w:w="1290" w:type="dxa"/>
            <w:vMerge w:val="restart"/>
            <w:shd w:val="clear" w:color="auto" w:fill="BDD7EE"/>
            <w:tcMar>
              <w:left w:w="108" w:type="dxa"/>
              <w:right w:w="108" w:type="dxa"/>
            </w:tcMar>
            <w:vAlign w:val="center"/>
          </w:tcPr>
          <w:p w14:paraId="62675518"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171" w:type="dxa"/>
            <w:vMerge w:val="restart"/>
            <w:shd w:val="clear" w:color="auto" w:fill="BDD7EE"/>
            <w:tcMar>
              <w:left w:w="108" w:type="dxa"/>
              <w:right w:w="108" w:type="dxa"/>
            </w:tcMar>
            <w:vAlign w:val="center"/>
          </w:tcPr>
          <w:p w14:paraId="31385C53"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30" w:type="dxa"/>
            <w:vMerge w:val="restart"/>
            <w:shd w:val="clear" w:color="auto" w:fill="BDD7EE"/>
            <w:tcMar>
              <w:left w:w="108" w:type="dxa"/>
              <w:right w:w="108" w:type="dxa"/>
            </w:tcMar>
            <w:vAlign w:val="center"/>
          </w:tcPr>
          <w:p w14:paraId="5A3AB77D"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666" w:type="dxa"/>
            <w:vMerge w:val="restart"/>
            <w:shd w:val="clear" w:color="auto" w:fill="BDD7EE"/>
            <w:tcMar>
              <w:left w:w="108" w:type="dxa"/>
              <w:right w:w="108" w:type="dxa"/>
            </w:tcMar>
            <w:vAlign w:val="center"/>
          </w:tcPr>
          <w:p w14:paraId="199E205D"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6929BF71" w14:textId="77777777">
        <w:trPr>
          <w:trHeight w:val="510"/>
        </w:trPr>
        <w:tc>
          <w:tcPr>
            <w:tcW w:w="1290" w:type="dxa"/>
            <w:vMerge/>
            <w:vAlign w:val="center"/>
          </w:tcPr>
          <w:p w14:paraId="21D17D9E"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171" w:type="dxa"/>
            <w:vMerge/>
            <w:vAlign w:val="center"/>
          </w:tcPr>
          <w:p w14:paraId="7CCCE871"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30" w:type="dxa"/>
            <w:vMerge/>
            <w:vAlign w:val="center"/>
          </w:tcPr>
          <w:p w14:paraId="5BFE3348"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666" w:type="dxa"/>
            <w:vMerge/>
            <w:vAlign w:val="center"/>
          </w:tcPr>
          <w:p w14:paraId="4202314A"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4FFA4456" w14:textId="77777777">
        <w:trPr>
          <w:trHeight w:val="300"/>
        </w:trPr>
        <w:tc>
          <w:tcPr>
            <w:tcW w:w="1290" w:type="dxa"/>
            <w:shd w:val="clear" w:color="auto" w:fill="C6EFCE"/>
            <w:tcMar>
              <w:left w:w="108" w:type="dxa"/>
              <w:right w:w="108" w:type="dxa"/>
            </w:tcMar>
            <w:vAlign w:val="center"/>
          </w:tcPr>
          <w:p w14:paraId="01A250E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125</w:t>
            </w:r>
          </w:p>
        </w:tc>
        <w:tc>
          <w:tcPr>
            <w:tcW w:w="3171" w:type="dxa"/>
            <w:shd w:val="clear" w:color="auto" w:fill="C6EFCE"/>
            <w:tcMar>
              <w:left w:w="108" w:type="dxa"/>
              <w:right w:w="108" w:type="dxa"/>
            </w:tcMar>
            <w:vAlign w:val="center"/>
          </w:tcPr>
          <w:p w14:paraId="4B069B9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1.2 – Umožnenie cloud computingu pre miestnu platobnú agentúru</w:t>
            </w:r>
          </w:p>
        </w:tc>
        <w:tc>
          <w:tcPr>
            <w:tcW w:w="1230" w:type="dxa"/>
            <w:shd w:val="clear" w:color="auto" w:fill="C6EFCE"/>
            <w:tcMar>
              <w:left w:w="108" w:type="dxa"/>
              <w:right w:w="108" w:type="dxa"/>
            </w:tcMar>
            <w:vAlign w:val="center"/>
          </w:tcPr>
          <w:p w14:paraId="578CACE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4AD106AF" w14:textId="395C2990" w:rsidR="00BF03AA" w:rsidRPr="00326E55" w:rsidRDefault="00FB452D">
            <w:pPr>
              <w:pStyle w:val="P68B1DB1-Normal121"/>
              <w:spacing w:after="0" w:line="240" w:lineRule="auto"/>
              <w:rPr>
                <w:noProof/>
                <w:spacing w:val="-6"/>
                <w:lang w:val="sk-SK"/>
              </w:rPr>
            </w:pPr>
            <w:r w:rsidRPr="00326E55">
              <w:rPr>
                <w:noProof/>
                <w:spacing w:val="-6"/>
                <w:lang w:val="sk-SK"/>
              </w:rPr>
              <w:t xml:space="preserve">Zadanie (všetkých) verejných výziev na </w:t>
            </w:r>
            <w:r w:rsidRPr="00326E55">
              <w:rPr>
                <w:noProof/>
                <w:spacing w:val="-6"/>
                <w:lang w:val="sk-SK"/>
              </w:rPr>
              <w:t>predkladanie ponúk</w:t>
            </w:r>
            <w:r w:rsidR="00326E55" w:rsidRPr="00326E55">
              <w:rPr>
                <w:noProof/>
                <w:spacing w:val="-6"/>
                <w:lang w:val="sk-SK"/>
              </w:rPr>
              <w:t xml:space="preserve"> v </w:t>
            </w:r>
            <w:r w:rsidRPr="00326E55">
              <w:rPr>
                <w:noProof/>
                <w:spacing w:val="-6"/>
                <w:lang w:val="sk-SK"/>
              </w:rPr>
              <w:t>rámci cloud computingu pre miestnu verejnú správu</w:t>
            </w:r>
          </w:p>
        </w:tc>
      </w:tr>
      <w:tr w:rsidR="00BF03AA" w:rsidRPr="00326E55" w14:paraId="17B48D7E" w14:textId="77777777">
        <w:trPr>
          <w:trHeight w:val="300"/>
        </w:trPr>
        <w:tc>
          <w:tcPr>
            <w:tcW w:w="1290" w:type="dxa"/>
            <w:shd w:val="clear" w:color="auto" w:fill="C6EFCE"/>
            <w:tcMar>
              <w:left w:w="108" w:type="dxa"/>
              <w:right w:w="108" w:type="dxa"/>
            </w:tcMar>
            <w:vAlign w:val="center"/>
          </w:tcPr>
          <w:p w14:paraId="4F1C6C2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22</w:t>
            </w:r>
          </w:p>
        </w:tc>
        <w:tc>
          <w:tcPr>
            <w:tcW w:w="3171" w:type="dxa"/>
            <w:shd w:val="clear" w:color="auto" w:fill="C6EFCE"/>
            <w:tcMar>
              <w:left w:w="108" w:type="dxa"/>
              <w:right w:w="108" w:type="dxa"/>
            </w:tcMar>
            <w:vAlign w:val="center"/>
          </w:tcPr>
          <w:p w14:paraId="106D4CD7" w14:textId="5CE122A2" w:rsidR="00BF03AA" w:rsidRPr="00326E55" w:rsidRDefault="00FB452D">
            <w:pPr>
              <w:pStyle w:val="P68B1DB1-Normal121"/>
              <w:spacing w:after="0" w:line="240" w:lineRule="auto"/>
              <w:rPr>
                <w:noProof/>
                <w:spacing w:val="-6"/>
                <w:lang w:val="sk-SK"/>
              </w:rPr>
            </w:pPr>
            <w:r w:rsidRPr="00326E55">
              <w:rPr>
                <w:noProof/>
                <w:spacing w:val="-6"/>
                <w:lang w:val="sk-SK"/>
              </w:rPr>
              <w:t>Investícia 4: Satelitné technológie</w:t>
            </w:r>
            <w:r w:rsidR="00326E55" w:rsidRPr="00326E55">
              <w:rPr>
                <w:noProof/>
                <w:spacing w:val="-6"/>
                <w:lang w:val="sk-SK"/>
              </w:rPr>
              <w:t xml:space="preserve"> a </w:t>
            </w:r>
            <w:r w:rsidRPr="00326E55">
              <w:rPr>
                <w:noProof/>
                <w:spacing w:val="-6"/>
                <w:lang w:val="sk-SK"/>
              </w:rPr>
              <w:t>vesmírne hospodárstvo</w:t>
            </w:r>
          </w:p>
        </w:tc>
        <w:tc>
          <w:tcPr>
            <w:tcW w:w="1230" w:type="dxa"/>
            <w:shd w:val="clear" w:color="auto" w:fill="C6EFCE"/>
            <w:tcMar>
              <w:left w:w="108" w:type="dxa"/>
              <w:right w:w="108" w:type="dxa"/>
            </w:tcMar>
            <w:vAlign w:val="center"/>
          </w:tcPr>
          <w:p w14:paraId="4C298A9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70B62BA0" w14:textId="7F499B8B"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projekty</w:t>
            </w:r>
            <w:r w:rsidR="00326E55" w:rsidRPr="00326E55">
              <w:rPr>
                <w:noProof/>
                <w:spacing w:val="-6"/>
                <w:lang w:val="sk-SK"/>
              </w:rPr>
              <w:t xml:space="preserve"> v </w:t>
            </w:r>
            <w:r w:rsidRPr="00326E55">
              <w:rPr>
                <w:noProof/>
                <w:spacing w:val="-6"/>
                <w:lang w:val="sk-SK"/>
              </w:rPr>
              <w:t>oblasti satelitnej technológie</w:t>
            </w:r>
            <w:r w:rsidR="00326E55" w:rsidRPr="00326E55">
              <w:rPr>
                <w:noProof/>
                <w:spacing w:val="-6"/>
                <w:lang w:val="sk-SK"/>
              </w:rPr>
              <w:t xml:space="preserve"> a </w:t>
            </w:r>
            <w:r w:rsidRPr="00326E55">
              <w:rPr>
                <w:noProof/>
                <w:spacing w:val="-6"/>
                <w:lang w:val="sk-SK"/>
              </w:rPr>
              <w:t>vesmíru</w:t>
            </w:r>
          </w:p>
        </w:tc>
      </w:tr>
      <w:tr w:rsidR="00BF03AA" w:rsidRPr="00326E55" w14:paraId="52C323EC" w14:textId="77777777">
        <w:trPr>
          <w:trHeight w:val="300"/>
        </w:trPr>
        <w:tc>
          <w:tcPr>
            <w:tcW w:w="1290" w:type="dxa"/>
            <w:shd w:val="clear" w:color="auto" w:fill="C6EFCE"/>
            <w:tcMar>
              <w:left w:w="108" w:type="dxa"/>
              <w:right w:w="108" w:type="dxa"/>
            </w:tcMar>
            <w:vAlign w:val="center"/>
          </w:tcPr>
          <w:p w14:paraId="04A4D1B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48</w:t>
            </w:r>
          </w:p>
        </w:tc>
        <w:tc>
          <w:tcPr>
            <w:tcW w:w="3171" w:type="dxa"/>
            <w:shd w:val="clear" w:color="auto" w:fill="C6EFCE"/>
            <w:tcMar>
              <w:left w:w="108" w:type="dxa"/>
              <w:right w:w="108" w:type="dxa"/>
            </w:tcMar>
            <w:vAlign w:val="center"/>
          </w:tcPr>
          <w:p w14:paraId="420D78F9" w14:textId="06977D78" w:rsidR="00BF03AA" w:rsidRPr="00326E55" w:rsidRDefault="00FB452D">
            <w:pPr>
              <w:pStyle w:val="P68B1DB1-Normal121"/>
              <w:spacing w:after="0" w:line="240" w:lineRule="auto"/>
              <w:rPr>
                <w:noProof/>
                <w:spacing w:val="-6"/>
                <w:lang w:val="sk-SK"/>
              </w:rPr>
            </w:pPr>
            <w:r w:rsidRPr="00326E55">
              <w:rPr>
                <w:noProof/>
                <w:spacing w:val="-6"/>
                <w:lang w:val="sk-SK"/>
              </w:rPr>
              <w:t>Investícia 3.1 Výroba vodíka</w:t>
            </w:r>
            <w:r w:rsidR="00326E55" w:rsidRPr="00326E55">
              <w:rPr>
                <w:noProof/>
                <w:spacing w:val="-6"/>
                <w:lang w:val="sk-SK"/>
              </w:rPr>
              <w:t xml:space="preserve"> v </w:t>
            </w:r>
            <w:r w:rsidRPr="00326E55">
              <w:rPr>
                <w:noProof/>
                <w:spacing w:val="-6"/>
                <w:lang w:val="sk-SK"/>
              </w:rPr>
              <w:t>opustených priemyselných areáloch (vodíkové údolia)</w:t>
            </w:r>
          </w:p>
        </w:tc>
        <w:tc>
          <w:tcPr>
            <w:tcW w:w="1230" w:type="dxa"/>
            <w:shd w:val="clear" w:color="auto" w:fill="C6EFCE"/>
            <w:tcMar>
              <w:left w:w="108" w:type="dxa"/>
              <w:right w:w="108" w:type="dxa"/>
            </w:tcMar>
            <w:vAlign w:val="center"/>
          </w:tcPr>
          <w:p w14:paraId="19E6C41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44FDAC2D" w14:textId="47CE5A37" w:rsidR="00BF03AA" w:rsidRPr="00326E55" w:rsidRDefault="00FB452D">
            <w:pPr>
              <w:pStyle w:val="P68B1DB1-Normal121"/>
              <w:spacing w:after="0" w:line="240" w:lineRule="auto"/>
              <w:rPr>
                <w:noProof/>
                <w:spacing w:val="-6"/>
                <w:lang w:val="sk-SK"/>
              </w:rPr>
            </w:pPr>
            <w:r w:rsidRPr="00326E55">
              <w:rPr>
                <w:noProof/>
                <w:spacing w:val="-6"/>
                <w:lang w:val="sk-SK"/>
              </w:rPr>
              <w:t>Zadanie všetkých verejných zákaziek na projekty výroby vodíka</w:t>
            </w:r>
            <w:r w:rsidR="00326E55" w:rsidRPr="00326E55">
              <w:rPr>
                <w:noProof/>
                <w:spacing w:val="-6"/>
                <w:lang w:val="sk-SK"/>
              </w:rPr>
              <w:t xml:space="preserve"> v </w:t>
            </w:r>
            <w:r w:rsidRPr="00326E55">
              <w:rPr>
                <w:noProof/>
                <w:spacing w:val="-6"/>
                <w:lang w:val="sk-SK"/>
              </w:rPr>
              <w:t>opustených priemyselných oblastiach</w:t>
            </w:r>
          </w:p>
        </w:tc>
      </w:tr>
      <w:tr w:rsidR="00BF03AA" w:rsidRPr="00326E55" w14:paraId="0B4BC7E0" w14:textId="77777777">
        <w:trPr>
          <w:trHeight w:val="300"/>
        </w:trPr>
        <w:tc>
          <w:tcPr>
            <w:tcW w:w="1290" w:type="dxa"/>
            <w:shd w:val="clear" w:color="auto" w:fill="C6EFCE"/>
            <w:tcMar>
              <w:left w:w="108" w:type="dxa"/>
              <w:right w:w="108" w:type="dxa"/>
            </w:tcMar>
            <w:vAlign w:val="center"/>
          </w:tcPr>
          <w:p w14:paraId="2345EB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50</w:t>
            </w:r>
          </w:p>
        </w:tc>
        <w:tc>
          <w:tcPr>
            <w:tcW w:w="3171" w:type="dxa"/>
            <w:shd w:val="clear" w:color="auto" w:fill="C6EFCE"/>
            <w:tcMar>
              <w:left w:w="108" w:type="dxa"/>
              <w:right w:w="108" w:type="dxa"/>
            </w:tcMar>
            <w:vAlign w:val="center"/>
          </w:tcPr>
          <w:p w14:paraId="4C79B39A" w14:textId="7237D4A6" w:rsidR="00BF03AA" w:rsidRPr="00326E55" w:rsidRDefault="00FB452D">
            <w:pPr>
              <w:pStyle w:val="P68B1DB1-Normal121"/>
              <w:spacing w:after="0" w:line="240" w:lineRule="auto"/>
              <w:rPr>
                <w:noProof/>
                <w:spacing w:val="-6"/>
                <w:lang w:val="sk-SK"/>
              </w:rPr>
            </w:pPr>
            <w:r w:rsidRPr="00326E55">
              <w:rPr>
                <w:noProof/>
                <w:spacing w:val="-6"/>
                <w:lang w:val="sk-SK"/>
              </w:rPr>
              <w:t>Investícia 3.2 Využívanie vodíka</w:t>
            </w:r>
            <w:r w:rsidR="00326E55" w:rsidRPr="00326E55">
              <w:rPr>
                <w:noProof/>
                <w:spacing w:val="-6"/>
                <w:lang w:val="sk-SK"/>
              </w:rPr>
              <w:t xml:space="preserve"> v </w:t>
            </w:r>
            <w:r w:rsidRPr="00326E55">
              <w:rPr>
                <w:noProof/>
                <w:spacing w:val="-6"/>
                <w:lang w:val="sk-SK"/>
              </w:rPr>
              <w:t xml:space="preserve">ťažko </w:t>
            </w:r>
            <w:r w:rsidRPr="00326E55">
              <w:rPr>
                <w:noProof/>
                <w:spacing w:val="-6"/>
                <w:lang w:val="sk-SK"/>
              </w:rPr>
              <w:t>dekarbonizovateľných priemyselných odvetviach</w:t>
            </w:r>
          </w:p>
        </w:tc>
        <w:tc>
          <w:tcPr>
            <w:tcW w:w="1230" w:type="dxa"/>
            <w:shd w:val="clear" w:color="auto" w:fill="C6EFCE"/>
            <w:tcMar>
              <w:left w:w="108" w:type="dxa"/>
              <w:right w:w="108" w:type="dxa"/>
            </w:tcMar>
            <w:vAlign w:val="center"/>
          </w:tcPr>
          <w:p w14:paraId="73EBEB1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3CA7C560" w14:textId="7C40B4EA" w:rsidR="00BF03AA" w:rsidRPr="00326E55" w:rsidRDefault="00FB452D">
            <w:pPr>
              <w:pStyle w:val="P68B1DB1-Normal121"/>
              <w:spacing w:after="0" w:line="240" w:lineRule="auto"/>
              <w:rPr>
                <w:noProof/>
                <w:spacing w:val="-6"/>
                <w:lang w:val="sk-SK"/>
              </w:rPr>
            </w:pPr>
            <w:r w:rsidRPr="00326E55">
              <w:rPr>
                <w:noProof/>
                <w:spacing w:val="-6"/>
                <w:lang w:val="sk-SK"/>
              </w:rPr>
              <w:t>Dohoda na podporu prechodu</w:t>
            </w:r>
            <w:r w:rsidR="00326E55" w:rsidRPr="00326E55">
              <w:rPr>
                <w:noProof/>
                <w:spacing w:val="-6"/>
                <w:lang w:val="sk-SK"/>
              </w:rPr>
              <w:t xml:space="preserve"> z </w:t>
            </w:r>
            <w:r w:rsidRPr="00326E55">
              <w:rPr>
                <w:noProof/>
                <w:spacing w:val="-6"/>
                <w:lang w:val="sk-SK"/>
              </w:rPr>
              <w:t>metánu na ekologický vodík</w:t>
            </w:r>
          </w:p>
        </w:tc>
      </w:tr>
      <w:tr w:rsidR="00BF03AA" w:rsidRPr="00326E55" w14:paraId="261BD29D" w14:textId="77777777">
        <w:trPr>
          <w:trHeight w:val="300"/>
        </w:trPr>
        <w:tc>
          <w:tcPr>
            <w:tcW w:w="1290" w:type="dxa"/>
            <w:shd w:val="clear" w:color="auto" w:fill="C6EFCE"/>
            <w:tcMar>
              <w:left w:w="108" w:type="dxa"/>
              <w:right w:w="108" w:type="dxa"/>
            </w:tcMar>
            <w:vAlign w:val="center"/>
          </w:tcPr>
          <w:p w14:paraId="753F813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21</w:t>
            </w:r>
          </w:p>
        </w:tc>
        <w:tc>
          <w:tcPr>
            <w:tcW w:w="3171" w:type="dxa"/>
            <w:shd w:val="clear" w:color="auto" w:fill="C6EFCE"/>
            <w:tcMar>
              <w:left w:w="108" w:type="dxa"/>
              <w:right w:w="108" w:type="dxa"/>
            </w:tcMar>
            <w:vAlign w:val="center"/>
          </w:tcPr>
          <w:p w14:paraId="204DE917" w14:textId="65D361D9" w:rsidR="00BF03AA" w:rsidRPr="00326E55" w:rsidRDefault="00FB452D">
            <w:pPr>
              <w:pStyle w:val="P68B1DB1-Normal121"/>
              <w:spacing w:after="0" w:line="240" w:lineRule="auto"/>
              <w:rPr>
                <w:noProof/>
                <w:spacing w:val="-6"/>
                <w:lang w:val="sk-SK"/>
              </w:rPr>
            </w:pPr>
            <w:r w:rsidRPr="00326E55">
              <w:rPr>
                <w:noProof/>
                <w:spacing w:val="-6"/>
                <w:lang w:val="sk-SK"/>
              </w:rPr>
              <w:t>Investícia 7 – Projekt Šport</w:t>
            </w:r>
            <w:r w:rsidR="00326E55" w:rsidRPr="00326E55">
              <w:rPr>
                <w:noProof/>
                <w:spacing w:val="-6"/>
                <w:lang w:val="sk-SK"/>
              </w:rPr>
              <w:t xml:space="preserve"> a </w:t>
            </w:r>
            <w:r w:rsidRPr="00326E55">
              <w:rPr>
                <w:noProof/>
                <w:spacing w:val="-6"/>
                <w:lang w:val="sk-SK"/>
              </w:rPr>
              <w:t>sociálne začlenenie</w:t>
            </w:r>
          </w:p>
        </w:tc>
        <w:tc>
          <w:tcPr>
            <w:tcW w:w="1230" w:type="dxa"/>
            <w:shd w:val="clear" w:color="auto" w:fill="C6EFCE"/>
            <w:tcMar>
              <w:left w:w="108" w:type="dxa"/>
              <w:right w:w="108" w:type="dxa"/>
            </w:tcMar>
            <w:vAlign w:val="center"/>
          </w:tcPr>
          <w:p w14:paraId="67F3C86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0E5D2331" w14:textId="1B0F5A48"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projekty</w:t>
            </w:r>
            <w:r w:rsidR="00326E55" w:rsidRPr="00326E55">
              <w:rPr>
                <w:noProof/>
                <w:spacing w:val="-6"/>
                <w:lang w:val="sk-SK"/>
              </w:rPr>
              <w:t xml:space="preserve"> v </w:t>
            </w:r>
            <w:r w:rsidRPr="00326E55">
              <w:rPr>
                <w:noProof/>
                <w:spacing w:val="-6"/>
                <w:lang w:val="sk-SK"/>
              </w:rPr>
              <w:t>oblasti športu</w:t>
            </w:r>
            <w:r w:rsidR="00326E55" w:rsidRPr="00326E55">
              <w:rPr>
                <w:noProof/>
                <w:spacing w:val="-6"/>
                <w:lang w:val="sk-SK"/>
              </w:rPr>
              <w:t xml:space="preserve"> a </w:t>
            </w:r>
            <w:r w:rsidRPr="00326E55">
              <w:rPr>
                <w:noProof/>
                <w:spacing w:val="-6"/>
                <w:lang w:val="sk-SK"/>
              </w:rPr>
              <w:t>sociálneh</w:t>
            </w:r>
            <w:r w:rsidRPr="00326E55">
              <w:rPr>
                <w:noProof/>
                <w:spacing w:val="-6"/>
                <w:lang w:val="sk-SK"/>
              </w:rPr>
              <w:t>o začlenenia na základe verejnej výzvy na predkladanie návrhov</w:t>
            </w:r>
          </w:p>
        </w:tc>
      </w:tr>
      <w:tr w:rsidR="00BF03AA" w:rsidRPr="00326E55" w14:paraId="4217AE15" w14:textId="77777777">
        <w:trPr>
          <w:trHeight w:val="300"/>
        </w:trPr>
        <w:tc>
          <w:tcPr>
            <w:tcW w:w="1290" w:type="dxa"/>
            <w:shd w:val="clear" w:color="auto" w:fill="C6EFCE"/>
            <w:tcMar>
              <w:left w:w="108" w:type="dxa"/>
              <w:right w:w="108" w:type="dxa"/>
            </w:tcMar>
            <w:vAlign w:val="center"/>
          </w:tcPr>
          <w:p w14:paraId="146B934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20</w:t>
            </w:r>
          </w:p>
        </w:tc>
        <w:tc>
          <w:tcPr>
            <w:tcW w:w="3171" w:type="dxa"/>
            <w:shd w:val="clear" w:color="auto" w:fill="C6EFCE"/>
            <w:tcMar>
              <w:left w:w="108" w:type="dxa"/>
              <w:right w:w="108" w:type="dxa"/>
            </w:tcMar>
            <w:vAlign w:val="center"/>
          </w:tcPr>
          <w:p w14:paraId="7DFDADC8"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Rozvoj filmového priemyslu (projekt Cinecittà)</w:t>
            </w:r>
          </w:p>
        </w:tc>
        <w:tc>
          <w:tcPr>
            <w:tcW w:w="1230" w:type="dxa"/>
            <w:shd w:val="clear" w:color="auto" w:fill="C6EFCE"/>
            <w:tcMar>
              <w:left w:w="108" w:type="dxa"/>
              <w:right w:w="108" w:type="dxa"/>
            </w:tcMar>
            <w:vAlign w:val="center"/>
          </w:tcPr>
          <w:p w14:paraId="0800CB3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217FE241" w14:textId="2DD73C31" w:rsidR="00BF03AA" w:rsidRPr="00326E55" w:rsidRDefault="00FB452D">
            <w:pPr>
              <w:pStyle w:val="P68B1DB1-Normal121"/>
              <w:spacing w:after="0" w:line="240" w:lineRule="auto"/>
              <w:rPr>
                <w:noProof/>
                <w:spacing w:val="-6"/>
                <w:lang w:val="sk-SK"/>
              </w:rPr>
            </w:pPr>
            <w:r w:rsidRPr="00326E55">
              <w:rPr>
                <w:noProof/>
                <w:spacing w:val="-6"/>
                <w:lang w:val="sk-SK"/>
              </w:rPr>
              <w:t>Podpísanie zmlúv medzi vykonávajúcim subjektom Cinecittà SPA</w:t>
            </w:r>
            <w:r w:rsidR="00326E55" w:rsidRPr="00326E55">
              <w:rPr>
                <w:noProof/>
                <w:spacing w:val="-6"/>
                <w:lang w:val="sk-SK"/>
              </w:rPr>
              <w:t xml:space="preserve"> a </w:t>
            </w:r>
            <w:r w:rsidRPr="00326E55">
              <w:rPr>
                <w:noProof/>
                <w:spacing w:val="-6"/>
                <w:lang w:val="sk-SK"/>
              </w:rPr>
              <w:t>spoločnosťami</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 xml:space="preserve">výstavbou deviatich </w:t>
            </w:r>
            <w:r w:rsidRPr="00326E55">
              <w:rPr>
                <w:noProof/>
                <w:spacing w:val="-6"/>
                <w:lang w:val="sk-SK"/>
              </w:rPr>
              <w:t>štúdií</w:t>
            </w:r>
          </w:p>
        </w:tc>
      </w:tr>
      <w:tr w:rsidR="00BF03AA" w:rsidRPr="00326E55" w14:paraId="4A7D8A7A" w14:textId="77777777">
        <w:trPr>
          <w:trHeight w:val="300"/>
        </w:trPr>
        <w:tc>
          <w:tcPr>
            <w:tcW w:w="1290" w:type="dxa"/>
            <w:shd w:val="clear" w:color="auto" w:fill="C6EFCE"/>
            <w:tcMar>
              <w:left w:w="108" w:type="dxa"/>
              <w:right w:w="108" w:type="dxa"/>
            </w:tcMar>
            <w:vAlign w:val="center"/>
          </w:tcPr>
          <w:p w14:paraId="217E26A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21</w:t>
            </w:r>
          </w:p>
        </w:tc>
        <w:tc>
          <w:tcPr>
            <w:tcW w:w="3171" w:type="dxa"/>
            <w:shd w:val="clear" w:color="auto" w:fill="C6EFCE"/>
            <w:tcMar>
              <w:left w:w="108" w:type="dxa"/>
              <w:right w:w="108" w:type="dxa"/>
            </w:tcMar>
            <w:vAlign w:val="center"/>
          </w:tcPr>
          <w:p w14:paraId="7F9CE7D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3.3 Renaturácia oblasti Po</w:t>
            </w:r>
          </w:p>
        </w:tc>
        <w:tc>
          <w:tcPr>
            <w:tcW w:w="1230" w:type="dxa"/>
            <w:shd w:val="clear" w:color="auto" w:fill="C6EFCE"/>
            <w:tcMar>
              <w:left w:w="108" w:type="dxa"/>
              <w:right w:w="108" w:type="dxa"/>
            </w:tcMar>
            <w:vAlign w:val="center"/>
          </w:tcPr>
          <w:p w14:paraId="417839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3C4BFED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Revízia právneho rámca pre intervencie na renaturáciu oblasti Pád </w:t>
            </w:r>
          </w:p>
        </w:tc>
      </w:tr>
      <w:tr w:rsidR="00BF03AA" w:rsidRPr="00326E55" w14:paraId="55BA4A71" w14:textId="77777777">
        <w:trPr>
          <w:trHeight w:val="300"/>
        </w:trPr>
        <w:tc>
          <w:tcPr>
            <w:tcW w:w="1290" w:type="dxa"/>
            <w:shd w:val="clear" w:color="auto" w:fill="C6EFCE"/>
            <w:tcMar>
              <w:left w:w="108" w:type="dxa"/>
              <w:right w:w="108" w:type="dxa"/>
            </w:tcMar>
            <w:vAlign w:val="center"/>
          </w:tcPr>
          <w:p w14:paraId="4D363F8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28</w:t>
            </w:r>
          </w:p>
        </w:tc>
        <w:tc>
          <w:tcPr>
            <w:tcW w:w="3171" w:type="dxa"/>
            <w:shd w:val="clear" w:color="auto" w:fill="C6EFCE"/>
            <w:tcMar>
              <w:left w:w="108" w:type="dxa"/>
              <w:right w:w="108" w:type="dxa"/>
            </w:tcMar>
            <w:vAlign w:val="center"/>
          </w:tcPr>
          <w:p w14:paraId="352F7296" w14:textId="182863FB" w:rsidR="00BF03AA" w:rsidRPr="00326E55" w:rsidRDefault="00FB452D">
            <w:pPr>
              <w:pStyle w:val="P68B1DB1-Normal121"/>
              <w:spacing w:after="0" w:line="240" w:lineRule="auto"/>
              <w:rPr>
                <w:noProof/>
                <w:spacing w:val="-6"/>
                <w:lang w:val="sk-SK"/>
              </w:rPr>
            </w:pPr>
            <w:r w:rsidRPr="00326E55">
              <w:rPr>
                <w:noProof/>
                <w:spacing w:val="-6"/>
                <w:lang w:val="sk-SK"/>
              </w:rPr>
              <w:t>Reforma 1.7: Reforma regulácie bývania pre študentov</w:t>
            </w:r>
            <w:r w:rsidR="00326E55" w:rsidRPr="00326E55">
              <w:rPr>
                <w:noProof/>
                <w:spacing w:val="-6"/>
                <w:lang w:val="sk-SK"/>
              </w:rPr>
              <w:t xml:space="preserve"> a </w:t>
            </w:r>
            <w:r w:rsidRPr="00326E55">
              <w:rPr>
                <w:noProof/>
                <w:spacing w:val="-6"/>
                <w:lang w:val="sk-SK"/>
              </w:rPr>
              <w:t>investovanie do bývania pre študentov</w:t>
            </w:r>
          </w:p>
        </w:tc>
        <w:tc>
          <w:tcPr>
            <w:tcW w:w="1230" w:type="dxa"/>
            <w:shd w:val="clear" w:color="auto" w:fill="C6EFCE"/>
            <w:tcMar>
              <w:left w:w="108" w:type="dxa"/>
              <w:right w:w="108" w:type="dxa"/>
            </w:tcMar>
            <w:vAlign w:val="center"/>
          </w:tcPr>
          <w:p w14:paraId="784BB0D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0ACC2BD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Zadanie pôvodn</w:t>
            </w:r>
            <w:r w:rsidRPr="00326E55">
              <w:rPr>
                <w:noProof/>
                <w:spacing w:val="-6"/>
                <w:lang w:val="sk-SK"/>
              </w:rPr>
              <w:t>ých zákaziek na vytvorenie ďalších ubytovacích jednotiek na spanie (lôžok)</w:t>
            </w:r>
          </w:p>
        </w:tc>
      </w:tr>
      <w:tr w:rsidR="00BF03AA" w:rsidRPr="00326E55" w14:paraId="2929F51C" w14:textId="77777777">
        <w:trPr>
          <w:trHeight w:val="300"/>
        </w:trPr>
        <w:tc>
          <w:tcPr>
            <w:tcW w:w="1290" w:type="dxa"/>
            <w:shd w:val="clear" w:color="auto" w:fill="C6EFCE"/>
            <w:tcMar>
              <w:left w:w="108" w:type="dxa"/>
              <w:right w:w="108" w:type="dxa"/>
            </w:tcMar>
            <w:vAlign w:val="center"/>
          </w:tcPr>
          <w:p w14:paraId="66C6B68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12</w:t>
            </w:r>
          </w:p>
        </w:tc>
        <w:tc>
          <w:tcPr>
            <w:tcW w:w="3171" w:type="dxa"/>
            <w:shd w:val="clear" w:color="auto" w:fill="C6EFCE"/>
            <w:tcMar>
              <w:left w:w="108" w:type="dxa"/>
              <w:right w:w="108" w:type="dxa"/>
            </w:tcMar>
            <w:vAlign w:val="center"/>
          </w:tcPr>
          <w:p w14:paraId="70544A7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2.1: DÔLEŽITÝ PROJEKT SPOLOČNÉHO EURÓPSKEHO ZÁUJMU</w:t>
            </w:r>
          </w:p>
        </w:tc>
        <w:tc>
          <w:tcPr>
            <w:tcW w:w="1230" w:type="dxa"/>
            <w:shd w:val="clear" w:color="auto" w:fill="C6EFCE"/>
            <w:tcMar>
              <w:left w:w="108" w:type="dxa"/>
              <w:right w:w="108" w:type="dxa"/>
            </w:tcMar>
            <w:vAlign w:val="center"/>
          </w:tcPr>
          <w:p w14:paraId="6CB92AF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666" w:type="dxa"/>
            <w:shd w:val="clear" w:color="auto" w:fill="C6EFCE"/>
            <w:tcMar>
              <w:left w:w="108" w:type="dxa"/>
              <w:right w:w="108" w:type="dxa"/>
            </w:tcMar>
            <w:vAlign w:val="center"/>
          </w:tcPr>
          <w:p w14:paraId="16B1417C" w14:textId="121F16FF" w:rsidR="00BF03AA" w:rsidRPr="00326E55" w:rsidRDefault="00FB452D">
            <w:pPr>
              <w:pStyle w:val="P68B1DB1-Normal121"/>
              <w:spacing w:after="0" w:line="240" w:lineRule="auto"/>
              <w:rPr>
                <w:noProof/>
                <w:spacing w:val="-6"/>
                <w:lang w:val="sk-SK"/>
              </w:rPr>
            </w:pPr>
            <w:r w:rsidRPr="00326E55">
              <w:rPr>
                <w:noProof/>
                <w:spacing w:val="-6"/>
                <w:lang w:val="sk-SK"/>
              </w:rPr>
              <w:t>Zoznam účastníkov projektov dôležitých projektov spoločného európskeho záujmu sa finalizuje do 30</w:t>
            </w:r>
            <w:r w:rsidR="00326E55" w:rsidRPr="00326E55">
              <w:rPr>
                <w:noProof/>
                <w:spacing w:val="-6"/>
                <w:lang w:val="sk-SK"/>
              </w:rPr>
              <w:t>. júna</w:t>
            </w:r>
            <w:r w:rsidRPr="00326E55">
              <w:rPr>
                <w:noProof/>
                <w:spacing w:val="-6"/>
                <w:lang w:val="sk-SK"/>
              </w:rPr>
              <w:t xml:space="preserve"> 2023.</w:t>
            </w:r>
          </w:p>
        </w:tc>
      </w:tr>
      <w:tr w:rsidR="00BF03AA" w:rsidRPr="00326E55" w14:paraId="17DE369B" w14:textId="77777777">
        <w:trPr>
          <w:trHeight w:val="300"/>
        </w:trPr>
        <w:tc>
          <w:tcPr>
            <w:tcW w:w="1290" w:type="dxa"/>
            <w:shd w:val="clear" w:color="auto" w:fill="C6EFCE"/>
            <w:tcMar>
              <w:left w:w="108" w:type="dxa"/>
              <w:right w:w="108" w:type="dxa"/>
            </w:tcMar>
            <w:vAlign w:val="center"/>
          </w:tcPr>
          <w:p w14:paraId="49ACFC7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16</w:t>
            </w:r>
          </w:p>
        </w:tc>
        <w:tc>
          <w:tcPr>
            <w:tcW w:w="3171" w:type="dxa"/>
            <w:shd w:val="clear" w:color="auto" w:fill="C6EFCE"/>
            <w:tcMar>
              <w:left w:w="108" w:type="dxa"/>
              <w:right w:w="108" w:type="dxa"/>
            </w:tcMar>
            <w:vAlign w:val="center"/>
          </w:tcPr>
          <w:p w14:paraId="0C5DBA59" w14:textId="1A4DADBE" w:rsidR="00BF03AA" w:rsidRPr="00326E55" w:rsidRDefault="00FB452D">
            <w:pPr>
              <w:pStyle w:val="P68B1DB1-Normal121"/>
              <w:spacing w:after="0" w:line="240" w:lineRule="auto"/>
              <w:rPr>
                <w:noProof/>
                <w:spacing w:val="-6"/>
                <w:lang w:val="sk-SK"/>
              </w:rPr>
            </w:pPr>
            <w:r w:rsidRPr="00326E55">
              <w:rPr>
                <w:noProof/>
                <w:spacing w:val="-6"/>
                <w:lang w:val="sk-SK"/>
              </w:rPr>
              <w:t>Investícia 3.1 Výskumné</w:t>
            </w:r>
            <w:r w:rsidR="00326E55" w:rsidRPr="00326E55">
              <w:rPr>
                <w:noProof/>
                <w:spacing w:val="-6"/>
                <w:lang w:val="sk-SK"/>
              </w:rPr>
              <w:t xml:space="preserve"> a </w:t>
            </w:r>
            <w:r w:rsidRPr="00326E55">
              <w:rPr>
                <w:noProof/>
                <w:spacing w:val="-6"/>
                <w:lang w:val="sk-SK"/>
              </w:rPr>
              <w:t>inovačné infraštruktúry</w:t>
            </w:r>
          </w:p>
        </w:tc>
        <w:tc>
          <w:tcPr>
            <w:tcW w:w="1230" w:type="dxa"/>
            <w:shd w:val="clear" w:color="auto" w:fill="C6EFCE"/>
            <w:tcMar>
              <w:left w:w="108" w:type="dxa"/>
              <w:right w:w="108" w:type="dxa"/>
            </w:tcMar>
            <w:vAlign w:val="center"/>
          </w:tcPr>
          <w:p w14:paraId="02C2916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666" w:type="dxa"/>
            <w:shd w:val="clear" w:color="auto" w:fill="C6EFCE"/>
            <w:tcMar>
              <w:left w:w="108" w:type="dxa"/>
              <w:right w:w="108" w:type="dxa"/>
            </w:tcMar>
            <w:vAlign w:val="center"/>
          </w:tcPr>
          <w:p w14:paraId="7D5097D8"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financovaných infraštruktúr</w:t>
            </w:r>
          </w:p>
        </w:tc>
      </w:tr>
      <w:tr w:rsidR="00BF03AA" w:rsidRPr="00326E55" w14:paraId="687C0FB9" w14:textId="77777777">
        <w:trPr>
          <w:trHeight w:val="300"/>
        </w:trPr>
        <w:tc>
          <w:tcPr>
            <w:tcW w:w="1290" w:type="dxa"/>
            <w:shd w:val="clear" w:color="auto" w:fill="C6EFCE"/>
            <w:tcMar>
              <w:left w:w="108" w:type="dxa"/>
              <w:right w:w="108" w:type="dxa"/>
            </w:tcMar>
            <w:vAlign w:val="center"/>
          </w:tcPr>
          <w:p w14:paraId="42E1898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18</w:t>
            </w:r>
          </w:p>
        </w:tc>
        <w:tc>
          <w:tcPr>
            <w:tcW w:w="3171" w:type="dxa"/>
            <w:shd w:val="clear" w:color="auto" w:fill="C6EFCE"/>
            <w:tcMar>
              <w:left w:w="108" w:type="dxa"/>
              <w:right w:w="108" w:type="dxa"/>
            </w:tcMar>
            <w:vAlign w:val="center"/>
          </w:tcPr>
          <w:p w14:paraId="61663392"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 Zakladanie podnikov žien</w:t>
            </w:r>
          </w:p>
        </w:tc>
        <w:tc>
          <w:tcPr>
            <w:tcW w:w="1230" w:type="dxa"/>
            <w:shd w:val="clear" w:color="auto" w:fill="C6EFCE"/>
            <w:tcMar>
              <w:left w:w="108" w:type="dxa"/>
              <w:right w:w="108" w:type="dxa"/>
            </w:tcMar>
            <w:vAlign w:val="center"/>
          </w:tcPr>
          <w:p w14:paraId="28D549F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666" w:type="dxa"/>
            <w:shd w:val="clear" w:color="auto" w:fill="C6EFCE"/>
            <w:tcMar>
              <w:left w:w="108" w:type="dxa"/>
              <w:right w:w="108" w:type="dxa"/>
            </w:tcMar>
            <w:vAlign w:val="center"/>
          </w:tcPr>
          <w:p w14:paraId="1983987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Podnikom bola vyčlenená finančná podpora </w:t>
            </w:r>
          </w:p>
        </w:tc>
      </w:tr>
      <w:tr w:rsidR="00BF03AA" w:rsidRPr="00326E55" w14:paraId="15266174" w14:textId="77777777">
        <w:trPr>
          <w:trHeight w:val="300"/>
        </w:trPr>
        <w:tc>
          <w:tcPr>
            <w:tcW w:w="1290" w:type="dxa"/>
            <w:shd w:val="clear" w:color="auto" w:fill="C6EFCE"/>
            <w:tcMar>
              <w:left w:w="108" w:type="dxa"/>
              <w:right w:w="108" w:type="dxa"/>
            </w:tcMar>
            <w:vAlign w:val="center"/>
          </w:tcPr>
          <w:p w14:paraId="7A7422E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14</w:t>
            </w:r>
          </w:p>
        </w:tc>
        <w:tc>
          <w:tcPr>
            <w:tcW w:w="3171" w:type="dxa"/>
            <w:shd w:val="clear" w:color="auto" w:fill="C6EFCE"/>
            <w:tcMar>
              <w:left w:w="108" w:type="dxa"/>
              <w:right w:w="108" w:type="dxa"/>
            </w:tcMar>
            <w:vAlign w:val="center"/>
          </w:tcPr>
          <w:p w14:paraId="546B7A3D" w14:textId="28A34D8D" w:rsidR="00BF03AA" w:rsidRPr="00326E55" w:rsidRDefault="00FB452D">
            <w:pPr>
              <w:pStyle w:val="P68B1DB1-Normal123"/>
              <w:spacing w:after="0" w:line="240" w:lineRule="auto"/>
              <w:rPr>
                <w:noProof/>
                <w:spacing w:val="-6"/>
                <w:lang w:val="sk-SK"/>
              </w:rPr>
            </w:pPr>
            <w:r w:rsidRPr="00326E55">
              <w:rPr>
                <w:noProof/>
                <w:spacing w:val="-6"/>
                <w:lang w:val="sk-SK"/>
              </w:rPr>
              <w:t xml:space="preserve">Investícia 2.2: Rozvoj </w:t>
            </w:r>
            <w:r w:rsidRPr="00326E55">
              <w:rPr>
                <w:noProof/>
                <w:spacing w:val="-6"/>
                <w:lang w:val="sk-SK"/>
              </w:rPr>
              <w:t>technicko-profesijných, digitálnych</w:t>
            </w:r>
            <w:r w:rsidR="00326E55" w:rsidRPr="00326E55">
              <w:rPr>
                <w:noProof/>
                <w:spacing w:val="-6"/>
                <w:lang w:val="sk-SK"/>
              </w:rPr>
              <w:t xml:space="preserve"> a </w:t>
            </w:r>
            <w:r w:rsidRPr="00326E55">
              <w:rPr>
                <w:noProof/>
                <w:spacing w:val="-6"/>
                <w:lang w:val="sk-SK"/>
              </w:rPr>
              <w:t>manažérskych zručností odborníkov</w:t>
            </w:r>
            <w:r w:rsidR="00326E55" w:rsidRPr="00326E55">
              <w:rPr>
                <w:noProof/>
                <w:spacing w:val="-6"/>
                <w:lang w:val="sk-SK"/>
              </w:rPr>
              <w:t xml:space="preserve"> v </w:t>
            </w:r>
            <w:r w:rsidRPr="00326E55">
              <w:rPr>
                <w:noProof/>
                <w:spacing w:val="-6"/>
                <w:lang w:val="sk-SK"/>
              </w:rPr>
              <w:t>systéme zdravotnej starostlivosti</w:t>
            </w:r>
          </w:p>
        </w:tc>
        <w:tc>
          <w:tcPr>
            <w:tcW w:w="1230" w:type="dxa"/>
            <w:shd w:val="clear" w:color="auto" w:fill="C6EFCE"/>
            <w:tcMar>
              <w:left w:w="108" w:type="dxa"/>
              <w:right w:w="108" w:type="dxa"/>
            </w:tcMar>
            <w:vAlign w:val="center"/>
          </w:tcPr>
          <w:p w14:paraId="3A3D6847"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3666" w:type="dxa"/>
            <w:shd w:val="clear" w:color="auto" w:fill="C6EFCE"/>
            <w:tcMar>
              <w:left w:w="108" w:type="dxa"/>
              <w:right w:w="108" w:type="dxa"/>
            </w:tcMar>
            <w:vAlign w:val="center"/>
          </w:tcPr>
          <w:p w14:paraId="60D637C5" w14:textId="27742B74" w:rsidR="00BF03AA" w:rsidRPr="00326E55" w:rsidRDefault="00FB452D">
            <w:pPr>
              <w:pStyle w:val="P68B1DB1-Normal123"/>
              <w:spacing w:after="0" w:line="240" w:lineRule="auto"/>
              <w:rPr>
                <w:noProof/>
                <w:spacing w:val="-6"/>
                <w:lang w:val="sk-SK"/>
              </w:rPr>
            </w:pPr>
            <w:r w:rsidRPr="00326E55">
              <w:rPr>
                <w:noProof/>
                <w:spacing w:val="-6"/>
                <w:lang w:val="sk-SK"/>
              </w:rPr>
              <w:t>Udeľujú sa štipendiá na špecifickú odbornú prípravu</w:t>
            </w:r>
            <w:r w:rsidR="00326E55" w:rsidRPr="00326E55">
              <w:rPr>
                <w:noProof/>
                <w:spacing w:val="-6"/>
                <w:lang w:val="sk-SK"/>
              </w:rPr>
              <w:t xml:space="preserve"> v </w:t>
            </w:r>
            <w:r w:rsidRPr="00326E55">
              <w:rPr>
                <w:noProof/>
                <w:spacing w:val="-6"/>
                <w:lang w:val="sk-SK"/>
              </w:rPr>
              <w:t>oblasti všeobecnej lekárskej praxe.</w:t>
            </w:r>
          </w:p>
        </w:tc>
      </w:tr>
      <w:tr w:rsidR="00BF03AA" w:rsidRPr="00326E55" w14:paraId="7AC50261" w14:textId="77777777">
        <w:trPr>
          <w:trHeight w:val="300"/>
        </w:trPr>
        <w:tc>
          <w:tcPr>
            <w:tcW w:w="1290" w:type="dxa"/>
            <w:shd w:val="clear" w:color="auto" w:fill="C6EFCE"/>
            <w:tcMar>
              <w:left w:w="108" w:type="dxa"/>
              <w:right w:w="108" w:type="dxa"/>
            </w:tcMar>
            <w:vAlign w:val="center"/>
          </w:tcPr>
          <w:p w14:paraId="7C754D4B"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171" w:type="dxa"/>
            <w:shd w:val="clear" w:color="auto" w:fill="C6EFCE"/>
            <w:tcMar>
              <w:left w:w="108" w:type="dxa"/>
              <w:right w:w="108" w:type="dxa"/>
            </w:tcMar>
            <w:vAlign w:val="center"/>
          </w:tcPr>
          <w:p w14:paraId="3B23324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30" w:type="dxa"/>
            <w:shd w:val="clear" w:color="auto" w:fill="C6EFCE"/>
            <w:tcMar>
              <w:left w:w="108" w:type="dxa"/>
              <w:right w:w="108" w:type="dxa"/>
            </w:tcMar>
            <w:vAlign w:val="center"/>
          </w:tcPr>
          <w:p w14:paraId="504BB2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666" w:type="dxa"/>
            <w:shd w:val="clear" w:color="auto" w:fill="C6EFCE"/>
            <w:tcMar>
              <w:left w:w="108" w:type="dxa"/>
              <w:right w:w="108" w:type="dxa"/>
            </w:tcMar>
            <w:vAlign w:val="center"/>
          </w:tcPr>
          <w:p w14:paraId="0315EA2A"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16611453220 EUR</w:t>
            </w:r>
            <w:r w:rsidRPr="00326E55">
              <w:rPr>
                <w:noProof/>
                <w:spacing w:val="-6"/>
                <w:sz w:val="23"/>
                <w:szCs w:val="23"/>
                <w:lang w:val="sk-SK"/>
              </w:rPr>
              <w:t xml:space="preserve">  </w:t>
            </w:r>
          </w:p>
        </w:tc>
      </w:tr>
    </w:tbl>
    <w:p w14:paraId="1F24839E" w14:textId="77777777" w:rsidR="00326E55" w:rsidRPr="00326E55" w:rsidRDefault="00326E55">
      <w:pPr>
        <w:pStyle w:val="P68B1DB1-Normal8"/>
        <w:spacing w:before="120" w:after="120" w:line="240" w:lineRule="auto"/>
        <w:jc w:val="both"/>
        <w:rPr>
          <w:noProof/>
          <w:spacing w:val="-6"/>
          <w:lang w:val="sk-SK"/>
        </w:rPr>
      </w:pPr>
    </w:p>
    <w:p w14:paraId="5E5E1D27"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 xml:space="preserve">Piata splátka </w:t>
      </w:r>
      <w:r w:rsidRPr="00326E55">
        <w:rPr>
          <w:noProof/>
          <w:spacing w:val="-6"/>
          <w:lang w:val="sk-SK"/>
        </w:rPr>
        <w:t>(úverová podpora):</w:t>
      </w:r>
    </w:p>
    <w:tbl>
      <w:tblPr>
        <w:tblW w:w="9358" w:type="dxa"/>
        <w:tblInd w:w="120" w:type="dxa"/>
        <w:tblLayout w:type="fixed"/>
        <w:tblLook w:val="04A0" w:firstRow="1" w:lastRow="0" w:firstColumn="1" w:lastColumn="0" w:noHBand="0" w:noVBand="1"/>
      </w:tblPr>
      <w:tblGrid>
        <w:gridCol w:w="1320"/>
        <w:gridCol w:w="2770"/>
        <w:gridCol w:w="1200"/>
        <w:gridCol w:w="4068"/>
      </w:tblGrid>
      <w:tr w:rsidR="00BF03AA" w:rsidRPr="00326E55" w14:paraId="4658538F" w14:textId="77777777">
        <w:trPr>
          <w:trHeight w:val="900"/>
          <w:tblHeader/>
        </w:trPr>
        <w:tc>
          <w:tcPr>
            <w:tcW w:w="132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5B915BF9"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277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7282547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CF05B57"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406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7BECCBE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788665DB" w14:textId="77777777">
        <w:trPr>
          <w:trHeight w:val="510"/>
        </w:trPr>
        <w:tc>
          <w:tcPr>
            <w:tcW w:w="1320" w:type="dxa"/>
            <w:vMerge/>
            <w:tcBorders>
              <w:top w:val="single" w:sz="4" w:space="0" w:color="auto"/>
              <w:left w:val="single" w:sz="4" w:space="0" w:color="auto"/>
              <w:bottom w:val="single" w:sz="4" w:space="0" w:color="auto"/>
              <w:right w:val="single" w:sz="4" w:space="0" w:color="auto"/>
            </w:tcBorders>
            <w:vAlign w:val="center"/>
          </w:tcPr>
          <w:p w14:paraId="458A7695"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770" w:type="dxa"/>
            <w:vMerge/>
            <w:tcBorders>
              <w:top w:val="single" w:sz="4" w:space="0" w:color="auto"/>
              <w:left w:val="single" w:sz="4" w:space="0" w:color="auto"/>
              <w:bottom w:val="single" w:sz="4" w:space="0" w:color="auto"/>
              <w:right w:val="single" w:sz="4" w:space="0" w:color="auto"/>
            </w:tcBorders>
            <w:vAlign w:val="center"/>
          </w:tcPr>
          <w:p w14:paraId="6BF3FF9A"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00" w:type="dxa"/>
            <w:vMerge/>
            <w:tcBorders>
              <w:top w:val="single" w:sz="4" w:space="0" w:color="auto"/>
              <w:left w:val="single" w:sz="4" w:space="0" w:color="auto"/>
              <w:bottom w:val="single" w:sz="4" w:space="0" w:color="auto"/>
              <w:right w:val="single" w:sz="4" w:space="0" w:color="auto"/>
            </w:tcBorders>
            <w:vAlign w:val="center"/>
          </w:tcPr>
          <w:p w14:paraId="0AA1B01C"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4068" w:type="dxa"/>
            <w:vMerge/>
            <w:tcBorders>
              <w:top w:val="single" w:sz="4" w:space="0" w:color="auto"/>
              <w:left w:val="single" w:sz="4" w:space="0" w:color="auto"/>
              <w:bottom w:val="single" w:sz="4" w:space="0" w:color="auto"/>
              <w:right w:val="single" w:sz="4" w:space="0" w:color="auto"/>
            </w:tcBorders>
            <w:vAlign w:val="center"/>
          </w:tcPr>
          <w:p w14:paraId="77EDCAB4"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385E3ED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FE762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085A4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1.1: Výstavba nových škôl prostredníctvom výmeny budov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7D913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38E963" w14:textId="4224608A" w:rsidR="00BF03AA" w:rsidRPr="00326E55" w:rsidRDefault="00FB452D">
            <w:pPr>
              <w:pStyle w:val="P68B1DB1-Normal121"/>
              <w:spacing w:after="0" w:line="240" w:lineRule="auto"/>
              <w:rPr>
                <w:noProof/>
                <w:spacing w:val="-6"/>
                <w:lang w:val="sk-SK"/>
              </w:rPr>
            </w:pPr>
            <w:r w:rsidRPr="00326E55">
              <w:rPr>
                <w:noProof/>
                <w:spacing w:val="-6"/>
                <w:lang w:val="sk-SK"/>
              </w:rPr>
              <w:t xml:space="preserve">Zadávanie všetkých verejných zákaziek na výstavbu nových škôl </w:t>
            </w:r>
            <w:r w:rsidRPr="00326E55">
              <w:rPr>
                <w:noProof/>
                <w:spacing w:val="-6"/>
                <w:lang w:val="sk-SK"/>
              </w:rPr>
              <w:t>prostredníctvom výmeny budov na modernizáciu energie</w:t>
            </w:r>
            <w:r w:rsidR="00326E55" w:rsidRPr="00326E55">
              <w:rPr>
                <w:noProof/>
                <w:spacing w:val="-6"/>
                <w:lang w:val="sk-SK"/>
              </w:rPr>
              <w:t xml:space="preserve"> v </w:t>
            </w:r>
            <w:r w:rsidRPr="00326E55">
              <w:rPr>
                <w:noProof/>
                <w:spacing w:val="-6"/>
                <w:lang w:val="sk-SK"/>
              </w:rPr>
              <w:t xml:space="preserve">školských budovách na základe postupu verejného obstarávania </w:t>
            </w:r>
          </w:p>
        </w:tc>
      </w:tr>
      <w:tr w:rsidR="00BF03AA" w:rsidRPr="00326E55" w14:paraId="67F12C2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9DFA6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9C06A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4.1. Investície do primárnej vodohospodárskej infraštruktúry na zabezpečenie dodávok vody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B8083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1FEDC3" w14:textId="6C9D1CC6" w:rsidR="00BF03AA" w:rsidRPr="00326E55" w:rsidRDefault="00FB452D">
            <w:pPr>
              <w:pStyle w:val="P68B1DB1-Normal121"/>
              <w:spacing w:after="0" w:line="240" w:lineRule="auto"/>
              <w:rPr>
                <w:noProof/>
                <w:spacing w:val="-6"/>
                <w:lang w:val="sk-SK"/>
              </w:rPr>
            </w:pPr>
            <w:r w:rsidRPr="00326E55">
              <w:rPr>
                <w:noProof/>
                <w:spacing w:val="-6"/>
                <w:lang w:val="sk-SK"/>
              </w:rPr>
              <w:t xml:space="preserve">Pridelenie </w:t>
            </w:r>
            <w:r w:rsidRPr="00326E55">
              <w:rPr>
                <w:noProof/>
                <w:spacing w:val="-6"/>
                <w:lang w:val="sk-SK"/>
              </w:rPr>
              <w:t>finančných prostriedkov na všetky projekty (na investície do primárnej vodohospodárskej infraštruktúry</w:t>
            </w:r>
            <w:r w:rsidR="00326E55" w:rsidRPr="00326E55">
              <w:rPr>
                <w:noProof/>
                <w:spacing w:val="-6"/>
                <w:lang w:val="sk-SK"/>
              </w:rPr>
              <w:t xml:space="preserve"> a </w:t>
            </w:r>
            <w:r w:rsidRPr="00326E55">
              <w:rPr>
                <w:noProof/>
                <w:spacing w:val="-6"/>
                <w:lang w:val="sk-SK"/>
              </w:rPr>
              <w:t xml:space="preserve">na zabezpečenie dodávok vody) </w:t>
            </w:r>
          </w:p>
        </w:tc>
      </w:tr>
      <w:tr w:rsidR="00BF03AA" w:rsidRPr="00326E55" w14:paraId="445EBE87"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A36C31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30</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E7C9D7" w14:textId="787D5DF5" w:rsidR="00BF03AA" w:rsidRPr="00326E55" w:rsidRDefault="00FB452D">
            <w:pPr>
              <w:pStyle w:val="P68B1DB1-Normal121"/>
              <w:spacing w:after="0" w:line="240" w:lineRule="auto"/>
              <w:rPr>
                <w:noProof/>
                <w:spacing w:val="-6"/>
                <w:lang w:val="sk-SK"/>
              </w:rPr>
            </w:pPr>
            <w:r w:rsidRPr="00326E55">
              <w:rPr>
                <w:noProof/>
                <w:spacing w:val="-6"/>
                <w:lang w:val="sk-SK"/>
              </w:rPr>
              <w:t>Investícia 4.2. Zníženie strát vo vodovodných sieťach vrátane digitalizácie</w:t>
            </w:r>
            <w:r w:rsidR="00326E55" w:rsidRPr="00326E55">
              <w:rPr>
                <w:noProof/>
                <w:spacing w:val="-6"/>
                <w:lang w:val="sk-SK"/>
              </w:rPr>
              <w:t xml:space="preserve"> a </w:t>
            </w:r>
            <w:r w:rsidRPr="00326E55">
              <w:rPr>
                <w:noProof/>
                <w:spacing w:val="-6"/>
                <w:lang w:val="sk-SK"/>
              </w:rPr>
              <w:t>monitorovania sietí</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36E73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5105F7" w14:textId="66DB74CB" w:rsidR="00BF03AA" w:rsidRPr="00326E55" w:rsidRDefault="00FB452D">
            <w:pPr>
              <w:pStyle w:val="P68B1DB1-Normal121"/>
              <w:spacing w:after="0" w:line="240" w:lineRule="auto"/>
              <w:rPr>
                <w:noProof/>
                <w:spacing w:val="-6"/>
                <w:lang w:val="sk-SK"/>
              </w:rPr>
            </w:pPr>
            <w:r w:rsidRPr="00326E55">
              <w:rPr>
                <w:noProof/>
                <w:spacing w:val="-6"/>
                <w:lang w:val="sk-SK"/>
              </w:rPr>
              <w:t>Prid</w:t>
            </w:r>
            <w:r w:rsidRPr="00326E55">
              <w:rPr>
                <w:noProof/>
                <w:spacing w:val="-6"/>
                <w:lang w:val="sk-SK"/>
              </w:rPr>
              <w:t>eľovanie finančných prostriedkov všetkým projektom na intervencie vo vodovodných distribučných sieťach vrátane digitalizácie</w:t>
            </w:r>
            <w:r w:rsidR="00326E55" w:rsidRPr="00326E55">
              <w:rPr>
                <w:noProof/>
                <w:spacing w:val="-6"/>
                <w:lang w:val="sk-SK"/>
              </w:rPr>
              <w:t xml:space="preserve"> a </w:t>
            </w:r>
            <w:r w:rsidRPr="00326E55">
              <w:rPr>
                <w:noProof/>
                <w:spacing w:val="-6"/>
                <w:lang w:val="sk-SK"/>
              </w:rPr>
              <w:t>monitorovania sietí</w:t>
            </w:r>
          </w:p>
        </w:tc>
      </w:tr>
      <w:tr w:rsidR="00BF03AA" w:rsidRPr="00326E55" w14:paraId="2AFAED8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C02D2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918238"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1.6.5: Digitalizácia Štátnej rady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3D6FA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0DA7E" w14:textId="5B9CD8D3" w:rsidR="00BF03AA" w:rsidRPr="00326E55" w:rsidRDefault="00FB452D">
            <w:pPr>
              <w:pStyle w:val="P68B1DB1-Normal121"/>
              <w:spacing w:after="0" w:line="240" w:lineRule="auto"/>
              <w:rPr>
                <w:noProof/>
                <w:spacing w:val="-6"/>
                <w:lang w:val="sk-SK"/>
              </w:rPr>
            </w:pPr>
            <w:r w:rsidRPr="00326E55">
              <w:rPr>
                <w:noProof/>
                <w:spacing w:val="-6"/>
                <w:lang w:val="sk-SK"/>
              </w:rPr>
              <w:t xml:space="preserve">Štátna rada – dostupné súdne dokumenty na </w:t>
            </w:r>
            <w:r w:rsidRPr="00326E55">
              <w:rPr>
                <w:noProof/>
                <w:spacing w:val="-6"/>
                <w:lang w:val="sk-SK"/>
              </w:rPr>
              <w:t>analýzu</w:t>
            </w:r>
            <w:r w:rsidR="00326E55" w:rsidRPr="00326E55">
              <w:rPr>
                <w:noProof/>
                <w:spacing w:val="-6"/>
                <w:lang w:val="sk-SK"/>
              </w:rPr>
              <w:t xml:space="preserve"> v </w:t>
            </w:r>
            <w:r w:rsidRPr="00326E55">
              <w:rPr>
                <w:noProof/>
                <w:spacing w:val="-6"/>
                <w:lang w:val="sk-SK"/>
              </w:rPr>
              <w:t>dátovom sklade T1</w:t>
            </w:r>
          </w:p>
        </w:tc>
      </w:tr>
      <w:tr w:rsidR="00BF03AA" w:rsidRPr="00326E55" w14:paraId="0378F873"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7791D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229C4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1.6.5: Digitalizácia Štátnej rady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D1377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499F81" w14:textId="7669FB4B" w:rsidR="00BF03AA" w:rsidRPr="00326E55" w:rsidRDefault="00FB452D">
            <w:pPr>
              <w:pStyle w:val="P68B1DB1-Normal121"/>
              <w:spacing w:after="0" w:line="240" w:lineRule="auto"/>
              <w:rPr>
                <w:noProof/>
                <w:spacing w:val="-6"/>
                <w:lang w:val="sk-SK"/>
              </w:rPr>
            </w:pPr>
            <w:r w:rsidRPr="00326E55">
              <w:rPr>
                <w:noProof/>
                <w:spacing w:val="-6"/>
                <w:lang w:val="sk-SK"/>
              </w:rPr>
              <w:t>Štátna rada – dostupné súdne dokumenty na analýzu</w:t>
            </w:r>
            <w:r w:rsidR="00326E55" w:rsidRPr="00326E55">
              <w:rPr>
                <w:noProof/>
                <w:spacing w:val="-6"/>
                <w:lang w:val="sk-SK"/>
              </w:rPr>
              <w:t xml:space="preserve"> v </w:t>
            </w:r>
            <w:r w:rsidRPr="00326E55">
              <w:rPr>
                <w:noProof/>
                <w:spacing w:val="-6"/>
                <w:lang w:val="sk-SK"/>
              </w:rPr>
              <w:t>dátovom sklade T2</w:t>
            </w:r>
          </w:p>
        </w:tc>
      </w:tr>
      <w:tr w:rsidR="00BF03AA" w:rsidRPr="00326E55" w14:paraId="56252DF7"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E00C6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849715C" w14:textId="3972EC82" w:rsidR="00BF03AA" w:rsidRPr="00326E55" w:rsidRDefault="00FB452D">
            <w:pPr>
              <w:pStyle w:val="P68B1DB1-Normal121"/>
              <w:spacing w:after="0" w:line="240" w:lineRule="auto"/>
              <w:rPr>
                <w:noProof/>
                <w:spacing w:val="-6"/>
                <w:lang w:val="sk-SK"/>
              </w:rPr>
            </w:pPr>
            <w:r w:rsidRPr="00326E55">
              <w:rPr>
                <w:noProof/>
                <w:spacing w:val="-6"/>
                <w:lang w:val="sk-SK"/>
              </w:rPr>
              <w:t>Investícia 1.4.3 – Prijatie rozšírenia platformových služieb PagoPA</w:t>
            </w:r>
            <w:r w:rsidR="00326E55" w:rsidRPr="00326E55">
              <w:rPr>
                <w:noProof/>
                <w:spacing w:val="-6"/>
                <w:lang w:val="sk-SK"/>
              </w:rPr>
              <w:t xml:space="preserve"> a </w:t>
            </w:r>
            <w:r w:rsidRPr="00326E55">
              <w:rPr>
                <w:noProof/>
                <w:spacing w:val="-6"/>
                <w:lang w:val="sk-SK"/>
              </w:rPr>
              <w:t>aplikácie „IO“</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8EC65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5CC602" w14:textId="77777777" w:rsidR="00BF03AA" w:rsidRPr="00326E55" w:rsidRDefault="00FB452D">
            <w:pPr>
              <w:pStyle w:val="P68B1DB1-Normal121"/>
              <w:spacing w:after="0" w:line="240" w:lineRule="auto"/>
              <w:rPr>
                <w:noProof/>
                <w:spacing w:val="-6"/>
                <w:lang w:val="sk-SK"/>
              </w:rPr>
            </w:pPr>
            <w:r w:rsidRPr="00326E55">
              <w:rPr>
                <w:noProof/>
                <w:spacing w:val="-6"/>
                <w:lang w:val="sk-SK"/>
              </w:rPr>
              <w:t>Rozšírenie využívania platformových služieb PagoPA T1</w:t>
            </w:r>
          </w:p>
        </w:tc>
      </w:tr>
      <w:tr w:rsidR="00BF03AA" w:rsidRPr="00326E55" w14:paraId="03C31488"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61448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8DF8A9" w14:textId="4A95C2D4" w:rsidR="00BF03AA" w:rsidRPr="00326E55" w:rsidRDefault="00FB452D">
            <w:pPr>
              <w:pStyle w:val="P68B1DB1-Normal121"/>
              <w:spacing w:after="0" w:line="240" w:lineRule="auto"/>
              <w:rPr>
                <w:noProof/>
                <w:spacing w:val="-6"/>
                <w:lang w:val="sk-SK"/>
              </w:rPr>
            </w:pPr>
            <w:r w:rsidRPr="00326E55">
              <w:rPr>
                <w:noProof/>
                <w:spacing w:val="-6"/>
                <w:lang w:val="sk-SK"/>
              </w:rPr>
              <w:t>Investícia 1.4.3 – Prijatie rozšírenia platformových služieb PagoPA</w:t>
            </w:r>
            <w:r w:rsidR="00326E55" w:rsidRPr="00326E55">
              <w:rPr>
                <w:noProof/>
                <w:spacing w:val="-6"/>
                <w:lang w:val="sk-SK"/>
              </w:rPr>
              <w:t xml:space="preserve"> a </w:t>
            </w:r>
            <w:r w:rsidRPr="00326E55">
              <w:rPr>
                <w:noProof/>
                <w:spacing w:val="-6"/>
                <w:lang w:val="sk-SK"/>
              </w:rPr>
              <w:t>aplikácie „IO“</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891F2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7DA22B" w14:textId="77777777" w:rsidR="00BF03AA" w:rsidRPr="00326E55" w:rsidRDefault="00FB452D">
            <w:pPr>
              <w:pStyle w:val="P68B1DB1-Normal121"/>
              <w:spacing w:after="0" w:line="240" w:lineRule="auto"/>
              <w:rPr>
                <w:noProof/>
                <w:spacing w:val="-6"/>
                <w:lang w:val="sk-SK"/>
              </w:rPr>
            </w:pPr>
            <w:r w:rsidRPr="00326E55">
              <w:rPr>
                <w:noProof/>
                <w:spacing w:val="-6"/>
                <w:lang w:val="sk-SK"/>
              </w:rPr>
              <w:t>Rozšírenie adopcie aplikácie T1</w:t>
            </w:r>
          </w:p>
        </w:tc>
      </w:tr>
      <w:tr w:rsidR="00BF03AA" w:rsidRPr="00326E55" w14:paraId="18BBA44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74E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95993C"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1.4.5 – Digitalizácia verejných oznamov</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24592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7D1C83" w14:textId="77777777" w:rsidR="00BF03AA" w:rsidRPr="00326E55" w:rsidRDefault="00FB452D">
            <w:pPr>
              <w:pStyle w:val="P68B1DB1-Normal121"/>
              <w:spacing w:after="0" w:line="240" w:lineRule="auto"/>
              <w:rPr>
                <w:noProof/>
                <w:spacing w:val="-6"/>
                <w:lang w:val="sk-SK"/>
              </w:rPr>
            </w:pPr>
            <w:r w:rsidRPr="00326E55">
              <w:rPr>
                <w:noProof/>
                <w:spacing w:val="-6"/>
                <w:lang w:val="sk-SK"/>
              </w:rPr>
              <w:t>Rozšírenie počtu digitálnych verejných oznámení T1</w:t>
            </w:r>
          </w:p>
        </w:tc>
      </w:tr>
      <w:tr w:rsidR="00BF03AA" w:rsidRPr="00326E55" w14:paraId="5A4E2DA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9A3E1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129</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4BD8D5"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1.6.1 – Digitalizácia ministerstva vnútra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CA485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44CBE0" w14:textId="79894580" w:rsidR="00BF03AA" w:rsidRPr="00326E55" w:rsidRDefault="00FB452D">
            <w:pPr>
              <w:pStyle w:val="P68B1DB1-Normal121"/>
              <w:spacing w:after="0" w:line="240" w:lineRule="auto"/>
              <w:rPr>
                <w:noProof/>
                <w:spacing w:val="-6"/>
                <w:lang w:val="sk-SK"/>
              </w:rPr>
            </w:pPr>
            <w:r w:rsidRPr="00326E55">
              <w:rPr>
                <w:noProof/>
                <w:spacing w:val="-6"/>
                <w:lang w:val="sk-SK"/>
              </w:rPr>
              <w:t>Ministerstvo vnútra – Úplne rekonštruované</w:t>
            </w:r>
            <w:r w:rsidR="00326E55" w:rsidRPr="00326E55">
              <w:rPr>
                <w:noProof/>
                <w:spacing w:val="-6"/>
                <w:lang w:val="sk-SK"/>
              </w:rPr>
              <w:t xml:space="preserve"> a </w:t>
            </w:r>
            <w:r w:rsidRPr="00326E55">
              <w:rPr>
                <w:noProof/>
                <w:spacing w:val="-6"/>
                <w:lang w:val="sk-SK"/>
              </w:rPr>
              <w:t>digitalizované procesy T1</w:t>
            </w:r>
          </w:p>
        </w:tc>
      </w:tr>
      <w:tr w:rsidR="00BF03AA" w:rsidRPr="00326E55" w14:paraId="097B739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3A8BB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130</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0E540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1.6.2 – Digitalizácia ministerstva </w:t>
            </w:r>
            <w:r w:rsidRPr="00326E55">
              <w:rPr>
                <w:noProof/>
                <w:spacing w:val="-6"/>
                <w:lang w:val="sk-SK"/>
              </w:rPr>
              <w:t>spravodlivosti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BA700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679994" w14:textId="77777777" w:rsidR="00BF03AA" w:rsidRPr="00326E55" w:rsidRDefault="00FB452D">
            <w:pPr>
              <w:pStyle w:val="P68B1DB1-Normal121"/>
              <w:spacing w:after="0" w:line="240" w:lineRule="auto"/>
              <w:rPr>
                <w:noProof/>
                <w:spacing w:val="-6"/>
                <w:lang w:val="sk-SK"/>
              </w:rPr>
            </w:pPr>
            <w:r w:rsidRPr="00326E55">
              <w:rPr>
                <w:noProof/>
                <w:spacing w:val="-6"/>
                <w:lang w:val="sk-SK"/>
              </w:rPr>
              <w:t>Digitalizované súdne spisy T1</w:t>
            </w:r>
          </w:p>
        </w:tc>
      </w:tr>
      <w:tr w:rsidR="00BF03AA" w:rsidRPr="00326E55" w14:paraId="05A6CEAE"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0F5EB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131</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B1AF6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1.6.2 – Digitalizácia ministerstva spravodlivosti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A203B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755766" w14:textId="77777777" w:rsidR="00BF03AA" w:rsidRPr="00326E55" w:rsidRDefault="00FB452D">
            <w:pPr>
              <w:pStyle w:val="P68B1DB1-Normal121"/>
              <w:spacing w:after="0" w:line="240" w:lineRule="auto"/>
              <w:rPr>
                <w:noProof/>
                <w:spacing w:val="-6"/>
                <w:lang w:val="sk-SK"/>
              </w:rPr>
            </w:pPr>
            <w:r w:rsidRPr="00326E55">
              <w:rPr>
                <w:noProof/>
                <w:spacing w:val="-6"/>
                <w:lang w:val="sk-SK"/>
              </w:rPr>
              <w:t>Vedomostné systémy justičného dátového jazera T1</w:t>
            </w:r>
          </w:p>
        </w:tc>
      </w:tr>
      <w:tr w:rsidR="00BF03AA" w:rsidRPr="00326E55" w14:paraId="0A94E2F2"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53AEE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132</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695E30" w14:textId="7C1431C1" w:rsidR="00BF03AA" w:rsidRPr="00326E55" w:rsidRDefault="00FB452D">
            <w:pPr>
              <w:pStyle w:val="P68B1DB1-Normal121"/>
              <w:spacing w:after="0" w:line="240" w:lineRule="auto"/>
              <w:rPr>
                <w:noProof/>
                <w:spacing w:val="-6"/>
                <w:lang w:val="sk-SK"/>
              </w:rPr>
            </w:pPr>
            <w:r w:rsidRPr="00326E55">
              <w:rPr>
                <w:noProof/>
                <w:spacing w:val="-6"/>
                <w:lang w:val="sk-SK"/>
              </w:rPr>
              <w:t>Investícia 1.6.3 – Digitalizácia Národného inštitútu sociálneho z</w:t>
            </w:r>
            <w:r w:rsidRPr="00326E55">
              <w:rPr>
                <w:noProof/>
                <w:spacing w:val="-6"/>
                <w:lang w:val="sk-SK"/>
              </w:rPr>
              <w:t>abezpečenia (INPS)</w:t>
            </w:r>
            <w:r w:rsidR="00326E55" w:rsidRPr="00326E55">
              <w:rPr>
                <w:noProof/>
                <w:spacing w:val="-6"/>
                <w:lang w:val="sk-SK"/>
              </w:rPr>
              <w:t xml:space="preserve"> a </w:t>
            </w:r>
            <w:r w:rsidRPr="00326E55">
              <w:rPr>
                <w:noProof/>
                <w:spacing w:val="-6"/>
                <w:lang w:val="sk-SK"/>
              </w:rPr>
              <w:t>Národného inštitútu poistenia proti pracovným úrazom (INAIL)</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4F069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7BBCC2E" w14:textId="77777777" w:rsidR="00BF03AA" w:rsidRPr="00326E55" w:rsidRDefault="00FB452D">
            <w:pPr>
              <w:pStyle w:val="P68B1DB1-Normal121"/>
              <w:spacing w:after="0" w:line="240" w:lineRule="auto"/>
              <w:rPr>
                <w:noProof/>
                <w:spacing w:val="-6"/>
                <w:lang w:val="sk-SK"/>
              </w:rPr>
            </w:pPr>
            <w:r w:rsidRPr="00326E55">
              <w:rPr>
                <w:noProof/>
                <w:spacing w:val="-6"/>
                <w:lang w:val="sk-SK"/>
              </w:rPr>
              <w:t>INPS – služby/obsah T2 „Jedno kliknutie podľa návrhu“</w:t>
            </w:r>
          </w:p>
        </w:tc>
      </w:tr>
      <w:tr w:rsidR="00BF03AA" w:rsidRPr="00326E55" w14:paraId="7F3D1B0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D3166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133</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0F9256" w14:textId="1668BE7B" w:rsidR="00BF03AA" w:rsidRPr="00326E55" w:rsidRDefault="00FB452D">
            <w:pPr>
              <w:pStyle w:val="P68B1DB1-Normal121"/>
              <w:spacing w:after="0" w:line="240" w:lineRule="auto"/>
              <w:rPr>
                <w:noProof/>
                <w:spacing w:val="-6"/>
                <w:lang w:val="sk-SK"/>
              </w:rPr>
            </w:pPr>
            <w:r w:rsidRPr="00326E55">
              <w:rPr>
                <w:noProof/>
                <w:spacing w:val="-6"/>
                <w:lang w:val="sk-SK"/>
              </w:rPr>
              <w:t>Investícia 1.6.3 – Digitalizácia Národného inštitútu sociálneho zabezpečenia (INPS)</w:t>
            </w:r>
            <w:r w:rsidR="00326E55" w:rsidRPr="00326E55">
              <w:rPr>
                <w:noProof/>
                <w:spacing w:val="-6"/>
                <w:lang w:val="sk-SK"/>
              </w:rPr>
              <w:t xml:space="preserve"> a </w:t>
            </w:r>
            <w:r w:rsidRPr="00326E55">
              <w:rPr>
                <w:noProof/>
                <w:spacing w:val="-6"/>
                <w:lang w:val="sk-SK"/>
              </w:rPr>
              <w:t xml:space="preserve">Národného </w:t>
            </w:r>
            <w:r w:rsidRPr="00326E55">
              <w:rPr>
                <w:noProof/>
                <w:spacing w:val="-6"/>
                <w:lang w:val="sk-SK"/>
              </w:rPr>
              <w:t>inštitútu poistenia proti pracovným úrazom (INAIL)</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6DBF1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47B023" w14:textId="4641786A" w:rsidR="00BF03AA" w:rsidRPr="00326E55" w:rsidRDefault="00FB452D">
            <w:pPr>
              <w:pStyle w:val="P68B1DB1-Normal121"/>
              <w:spacing w:after="0" w:line="240" w:lineRule="auto"/>
              <w:rPr>
                <w:noProof/>
                <w:spacing w:val="-6"/>
                <w:lang w:val="sk-SK"/>
              </w:rPr>
            </w:pPr>
            <w:r w:rsidRPr="00326E55">
              <w:rPr>
                <w:noProof/>
                <w:spacing w:val="-6"/>
                <w:lang w:val="sk-SK"/>
              </w:rPr>
              <w:t>INPS – Zamestnanci so zlepšenými zručnosťami</w:t>
            </w:r>
            <w:r w:rsidR="00326E55" w:rsidRPr="00326E55">
              <w:rPr>
                <w:noProof/>
                <w:spacing w:val="-6"/>
                <w:lang w:val="sk-SK"/>
              </w:rPr>
              <w:t xml:space="preserve"> v </w:t>
            </w:r>
            <w:r w:rsidRPr="00326E55">
              <w:rPr>
                <w:noProof/>
                <w:spacing w:val="-6"/>
                <w:lang w:val="sk-SK"/>
              </w:rPr>
              <w:t>oblasti informačných</w:t>
            </w:r>
            <w:r w:rsidR="00326E55" w:rsidRPr="00326E55">
              <w:rPr>
                <w:noProof/>
                <w:spacing w:val="-6"/>
                <w:lang w:val="sk-SK"/>
              </w:rPr>
              <w:t xml:space="preserve"> a </w:t>
            </w:r>
            <w:r w:rsidRPr="00326E55">
              <w:rPr>
                <w:noProof/>
                <w:spacing w:val="-6"/>
                <w:lang w:val="sk-SK"/>
              </w:rPr>
              <w:t>komunikačných technológií (IKT) T2</w:t>
            </w:r>
          </w:p>
        </w:tc>
      </w:tr>
      <w:tr w:rsidR="00BF03AA" w:rsidRPr="00326E55" w14:paraId="37A0068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44015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F3456F" w14:textId="41297838" w:rsidR="00BF03AA" w:rsidRPr="00326E55" w:rsidRDefault="00FB452D">
            <w:pPr>
              <w:pStyle w:val="P68B1DB1-Normal121"/>
              <w:spacing w:after="0" w:line="240" w:lineRule="auto"/>
              <w:rPr>
                <w:noProof/>
                <w:spacing w:val="-6"/>
                <w:lang w:val="sk-SK"/>
              </w:rPr>
            </w:pPr>
            <w:r w:rsidRPr="00326E55">
              <w:rPr>
                <w:noProof/>
                <w:spacing w:val="-6"/>
                <w:lang w:val="sk-SK"/>
              </w:rPr>
              <w:t>Investícia 1.6.3 – Digitalizácia Národného inštitútu sociálneho zabezpečenia (INPS)</w:t>
            </w:r>
            <w:r w:rsidR="00326E55" w:rsidRPr="00326E55">
              <w:rPr>
                <w:noProof/>
                <w:spacing w:val="-6"/>
                <w:lang w:val="sk-SK"/>
              </w:rPr>
              <w:t xml:space="preserve"> a </w:t>
            </w:r>
            <w:r w:rsidRPr="00326E55">
              <w:rPr>
                <w:noProof/>
                <w:spacing w:val="-6"/>
                <w:lang w:val="sk-SK"/>
              </w:rPr>
              <w:t>Národného inštitútu poistenia proti pracovným úrazom (INAIL)</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BB985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CFA2AA" w14:textId="6594585C" w:rsidR="00BF03AA" w:rsidRPr="00326E55" w:rsidRDefault="00FB452D">
            <w:pPr>
              <w:pStyle w:val="P68B1DB1-Normal121"/>
              <w:spacing w:after="0" w:line="240" w:lineRule="auto"/>
              <w:rPr>
                <w:noProof/>
                <w:spacing w:val="-6"/>
                <w:lang w:val="sk-SK"/>
              </w:rPr>
            </w:pPr>
            <w:r w:rsidRPr="00326E55">
              <w:rPr>
                <w:noProof/>
                <w:spacing w:val="-6"/>
                <w:lang w:val="sk-SK"/>
              </w:rPr>
              <w:t>INAIL – Úplne rekonštruované</w:t>
            </w:r>
            <w:r w:rsidR="00326E55" w:rsidRPr="00326E55">
              <w:rPr>
                <w:noProof/>
                <w:spacing w:val="-6"/>
                <w:lang w:val="sk-SK"/>
              </w:rPr>
              <w:t xml:space="preserve"> a </w:t>
            </w:r>
            <w:r w:rsidRPr="00326E55">
              <w:rPr>
                <w:noProof/>
                <w:spacing w:val="-6"/>
                <w:lang w:val="sk-SK"/>
              </w:rPr>
              <w:t>digitalizované procesy/služby T1</w:t>
            </w:r>
          </w:p>
        </w:tc>
      </w:tr>
      <w:tr w:rsidR="00BF03AA" w:rsidRPr="00326E55" w14:paraId="7D025D6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287BA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1BCDF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1.6.4 – Digitalizácia ministerstva obrany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B96D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BBC85C" w14:textId="77777777" w:rsidR="00BF03AA" w:rsidRPr="00326E55" w:rsidRDefault="00FB452D">
            <w:pPr>
              <w:pStyle w:val="P68B1DB1-Normal121"/>
              <w:spacing w:after="0" w:line="240" w:lineRule="auto"/>
              <w:rPr>
                <w:noProof/>
                <w:spacing w:val="-6"/>
                <w:lang w:val="sk-SK"/>
              </w:rPr>
            </w:pPr>
            <w:r w:rsidRPr="00326E55">
              <w:rPr>
                <w:noProof/>
                <w:spacing w:val="-6"/>
                <w:lang w:val="sk-SK"/>
              </w:rPr>
              <w:t>Ministerstvo obrany – Digitalizácia postupov T1</w:t>
            </w:r>
          </w:p>
        </w:tc>
      </w:tr>
      <w:tr w:rsidR="00BF03AA" w:rsidRPr="00326E55" w14:paraId="62F6156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C5BBB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w:t>
            </w:r>
            <w:r w:rsidRPr="00326E55">
              <w:rPr>
                <w:noProof/>
                <w:spacing w:val="-6"/>
                <w:lang w:val="sk-SK"/>
              </w:rPr>
              <w:t xml:space="preserve"> – 136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BF3505"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1.6.4 – Digitalizácia ministerstva obrany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61DCF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674CB2" w14:textId="77777777" w:rsidR="00BF03AA" w:rsidRPr="00326E55" w:rsidRDefault="00FB452D">
            <w:pPr>
              <w:pStyle w:val="P68B1DB1-Normal121"/>
              <w:spacing w:after="0" w:line="240" w:lineRule="auto"/>
              <w:rPr>
                <w:noProof/>
                <w:spacing w:val="-6"/>
                <w:lang w:val="sk-SK"/>
              </w:rPr>
            </w:pPr>
            <w:r w:rsidRPr="00326E55">
              <w:rPr>
                <w:noProof/>
                <w:spacing w:val="-6"/>
                <w:lang w:val="sk-SK"/>
              </w:rPr>
              <w:t>Ministerstvo obrany – Digitalizácia certifikátov T1</w:t>
            </w:r>
          </w:p>
        </w:tc>
      </w:tr>
      <w:tr w:rsidR="00BF03AA" w:rsidRPr="00326E55" w14:paraId="7356E5CD"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9F772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AB7E4C"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1.6.4 – Digitalizácia ministerstva obrany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18DCA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D52771" w14:textId="59CB43F4" w:rsidR="00BF03AA" w:rsidRPr="00326E55" w:rsidRDefault="00FB452D">
            <w:pPr>
              <w:pStyle w:val="P68B1DB1-Normal121"/>
              <w:spacing w:after="0" w:line="240" w:lineRule="auto"/>
              <w:rPr>
                <w:noProof/>
                <w:spacing w:val="-6"/>
                <w:lang w:val="sk-SK"/>
              </w:rPr>
            </w:pPr>
            <w:r w:rsidRPr="00326E55">
              <w:rPr>
                <w:noProof/>
                <w:spacing w:val="-6"/>
                <w:lang w:val="sk-SK"/>
              </w:rPr>
              <w:t>Ministerstvo obrany – spustenie inštitucionálnych webových portálov</w:t>
            </w:r>
            <w:r w:rsidR="00326E55" w:rsidRPr="00326E55">
              <w:rPr>
                <w:noProof/>
                <w:spacing w:val="-6"/>
                <w:lang w:val="sk-SK"/>
              </w:rPr>
              <w:t xml:space="preserve"> a </w:t>
            </w:r>
            <w:r w:rsidRPr="00326E55">
              <w:rPr>
                <w:noProof/>
                <w:spacing w:val="-6"/>
                <w:lang w:val="sk-SK"/>
              </w:rPr>
              <w:t>intranetových portálov</w:t>
            </w:r>
          </w:p>
        </w:tc>
      </w:tr>
      <w:tr w:rsidR="00BF03AA" w:rsidRPr="00326E55" w14:paraId="046EAD15"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BADBD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8F9B9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1.6.4 – Digitalizácia ministerstva obrany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50F8A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60D24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Ministerstvo obrany – Migrácia aplikácií, ktoré nemajú kritický význam, do riešenia na úplnú ochranu informácií prostredníctvom otvorenosti infraštruktúry </w:t>
            </w:r>
            <w:r w:rsidRPr="00326E55">
              <w:rPr>
                <w:noProof/>
                <w:spacing w:val="-6"/>
                <w:lang w:val="sk-SK"/>
              </w:rPr>
              <w:t>(S.C.I.P.I.O.) T1</w:t>
            </w:r>
          </w:p>
        </w:tc>
      </w:tr>
      <w:tr w:rsidR="00BF03AA" w:rsidRPr="00326E55" w14:paraId="67332DCB"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F2AB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29</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9F1362" w14:textId="63023924" w:rsidR="00BF03AA" w:rsidRPr="00326E55" w:rsidRDefault="00FB452D">
            <w:pPr>
              <w:pStyle w:val="P68B1DB1-Normal121"/>
              <w:spacing w:after="0" w:line="240" w:lineRule="auto"/>
              <w:rPr>
                <w:noProof/>
                <w:spacing w:val="-6"/>
                <w:lang w:val="sk-SK"/>
              </w:rPr>
            </w:pPr>
            <w:r w:rsidRPr="00326E55">
              <w:rPr>
                <w:noProof/>
                <w:spacing w:val="-6"/>
                <w:lang w:val="sk-SK"/>
              </w:rPr>
              <w:t>Investícia 5.2: Konkurencieschopnosť</w:t>
            </w:r>
            <w:r w:rsidR="00326E55" w:rsidRPr="00326E55">
              <w:rPr>
                <w:noProof/>
                <w:spacing w:val="-6"/>
                <w:lang w:val="sk-SK"/>
              </w:rPr>
              <w:t xml:space="preserve"> a </w:t>
            </w:r>
            <w:r w:rsidRPr="00326E55">
              <w:rPr>
                <w:noProof/>
                <w:spacing w:val="-6"/>
                <w:lang w:val="sk-SK"/>
              </w:rPr>
              <w:t>odolnosť dodávateľských reťazcov</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B7452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E3FB7A" w14:textId="290A0CC3" w:rsidR="00BF03AA" w:rsidRPr="00326E55" w:rsidRDefault="00FB452D">
            <w:pPr>
              <w:pStyle w:val="P68B1DB1-Normal121"/>
              <w:spacing w:after="0" w:line="240" w:lineRule="auto"/>
              <w:rPr>
                <w:noProof/>
                <w:spacing w:val="-6"/>
                <w:lang w:val="sk-SK"/>
              </w:rPr>
            </w:pPr>
            <w:r w:rsidRPr="00326E55">
              <w:rPr>
                <w:noProof/>
                <w:spacing w:val="-6"/>
                <w:lang w:val="sk-SK"/>
              </w:rPr>
              <w:t>Schválené zmluvy</w:t>
            </w:r>
            <w:r w:rsidR="00326E55" w:rsidRPr="00326E55">
              <w:rPr>
                <w:noProof/>
                <w:spacing w:val="-6"/>
                <w:lang w:val="sk-SK"/>
              </w:rPr>
              <w:t xml:space="preserve"> o </w:t>
            </w:r>
            <w:r w:rsidRPr="00326E55">
              <w:rPr>
                <w:noProof/>
                <w:spacing w:val="-6"/>
                <w:lang w:val="sk-SK"/>
              </w:rPr>
              <w:t>vývoji</w:t>
            </w:r>
          </w:p>
        </w:tc>
      </w:tr>
      <w:tr w:rsidR="00BF03AA" w:rsidRPr="00326E55" w14:paraId="2DCAD82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70A09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15bis</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CE4EAC" w14:textId="1313D3C8" w:rsidR="00BF03AA" w:rsidRPr="00326E55" w:rsidRDefault="00FB452D">
            <w:pPr>
              <w:pStyle w:val="P68B1DB1-Normal121"/>
              <w:spacing w:after="0" w:line="240" w:lineRule="auto"/>
              <w:rPr>
                <w:noProof/>
                <w:spacing w:val="-6"/>
                <w:lang w:val="sk-SK"/>
              </w:rPr>
            </w:pPr>
            <w:r w:rsidRPr="00326E55">
              <w:rPr>
                <w:noProof/>
                <w:spacing w:val="-6"/>
                <w:lang w:val="sk-SK"/>
              </w:rPr>
              <w:t>Reforma 1.2 Národný program odpadového hospodárstva:  Investícia 1.1 – Realizácia nových zariadení na nakladan</w:t>
            </w:r>
            <w:r w:rsidRPr="00326E55">
              <w:rPr>
                <w:noProof/>
                <w:spacing w:val="-6"/>
                <w:lang w:val="sk-SK"/>
              </w:rPr>
              <w:t>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modernizácia existujúcich zariadení</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ACF9B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F3FA01" w14:textId="77777777" w:rsidR="00BF03AA" w:rsidRPr="00326E55" w:rsidRDefault="00FB452D">
            <w:pPr>
              <w:pStyle w:val="P68B1DB1-Normal121"/>
              <w:spacing w:after="0" w:line="240" w:lineRule="auto"/>
              <w:rPr>
                <w:noProof/>
                <w:spacing w:val="-6"/>
                <w:lang w:val="sk-SK"/>
              </w:rPr>
            </w:pPr>
            <w:r w:rsidRPr="00326E55">
              <w:rPr>
                <w:noProof/>
                <w:spacing w:val="-6"/>
                <w:lang w:val="sk-SK"/>
              </w:rPr>
              <w:t>Zníženie počtu nelegálnych skládok (T2)</w:t>
            </w:r>
          </w:p>
        </w:tc>
      </w:tr>
      <w:tr w:rsidR="00BF03AA" w:rsidRPr="00326E55" w14:paraId="1F6564C2"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D1FC5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15ter</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CAA910" w14:textId="590A95AE" w:rsidR="00BF03AA" w:rsidRPr="00326E55" w:rsidRDefault="00FB452D">
            <w:pPr>
              <w:pStyle w:val="P68B1DB1-Normal121"/>
              <w:spacing w:after="0" w:line="240" w:lineRule="auto"/>
              <w:rPr>
                <w:noProof/>
                <w:spacing w:val="-6"/>
                <w:lang w:val="sk-SK"/>
              </w:rPr>
            </w:pPr>
            <w:r w:rsidRPr="00326E55">
              <w:rPr>
                <w:noProof/>
                <w:spacing w:val="-6"/>
                <w:lang w:val="sk-SK"/>
              </w:rPr>
              <w:t>Reforma 1.2 Národný program odpadového hospodárstva:  Investícia 1.1 – Realizácia nových zariadení na nakladanie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modernizácia existujú</w:t>
            </w:r>
            <w:r w:rsidRPr="00326E55">
              <w:rPr>
                <w:noProof/>
                <w:spacing w:val="-6"/>
                <w:lang w:val="sk-SK"/>
              </w:rPr>
              <w:t>cich zariadení</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C4B6A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9F4D4D" w14:textId="7CA398C1" w:rsidR="00BF03AA" w:rsidRPr="00326E55" w:rsidRDefault="00FB452D">
            <w:pPr>
              <w:pStyle w:val="P68B1DB1-Normal121"/>
              <w:spacing w:after="0" w:line="240" w:lineRule="auto"/>
              <w:rPr>
                <w:noProof/>
                <w:spacing w:val="-6"/>
                <w:lang w:val="sk-SK"/>
              </w:rPr>
            </w:pPr>
            <w:r w:rsidRPr="00326E55">
              <w:rPr>
                <w:noProof/>
                <w:spacing w:val="-6"/>
                <w:lang w:val="sk-SK"/>
              </w:rPr>
              <w:t>Regionálne rozdiely</w:t>
            </w:r>
            <w:r w:rsidR="00326E55" w:rsidRPr="00326E55">
              <w:rPr>
                <w:noProof/>
                <w:spacing w:val="-6"/>
                <w:lang w:val="sk-SK"/>
              </w:rPr>
              <w:t xml:space="preserve"> v </w:t>
            </w:r>
            <w:r w:rsidRPr="00326E55">
              <w:rPr>
                <w:noProof/>
                <w:spacing w:val="-6"/>
                <w:lang w:val="sk-SK"/>
              </w:rPr>
              <w:t>triedenom zbere</w:t>
            </w:r>
          </w:p>
        </w:tc>
      </w:tr>
      <w:tr w:rsidR="00BF03AA" w:rsidRPr="00326E55" w14:paraId="3E1355A6"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D71B8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15 kv.</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47D499" w14:textId="22E1E3B5" w:rsidR="00BF03AA" w:rsidRPr="00326E55" w:rsidRDefault="00FB452D">
            <w:pPr>
              <w:pStyle w:val="P68B1DB1-Normal121"/>
              <w:spacing w:after="0" w:line="240" w:lineRule="auto"/>
              <w:rPr>
                <w:noProof/>
                <w:spacing w:val="-6"/>
                <w:lang w:val="sk-SK"/>
              </w:rPr>
            </w:pPr>
            <w:r w:rsidRPr="00326E55">
              <w:rPr>
                <w:noProof/>
                <w:spacing w:val="-6"/>
                <w:lang w:val="sk-SK"/>
              </w:rPr>
              <w:t>Investícia 1.1 – Realizácia nových zariadení na nakladanie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modernizácia existujúcich zariadení</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B3C12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05F1A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účinnosti povinnosti triedeného zberu biologického </w:t>
            </w:r>
            <w:r w:rsidRPr="00326E55">
              <w:rPr>
                <w:noProof/>
                <w:spacing w:val="-6"/>
                <w:lang w:val="sk-SK"/>
              </w:rPr>
              <w:t>odpadu</w:t>
            </w:r>
          </w:p>
        </w:tc>
      </w:tr>
      <w:tr w:rsidR="00BF03AA" w:rsidRPr="00326E55" w14:paraId="7B12B243"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C9A8E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62945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Vývoj rýchlych systémov hromadnej dopravy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E0C9C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3AAD0A1" w14:textId="6AF91B41" w:rsidR="00BF03AA" w:rsidRPr="00326E55" w:rsidRDefault="00FB452D">
            <w:pPr>
              <w:pStyle w:val="P68B1DB1-Normal122"/>
              <w:spacing w:after="0" w:line="240" w:lineRule="auto"/>
              <w:rPr>
                <w:noProof/>
                <w:spacing w:val="-6"/>
                <w:lang w:val="sk-SK"/>
              </w:rPr>
            </w:pPr>
            <w:r w:rsidRPr="00326E55">
              <w:rPr>
                <w:noProof/>
                <w:color w:val="006100"/>
                <w:spacing w:val="-6"/>
                <w:lang w:val="sk-SK"/>
              </w:rPr>
              <w:t>Zadanie</w:t>
            </w:r>
            <w:r w:rsidRPr="00326E55">
              <w:rPr>
                <w:noProof/>
                <w:color w:val="000000"/>
                <w:spacing w:val="-6"/>
                <w:lang w:val="sk-SK"/>
              </w:rPr>
              <w:t xml:space="preserve"> </w:t>
            </w:r>
            <w:r w:rsidRPr="00326E55">
              <w:rPr>
                <w:noProof/>
                <w:color w:val="006100"/>
                <w:spacing w:val="-6"/>
                <w:lang w:val="sk-SK"/>
              </w:rPr>
              <w:t>všetkých verejných zákaziek na vybudovanie metra, električkovej, trolejbusovej</w:t>
            </w:r>
            <w:r w:rsidR="00326E55" w:rsidRPr="00326E55">
              <w:rPr>
                <w:noProof/>
                <w:color w:val="006100"/>
                <w:spacing w:val="-6"/>
                <w:lang w:val="sk-SK"/>
              </w:rPr>
              <w:t xml:space="preserve"> a </w:t>
            </w:r>
            <w:r w:rsidRPr="00326E55">
              <w:rPr>
                <w:noProof/>
                <w:color w:val="006100"/>
                <w:spacing w:val="-6"/>
                <w:lang w:val="sk-SK"/>
              </w:rPr>
              <w:t>lanovej metropolitnej oblasti</w:t>
            </w:r>
          </w:p>
        </w:tc>
      </w:tr>
      <w:tr w:rsidR="00BF03AA" w:rsidRPr="00326E55" w14:paraId="0469521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4DA54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32</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C9A4A1" w14:textId="15F6E93C"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4.4.1: Posilnenie regionálneho </w:t>
            </w:r>
            <w:r w:rsidRPr="00326E55">
              <w:rPr>
                <w:noProof/>
                <w:spacing w:val="-6"/>
                <w:lang w:val="sk-SK"/>
              </w:rPr>
              <w:t>vozového parku verejnej autobusovej dopravy autobusmi</w:t>
            </w:r>
            <w:r w:rsidR="00326E55" w:rsidRPr="00326E55">
              <w:rPr>
                <w:noProof/>
                <w:spacing w:val="-6"/>
                <w:lang w:val="sk-SK"/>
              </w:rPr>
              <w:t xml:space="preserve"> s </w:t>
            </w:r>
            <w:r w:rsidRPr="00326E55">
              <w:rPr>
                <w:noProof/>
                <w:spacing w:val="-6"/>
                <w:lang w:val="sk-SK"/>
              </w:rPr>
              <w:t>nulovými emisiami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BD6B3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C5DAD8" w14:textId="3414741D"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posilnenie regionálneho vozového parku verejnej autobusovej dopravy</w:t>
            </w:r>
            <w:r w:rsidR="00326E55" w:rsidRPr="00326E55">
              <w:rPr>
                <w:noProof/>
                <w:spacing w:val="-6"/>
                <w:lang w:val="sk-SK"/>
              </w:rPr>
              <w:t xml:space="preserve"> s </w:t>
            </w:r>
            <w:r w:rsidRPr="00326E55">
              <w:rPr>
                <w:noProof/>
                <w:spacing w:val="-6"/>
                <w:lang w:val="sk-SK"/>
              </w:rPr>
              <w:t>nízkopodlažnými autobusmi</w:t>
            </w:r>
            <w:r w:rsidR="00326E55" w:rsidRPr="00326E55">
              <w:rPr>
                <w:noProof/>
                <w:spacing w:val="-6"/>
                <w:lang w:val="sk-SK"/>
              </w:rPr>
              <w:t xml:space="preserve"> s </w:t>
            </w:r>
            <w:r w:rsidRPr="00326E55">
              <w:rPr>
                <w:noProof/>
                <w:spacing w:val="-6"/>
                <w:lang w:val="sk-SK"/>
              </w:rPr>
              <w:t>nulovými emisiami</w:t>
            </w:r>
          </w:p>
        </w:tc>
      </w:tr>
      <w:tr w:rsidR="00BF03AA" w:rsidRPr="00326E55" w14:paraId="54B0F95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77FB42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2EBD37" w14:textId="59A6B1DA" w:rsidR="00BF03AA" w:rsidRPr="00326E55" w:rsidRDefault="00FB452D">
            <w:pPr>
              <w:pStyle w:val="P68B1DB1-Normal121"/>
              <w:spacing w:after="0" w:line="240" w:lineRule="auto"/>
              <w:rPr>
                <w:noProof/>
                <w:spacing w:val="-6"/>
                <w:lang w:val="sk-SK"/>
              </w:rPr>
            </w:pPr>
            <w:r w:rsidRPr="00326E55">
              <w:rPr>
                <w:noProof/>
                <w:spacing w:val="-6"/>
                <w:lang w:val="sk-SK"/>
              </w:rPr>
              <w:t>Investíc</w:t>
            </w:r>
            <w:r w:rsidRPr="00326E55">
              <w:rPr>
                <w:noProof/>
                <w:spacing w:val="-6"/>
                <w:lang w:val="sk-SK"/>
              </w:rPr>
              <w:t>ia 1.2 – Výstavba budov, rekvalifikácia</w:t>
            </w:r>
            <w:r w:rsidR="00326E55" w:rsidRPr="00326E55">
              <w:rPr>
                <w:noProof/>
                <w:spacing w:val="-6"/>
                <w:lang w:val="sk-SK"/>
              </w:rPr>
              <w:t xml:space="preserve"> a </w:t>
            </w:r>
            <w:r w:rsidRPr="00326E55">
              <w:rPr>
                <w:noProof/>
                <w:spacing w:val="-6"/>
                <w:lang w:val="sk-SK"/>
              </w:rPr>
              <w:t>posilnenie nehnuteľného majetku pri výkone spravodlivosti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1DD5A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A2603" w14:textId="3F08FEC5"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výstavbu nových budov, rekvalifikáciu</w:t>
            </w:r>
            <w:r w:rsidR="00326E55" w:rsidRPr="00326E55">
              <w:rPr>
                <w:noProof/>
                <w:spacing w:val="-6"/>
                <w:lang w:val="sk-SK"/>
              </w:rPr>
              <w:t xml:space="preserve"> a </w:t>
            </w:r>
            <w:r w:rsidRPr="00326E55">
              <w:rPr>
                <w:noProof/>
                <w:spacing w:val="-6"/>
                <w:lang w:val="sk-SK"/>
              </w:rPr>
              <w:t>posilnenie nehnuteľného majetku výkonu spravodlivosti podpisuje vere</w:t>
            </w:r>
            <w:r w:rsidRPr="00326E55">
              <w:rPr>
                <w:noProof/>
                <w:spacing w:val="-6"/>
                <w:lang w:val="sk-SK"/>
              </w:rPr>
              <w:t>jný obstarávateľ na základe verejného obstarávania.</w:t>
            </w:r>
          </w:p>
        </w:tc>
      </w:tr>
      <w:tr w:rsidR="00BF03AA" w:rsidRPr="00326E55" w14:paraId="5DE7955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5B281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33</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1D18B9" w14:textId="0329A436" w:rsidR="00BF03AA" w:rsidRPr="00326E55" w:rsidRDefault="00FB452D">
            <w:pPr>
              <w:pStyle w:val="P68B1DB1-Normal121"/>
              <w:spacing w:after="0" w:line="240" w:lineRule="auto"/>
              <w:rPr>
                <w:noProof/>
                <w:spacing w:val="-6"/>
                <w:lang w:val="sk-SK"/>
              </w:rPr>
            </w:pPr>
            <w:r w:rsidRPr="00326E55">
              <w:rPr>
                <w:noProof/>
                <w:spacing w:val="-6"/>
                <w:lang w:val="sk-SK"/>
              </w:rPr>
              <w:t>Investícia 4.3 Investície do odolnosti zavlažovacieho agrosystému pre lepšie hospodárenie</w:t>
            </w:r>
            <w:r w:rsidR="00326E55" w:rsidRPr="00326E55">
              <w:rPr>
                <w:noProof/>
                <w:spacing w:val="-6"/>
                <w:lang w:val="sk-SK"/>
              </w:rPr>
              <w:t xml:space="preserve"> s </w:t>
            </w:r>
            <w:r w:rsidRPr="00326E55">
              <w:rPr>
                <w:noProof/>
                <w:spacing w:val="-6"/>
                <w:lang w:val="sk-SK"/>
              </w:rPr>
              <w:t>vodnými zdrojmi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4A576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0827B2" w14:textId="3F8457E6" w:rsidR="00BF03AA" w:rsidRPr="00326E55" w:rsidRDefault="00FB452D">
            <w:pPr>
              <w:pStyle w:val="P68B1DB1-Normal121"/>
              <w:spacing w:after="0" w:line="240" w:lineRule="auto"/>
              <w:rPr>
                <w:noProof/>
                <w:spacing w:val="-6"/>
                <w:lang w:val="sk-SK"/>
              </w:rPr>
            </w:pPr>
            <w:r w:rsidRPr="00326E55">
              <w:rPr>
                <w:noProof/>
                <w:spacing w:val="-6"/>
                <w:lang w:val="sk-SK"/>
              </w:rPr>
              <w:t>Pridelenie finančných prostriedkov na všetky projekty zamerané na</w:t>
            </w:r>
            <w:r w:rsidRPr="00326E55">
              <w:rPr>
                <w:noProof/>
                <w:spacing w:val="-6"/>
                <w:lang w:val="sk-SK"/>
              </w:rPr>
              <w:t xml:space="preserve"> odolnosť zavlažovacieho agrosystému</w:t>
            </w:r>
            <w:r w:rsidR="00326E55" w:rsidRPr="00326E55">
              <w:rPr>
                <w:noProof/>
                <w:spacing w:val="-6"/>
                <w:lang w:val="sk-SK"/>
              </w:rPr>
              <w:t xml:space="preserve"> v </w:t>
            </w:r>
            <w:r w:rsidRPr="00326E55">
              <w:rPr>
                <w:noProof/>
                <w:spacing w:val="-6"/>
                <w:lang w:val="sk-SK"/>
              </w:rPr>
              <w:t>záujme lepšieho hospodárenia</w:t>
            </w:r>
            <w:r w:rsidR="00326E55" w:rsidRPr="00326E55">
              <w:rPr>
                <w:noProof/>
                <w:spacing w:val="-6"/>
                <w:lang w:val="sk-SK"/>
              </w:rPr>
              <w:t xml:space="preserve"> s </w:t>
            </w:r>
            <w:r w:rsidRPr="00326E55">
              <w:rPr>
                <w:noProof/>
                <w:spacing w:val="-6"/>
                <w:lang w:val="sk-SK"/>
              </w:rPr>
              <w:t>vodnými zdrojmi</w:t>
            </w:r>
          </w:p>
        </w:tc>
      </w:tr>
      <w:tr w:rsidR="00BF03AA" w:rsidRPr="00326E55" w14:paraId="03B1C09D"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58A42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9EA146" w14:textId="68164E1B" w:rsidR="00BF03AA" w:rsidRPr="00326E55" w:rsidRDefault="00FB452D">
            <w:pPr>
              <w:pStyle w:val="P68B1DB1-Normal121"/>
              <w:spacing w:after="0" w:line="240" w:lineRule="auto"/>
              <w:rPr>
                <w:noProof/>
                <w:spacing w:val="-6"/>
                <w:lang w:val="sk-SK"/>
              </w:rPr>
            </w:pPr>
            <w:r w:rsidRPr="00326E55">
              <w:rPr>
                <w:noProof/>
                <w:spacing w:val="-6"/>
                <w:lang w:val="sk-SK"/>
              </w:rPr>
              <w:t>Investícia 4.4 Investície do kanalizácie</w:t>
            </w:r>
            <w:r w:rsidR="00326E55" w:rsidRPr="00326E55">
              <w:rPr>
                <w:noProof/>
                <w:spacing w:val="-6"/>
                <w:lang w:val="sk-SK"/>
              </w:rPr>
              <w:t xml:space="preserve"> a </w:t>
            </w:r>
            <w:r w:rsidRPr="00326E55">
              <w:rPr>
                <w:noProof/>
                <w:spacing w:val="-6"/>
                <w:lang w:val="sk-SK"/>
              </w:rPr>
              <w:t>čistenia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9DAEE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4ACD45" w14:textId="57A4C6DA" w:rsidR="00BF03AA" w:rsidRPr="00326E55" w:rsidRDefault="00FB452D">
            <w:pPr>
              <w:pStyle w:val="P68B1DB1-Normal121"/>
              <w:spacing w:after="0" w:line="240" w:lineRule="auto"/>
              <w:rPr>
                <w:noProof/>
                <w:spacing w:val="-6"/>
                <w:lang w:val="sk-SK"/>
              </w:rPr>
            </w:pPr>
            <w:r w:rsidRPr="00326E55">
              <w:rPr>
                <w:noProof/>
                <w:spacing w:val="-6"/>
                <w:lang w:val="sk-SK"/>
              </w:rPr>
              <w:t>Zadanie všetkých verejných zákaziek na kanalizáciu</w:t>
            </w:r>
            <w:r w:rsidR="00326E55" w:rsidRPr="00326E55">
              <w:rPr>
                <w:noProof/>
                <w:spacing w:val="-6"/>
                <w:lang w:val="sk-SK"/>
              </w:rPr>
              <w:t xml:space="preserve"> a </w:t>
            </w:r>
            <w:r w:rsidRPr="00326E55">
              <w:rPr>
                <w:noProof/>
                <w:spacing w:val="-6"/>
                <w:lang w:val="sk-SK"/>
              </w:rPr>
              <w:t>čistenie</w:t>
            </w:r>
          </w:p>
        </w:tc>
      </w:tr>
      <w:tr w:rsidR="00BF03AA" w:rsidRPr="00326E55" w14:paraId="5655D17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36F3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3290E7" w14:textId="6E8C5ECC"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1.1 – </w:t>
            </w:r>
            <w:r w:rsidRPr="00326E55">
              <w:rPr>
                <w:noProof/>
                <w:spacing w:val="-6"/>
                <w:lang w:val="sk-SK"/>
              </w:rPr>
              <w:t>Vysokorýchlostné železničné spojenia na juhu pre osobnú</w:t>
            </w:r>
            <w:r w:rsidR="00326E55" w:rsidRPr="00326E55">
              <w:rPr>
                <w:noProof/>
                <w:spacing w:val="-6"/>
                <w:lang w:val="sk-SK"/>
              </w:rPr>
              <w:t xml:space="preserve"> a </w:t>
            </w:r>
            <w:r w:rsidRPr="00326E55">
              <w:rPr>
                <w:noProof/>
                <w:spacing w:val="-6"/>
                <w:lang w:val="sk-SK"/>
              </w:rPr>
              <w:t>nákladnú dopravu</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EDBA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1B45E8" w14:textId="77777777" w:rsidR="00BF03AA" w:rsidRPr="00326E55" w:rsidRDefault="00FB452D">
            <w:pPr>
              <w:pStyle w:val="P68B1DB1-Normal121"/>
              <w:spacing w:after="0" w:line="240" w:lineRule="auto"/>
              <w:rPr>
                <w:noProof/>
                <w:spacing w:val="-6"/>
                <w:lang w:val="sk-SK"/>
              </w:rPr>
            </w:pPr>
            <w:r w:rsidRPr="00326E55">
              <w:rPr>
                <w:noProof/>
                <w:spacing w:val="-6"/>
                <w:lang w:val="sk-SK"/>
              </w:rPr>
              <w:t>Zadanie zákazky na výstavbu vysokorýchlostnej železničnej trate na tratiach Salerno Reggio Calabria</w:t>
            </w:r>
          </w:p>
        </w:tc>
      </w:tr>
      <w:tr w:rsidR="00BF03AA" w:rsidRPr="00326E55" w14:paraId="24554B9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508EB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17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7F6123" w14:textId="01B8E0DD" w:rsidR="00BF03AA" w:rsidRPr="00326E55" w:rsidRDefault="00FB452D">
            <w:pPr>
              <w:pStyle w:val="P68B1DB1-Normal121"/>
              <w:spacing w:after="0" w:line="240" w:lineRule="auto"/>
              <w:rPr>
                <w:noProof/>
                <w:spacing w:val="-6"/>
                <w:lang w:val="sk-SK"/>
              </w:rPr>
            </w:pPr>
            <w:r w:rsidRPr="00326E55">
              <w:rPr>
                <w:noProof/>
                <w:spacing w:val="-6"/>
                <w:lang w:val="sk-SK"/>
              </w:rPr>
              <w:t>Investícia 1.7 – Modernizácia, elektrifikácia</w:t>
            </w:r>
            <w:r w:rsidR="00326E55" w:rsidRPr="00326E55">
              <w:rPr>
                <w:noProof/>
                <w:spacing w:val="-6"/>
                <w:lang w:val="sk-SK"/>
              </w:rPr>
              <w:t xml:space="preserve"> a </w:t>
            </w:r>
            <w:r w:rsidRPr="00326E55">
              <w:rPr>
                <w:noProof/>
                <w:spacing w:val="-6"/>
                <w:lang w:val="sk-SK"/>
              </w:rPr>
              <w:t>odolnosť železn</w:t>
            </w:r>
            <w:r w:rsidRPr="00326E55">
              <w:rPr>
                <w:noProof/>
                <w:spacing w:val="-6"/>
                <w:lang w:val="sk-SK"/>
              </w:rPr>
              <w:t>íc na juhu</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BE5C1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DF0F28" w14:textId="010DAC6F" w:rsidR="00BF03AA" w:rsidRPr="00326E55" w:rsidRDefault="00FB452D">
            <w:pPr>
              <w:pStyle w:val="P68B1DB1-Normal121"/>
              <w:spacing w:after="0" w:line="240" w:lineRule="auto"/>
              <w:rPr>
                <w:noProof/>
                <w:spacing w:val="-6"/>
                <w:lang w:val="sk-SK"/>
              </w:rPr>
            </w:pPr>
            <w:r w:rsidRPr="00326E55">
              <w:rPr>
                <w:noProof/>
                <w:spacing w:val="-6"/>
                <w:lang w:val="sk-SK"/>
              </w:rPr>
              <w:t>150 km dokončených prác súvisiacich</w:t>
            </w:r>
            <w:r w:rsidR="00326E55" w:rsidRPr="00326E55">
              <w:rPr>
                <w:noProof/>
                <w:spacing w:val="-6"/>
                <w:lang w:val="sk-SK"/>
              </w:rPr>
              <w:t xml:space="preserve"> s </w:t>
            </w:r>
            <w:r w:rsidRPr="00326E55">
              <w:rPr>
                <w:noProof/>
                <w:spacing w:val="-6"/>
                <w:lang w:val="sk-SK"/>
              </w:rPr>
              <w:t>modernizáciou, elektrifikáciou</w:t>
            </w:r>
            <w:r w:rsidR="00326E55" w:rsidRPr="00326E55">
              <w:rPr>
                <w:noProof/>
                <w:spacing w:val="-6"/>
                <w:lang w:val="sk-SK"/>
              </w:rPr>
              <w:t xml:space="preserve"> a </w:t>
            </w:r>
            <w:r w:rsidRPr="00326E55">
              <w:rPr>
                <w:noProof/>
                <w:spacing w:val="-6"/>
                <w:lang w:val="sk-SK"/>
              </w:rPr>
              <w:t>odolnosťou železníc na juhu, ktoré sú pripravené na fázu schvaľovania</w:t>
            </w:r>
            <w:r w:rsidR="00326E55" w:rsidRPr="00326E55">
              <w:rPr>
                <w:noProof/>
                <w:spacing w:val="-6"/>
                <w:lang w:val="sk-SK"/>
              </w:rPr>
              <w:t xml:space="preserve"> a </w:t>
            </w:r>
            <w:r w:rsidRPr="00326E55">
              <w:rPr>
                <w:noProof/>
                <w:spacing w:val="-6"/>
                <w:lang w:val="sk-SK"/>
              </w:rPr>
              <w:t>prevádzky.</w:t>
            </w:r>
          </w:p>
        </w:tc>
      </w:tr>
      <w:tr w:rsidR="00BF03AA" w:rsidRPr="00326E55" w14:paraId="567148A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41ECC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261B23"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1.1: Výskumné projekty významného národného záujmu (PRIN)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EBDD1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8C965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Počet udelených výskumných projektov </w:t>
            </w:r>
          </w:p>
        </w:tc>
      </w:tr>
      <w:tr w:rsidR="00BF03AA" w:rsidRPr="00326E55" w14:paraId="59322C8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FDD4F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E0B3F7" w14:textId="0EAAFCD7" w:rsidR="00BF03AA" w:rsidRPr="00326E55" w:rsidRDefault="00FB452D">
            <w:pPr>
              <w:pStyle w:val="P68B1DB1-Normal121"/>
              <w:spacing w:after="0" w:line="240" w:lineRule="auto"/>
              <w:rPr>
                <w:noProof/>
                <w:spacing w:val="-6"/>
                <w:lang w:val="sk-SK"/>
              </w:rPr>
            </w:pPr>
            <w:r w:rsidRPr="00326E55">
              <w:rPr>
                <w:noProof/>
                <w:spacing w:val="-6"/>
                <w:lang w:val="sk-SK"/>
              </w:rPr>
              <w:t>Investícia 1.2: Domov ako prvé miesto starostlivosti</w:t>
            </w:r>
            <w:r w:rsidR="00326E55" w:rsidRPr="00326E55">
              <w:rPr>
                <w:noProof/>
                <w:spacing w:val="-6"/>
                <w:lang w:val="sk-SK"/>
              </w:rPr>
              <w:t xml:space="preserve"> a </w:t>
            </w:r>
            <w:r w:rsidRPr="00326E55">
              <w:rPr>
                <w:noProof/>
                <w:spacing w:val="-6"/>
                <w:lang w:val="sk-SK"/>
              </w:rPr>
              <w:t>telemedicíny</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65049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6CEFA3" w14:textId="295FD28D" w:rsidR="00BF03AA" w:rsidRPr="00326E55" w:rsidRDefault="00FB452D">
            <w:pPr>
              <w:pStyle w:val="P68B1DB1-Normal121"/>
              <w:spacing w:after="0" w:line="240" w:lineRule="auto"/>
              <w:rPr>
                <w:noProof/>
                <w:spacing w:val="-6"/>
                <w:lang w:val="sk-SK"/>
              </w:rPr>
            </w:pPr>
            <w:r w:rsidRPr="00326E55">
              <w:rPr>
                <w:noProof/>
                <w:spacing w:val="-6"/>
                <w:lang w:val="sk-SK"/>
              </w:rPr>
              <w:t>Aspoň jeden projekt telemedicíny pridelený každému regiónu (vzhľadom na projekty, ktoré sa budú realizovať</w:t>
            </w:r>
            <w:r w:rsidR="00326E55" w:rsidRPr="00326E55">
              <w:rPr>
                <w:noProof/>
                <w:spacing w:val="-6"/>
                <w:lang w:val="sk-SK"/>
              </w:rPr>
              <w:t xml:space="preserve"> v </w:t>
            </w:r>
            <w:r w:rsidRPr="00326E55">
              <w:rPr>
                <w:noProof/>
                <w:spacing w:val="-6"/>
                <w:lang w:val="sk-SK"/>
              </w:rPr>
              <w:t>jednotlivých regiónoch, ak</w:t>
            </w:r>
            <w:r w:rsidRPr="00326E55">
              <w:rPr>
                <w:noProof/>
                <w:spacing w:val="-6"/>
                <w:lang w:val="sk-SK"/>
              </w:rPr>
              <w:t>o aj projekty, ktoré sa môžu rozvíjať</w:t>
            </w:r>
            <w:r w:rsidR="00326E55" w:rsidRPr="00326E55">
              <w:rPr>
                <w:noProof/>
                <w:spacing w:val="-6"/>
                <w:lang w:val="sk-SK"/>
              </w:rPr>
              <w:t xml:space="preserve"> v </w:t>
            </w:r>
            <w:r w:rsidRPr="00326E55">
              <w:rPr>
                <w:noProof/>
                <w:spacing w:val="-6"/>
                <w:lang w:val="sk-SK"/>
              </w:rPr>
              <w:t>rámci konzorcií medzi regiónmi)</w:t>
            </w:r>
          </w:p>
        </w:tc>
      </w:tr>
      <w:tr w:rsidR="00BF03AA" w:rsidRPr="00326E55" w14:paraId="5A11C9B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E45CD0"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C982DB"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AE0FF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70259"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9030593086 EUR</w:t>
            </w:r>
            <w:r w:rsidRPr="00326E55">
              <w:rPr>
                <w:noProof/>
                <w:spacing w:val="-6"/>
                <w:sz w:val="23"/>
                <w:szCs w:val="23"/>
                <w:lang w:val="sk-SK"/>
              </w:rPr>
              <w:t xml:space="preserve">  </w:t>
            </w:r>
          </w:p>
        </w:tc>
      </w:tr>
    </w:tbl>
    <w:p w14:paraId="7774C3A7"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5582CAC3" w14:textId="77777777" w:rsidR="00BF03AA" w:rsidRPr="00326E55" w:rsidRDefault="00FB452D">
      <w:pPr>
        <w:pStyle w:val="P68B1DB1-Normal8"/>
        <w:rPr>
          <w:noProof/>
          <w:spacing w:val="-6"/>
          <w:lang w:val="sk-SK"/>
        </w:rPr>
      </w:pPr>
      <w:r w:rsidRPr="00326E55">
        <w:rPr>
          <w:noProof/>
          <w:spacing w:val="-6"/>
          <w:lang w:val="sk-SK"/>
        </w:rPr>
        <w:br w:type="page"/>
      </w:r>
    </w:p>
    <w:p w14:paraId="15A986AA"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Šiesta splátka (úverová podpora):</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4209"/>
        <w:gridCol w:w="1110"/>
        <w:gridCol w:w="2884"/>
      </w:tblGrid>
      <w:tr w:rsidR="00BF03AA" w:rsidRPr="00326E55" w14:paraId="390F7BA3" w14:textId="77777777">
        <w:trPr>
          <w:trHeight w:val="900"/>
          <w:tblHeader/>
        </w:trPr>
        <w:tc>
          <w:tcPr>
            <w:tcW w:w="1155" w:type="dxa"/>
            <w:vMerge w:val="restart"/>
            <w:shd w:val="clear" w:color="auto" w:fill="BDD7EE"/>
            <w:tcMar>
              <w:left w:w="108" w:type="dxa"/>
              <w:right w:w="108" w:type="dxa"/>
            </w:tcMar>
            <w:vAlign w:val="center"/>
          </w:tcPr>
          <w:p w14:paraId="239FE9D9"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4209" w:type="dxa"/>
            <w:vMerge w:val="restart"/>
            <w:shd w:val="clear" w:color="auto" w:fill="BDD7EE"/>
            <w:tcMar>
              <w:left w:w="108" w:type="dxa"/>
              <w:right w:w="108" w:type="dxa"/>
            </w:tcMar>
            <w:vAlign w:val="center"/>
          </w:tcPr>
          <w:p w14:paraId="48DAE540"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110" w:type="dxa"/>
            <w:vMerge w:val="restart"/>
            <w:shd w:val="clear" w:color="auto" w:fill="BDD7EE"/>
            <w:tcMar>
              <w:left w:w="108" w:type="dxa"/>
              <w:right w:w="108" w:type="dxa"/>
            </w:tcMar>
            <w:vAlign w:val="center"/>
          </w:tcPr>
          <w:p w14:paraId="1099A3AA"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2884" w:type="dxa"/>
            <w:vMerge w:val="restart"/>
            <w:shd w:val="clear" w:color="auto" w:fill="BDD7EE"/>
            <w:tcMar>
              <w:left w:w="108" w:type="dxa"/>
              <w:right w:w="108" w:type="dxa"/>
            </w:tcMar>
            <w:vAlign w:val="center"/>
          </w:tcPr>
          <w:p w14:paraId="71287B4F"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0F9D504A" w14:textId="77777777">
        <w:trPr>
          <w:trHeight w:val="510"/>
        </w:trPr>
        <w:tc>
          <w:tcPr>
            <w:tcW w:w="1155" w:type="dxa"/>
            <w:vMerge/>
            <w:vAlign w:val="center"/>
          </w:tcPr>
          <w:p w14:paraId="2206F276"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4209" w:type="dxa"/>
            <w:vMerge/>
            <w:vAlign w:val="center"/>
          </w:tcPr>
          <w:p w14:paraId="7F904EF6"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110" w:type="dxa"/>
            <w:vMerge/>
            <w:vAlign w:val="center"/>
          </w:tcPr>
          <w:p w14:paraId="5E32391D"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884" w:type="dxa"/>
            <w:vMerge/>
            <w:vAlign w:val="center"/>
          </w:tcPr>
          <w:p w14:paraId="47C5F037"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6A9532D9" w14:textId="77777777">
        <w:trPr>
          <w:trHeight w:val="300"/>
        </w:trPr>
        <w:tc>
          <w:tcPr>
            <w:tcW w:w="1155" w:type="dxa"/>
            <w:shd w:val="clear" w:color="auto" w:fill="C6EFCE"/>
            <w:tcMar>
              <w:left w:w="108" w:type="dxa"/>
              <w:right w:w="108" w:type="dxa"/>
            </w:tcMar>
            <w:vAlign w:val="center"/>
          </w:tcPr>
          <w:p w14:paraId="211DE65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10</w:t>
            </w:r>
          </w:p>
        </w:tc>
        <w:tc>
          <w:tcPr>
            <w:tcW w:w="4209" w:type="dxa"/>
            <w:shd w:val="clear" w:color="auto" w:fill="C6EFCE"/>
            <w:tcMar>
              <w:left w:w="108" w:type="dxa"/>
              <w:right w:w="108" w:type="dxa"/>
            </w:tcMar>
            <w:vAlign w:val="center"/>
          </w:tcPr>
          <w:p w14:paraId="131AB868"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1.3 </w:t>
            </w:r>
            <w:r w:rsidRPr="00326E55">
              <w:rPr>
                <w:noProof/>
                <w:spacing w:val="-6"/>
                <w:lang w:val="sk-SK"/>
              </w:rPr>
              <w:t>– Diagonálne spojenia</w:t>
            </w:r>
          </w:p>
        </w:tc>
        <w:tc>
          <w:tcPr>
            <w:tcW w:w="1110" w:type="dxa"/>
            <w:shd w:val="clear" w:color="auto" w:fill="C6EFCE"/>
            <w:tcMar>
              <w:left w:w="108" w:type="dxa"/>
              <w:right w:w="108" w:type="dxa"/>
            </w:tcMar>
            <w:vAlign w:val="center"/>
          </w:tcPr>
          <w:p w14:paraId="0321199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884" w:type="dxa"/>
            <w:shd w:val="clear" w:color="auto" w:fill="C6EFCE"/>
            <w:tcMar>
              <w:left w:w="108" w:type="dxa"/>
              <w:right w:w="108" w:type="dxa"/>
            </w:tcMar>
            <w:vAlign w:val="center"/>
          </w:tcPr>
          <w:p w14:paraId="27E07FD7" w14:textId="69B7C1D7" w:rsidR="00BF03AA" w:rsidRPr="00326E55" w:rsidRDefault="00FB452D">
            <w:pPr>
              <w:pStyle w:val="P68B1DB1-Normal121"/>
              <w:spacing w:after="0" w:line="240" w:lineRule="auto"/>
              <w:rPr>
                <w:noProof/>
                <w:spacing w:val="-6"/>
                <w:lang w:val="sk-SK"/>
              </w:rPr>
            </w:pPr>
            <w:r w:rsidRPr="00326E55">
              <w:rPr>
                <w:noProof/>
                <w:spacing w:val="-6"/>
                <w:lang w:val="sk-SK"/>
              </w:rPr>
              <w:t>Zadanie zákazky na vybudovanie spojení na tratiach Orte – Falconara</w:t>
            </w:r>
            <w:r w:rsidR="00326E55" w:rsidRPr="00326E55">
              <w:rPr>
                <w:noProof/>
                <w:spacing w:val="-6"/>
                <w:lang w:val="sk-SK"/>
              </w:rPr>
              <w:t xml:space="preserve"> a </w:t>
            </w:r>
            <w:r w:rsidRPr="00326E55">
              <w:rPr>
                <w:noProof/>
                <w:spacing w:val="-6"/>
                <w:lang w:val="sk-SK"/>
              </w:rPr>
              <w:t>Taranto – Metaponto – Potenza – Battipaglia</w:t>
            </w:r>
          </w:p>
        </w:tc>
      </w:tr>
      <w:tr w:rsidR="00BF03AA" w:rsidRPr="00326E55" w14:paraId="128EA5F3" w14:textId="77777777">
        <w:trPr>
          <w:trHeight w:val="300"/>
        </w:trPr>
        <w:tc>
          <w:tcPr>
            <w:tcW w:w="1155" w:type="dxa"/>
            <w:shd w:val="clear" w:color="auto" w:fill="C6EFCE"/>
            <w:tcMar>
              <w:left w:w="108" w:type="dxa"/>
              <w:right w:w="108" w:type="dxa"/>
            </w:tcMar>
            <w:vAlign w:val="center"/>
          </w:tcPr>
          <w:p w14:paraId="78CC943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35</w:t>
            </w:r>
          </w:p>
        </w:tc>
        <w:tc>
          <w:tcPr>
            <w:tcW w:w="4209" w:type="dxa"/>
            <w:shd w:val="clear" w:color="auto" w:fill="C6EFCE"/>
            <w:tcMar>
              <w:left w:w="108" w:type="dxa"/>
              <w:right w:w="108" w:type="dxa"/>
            </w:tcMar>
            <w:vAlign w:val="center"/>
          </w:tcPr>
          <w:p w14:paraId="5B5EAC3D" w14:textId="5A51AC9A" w:rsidR="00BF03AA" w:rsidRPr="00326E55" w:rsidRDefault="00FB452D">
            <w:pPr>
              <w:pStyle w:val="P68B1DB1-Normal121"/>
              <w:spacing w:after="0" w:line="240" w:lineRule="auto"/>
              <w:rPr>
                <w:noProof/>
                <w:spacing w:val="-6"/>
                <w:lang w:val="sk-SK"/>
              </w:rPr>
            </w:pPr>
            <w:r w:rsidRPr="00326E55">
              <w:rPr>
                <w:noProof/>
                <w:spacing w:val="-6"/>
                <w:lang w:val="sk-SK"/>
              </w:rPr>
              <w:t>Investícia 13: Fáza 1 Jadranskej linky (kompresorová stanica Sulmona</w:t>
            </w:r>
            <w:r w:rsidR="00326E55" w:rsidRPr="00326E55">
              <w:rPr>
                <w:noProof/>
                <w:spacing w:val="-6"/>
                <w:lang w:val="sk-SK"/>
              </w:rPr>
              <w:t xml:space="preserve"> a </w:t>
            </w:r>
            <w:r w:rsidRPr="00326E55">
              <w:rPr>
                <w:noProof/>
                <w:spacing w:val="-6"/>
                <w:lang w:val="sk-SK"/>
              </w:rPr>
              <w:t>plynovod Sestino-Minerbio)</w:t>
            </w:r>
          </w:p>
        </w:tc>
        <w:tc>
          <w:tcPr>
            <w:tcW w:w="1110" w:type="dxa"/>
            <w:shd w:val="clear" w:color="auto" w:fill="C6EFCE"/>
            <w:tcMar>
              <w:left w:w="108" w:type="dxa"/>
              <w:right w:w="108" w:type="dxa"/>
            </w:tcMar>
            <w:vAlign w:val="center"/>
          </w:tcPr>
          <w:p w14:paraId="5A028B1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884" w:type="dxa"/>
            <w:shd w:val="clear" w:color="auto" w:fill="C6EFCE"/>
            <w:tcMar>
              <w:left w:w="108" w:type="dxa"/>
              <w:right w:w="108" w:type="dxa"/>
            </w:tcMar>
            <w:vAlign w:val="center"/>
          </w:tcPr>
          <w:p w14:paraId="2E9E8630" w14:textId="5A61C913" w:rsidR="00BF03AA" w:rsidRPr="00326E55" w:rsidRDefault="00FB452D">
            <w:pPr>
              <w:pStyle w:val="P68B1DB1-Normal121"/>
              <w:spacing w:after="0" w:line="240" w:lineRule="auto"/>
              <w:rPr>
                <w:noProof/>
                <w:spacing w:val="-6"/>
                <w:lang w:val="sk-SK"/>
              </w:rPr>
            </w:pPr>
            <w:r w:rsidRPr="00326E55">
              <w:rPr>
                <w:noProof/>
                <w:spacing w:val="-6"/>
                <w:lang w:val="sk-SK"/>
              </w:rPr>
              <w:t>Prijatie</w:t>
            </w:r>
            <w:r w:rsidR="00326E55" w:rsidRPr="00326E55">
              <w:rPr>
                <w:noProof/>
                <w:spacing w:val="-6"/>
                <w:lang w:val="sk-SK"/>
              </w:rPr>
              <w:t xml:space="preserve"> a </w:t>
            </w:r>
            <w:r w:rsidRPr="00326E55">
              <w:rPr>
                <w:noProof/>
                <w:spacing w:val="-6"/>
                <w:lang w:val="sk-SK"/>
              </w:rPr>
              <w:t>aktualizácia príslušných posúdení vplyvov na životné prostredie (VIncA)</w:t>
            </w:r>
          </w:p>
        </w:tc>
      </w:tr>
      <w:tr w:rsidR="00BF03AA" w:rsidRPr="00326E55" w14:paraId="59C031DF" w14:textId="77777777">
        <w:trPr>
          <w:trHeight w:val="300"/>
        </w:trPr>
        <w:tc>
          <w:tcPr>
            <w:tcW w:w="1155" w:type="dxa"/>
            <w:shd w:val="clear" w:color="auto" w:fill="C6EFCE"/>
            <w:tcMar>
              <w:left w:w="108" w:type="dxa"/>
              <w:right w:w="108" w:type="dxa"/>
            </w:tcMar>
            <w:vAlign w:val="center"/>
          </w:tcPr>
          <w:p w14:paraId="05810BD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40</w:t>
            </w:r>
          </w:p>
        </w:tc>
        <w:tc>
          <w:tcPr>
            <w:tcW w:w="4209" w:type="dxa"/>
            <w:shd w:val="clear" w:color="auto" w:fill="C6EFCE"/>
            <w:tcMar>
              <w:left w:w="108" w:type="dxa"/>
              <w:right w:w="108" w:type="dxa"/>
            </w:tcMar>
            <w:vAlign w:val="center"/>
          </w:tcPr>
          <w:p w14:paraId="42AFB8D4"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15: Transizione 5.0 </w:t>
            </w:r>
          </w:p>
        </w:tc>
        <w:tc>
          <w:tcPr>
            <w:tcW w:w="1110" w:type="dxa"/>
            <w:shd w:val="clear" w:color="auto" w:fill="C6EFCE"/>
            <w:tcMar>
              <w:left w:w="108" w:type="dxa"/>
              <w:right w:w="108" w:type="dxa"/>
            </w:tcMar>
            <w:vAlign w:val="center"/>
          </w:tcPr>
          <w:p w14:paraId="6A527DA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884" w:type="dxa"/>
            <w:shd w:val="clear" w:color="auto" w:fill="C6EFCE"/>
            <w:tcMar>
              <w:left w:w="108" w:type="dxa"/>
              <w:right w:w="108" w:type="dxa"/>
            </w:tcMar>
            <w:vAlign w:val="center"/>
          </w:tcPr>
          <w:p w14:paraId="79AC1575" w14:textId="77777777"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právneho aktu, ktorým sa stanovujú kritériá oprávnených intervencií</w:t>
            </w:r>
          </w:p>
        </w:tc>
      </w:tr>
      <w:tr w:rsidR="00BF03AA" w:rsidRPr="00326E55" w14:paraId="3473FA60" w14:textId="77777777">
        <w:trPr>
          <w:trHeight w:val="300"/>
        </w:trPr>
        <w:tc>
          <w:tcPr>
            <w:tcW w:w="1155" w:type="dxa"/>
            <w:shd w:val="clear" w:color="auto" w:fill="C6EFCE"/>
            <w:tcMar>
              <w:left w:w="108" w:type="dxa"/>
              <w:right w:w="108" w:type="dxa"/>
            </w:tcMar>
            <w:vAlign w:val="center"/>
          </w:tcPr>
          <w:p w14:paraId="3D46285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15</w:t>
            </w:r>
          </w:p>
        </w:tc>
        <w:tc>
          <w:tcPr>
            <w:tcW w:w="4209" w:type="dxa"/>
            <w:shd w:val="clear" w:color="auto" w:fill="C6EFCE"/>
            <w:tcMar>
              <w:left w:w="108" w:type="dxa"/>
              <w:right w:w="108" w:type="dxa"/>
            </w:tcMar>
            <w:vAlign w:val="center"/>
          </w:tcPr>
          <w:p w14:paraId="4786031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Reforma 1.2 Národný </w:t>
            </w:r>
            <w:r w:rsidRPr="00326E55">
              <w:rPr>
                <w:noProof/>
                <w:spacing w:val="-6"/>
                <w:lang w:val="sk-SK"/>
              </w:rPr>
              <w:t>program odpadového hospodárstva</w:t>
            </w:r>
          </w:p>
        </w:tc>
        <w:tc>
          <w:tcPr>
            <w:tcW w:w="1110" w:type="dxa"/>
            <w:shd w:val="clear" w:color="auto" w:fill="C6EFCE"/>
            <w:tcMar>
              <w:left w:w="108" w:type="dxa"/>
              <w:right w:w="108" w:type="dxa"/>
            </w:tcMar>
            <w:vAlign w:val="center"/>
          </w:tcPr>
          <w:p w14:paraId="7B309A3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884" w:type="dxa"/>
            <w:shd w:val="clear" w:color="auto" w:fill="C6EFCE"/>
            <w:tcMar>
              <w:left w:w="108" w:type="dxa"/>
              <w:right w:w="108" w:type="dxa"/>
            </w:tcMar>
            <w:vAlign w:val="center"/>
          </w:tcPr>
          <w:p w14:paraId="1299E1B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Zníženie počtu nelegálnych skládok (T1)  </w:t>
            </w:r>
          </w:p>
        </w:tc>
      </w:tr>
      <w:tr w:rsidR="00BF03AA" w:rsidRPr="00326E55" w14:paraId="6B601ABE" w14:textId="77777777">
        <w:trPr>
          <w:trHeight w:val="300"/>
        </w:trPr>
        <w:tc>
          <w:tcPr>
            <w:tcW w:w="1155" w:type="dxa"/>
            <w:shd w:val="clear" w:color="auto" w:fill="C6EFCE"/>
            <w:tcMar>
              <w:left w:w="108" w:type="dxa"/>
              <w:right w:w="108" w:type="dxa"/>
            </w:tcMar>
            <w:vAlign w:val="center"/>
          </w:tcPr>
          <w:p w14:paraId="6058FBC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16bis</w:t>
            </w:r>
          </w:p>
        </w:tc>
        <w:tc>
          <w:tcPr>
            <w:tcW w:w="4209" w:type="dxa"/>
            <w:shd w:val="clear" w:color="auto" w:fill="C6EFCE"/>
            <w:tcMar>
              <w:left w:w="108" w:type="dxa"/>
              <w:right w:w="108" w:type="dxa"/>
            </w:tcMar>
            <w:vAlign w:val="center"/>
          </w:tcPr>
          <w:p w14:paraId="50BF14DF" w14:textId="77777777" w:rsidR="00BF03AA" w:rsidRPr="00326E55" w:rsidRDefault="00FB452D">
            <w:pPr>
              <w:pStyle w:val="P68B1DB1-Normal121"/>
              <w:spacing w:after="0" w:line="240" w:lineRule="auto"/>
              <w:rPr>
                <w:noProof/>
                <w:spacing w:val="-6"/>
                <w:lang w:val="sk-SK"/>
              </w:rPr>
            </w:pPr>
            <w:r w:rsidRPr="00326E55">
              <w:rPr>
                <w:noProof/>
                <w:spacing w:val="-6"/>
                <w:lang w:val="sk-SK"/>
              </w:rPr>
              <w:t>Reforma 1.2 Národný program odpadového hospodárstva</w:t>
            </w:r>
          </w:p>
        </w:tc>
        <w:tc>
          <w:tcPr>
            <w:tcW w:w="1110" w:type="dxa"/>
            <w:shd w:val="clear" w:color="auto" w:fill="C6EFCE"/>
            <w:tcMar>
              <w:left w:w="108" w:type="dxa"/>
              <w:right w:w="108" w:type="dxa"/>
            </w:tcMar>
            <w:vAlign w:val="center"/>
          </w:tcPr>
          <w:p w14:paraId="4D908F3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884" w:type="dxa"/>
            <w:shd w:val="clear" w:color="auto" w:fill="C6EFCE"/>
            <w:tcMar>
              <w:left w:w="108" w:type="dxa"/>
              <w:right w:w="108" w:type="dxa"/>
            </w:tcMar>
            <w:vAlign w:val="center"/>
          </w:tcPr>
          <w:p w14:paraId="3DD339E0" w14:textId="77777777" w:rsidR="00BF03AA" w:rsidRPr="00326E55" w:rsidRDefault="00FB452D">
            <w:pPr>
              <w:pStyle w:val="P68B1DB1-Normal121"/>
              <w:spacing w:after="0" w:line="240" w:lineRule="auto"/>
              <w:rPr>
                <w:noProof/>
                <w:spacing w:val="-6"/>
                <w:lang w:val="sk-SK"/>
              </w:rPr>
            </w:pPr>
            <w:r w:rsidRPr="00326E55">
              <w:rPr>
                <w:noProof/>
                <w:spacing w:val="-6"/>
                <w:lang w:val="sk-SK"/>
              </w:rPr>
              <w:t>Nelegálne skládky</w:t>
            </w:r>
          </w:p>
        </w:tc>
      </w:tr>
      <w:tr w:rsidR="00BF03AA" w:rsidRPr="00326E55" w14:paraId="178767F5" w14:textId="77777777">
        <w:trPr>
          <w:trHeight w:val="300"/>
        </w:trPr>
        <w:tc>
          <w:tcPr>
            <w:tcW w:w="1155" w:type="dxa"/>
            <w:shd w:val="clear" w:color="auto" w:fill="C6EFCE"/>
            <w:tcMar>
              <w:left w:w="108" w:type="dxa"/>
              <w:right w:w="108" w:type="dxa"/>
            </w:tcMar>
            <w:vAlign w:val="center"/>
          </w:tcPr>
          <w:p w14:paraId="60EED91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22</w:t>
            </w:r>
          </w:p>
        </w:tc>
        <w:tc>
          <w:tcPr>
            <w:tcW w:w="4209" w:type="dxa"/>
            <w:shd w:val="clear" w:color="auto" w:fill="C6EFCE"/>
            <w:tcMar>
              <w:left w:w="108" w:type="dxa"/>
              <w:right w:w="108" w:type="dxa"/>
            </w:tcMar>
            <w:vAlign w:val="center"/>
          </w:tcPr>
          <w:p w14:paraId="460B411D" w14:textId="23698AAE" w:rsidR="00BF03AA" w:rsidRPr="00326E55" w:rsidRDefault="00FB452D">
            <w:pPr>
              <w:pStyle w:val="P68B1DB1-Normal121"/>
              <w:spacing w:after="0" w:line="240" w:lineRule="auto"/>
              <w:rPr>
                <w:noProof/>
                <w:spacing w:val="-6"/>
                <w:lang w:val="sk-SK"/>
              </w:rPr>
            </w:pPr>
            <w:r w:rsidRPr="00326E55">
              <w:rPr>
                <w:noProof/>
                <w:spacing w:val="-6"/>
                <w:lang w:val="sk-SK"/>
              </w:rPr>
              <w:t>Investícia 3.4: Fondo Contratti di Filiera (FCF) na podporu zmlúv</w:t>
            </w:r>
            <w:r w:rsidR="00326E55" w:rsidRPr="00326E55">
              <w:rPr>
                <w:noProof/>
                <w:spacing w:val="-6"/>
                <w:lang w:val="sk-SK"/>
              </w:rPr>
              <w:t xml:space="preserve"> o </w:t>
            </w:r>
            <w:r w:rsidRPr="00326E55">
              <w:rPr>
                <w:noProof/>
                <w:spacing w:val="-6"/>
                <w:lang w:val="sk-SK"/>
              </w:rPr>
              <w:t>dodávateľ</w:t>
            </w:r>
            <w:r w:rsidRPr="00326E55">
              <w:rPr>
                <w:noProof/>
                <w:spacing w:val="-6"/>
                <w:lang w:val="sk-SK"/>
              </w:rPr>
              <w:t>ských reťazcoch pre agropotravinárske odvetvia, odvetvia rybolovu</w:t>
            </w:r>
            <w:r w:rsidR="00326E55" w:rsidRPr="00326E55">
              <w:rPr>
                <w:noProof/>
                <w:spacing w:val="-6"/>
                <w:lang w:val="sk-SK"/>
              </w:rPr>
              <w:t xml:space="preserve"> a </w:t>
            </w:r>
            <w:r w:rsidRPr="00326E55">
              <w:rPr>
                <w:noProof/>
                <w:spacing w:val="-6"/>
                <w:lang w:val="sk-SK"/>
              </w:rPr>
              <w:t>akvakultúry, lesného hospodárstva, kvetinárstva</w:t>
            </w:r>
            <w:r w:rsidR="00326E55" w:rsidRPr="00326E55">
              <w:rPr>
                <w:noProof/>
                <w:spacing w:val="-6"/>
                <w:lang w:val="sk-SK"/>
              </w:rPr>
              <w:t xml:space="preserve"> a </w:t>
            </w:r>
            <w:r w:rsidRPr="00326E55">
              <w:rPr>
                <w:noProof/>
                <w:spacing w:val="-6"/>
                <w:lang w:val="sk-SK"/>
              </w:rPr>
              <w:t>odchovní rastlín</w:t>
            </w:r>
          </w:p>
        </w:tc>
        <w:tc>
          <w:tcPr>
            <w:tcW w:w="1110" w:type="dxa"/>
            <w:shd w:val="clear" w:color="auto" w:fill="C6EFCE"/>
            <w:tcMar>
              <w:left w:w="108" w:type="dxa"/>
              <w:right w:w="108" w:type="dxa"/>
            </w:tcMar>
            <w:vAlign w:val="center"/>
          </w:tcPr>
          <w:p w14:paraId="38CDD5B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884" w:type="dxa"/>
            <w:shd w:val="clear" w:color="auto" w:fill="C6EFCE"/>
            <w:tcMar>
              <w:left w:w="108" w:type="dxa"/>
              <w:right w:w="108" w:type="dxa"/>
            </w:tcMar>
            <w:vAlign w:val="center"/>
          </w:tcPr>
          <w:p w14:paraId="4B8DBC8E"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p>
        </w:tc>
      </w:tr>
      <w:tr w:rsidR="00BF03AA" w:rsidRPr="00326E55" w14:paraId="02053AE6" w14:textId="77777777">
        <w:trPr>
          <w:trHeight w:val="300"/>
        </w:trPr>
        <w:tc>
          <w:tcPr>
            <w:tcW w:w="1155" w:type="dxa"/>
            <w:shd w:val="clear" w:color="auto" w:fill="C6EFCE"/>
            <w:tcMar>
              <w:left w:w="108" w:type="dxa"/>
              <w:right w:w="108" w:type="dxa"/>
            </w:tcMar>
            <w:vAlign w:val="center"/>
          </w:tcPr>
          <w:p w14:paraId="40ABE9B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31</w:t>
            </w:r>
          </w:p>
        </w:tc>
        <w:tc>
          <w:tcPr>
            <w:tcW w:w="4209" w:type="dxa"/>
            <w:shd w:val="clear" w:color="auto" w:fill="C6EFCE"/>
            <w:tcMar>
              <w:left w:w="108" w:type="dxa"/>
              <w:right w:w="108" w:type="dxa"/>
            </w:tcMar>
            <w:vAlign w:val="center"/>
          </w:tcPr>
          <w:p w14:paraId="1E31BE7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4.4.3: Obnova vozového parku pre veliteľstvo národného hasičského zboru</w:t>
            </w:r>
          </w:p>
        </w:tc>
        <w:tc>
          <w:tcPr>
            <w:tcW w:w="1110" w:type="dxa"/>
            <w:shd w:val="clear" w:color="auto" w:fill="C6EFCE"/>
            <w:tcMar>
              <w:left w:w="108" w:type="dxa"/>
              <w:right w:w="108" w:type="dxa"/>
            </w:tcMar>
            <w:vAlign w:val="center"/>
          </w:tcPr>
          <w:p w14:paraId="7563A7E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884" w:type="dxa"/>
            <w:shd w:val="clear" w:color="auto" w:fill="C6EFCE"/>
            <w:tcMar>
              <w:left w:w="108" w:type="dxa"/>
              <w:right w:w="108" w:type="dxa"/>
            </w:tcMar>
            <w:vAlign w:val="center"/>
          </w:tcPr>
          <w:p w14:paraId="0B2E15C1" w14:textId="77777777" w:rsidR="00BF03AA" w:rsidRPr="00326E55" w:rsidRDefault="00FB452D">
            <w:pPr>
              <w:pStyle w:val="P68B1DB1-Normal121"/>
              <w:spacing w:after="0" w:line="240" w:lineRule="auto"/>
              <w:rPr>
                <w:noProof/>
                <w:spacing w:val="-6"/>
                <w:lang w:val="sk-SK"/>
              </w:rPr>
            </w:pPr>
            <w:r w:rsidRPr="00326E55">
              <w:rPr>
                <w:noProof/>
                <w:spacing w:val="-6"/>
                <w:lang w:val="sk-SK"/>
              </w:rPr>
              <w:t>Zadanie všetkých verejných zákaziek na obnovu vozového parku pre veliteľstvo národného hasičského zboru</w:t>
            </w:r>
          </w:p>
        </w:tc>
      </w:tr>
      <w:tr w:rsidR="00BF03AA" w:rsidRPr="00326E55" w14:paraId="155EC458" w14:textId="77777777">
        <w:trPr>
          <w:trHeight w:val="300"/>
        </w:trPr>
        <w:tc>
          <w:tcPr>
            <w:tcW w:w="1155" w:type="dxa"/>
            <w:shd w:val="clear" w:color="auto" w:fill="C6EFCE"/>
            <w:tcMar>
              <w:left w:w="108" w:type="dxa"/>
              <w:right w:w="108" w:type="dxa"/>
            </w:tcMar>
            <w:vAlign w:val="center"/>
          </w:tcPr>
          <w:p w14:paraId="1DB13C5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6</w:t>
            </w:r>
          </w:p>
        </w:tc>
        <w:tc>
          <w:tcPr>
            <w:tcW w:w="4209" w:type="dxa"/>
            <w:shd w:val="clear" w:color="auto" w:fill="C6EFCE"/>
            <w:tcMar>
              <w:left w:w="108" w:type="dxa"/>
              <w:right w:w="108" w:type="dxa"/>
            </w:tcMar>
            <w:vAlign w:val="center"/>
          </w:tcPr>
          <w:p w14:paraId="33654EB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Digitalizácia národných parkov</w:t>
            </w:r>
          </w:p>
        </w:tc>
        <w:tc>
          <w:tcPr>
            <w:tcW w:w="1110" w:type="dxa"/>
            <w:shd w:val="clear" w:color="auto" w:fill="C6EFCE"/>
            <w:tcMar>
              <w:left w:w="108" w:type="dxa"/>
              <w:right w:w="108" w:type="dxa"/>
            </w:tcMar>
            <w:vAlign w:val="center"/>
          </w:tcPr>
          <w:p w14:paraId="508ABE2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884" w:type="dxa"/>
            <w:shd w:val="clear" w:color="auto" w:fill="C6EFCE"/>
            <w:tcMar>
              <w:left w:w="108" w:type="dxa"/>
              <w:right w:w="108" w:type="dxa"/>
            </w:tcMar>
            <w:vAlign w:val="center"/>
          </w:tcPr>
          <w:p w14:paraId="75AD533A" w14:textId="609C26D1" w:rsidR="00BF03AA" w:rsidRPr="00326E55" w:rsidRDefault="00FB452D">
            <w:pPr>
              <w:pStyle w:val="P68B1DB1-Normal121"/>
              <w:spacing w:after="0" w:line="240" w:lineRule="auto"/>
              <w:rPr>
                <w:noProof/>
                <w:spacing w:val="-6"/>
                <w:lang w:val="sk-SK"/>
              </w:rPr>
            </w:pPr>
            <w:r w:rsidRPr="00326E55">
              <w:rPr>
                <w:noProof/>
                <w:spacing w:val="-6"/>
                <w:lang w:val="sk-SK"/>
              </w:rPr>
              <w:t>Administratívne zjednodušenie</w:t>
            </w:r>
            <w:r w:rsidR="00326E55" w:rsidRPr="00326E55">
              <w:rPr>
                <w:noProof/>
                <w:spacing w:val="-6"/>
                <w:lang w:val="sk-SK"/>
              </w:rPr>
              <w:t xml:space="preserve"> a </w:t>
            </w:r>
            <w:r w:rsidRPr="00326E55">
              <w:rPr>
                <w:noProof/>
                <w:spacing w:val="-6"/>
                <w:lang w:val="sk-SK"/>
              </w:rPr>
              <w:t>rozvoj digitálnych služieb pre návštevníkov národný</w:t>
            </w:r>
            <w:r w:rsidRPr="00326E55">
              <w:rPr>
                <w:noProof/>
                <w:spacing w:val="-6"/>
                <w:lang w:val="sk-SK"/>
              </w:rPr>
              <w:t>ch parkov</w:t>
            </w:r>
            <w:r w:rsidR="00326E55" w:rsidRPr="00326E55">
              <w:rPr>
                <w:noProof/>
                <w:spacing w:val="-6"/>
                <w:lang w:val="sk-SK"/>
              </w:rPr>
              <w:t xml:space="preserve"> a </w:t>
            </w:r>
            <w:r w:rsidRPr="00326E55">
              <w:rPr>
                <w:noProof/>
                <w:spacing w:val="-6"/>
                <w:lang w:val="sk-SK"/>
              </w:rPr>
              <w:t xml:space="preserve">chránených morských oblastí </w:t>
            </w:r>
          </w:p>
        </w:tc>
      </w:tr>
      <w:tr w:rsidR="00BF03AA" w:rsidRPr="00326E55" w14:paraId="5EF0E810" w14:textId="77777777">
        <w:trPr>
          <w:trHeight w:val="300"/>
        </w:trPr>
        <w:tc>
          <w:tcPr>
            <w:tcW w:w="1155" w:type="dxa"/>
            <w:shd w:val="clear" w:color="auto" w:fill="C6EFCE"/>
            <w:tcMar>
              <w:left w:w="108" w:type="dxa"/>
              <w:right w:w="108" w:type="dxa"/>
            </w:tcMar>
            <w:vAlign w:val="center"/>
          </w:tcPr>
          <w:p w14:paraId="6F9F299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10</w:t>
            </w:r>
          </w:p>
        </w:tc>
        <w:tc>
          <w:tcPr>
            <w:tcW w:w="4209" w:type="dxa"/>
            <w:shd w:val="clear" w:color="auto" w:fill="C6EFCE"/>
            <w:tcMar>
              <w:left w:w="108" w:type="dxa"/>
              <w:right w:w="108" w:type="dxa"/>
            </w:tcMar>
            <w:vAlign w:val="center"/>
          </w:tcPr>
          <w:p w14:paraId="480AE2CA" w14:textId="27EEFF43" w:rsidR="00BF03AA" w:rsidRPr="00326E55" w:rsidRDefault="00FB452D">
            <w:pPr>
              <w:pStyle w:val="P68B1DB1-Normal121"/>
              <w:spacing w:after="0" w:line="240" w:lineRule="auto"/>
              <w:rPr>
                <w:noProof/>
                <w:spacing w:val="-6"/>
                <w:lang w:val="sk-SK"/>
              </w:rPr>
            </w:pPr>
            <w:r w:rsidRPr="00326E55">
              <w:rPr>
                <w:noProof/>
                <w:spacing w:val="-6"/>
                <w:lang w:val="sk-SK"/>
              </w:rPr>
              <w:t>Reforma 2.2: Zriadenie národnej digitálnej logistickej platformy</w:t>
            </w:r>
            <w:r w:rsidR="00326E55" w:rsidRPr="00326E55">
              <w:rPr>
                <w:noProof/>
                <w:spacing w:val="-6"/>
                <w:lang w:val="sk-SK"/>
              </w:rPr>
              <w:t xml:space="preserve"> s </w:t>
            </w:r>
            <w:r w:rsidRPr="00326E55">
              <w:rPr>
                <w:noProof/>
                <w:spacing w:val="-6"/>
                <w:lang w:val="sk-SK"/>
              </w:rPr>
              <w:t>cieľom zaviesť digitalizáciu služieb nákladnej a/alebo osobnej dopravy</w:t>
            </w:r>
          </w:p>
        </w:tc>
        <w:tc>
          <w:tcPr>
            <w:tcW w:w="1110" w:type="dxa"/>
            <w:shd w:val="clear" w:color="auto" w:fill="C6EFCE"/>
            <w:tcMar>
              <w:left w:w="108" w:type="dxa"/>
              <w:right w:w="108" w:type="dxa"/>
            </w:tcMar>
            <w:vAlign w:val="center"/>
          </w:tcPr>
          <w:p w14:paraId="64AB38E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884" w:type="dxa"/>
            <w:shd w:val="clear" w:color="auto" w:fill="C6EFCE"/>
            <w:tcMar>
              <w:left w:w="108" w:type="dxa"/>
              <w:right w:w="108" w:type="dxa"/>
            </w:tcMar>
            <w:vAlign w:val="center"/>
          </w:tcPr>
          <w:p w14:paraId="17B391E6"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Národná platforma digitálnej logistiky </w:t>
            </w:r>
          </w:p>
        </w:tc>
      </w:tr>
      <w:tr w:rsidR="00BF03AA" w:rsidRPr="00326E55" w14:paraId="03E5C265" w14:textId="77777777">
        <w:trPr>
          <w:trHeight w:val="300"/>
        </w:trPr>
        <w:tc>
          <w:tcPr>
            <w:tcW w:w="1155" w:type="dxa"/>
            <w:shd w:val="clear" w:color="auto" w:fill="C6EFCE"/>
            <w:tcMar>
              <w:left w:w="108" w:type="dxa"/>
              <w:right w:w="108" w:type="dxa"/>
            </w:tcMar>
            <w:vAlign w:val="center"/>
          </w:tcPr>
          <w:p w14:paraId="5B03A0E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15</w:t>
            </w:r>
          </w:p>
        </w:tc>
        <w:tc>
          <w:tcPr>
            <w:tcW w:w="4209" w:type="dxa"/>
            <w:shd w:val="clear" w:color="auto" w:fill="C6EFCE"/>
            <w:tcMar>
              <w:left w:w="108" w:type="dxa"/>
              <w:right w:w="108" w:type="dxa"/>
            </w:tcMar>
            <w:vAlign w:val="center"/>
          </w:tcPr>
          <w:p w14:paraId="354097C2" w14:textId="080B65AD" w:rsidR="00BF03AA" w:rsidRPr="00326E55" w:rsidRDefault="00FB452D">
            <w:pPr>
              <w:pStyle w:val="P68B1DB1-Normal123"/>
              <w:spacing w:after="0" w:line="240" w:lineRule="auto"/>
              <w:rPr>
                <w:noProof/>
                <w:spacing w:val="-6"/>
                <w:lang w:val="sk-SK"/>
              </w:rPr>
            </w:pPr>
            <w:r w:rsidRPr="00326E55">
              <w:rPr>
                <w:noProof/>
                <w:spacing w:val="-6"/>
                <w:lang w:val="sk-SK"/>
              </w:rPr>
              <w:t>Investícia 2.2: Rozvoj technicko-profesijných, digitálnych</w:t>
            </w:r>
            <w:r w:rsidR="00326E55" w:rsidRPr="00326E55">
              <w:rPr>
                <w:noProof/>
                <w:spacing w:val="-6"/>
                <w:lang w:val="sk-SK"/>
              </w:rPr>
              <w:t xml:space="preserve"> a </w:t>
            </w:r>
            <w:r w:rsidRPr="00326E55">
              <w:rPr>
                <w:noProof/>
                <w:spacing w:val="-6"/>
                <w:lang w:val="sk-SK"/>
              </w:rPr>
              <w:t>manažérskych zručností odborníkov</w:t>
            </w:r>
            <w:r w:rsidR="00326E55" w:rsidRPr="00326E55">
              <w:rPr>
                <w:noProof/>
                <w:spacing w:val="-6"/>
                <w:lang w:val="sk-SK"/>
              </w:rPr>
              <w:t xml:space="preserve"> v </w:t>
            </w:r>
            <w:r w:rsidRPr="00326E55">
              <w:rPr>
                <w:noProof/>
                <w:spacing w:val="-6"/>
                <w:lang w:val="sk-SK"/>
              </w:rPr>
              <w:t>systéme zdravotnej starostlivosti</w:t>
            </w:r>
          </w:p>
        </w:tc>
        <w:tc>
          <w:tcPr>
            <w:tcW w:w="1110" w:type="dxa"/>
            <w:shd w:val="clear" w:color="auto" w:fill="C6EFCE"/>
            <w:tcMar>
              <w:left w:w="108" w:type="dxa"/>
              <w:right w:w="108" w:type="dxa"/>
            </w:tcMar>
            <w:vAlign w:val="center"/>
          </w:tcPr>
          <w:p w14:paraId="0A0ABF27"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2884" w:type="dxa"/>
            <w:shd w:val="clear" w:color="auto" w:fill="C6EFCE"/>
            <w:tcMar>
              <w:left w:w="108" w:type="dxa"/>
              <w:right w:w="108" w:type="dxa"/>
            </w:tcMar>
            <w:vAlign w:val="center"/>
          </w:tcPr>
          <w:p w14:paraId="5953EE31" w14:textId="0CB46376" w:rsidR="00BF03AA" w:rsidRPr="00326E55" w:rsidRDefault="00FB452D">
            <w:pPr>
              <w:pStyle w:val="P68B1DB1-Normal123"/>
              <w:spacing w:after="0" w:line="240" w:lineRule="auto"/>
              <w:rPr>
                <w:noProof/>
                <w:spacing w:val="-6"/>
                <w:lang w:val="sk-SK"/>
              </w:rPr>
            </w:pPr>
            <w:r w:rsidRPr="00326E55">
              <w:rPr>
                <w:noProof/>
                <w:spacing w:val="-6"/>
                <w:lang w:val="sk-SK"/>
              </w:rPr>
              <w:t>Udeľujú sa ďalšie štipendiá na osobitnú odbornú prípravu</w:t>
            </w:r>
            <w:r w:rsidR="00326E55" w:rsidRPr="00326E55">
              <w:rPr>
                <w:noProof/>
                <w:spacing w:val="-6"/>
                <w:lang w:val="sk-SK"/>
              </w:rPr>
              <w:t xml:space="preserve"> v </w:t>
            </w:r>
            <w:r w:rsidRPr="00326E55">
              <w:rPr>
                <w:noProof/>
                <w:spacing w:val="-6"/>
                <w:lang w:val="sk-SK"/>
              </w:rPr>
              <w:t>oblasti všeobecnej lekárskej praxe.</w:t>
            </w:r>
          </w:p>
        </w:tc>
      </w:tr>
      <w:tr w:rsidR="00BF03AA" w:rsidRPr="00326E55" w14:paraId="2C27F0E6" w14:textId="77777777">
        <w:trPr>
          <w:trHeight w:val="300"/>
        </w:trPr>
        <w:tc>
          <w:tcPr>
            <w:tcW w:w="1155" w:type="dxa"/>
            <w:shd w:val="clear" w:color="auto" w:fill="C6EFCE"/>
            <w:tcMar>
              <w:left w:w="108" w:type="dxa"/>
              <w:right w:w="108" w:type="dxa"/>
            </w:tcMar>
            <w:vAlign w:val="center"/>
          </w:tcPr>
          <w:p w14:paraId="205F421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36</w:t>
            </w:r>
          </w:p>
        </w:tc>
        <w:tc>
          <w:tcPr>
            <w:tcW w:w="4209" w:type="dxa"/>
            <w:shd w:val="clear" w:color="auto" w:fill="C6EFCE"/>
            <w:tcMar>
              <w:left w:w="108" w:type="dxa"/>
              <w:right w:w="108" w:type="dxa"/>
            </w:tcMar>
            <w:vAlign w:val="center"/>
          </w:tcPr>
          <w:p w14:paraId="0176EB9C" w14:textId="4AC63EEB"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13: </w:t>
            </w:r>
            <w:r w:rsidRPr="00326E55">
              <w:rPr>
                <w:noProof/>
                <w:spacing w:val="-6"/>
                <w:lang w:val="sk-SK"/>
              </w:rPr>
              <w:t>Fáza 1 Jadranskej linky (kompresorová stanica Sulmona</w:t>
            </w:r>
            <w:r w:rsidR="00326E55" w:rsidRPr="00326E55">
              <w:rPr>
                <w:noProof/>
                <w:spacing w:val="-6"/>
                <w:lang w:val="sk-SK"/>
              </w:rPr>
              <w:t xml:space="preserve"> a </w:t>
            </w:r>
            <w:r w:rsidRPr="00326E55">
              <w:rPr>
                <w:noProof/>
                <w:spacing w:val="-6"/>
                <w:lang w:val="sk-SK"/>
              </w:rPr>
              <w:t>plynovod Sestino-Minerbio)</w:t>
            </w:r>
          </w:p>
        </w:tc>
        <w:tc>
          <w:tcPr>
            <w:tcW w:w="1110" w:type="dxa"/>
            <w:shd w:val="clear" w:color="auto" w:fill="C6EFCE"/>
            <w:tcMar>
              <w:left w:w="108" w:type="dxa"/>
              <w:right w:w="108" w:type="dxa"/>
            </w:tcMar>
            <w:vAlign w:val="center"/>
          </w:tcPr>
          <w:p w14:paraId="4A397A3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884" w:type="dxa"/>
            <w:shd w:val="clear" w:color="auto" w:fill="C6EFCE"/>
            <w:tcMar>
              <w:left w:w="108" w:type="dxa"/>
              <w:right w:w="108" w:type="dxa"/>
            </w:tcMar>
            <w:vAlign w:val="center"/>
          </w:tcPr>
          <w:p w14:paraId="1A117E53" w14:textId="77777777" w:rsidR="00BF03AA" w:rsidRPr="00326E55" w:rsidRDefault="00FB452D">
            <w:pPr>
              <w:pStyle w:val="P68B1DB1-Normal121"/>
              <w:spacing w:after="0" w:line="240" w:lineRule="auto"/>
              <w:rPr>
                <w:noProof/>
                <w:spacing w:val="-6"/>
                <w:lang w:val="sk-SK"/>
              </w:rPr>
            </w:pPr>
            <w:r w:rsidRPr="00326E55">
              <w:rPr>
                <w:noProof/>
                <w:spacing w:val="-6"/>
                <w:lang w:val="sk-SK"/>
              </w:rPr>
              <w:t>Zadávanie zákaziek</w:t>
            </w:r>
          </w:p>
        </w:tc>
      </w:tr>
      <w:tr w:rsidR="00BF03AA" w:rsidRPr="00326E55" w14:paraId="290ED4FB" w14:textId="77777777">
        <w:trPr>
          <w:trHeight w:val="300"/>
        </w:trPr>
        <w:tc>
          <w:tcPr>
            <w:tcW w:w="1155" w:type="dxa"/>
            <w:shd w:val="clear" w:color="auto" w:fill="C6EFCE"/>
            <w:tcMar>
              <w:left w:w="108" w:type="dxa"/>
              <w:right w:w="108" w:type="dxa"/>
            </w:tcMar>
            <w:vAlign w:val="center"/>
          </w:tcPr>
          <w:p w14:paraId="13516A9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38</w:t>
            </w:r>
          </w:p>
        </w:tc>
        <w:tc>
          <w:tcPr>
            <w:tcW w:w="4209" w:type="dxa"/>
            <w:shd w:val="clear" w:color="auto" w:fill="C6EFCE"/>
            <w:tcMar>
              <w:left w:w="108" w:type="dxa"/>
              <w:right w:w="108" w:type="dxa"/>
            </w:tcMar>
            <w:vAlign w:val="center"/>
          </w:tcPr>
          <w:p w14:paraId="3573F8A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14: Infraštruktúra cezhraničného vývozu plynu</w:t>
            </w:r>
          </w:p>
        </w:tc>
        <w:tc>
          <w:tcPr>
            <w:tcW w:w="1110" w:type="dxa"/>
            <w:shd w:val="clear" w:color="auto" w:fill="C6EFCE"/>
            <w:tcMar>
              <w:left w:w="108" w:type="dxa"/>
              <w:right w:w="108" w:type="dxa"/>
            </w:tcMar>
            <w:vAlign w:val="center"/>
          </w:tcPr>
          <w:p w14:paraId="3D17F76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884" w:type="dxa"/>
            <w:shd w:val="clear" w:color="auto" w:fill="C6EFCE"/>
            <w:tcMar>
              <w:left w:w="108" w:type="dxa"/>
              <w:right w:w="108" w:type="dxa"/>
            </w:tcMar>
            <w:vAlign w:val="center"/>
          </w:tcPr>
          <w:p w14:paraId="5B7B6CEE" w14:textId="77777777" w:rsidR="00BF03AA" w:rsidRPr="00326E55" w:rsidRDefault="00FB452D">
            <w:pPr>
              <w:pStyle w:val="P68B1DB1-Normal121"/>
              <w:spacing w:after="0" w:line="240" w:lineRule="auto"/>
              <w:rPr>
                <w:noProof/>
                <w:spacing w:val="-6"/>
                <w:lang w:val="sk-SK"/>
              </w:rPr>
            </w:pPr>
            <w:r w:rsidRPr="00326E55">
              <w:rPr>
                <w:noProof/>
                <w:spacing w:val="-6"/>
                <w:lang w:val="sk-SK"/>
              </w:rPr>
              <w:t>Zadávanie zákaziek</w:t>
            </w:r>
          </w:p>
        </w:tc>
      </w:tr>
      <w:tr w:rsidR="00BF03AA" w:rsidRPr="00326E55" w14:paraId="04D2AA79" w14:textId="77777777">
        <w:trPr>
          <w:trHeight w:val="300"/>
        </w:trPr>
        <w:tc>
          <w:tcPr>
            <w:tcW w:w="1155" w:type="dxa"/>
            <w:shd w:val="clear" w:color="auto" w:fill="C6EFCE"/>
            <w:tcMar>
              <w:left w:w="108" w:type="dxa"/>
              <w:right w:w="108" w:type="dxa"/>
            </w:tcMar>
            <w:vAlign w:val="center"/>
          </w:tcPr>
          <w:p w14:paraId="390D77F4"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4209" w:type="dxa"/>
            <w:shd w:val="clear" w:color="auto" w:fill="C6EFCE"/>
            <w:tcMar>
              <w:left w:w="108" w:type="dxa"/>
              <w:right w:w="108" w:type="dxa"/>
            </w:tcMar>
            <w:vAlign w:val="center"/>
          </w:tcPr>
          <w:p w14:paraId="54BF8C2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110" w:type="dxa"/>
            <w:shd w:val="clear" w:color="auto" w:fill="C6EFCE"/>
            <w:tcMar>
              <w:left w:w="108" w:type="dxa"/>
              <w:right w:w="108" w:type="dxa"/>
            </w:tcMar>
            <w:vAlign w:val="center"/>
          </w:tcPr>
          <w:p w14:paraId="53709D1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2884" w:type="dxa"/>
            <w:shd w:val="clear" w:color="auto" w:fill="C6EFCE"/>
            <w:tcMar>
              <w:left w:w="108" w:type="dxa"/>
              <w:right w:w="108" w:type="dxa"/>
            </w:tcMar>
            <w:vAlign w:val="center"/>
          </w:tcPr>
          <w:p w14:paraId="22467A68"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7908481227 EUR</w:t>
            </w:r>
            <w:r w:rsidRPr="00326E55">
              <w:rPr>
                <w:noProof/>
                <w:spacing w:val="-6"/>
                <w:sz w:val="23"/>
                <w:szCs w:val="23"/>
                <w:lang w:val="sk-SK"/>
              </w:rPr>
              <w:t xml:space="preserve">  </w:t>
            </w:r>
          </w:p>
        </w:tc>
      </w:tr>
    </w:tbl>
    <w:p w14:paraId="20E28A66"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2DE42580"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 xml:space="preserve">Siedme zriadenie </w:t>
      </w:r>
      <w:r w:rsidRPr="00326E55">
        <w:rPr>
          <w:noProof/>
          <w:spacing w:val="-6"/>
          <w:lang w:val="sk-SK"/>
        </w:rPr>
        <w:t>(úverová podpora):</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3628"/>
        <w:gridCol w:w="1110"/>
        <w:gridCol w:w="3480"/>
      </w:tblGrid>
      <w:tr w:rsidR="00BF03AA" w:rsidRPr="00326E55" w14:paraId="758E6735" w14:textId="77777777">
        <w:trPr>
          <w:trHeight w:val="900"/>
          <w:tblHeader/>
        </w:trPr>
        <w:tc>
          <w:tcPr>
            <w:tcW w:w="1140" w:type="dxa"/>
            <w:vMerge w:val="restart"/>
            <w:shd w:val="clear" w:color="auto" w:fill="BDD7EE"/>
            <w:tcMar>
              <w:left w:w="108" w:type="dxa"/>
              <w:right w:w="108" w:type="dxa"/>
            </w:tcMar>
            <w:vAlign w:val="center"/>
          </w:tcPr>
          <w:p w14:paraId="247F6D0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628" w:type="dxa"/>
            <w:vMerge w:val="restart"/>
            <w:shd w:val="clear" w:color="auto" w:fill="BDD7EE"/>
            <w:tcMar>
              <w:left w:w="108" w:type="dxa"/>
              <w:right w:w="108" w:type="dxa"/>
            </w:tcMar>
            <w:vAlign w:val="center"/>
          </w:tcPr>
          <w:p w14:paraId="4787657D"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110" w:type="dxa"/>
            <w:vMerge w:val="restart"/>
            <w:shd w:val="clear" w:color="auto" w:fill="BDD7EE"/>
            <w:tcMar>
              <w:left w:w="108" w:type="dxa"/>
              <w:right w:w="108" w:type="dxa"/>
            </w:tcMar>
            <w:vAlign w:val="center"/>
          </w:tcPr>
          <w:p w14:paraId="304D371D"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480" w:type="dxa"/>
            <w:vMerge w:val="restart"/>
            <w:shd w:val="clear" w:color="auto" w:fill="BDD7EE"/>
            <w:tcMar>
              <w:left w:w="108" w:type="dxa"/>
              <w:right w:w="108" w:type="dxa"/>
            </w:tcMar>
            <w:vAlign w:val="center"/>
          </w:tcPr>
          <w:p w14:paraId="1D48310C"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4375487C" w14:textId="77777777">
        <w:trPr>
          <w:trHeight w:val="510"/>
        </w:trPr>
        <w:tc>
          <w:tcPr>
            <w:tcW w:w="1140" w:type="dxa"/>
            <w:vMerge/>
            <w:vAlign w:val="center"/>
          </w:tcPr>
          <w:p w14:paraId="731A51E3"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628" w:type="dxa"/>
            <w:vMerge/>
            <w:vAlign w:val="center"/>
          </w:tcPr>
          <w:p w14:paraId="53C4788F"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110" w:type="dxa"/>
            <w:vMerge/>
            <w:vAlign w:val="center"/>
          </w:tcPr>
          <w:p w14:paraId="3351F2F9"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480" w:type="dxa"/>
            <w:vMerge/>
            <w:vAlign w:val="center"/>
          </w:tcPr>
          <w:p w14:paraId="69E2F8F2"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263CB4B" w14:textId="77777777">
        <w:trPr>
          <w:trHeight w:val="300"/>
        </w:trPr>
        <w:tc>
          <w:tcPr>
            <w:tcW w:w="1140" w:type="dxa"/>
            <w:shd w:val="clear" w:color="auto" w:fill="C6EFCE"/>
            <w:tcMar>
              <w:left w:w="108" w:type="dxa"/>
              <w:right w:w="108" w:type="dxa"/>
            </w:tcMar>
            <w:vAlign w:val="center"/>
          </w:tcPr>
          <w:p w14:paraId="056A9E7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139</w:t>
            </w:r>
          </w:p>
        </w:tc>
        <w:tc>
          <w:tcPr>
            <w:tcW w:w="3628" w:type="dxa"/>
            <w:shd w:val="clear" w:color="auto" w:fill="C6EFCE"/>
            <w:tcMar>
              <w:left w:w="108" w:type="dxa"/>
              <w:right w:w="108" w:type="dxa"/>
            </w:tcMar>
            <w:vAlign w:val="center"/>
          </w:tcPr>
          <w:p w14:paraId="664DA71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1.2 – Umožnenie cloud computingu pre miestnu platobnú agentúru</w:t>
            </w:r>
          </w:p>
        </w:tc>
        <w:tc>
          <w:tcPr>
            <w:tcW w:w="1110" w:type="dxa"/>
            <w:shd w:val="clear" w:color="auto" w:fill="C6EFCE"/>
            <w:tcMar>
              <w:left w:w="108" w:type="dxa"/>
              <w:right w:w="108" w:type="dxa"/>
            </w:tcMar>
            <w:vAlign w:val="center"/>
          </w:tcPr>
          <w:p w14:paraId="4C0F631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05582A84" w14:textId="77777777" w:rsidR="00BF03AA" w:rsidRPr="00326E55" w:rsidRDefault="00FB452D">
            <w:pPr>
              <w:pStyle w:val="P68B1DB1-Normal121"/>
              <w:spacing w:after="0" w:line="240" w:lineRule="auto"/>
              <w:rPr>
                <w:noProof/>
                <w:spacing w:val="-6"/>
                <w:lang w:val="sk-SK"/>
              </w:rPr>
            </w:pPr>
            <w:r w:rsidRPr="00326E55">
              <w:rPr>
                <w:noProof/>
                <w:spacing w:val="-6"/>
                <w:lang w:val="sk-SK"/>
              </w:rPr>
              <w:t>Cloudové povolenie pre miestnu verejnú správu T1</w:t>
            </w:r>
          </w:p>
        </w:tc>
      </w:tr>
      <w:tr w:rsidR="00BF03AA" w:rsidRPr="00326E55" w14:paraId="73797587" w14:textId="77777777">
        <w:trPr>
          <w:trHeight w:val="300"/>
        </w:trPr>
        <w:tc>
          <w:tcPr>
            <w:tcW w:w="1140" w:type="dxa"/>
            <w:shd w:val="clear" w:color="auto" w:fill="C6EFCE"/>
            <w:tcMar>
              <w:left w:w="108" w:type="dxa"/>
              <w:right w:w="108" w:type="dxa"/>
            </w:tcMar>
            <w:vAlign w:val="center"/>
          </w:tcPr>
          <w:p w14:paraId="697ABEB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25</w:t>
            </w:r>
          </w:p>
        </w:tc>
        <w:tc>
          <w:tcPr>
            <w:tcW w:w="3628" w:type="dxa"/>
            <w:shd w:val="clear" w:color="auto" w:fill="C6EFCE"/>
            <w:tcMar>
              <w:left w:w="108" w:type="dxa"/>
              <w:right w:w="108" w:type="dxa"/>
            </w:tcMar>
            <w:vAlign w:val="center"/>
          </w:tcPr>
          <w:p w14:paraId="24F30404"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Vývoj rýchlych systémov hromadnej dopravy </w:t>
            </w:r>
          </w:p>
        </w:tc>
        <w:tc>
          <w:tcPr>
            <w:tcW w:w="1110" w:type="dxa"/>
            <w:shd w:val="clear" w:color="auto" w:fill="C6EFCE"/>
            <w:tcMar>
              <w:left w:w="108" w:type="dxa"/>
              <w:right w:w="108" w:type="dxa"/>
            </w:tcMar>
            <w:vAlign w:val="center"/>
          </w:tcPr>
          <w:p w14:paraId="19EDD44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53F4DAC4" w14:textId="70333329" w:rsidR="00BF03AA" w:rsidRPr="00326E55" w:rsidRDefault="00FB452D">
            <w:pPr>
              <w:pStyle w:val="P68B1DB1-Normal122"/>
              <w:spacing w:after="0" w:line="240" w:lineRule="auto"/>
              <w:rPr>
                <w:noProof/>
                <w:spacing w:val="-6"/>
                <w:lang w:val="sk-SK"/>
              </w:rPr>
            </w:pPr>
            <w:r w:rsidRPr="00326E55">
              <w:rPr>
                <w:noProof/>
                <w:color w:val="006100"/>
                <w:spacing w:val="-6"/>
                <w:lang w:val="sk-SK"/>
              </w:rPr>
              <w:t>Zadávanie</w:t>
            </w:r>
            <w:r w:rsidRPr="00326E55">
              <w:rPr>
                <w:noProof/>
                <w:color w:val="000000"/>
                <w:spacing w:val="-6"/>
                <w:lang w:val="sk-SK"/>
              </w:rPr>
              <w:t xml:space="preserve"> </w:t>
            </w:r>
            <w:r w:rsidRPr="00326E55">
              <w:rPr>
                <w:noProof/>
                <w:color w:val="006100"/>
                <w:spacing w:val="-6"/>
                <w:lang w:val="sk-SK"/>
              </w:rPr>
              <w:t>všetkých verejných zákaziek na nákup železničných koľajových vozidiel</w:t>
            </w:r>
            <w:r w:rsidR="00326E55" w:rsidRPr="00326E55">
              <w:rPr>
                <w:noProof/>
                <w:color w:val="006100"/>
                <w:spacing w:val="-6"/>
                <w:lang w:val="sk-SK"/>
              </w:rPr>
              <w:t xml:space="preserve"> s </w:t>
            </w:r>
            <w:r w:rsidRPr="00326E55">
              <w:rPr>
                <w:noProof/>
                <w:color w:val="006100"/>
                <w:spacing w:val="-6"/>
                <w:lang w:val="sk-SK"/>
              </w:rPr>
              <w:t>nulovými emisiami</w:t>
            </w:r>
            <w:r w:rsidR="00326E55" w:rsidRPr="00326E55">
              <w:rPr>
                <w:noProof/>
                <w:color w:val="006100"/>
                <w:spacing w:val="-6"/>
                <w:lang w:val="sk-SK"/>
              </w:rPr>
              <w:t xml:space="preserve"> a </w:t>
            </w:r>
            <w:r w:rsidRPr="00326E55">
              <w:rPr>
                <w:noProof/>
                <w:color w:val="006100"/>
                <w:spacing w:val="-6"/>
                <w:lang w:val="sk-SK"/>
              </w:rPr>
              <w:t>intervencie na modernizáciu infraštruktúry systémov rýchlej hromadnej dopravy</w:t>
            </w:r>
          </w:p>
        </w:tc>
      </w:tr>
      <w:tr w:rsidR="00BF03AA" w:rsidRPr="00326E55" w14:paraId="1A5F5993" w14:textId="77777777">
        <w:trPr>
          <w:trHeight w:val="300"/>
        </w:trPr>
        <w:tc>
          <w:tcPr>
            <w:tcW w:w="1140" w:type="dxa"/>
            <w:shd w:val="clear" w:color="auto" w:fill="C6EFCE"/>
            <w:tcMar>
              <w:left w:w="108" w:type="dxa"/>
              <w:right w:w="108" w:type="dxa"/>
            </w:tcMar>
            <w:vAlign w:val="center"/>
          </w:tcPr>
          <w:p w14:paraId="159EC49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11</w:t>
            </w:r>
          </w:p>
        </w:tc>
        <w:tc>
          <w:tcPr>
            <w:tcW w:w="3628" w:type="dxa"/>
            <w:shd w:val="clear" w:color="auto" w:fill="C6EFCE"/>
            <w:tcMar>
              <w:left w:w="108" w:type="dxa"/>
              <w:right w:w="108" w:type="dxa"/>
            </w:tcMar>
            <w:vAlign w:val="center"/>
          </w:tcPr>
          <w:p w14:paraId="06E7A05B" w14:textId="2A8F3F69" w:rsidR="00BF03AA" w:rsidRPr="00326E55" w:rsidRDefault="00FB452D">
            <w:pPr>
              <w:pStyle w:val="P68B1DB1-Normal121"/>
              <w:spacing w:after="0" w:line="240" w:lineRule="auto"/>
              <w:rPr>
                <w:noProof/>
                <w:spacing w:val="-6"/>
                <w:lang w:val="sk-SK"/>
              </w:rPr>
            </w:pPr>
            <w:r w:rsidRPr="00326E55">
              <w:rPr>
                <w:noProof/>
                <w:spacing w:val="-6"/>
                <w:lang w:val="sk-SK"/>
              </w:rPr>
              <w:t>Investícia 2.1.a. Opatrenia na znižovanie povodňových</w:t>
            </w:r>
            <w:r w:rsidR="00326E55" w:rsidRPr="00326E55">
              <w:rPr>
                <w:noProof/>
                <w:spacing w:val="-6"/>
                <w:lang w:val="sk-SK"/>
              </w:rPr>
              <w:t xml:space="preserve"> a </w:t>
            </w:r>
            <w:r w:rsidRPr="00326E55">
              <w:rPr>
                <w:noProof/>
                <w:spacing w:val="-6"/>
                <w:lang w:val="sk-SK"/>
              </w:rPr>
              <w:t>hydrogeologických rizík – intervencie</w:t>
            </w:r>
            <w:r w:rsidR="00326E55" w:rsidRPr="00326E55">
              <w:rPr>
                <w:noProof/>
                <w:spacing w:val="-6"/>
                <w:lang w:val="sk-SK"/>
              </w:rPr>
              <w:t xml:space="preserve"> v </w:t>
            </w:r>
            <w:r w:rsidRPr="00326E55">
              <w:rPr>
                <w:noProof/>
                <w:spacing w:val="-6"/>
                <w:lang w:val="sk-SK"/>
              </w:rPr>
              <w:t>mestách Emilia Romagna, Toskánsko</w:t>
            </w:r>
            <w:r w:rsidR="00326E55" w:rsidRPr="00326E55">
              <w:rPr>
                <w:noProof/>
                <w:spacing w:val="-6"/>
                <w:lang w:val="sk-SK"/>
              </w:rPr>
              <w:t xml:space="preserve"> a </w:t>
            </w:r>
            <w:r w:rsidRPr="00326E55">
              <w:rPr>
                <w:noProof/>
                <w:spacing w:val="-6"/>
                <w:lang w:val="sk-SK"/>
              </w:rPr>
              <w:t>Marche</w:t>
            </w:r>
          </w:p>
        </w:tc>
        <w:tc>
          <w:tcPr>
            <w:tcW w:w="1110" w:type="dxa"/>
            <w:shd w:val="clear" w:color="auto" w:fill="C6EFCE"/>
            <w:tcMar>
              <w:left w:w="108" w:type="dxa"/>
              <w:right w:w="108" w:type="dxa"/>
            </w:tcMar>
            <w:vAlign w:val="center"/>
          </w:tcPr>
          <w:p w14:paraId="7EFF86F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2BE8BB1F" w14:textId="77777777" w:rsidR="00BF03AA" w:rsidRPr="00326E55" w:rsidRDefault="00FB452D">
            <w:pPr>
              <w:pStyle w:val="P68B1DB1-Normal121"/>
              <w:spacing w:after="0" w:line="240" w:lineRule="auto"/>
              <w:rPr>
                <w:noProof/>
                <w:spacing w:val="-6"/>
                <w:lang w:val="sk-SK"/>
              </w:rPr>
            </w:pPr>
            <w:r w:rsidRPr="00326E55">
              <w:rPr>
                <w:noProof/>
                <w:spacing w:val="-6"/>
                <w:lang w:val="sk-SK"/>
              </w:rPr>
              <w:t>Identifikácia zásahov prostredníctvom nariadenia (vyhlášok) komisára pre núdzové situácie</w:t>
            </w:r>
          </w:p>
        </w:tc>
      </w:tr>
      <w:tr w:rsidR="00BF03AA" w:rsidRPr="00326E55" w14:paraId="4EC85EB6" w14:textId="77777777">
        <w:trPr>
          <w:trHeight w:val="300"/>
        </w:trPr>
        <w:tc>
          <w:tcPr>
            <w:tcW w:w="1140" w:type="dxa"/>
            <w:shd w:val="clear" w:color="auto" w:fill="C6EFCE"/>
            <w:tcMar>
              <w:left w:w="108" w:type="dxa"/>
              <w:right w:w="108" w:type="dxa"/>
            </w:tcMar>
            <w:vAlign w:val="center"/>
          </w:tcPr>
          <w:p w14:paraId="56FC108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46</w:t>
            </w:r>
          </w:p>
        </w:tc>
        <w:tc>
          <w:tcPr>
            <w:tcW w:w="3628" w:type="dxa"/>
            <w:shd w:val="clear" w:color="auto" w:fill="C6EFCE"/>
            <w:tcMar>
              <w:left w:w="108" w:type="dxa"/>
              <w:right w:w="108" w:type="dxa"/>
            </w:tcMar>
            <w:vAlign w:val="center"/>
          </w:tcPr>
          <w:p w14:paraId="1F13DB4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w:t>
            </w:r>
            <w:r w:rsidRPr="00326E55">
              <w:rPr>
                <w:noProof/>
                <w:spacing w:val="-6"/>
                <w:lang w:val="sk-SK"/>
              </w:rPr>
              <w:t>17: Finančný nástroj na energetickú obnovu bytových domov</w:t>
            </w:r>
          </w:p>
        </w:tc>
        <w:tc>
          <w:tcPr>
            <w:tcW w:w="1110" w:type="dxa"/>
            <w:shd w:val="clear" w:color="auto" w:fill="C6EFCE"/>
            <w:tcMar>
              <w:left w:w="108" w:type="dxa"/>
              <w:right w:w="108" w:type="dxa"/>
            </w:tcMar>
            <w:vAlign w:val="center"/>
          </w:tcPr>
          <w:p w14:paraId="57CEDA8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35A324D2" w14:textId="77777777" w:rsidR="00BF03AA" w:rsidRPr="00326E55" w:rsidRDefault="00FB452D">
            <w:pPr>
              <w:pStyle w:val="P68B1DB1-Normal121"/>
              <w:spacing w:after="0" w:line="240" w:lineRule="auto"/>
              <w:rPr>
                <w:noProof/>
                <w:spacing w:val="-6"/>
                <w:lang w:val="sk-SK"/>
              </w:rPr>
            </w:pPr>
            <w:r w:rsidRPr="00326E55">
              <w:rPr>
                <w:noProof/>
                <w:spacing w:val="-6"/>
                <w:lang w:val="sk-SK"/>
              </w:rPr>
              <w:t>Vymedzenie cieľa referenčného rámca</w:t>
            </w:r>
          </w:p>
        </w:tc>
      </w:tr>
      <w:tr w:rsidR="00BF03AA" w:rsidRPr="00326E55" w14:paraId="2051B19A" w14:textId="77777777">
        <w:trPr>
          <w:trHeight w:val="300"/>
        </w:trPr>
        <w:tc>
          <w:tcPr>
            <w:tcW w:w="1140" w:type="dxa"/>
            <w:shd w:val="clear" w:color="auto" w:fill="C6EFCE"/>
            <w:tcMar>
              <w:left w:w="108" w:type="dxa"/>
              <w:right w:w="108" w:type="dxa"/>
            </w:tcMar>
            <w:vAlign w:val="center"/>
          </w:tcPr>
          <w:p w14:paraId="77E63E7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140</w:t>
            </w:r>
          </w:p>
        </w:tc>
        <w:tc>
          <w:tcPr>
            <w:tcW w:w="3628" w:type="dxa"/>
            <w:shd w:val="clear" w:color="auto" w:fill="C6EFCE"/>
            <w:tcMar>
              <w:left w:w="108" w:type="dxa"/>
              <w:right w:w="108" w:type="dxa"/>
            </w:tcMar>
            <w:vAlign w:val="center"/>
          </w:tcPr>
          <w:p w14:paraId="56F7269B" w14:textId="5CB74F5C" w:rsidR="00BF03AA" w:rsidRPr="00326E55" w:rsidRDefault="00FB452D">
            <w:pPr>
              <w:pStyle w:val="P68B1DB1-Normal121"/>
              <w:spacing w:after="0" w:line="240" w:lineRule="auto"/>
              <w:rPr>
                <w:noProof/>
                <w:spacing w:val="-6"/>
                <w:lang w:val="sk-SK"/>
              </w:rPr>
            </w:pPr>
            <w:r w:rsidRPr="00326E55">
              <w:rPr>
                <w:noProof/>
                <w:spacing w:val="-6"/>
                <w:lang w:val="sk-SK"/>
              </w:rPr>
              <w:t>Investícia 1.4.1 – Občianske skúsenosti – Zlepšenie kvality</w:t>
            </w:r>
            <w:r w:rsidR="00326E55" w:rsidRPr="00326E55">
              <w:rPr>
                <w:noProof/>
                <w:spacing w:val="-6"/>
                <w:lang w:val="sk-SK"/>
              </w:rPr>
              <w:t xml:space="preserve"> a </w:t>
            </w:r>
            <w:r w:rsidRPr="00326E55">
              <w:rPr>
                <w:noProof/>
                <w:spacing w:val="-6"/>
                <w:lang w:val="sk-SK"/>
              </w:rPr>
              <w:t>použiteľnosti digitálnych verejných služieb</w:t>
            </w:r>
          </w:p>
        </w:tc>
        <w:tc>
          <w:tcPr>
            <w:tcW w:w="1110" w:type="dxa"/>
            <w:shd w:val="clear" w:color="auto" w:fill="C6EFCE"/>
            <w:tcMar>
              <w:left w:w="108" w:type="dxa"/>
              <w:right w:w="108" w:type="dxa"/>
            </w:tcMar>
            <w:vAlign w:val="center"/>
          </w:tcPr>
          <w:p w14:paraId="6290FE5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6F796CD9" w14:textId="7C35C2FD" w:rsidR="00BF03AA" w:rsidRPr="00326E55" w:rsidRDefault="00FB452D">
            <w:pPr>
              <w:pStyle w:val="P68B1DB1-Normal121"/>
              <w:spacing w:after="0" w:line="240" w:lineRule="auto"/>
              <w:rPr>
                <w:noProof/>
                <w:spacing w:val="-6"/>
                <w:lang w:val="sk-SK"/>
              </w:rPr>
            </w:pPr>
            <w:r w:rsidRPr="00326E55">
              <w:rPr>
                <w:noProof/>
                <w:spacing w:val="-6"/>
                <w:lang w:val="sk-SK"/>
              </w:rPr>
              <w:t>Zlepšenie kvality</w:t>
            </w:r>
            <w:r w:rsidR="00326E55" w:rsidRPr="00326E55">
              <w:rPr>
                <w:noProof/>
                <w:spacing w:val="-6"/>
                <w:lang w:val="sk-SK"/>
              </w:rPr>
              <w:t xml:space="preserve"> a </w:t>
            </w:r>
            <w:r w:rsidRPr="00326E55">
              <w:rPr>
                <w:noProof/>
                <w:spacing w:val="-6"/>
                <w:lang w:val="sk-SK"/>
              </w:rPr>
              <w:t>použiteľnost</w:t>
            </w:r>
            <w:r w:rsidRPr="00326E55">
              <w:rPr>
                <w:noProof/>
                <w:spacing w:val="-6"/>
                <w:lang w:val="sk-SK"/>
              </w:rPr>
              <w:t>i digitálnych verejných služieb T1</w:t>
            </w:r>
          </w:p>
        </w:tc>
      </w:tr>
      <w:tr w:rsidR="00BF03AA" w:rsidRPr="00326E55" w14:paraId="144346FB" w14:textId="77777777">
        <w:trPr>
          <w:trHeight w:val="300"/>
        </w:trPr>
        <w:tc>
          <w:tcPr>
            <w:tcW w:w="1140" w:type="dxa"/>
            <w:shd w:val="clear" w:color="auto" w:fill="C6EFCE"/>
            <w:tcMar>
              <w:left w:w="108" w:type="dxa"/>
              <w:right w:w="108" w:type="dxa"/>
            </w:tcMar>
            <w:vAlign w:val="center"/>
          </w:tcPr>
          <w:p w14:paraId="791722A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141</w:t>
            </w:r>
          </w:p>
        </w:tc>
        <w:tc>
          <w:tcPr>
            <w:tcW w:w="3628" w:type="dxa"/>
            <w:shd w:val="clear" w:color="auto" w:fill="C6EFCE"/>
            <w:tcMar>
              <w:left w:w="108" w:type="dxa"/>
              <w:right w:w="108" w:type="dxa"/>
            </w:tcMar>
            <w:vAlign w:val="center"/>
          </w:tcPr>
          <w:p w14:paraId="07996C5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1.6.4 – Digitalizácia ministerstva obrany</w:t>
            </w:r>
          </w:p>
        </w:tc>
        <w:tc>
          <w:tcPr>
            <w:tcW w:w="1110" w:type="dxa"/>
            <w:shd w:val="clear" w:color="auto" w:fill="C6EFCE"/>
            <w:tcMar>
              <w:left w:w="108" w:type="dxa"/>
              <w:right w:w="108" w:type="dxa"/>
            </w:tcMar>
            <w:vAlign w:val="center"/>
          </w:tcPr>
          <w:p w14:paraId="23DDE8E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133C883D" w14:textId="77777777" w:rsidR="00BF03AA" w:rsidRPr="00326E55" w:rsidRDefault="00FB452D">
            <w:pPr>
              <w:pStyle w:val="P68B1DB1-Normal121"/>
              <w:spacing w:after="0" w:line="240" w:lineRule="auto"/>
              <w:rPr>
                <w:noProof/>
                <w:spacing w:val="-6"/>
                <w:lang w:val="sk-SK"/>
              </w:rPr>
            </w:pPr>
            <w:r w:rsidRPr="00326E55">
              <w:rPr>
                <w:noProof/>
                <w:spacing w:val="-6"/>
                <w:lang w:val="sk-SK"/>
              </w:rPr>
              <w:t>Digitalizácia postupov ministerstva obrany T2</w:t>
            </w:r>
          </w:p>
        </w:tc>
      </w:tr>
      <w:tr w:rsidR="00BF03AA" w:rsidRPr="00326E55" w14:paraId="4B8F99A1" w14:textId="77777777">
        <w:trPr>
          <w:trHeight w:val="300"/>
        </w:trPr>
        <w:tc>
          <w:tcPr>
            <w:tcW w:w="1140" w:type="dxa"/>
            <w:shd w:val="clear" w:color="auto" w:fill="C6EFCE"/>
            <w:tcMar>
              <w:left w:w="108" w:type="dxa"/>
              <w:right w:w="108" w:type="dxa"/>
            </w:tcMar>
            <w:vAlign w:val="center"/>
          </w:tcPr>
          <w:p w14:paraId="7406D53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142</w:t>
            </w:r>
          </w:p>
        </w:tc>
        <w:tc>
          <w:tcPr>
            <w:tcW w:w="3628" w:type="dxa"/>
            <w:shd w:val="clear" w:color="auto" w:fill="C6EFCE"/>
            <w:tcMar>
              <w:left w:w="108" w:type="dxa"/>
              <w:right w:w="108" w:type="dxa"/>
            </w:tcMar>
            <w:vAlign w:val="center"/>
          </w:tcPr>
          <w:p w14:paraId="452E642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1.6.4 – Digitalizácia ministerstva obrany</w:t>
            </w:r>
          </w:p>
        </w:tc>
        <w:tc>
          <w:tcPr>
            <w:tcW w:w="1110" w:type="dxa"/>
            <w:shd w:val="clear" w:color="auto" w:fill="C6EFCE"/>
            <w:tcMar>
              <w:left w:w="108" w:type="dxa"/>
              <w:right w:w="108" w:type="dxa"/>
            </w:tcMar>
            <w:vAlign w:val="center"/>
          </w:tcPr>
          <w:p w14:paraId="1FC485B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514B29C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Digitalizácia certifikátov </w:t>
            </w:r>
            <w:r w:rsidRPr="00326E55">
              <w:rPr>
                <w:noProof/>
                <w:spacing w:val="-6"/>
                <w:lang w:val="sk-SK"/>
              </w:rPr>
              <w:t>ministerstva obrany T2</w:t>
            </w:r>
          </w:p>
        </w:tc>
      </w:tr>
      <w:tr w:rsidR="00BF03AA" w:rsidRPr="00326E55" w14:paraId="1C259CF6" w14:textId="77777777">
        <w:trPr>
          <w:trHeight w:val="300"/>
        </w:trPr>
        <w:tc>
          <w:tcPr>
            <w:tcW w:w="1140" w:type="dxa"/>
            <w:shd w:val="clear" w:color="auto" w:fill="C6EFCE"/>
            <w:tcMar>
              <w:left w:w="108" w:type="dxa"/>
              <w:right w:w="108" w:type="dxa"/>
            </w:tcMar>
            <w:vAlign w:val="center"/>
          </w:tcPr>
          <w:p w14:paraId="5F058E8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143</w:t>
            </w:r>
          </w:p>
        </w:tc>
        <w:tc>
          <w:tcPr>
            <w:tcW w:w="3628" w:type="dxa"/>
            <w:shd w:val="clear" w:color="auto" w:fill="C6EFCE"/>
            <w:tcMar>
              <w:left w:w="108" w:type="dxa"/>
              <w:right w:w="108" w:type="dxa"/>
            </w:tcMar>
            <w:vAlign w:val="center"/>
          </w:tcPr>
          <w:p w14:paraId="7338BC9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1.6.4 – Digitalizácia ministerstva obrany</w:t>
            </w:r>
          </w:p>
        </w:tc>
        <w:tc>
          <w:tcPr>
            <w:tcW w:w="1110" w:type="dxa"/>
            <w:shd w:val="clear" w:color="auto" w:fill="C6EFCE"/>
            <w:tcMar>
              <w:left w:w="108" w:type="dxa"/>
              <w:right w:w="108" w:type="dxa"/>
            </w:tcMar>
            <w:vAlign w:val="center"/>
          </w:tcPr>
          <w:p w14:paraId="62A88D0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77373628" w14:textId="7EF80713" w:rsidR="00BF03AA" w:rsidRPr="00326E55" w:rsidRDefault="00FB452D">
            <w:pPr>
              <w:pStyle w:val="P68B1DB1-Normal121"/>
              <w:spacing w:after="0" w:line="240" w:lineRule="auto"/>
              <w:rPr>
                <w:noProof/>
                <w:spacing w:val="-6"/>
                <w:lang w:val="sk-SK"/>
              </w:rPr>
            </w:pPr>
            <w:r w:rsidRPr="00326E55">
              <w:rPr>
                <w:noProof/>
                <w:spacing w:val="-6"/>
                <w:lang w:val="sk-SK"/>
              </w:rPr>
              <w:t>Ministerstvo obrany – Migrácia kritických aplikácií misie</w:t>
            </w:r>
            <w:r w:rsidR="00326E55" w:rsidRPr="00326E55">
              <w:rPr>
                <w:noProof/>
                <w:spacing w:val="-6"/>
                <w:lang w:val="sk-SK"/>
              </w:rPr>
              <w:t xml:space="preserve"> a </w:t>
            </w:r>
            <w:r w:rsidRPr="00326E55">
              <w:rPr>
                <w:noProof/>
                <w:spacing w:val="-6"/>
                <w:lang w:val="sk-SK"/>
              </w:rPr>
              <w:t>aplikácií, ktoré nesúvisia</w:t>
            </w:r>
            <w:r w:rsidR="00326E55" w:rsidRPr="00326E55">
              <w:rPr>
                <w:noProof/>
                <w:spacing w:val="-6"/>
                <w:lang w:val="sk-SK"/>
              </w:rPr>
              <w:t xml:space="preserve"> s </w:t>
            </w:r>
            <w:r w:rsidRPr="00326E55">
              <w:rPr>
                <w:noProof/>
                <w:spacing w:val="-6"/>
                <w:lang w:val="sk-SK"/>
              </w:rPr>
              <w:t xml:space="preserve">misiou, do riešenia na úplnú ochranu informácií prostredníctvom </w:t>
            </w:r>
            <w:r w:rsidRPr="00326E55">
              <w:rPr>
                <w:noProof/>
                <w:spacing w:val="-6"/>
                <w:lang w:val="sk-SK"/>
              </w:rPr>
              <w:t>otvorenosti infraštruktúry (S.C.I.P.I.O.) T2</w:t>
            </w:r>
          </w:p>
        </w:tc>
      </w:tr>
      <w:tr w:rsidR="00BF03AA" w:rsidRPr="00326E55" w14:paraId="35849683" w14:textId="77777777">
        <w:trPr>
          <w:trHeight w:val="300"/>
        </w:trPr>
        <w:tc>
          <w:tcPr>
            <w:tcW w:w="1140" w:type="dxa"/>
            <w:shd w:val="clear" w:color="auto" w:fill="C6EFCE"/>
            <w:tcMar>
              <w:left w:w="108" w:type="dxa"/>
              <w:right w:w="108" w:type="dxa"/>
            </w:tcMar>
            <w:vAlign w:val="center"/>
          </w:tcPr>
          <w:p w14:paraId="6A0349B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19</w:t>
            </w:r>
          </w:p>
        </w:tc>
        <w:tc>
          <w:tcPr>
            <w:tcW w:w="3628" w:type="dxa"/>
            <w:shd w:val="clear" w:color="auto" w:fill="C6EFCE"/>
            <w:tcMar>
              <w:left w:w="108" w:type="dxa"/>
              <w:right w:w="108" w:type="dxa"/>
            </w:tcMar>
            <w:vAlign w:val="center"/>
          </w:tcPr>
          <w:p w14:paraId="1B3065E6" w14:textId="4DEBF46B" w:rsidR="00BF03AA" w:rsidRPr="00326E55" w:rsidRDefault="00FB452D">
            <w:pPr>
              <w:pStyle w:val="P68B1DB1-Normal121"/>
              <w:spacing w:after="0" w:line="240" w:lineRule="auto"/>
              <w:rPr>
                <w:noProof/>
                <w:spacing w:val="-6"/>
                <w:lang w:val="sk-SK"/>
              </w:rPr>
            </w:pPr>
            <w:r w:rsidRPr="00326E55">
              <w:rPr>
                <w:noProof/>
                <w:spacing w:val="-6"/>
                <w:lang w:val="sk-SK"/>
              </w:rPr>
              <w:t>Investícia 3: Rýchle internetové pripojenie (širokopásmové pripojenie</w:t>
            </w:r>
            <w:r w:rsidR="00326E55" w:rsidRPr="00326E55">
              <w:rPr>
                <w:noProof/>
                <w:spacing w:val="-6"/>
                <w:lang w:val="sk-SK"/>
              </w:rPr>
              <w:t xml:space="preserve"> a </w:t>
            </w:r>
            <w:r w:rsidRPr="00326E55">
              <w:rPr>
                <w:noProof/>
                <w:spacing w:val="-6"/>
                <w:lang w:val="sk-SK"/>
              </w:rPr>
              <w:t>5G)</w:t>
            </w:r>
          </w:p>
        </w:tc>
        <w:tc>
          <w:tcPr>
            <w:tcW w:w="1110" w:type="dxa"/>
            <w:shd w:val="clear" w:color="auto" w:fill="C6EFCE"/>
            <w:tcMar>
              <w:left w:w="108" w:type="dxa"/>
              <w:right w:w="108" w:type="dxa"/>
            </w:tcMar>
            <w:vAlign w:val="center"/>
          </w:tcPr>
          <w:p w14:paraId="2AC1EFA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6D140EB1" w14:textId="5BC01CF4" w:rsidR="00BF03AA" w:rsidRPr="00326E55" w:rsidRDefault="00FB452D">
            <w:pPr>
              <w:pStyle w:val="P68B1DB1-Normal121"/>
              <w:spacing w:after="0" w:line="240" w:lineRule="auto"/>
              <w:rPr>
                <w:noProof/>
                <w:spacing w:val="-6"/>
                <w:lang w:val="sk-SK"/>
              </w:rPr>
            </w:pPr>
            <w:r w:rsidRPr="00326E55">
              <w:rPr>
                <w:noProof/>
                <w:spacing w:val="-6"/>
                <w:lang w:val="sk-SK"/>
              </w:rPr>
              <w:t>Ostrovy</w:t>
            </w:r>
            <w:r w:rsidR="00326E55" w:rsidRPr="00326E55">
              <w:rPr>
                <w:noProof/>
                <w:spacing w:val="-6"/>
                <w:lang w:val="sk-SK"/>
              </w:rPr>
              <w:t xml:space="preserve"> s </w:t>
            </w:r>
            <w:r w:rsidRPr="00326E55">
              <w:rPr>
                <w:noProof/>
                <w:spacing w:val="-6"/>
                <w:lang w:val="sk-SK"/>
              </w:rPr>
              <w:t>ultraširokopásmovým pripojením</w:t>
            </w:r>
          </w:p>
        </w:tc>
      </w:tr>
      <w:tr w:rsidR="00BF03AA" w:rsidRPr="00326E55" w14:paraId="53698349" w14:textId="77777777">
        <w:trPr>
          <w:trHeight w:val="300"/>
        </w:trPr>
        <w:tc>
          <w:tcPr>
            <w:tcW w:w="1140" w:type="dxa"/>
            <w:shd w:val="clear" w:color="auto" w:fill="C6EFCE"/>
            <w:tcMar>
              <w:left w:w="108" w:type="dxa"/>
              <w:right w:w="108" w:type="dxa"/>
            </w:tcMar>
            <w:vAlign w:val="center"/>
          </w:tcPr>
          <w:p w14:paraId="3A8EDCF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27</w:t>
            </w:r>
          </w:p>
        </w:tc>
        <w:tc>
          <w:tcPr>
            <w:tcW w:w="3628" w:type="dxa"/>
            <w:shd w:val="clear" w:color="auto" w:fill="C6EFCE"/>
            <w:tcMar>
              <w:left w:w="108" w:type="dxa"/>
              <w:right w:w="108" w:type="dxa"/>
            </w:tcMar>
            <w:vAlign w:val="center"/>
          </w:tcPr>
          <w:p w14:paraId="15BF73C8"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 4.3 Caput Mundi-Next Generation EU pre veľké turistick</w:t>
            </w:r>
            <w:r w:rsidRPr="00326E55">
              <w:rPr>
                <w:noProof/>
                <w:spacing w:val="-6"/>
                <w:lang w:val="sk-SK"/>
              </w:rPr>
              <w:t>é podujatia</w:t>
            </w:r>
          </w:p>
        </w:tc>
        <w:tc>
          <w:tcPr>
            <w:tcW w:w="1110" w:type="dxa"/>
            <w:shd w:val="clear" w:color="auto" w:fill="C6EFCE"/>
            <w:tcMar>
              <w:left w:w="108" w:type="dxa"/>
              <w:right w:w="108" w:type="dxa"/>
            </w:tcMar>
            <w:vAlign w:val="center"/>
          </w:tcPr>
          <w:p w14:paraId="6CC96BC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0638FDB4" w14:textId="44ACB7D3" w:rsidR="00BF03AA" w:rsidRPr="00326E55" w:rsidRDefault="00FB452D">
            <w:pPr>
              <w:pStyle w:val="P68B1DB1-Normal121"/>
              <w:spacing w:after="0" w:line="240" w:lineRule="auto"/>
              <w:rPr>
                <w:noProof/>
                <w:spacing w:val="-6"/>
                <w:lang w:val="sk-SK"/>
              </w:rPr>
            </w:pPr>
            <w:r w:rsidRPr="00326E55">
              <w:rPr>
                <w:noProof/>
                <w:spacing w:val="-6"/>
                <w:lang w:val="sk-SK"/>
              </w:rPr>
              <w:t>Počet kultúrnych</w:t>
            </w:r>
            <w:r w:rsidR="00326E55" w:rsidRPr="00326E55">
              <w:rPr>
                <w:noProof/>
                <w:spacing w:val="-6"/>
                <w:lang w:val="sk-SK"/>
              </w:rPr>
              <w:t xml:space="preserve"> a </w:t>
            </w:r>
            <w:r w:rsidRPr="00326E55">
              <w:rPr>
                <w:noProof/>
                <w:spacing w:val="-6"/>
                <w:lang w:val="sk-SK"/>
              </w:rPr>
              <w:t>turistických lokalít, ktorých rekvalifikácia dosiahla</w:t>
            </w:r>
            <w:r w:rsidR="00326E55" w:rsidRPr="00326E55">
              <w:rPr>
                <w:noProof/>
                <w:spacing w:val="-6"/>
                <w:lang w:val="sk-SK"/>
              </w:rPr>
              <w:t xml:space="preserve"> v </w:t>
            </w:r>
            <w:r w:rsidRPr="00326E55">
              <w:rPr>
                <w:noProof/>
                <w:spacing w:val="-6"/>
                <w:lang w:val="sk-SK"/>
              </w:rPr>
              <w:t>priemere 50</w:t>
            </w:r>
            <w:r w:rsidR="00326E55" w:rsidRPr="00326E55">
              <w:rPr>
                <w:noProof/>
                <w:spacing w:val="-6"/>
                <w:lang w:val="sk-SK"/>
              </w:rPr>
              <w:t> %</w:t>
            </w:r>
            <w:r w:rsidRPr="00326E55">
              <w:rPr>
                <w:noProof/>
                <w:spacing w:val="-6"/>
                <w:lang w:val="sk-SK"/>
              </w:rPr>
              <w:t xml:space="preserve"> spoločnosti Stato Avanzamento Lavori (SAL) (prvá skupina) </w:t>
            </w:r>
          </w:p>
        </w:tc>
      </w:tr>
      <w:tr w:rsidR="00BF03AA" w:rsidRPr="00326E55" w14:paraId="37FDEABB" w14:textId="77777777">
        <w:trPr>
          <w:trHeight w:val="300"/>
        </w:trPr>
        <w:tc>
          <w:tcPr>
            <w:tcW w:w="1140" w:type="dxa"/>
            <w:shd w:val="clear" w:color="auto" w:fill="C6EFCE"/>
            <w:tcMar>
              <w:left w:w="108" w:type="dxa"/>
              <w:right w:w="108" w:type="dxa"/>
            </w:tcMar>
            <w:vAlign w:val="center"/>
          </w:tcPr>
          <w:p w14:paraId="11DE576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16ter</w:t>
            </w:r>
          </w:p>
        </w:tc>
        <w:tc>
          <w:tcPr>
            <w:tcW w:w="3628" w:type="dxa"/>
            <w:shd w:val="clear" w:color="auto" w:fill="C6EFCE"/>
            <w:tcMar>
              <w:left w:w="108" w:type="dxa"/>
              <w:right w:w="108" w:type="dxa"/>
            </w:tcMar>
            <w:vAlign w:val="center"/>
          </w:tcPr>
          <w:p w14:paraId="19CB894C" w14:textId="028AB6C8" w:rsidR="00BF03AA" w:rsidRPr="00326E55" w:rsidRDefault="00FB452D">
            <w:pPr>
              <w:pStyle w:val="P68B1DB1-Normal121"/>
              <w:spacing w:after="0" w:line="240" w:lineRule="auto"/>
              <w:rPr>
                <w:noProof/>
                <w:spacing w:val="-6"/>
                <w:lang w:val="sk-SK"/>
              </w:rPr>
            </w:pPr>
            <w:r w:rsidRPr="00326E55">
              <w:rPr>
                <w:noProof/>
                <w:spacing w:val="-6"/>
                <w:lang w:val="sk-SK"/>
              </w:rPr>
              <w:t>Investícia 1.1 – Realizácia nových zariadení na nakladanie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modernizácia existujúcich zariadení</w:t>
            </w:r>
          </w:p>
        </w:tc>
        <w:tc>
          <w:tcPr>
            <w:tcW w:w="1110" w:type="dxa"/>
            <w:shd w:val="clear" w:color="auto" w:fill="C6EFCE"/>
            <w:tcMar>
              <w:left w:w="108" w:type="dxa"/>
              <w:right w:w="108" w:type="dxa"/>
            </w:tcMar>
            <w:vAlign w:val="center"/>
          </w:tcPr>
          <w:p w14:paraId="305EE6A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43C3576E" w14:textId="32027D24" w:rsidR="00BF03AA" w:rsidRPr="00326E55" w:rsidRDefault="00FB452D">
            <w:pPr>
              <w:pStyle w:val="P68B1DB1-Normal121"/>
              <w:spacing w:after="0" w:line="240" w:lineRule="auto"/>
              <w:rPr>
                <w:noProof/>
                <w:spacing w:val="-6"/>
                <w:lang w:val="sk-SK"/>
              </w:rPr>
            </w:pPr>
            <w:r w:rsidRPr="00326E55">
              <w:rPr>
                <w:noProof/>
                <w:spacing w:val="-6"/>
                <w:lang w:val="sk-SK"/>
              </w:rPr>
              <w:t>Regionálne rozdiely</w:t>
            </w:r>
            <w:r w:rsidR="00326E55" w:rsidRPr="00326E55">
              <w:rPr>
                <w:noProof/>
                <w:spacing w:val="-6"/>
                <w:lang w:val="sk-SK"/>
              </w:rPr>
              <w:t xml:space="preserve"> v </w:t>
            </w:r>
            <w:r w:rsidRPr="00326E55">
              <w:rPr>
                <w:noProof/>
                <w:spacing w:val="-6"/>
                <w:lang w:val="sk-SK"/>
              </w:rPr>
              <w:t>podieloch triedeného zberu</w:t>
            </w:r>
          </w:p>
        </w:tc>
      </w:tr>
      <w:tr w:rsidR="00BF03AA" w:rsidRPr="00326E55" w14:paraId="0045435F" w14:textId="77777777">
        <w:trPr>
          <w:trHeight w:val="300"/>
        </w:trPr>
        <w:tc>
          <w:tcPr>
            <w:tcW w:w="1140" w:type="dxa"/>
            <w:shd w:val="clear" w:color="auto" w:fill="C6EFCE"/>
            <w:tcMar>
              <w:left w:w="108" w:type="dxa"/>
              <w:right w:w="108" w:type="dxa"/>
            </w:tcMar>
            <w:vAlign w:val="center"/>
          </w:tcPr>
          <w:p w14:paraId="2322E49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25</w:t>
            </w:r>
          </w:p>
        </w:tc>
        <w:tc>
          <w:tcPr>
            <w:tcW w:w="3628" w:type="dxa"/>
            <w:shd w:val="clear" w:color="auto" w:fill="C6EFCE"/>
            <w:tcMar>
              <w:left w:w="108" w:type="dxa"/>
              <w:right w:w="108" w:type="dxa"/>
            </w:tcMar>
            <w:vAlign w:val="center"/>
          </w:tcPr>
          <w:p w14:paraId="0CA975B1" w14:textId="7228E8C5" w:rsidR="00BF03AA" w:rsidRPr="00326E55" w:rsidRDefault="00FB452D">
            <w:pPr>
              <w:pStyle w:val="P68B1DB1-Normal121"/>
              <w:spacing w:after="0" w:line="240" w:lineRule="auto"/>
              <w:rPr>
                <w:noProof/>
                <w:spacing w:val="-6"/>
                <w:lang w:val="sk-SK"/>
              </w:rPr>
            </w:pPr>
            <w:r w:rsidRPr="00326E55">
              <w:rPr>
                <w:noProof/>
                <w:spacing w:val="-6"/>
                <w:lang w:val="sk-SK"/>
              </w:rPr>
              <w:t>Investícia 3.4: Fondo Contratti di Filiera (FCF) na podporu zmlúv</w:t>
            </w:r>
            <w:r w:rsidR="00326E55" w:rsidRPr="00326E55">
              <w:rPr>
                <w:noProof/>
                <w:spacing w:val="-6"/>
                <w:lang w:val="sk-SK"/>
              </w:rPr>
              <w:t xml:space="preserve"> o </w:t>
            </w:r>
            <w:r w:rsidRPr="00326E55">
              <w:rPr>
                <w:noProof/>
                <w:spacing w:val="-6"/>
                <w:lang w:val="sk-SK"/>
              </w:rPr>
              <w:t>dodávateľských reťazcoch pre agropotravinárske odvetvia, odvetvia rybolovu</w:t>
            </w:r>
            <w:r w:rsidR="00326E55" w:rsidRPr="00326E55">
              <w:rPr>
                <w:noProof/>
                <w:spacing w:val="-6"/>
                <w:lang w:val="sk-SK"/>
              </w:rPr>
              <w:t xml:space="preserve"> a </w:t>
            </w:r>
            <w:r w:rsidRPr="00326E55">
              <w:rPr>
                <w:noProof/>
                <w:spacing w:val="-6"/>
                <w:lang w:val="sk-SK"/>
              </w:rPr>
              <w:t>akvakultúr</w:t>
            </w:r>
            <w:r w:rsidRPr="00326E55">
              <w:rPr>
                <w:noProof/>
                <w:spacing w:val="-6"/>
                <w:lang w:val="sk-SK"/>
              </w:rPr>
              <w:t>y, lesného hospodárstva, kvetinárstva</w:t>
            </w:r>
            <w:r w:rsidR="00326E55" w:rsidRPr="00326E55">
              <w:rPr>
                <w:noProof/>
                <w:spacing w:val="-6"/>
                <w:lang w:val="sk-SK"/>
              </w:rPr>
              <w:t xml:space="preserve"> a </w:t>
            </w:r>
            <w:r w:rsidRPr="00326E55">
              <w:rPr>
                <w:noProof/>
                <w:spacing w:val="-6"/>
                <w:lang w:val="sk-SK"/>
              </w:rPr>
              <w:t>odchovní rastlín</w:t>
            </w:r>
          </w:p>
        </w:tc>
        <w:tc>
          <w:tcPr>
            <w:tcW w:w="1110" w:type="dxa"/>
            <w:shd w:val="clear" w:color="auto" w:fill="C6EFCE"/>
            <w:tcMar>
              <w:left w:w="108" w:type="dxa"/>
              <w:right w:w="108" w:type="dxa"/>
            </w:tcMar>
            <w:vAlign w:val="center"/>
          </w:tcPr>
          <w:p w14:paraId="5C14B72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21C43C2D" w14:textId="77777777" w:rsidR="00BF03AA" w:rsidRPr="00326E55" w:rsidRDefault="00FB452D">
            <w:pPr>
              <w:pStyle w:val="P68B1DB1-Normal121"/>
              <w:spacing w:after="0" w:line="240" w:lineRule="auto"/>
              <w:rPr>
                <w:noProof/>
                <w:spacing w:val="-6"/>
                <w:lang w:val="sk-SK"/>
              </w:rPr>
            </w:pPr>
            <w:r w:rsidRPr="00326E55">
              <w:rPr>
                <w:noProof/>
                <w:spacing w:val="-6"/>
                <w:lang w:val="sk-SK"/>
              </w:rPr>
              <w:t>Ministerstvo previedlo celkovú sumu zdrojov</w:t>
            </w:r>
          </w:p>
        </w:tc>
      </w:tr>
      <w:tr w:rsidR="00BF03AA" w:rsidRPr="00326E55" w14:paraId="1FEC5152" w14:textId="77777777">
        <w:trPr>
          <w:trHeight w:val="300"/>
        </w:trPr>
        <w:tc>
          <w:tcPr>
            <w:tcW w:w="1140" w:type="dxa"/>
            <w:shd w:val="clear" w:color="auto" w:fill="C6EFCE"/>
            <w:tcMar>
              <w:left w:w="108" w:type="dxa"/>
              <w:right w:w="108" w:type="dxa"/>
            </w:tcMar>
            <w:vAlign w:val="center"/>
          </w:tcPr>
          <w:p w14:paraId="7C364FC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9</w:t>
            </w:r>
          </w:p>
        </w:tc>
        <w:tc>
          <w:tcPr>
            <w:tcW w:w="3628" w:type="dxa"/>
            <w:shd w:val="clear" w:color="auto" w:fill="C6EFCE"/>
            <w:tcMar>
              <w:left w:w="108" w:type="dxa"/>
              <w:right w:w="108" w:type="dxa"/>
            </w:tcMar>
            <w:vAlign w:val="center"/>
          </w:tcPr>
          <w:p w14:paraId="4A9E7A7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2.1 Posilnenie inteligentných sietí</w:t>
            </w:r>
          </w:p>
        </w:tc>
        <w:tc>
          <w:tcPr>
            <w:tcW w:w="1110" w:type="dxa"/>
            <w:shd w:val="clear" w:color="auto" w:fill="C6EFCE"/>
            <w:tcMar>
              <w:left w:w="108" w:type="dxa"/>
              <w:right w:w="108" w:type="dxa"/>
            </w:tcMar>
            <w:vAlign w:val="center"/>
          </w:tcPr>
          <w:p w14:paraId="3CCC863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0D44B54F" w14:textId="3E46A46A" w:rsidR="00BF03AA" w:rsidRPr="00326E55" w:rsidRDefault="00FB452D">
            <w:pPr>
              <w:pStyle w:val="P68B1DB1-Normal121"/>
              <w:spacing w:after="0" w:line="240" w:lineRule="auto"/>
              <w:rPr>
                <w:noProof/>
                <w:spacing w:val="-6"/>
                <w:lang w:val="sk-SK"/>
              </w:rPr>
            </w:pPr>
            <w:r w:rsidRPr="00326E55">
              <w:rPr>
                <w:noProof/>
                <w:spacing w:val="-6"/>
                <w:lang w:val="sk-SK"/>
              </w:rPr>
              <w:t>Inteligentné siete – Zvýšiť kapacitu siete na distribúciu energie</w:t>
            </w:r>
            <w:r w:rsidR="00326E55" w:rsidRPr="00326E55">
              <w:rPr>
                <w:noProof/>
                <w:spacing w:val="-6"/>
                <w:lang w:val="sk-SK"/>
              </w:rPr>
              <w:t xml:space="preserve"> z </w:t>
            </w:r>
            <w:r w:rsidRPr="00326E55">
              <w:rPr>
                <w:noProof/>
                <w:spacing w:val="-6"/>
                <w:lang w:val="sk-SK"/>
              </w:rPr>
              <w:t xml:space="preserve">obnoviteľných </w:t>
            </w:r>
            <w:r w:rsidRPr="00326E55">
              <w:rPr>
                <w:noProof/>
                <w:spacing w:val="-6"/>
                <w:lang w:val="sk-SK"/>
              </w:rPr>
              <w:t>zdrojov</w:t>
            </w:r>
          </w:p>
        </w:tc>
      </w:tr>
      <w:tr w:rsidR="00BF03AA" w:rsidRPr="00326E55" w14:paraId="28AA07FF" w14:textId="77777777">
        <w:trPr>
          <w:trHeight w:val="300"/>
        </w:trPr>
        <w:tc>
          <w:tcPr>
            <w:tcW w:w="1140" w:type="dxa"/>
            <w:shd w:val="clear" w:color="auto" w:fill="C6EFCE"/>
            <w:tcMar>
              <w:left w:w="108" w:type="dxa"/>
              <w:right w:w="108" w:type="dxa"/>
            </w:tcMar>
            <w:vAlign w:val="center"/>
          </w:tcPr>
          <w:p w14:paraId="47F8846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34</w:t>
            </w:r>
          </w:p>
        </w:tc>
        <w:tc>
          <w:tcPr>
            <w:tcW w:w="3628" w:type="dxa"/>
            <w:shd w:val="clear" w:color="auto" w:fill="C6EFCE"/>
            <w:tcMar>
              <w:left w:w="108" w:type="dxa"/>
              <w:right w:w="108" w:type="dxa"/>
            </w:tcMar>
            <w:vAlign w:val="center"/>
          </w:tcPr>
          <w:p w14:paraId="23FCB73E" w14:textId="5390B5F4" w:rsidR="00BF03AA" w:rsidRPr="00326E55" w:rsidRDefault="00FB452D">
            <w:pPr>
              <w:pStyle w:val="P68B1DB1-Normal121"/>
              <w:spacing w:after="0" w:line="240" w:lineRule="auto"/>
              <w:rPr>
                <w:noProof/>
                <w:spacing w:val="-6"/>
                <w:lang w:val="sk-SK"/>
              </w:rPr>
            </w:pPr>
            <w:r w:rsidRPr="00326E55">
              <w:rPr>
                <w:noProof/>
                <w:spacing w:val="-6"/>
                <w:lang w:val="sk-SK"/>
              </w:rPr>
              <w:t>Investícia 4.4.1: Posilnenie regionálneho vozového parku verejnej autobusovej dopravy autobusmi</w:t>
            </w:r>
            <w:r w:rsidR="00326E55" w:rsidRPr="00326E55">
              <w:rPr>
                <w:noProof/>
                <w:spacing w:val="-6"/>
                <w:lang w:val="sk-SK"/>
              </w:rPr>
              <w:t xml:space="preserve"> s </w:t>
            </w:r>
            <w:r w:rsidRPr="00326E55">
              <w:rPr>
                <w:noProof/>
                <w:spacing w:val="-6"/>
                <w:lang w:val="sk-SK"/>
              </w:rPr>
              <w:t>nulovými emisiami</w:t>
            </w:r>
          </w:p>
        </w:tc>
        <w:tc>
          <w:tcPr>
            <w:tcW w:w="1110" w:type="dxa"/>
            <w:shd w:val="clear" w:color="auto" w:fill="C6EFCE"/>
            <w:tcMar>
              <w:left w:w="108" w:type="dxa"/>
              <w:right w:w="108" w:type="dxa"/>
            </w:tcMar>
            <w:vAlign w:val="center"/>
          </w:tcPr>
          <w:p w14:paraId="310E8C1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1621C5B2" w14:textId="52D973A4" w:rsidR="00BF03AA" w:rsidRPr="00326E55" w:rsidRDefault="00FB452D">
            <w:pPr>
              <w:pStyle w:val="P68B1DB1-Normal121"/>
              <w:spacing w:after="0" w:line="240" w:lineRule="auto"/>
              <w:rPr>
                <w:noProof/>
                <w:spacing w:val="-6"/>
                <w:lang w:val="sk-SK"/>
              </w:rPr>
            </w:pPr>
            <w:r w:rsidRPr="00326E55">
              <w:rPr>
                <w:noProof/>
                <w:spacing w:val="-6"/>
                <w:lang w:val="sk-SK"/>
              </w:rPr>
              <w:t>Počet nízkopodlažných autobusov</w:t>
            </w:r>
            <w:r w:rsidR="00326E55" w:rsidRPr="00326E55">
              <w:rPr>
                <w:noProof/>
                <w:spacing w:val="-6"/>
                <w:lang w:val="sk-SK"/>
              </w:rPr>
              <w:t xml:space="preserve"> s </w:t>
            </w:r>
            <w:r w:rsidRPr="00326E55">
              <w:rPr>
                <w:noProof/>
                <w:spacing w:val="-6"/>
                <w:lang w:val="sk-SK"/>
              </w:rPr>
              <w:t>nulovými emisiami registrovaných T1</w:t>
            </w:r>
          </w:p>
        </w:tc>
      </w:tr>
      <w:tr w:rsidR="00BF03AA" w:rsidRPr="00326E55" w14:paraId="1C1459CD" w14:textId="77777777">
        <w:trPr>
          <w:trHeight w:val="300"/>
        </w:trPr>
        <w:tc>
          <w:tcPr>
            <w:tcW w:w="1140" w:type="dxa"/>
            <w:shd w:val="clear" w:color="auto" w:fill="C6EFCE"/>
            <w:tcMar>
              <w:left w:w="108" w:type="dxa"/>
              <w:right w:w="108" w:type="dxa"/>
            </w:tcMar>
            <w:vAlign w:val="center"/>
          </w:tcPr>
          <w:p w14:paraId="1E017C4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34bis</w:t>
            </w:r>
          </w:p>
        </w:tc>
        <w:tc>
          <w:tcPr>
            <w:tcW w:w="3628" w:type="dxa"/>
            <w:shd w:val="clear" w:color="auto" w:fill="C6EFCE"/>
            <w:tcMar>
              <w:left w:w="108" w:type="dxa"/>
              <w:right w:w="108" w:type="dxa"/>
            </w:tcMar>
            <w:vAlign w:val="center"/>
          </w:tcPr>
          <w:p w14:paraId="3A0A9ECB" w14:textId="3628773E"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4.4.2:  Posilnenie </w:t>
            </w:r>
            <w:r w:rsidRPr="00326E55">
              <w:rPr>
                <w:noProof/>
                <w:spacing w:val="-6"/>
                <w:lang w:val="sk-SK"/>
              </w:rPr>
              <w:t>vozového parku regionálnej verejnej železničnej dopravy (vlaky</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univerzálna služba)</w:t>
            </w:r>
          </w:p>
        </w:tc>
        <w:tc>
          <w:tcPr>
            <w:tcW w:w="1110" w:type="dxa"/>
            <w:shd w:val="clear" w:color="auto" w:fill="C6EFCE"/>
            <w:tcMar>
              <w:left w:w="108" w:type="dxa"/>
              <w:right w:w="108" w:type="dxa"/>
            </w:tcMar>
            <w:vAlign w:val="center"/>
          </w:tcPr>
          <w:p w14:paraId="447A9F2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2F3840A2" w14:textId="4B23A012" w:rsidR="00BF03AA" w:rsidRPr="00326E55" w:rsidRDefault="00FB452D">
            <w:pPr>
              <w:pStyle w:val="P68B1DB1-Normal121"/>
              <w:spacing w:after="0" w:line="240" w:lineRule="auto"/>
              <w:rPr>
                <w:noProof/>
                <w:spacing w:val="-6"/>
                <w:lang w:val="sk-SK"/>
              </w:rPr>
            </w:pPr>
            <w:r w:rsidRPr="00326E55">
              <w:rPr>
                <w:noProof/>
                <w:spacing w:val="-6"/>
                <w:lang w:val="sk-SK"/>
              </w:rPr>
              <w:t>Počet vlakov</w:t>
            </w:r>
            <w:r w:rsidR="00326E55" w:rsidRPr="00326E55">
              <w:rPr>
                <w:noProof/>
                <w:spacing w:val="-6"/>
                <w:lang w:val="sk-SK"/>
              </w:rPr>
              <w:t xml:space="preserve"> s </w:t>
            </w:r>
            <w:r w:rsidRPr="00326E55">
              <w:rPr>
                <w:noProof/>
                <w:spacing w:val="-6"/>
                <w:lang w:val="sk-SK"/>
              </w:rPr>
              <w:t>nulovými emisiami</w:t>
            </w:r>
          </w:p>
        </w:tc>
      </w:tr>
      <w:tr w:rsidR="00BF03AA" w:rsidRPr="00326E55" w14:paraId="77C96979" w14:textId="77777777">
        <w:trPr>
          <w:trHeight w:val="300"/>
        </w:trPr>
        <w:tc>
          <w:tcPr>
            <w:tcW w:w="1140" w:type="dxa"/>
            <w:shd w:val="clear" w:color="auto" w:fill="C6EFCE"/>
            <w:tcMar>
              <w:left w:w="108" w:type="dxa"/>
              <w:right w:w="108" w:type="dxa"/>
            </w:tcMar>
            <w:vAlign w:val="center"/>
          </w:tcPr>
          <w:p w14:paraId="53C5C3D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38bis</w:t>
            </w:r>
          </w:p>
        </w:tc>
        <w:tc>
          <w:tcPr>
            <w:tcW w:w="3628" w:type="dxa"/>
            <w:shd w:val="clear" w:color="auto" w:fill="C6EFCE"/>
            <w:tcMar>
              <w:left w:w="108" w:type="dxa"/>
              <w:right w:w="108" w:type="dxa"/>
            </w:tcMar>
            <w:vAlign w:val="center"/>
          </w:tcPr>
          <w:p w14:paraId="64F816E7" w14:textId="2970F515"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5.1: Podpora výrobného systému pre ekologickú transformáciu, emisne neutrálne </w:t>
            </w:r>
            <w:r w:rsidRPr="00326E55">
              <w:rPr>
                <w:noProof/>
                <w:spacing w:val="-6"/>
                <w:lang w:val="sk-SK"/>
              </w:rPr>
              <w:t>technológie</w:t>
            </w:r>
            <w:r w:rsidR="00326E55" w:rsidRPr="00326E55">
              <w:rPr>
                <w:noProof/>
                <w:spacing w:val="-6"/>
                <w:lang w:val="sk-SK"/>
              </w:rPr>
              <w:t xml:space="preserve"> a </w:t>
            </w:r>
            <w:r w:rsidRPr="00326E55">
              <w:rPr>
                <w:noProof/>
                <w:spacing w:val="-6"/>
                <w:lang w:val="sk-SK"/>
              </w:rPr>
              <w:t>konkurencieschopnosť</w:t>
            </w:r>
            <w:r w:rsidR="00326E55" w:rsidRPr="00326E55">
              <w:rPr>
                <w:noProof/>
                <w:spacing w:val="-6"/>
                <w:lang w:val="sk-SK"/>
              </w:rPr>
              <w:t xml:space="preserve"> a </w:t>
            </w:r>
            <w:r w:rsidRPr="00326E55">
              <w:rPr>
                <w:noProof/>
                <w:spacing w:val="-6"/>
                <w:lang w:val="sk-SK"/>
              </w:rPr>
              <w:t>odolnosť strategických dodávateľských reťazcov</w:t>
            </w:r>
          </w:p>
        </w:tc>
        <w:tc>
          <w:tcPr>
            <w:tcW w:w="1110" w:type="dxa"/>
            <w:shd w:val="clear" w:color="auto" w:fill="C6EFCE"/>
            <w:tcMar>
              <w:left w:w="108" w:type="dxa"/>
              <w:right w:w="108" w:type="dxa"/>
            </w:tcMar>
            <w:vAlign w:val="center"/>
          </w:tcPr>
          <w:p w14:paraId="1C93946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64B11041"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p>
        </w:tc>
      </w:tr>
      <w:tr w:rsidR="00BF03AA" w:rsidRPr="00326E55" w14:paraId="15B74A13" w14:textId="77777777">
        <w:trPr>
          <w:trHeight w:val="300"/>
        </w:trPr>
        <w:tc>
          <w:tcPr>
            <w:tcW w:w="1140" w:type="dxa"/>
            <w:shd w:val="clear" w:color="auto" w:fill="C6EFCE"/>
            <w:tcMar>
              <w:left w:w="108" w:type="dxa"/>
              <w:right w:w="108" w:type="dxa"/>
            </w:tcMar>
            <w:vAlign w:val="center"/>
          </w:tcPr>
          <w:p w14:paraId="04E03B5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39</w:t>
            </w:r>
          </w:p>
        </w:tc>
        <w:tc>
          <w:tcPr>
            <w:tcW w:w="3628" w:type="dxa"/>
            <w:shd w:val="clear" w:color="auto" w:fill="C6EFCE"/>
            <w:tcMar>
              <w:left w:w="108" w:type="dxa"/>
              <w:right w:w="108" w:type="dxa"/>
            </w:tcMar>
            <w:vAlign w:val="center"/>
          </w:tcPr>
          <w:p w14:paraId="29509614" w14:textId="4CC01C23" w:rsidR="00BF03AA" w:rsidRPr="00326E55" w:rsidRDefault="00FB452D">
            <w:pPr>
              <w:pStyle w:val="P68B1DB1-Normal121"/>
              <w:spacing w:after="0" w:line="240" w:lineRule="auto"/>
              <w:rPr>
                <w:noProof/>
                <w:spacing w:val="-6"/>
                <w:lang w:val="sk-SK"/>
              </w:rPr>
            </w:pPr>
            <w:r w:rsidRPr="00326E55">
              <w:rPr>
                <w:noProof/>
                <w:spacing w:val="-6"/>
                <w:lang w:val="sk-SK"/>
              </w:rPr>
              <w:t>Investícia 5.1. Podpora výrobného systému pre ekologickú transformáciu, emisne neutrálne technológie</w:t>
            </w:r>
            <w:r w:rsidR="00326E55" w:rsidRPr="00326E55">
              <w:rPr>
                <w:noProof/>
                <w:spacing w:val="-6"/>
                <w:lang w:val="sk-SK"/>
              </w:rPr>
              <w:t xml:space="preserve"> a </w:t>
            </w:r>
            <w:r w:rsidRPr="00326E55">
              <w:rPr>
                <w:noProof/>
                <w:spacing w:val="-6"/>
                <w:lang w:val="sk-SK"/>
              </w:rPr>
              <w:t>konkurencieschopnosť</w:t>
            </w:r>
            <w:r w:rsidR="00326E55" w:rsidRPr="00326E55">
              <w:rPr>
                <w:noProof/>
                <w:spacing w:val="-6"/>
                <w:lang w:val="sk-SK"/>
              </w:rPr>
              <w:t xml:space="preserve"> a </w:t>
            </w:r>
            <w:r w:rsidRPr="00326E55">
              <w:rPr>
                <w:noProof/>
                <w:spacing w:val="-6"/>
                <w:lang w:val="sk-SK"/>
              </w:rPr>
              <w:t xml:space="preserve">odolnosť </w:t>
            </w:r>
            <w:r w:rsidRPr="00326E55">
              <w:rPr>
                <w:noProof/>
                <w:spacing w:val="-6"/>
                <w:lang w:val="sk-SK"/>
              </w:rPr>
              <w:t>strategických dodávok</w:t>
            </w:r>
          </w:p>
        </w:tc>
        <w:tc>
          <w:tcPr>
            <w:tcW w:w="1110" w:type="dxa"/>
            <w:shd w:val="clear" w:color="auto" w:fill="C6EFCE"/>
            <w:tcMar>
              <w:left w:w="108" w:type="dxa"/>
              <w:right w:w="108" w:type="dxa"/>
            </w:tcMar>
            <w:vAlign w:val="center"/>
          </w:tcPr>
          <w:p w14:paraId="139A36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1E1E9142" w14:textId="1BDDCC3A" w:rsidR="00BF03AA" w:rsidRPr="00326E55" w:rsidRDefault="00FB452D">
            <w:pPr>
              <w:pStyle w:val="P68B1DB1-Normal121"/>
              <w:spacing w:after="0" w:line="240" w:lineRule="auto"/>
              <w:rPr>
                <w:noProof/>
                <w:spacing w:val="-6"/>
                <w:lang w:val="sk-SK"/>
              </w:rPr>
            </w:pPr>
            <w:r w:rsidRPr="00326E55">
              <w:rPr>
                <w:noProof/>
                <w:spacing w:val="-6"/>
                <w:lang w:val="sk-SK"/>
              </w:rPr>
              <w:t>Talianske ministerstvo podnikov</w:t>
            </w:r>
            <w:r w:rsidR="00326E55" w:rsidRPr="00326E55">
              <w:rPr>
                <w:noProof/>
                <w:spacing w:val="-6"/>
                <w:lang w:val="sk-SK"/>
              </w:rPr>
              <w:t xml:space="preserve"> a </w:t>
            </w:r>
            <w:r w:rsidRPr="00326E55">
              <w:rPr>
                <w:noProof/>
                <w:spacing w:val="-6"/>
                <w:lang w:val="sk-SK"/>
              </w:rPr>
              <w:t>Made ukončilo prevod finančných prostriedkov spoločnosti Invitalia S.p.A.</w:t>
            </w:r>
          </w:p>
        </w:tc>
      </w:tr>
      <w:tr w:rsidR="00BF03AA" w:rsidRPr="00326E55" w14:paraId="3F191E61" w14:textId="77777777">
        <w:trPr>
          <w:trHeight w:val="300"/>
        </w:trPr>
        <w:tc>
          <w:tcPr>
            <w:tcW w:w="1140" w:type="dxa"/>
            <w:shd w:val="clear" w:color="auto" w:fill="C6EFCE"/>
            <w:tcMar>
              <w:left w:w="108" w:type="dxa"/>
              <w:right w:w="108" w:type="dxa"/>
            </w:tcMar>
            <w:vAlign w:val="center"/>
          </w:tcPr>
          <w:p w14:paraId="33A17E1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42bis</w:t>
            </w:r>
          </w:p>
        </w:tc>
        <w:tc>
          <w:tcPr>
            <w:tcW w:w="3628" w:type="dxa"/>
            <w:shd w:val="clear" w:color="auto" w:fill="C6EFCE"/>
            <w:tcMar>
              <w:left w:w="108" w:type="dxa"/>
              <w:right w:w="108" w:type="dxa"/>
            </w:tcMar>
            <w:vAlign w:val="center"/>
          </w:tcPr>
          <w:p w14:paraId="556FF5C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5.4 – Kapitálová injekcia do Fondu pre zelenú transformáciu (ďalej len „GTF“)</w:t>
            </w:r>
          </w:p>
        </w:tc>
        <w:tc>
          <w:tcPr>
            <w:tcW w:w="1110" w:type="dxa"/>
            <w:shd w:val="clear" w:color="auto" w:fill="C6EFCE"/>
            <w:tcMar>
              <w:left w:w="108" w:type="dxa"/>
              <w:right w:w="108" w:type="dxa"/>
            </w:tcMar>
            <w:vAlign w:val="center"/>
          </w:tcPr>
          <w:p w14:paraId="4333B11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311CF614" w14:textId="77777777" w:rsidR="00BF03AA" w:rsidRPr="00326E55" w:rsidRDefault="00FB452D">
            <w:pPr>
              <w:pStyle w:val="P68B1DB1-Normal121"/>
              <w:spacing w:after="0" w:line="240" w:lineRule="auto"/>
              <w:rPr>
                <w:noProof/>
                <w:spacing w:val="-6"/>
                <w:lang w:val="sk-SK"/>
              </w:rPr>
            </w:pPr>
            <w:r w:rsidRPr="00326E55">
              <w:rPr>
                <w:noProof/>
                <w:spacing w:val="-6"/>
                <w:lang w:val="sk-SK"/>
              </w:rPr>
              <w:t>Kapitálová injekcia do Fondu pre zelenú transformáciu</w:t>
            </w:r>
          </w:p>
        </w:tc>
      </w:tr>
      <w:tr w:rsidR="00BF03AA" w:rsidRPr="00326E55" w14:paraId="47B94D9E" w14:textId="77777777">
        <w:trPr>
          <w:trHeight w:val="300"/>
        </w:trPr>
        <w:tc>
          <w:tcPr>
            <w:tcW w:w="1140" w:type="dxa"/>
            <w:shd w:val="clear" w:color="auto" w:fill="C6EFCE"/>
            <w:tcMar>
              <w:left w:w="108" w:type="dxa"/>
              <w:right w:w="108" w:type="dxa"/>
            </w:tcMar>
            <w:vAlign w:val="center"/>
          </w:tcPr>
          <w:p w14:paraId="41AF432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44</w:t>
            </w:r>
          </w:p>
        </w:tc>
        <w:tc>
          <w:tcPr>
            <w:tcW w:w="3628" w:type="dxa"/>
            <w:shd w:val="clear" w:color="auto" w:fill="C6EFCE"/>
            <w:tcMar>
              <w:left w:w="108" w:type="dxa"/>
              <w:right w:w="108" w:type="dxa"/>
            </w:tcMar>
            <w:vAlign w:val="center"/>
          </w:tcPr>
          <w:p w14:paraId="7BB0402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1.1 Rozvoj agrovoltaických systémov</w:t>
            </w:r>
          </w:p>
        </w:tc>
        <w:tc>
          <w:tcPr>
            <w:tcW w:w="1110" w:type="dxa"/>
            <w:shd w:val="clear" w:color="auto" w:fill="C6EFCE"/>
            <w:tcMar>
              <w:left w:w="108" w:type="dxa"/>
              <w:right w:w="108" w:type="dxa"/>
            </w:tcMar>
            <w:vAlign w:val="center"/>
          </w:tcPr>
          <w:p w14:paraId="339A04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36A0891F" w14:textId="00DD6F98" w:rsidR="00BF03AA" w:rsidRPr="00326E55" w:rsidRDefault="00FB452D">
            <w:pPr>
              <w:pStyle w:val="P68B1DB1-Normal121"/>
              <w:spacing w:after="0" w:line="240" w:lineRule="auto"/>
              <w:rPr>
                <w:noProof/>
                <w:spacing w:val="-6"/>
                <w:lang w:val="sk-SK"/>
              </w:rPr>
            </w:pPr>
            <w:r w:rsidRPr="00326E55">
              <w:rPr>
                <w:noProof/>
                <w:spacing w:val="-6"/>
                <w:lang w:val="sk-SK"/>
              </w:rPr>
              <w:t>Zadávanie všetkých verejných zákaziek na inštaláciu fotovoltických solárnych panelov</w:t>
            </w:r>
            <w:r w:rsidR="00326E55" w:rsidRPr="00326E55">
              <w:rPr>
                <w:noProof/>
                <w:spacing w:val="-6"/>
                <w:lang w:val="sk-SK"/>
              </w:rPr>
              <w:t xml:space="preserve"> v </w:t>
            </w:r>
            <w:r w:rsidRPr="00326E55">
              <w:rPr>
                <w:noProof/>
                <w:spacing w:val="-6"/>
                <w:lang w:val="sk-SK"/>
              </w:rPr>
              <w:t>agrovoltaických systémoch</w:t>
            </w:r>
          </w:p>
        </w:tc>
      </w:tr>
      <w:tr w:rsidR="00BF03AA" w:rsidRPr="00326E55" w14:paraId="204D2A24" w14:textId="77777777">
        <w:trPr>
          <w:trHeight w:val="300"/>
        </w:trPr>
        <w:tc>
          <w:tcPr>
            <w:tcW w:w="1140" w:type="dxa"/>
            <w:shd w:val="clear" w:color="auto" w:fill="C6EFCE"/>
            <w:tcMar>
              <w:left w:w="108" w:type="dxa"/>
              <w:right w:w="108" w:type="dxa"/>
            </w:tcMar>
            <w:vAlign w:val="center"/>
          </w:tcPr>
          <w:p w14:paraId="2AE37AB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22</w:t>
            </w:r>
          </w:p>
        </w:tc>
        <w:tc>
          <w:tcPr>
            <w:tcW w:w="3628" w:type="dxa"/>
            <w:shd w:val="clear" w:color="auto" w:fill="C6EFCE"/>
            <w:tcMar>
              <w:left w:w="108" w:type="dxa"/>
              <w:right w:w="108" w:type="dxa"/>
            </w:tcMar>
            <w:vAlign w:val="center"/>
          </w:tcPr>
          <w:p w14:paraId="73E6BF66"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w:t>
            </w:r>
            <w:r w:rsidRPr="00326E55">
              <w:rPr>
                <w:noProof/>
                <w:spacing w:val="-6"/>
                <w:lang w:val="sk-SK"/>
              </w:rPr>
              <w:t>3 Renaturácia oblasti Po</w:t>
            </w:r>
          </w:p>
        </w:tc>
        <w:tc>
          <w:tcPr>
            <w:tcW w:w="1110" w:type="dxa"/>
            <w:shd w:val="clear" w:color="auto" w:fill="C6EFCE"/>
            <w:tcMar>
              <w:left w:w="108" w:type="dxa"/>
              <w:right w:w="108" w:type="dxa"/>
            </w:tcMar>
            <w:vAlign w:val="center"/>
          </w:tcPr>
          <w:p w14:paraId="7649A9D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030635D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Zníženie umelosti riečneho dna na renaturáciu oblasti Pád T1 </w:t>
            </w:r>
          </w:p>
        </w:tc>
      </w:tr>
      <w:tr w:rsidR="00BF03AA" w:rsidRPr="00326E55" w14:paraId="532D4097" w14:textId="77777777">
        <w:trPr>
          <w:trHeight w:val="300"/>
        </w:trPr>
        <w:tc>
          <w:tcPr>
            <w:tcW w:w="1140" w:type="dxa"/>
            <w:shd w:val="clear" w:color="auto" w:fill="C6EFCE"/>
            <w:tcMar>
              <w:left w:w="108" w:type="dxa"/>
              <w:right w:w="108" w:type="dxa"/>
            </w:tcMar>
            <w:vAlign w:val="center"/>
          </w:tcPr>
          <w:p w14:paraId="4B566C2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31</w:t>
            </w:r>
          </w:p>
        </w:tc>
        <w:tc>
          <w:tcPr>
            <w:tcW w:w="3628" w:type="dxa"/>
            <w:shd w:val="clear" w:color="auto" w:fill="C6EFCE"/>
            <w:tcMar>
              <w:left w:w="108" w:type="dxa"/>
              <w:right w:w="108" w:type="dxa"/>
            </w:tcMar>
            <w:vAlign w:val="center"/>
          </w:tcPr>
          <w:p w14:paraId="4D8063DE" w14:textId="743E0F7F" w:rsidR="00BF03AA" w:rsidRPr="00326E55" w:rsidRDefault="00FB452D">
            <w:pPr>
              <w:pStyle w:val="P68B1DB1-Normal121"/>
              <w:spacing w:after="0" w:line="240" w:lineRule="auto"/>
              <w:rPr>
                <w:noProof/>
                <w:spacing w:val="-6"/>
                <w:lang w:val="sk-SK"/>
              </w:rPr>
            </w:pPr>
            <w:r w:rsidRPr="00326E55">
              <w:rPr>
                <w:noProof/>
                <w:spacing w:val="-6"/>
                <w:lang w:val="sk-SK"/>
              </w:rPr>
              <w:t>Investícia 4.2. Zníženie strát vo vodovodných sieťach vrátane digitalizácie</w:t>
            </w:r>
            <w:r w:rsidR="00326E55" w:rsidRPr="00326E55">
              <w:rPr>
                <w:noProof/>
                <w:spacing w:val="-6"/>
                <w:lang w:val="sk-SK"/>
              </w:rPr>
              <w:t xml:space="preserve"> a </w:t>
            </w:r>
            <w:r w:rsidRPr="00326E55">
              <w:rPr>
                <w:noProof/>
                <w:spacing w:val="-6"/>
                <w:lang w:val="sk-SK"/>
              </w:rPr>
              <w:t>monitorovania sietí</w:t>
            </w:r>
          </w:p>
        </w:tc>
        <w:tc>
          <w:tcPr>
            <w:tcW w:w="1110" w:type="dxa"/>
            <w:shd w:val="clear" w:color="auto" w:fill="C6EFCE"/>
            <w:tcMar>
              <w:left w:w="108" w:type="dxa"/>
              <w:right w:w="108" w:type="dxa"/>
            </w:tcMar>
            <w:vAlign w:val="center"/>
          </w:tcPr>
          <w:p w14:paraId="518428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56248C75" w14:textId="79964A0B" w:rsidR="00BF03AA" w:rsidRPr="00326E55" w:rsidRDefault="00FB452D">
            <w:pPr>
              <w:pStyle w:val="P68B1DB1-Normal121"/>
              <w:spacing w:after="0" w:line="240" w:lineRule="auto"/>
              <w:rPr>
                <w:noProof/>
                <w:spacing w:val="-6"/>
                <w:lang w:val="sk-SK"/>
              </w:rPr>
            </w:pPr>
            <w:r w:rsidRPr="00326E55">
              <w:rPr>
                <w:noProof/>
                <w:spacing w:val="-6"/>
                <w:lang w:val="sk-SK"/>
              </w:rPr>
              <w:t xml:space="preserve">Zásahy do vodovodných distribučných sietí vrátane </w:t>
            </w:r>
            <w:r w:rsidRPr="00326E55">
              <w:rPr>
                <w:noProof/>
                <w:spacing w:val="-6"/>
                <w:lang w:val="sk-SK"/>
              </w:rPr>
              <w:t>digitalizácie</w:t>
            </w:r>
            <w:r w:rsidR="00326E55" w:rsidRPr="00326E55">
              <w:rPr>
                <w:noProof/>
                <w:spacing w:val="-6"/>
                <w:lang w:val="sk-SK"/>
              </w:rPr>
              <w:t xml:space="preserve"> a </w:t>
            </w:r>
            <w:r w:rsidRPr="00326E55">
              <w:rPr>
                <w:noProof/>
                <w:spacing w:val="-6"/>
                <w:lang w:val="sk-SK"/>
              </w:rPr>
              <w:t>monitorovania sietí T1</w:t>
            </w:r>
          </w:p>
        </w:tc>
      </w:tr>
      <w:tr w:rsidR="00BF03AA" w:rsidRPr="00326E55" w14:paraId="4BD323AB" w14:textId="77777777">
        <w:trPr>
          <w:trHeight w:val="300"/>
        </w:trPr>
        <w:tc>
          <w:tcPr>
            <w:tcW w:w="1140" w:type="dxa"/>
            <w:shd w:val="clear" w:color="auto" w:fill="C6EFCE"/>
            <w:tcMar>
              <w:left w:w="108" w:type="dxa"/>
              <w:right w:w="108" w:type="dxa"/>
            </w:tcMar>
            <w:vAlign w:val="center"/>
          </w:tcPr>
          <w:p w14:paraId="0A13C3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34</w:t>
            </w:r>
          </w:p>
        </w:tc>
        <w:tc>
          <w:tcPr>
            <w:tcW w:w="3628" w:type="dxa"/>
            <w:shd w:val="clear" w:color="auto" w:fill="C6EFCE"/>
            <w:tcMar>
              <w:left w:w="108" w:type="dxa"/>
              <w:right w:w="108" w:type="dxa"/>
            </w:tcMar>
            <w:vAlign w:val="center"/>
          </w:tcPr>
          <w:p w14:paraId="3349E0B0" w14:textId="68A50DCC" w:rsidR="00BF03AA" w:rsidRPr="00326E55" w:rsidRDefault="00FB452D">
            <w:pPr>
              <w:pStyle w:val="P68B1DB1-Normal121"/>
              <w:spacing w:after="0" w:line="240" w:lineRule="auto"/>
              <w:rPr>
                <w:noProof/>
                <w:spacing w:val="-6"/>
                <w:lang w:val="sk-SK"/>
              </w:rPr>
            </w:pPr>
            <w:r w:rsidRPr="00326E55">
              <w:rPr>
                <w:noProof/>
                <w:spacing w:val="-6"/>
                <w:lang w:val="sk-SK"/>
              </w:rPr>
              <w:t>Investícia 4.3 Investície do odolnosti zavlažovacieho agrosystému pre lepšie hospodárenie</w:t>
            </w:r>
            <w:r w:rsidR="00326E55" w:rsidRPr="00326E55">
              <w:rPr>
                <w:noProof/>
                <w:spacing w:val="-6"/>
                <w:lang w:val="sk-SK"/>
              </w:rPr>
              <w:t xml:space="preserve"> s </w:t>
            </w:r>
            <w:r w:rsidRPr="00326E55">
              <w:rPr>
                <w:noProof/>
                <w:spacing w:val="-6"/>
                <w:lang w:val="sk-SK"/>
              </w:rPr>
              <w:t>vodnými zdrojmi</w:t>
            </w:r>
          </w:p>
        </w:tc>
        <w:tc>
          <w:tcPr>
            <w:tcW w:w="1110" w:type="dxa"/>
            <w:shd w:val="clear" w:color="auto" w:fill="C6EFCE"/>
            <w:tcMar>
              <w:left w:w="108" w:type="dxa"/>
              <w:right w:w="108" w:type="dxa"/>
            </w:tcMar>
            <w:vAlign w:val="center"/>
          </w:tcPr>
          <w:p w14:paraId="343D996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3A32D99D" w14:textId="5F9F1EB4" w:rsidR="00BF03AA" w:rsidRPr="00326E55" w:rsidRDefault="00FB452D">
            <w:pPr>
              <w:pStyle w:val="P68B1DB1-Normal121"/>
              <w:spacing w:after="0" w:line="240" w:lineRule="auto"/>
              <w:rPr>
                <w:noProof/>
                <w:spacing w:val="-6"/>
                <w:lang w:val="sk-SK"/>
              </w:rPr>
            </w:pPr>
            <w:r w:rsidRPr="00326E55">
              <w:rPr>
                <w:noProof/>
                <w:spacing w:val="-6"/>
                <w:lang w:val="sk-SK"/>
              </w:rPr>
              <w:t>Intervencie</w:t>
            </w:r>
            <w:r w:rsidR="00326E55" w:rsidRPr="00326E55">
              <w:rPr>
                <w:noProof/>
                <w:spacing w:val="-6"/>
                <w:lang w:val="sk-SK"/>
              </w:rPr>
              <w:t xml:space="preserve"> v </w:t>
            </w:r>
            <w:r w:rsidRPr="00326E55">
              <w:rPr>
                <w:noProof/>
                <w:spacing w:val="-6"/>
                <w:lang w:val="sk-SK"/>
              </w:rPr>
              <w:t>záujme odolnosti zavlažovacieho agrosystému</w:t>
            </w:r>
            <w:r w:rsidR="00326E55" w:rsidRPr="00326E55">
              <w:rPr>
                <w:noProof/>
                <w:spacing w:val="-6"/>
                <w:lang w:val="sk-SK"/>
              </w:rPr>
              <w:t xml:space="preserve"> v </w:t>
            </w:r>
            <w:r w:rsidRPr="00326E55">
              <w:rPr>
                <w:noProof/>
                <w:spacing w:val="-6"/>
                <w:lang w:val="sk-SK"/>
              </w:rPr>
              <w:t>záujme lepšieho hospodárenia</w:t>
            </w:r>
            <w:r w:rsidR="00326E55" w:rsidRPr="00326E55">
              <w:rPr>
                <w:noProof/>
                <w:spacing w:val="-6"/>
                <w:lang w:val="sk-SK"/>
              </w:rPr>
              <w:t xml:space="preserve"> s </w:t>
            </w:r>
            <w:r w:rsidRPr="00326E55">
              <w:rPr>
                <w:noProof/>
                <w:spacing w:val="-6"/>
                <w:lang w:val="sk-SK"/>
              </w:rPr>
              <w:t>vo</w:t>
            </w:r>
            <w:r w:rsidRPr="00326E55">
              <w:rPr>
                <w:noProof/>
                <w:spacing w:val="-6"/>
                <w:lang w:val="sk-SK"/>
              </w:rPr>
              <w:t>dnými zdrojmi T1</w:t>
            </w:r>
          </w:p>
        </w:tc>
      </w:tr>
      <w:tr w:rsidR="00BF03AA" w:rsidRPr="00326E55" w14:paraId="4D30A6E5" w14:textId="77777777">
        <w:trPr>
          <w:trHeight w:val="300"/>
        </w:trPr>
        <w:tc>
          <w:tcPr>
            <w:tcW w:w="1140" w:type="dxa"/>
            <w:shd w:val="clear" w:color="auto" w:fill="C6EFCE"/>
            <w:tcMar>
              <w:left w:w="108" w:type="dxa"/>
              <w:right w:w="108" w:type="dxa"/>
            </w:tcMar>
            <w:vAlign w:val="center"/>
          </w:tcPr>
          <w:p w14:paraId="7E0C23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35</w:t>
            </w:r>
          </w:p>
        </w:tc>
        <w:tc>
          <w:tcPr>
            <w:tcW w:w="3628" w:type="dxa"/>
            <w:shd w:val="clear" w:color="auto" w:fill="C6EFCE"/>
            <w:tcMar>
              <w:left w:w="108" w:type="dxa"/>
              <w:right w:w="108" w:type="dxa"/>
            </w:tcMar>
            <w:vAlign w:val="center"/>
          </w:tcPr>
          <w:p w14:paraId="32B9B652" w14:textId="3A8C845E" w:rsidR="00BF03AA" w:rsidRPr="00326E55" w:rsidRDefault="00FB452D">
            <w:pPr>
              <w:pStyle w:val="P68B1DB1-Normal121"/>
              <w:spacing w:after="0" w:line="240" w:lineRule="auto"/>
              <w:rPr>
                <w:noProof/>
                <w:spacing w:val="-6"/>
                <w:lang w:val="sk-SK"/>
              </w:rPr>
            </w:pPr>
            <w:r w:rsidRPr="00326E55">
              <w:rPr>
                <w:noProof/>
                <w:spacing w:val="-6"/>
                <w:lang w:val="sk-SK"/>
              </w:rPr>
              <w:t>Investícia 4.3 Investície do odolnosti zavlažovacieho agrosystému pre lepšie hospodárenie</w:t>
            </w:r>
            <w:r w:rsidR="00326E55" w:rsidRPr="00326E55">
              <w:rPr>
                <w:noProof/>
                <w:spacing w:val="-6"/>
                <w:lang w:val="sk-SK"/>
              </w:rPr>
              <w:t xml:space="preserve"> s </w:t>
            </w:r>
            <w:r w:rsidRPr="00326E55">
              <w:rPr>
                <w:noProof/>
                <w:spacing w:val="-6"/>
                <w:lang w:val="sk-SK"/>
              </w:rPr>
              <w:t>vodnými zdrojmi</w:t>
            </w:r>
          </w:p>
        </w:tc>
        <w:tc>
          <w:tcPr>
            <w:tcW w:w="1110" w:type="dxa"/>
            <w:shd w:val="clear" w:color="auto" w:fill="C6EFCE"/>
            <w:tcMar>
              <w:left w:w="108" w:type="dxa"/>
              <w:right w:w="108" w:type="dxa"/>
            </w:tcMar>
            <w:vAlign w:val="center"/>
          </w:tcPr>
          <w:p w14:paraId="199427D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63C9BBA5" w14:textId="004315FF" w:rsidR="00BF03AA" w:rsidRPr="00326E55" w:rsidRDefault="00FB452D">
            <w:pPr>
              <w:pStyle w:val="P68B1DB1-Normal121"/>
              <w:spacing w:after="0" w:line="240" w:lineRule="auto"/>
              <w:rPr>
                <w:noProof/>
                <w:spacing w:val="-6"/>
                <w:lang w:val="sk-SK"/>
              </w:rPr>
            </w:pPr>
            <w:r w:rsidRPr="00326E55">
              <w:rPr>
                <w:noProof/>
                <w:spacing w:val="-6"/>
                <w:lang w:val="sk-SK"/>
              </w:rPr>
              <w:t>Intervencie</w:t>
            </w:r>
            <w:r w:rsidR="00326E55" w:rsidRPr="00326E55">
              <w:rPr>
                <w:noProof/>
                <w:spacing w:val="-6"/>
                <w:lang w:val="sk-SK"/>
              </w:rPr>
              <w:t xml:space="preserve"> v </w:t>
            </w:r>
            <w:r w:rsidRPr="00326E55">
              <w:rPr>
                <w:noProof/>
                <w:spacing w:val="-6"/>
                <w:lang w:val="sk-SK"/>
              </w:rPr>
              <w:t>záujme odolnosti zavlažovacieho agrosystému</w:t>
            </w:r>
            <w:r w:rsidR="00326E55" w:rsidRPr="00326E55">
              <w:rPr>
                <w:noProof/>
                <w:spacing w:val="-6"/>
                <w:lang w:val="sk-SK"/>
              </w:rPr>
              <w:t xml:space="preserve"> v </w:t>
            </w:r>
            <w:r w:rsidRPr="00326E55">
              <w:rPr>
                <w:noProof/>
                <w:spacing w:val="-6"/>
                <w:lang w:val="sk-SK"/>
              </w:rPr>
              <w:t>záujme lepšieho hospodárenia</w:t>
            </w:r>
            <w:r w:rsidR="00326E55" w:rsidRPr="00326E55">
              <w:rPr>
                <w:noProof/>
                <w:spacing w:val="-6"/>
                <w:lang w:val="sk-SK"/>
              </w:rPr>
              <w:t xml:space="preserve"> s </w:t>
            </w:r>
            <w:r w:rsidRPr="00326E55">
              <w:rPr>
                <w:noProof/>
                <w:spacing w:val="-6"/>
                <w:lang w:val="sk-SK"/>
              </w:rPr>
              <w:t>vodnými zdrojmi T1</w:t>
            </w:r>
          </w:p>
        </w:tc>
      </w:tr>
      <w:tr w:rsidR="00BF03AA" w:rsidRPr="00326E55" w14:paraId="6FC9E110" w14:textId="77777777">
        <w:trPr>
          <w:trHeight w:val="300"/>
        </w:trPr>
        <w:tc>
          <w:tcPr>
            <w:tcW w:w="1140" w:type="dxa"/>
            <w:shd w:val="clear" w:color="auto" w:fill="C6EFCE"/>
            <w:tcMar>
              <w:left w:w="108" w:type="dxa"/>
              <w:right w:w="108" w:type="dxa"/>
            </w:tcMar>
            <w:vAlign w:val="center"/>
          </w:tcPr>
          <w:p w14:paraId="5E7F85F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w:t>
            </w:r>
            <w:r w:rsidRPr="00326E55">
              <w:rPr>
                <w:noProof/>
                <w:spacing w:val="-6"/>
                <w:lang w:val="sk-SK"/>
              </w:rPr>
              <w:t xml:space="preserve"> – 15</w:t>
            </w:r>
          </w:p>
        </w:tc>
        <w:tc>
          <w:tcPr>
            <w:tcW w:w="3628" w:type="dxa"/>
            <w:shd w:val="clear" w:color="auto" w:fill="C6EFCE"/>
            <w:tcMar>
              <w:left w:w="108" w:type="dxa"/>
              <w:right w:w="108" w:type="dxa"/>
            </w:tcMar>
            <w:vAlign w:val="center"/>
          </w:tcPr>
          <w:p w14:paraId="5D444334" w14:textId="3CC9C86B" w:rsidR="00BF03AA" w:rsidRPr="00326E55" w:rsidRDefault="00FB452D">
            <w:pPr>
              <w:pStyle w:val="P68B1DB1-Normal121"/>
              <w:spacing w:after="0" w:line="240" w:lineRule="auto"/>
              <w:rPr>
                <w:noProof/>
                <w:spacing w:val="-6"/>
                <w:lang w:val="sk-SK"/>
              </w:rPr>
            </w:pPr>
            <w:r w:rsidRPr="00326E55">
              <w:rPr>
                <w:noProof/>
                <w:spacing w:val="-6"/>
                <w:lang w:val="sk-SK"/>
              </w:rPr>
              <w:t>Investícia 1.5 – Posilnenie metropolitných uzlov</w:t>
            </w:r>
            <w:r w:rsidR="00326E55" w:rsidRPr="00326E55">
              <w:rPr>
                <w:noProof/>
                <w:spacing w:val="-6"/>
                <w:lang w:val="sk-SK"/>
              </w:rPr>
              <w:t xml:space="preserve"> a </w:t>
            </w:r>
            <w:r w:rsidRPr="00326E55">
              <w:rPr>
                <w:noProof/>
                <w:spacing w:val="-6"/>
                <w:lang w:val="sk-SK"/>
              </w:rPr>
              <w:t>kľúčových vnútroštátnych prepojení</w:t>
            </w:r>
          </w:p>
        </w:tc>
        <w:tc>
          <w:tcPr>
            <w:tcW w:w="1110" w:type="dxa"/>
            <w:shd w:val="clear" w:color="auto" w:fill="C6EFCE"/>
            <w:tcMar>
              <w:left w:w="108" w:type="dxa"/>
              <w:right w:w="108" w:type="dxa"/>
            </w:tcMar>
            <w:vAlign w:val="center"/>
          </w:tcPr>
          <w:p w14:paraId="1ED30B3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21630BD6" w14:textId="2642FC94" w:rsidR="00BF03AA" w:rsidRPr="00326E55" w:rsidRDefault="00FB452D">
            <w:pPr>
              <w:pStyle w:val="P68B1DB1-Normal121"/>
              <w:spacing w:after="0" w:line="240" w:lineRule="auto"/>
              <w:rPr>
                <w:noProof/>
                <w:spacing w:val="-6"/>
                <w:lang w:val="sk-SK"/>
              </w:rPr>
            </w:pPr>
            <w:r w:rsidRPr="00326E55">
              <w:rPr>
                <w:noProof/>
                <w:spacing w:val="-6"/>
                <w:lang w:val="sk-SK"/>
              </w:rPr>
              <w:t>700 km modernizovaných traťových úsekov postavených na metropolitných uzloch</w:t>
            </w:r>
            <w:r w:rsidR="00326E55" w:rsidRPr="00326E55">
              <w:rPr>
                <w:noProof/>
                <w:spacing w:val="-6"/>
                <w:lang w:val="sk-SK"/>
              </w:rPr>
              <w:t xml:space="preserve"> a </w:t>
            </w:r>
            <w:r w:rsidRPr="00326E55">
              <w:rPr>
                <w:noProof/>
                <w:spacing w:val="-6"/>
                <w:lang w:val="sk-SK"/>
              </w:rPr>
              <w:t>kľúčových vnútroštátnych spojeniach</w:t>
            </w:r>
          </w:p>
        </w:tc>
      </w:tr>
      <w:tr w:rsidR="00BF03AA" w:rsidRPr="00326E55" w14:paraId="0266AC1C" w14:textId="77777777">
        <w:trPr>
          <w:trHeight w:val="300"/>
        </w:trPr>
        <w:tc>
          <w:tcPr>
            <w:tcW w:w="1140" w:type="dxa"/>
            <w:shd w:val="clear" w:color="auto" w:fill="C6EFCE"/>
            <w:tcMar>
              <w:left w:w="108" w:type="dxa"/>
              <w:right w:w="108" w:type="dxa"/>
            </w:tcMar>
            <w:vAlign w:val="center"/>
          </w:tcPr>
          <w:p w14:paraId="2ECC183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19</w:t>
            </w:r>
          </w:p>
        </w:tc>
        <w:tc>
          <w:tcPr>
            <w:tcW w:w="3628" w:type="dxa"/>
            <w:shd w:val="clear" w:color="auto" w:fill="C6EFCE"/>
            <w:tcMar>
              <w:left w:w="108" w:type="dxa"/>
              <w:right w:w="108" w:type="dxa"/>
            </w:tcMar>
            <w:vAlign w:val="center"/>
          </w:tcPr>
          <w:p w14:paraId="66CA34D2"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1.8 – Modernizácia žel</w:t>
            </w:r>
            <w:r w:rsidRPr="00326E55">
              <w:rPr>
                <w:noProof/>
                <w:spacing w:val="-6"/>
                <w:lang w:val="sk-SK"/>
              </w:rPr>
              <w:t>ezničných staníc (riadenie RFI; na juhu)</w:t>
            </w:r>
          </w:p>
        </w:tc>
        <w:tc>
          <w:tcPr>
            <w:tcW w:w="1110" w:type="dxa"/>
            <w:shd w:val="clear" w:color="auto" w:fill="C6EFCE"/>
            <w:tcMar>
              <w:left w:w="108" w:type="dxa"/>
              <w:right w:w="108" w:type="dxa"/>
            </w:tcMar>
            <w:vAlign w:val="center"/>
          </w:tcPr>
          <w:p w14:paraId="76594EA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5B2A575F" w14:textId="2BE1DA9D" w:rsidR="00BF03AA" w:rsidRPr="00326E55" w:rsidRDefault="00FB452D">
            <w:pPr>
              <w:pStyle w:val="P68B1DB1-Normal121"/>
              <w:spacing w:after="0" w:line="240" w:lineRule="auto"/>
              <w:rPr>
                <w:noProof/>
                <w:spacing w:val="-6"/>
                <w:lang w:val="sk-SK"/>
              </w:rPr>
            </w:pPr>
            <w:r w:rsidRPr="00326E55">
              <w:rPr>
                <w:noProof/>
                <w:spacing w:val="-6"/>
                <w:lang w:val="sk-SK"/>
              </w:rPr>
              <w:t>Modernizované</w:t>
            </w:r>
            <w:r w:rsidR="00326E55" w:rsidRPr="00326E55">
              <w:rPr>
                <w:noProof/>
                <w:spacing w:val="-6"/>
                <w:lang w:val="sk-SK"/>
              </w:rPr>
              <w:t xml:space="preserve"> a </w:t>
            </w:r>
            <w:r w:rsidRPr="00326E55">
              <w:rPr>
                <w:noProof/>
                <w:spacing w:val="-6"/>
                <w:lang w:val="sk-SK"/>
              </w:rPr>
              <w:t>prístupné železničné stanice</w:t>
            </w:r>
          </w:p>
        </w:tc>
      </w:tr>
      <w:tr w:rsidR="00BF03AA" w:rsidRPr="00326E55" w14:paraId="5855CE2D" w14:textId="77777777">
        <w:trPr>
          <w:trHeight w:val="300"/>
        </w:trPr>
        <w:tc>
          <w:tcPr>
            <w:tcW w:w="1140" w:type="dxa"/>
            <w:shd w:val="clear" w:color="auto" w:fill="C6EFCE"/>
            <w:tcMar>
              <w:left w:w="108" w:type="dxa"/>
              <w:right w:w="108" w:type="dxa"/>
            </w:tcMar>
            <w:vAlign w:val="center"/>
          </w:tcPr>
          <w:p w14:paraId="37E5646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21bis</w:t>
            </w:r>
          </w:p>
        </w:tc>
        <w:tc>
          <w:tcPr>
            <w:tcW w:w="3628" w:type="dxa"/>
            <w:shd w:val="clear" w:color="auto" w:fill="C6EFCE"/>
            <w:tcMar>
              <w:left w:w="108" w:type="dxa"/>
              <w:right w:w="108" w:type="dxa"/>
            </w:tcMar>
            <w:vAlign w:val="center"/>
          </w:tcPr>
          <w:p w14:paraId="764A4A3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 Kapitálová injekcia do Fondu na digitálnu transformáciu (DTF)</w:t>
            </w:r>
          </w:p>
        </w:tc>
        <w:tc>
          <w:tcPr>
            <w:tcW w:w="1110" w:type="dxa"/>
            <w:shd w:val="clear" w:color="auto" w:fill="C6EFCE"/>
            <w:tcMar>
              <w:left w:w="108" w:type="dxa"/>
              <w:right w:w="108" w:type="dxa"/>
            </w:tcMar>
            <w:vAlign w:val="center"/>
          </w:tcPr>
          <w:p w14:paraId="1B0D2B2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633DE3B7" w14:textId="77777777" w:rsidR="00BF03AA" w:rsidRPr="00326E55" w:rsidRDefault="00FB452D">
            <w:pPr>
              <w:pStyle w:val="P68B1DB1-Normal121"/>
              <w:spacing w:after="0" w:line="240" w:lineRule="auto"/>
              <w:rPr>
                <w:noProof/>
                <w:spacing w:val="-6"/>
                <w:lang w:val="sk-SK"/>
              </w:rPr>
            </w:pPr>
            <w:r w:rsidRPr="00326E55">
              <w:rPr>
                <w:noProof/>
                <w:spacing w:val="-6"/>
                <w:lang w:val="sk-SK"/>
              </w:rPr>
              <w:t>Kapitálová injekcia do Fondu pre digitálnu transformáciu</w:t>
            </w:r>
          </w:p>
        </w:tc>
      </w:tr>
      <w:tr w:rsidR="00BF03AA" w:rsidRPr="00326E55" w14:paraId="19EE13A7" w14:textId="77777777">
        <w:trPr>
          <w:trHeight w:val="300"/>
        </w:trPr>
        <w:tc>
          <w:tcPr>
            <w:tcW w:w="1140" w:type="dxa"/>
            <w:shd w:val="clear" w:color="auto" w:fill="C6EFCE"/>
            <w:tcMar>
              <w:left w:w="108" w:type="dxa"/>
              <w:right w:w="108" w:type="dxa"/>
            </w:tcMar>
            <w:vAlign w:val="center"/>
          </w:tcPr>
          <w:p w14:paraId="6ED3875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M5C3 – </w:t>
            </w:r>
            <w:r w:rsidRPr="00326E55">
              <w:rPr>
                <w:noProof/>
                <w:spacing w:val="-6"/>
                <w:lang w:val="sk-SK"/>
              </w:rPr>
              <w:t>12</w:t>
            </w:r>
          </w:p>
        </w:tc>
        <w:tc>
          <w:tcPr>
            <w:tcW w:w="3628" w:type="dxa"/>
            <w:shd w:val="clear" w:color="auto" w:fill="C6EFCE"/>
            <w:tcMar>
              <w:left w:w="108" w:type="dxa"/>
              <w:right w:w="108" w:type="dxa"/>
            </w:tcMar>
            <w:vAlign w:val="center"/>
          </w:tcPr>
          <w:p w14:paraId="43FCCDA8"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1.4: Investície do infraštruktúry pre osobitnú hospodársku zónu</w:t>
            </w:r>
          </w:p>
        </w:tc>
        <w:tc>
          <w:tcPr>
            <w:tcW w:w="1110" w:type="dxa"/>
            <w:shd w:val="clear" w:color="auto" w:fill="C6EFCE"/>
            <w:tcMar>
              <w:left w:w="108" w:type="dxa"/>
              <w:right w:w="108" w:type="dxa"/>
            </w:tcMar>
            <w:vAlign w:val="center"/>
          </w:tcPr>
          <w:p w14:paraId="546A7BF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1422E669" w14:textId="1B3F9777" w:rsidR="00BF03AA" w:rsidRPr="00326E55" w:rsidRDefault="00FB452D">
            <w:pPr>
              <w:pStyle w:val="P68B1DB1-Normal121"/>
              <w:spacing w:after="0" w:line="240" w:lineRule="auto"/>
              <w:rPr>
                <w:noProof/>
                <w:spacing w:val="-6"/>
                <w:lang w:val="sk-SK"/>
              </w:rPr>
            </w:pPr>
            <w:r w:rsidRPr="00326E55">
              <w:rPr>
                <w:noProof/>
                <w:spacing w:val="-6"/>
                <w:lang w:val="sk-SK"/>
              </w:rPr>
              <w:t>Začiatok prác na projektoch intervencií</w:t>
            </w:r>
            <w:r w:rsidR="00326E55" w:rsidRPr="00326E55">
              <w:rPr>
                <w:noProof/>
                <w:spacing w:val="-6"/>
                <w:lang w:val="sk-SK"/>
              </w:rPr>
              <w:t xml:space="preserve"> v </w:t>
            </w:r>
            <w:r w:rsidRPr="00326E55">
              <w:rPr>
                <w:noProof/>
                <w:spacing w:val="-6"/>
                <w:lang w:val="sk-SK"/>
              </w:rPr>
              <w:t>oblasti infraštruktúry</w:t>
            </w:r>
            <w:r w:rsidR="00326E55" w:rsidRPr="00326E55">
              <w:rPr>
                <w:noProof/>
                <w:spacing w:val="-6"/>
                <w:lang w:val="sk-SK"/>
              </w:rPr>
              <w:t xml:space="preserve"> v </w:t>
            </w:r>
            <w:r w:rsidRPr="00326E55">
              <w:rPr>
                <w:noProof/>
                <w:spacing w:val="-6"/>
                <w:lang w:val="sk-SK"/>
              </w:rPr>
              <w:t>osobitných hospodárskych zónach</w:t>
            </w:r>
          </w:p>
        </w:tc>
      </w:tr>
      <w:tr w:rsidR="00BF03AA" w:rsidRPr="00326E55" w14:paraId="0B735BB3" w14:textId="77777777">
        <w:trPr>
          <w:trHeight w:val="300"/>
        </w:trPr>
        <w:tc>
          <w:tcPr>
            <w:tcW w:w="1140" w:type="dxa"/>
            <w:shd w:val="clear" w:color="auto" w:fill="C6EFCE"/>
            <w:tcMar>
              <w:left w:w="108" w:type="dxa"/>
              <w:right w:w="108" w:type="dxa"/>
            </w:tcMar>
            <w:vAlign w:val="center"/>
          </w:tcPr>
          <w:p w14:paraId="5D74A86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7</w:t>
            </w:r>
          </w:p>
        </w:tc>
        <w:tc>
          <w:tcPr>
            <w:tcW w:w="3628" w:type="dxa"/>
            <w:shd w:val="clear" w:color="auto" w:fill="C6EFCE"/>
            <w:tcMar>
              <w:left w:w="108" w:type="dxa"/>
              <w:right w:w="108" w:type="dxa"/>
            </w:tcMar>
            <w:vAlign w:val="center"/>
          </w:tcPr>
          <w:p w14:paraId="5F6DAD91" w14:textId="320E9989" w:rsidR="00BF03AA" w:rsidRPr="00326E55" w:rsidRDefault="00FB452D">
            <w:pPr>
              <w:pStyle w:val="P68B1DB1-Normal121"/>
              <w:spacing w:after="0" w:line="240" w:lineRule="auto"/>
              <w:rPr>
                <w:noProof/>
                <w:spacing w:val="-6"/>
                <w:lang w:val="sk-SK"/>
              </w:rPr>
            </w:pPr>
            <w:r w:rsidRPr="00326E55">
              <w:rPr>
                <w:noProof/>
                <w:spacing w:val="-6"/>
                <w:lang w:val="sk-SK"/>
              </w:rPr>
              <w:t>Investícia 1.2: Domov ako prvé miesto starostlivosti</w:t>
            </w:r>
            <w:r w:rsidR="00326E55" w:rsidRPr="00326E55">
              <w:rPr>
                <w:noProof/>
                <w:spacing w:val="-6"/>
                <w:lang w:val="sk-SK"/>
              </w:rPr>
              <w:t xml:space="preserve"> a </w:t>
            </w:r>
            <w:r w:rsidRPr="00326E55">
              <w:rPr>
                <w:noProof/>
                <w:spacing w:val="-6"/>
                <w:lang w:val="sk-SK"/>
              </w:rPr>
              <w:t>telemedicíny</w:t>
            </w:r>
          </w:p>
        </w:tc>
        <w:tc>
          <w:tcPr>
            <w:tcW w:w="1110" w:type="dxa"/>
            <w:shd w:val="clear" w:color="auto" w:fill="C6EFCE"/>
            <w:tcMar>
              <w:left w:w="108" w:type="dxa"/>
              <w:right w:w="108" w:type="dxa"/>
            </w:tcMar>
            <w:vAlign w:val="center"/>
          </w:tcPr>
          <w:p w14:paraId="0DA8835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14C2ACFE" w14:textId="77777777" w:rsidR="00BF03AA" w:rsidRPr="00326E55" w:rsidRDefault="00FB452D">
            <w:pPr>
              <w:pStyle w:val="P68B1DB1-Normal121"/>
              <w:spacing w:after="0" w:line="240" w:lineRule="auto"/>
              <w:rPr>
                <w:noProof/>
                <w:spacing w:val="-6"/>
                <w:lang w:val="sk-SK"/>
              </w:rPr>
            </w:pPr>
            <w:r w:rsidRPr="00326E55">
              <w:rPr>
                <w:noProof/>
                <w:spacing w:val="-6"/>
                <w:lang w:val="sk-SK"/>
              </w:rPr>
              <w:t>Plne funkčné koordinačné centrá (druhá séria)</w:t>
            </w:r>
          </w:p>
        </w:tc>
      </w:tr>
      <w:tr w:rsidR="00BF03AA" w:rsidRPr="00326E55" w14:paraId="2B5E75DC" w14:textId="77777777">
        <w:trPr>
          <w:trHeight w:val="300"/>
        </w:trPr>
        <w:tc>
          <w:tcPr>
            <w:tcW w:w="1140" w:type="dxa"/>
            <w:shd w:val="clear" w:color="auto" w:fill="C6EFCE"/>
            <w:tcMar>
              <w:left w:w="108" w:type="dxa"/>
              <w:right w:w="108" w:type="dxa"/>
            </w:tcMar>
            <w:vAlign w:val="center"/>
          </w:tcPr>
          <w:p w14:paraId="6391AA2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43</w:t>
            </w:r>
          </w:p>
        </w:tc>
        <w:tc>
          <w:tcPr>
            <w:tcW w:w="3628" w:type="dxa"/>
            <w:shd w:val="clear" w:color="auto" w:fill="C6EFCE"/>
            <w:tcMar>
              <w:left w:w="108" w:type="dxa"/>
              <w:right w:w="108" w:type="dxa"/>
            </w:tcMar>
            <w:vAlign w:val="center"/>
          </w:tcPr>
          <w:p w14:paraId="663AA3D7" w14:textId="224D88E0" w:rsidR="00BF03AA" w:rsidRPr="00326E55" w:rsidRDefault="00FB452D">
            <w:pPr>
              <w:pStyle w:val="P68B1DB1-Normal121"/>
              <w:spacing w:after="0" w:line="240" w:lineRule="auto"/>
              <w:rPr>
                <w:noProof/>
                <w:spacing w:val="-6"/>
                <w:lang w:val="sk-SK"/>
              </w:rPr>
            </w:pPr>
            <w:r w:rsidRPr="00326E55">
              <w:rPr>
                <w:noProof/>
                <w:spacing w:val="-6"/>
                <w:lang w:val="sk-SK"/>
              </w:rPr>
              <w:t>Investícia 16: Podpora MSP na vlastnú výrobu</w:t>
            </w:r>
            <w:r w:rsidR="00326E55" w:rsidRPr="00326E55">
              <w:rPr>
                <w:noProof/>
                <w:spacing w:val="-6"/>
                <w:lang w:val="sk-SK"/>
              </w:rPr>
              <w:t xml:space="preserve"> z </w:t>
            </w:r>
            <w:r w:rsidRPr="00326E55">
              <w:rPr>
                <w:noProof/>
                <w:spacing w:val="-6"/>
                <w:lang w:val="sk-SK"/>
              </w:rPr>
              <w:t>obnoviteľných zdrojov energie</w:t>
            </w:r>
          </w:p>
        </w:tc>
        <w:tc>
          <w:tcPr>
            <w:tcW w:w="1110" w:type="dxa"/>
            <w:shd w:val="clear" w:color="auto" w:fill="C6EFCE"/>
            <w:tcMar>
              <w:left w:w="108" w:type="dxa"/>
              <w:right w:w="108" w:type="dxa"/>
            </w:tcMar>
            <w:vAlign w:val="center"/>
          </w:tcPr>
          <w:p w14:paraId="72AC55F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586B6715"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p>
        </w:tc>
      </w:tr>
      <w:tr w:rsidR="00BF03AA" w:rsidRPr="00326E55" w14:paraId="2C3C5FE1" w14:textId="77777777">
        <w:trPr>
          <w:trHeight w:val="300"/>
        </w:trPr>
        <w:tc>
          <w:tcPr>
            <w:tcW w:w="1140" w:type="dxa"/>
            <w:shd w:val="clear" w:color="auto" w:fill="C6EFCE"/>
            <w:tcMar>
              <w:left w:w="108" w:type="dxa"/>
              <w:right w:w="108" w:type="dxa"/>
            </w:tcMar>
            <w:vAlign w:val="center"/>
          </w:tcPr>
          <w:p w14:paraId="61DC3B9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44</w:t>
            </w:r>
          </w:p>
        </w:tc>
        <w:tc>
          <w:tcPr>
            <w:tcW w:w="3628" w:type="dxa"/>
            <w:shd w:val="clear" w:color="auto" w:fill="C6EFCE"/>
            <w:tcMar>
              <w:left w:w="108" w:type="dxa"/>
              <w:right w:w="108" w:type="dxa"/>
            </w:tcMar>
            <w:vAlign w:val="center"/>
          </w:tcPr>
          <w:p w14:paraId="58E79C79" w14:textId="7FC5FD0F" w:rsidR="00BF03AA" w:rsidRPr="00326E55" w:rsidRDefault="00FB452D">
            <w:pPr>
              <w:pStyle w:val="P68B1DB1-Normal121"/>
              <w:spacing w:after="0" w:line="240" w:lineRule="auto"/>
              <w:rPr>
                <w:noProof/>
                <w:spacing w:val="-6"/>
                <w:lang w:val="sk-SK"/>
              </w:rPr>
            </w:pPr>
            <w:r w:rsidRPr="00326E55">
              <w:rPr>
                <w:noProof/>
                <w:spacing w:val="-6"/>
                <w:lang w:val="sk-SK"/>
              </w:rPr>
              <w:t>Investícia 16: Podpora MSP na vlastnú výrobu</w:t>
            </w:r>
            <w:r w:rsidR="00326E55" w:rsidRPr="00326E55">
              <w:rPr>
                <w:noProof/>
                <w:spacing w:val="-6"/>
                <w:lang w:val="sk-SK"/>
              </w:rPr>
              <w:t xml:space="preserve"> z </w:t>
            </w:r>
            <w:r w:rsidRPr="00326E55">
              <w:rPr>
                <w:noProof/>
                <w:spacing w:val="-6"/>
                <w:lang w:val="sk-SK"/>
              </w:rPr>
              <w:t xml:space="preserve">obnoviteľných zdrojov </w:t>
            </w:r>
            <w:r w:rsidRPr="00326E55">
              <w:rPr>
                <w:noProof/>
                <w:spacing w:val="-6"/>
                <w:lang w:val="sk-SK"/>
              </w:rPr>
              <w:t>energie</w:t>
            </w:r>
          </w:p>
        </w:tc>
        <w:tc>
          <w:tcPr>
            <w:tcW w:w="1110" w:type="dxa"/>
            <w:shd w:val="clear" w:color="auto" w:fill="C6EFCE"/>
            <w:tcMar>
              <w:left w:w="108" w:type="dxa"/>
              <w:right w:w="108" w:type="dxa"/>
            </w:tcMar>
            <w:vAlign w:val="center"/>
          </w:tcPr>
          <w:p w14:paraId="486AAE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80" w:type="dxa"/>
            <w:shd w:val="clear" w:color="auto" w:fill="C6EFCE"/>
            <w:tcMar>
              <w:left w:w="108" w:type="dxa"/>
              <w:right w:w="108" w:type="dxa"/>
            </w:tcMar>
            <w:vAlign w:val="center"/>
          </w:tcPr>
          <w:p w14:paraId="3FBF62C1" w14:textId="25BF543A" w:rsidR="00BF03AA" w:rsidRPr="00326E55" w:rsidRDefault="00FB452D">
            <w:pPr>
              <w:pStyle w:val="P68B1DB1-Normal121"/>
              <w:spacing w:after="0" w:line="240" w:lineRule="auto"/>
              <w:rPr>
                <w:noProof/>
                <w:spacing w:val="-6"/>
                <w:lang w:val="sk-SK"/>
              </w:rPr>
            </w:pPr>
            <w:r w:rsidRPr="00326E55">
              <w:rPr>
                <w:noProof/>
                <w:spacing w:val="-6"/>
                <w:lang w:val="sk-SK"/>
              </w:rPr>
              <w:t>Ministerstvo podnikov</w:t>
            </w:r>
            <w:r w:rsidR="00326E55" w:rsidRPr="00326E55">
              <w:rPr>
                <w:noProof/>
                <w:spacing w:val="-6"/>
                <w:lang w:val="sk-SK"/>
              </w:rPr>
              <w:t xml:space="preserve"> a </w:t>
            </w:r>
            <w:r w:rsidRPr="00326E55">
              <w:rPr>
                <w:noProof/>
                <w:spacing w:val="-6"/>
                <w:lang w:val="sk-SK"/>
              </w:rPr>
              <w:t>Made</w:t>
            </w:r>
            <w:r w:rsidR="00326E55" w:rsidRPr="00326E55">
              <w:rPr>
                <w:noProof/>
                <w:spacing w:val="-6"/>
                <w:lang w:val="sk-SK"/>
              </w:rPr>
              <w:t xml:space="preserve"> v </w:t>
            </w:r>
            <w:r w:rsidRPr="00326E55">
              <w:rPr>
                <w:noProof/>
                <w:spacing w:val="-6"/>
                <w:lang w:val="sk-SK"/>
              </w:rPr>
              <w:t>Taliansku dokončilo prevod finančných prostriedkov do Invitalie</w:t>
            </w:r>
          </w:p>
        </w:tc>
      </w:tr>
      <w:tr w:rsidR="00BF03AA" w:rsidRPr="00326E55" w14:paraId="0B29B6FE" w14:textId="77777777">
        <w:trPr>
          <w:trHeight w:val="300"/>
        </w:trPr>
        <w:tc>
          <w:tcPr>
            <w:tcW w:w="1140" w:type="dxa"/>
            <w:shd w:val="clear" w:color="auto" w:fill="C6EFCE"/>
            <w:tcMar>
              <w:left w:w="108" w:type="dxa"/>
              <w:right w:w="108" w:type="dxa"/>
            </w:tcMar>
            <w:vAlign w:val="center"/>
          </w:tcPr>
          <w:p w14:paraId="2337057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20</w:t>
            </w:r>
          </w:p>
        </w:tc>
        <w:tc>
          <w:tcPr>
            <w:tcW w:w="3628" w:type="dxa"/>
            <w:shd w:val="clear" w:color="auto" w:fill="C6EFCE"/>
            <w:tcMar>
              <w:left w:w="108" w:type="dxa"/>
              <w:right w:w="108" w:type="dxa"/>
            </w:tcMar>
            <w:vAlign w:val="center"/>
          </w:tcPr>
          <w:p w14:paraId="10D89D91" w14:textId="33BAFC3C" w:rsidR="00BF03AA" w:rsidRPr="00326E55" w:rsidRDefault="00FB452D">
            <w:pPr>
              <w:pStyle w:val="P68B1DB1-Normal121"/>
              <w:spacing w:after="0" w:line="240" w:lineRule="auto"/>
              <w:rPr>
                <w:noProof/>
                <w:spacing w:val="-6"/>
                <w:lang w:val="sk-SK"/>
              </w:rPr>
            </w:pPr>
            <w:r w:rsidRPr="00326E55">
              <w:rPr>
                <w:noProof/>
                <w:spacing w:val="-6"/>
                <w:lang w:val="sk-SK"/>
              </w:rPr>
              <w:t>Investície. 3.1: Ochrana</w:t>
            </w:r>
            <w:r w:rsidR="00326E55" w:rsidRPr="00326E55">
              <w:rPr>
                <w:noProof/>
                <w:spacing w:val="-6"/>
                <w:lang w:val="sk-SK"/>
              </w:rPr>
              <w:t xml:space="preserve"> a </w:t>
            </w:r>
            <w:r w:rsidRPr="00326E55">
              <w:rPr>
                <w:noProof/>
                <w:spacing w:val="-6"/>
                <w:lang w:val="sk-SK"/>
              </w:rPr>
              <w:t>zveľaďovanie mestských</w:t>
            </w:r>
            <w:r w:rsidR="00326E55" w:rsidRPr="00326E55">
              <w:rPr>
                <w:noProof/>
                <w:spacing w:val="-6"/>
                <w:lang w:val="sk-SK"/>
              </w:rPr>
              <w:t xml:space="preserve"> a </w:t>
            </w:r>
            <w:r w:rsidRPr="00326E55">
              <w:rPr>
                <w:noProof/>
                <w:spacing w:val="-6"/>
                <w:lang w:val="sk-SK"/>
              </w:rPr>
              <w:t>prímestských lesov</w:t>
            </w:r>
          </w:p>
        </w:tc>
        <w:tc>
          <w:tcPr>
            <w:tcW w:w="1110" w:type="dxa"/>
            <w:shd w:val="clear" w:color="auto" w:fill="C6EFCE"/>
            <w:tcMar>
              <w:left w:w="108" w:type="dxa"/>
              <w:right w:w="108" w:type="dxa"/>
            </w:tcMar>
            <w:vAlign w:val="center"/>
          </w:tcPr>
          <w:p w14:paraId="61216B2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80" w:type="dxa"/>
            <w:shd w:val="clear" w:color="auto" w:fill="C6EFCE"/>
            <w:tcMar>
              <w:left w:w="108" w:type="dxa"/>
              <w:right w:w="108" w:type="dxa"/>
            </w:tcMar>
            <w:vAlign w:val="center"/>
          </w:tcPr>
          <w:p w14:paraId="5A18F988" w14:textId="69896895" w:rsidR="00BF03AA" w:rsidRPr="00326E55" w:rsidRDefault="00FB452D">
            <w:pPr>
              <w:pStyle w:val="P68B1DB1-Normal121"/>
              <w:spacing w:after="0" w:line="240" w:lineRule="auto"/>
              <w:rPr>
                <w:noProof/>
                <w:spacing w:val="-6"/>
                <w:lang w:val="sk-SK"/>
              </w:rPr>
            </w:pPr>
            <w:r w:rsidRPr="00326E55">
              <w:rPr>
                <w:noProof/>
                <w:spacing w:val="-6"/>
                <w:lang w:val="sk-SK"/>
              </w:rPr>
              <w:t>Rastlinné stromy na ochranu</w:t>
            </w:r>
            <w:r w:rsidR="00326E55" w:rsidRPr="00326E55">
              <w:rPr>
                <w:noProof/>
                <w:spacing w:val="-6"/>
                <w:lang w:val="sk-SK"/>
              </w:rPr>
              <w:t xml:space="preserve"> a </w:t>
            </w:r>
            <w:r w:rsidRPr="00326E55">
              <w:rPr>
                <w:noProof/>
                <w:spacing w:val="-6"/>
                <w:lang w:val="sk-SK"/>
              </w:rPr>
              <w:t>zhodnocovanie mestských</w:t>
            </w:r>
            <w:r w:rsidR="00326E55" w:rsidRPr="00326E55">
              <w:rPr>
                <w:noProof/>
                <w:spacing w:val="-6"/>
                <w:lang w:val="sk-SK"/>
              </w:rPr>
              <w:t xml:space="preserve"> a </w:t>
            </w:r>
            <w:r w:rsidRPr="00326E55">
              <w:rPr>
                <w:noProof/>
                <w:spacing w:val="-6"/>
                <w:lang w:val="sk-SK"/>
              </w:rPr>
              <w:t>prí</w:t>
            </w:r>
            <w:r w:rsidRPr="00326E55">
              <w:rPr>
                <w:noProof/>
                <w:spacing w:val="-6"/>
                <w:lang w:val="sk-SK"/>
              </w:rPr>
              <w:t xml:space="preserve">mestských zelených plôch T2 </w:t>
            </w:r>
          </w:p>
        </w:tc>
      </w:tr>
      <w:tr w:rsidR="00BF03AA" w:rsidRPr="00326E55" w14:paraId="0E27E8EA" w14:textId="77777777">
        <w:trPr>
          <w:trHeight w:val="300"/>
        </w:trPr>
        <w:tc>
          <w:tcPr>
            <w:tcW w:w="1140" w:type="dxa"/>
            <w:shd w:val="clear" w:color="auto" w:fill="C6EFCE"/>
            <w:tcMar>
              <w:left w:w="108" w:type="dxa"/>
              <w:right w:w="108" w:type="dxa"/>
            </w:tcMar>
            <w:vAlign w:val="center"/>
          </w:tcPr>
          <w:p w14:paraId="5A5DE6EB"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628" w:type="dxa"/>
            <w:shd w:val="clear" w:color="auto" w:fill="C6EFCE"/>
            <w:tcMar>
              <w:left w:w="108" w:type="dxa"/>
              <w:right w:w="108" w:type="dxa"/>
            </w:tcMar>
            <w:vAlign w:val="center"/>
          </w:tcPr>
          <w:p w14:paraId="5F70AB7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110" w:type="dxa"/>
            <w:shd w:val="clear" w:color="auto" w:fill="C6EFCE"/>
            <w:tcMar>
              <w:left w:w="108" w:type="dxa"/>
              <w:right w:w="108" w:type="dxa"/>
            </w:tcMar>
            <w:vAlign w:val="center"/>
          </w:tcPr>
          <w:p w14:paraId="0070171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480" w:type="dxa"/>
            <w:shd w:val="clear" w:color="auto" w:fill="C6EFCE"/>
            <w:tcMar>
              <w:left w:w="108" w:type="dxa"/>
              <w:right w:w="108" w:type="dxa"/>
            </w:tcMar>
            <w:vAlign w:val="center"/>
          </w:tcPr>
          <w:p w14:paraId="67324257"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15715972025 EUR</w:t>
            </w:r>
            <w:r w:rsidRPr="00326E55">
              <w:rPr>
                <w:noProof/>
                <w:spacing w:val="-6"/>
                <w:sz w:val="23"/>
                <w:szCs w:val="23"/>
                <w:lang w:val="sk-SK"/>
              </w:rPr>
              <w:t xml:space="preserve">  </w:t>
            </w:r>
          </w:p>
        </w:tc>
      </w:tr>
    </w:tbl>
    <w:p w14:paraId="2C1F07C4"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3D79AADE"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7F9CD71E" w14:textId="77777777" w:rsidR="00BF03AA" w:rsidRPr="00326E55" w:rsidRDefault="00BF03AA">
      <w:pPr>
        <w:spacing w:after="0"/>
        <w:ind w:left="850"/>
        <w:contextualSpacing/>
        <w:jc w:val="both"/>
        <w:rPr>
          <w:rFonts w:ascii="Times New Roman" w:eastAsia="Times New Roman" w:hAnsi="Times New Roman" w:cs="Times New Roman"/>
          <w:noProof/>
          <w:spacing w:val="-6"/>
          <w:lang w:val="sk-SK"/>
        </w:rPr>
      </w:pPr>
    </w:p>
    <w:p w14:paraId="3EF59D40" w14:textId="77777777" w:rsidR="00BF03AA" w:rsidRPr="00326E55" w:rsidRDefault="00FB452D">
      <w:pPr>
        <w:pStyle w:val="P68B1DB1-Normal8"/>
        <w:rPr>
          <w:noProof/>
          <w:spacing w:val="-6"/>
          <w:lang w:val="sk-SK"/>
        </w:rPr>
      </w:pPr>
      <w:r w:rsidRPr="00326E55">
        <w:rPr>
          <w:noProof/>
          <w:spacing w:val="-6"/>
          <w:lang w:val="sk-SK"/>
        </w:rPr>
        <w:br w:type="page"/>
      </w:r>
    </w:p>
    <w:p w14:paraId="6F9E63C2"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Ôsma splátka (úverová podpora):</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5"/>
        <w:gridCol w:w="3784"/>
        <w:gridCol w:w="1260"/>
        <w:gridCol w:w="2979"/>
      </w:tblGrid>
      <w:tr w:rsidR="00BF03AA" w:rsidRPr="00326E55" w14:paraId="2053FE2E" w14:textId="77777777">
        <w:trPr>
          <w:trHeight w:val="900"/>
          <w:tblHeader/>
        </w:trPr>
        <w:tc>
          <w:tcPr>
            <w:tcW w:w="1335" w:type="dxa"/>
            <w:vMerge w:val="restart"/>
            <w:shd w:val="clear" w:color="auto" w:fill="BDD7EE"/>
            <w:tcMar>
              <w:left w:w="108" w:type="dxa"/>
              <w:right w:w="108" w:type="dxa"/>
            </w:tcMar>
            <w:vAlign w:val="center"/>
          </w:tcPr>
          <w:p w14:paraId="2A65FC91"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784" w:type="dxa"/>
            <w:vMerge w:val="restart"/>
            <w:shd w:val="clear" w:color="auto" w:fill="BDD7EE"/>
            <w:tcMar>
              <w:left w:w="108" w:type="dxa"/>
              <w:right w:w="108" w:type="dxa"/>
            </w:tcMar>
            <w:vAlign w:val="center"/>
          </w:tcPr>
          <w:p w14:paraId="25972084"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60" w:type="dxa"/>
            <w:vMerge w:val="restart"/>
            <w:shd w:val="clear" w:color="auto" w:fill="BDD7EE"/>
            <w:tcMar>
              <w:left w:w="108" w:type="dxa"/>
              <w:right w:w="108" w:type="dxa"/>
            </w:tcMar>
            <w:vAlign w:val="center"/>
          </w:tcPr>
          <w:p w14:paraId="31C739A0"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2979" w:type="dxa"/>
            <w:vMerge w:val="restart"/>
            <w:shd w:val="clear" w:color="auto" w:fill="BDD7EE"/>
            <w:tcMar>
              <w:left w:w="108" w:type="dxa"/>
              <w:right w:w="108" w:type="dxa"/>
            </w:tcMar>
            <w:vAlign w:val="center"/>
          </w:tcPr>
          <w:p w14:paraId="42FA8884"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5F699770" w14:textId="77777777">
        <w:trPr>
          <w:trHeight w:val="510"/>
        </w:trPr>
        <w:tc>
          <w:tcPr>
            <w:tcW w:w="1335" w:type="dxa"/>
            <w:vMerge/>
            <w:vAlign w:val="center"/>
          </w:tcPr>
          <w:p w14:paraId="514AF676"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784" w:type="dxa"/>
            <w:vMerge/>
            <w:vAlign w:val="center"/>
          </w:tcPr>
          <w:p w14:paraId="43DDFF35"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60" w:type="dxa"/>
            <w:vMerge/>
            <w:vAlign w:val="center"/>
          </w:tcPr>
          <w:p w14:paraId="36947523"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2979" w:type="dxa"/>
            <w:vMerge/>
            <w:vAlign w:val="center"/>
          </w:tcPr>
          <w:p w14:paraId="785E943B"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7905C74B" w14:textId="77777777">
        <w:trPr>
          <w:trHeight w:val="300"/>
        </w:trPr>
        <w:tc>
          <w:tcPr>
            <w:tcW w:w="1335" w:type="dxa"/>
            <w:shd w:val="clear" w:color="auto" w:fill="C6EFCE"/>
            <w:tcMar>
              <w:left w:w="108" w:type="dxa"/>
              <w:right w:w="108" w:type="dxa"/>
            </w:tcMar>
            <w:vAlign w:val="center"/>
          </w:tcPr>
          <w:p w14:paraId="70E3953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47</w:t>
            </w:r>
          </w:p>
        </w:tc>
        <w:tc>
          <w:tcPr>
            <w:tcW w:w="3784" w:type="dxa"/>
            <w:shd w:val="clear" w:color="auto" w:fill="C6EFCE"/>
            <w:tcMar>
              <w:left w:w="108" w:type="dxa"/>
              <w:right w:w="108" w:type="dxa"/>
            </w:tcMar>
            <w:vAlign w:val="center"/>
          </w:tcPr>
          <w:p w14:paraId="65DFCCD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17: Finančný nástroj na energetickú obnovu </w:t>
            </w:r>
            <w:r w:rsidRPr="00326E55">
              <w:rPr>
                <w:noProof/>
                <w:spacing w:val="-6"/>
                <w:lang w:val="sk-SK"/>
              </w:rPr>
              <w:t>bytových domov</w:t>
            </w:r>
          </w:p>
        </w:tc>
        <w:tc>
          <w:tcPr>
            <w:tcW w:w="1260" w:type="dxa"/>
            <w:shd w:val="clear" w:color="auto" w:fill="C6EFCE"/>
            <w:tcMar>
              <w:left w:w="108" w:type="dxa"/>
              <w:right w:w="108" w:type="dxa"/>
            </w:tcMar>
            <w:vAlign w:val="center"/>
          </w:tcPr>
          <w:p w14:paraId="55C27C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79" w:type="dxa"/>
            <w:shd w:val="clear" w:color="auto" w:fill="C6EFCE"/>
            <w:tcMar>
              <w:left w:w="108" w:type="dxa"/>
              <w:right w:w="108" w:type="dxa"/>
            </w:tcMar>
            <w:vAlign w:val="center"/>
          </w:tcPr>
          <w:p w14:paraId="212DE70E"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p>
        </w:tc>
      </w:tr>
      <w:tr w:rsidR="00BF03AA" w:rsidRPr="00326E55" w14:paraId="407DF1B6" w14:textId="77777777">
        <w:trPr>
          <w:trHeight w:val="300"/>
        </w:trPr>
        <w:tc>
          <w:tcPr>
            <w:tcW w:w="1335" w:type="dxa"/>
            <w:shd w:val="clear" w:color="auto" w:fill="C6EFCE"/>
            <w:tcMar>
              <w:left w:w="108" w:type="dxa"/>
              <w:right w:w="108" w:type="dxa"/>
            </w:tcMar>
            <w:vAlign w:val="center"/>
          </w:tcPr>
          <w:p w14:paraId="6DBB85D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48</w:t>
            </w:r>
          </w:p>
        </w:tc>
        <w:tc>
          <w:tcPr>
            <w:tcW w:w="3784" w:type="dxa"/>
            <w:shd w:val="clear" w:color="auto" w:fill="C6EFCE"/>
            <w:tcMar>
              <w:left w:w="108" w:type="dxa"/>
              <w:right w:w="108" w:type="dxa"/>
            </w:tcMar>
            <w:vAlign w:val="center"/>
          </w:tcPr>
          <w:p w14:paraId="4E09D9FA"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17: Finančný nástroj na energetickú obnovu bytových domov</w:t>
            </w:r>
          </w:p>
        </w:tc>
        <w:tc>
          <w:tcPr>
            <w:tcW w:w="1260" w:type="dxa"/>
            <w:shd w:val="clear" w:color="auto" w:fill="C6EFCE"/>
            <w:tcMar>
              <w:left w:w="108" w:type="dxa"/>
              <w:right w:w="108" w:type="dxa"/>
            </w:tcMar>
            <w:vAlign w:val="center"/>
          </w:tcPr>
          <w:p w14:paraId="6AFC1C1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79" w:type="dxa"/>
            <w:shd w:val="clear" w:color="auto" w:fill="C6EFCE"/>
            <w:tcMar>
              <w:left w:w="108" w:type="dxa"/>
              <w:right w:w="108" w:type="dxa"/>
            </w:tcMar>
            <w:vAlign w:val="center"/>
          </w:tcPr>
          <w:p w14:paraId="64CDA69E" w14:textId="77777777" w:rsidR="00BF03AA" w:rsidRPr="00326E55" w:rsidRDefault="00FB452D">
            <w:pPr>
              <w:pStyle w:val="P68B1DB1-Normal121"/>
              <w:spacing w:after="0" w:line="240" w:lineRule="auto"/>
              <w:rPr>
                <w:noProof/>
                <w:spacing w:val="-6"/>
                <w:lang w:val="sk-SK"/>
              </w:rPr>
            </w:pPr>
            <w:r w:rsidRPr="00326E55">
              <w:rPr>
                <w:noProof/>
                <w:spacing w:val="-6"/>
                <w:lang w:val="sk-SK"/>
              </w:rPr>
              <w:t>Ministerstvo dokončilo investíciu</w:t>
            </w:r>
          </w:p>
        </w:tc>
      </w:tr>
      <w:tr w:rsidR="00BF03AA" w:rsidRPr="00326E55" w14:paraId="5EB47AEC" w14:textId="77777777">
        <w:trPr>
          <w:trHeight w:val="300"/>
        </w:trPr>
        <w:tc>
          <w:tcPr>
            <w:tcW w:w="1335" w:type="dxa"/>
            <w:shd w:val="clear" w:color="auto" w:fill="C6EFCE"/>
            <w:tcMar>
              <w:left w:w="108" w:type="dxa"/>
              <w:right w:w="108" w:type="dxa"/>
            </w:tcMar>
            <w:vAlign w:val="center"/>
          </w:tcPr>
          <w:p w14:paraId="3AAEA5B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146</w:t>
            </w:r>
          </w:p>
        </w:tc>
        <w:tc>
          <w:tcPr>
            <w:tcW w:w="3784" w:type="dxa"/>
            <w:shd w:val="clear" w:color="auto" w:fill="C6EFCE"/>
            <w:tcMar>
              <w:left w:w="108" w:type="dxa"/>
              <w:right w:w="108" w:type="dxa"/>
            </w:tcMar>
            <w:vAlign w:val="center"/>
          </w:tcPr>
          <w:p w14:paraId="59173138" w14:textId="1B374462"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1.4.4 – Rozšírenie prijatia národných platforiem digitálnej identity </w:t>
            </w:r>
            <w:r w:rsidRPr="00326E55">
              <w:rPr>
                <w:noProof/>
                <w:spacing w:val="-6"/>
                <w:lang w:val="sk-SK"/>
              </w:rPr>
              <w:t>(SPID, CIE)</w:t>
            </w:r>
            <w:r w:rsidR="00326E55" w:rsidRPr="00326E55">
              <w:rPr>
                <w:noProof/>
                <w:spacing w:val="-6"/>
                <w:lang w:val="sk-SK"/>
              </w:rPr>
              <w:t xml:space="preserve"> a </w:t>
            </w:r>
            <w:r w:rsidRPr="00326E55">
              <w:rPr>
                <w:noProof/>
                <w:spacing w:val="-6"/>
                <w:lang w:val="sk-SK"/>
              </w:rPr>
              <w:t>národného registra (ANPR)</w:t>
            </w:r>
          </w:p>
        </w:tc>
        <w:tc>
          <w:tcPr>
            <w:tcW w:w="1260" w:type="dxa"/>
            <w:shd w:val="clear" w:color="auto" w:fill="C6EFCE"/>
            <w:tcMar>
              <w:left w:w="108" w:type="dxa"/>
              <w:right w:w="108" w:type="dxa"/>
            </w:tcMar>
            <w:vAlign w:val="center"/>
          </w:tcPr>
          <w:p w14:paraId="69C81AD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79" w:type="dxa"/>
            <w:shd w:val="clear" w:color="auto" w:fill="C6EFCE"/>
            <w:tcMar>
              <w:left w:w="108" w:type="dxa"/>
              <w:right w:w="108" w:type="dxa"/>
            </w:tcMar>
            <w:vAlign w:val="center"/>
          </w:tcPr>
          <w:p w14:paraId="3CBAA0B8" w14:textId="77777777" w:rsidR="00BF03AA" w:rsidRPr="00326E55" w:rsidRDefault="00FB452D">
            <w:pPr>
              <w:pStyle w:val="P68B1DB1-Normal121"/>
              <w:spacing w:after="0" w:line="240" w:lineRule="auto"/>
              <w:rPr>
                <w:noProof/>
                <w:spacing w:val="-6"/>
                <w:lang w:val="sk-SK"/>
              </w:rPr>
            </w:pPr>
            <w:r w:rsidRPr="00326E55">
              <w:rPr>
                <w:noProof/>
                <w:spacing w:val="-6"/>
                <w:lang w:val="sk-SK"/>
              </w:rPr>
              <w:t>Národná platforma digitálnej identity (CIE)</w:t>
            </w:r>
          </w:p>
        </w:tc>
      </w:tr>
      <w:tr w:rsidR="00BF03AA" w:rsidRPr="00326E55" w14:paraId="2918C631" w14:textId="77777777">
        <w:trPr>
          <w:trHeight w:val="300"/>
        </w:trPr>
        <w:tc>
          <w:tcPr>
            <w:tcW w:w="1335" w:type="dxa"/>
            <w:shd w:val="clear" w:color="auto" w:fill="C6EFCE"/>
            <w:tcMar>
              <w:left w:w="108" w:type="dxa"/>
              <w:right w:w="108" w:type="dxa"/>
            </w:tcMar>
            <w:vAlign w:val="center"/>
          </w:tcPr>
          <w:p w14:paraId="4CDCA5E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16</w:t>
            </w:r>
          </w:p>
        </w:tc>
        <w:tc>
          <w:tcPr>
            <w:tcW w:w="3784" w:type="dxa"/>
            <w:shd w:val="clear" w:color="auto" w:fill="C6EFCE"/>
            <w:tcMar>
              <w:left w:w="108" w:type="dxa"/>
              <w:right w:w="108" w:type="dxa"/>
            </w:tcMar>
            <w:vAlign w:val="center"/>
          </w:tcPr>
          <w:p w14:paraId="47D52D3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 2.1 Atraktívnosť malých historických miest</w:t>
            </w:r>
          </w:p>
        </w:tc>
        <w:tc>
          <w:tcPr>
            <w:tcW w:w="1260" w:type="dxa"/>
            <w:shd w:val="clear" w:color="auto" w:fill="C6EFCE"/>
            <w:tcMar>
              <w:left w:w="108" w:type="dxa"/>
              <w:right w:w="108" w:type="dxa"/>
            </w:tcMar>
            <w:vAlign w:val="center"/>
          </w:tcPr>
          <w:p w14:paraId="583372F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79" w:type="dxa"/>
            <w:shd w:val="clear" w:color="auto" w:fill="C6EFCE"/>
            <w:tcMar>
              <w:left w:w="108" w:type="dxa"/>
              <w:right w:w="108" w:type="dxa"/>
            </w:tcMar>
            <w:vAlign w:val="center"/>
          </w:tcPr>
          <w:p w14:paraId="48CE301E" w14:textId="111B255D" w:rsidR="00BF03AA" w:rsidRPr="00326E55" w:rsidRDefault="00FB452D">
            <w:pPr>
              <w:pStyle w:val="P68B1DB1-Normal121"/>
              <w:spacing w:after="0" w:line="240" w:lineRule="auto"/>
              <w:rPr>
                <w:noProof/>
                <w:spacing w:val="-6"/>
                <w:lang w:val="sk-SK"/>
              </w:rPr>
            </w:pPr>
            <w:r w:rsidRPr="00326E55">
              <w:rPr>
                <w:noProof/>
                <w:spacing w:val="-6"/>
                <w:lang w:val="sk-SK"/>
              </w:rPr>
              <w:t>Prijatie dekrétu (vyhlášok)</w:t>
            </w:r>
            <w:r w:rsidR="00326E55" w:rsidRPr="00326E55">
              <w:rPr>
                <w:noProof/>
                <w:spacing w:val="-6"/>
                <w:lang w:val="sk-SK"/>
              </w:rPr>
              <w:t xml:space="preserve"> o </w:t>
            </w:r>
            <w:r w:rsidRPr="00326E55">
              <w:rPr>
                <w:noProof/>
                <w:spacing w:val="-6"/>
                <w:lang w:val="sk-SK"/>
              </w:rPr>
              <w:t>kótovaní firiem podporovaných</w:t>
            </w:r>
            <w:r w:rsidR="00326E55" w:rsidRPr="00326E55">
              <w:rPr>
                <w:noProof/>
                <w:spacing w:val="-6"/>
                <w:lang w:val="sk-SK"/>
              </w:rPr>
              <w:t xml:space="preserve"> v </w:t>
            </w:r>
            <w:r w:rsidRPr="00326E55">
              <w:rPr>
                <w:noProof/>
                <w:spacing w:val="-6"/>
                <w:lang w:val="sk-SK"/>
              </w:rPr>
              <w:t>malých historických mestách</w:t>
            </w:r>
          </w:p>
        </w:tc>
      </w:tr>
      <w:tr w:rsidR="00BF03AA" w:rsidRPr="00326E55" w14:paraId="6C99B528" w14:textId="77777777">
        <w:trPr>
          <w:trHeight w:val="300"/>
        </w:trPr>
        <w:tc>
          <w:tcPr>
            <w:tcW w:w="1335" w:type="dxa"/>
            <w:shd w:val="clear" w:color="auto" w:fill="C6EFCE"/>
            <w:tcMar>
              <w:left w:w="108" w:type="dxa"/>
              <w:right w:w="108" w:type="dxa"/>
            </w:tcMar>
            <w:vAlign w:val="center"/>
          </w:tcPr>
          <w:p w14:paraId="367810B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9</w:t>
            </w:r>
          </w:p>
        </w:tc>
        <w:tc>
          <w:tcPr>
            <w:tcW w:w="3784" w:type="dxa"/>
            <w:shd w:val="clear" w:color="auto" w:fill="C6EFCE"/>
            <w:tcMar>
              <w:left w:w="108" w:type="dxa"/>
              <w:right w:w="108" w:type="dxa"/>
            </w:tcMar>
            <w:vAlign w:val="center"/>
          </w:tcPr>
          <w:p w14:paraId="3726A1FD" w14:textId="5254BEE1" w:rsidR="00BF03AA" w:rsidRPr="00326E55" w:rsidRDefault="00FB452D">
            <w:pPr>
              <w:pStyle w:val="P68B1DB1-Normal121"/>
              <w:spacing w:after="0" w:line="240" w:lineRule="auto"/>
              <w:rPr>
                <w:noProof/>
                <w:spacing w:val="-6"/>
                <w:lang w:val="sk-SK"/>
              </w:rPr>
            </w:pPr>
            <w:r w:rsidRPr="00326E55">
              <w:rPr>
                <w:noProof/>
                <w:spacing w:val="-6"/>
                <w:lang w:val="sk-SK"/>
              </w:rPr>
              <w:t>Investícia 1.1. Zavedenie pokročilého</w:t>
            </w:r>
            <w:r w:rsidR="00326E55" w:rsidRPr="00326E55">
              <w:rPr>
                <w:noProof/>
                <w:spacing w:val="-6"/>
                <w:lang w:val="sk-SK"/>
              </w:rPr>
              <w:t xml:space="preserve"> a </w:t>
            </w:r>
            <w:r w:rsidRPr="00326E55">
              <w:rPr>
                <w:noProof/>
                <w:spacing w:val="-6"/>
                <w:lang w:val="sk-SK"/>
              </w:rPr>
              <w:t>integrovaného systému monitorovania</w:t>
            </w:r>
            <w:r w:rsidR="00326E55" w:rsidRPr="00326E55">
              <w:rPr>
                <w:noProof/>
                <w:spacing w:val="-6"/>
                <w:lang w:val="sk-SK"/>
              </w:rPr>
              <w:t xml:space="preserve"> a </w:t>
            </w:r>
            <w:r w:rsidRPr="00326E55">
              <w:rPr>
                <w:noProof/>
                <w:spacing w:val="-6"/>
                <w:lang w:val="sk-SK"/>
              </w:rPr>
              <w:t>prognózovania</w:t>
            </w:r>
          </w:p>
        </w:tc>
        <w:tc>
          <w:tcPr>
            <w:tcW w:w="1260" w:type="dxa"/>
            <w:shd w:val="clear" w:color="auto" w:fill="C6EFCE"/>
            <w:tcMar>
              <w:left w:w="108" w:type="dxa"/>
              <w:right w:w="108" w:type="dxa"/>
            </w:tcMar>
            <w:vAlign w:val="center"/>
          </w:tcPr>
          <w:p w14:paraId="6021286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79" w:type="dxa"/>
            <w:shd w:val="clear" w:color="auto" w:fill="C6EFCE"/>
            <w:tcMar>
              <w:left w:w="108" w:type="dxa"/>
              <w:right w:w="108" w:type="dxa"/>
            </w:tcMar>
            <w:vAlign w:val="center"/>
          </w:tcPr>
          <w:p w14:paraId="7317A173" w14:textId="5F25DA93" w:rsidR="00BF03AA" w:rsidRPr="00326E55" w:rsidRDefault="00FB452D">
            <w:pPr>
              <w:pStyle w:val="P68B1DB1-Normal121"/>
              <w:spacing w:after="0" w:line="240" w:lineRule="auto"/>
              <w:rPr>
                <w:noProof/>
                <w:spacing w:val="-6"/>
                <w:lang w:val="sk-SK"/>
              </w:rPr>
            </w:pPr>
            <w:r w:rsidRPr="00326E55">
              <w:rPr>
                <w:noProof/>
                <w:spacing w:val="-6"/>
                <w:lang w:val="sk-SK"/>
              </w:rPr>
              <w:t>Systém monitorovania</w:t>
            </w:r>
            <w:r w:rsidR="00326E55" w:rsidRPr="00326E55">
              <w:rPr>
                <w:noProof/>
                <w:spacing w:val="-6"/>
                <w:lang w:val="sk-SK"/>
              </w:rPr>
              <w:t xml:space="preserve"> a </w:t>
            </w:r>
            <w:r w:rsidRPr="00326E55">
              <w:rPr>
                <w:noProof/>
                <w:spacing w:val="-6"/>
                <w:lang w:val="sk-SK"/>
              </w:rPr>
              <w:t xml:space="preserve">prognóz je prístupný  </w:t>
            </w:r>
          </w:p>
        </w:tc>
      </w:tr>
      <w:tr w:rsidR="00BF03AA" w:rsidRPr="00326E55" w14:paraId="580B8559" w14:textId="77777777">
        <w:trPr>
          <w:trHeight w:val="300"/>
        </w:trPr>
        <w:tc>
          <w:tcPr>
            <w:tcW w:w="1335" w:type="dxa"/>
            <w:shd w:val="clear" w:color="auto" w:fill="C6EFCE"/>
            <w:tcMar>
              <w:left w:w="108" w:type="dxa"/>
              <w:right w:w="108" w:type="dxa"/>
            </w:tcMar>
            <w:vAlign w:val="center"/>
          </w:tcPr>
          <w:p w14:paraId="5FC7AD7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26</w:t>
            </w:r>
          </w:p>
        </w:tc>
        <w:tc>
          <w:tcPr>
            <w:tcW w:w="3784" w:type="dxa"/>
            <w:shd w:val="clear" w:color="auto" w:fill="C6EFCE"/>
            <w:tcMar>
              <w:left w:w="108" w:type="dxa"/>
              <w:right w:w="108" w:type="dxa"/>
            </w:tcMar>
            <w:vAlign w:val="center"/>
          </w:tcPr>
          <w:p w14:paraId="0A56009A" w14:textId="0F923E36" w:rsidR="00BF03AA" w:rsidRPr="00326E55" w:rsidRDefault="00FB452D">
            <w:pPr>
              <w:pStyle w:val="P68B1DB1-Normal121"/>
              <w:spacing w:after="0" w:line="240" w:lineRule="auto"/>
              <w:rPr>
                <w:noProof/>
                <w:spacing w:val="-6"/>
                <w:lang w:val="sk-SK"/>
              </w:rPr>
            </w:pPr>
            <w:r w:rsidRPr="00326E55">
              <w:rPr>
                <w:noProof/>
                <w:spacing w:val="-6"/>
                <w:lang w:val="sk-SK"/>
              </w:rPr>
              <w:t>Investícia 3.5. Obnova</w:t>
            </w:r>
            <w:r w:rsidR="00326E55" w:rsidRPr="00326E55">
              <w:rPr>
                <w:noProof/>
                <w:spacing w:val="-6"/>
                <w:lang w:val="sk-SK"/>
              </w:rPr>
              <w:t xml:space="preserve"> a </w:t>
            </w:r>
            <w:r w:rsidRPr="00326E55">
              <w:rPr>
                <w:noProof/>
                <w:spacing w:val="-6"/>
                <w:lang w:val="sk-SK"/>
              </w:rPr>
              <w:t>ochrana morského dna</w:t>
            </w:r>
            <w:r w:rsidR="00326E55" w:rsidRPr="00326E55">
              <w:rPr>
                <w:noProof/>
                <w:spacing w:val="-6"/>
                <w:lang w:val="sk-SK"/>
              </w:rPr>
              <w:t xml:space="preserve"> a </w:t>
            </w:r>
            <w:r w:rsidRPr="00326E55">
              <w:rPr>
                <w:noProof/>
                <w:spacing w:val="-6"/>
                <w:lang w:val="sk-SK"/>
              </w:rPr>
              <w:t>morských biotopov</w:t>
            </w:r>
          </w:p>
        </w:tc>
        <w:tc>
          <w:tcPr>
            <w:tcW w:w="1260" w:type="dxa"/>
            <w:shd w:val="clear" w:color="auto" w:fill="C6EFCE"/>
            <w:tcMar>
              <w:left w:w="108" w:type="dxa"/>
              <w:right w:w="108" w:type="dxa"/>
            </w:tcMar>
            <w:vAlign w:val="center"/>
          </w:tcPr>
          <w:p w14:paraId="2061D60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79" w:type="dxa"/>
            <w:shd w:val="clear" w:color="auto" w:fill="C6EFCE"/>
            <w:tcMar>
              <w:left w:w="108" w:type="dxa"/>
              <w:right w:w="108" w:type="dxa"/>
            </w:tcMar>
            <w:vAlign w:val="center"/>
          </w:tcPr>
          <w:p w14:paraId="645CD2B0" w14:textId="068CD997" w:rsidR="00BF03AA" w:rsidRPr="00326E55" w:rsidRDefault="00FB452D">
            <w:pPr>
              <w:pStyle w:val="P68B1DB1-Normal121"/>
              <w:spacing w:after="0" w:line="240" w:lineRule="auto"/>
              <w:rPr>
                <w:noProof/>
                <w:spacing w:val="-6"/>
                <w:lang w:val="sk-SK"/>
              </w:rPr>
            </w:pPr>
            <w:r w:rsidRPr="00326E55">
              <w:rPr>
                <w:noProof/>
                <w:spacing w:val="-6"/>
                <w:lang w:val="sk-SK"/>
              </w:rPr>
              <w:t>Obnova</w:t>
            </w:r>
            <w:r w:rsidR="00326E55" w:rsidRPr="00326E55">
              <w:rPr>
                <w:noProof/>
                <w:spacing w:val="-6"/>
                <w:lang w:val="sk-SK"/>
              </w:rPr>
              <w:t xml:space="preserve"> a </w:t>
            </w:r>
            <w:r w:rsidRPr="00326E55">
              <w:rPr>
                <w:noProof/>
                <w:spacing w:val="-6"/>
                <w:lang w:val="sk-SK"/>
              </w:rPr>
              <w:t xml:space="preserve">ochrana </w:t>
            </w:r>
            <w:r w:rsidRPr="00326E55">
              <w:rPr>
                <w:noProof/>
                <w:spacing w:val="-6"/>
                <w:lang w:val="sk-SK"/>
              </w:rPr>
              <w:t>morského dna</w:t>
            </w:r>
            <w:r w:rsidR="00326E55" w:rsidRPr="00326E55">
              <w:rPr>
                <w:noProof/>
                <w:spacing w:val="-6"/>
                <w:lang w:val="sk-SK"/>
              </w:rPr>
              <w:t xml:space="preserve"> a </w:t>
            </w:r>
            <w:r w:rsidRPr="00326E55">
              <w:rPr>
                <w:noProof/>
                <w:spacing w:val="-6"/>
                <w:lang w:val="sk-SK"/>
              </w:rPr>
              <w:t xml:space="preserve">morských biotopov </w:t>
            </w:r>
          </w:p>
        </w:tc>
      </w:tr>
      <w:tr w:rsidR="00BF03AA" w:rsidRPr="00326E55" w14:paraId="5D709545" w14:textId="77777777">
        <w:trPr>
          <w:trHeight w:val="300"/>
        </w:trPr>
        <w:tc>
          <w:tcPr>
            <w:tcW w:w="1335" w:type="dxa"/>
            <w:shd w:val="clear" w:color="auto" w:fill="C6EFCE"/>
            <w:tcMar>
              <w:left w:w="108" w:type="dxa"/>
              <w:right w:w="108" w:type="dxa"/>
            </w:tcMar>
            <w:vAlign w:val="center"/>
          </w:tcPr>
          <w:p w14:paraId="4D07984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6</w:t>
            </w:r>
          </w:p>
        </w:tc>
        <w:tc>
          <w:tcPr>
            <w:tcW w:w="3784" w:type="dxa"/>
            <w:shd w:val="clear" w:color="auto" w:fill="C6EFCE"/>
            <w:tcMar>
              <w:left w:w="108" w:type="dxa"/>
              <w:right w:w="108" w:type="dxa"/>
            </w:tcMar>
            <w:vAlign w:val="center"/>
          </w:tcPr>
          <w:p w14:paraId="37689ED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1.1: Výskumné projekty významného národného záujmu (PRIN)</w:t>
            </w:r>
          </w:p>
        </w:tc>
        <w:tc>
          <w:tcPr>
            <w:tcW w:w="1260" w:type="dxa"/>
            <w:shd w:val="clear" w:color="auto" w:fill="C6EFCE"/>
            <w:tcMar>
              <w:left w:w="108" w:type="dxa"/>
              <w:right w:w="108" w:type="dxa"/>
            </w:tcMar>
            <w:vAlign w:val="center"/>
          </w:tcPr>
          <w:p w14:paraId="43A1DAB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2979" w:type="dxa"/>
            <w:shd w:val="clear" w:color="auto" w:fill="C6EFCE"/>
            <w:tcMar>
              <w:left w:w="108" w:type="dxa"/>
              <w:right w:w="108" w:type="dxa"/>
            </w:tcMar>
            <w:vAlign w:val="center"/>
          </w:tcPr>
          <w:p w14:paraId="33519FE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Uverejnenie dekrétu (vyhlášok), ktorým sa udeľujú projekty </w:t>
            </w:r>
          </w:p>
        </w:tc>
      </w:tr>
      <w:tr w:rsidR="00BF03AA" w:rsidRPr="00326E55" w14:paraId="1DD089AA" w14:textId="77777777">
        <w:trPr>
          <w:trHeight w:val="300"/>
        </w:trPr>
        <w:tc>
          <w:tcPr>
            <w:tcW w:w="1335" w:type="dxa"/>
            <w:shd w:val="clear" w:color="auto" w:fill="C6EFCE"/>
            <w:tcMar>
              <w:left w:w="108" w:type="dxa"/>
              <w:right w:w="108" w:type="dxa"/>
            </w:tcMar>
            <w:vAlign w:val="center"/>
          </w:tcPr>
          <w:p w14:paraId="431B59E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7</w:t>
            </w:r>
          </w:p>
        </w:tc>
        <w:tc>
          <w:tcPr>
            <w:tcW w:w="3784" w:type="dxa"/>
            <w:shd w:val="clear" w:color="auto" w:fill="C6EFCE"/>
            <w:tcMar>
              <w:left w:w="108" w:type="dxa"/>
              <w:right w:w="108" w:type="dxa"/>
            </w:tcMar>
            <w:vAlign w:val="center"/>
          </w:tcPr>
          <w:p w14:paraId="0B55951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1.1: Výskumné projekty významného národného záujmu (PRI</w:t>
            </w:r>
            <w:r w:rsidRPr="00326E55">
              <w:rPr>
                <w:noProof/>
                <w:spacing w:val="-6"/>
                <w:lang w:val="sk-SK"/>
              </w:rPr>
              <w:t>N)</w:t>
            </w:r>
          </w:p>
        </w:tc>
        <w:tc>
          <w:tcPr>
            <w:tcW w:w="1260" w:type="dxa"/>
            <w:shd w:val="clear" w:color="auto" w:fill="C6EFCE"/>
            <w:tcMar>
              <w:left w:w="108" w:type="dxa"/>
              <w:right w:w="108" w:type="dxa"/>
            </w:tcMar>
            <w:vAlign w:val="center"/>
          </w:tcPr>
          <w:p w14:paraId="6D46665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79" w:type="dxa"/>
            <w:shd w:val="clear" w:color="auto" w:fill="C6EFCE"/>
            <w:tcMar>
              <w:left w:w="108" w:type="dxa"/>
              <w:right w:w="108" w:type="dxa"/>
            </w:tcMar>
            <w:vAlign w:val="center"/>
          </w:tcPr>
          <w:p w14:paraId="40D09AD4" w14:textId="4BABE478" w:rsidR="00BF03AA" w:rsidRPr="00326E55" w:rsidRDefault="00FB452D">
            <w:pPr>
              <w:pStyle w:val="P68B1DB1-Normal121"/>
              <w:spacing w:after="0" w:line="240" w:lineRule="auto"/>
              <w:rPr>
                <w:noProof/>
                <w:spacing w:val="-6"/>
                <w:lang w:val="sk-SK"/>
              </w:rPr>
            </w:pPr>
            <w:r w:rsidRPr="00326E55">
              <w:rPr>
                <w:noProof/>
                <w:spacing w:val="-6"/>
                <w:lang w:val="sk-SK"/>
              </w:rPr>
              <w:t>Počet prijatých výskumných pracovníkov na dobu určitú</w:t>
            </w:r>
          </w:p>
        </w:tc>
      </w:tr>
      <w:tr w:rsidR="00BF03AA" w:rsidRPr="00326E55" w14:paraId="0B53CCBC" w14:textId="77777777">
        <w:trPr>
          <w:trHeight w:val="300"/>
        </w:trPr>
        <w:tc>
          <w:tcPr>
            <w:tcW w:w="1335" w:type="dxa"/>
            <w:shd w:val="clear" w:color="auto" w:fill="C6EFCE"/>
            <w:tcMar>
              <w:left w:w="108" w:type="dxa"/>
              <w:right w:w="108" w:type="dxa"/>
            </w:tcMar>
            <w:vAlign w:val="center"/>
          </w:tcPr>
          <w:p w14:paraId="643DFFA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8</w:t>
            </w:r>
          </w:p>
        </w:tc>
        <w:tc>
          <w:tcPr>
            <w:tcW w:w="3784" w:type="dxa"/>
            <w:shd w:val="clear" w:color="auto" w:fill="C6EFCE"/>
            <w:tcMar>
              <w:left w:w="108" w:type="dxa"/>
              <w:right w:w="108" w:type="dxa"/>
            </w:tcMar>
            <w:vAlign w:val="center"/>
          </w:tcPr>
          <w:p w14:paraId="39854252" w14:textId="3DBF4D37" w:rsidR="00BF03AA" w:rsidRPr="00326E55" w:rsidRDefault="00FB452D">
            <w:pPr>
              <w:pStyle w:val="P68B1DB1-Normal121"/>
              <w:spacing w:after="0" w:line="240" w:lineRule="auto"/>
              <w:rPr>
                <w:noProof/>
                <w:spacing w:val="-6"/>
                <w:lang w:val="sk-SK"/>
              </w:rPr>
            </w:pPr>
            <w:r w:rsidRPr="00326E55">
              <w:rPr>
                <w:noProof/>
                <w:spacing w:val="-6"/>
                <w:lang w:val="sk-SK"/>
              </w:rPr>
              <w:t>Investícia 1.3: Partnerstvá rozšírené na univerzity, výskumné centrá, spoločnosti</w:t>
            </w:r>
            <w:r w:rsidR="00326E55" w:rsidRPr="00326E55">
              <w:rPr>
                <w:noProof/>
                <w:spacing w:val="-6"/>
                <w:lang w:val="sk-SK"/>
              </w:rPr>
              <w:t xml:space="preserve"> a </w:t>
            </w:r>
            <w:r w:rsidRPr="00326E55">
              <w:rPr>
                <w:noProof/>
                <w:spacing w:val="-6"/>
                <w:lang w:val="sk-SK"/>
              </w:rPr>
              <w:t>financovanie základných výskumných projektov</w:t>
            </w:r>
          </w:p>
        </w:tc>
        <w:tc>
          <w:tcPr>
            <w:tcW w:w="1260" w:type="dxa"/>
            <w:shd w:val="clear" w:color="auto" w:fill="C6EFCE"/>
            <w:tcMar>
              <w:left w:w="108" w:type="dxa"/>
              <w:right w:w="108" w:type="dxa"/>
            </w:tcMar>
            <w:vAlign w:val="center"/>
          </w:tcPr>
          <w:p w14:paraId="484E146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79" w:type="dxa"/>
            <w:shd w:val="clear" w:color="auto" w:fill="C6EFCE"/>
            <w:tcMar>
              <w:left w:w="108" w:type="dxa"/>
              <w:right w:w="108" w:type="dxa"/>
            </w:tcMar>
            <w:vAlign w:val="center"/>
          </w:tcPr>
          <w:p w14:paraId="7671EB1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Počet podpísaných výskumných partnerstiev </w:t>
            </w:r>
          </w:p>
        </w:tc>
      </w:tr>
      <w:tr w:rsidR="00BF03AA" w:rsidRPr="00326E55" w14:paraId="79B6E3CE" w14:textId="77777777">
        <w:trPr>
          <w:trHeight w:val="300"/>
        </w:trPr>
        <w:tc>
          <w:tcPr>
            <w:tcW w:w="1335" w:type="dxa"/>
            <w:shd w:val="clear" w:color="auto" w:fill="C6EFCE"/>
            <w:tcMar>
              <w:left w:w="108" w:type="dxa"/>
              <w:right w:w="108" w:type="dxa"/>
            </w:tcMar>
            <w:vAlign w:val="center"/>
          </w:tcPr>
          <w:p w14:paraId="28E20EF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w:t>
            </w:r>
            <w:r w:rsidRPr="00326E55">
              <w:rPr>
                <w:noProof/>
                <w:spacing w:val="-6"/>
                <w:lang w:val="sk-SK"/>
              </w:rPr>
              <w:t xml:space="preserve"> 22</w:t>
            </w:r>
          </w:p>
        </w:tc>
        <w:tc>
          <w:tcPr>
            <w:tcW w:w="3784" w:type="dxa"/>
            <w:shd w:val="clear" w:color="auto" w:fill="C6EFCE"/>
            <w:tcMar>
              <w:left w:w="108" w:type="dxa"/>
              <w:right w:w="108" w:type="dxa"/>
            </w:tcMar>
            <w:vAlign w:val="center"/>
          </w:tcPr>
          <w:p w14:paraId="03648B8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2.1: DÔLEŽITÝ PROJEKT SPOLOČNÉHO EURÓPSKEHO ZÁUJMU</w:t>
            </w:r>
          </w:p>
        </w:tc>
        <w:tc>
          <w:tcPr>
            <w:tcW w:w="1260" w:type="dxa"/>
            <w:shd w:val="clear" w:color="auto" w:fill="C6EFCE"/>
            <w:tcMar>
              <w:left w:w="108" w:type="dxa"/>
              <w:right w:w="108" w:type="dxa"/>
            </w:tcMar>
            <w:vAlign w:val="center"/>
          </w:tcPr>
          <w:p w14:paraId="43484D5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79" w:type="dxa"/>
            <w:shd w:val="clear" w:color="auto" w:fill="C6EFCE"/>
            <w:tcMar>
              <w:left w:w="108" w:type="dxa"/>
              <w:right w:w="108" w:type="dxa"/>
            </w:tcMar>
            <w:vAlign w:val="center"/>
          </w:tcPr>
          <w:p w14:paraId="47CC0A60"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podporených projektov</w:t>
            </w:r>
          </w:p>
        </w:tc>
      </w:tr>
      <w:tr w:rsidR="00BF03AA" w:rsidRPr="00326E55" w14:paraId="4C3915DB" w14:textId="77777777">
        <w:trPr>
          <w:trHeight w:val="300"/>
        </w:trPr>
        <w:tc>
          <w:tcPr>
            <w:tcW w:w="1335" w:type="dxa"/>
            <w:shd w:val="clear" w:color="auto" w:fill="C6EFCE"/>
            <w:tcMar>
              <w:left w:w="108" w:type="dxa"/>
              <w:right w:w="108" w:type="dxa"/>
            </w:tcMar>
            <w:vAlign w:val="center"/>
          </w:tcPr>
          <w:p w14:paraId="5D0DEB7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6</w:t>
            </w:r>
          </w:p>
        </w:tc>
        <w:tc>
          <w:tcPr>
            <w:tcW w:w="3784" w:type="dxa"/>
            <w:shd w:val="clear" w:color="auto" w:fill="C6EFCE"/>
            <w:tcMar>
              <w:left w:w="108" w:type="dxa"/>
              <w:right w:w="108" w:type="dxa"/>
            </w:tcMar>
            <w:vAlign w:val="center"/>
          </w:tcPr>
          <w:p w14:paraId="7A0E8792" w14:textId="3BB6CC32" w:rsidR="00BF03AA" w:rsidRPr="00326E55" w:rsidRDefault="00FB452D">
            <w:pPr>
              <w:pStyle w:val="P68B1DB1-Normal121"/>
              <w:spacing w:after="0" w:line="240" w:lineRule="auto"/>
              <w:rPr>
                <w:noProof/>
                <w:spacing w:val="-6"/>
                <w:lang w:val="sk-SK"/>
              </w:rPr>
            </w:pPr>
            <w:r w:rsidRPr="00326E55">
              <w:rPr>
                <w:noProof/>
                <w:spacing w:val="-6"/>
                <w:lang w:val="sk-SK"/>
              </w:rPr>
              <w:t>Investícia 1.2: Domov ako prvé miesto starostlivosti</w:t>
            </w:r>
            <w:r w:rsidR="00326E55" w:rsidRPr="00326E55">
              <w:rPr>
                <w:noProof/>
                <w:spacing w:val="-6"/>
                <w:lang w:val="sk-SK"/>
              </w:rPr>
              <w:t xml:space="preserve"> a </w:t>
            </w:r>
            <w:r w:rsidRPr="00326E55">
              <w:rPr>
                <w:noProof/>
                <w:spacing w:val="-6"/>
                <w:lang w:val="sk-SK"/>
              </w:rPr>
              <w:t>telemedicíny</w:t>
            </w:r>
          </w:p>
        </w:tc>
        <w:tc>
          <w:tcPr>
            <w:tcW w:w="1260" w:type="dxa"/>
            <w:shd w:val="clear" w:color="auto" w:fill="C6EFCE"/>
            <w:tcMar>
              <w:left w:w="108" w:type="dxa"/>
              <w:right w:w="108" w:type="dxa"/>
            </w:tcMar>
            <w:vAlign w:val="center"/>
          </w:tcPr>
          <w:p w14:paraId="1A73E25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2979" w:type="dxa"/>
            <w:shd w:val="clear" w:color="auto" w:fill="C6EFCE"/>
            <w:tcMar>
              <w:left w:w="108" w:type="dxa"/>
              <w:right w:w="108" w:type="dxa"/>
            </w:tcMar>
            <w:vAlign w:val="center"/>
          </w:tcPr>
          <w:p w14:paraId="6ABF6957" w14:textId="77777777" w:rsidR="00BF03AA" w:rsidRPr="00326E55" w:rsidRDefault="00FB452D">
            <w:pPr>
              <w:pStyle w:val="P68B1DB1-Normal121"/>
              <w:spacing w:after="0" w:line="240" w:lineRule="auto"/>
              <w:rPr>
                <w:noProof/>
                <w:spacing w:val="-6"/>
                <w:lang w:val="sk-SK"/>
              </w:rPr>
            </w:pPr>
            <w:r w:rsidRPr="00326E55">
              <w:rPr>
                <w:noProof/>
                <w:spacing w:val="-6"/>
                <w:lang w:val="sk-SK"/>
              </w:rPr>
              <w:t>Liečba domácej starostlivosti</w:t>
            </w:r>
          </w:p>
        </w:tc>
      </w:tr>
      <w:tr w:rsidR="00BF03AA" w:rsidRPr="00326E55" w14:paraId="1F5C26BF" w14:textId="77777777">
        <w:trPr>
          <w:trHeight w:val="300"/>
        </w:trPr>
        <w:tc>
          <w:tcPr>
            <w:tcW w:w="1335" w:type="dxa"/>
            <w:shd w:val="clear" w:color="auto" w:fill="C6EFCE"/>
            <w:tcMar>
              <w:left w:w="108" w:type="dxa"/>
              <w:right w:w="108" w:type="dxa"/>
            </w:tcMar>
            <w:vAlign w:val="center"/>
          </w:tcPr>
          <w:p w14:paraId="450857F0"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784" w:type="dxa"/>
            <w:shd w:val="clear" w:color="auto" w:fill="C6EFCE"/>
            <w:tcMar>
              <w:left w:w="108" w:type="dxa"/>
              <w:right w:w="108" w:type="dxa"/>
            </w:tcMar>
            <w:vAlign w:val="center"/>
          </w:tcPr>
          <w:p w14:paraId="6C2262CF"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60" w:type="dxa"/>
            <w:shd w:val="clear" w:color="auto" w:fill="C6EFCE"/>
            <w:tcMar>
              <w:left w:w="108" w:type="dxa"/>
              <w:right w:w="108" w:type="dxa"/>
            </w:tcMar>
            <w:vAlign w:val="center"/>
          </w:tcPr>
          <w:p w14:paraId="7E358A1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2979" w:type="dxa"/>
            <w:shd w:val="clear" w:color="auto" w:fill="C6EFCE"/>
            <w:tcMar>
              <w:left w:w="108" w:type="dxa"/>
              <w:right w:w="108" w:type="dxa"/>
            </w:tcMar>
            <w:vAlign w:val="center"/>
          </w:tcPr>
          <w:p w14:paraId="6700A8E4" w14:textId="77777777" w:rsidR="00BF03AA" w:rsidRPr="00326E55" w:rsidRDefault="00FB452D">
            <w:pPr>
              <w:pStyle w:val="P68B1DB1-Normal8"/>
              <w:spacing w:after="0" w:line="240" w:lineRule="auto"/>
              <w:rPr>
                <w:noProof/>
                <w:spacing w:val="-6"/>
                <w:highlight w:val="yellow"/>
                <w:lang w:val="sk-SK"/>
              </w:rPr>
            </w:pPr>
            <w:r w:rsidRPr="00326E55">
              <w:rPr>
                <w:noProof/>
                <w:color w:val="006100"/>
                <w:spacing w:val="-6"/>
                <w:sz w:val="20"/>
                <w:szCs w:val="20"/>
                <w:lang w:val="sk-SK"/>
              </w:rPr>
              <w:t xml:space="preserve"> 11184566013 EUR</w:t>
            </w:r>
            <w:r w:rsidRPr="00326E55">
              <w:rPr>
                <w:noProof/>
                <w:spacing w:val="-6"/>
                <w:sz w:val="23"/>
                <w:szCs w:val="23"/>
                <w:lang w:val="sk-SK"/>
              </w:rPr>
              <w:t xml:space="preserve">  </w:t>
            </w:r>
          </w:p>
        </w:tc>
      </w:tr>
    </w:tbl>
    <w:p w14:paraId="56DA183E" w14:textId="77777777" w:rsidR="00326E55" w:rsidRPr="00326E55" w:rsidRDefault="00326E55">
      <w:pPr>
        <w:pStyle w:val="P68B1DB1-Normal8"/>
        <w:spacing w:before="120" w:after="120" w:line="240" w:lineRule="auto"/>
        <w:jc w:val="both"/>
        <w:rPr>
          <w:noProof/>
          <w:spacing w:val="-6"/>
          <w:lang w:val="sk-SK"/>
        </w:rPr>
      </w:pPr>
    </w:p>
    <w:p w14:paraId="4D8D1981"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Deviata</w:t>
      </w:r>
      <w:r w:rsidRPr="00326E55">
        <w:rPr>
          <w:noProof/>
          <w:spacing w:val="-6"/>
          <w:lang w:val="sk-SK"/>
        </w:rPr>
        <w:t xml:space="preserve"> splátka (pôžičková podpora):</w:t>
      </w:r>
    </w:p>
    <w:tbl>
      <w:tblPr>
        <w:tblW w:w="923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4"/>
        <w:gridCol w:w="3541"/>
        <w:gridCol w:w="1276"/>
        <w:gridCol w:w="3260"/>
      </w:tblGrid>
      <w:tr w:rsidR="00BF03AA" w:rsidRPr="00326E55" w14:paraId="0C5D457C" w14:textId="77777777">
        <w:trPr>
          <w:trHeight w:val="900"/>
          <w:tblHeader/>
        </w:trPr>
        <w:tc>
          <w:tcPr>
            <w:tcW w:w="1154" w:type="dxa"/>
            <w:vMerge w:val="restart"/>
            <w:shd w:val="clear" w:color="auto" w:fill="BDD7EE"/>
            <w:tcMar>
              <w:left w:w="108" w:type="dxa"/>
              <w:right w:w="108" w:type="dxa"/>
            </w:tcMar>
            <w:vAlign w:val="center"/>
          </w:tcPr>
          <w:p w14:paraId="391837B7"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541" w:type="dxa"/>
            <w:vMerge w:val="restart"/>
            <w:shd w:val="clear" w:color="auto" w:fill="BDD7EE"/>
            <w:tcMar>
              <w:left w:w="108" w:type="dxa"/>
              <w:right w:w="108" w:type="dxa"/>
            </w:tcMar>
            <w:vAlign w:val="center"/>
          </w:tcPr>
          <w:p w14:paraId="711E36C0"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276" w:type="dxa"/>
            <w:vMerge w:val="restart"/>
            <w:shd w:val="clear" w:color="auto" w:fill="BDD7EE"/>
            <w:tcMar>
              <w:left w:w="108" w:type="dxa"/>
              <w:right w:w="108" w:type="dxa"/>
            </w:tcMar>
            <w:vAlign w:val="center"/>
          </w:tcPr>
          <w:p w14:paraId="2F276AB2"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260" w:type="dxa"/>
            <w:vMerge w:val="restart"/>
            <w:shd w:val="clear" w:color="auto" w:fill="BDD7EE"/>
            <w:tcMar>
              <w:left w:w="108" w:type="dxa"/>
              <w:right w:w="108" w:type="dxa"/>
            </w:tcMar>
            <w:vAlign w:val="center"/>
          </w:tcPr>
          <w:p w14:paraId="16350DC0"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29280B70" w14:textId="77777777">
        <w:trPr>
          <w:trHeight w:val="510"/>
        </w:trPr>
        <w:tc>
          <w:tcPr>
            <w:tcW w:w="1154" w:type="dxa"/>
            <w:vMerge/>
            <w:vAlign w:val="center"/>
          </w:tcPr>
          <w:p w14:paraId="713F6B81"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1" w:type="dxa"/>
            <w:vMerge/>
            <w:vAlign w:val="center"/>
          </w:tcPr>
          <w:p w14:paraId="290C1C51"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276" w:type="dxa"/>
            <w:vMerge/>
            <w:vAlign w:val="center"/>
          </w:tcPr>
          <w:p w14:paraId="50A70AFE"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260" w:type="dxa"/>
            <w:vMerge/>
            <w:vAlign w:val="center"/>
          </w:tcPr>
          <w:p w14:paraId="335D9BA0"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20CD8E39" w14:textId="77777777">
        <w:trPr>
          <w:trHeight w:val="300"/>
        </w:trPr>
        <w:tc>
          <w:tcPr>
            <w:tcW w:w="1154" w:type="dxa"/>
            <w:shd w:val="clear" w:color="auto" w:fill="C6EFCE"/>
            <w:tcMar>
              <w:left w:w="108" w:type="dxa"/>
              <w:right w:w="108" w:type="dxa"/>
            </w:tcMar>
            <w:vAlign w:val="center"/>
          </w:tcPr>
          <w:p w14:paraId="004B980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145</w:t>
            </w:r>
          </w:p>
        </w:tc>
        <w:tc>
          <w:tcPr>
            <w:tcW w:w="3541" w:type="dxa"/>
            <w:shd w:val="clear" w:color="auto" w:fill="C6EFCE"/>
            <w:tcMar>
              <w:left w:w="108" w:type="dxa"/>
              <w:right w:w="108" w:type="dxa"/>
            </w:tcMar>
            <w:vAlign w:val="center"/>
          </w:tcPr>
          <w:p w14:paraId="6F137A23" w14:textId="026C52FD" w:rsidR="00BF03AA" w:rsidRPr="00326E55" w:rsidRDefault="00FB452D">
            <w:pPr>
              <w:pStyle w:val="P68B1DB1-Normal121"/>
              <w:spacing w:after="0" w:line="240" w:lineRule="auto"/>
              <w:rPr>
                <w:noProof/>
                <w:spacing w:val="-6"/>
                <w:lang w:val="sk-SK"/>
              </w:rPr>
            </w:pPr>
            <w:r w:rsidRPr="00326E55">
              <w:rPr>
                <w:noProof/>
                <w:spacing w:val="-6"/>
                <w:lang w:val="sk-SK"/>
              </w:rPr>
              <w:t>Investícia 1.4.4 – Možnosť rozšíriť národnú platformu digitálnej identity (SPID, CIE)</w:t>
            </w:r>
            <w:r w:rsidR="00326E55" w:rsidRPr="00326E55">
              <w:rPr>
                <w:noProof/>
                <w:spacing w:val="-6"/>
                <w:lang w:val="sk-SK"/>
              </w:rPr>
              <w:t xml:space="preserve"> a </w:t>
            </w:r>
            <w:r w:rsidRPr="00326E55">
              <w:rPr>
                <w:noProof/>
                <w:spacing w:val="-6"/>
                <w:lang w:val="sk-SK"/>
              </w:rPr>
              <w:t>národný register (ANPR)</w:t>
            </w:r>
          </w:p>
        </w:tc>
        <w:tc>
          <w:tcPr>
            <w:tcW w:w="1276" w:type="dxa"/>
            <w:shd w:val="clear" w:color="auto" w:fill="C6EFCE"/>
            <w:tcMar>
              <w:left w:w="108" w:type="dxa"/>
              <w:right w:w="108" w:type="dxa"/>
            </w:tcMar>
            <w:vAlign w:val="center"/>
          </w:tcPr>
          <w:p w14:paraId="594182C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41421FDF" w14:textId="0A5535D2" w:rsidR="00BF03AA" w:rsidRPr="00326E55" w:rsidRDefault="00FB452D">
            <w:pPr>
              <w:pStyle w:val="P68B1DB1-Normal121"/>
              <w:spacing w:after="0" w:line="240" w:lineRule="auto"/>
              <w:rPr>
                <w:noProof/>
                <w:spacing w:val="-6"/>
                <w:lang w:val="sk-SK"/>
              </w:rPr>
            </w:pPr>
            <w:r w:rsidRPr="00326E55">
              <w:rPr>
                <w:noProof/>
                <w:spacing w:val="-6"/>
                <w:lang w:val="sk-SK"/>
              </w:rPr>
              <w:t xml:space="preserve">Národná </w:t>
            </w:r>
            <w:r w:rsidRPr="00326E55">
              <w:rPr>
                <w:noProof/>
                <w:spacing w:val="-6"/>
                <w:lang w:val="sk-SK"/>
              </w:rPr>
              <w:t>platforma digitálnej identity (CIE)</w:t>
            </w:r>
            <w:r w:rsidR="00326E55" w:rsidRPr="00326E55">
              <w:rPr>
                <w:noProof/>
                <w:spacing w:val="-6"/>
                <w:lang w:val="sk-SK"/>
              </w:rPr>
              <w:t xml:space="preserve"> a </w:t>
            </w:r>
            <w:r w:rsidRPr="00326E55">
              <w:rPr>
                <w:noProof/>
                <w:spacing w:val="-6"/>
                <w:lang w:val="sk-SK"/>
              </w:rPr>
              <w:t>národný register (ANPR)</w:t>
            </w:r>
          </w:p>
        </w:tc>
      </w:tr>
      <w:tr w:rsidR="00BF03AA" w:rsidRPr="00326E55" w14:paraId="658708DF" w14:textId="77777777">
        <w:trPr>
          <w:trHeight w:val="300"/>
        </w:trPr>
        <w:tc>
          <w:tcPr>
            <w:tcW w:w="1154" w:type="dxa"/>
            <w:shd w:val="clear" w:color="auto" w:fill="C6EFCE"/>
            <w:tcMar>
              <w:left w:w="108" w:type="dxa"/>
              <w:right w:w="108" w:type="dxa"/>
            </w:tcMar>
            <w:vAlign w:val="center"/>
          </w:tcPr>
          <w:p w14:paraId="08D5DCE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28</w:t>
            </w:r>
          </w:p>
        </w:tc>
        <w:tc>
          <w:tcPr>
            <w:tcW w:w="3541" w:type="dxa"/>
            <w:shd w:val="clear" w:color="auto" w:fill="C6EFCE"/>
            <w:tcMar>
              <w:left w:w="108" w:type="dxa"/>
              <w:right w:w="108" w:type="dxa"/>
            </w:tcMar>
            <w:vAlign w:val="center"/>
          </w:tcPr>
          <w:p w14:paraId="0F8751B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4.2:  Fondy pre konkurencieschopnosť podnikov cestovného ruchu</w:t>
            </w:r>
          </w:p>
        </w:tc>
        <w:tc>
          <w:tcPr>
            <w:tcW w:w="1276" w:type="dxa"/>
            <w:shd w:val="clear" w:color="auto" w:fill="C6EFCE"/>
            <w:tcMar>
              <w:left w:w="108" w:type="dxa"/>
              <w:right w:w="108" w:type="dxa"/>
            </w:tcMar>
            <w:vAlign w:val="center"/>
          </w:tcPr>
          <w:p w14:paraId="5557D41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2570700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Počet podnikov cestovného ruchu podporovaných grantom a/alebo daňovým úverom na infraštruktúru a/alebo služby; </w:t>
            </w:r>
          </w:p>
        </w:tc>
      </w:tr>
      <w:tr w:rsidR="00BF03AA" w:rsidRPr="00326E55" w14:paraId="6C607EC5" w14:textId="77777777">
        <w:trPr>
          <w:trHeight w:val="300"/>
        </w:trPr>
        <w:tc>
          <w:tcPr>
            <w:tcW w:w="1154" w:type="dxa"/>
            <w:shd w:val="clear" w:color="auto" w:fill="C6EFCE"/>
            <w:tcMar>
              <w:left w:w="108" w:type="dxa"/>
              <w:right w:w="108" w:type="dxa"/>
            </w:tcMar>
            <w:vAlign w:val="center"/>
          </w:tcPr>
          <w:p w14:paraId="086C39A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32</w:t>
            </w:r>
          </w:p>
        </w:tc>
        <w:tc>
          <w:tcPr>
            <w:tcW w:w="3541" w:type="dxa"/>
            <w:shd w:val="clear" w:color="auto" w:fill="C6EFCE"/>
            <w:tcMar>
              <w:left w:w="108" w:type="dxa"/>
              <w:right w:w="108" w:type="dxa"/>
            </w:tcMar>
            <w:vAlign w:val="center"/>
          </w:tcPr>
          <w:p w14:paraId="3AED02C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Fondy pre konkurencieschopnosť podnikov cestovného ruchu </w:t>
            </w:r>
          </w:p>
        </w:tc>
        <w:tc>
          <w:tcPr>
            <w:tcW w:w="1276" w:type="dxa"/>
            <w:shd w:val="clear" w:color="auto" w:fill="C6EFCE"/>
            <w:tcMar>
              <w:left w:w="108" w:type="dxa"/>
              <w:right w:w="108" w:type="dxa"/>
            </w:tcMar>
            <w:vAlign w:val="center"/>
          </w:tcPr>
          <w:p w14:paraId="318F715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66FBFE87" w14:textId="1C689BF3" w:rsidR="00BF03AA" w:rsidRPr="00326E55" w:rsidRDefault="00FB452D">
            <w:pPr>
              <w:pStyle w:val="P68B1DB1-Normal121"/>
              <w:spacing w:after="0" w:line="240" w:lineRule="auto"/>
              <w:rPr>
                <w:noProof/>
                <w:spacing w:val="-6"/>
                <w:lang w:val="sk-SK"/>
              </w:rPr>
            </w:pPr>
            <w:r w:rsidRPr="00326E55">
              <w:rPr>
                <w:noProof/>
                <w:spacing w:val="-6"/>
                <w:lang w:val="sk-SK"/>
              </w:rPr>
              <w:t xml:space="preserve"> Počet podnikov, ktoré sa majú podporiť prostredníctv</w:t>
            </w:r>
            <w:r w:rsidRPr="00326E55">
              <w:rPr>
                <w:noProof/>
                <w:spacing w:val="-6"/>
                <w:lang w:val="sk-SK"/>
              </w:rPr>
              <w:t xml:space="preserve">om záručného fondu pre MSP </w:t>
            </w:r>
          </w:p>
        </w:tc>
      </w:tr>
      <w:tr w:rsidR="00BF03AA" w:rsidRPr="00326E55" w14:paraId="178D909F" w14:textId="77777777">
        <w:trPr>
          <w:trHeight w:val="300"/>
        </w:trPr>
        <w:tc>
          <w:tcPr>
            <w:tcW w:w="1154" w:type="dxa"/>
            <w:shd w:val="clear" w:color="auto" w:fill="C6EFCE"/>
            <w:tcMar>
              <w:left w:w="108" w:type="dxa"/>
              <w:right w:w="108" w:type="dxa"/>
            </w:tcMar>
            <w:vAlign w:val="center"/>
          </w:tcPr>
          <w:p w14:paraId="4CEC43D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5</w:t>
            </w:r>
          </w:p>
        </w:tc>
        <w:tc>
          <w:tcPr>
            <w:tcW w:w="3541" w:type="dxa"/>
            <w:shd w:val="clear" w:color="auto" w:fill="C6EFCE"/>
            <w:tcMar>
              <w:left w:w="108" w:type="dxa"/>
              <w:right w:w="108" w:type="dxa"/>
            </w:tcMar>
            <w:vAlign w:val="center"/>
          </w:tcPr>
          <w:p w14:paraId="1EF2E406" w14:textId="1782D9AE" w:rsidR="00BF03AA" w:rsidRPr="00326E55" w:rsidRDefault="00FB452D">
            <w:pPr>
              <w:pStyle w:val="P68B1DB1-Normal124"/>
              <w:spacing w:after="0" w:line="240" w:lineRule="auto"/>
              <w:rPr>
                <w:rFonts w:eastAsia="Times New Roman" w:hAnsi="Times New Roman" w:cs="Times New Roman"/>
                <w:noProof/>
                <w:spacing w:val="-6"/>
                <w:lang w:val="sk-SK"/>
              </w:rPr>
            </w:pPr>
            <w:r w:rsidRPr="00326E55">
              <w:rPr>
                <w:rFonts w:hAnsi="Times New Roman"/>
                <w:noProof/>
                <w:spacing w:val="-6"/>
                <w:lang w:val="sk-SK"/>
              </w:rPr>
              <w:t>Investícia 1.1 – Vysokorýchlostné železničné spojenia na juhu pre osobnú</w:t>
            </w:r>
            <w:r w:rsidR="00326E55" w:rsidRPr="00326E55">
              <w:rPr>
                <w:rFonts w:hAnsi="Times New Roman"/>
                <w:noProof/>
                <w:spacing w:val="-6"/>
                <w:lang w:val="sk-SK"/>
              </w:rPr>
              <w:t xml:space="preserve"> a </w:t>
            </w:r>
            <w:r w:rsidRPr="00326E55">
              <w:rPr>
                <w:rFonts w:hAnsi="Times New Roman"/>
                <w:noProof/>
                <w:spacing w:val="-6"/>
                <w:lang w:val="sk-SK"/>
              </w:rPr>
              <w:t>nákladnú dopravu </w:t>
            </w:r>
          </w:p>
        </w:tc>
        <w:tc>
          <w:tcPr>
            <w:tcW w:w="1276" w:type="dxa"/>
            <w:shd w:val="clear" w:color="auto" w:fill="C6EFCE"/>
            <w:tcMar>
              <w:left w:w="108" w:type="dxa"/>
              <w:right w:w="108" w:type="dxa"/>
            </w:tcMar>
            <w:vAlign w:val="center"/>
          </w:tcPr>
          <w:p w14:paraId="6722830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3208D2D9" w14:textId="34278E5C" w:rsidR="00BF03AA" w:rsidRPr="00326E55" w:rsidRDefault="00FB452D">
            <w:pPr>
              <w:pStyle w:val="P68B1DB1-Normal121"/>
              <w:spacing w:after="0" w:line="240" w:lineRule="auto"/>
              <w:rPr>
                <w:noProof/>
                <w:spacing w:val="-6"/>
                <w:lang w:val="sk-SK"/>
              </w:rPr>
            </w:pPr>
            <w:r w:rsidRPr="00326E55">
              <w:rPr>
                <w:noProof/>
                <w:spacing w:val="-6"/>
                <w:lang w:val="sk-SK"/>
              </w:rPr>
              <w:t>Vysokorýchlostná železnica na tratiach Napoli-Bari</w:t>
            </w:r>
            <w:r w:rsidR="00326E55" w:rsidRPr="00326E55">
              <w:rPr>
                <w:noProof/>
                <w:spacing w:val="-6"/>
                <w:lang w:val="sk-SK"/>
              </w:rPr>
              <w:t xml:space="preserve"> a </w:t>
            </w:r>
            <w:r w:rsidRPr="00326E55">
              <w:rPr>
                <w:noProof/>
                <w:spacing w:val="-6"/>
                <w:lang w:val="sk-SK"/>
              </w:rPr>
              <w:t>Palermo – Catania</w:t>
            </w:r>
          </w:p>
        </w:tc>
      </w:tr>
      <w:tr w:rsidR="00BF03AA" w:rsidRPr="00326E55" w14:paraId="3C0D876C" w14:textId="77777777">
        <w:trPr>
          <w:trHeight w:val="300"/>
        </w:trPr>
        <w:tc>
          <w:tcPr>
            <w:tcW w:w="1154" w:type="dxa"/>
            <w:shd w:val="clear" w:color="auto" w:fill="C6EFCE"/>
            <w:tcMar>
              <w:left w:w="108" w:type="dxa"/>
              <w:right w:w="108" w:type="dxa"/>
            </w:tcMar>
            <w:vAlign w:val="center"/>
          </w:tcPr>
          <w:p w14:paraId="2CF1E9A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9</w:t>
            </w:r>
          </w:p>
        </w:tc>
        <w:tc>
          <w:tcPr>
            <w:tcW w:w="3541" w:type="dxa"/>
            <w:shd w:val="clear" w:color="auto" w:fill="C6EFCE"/>
            <w:tcMar>
              <w:left w:w="108" w:type="dxa"/>
              <w:right w:w="108" w:type="dxa"/>
            </w:tcMar>
            <w:vAlign w:val="center"/>
          </w:tcPr>
          <w:p w14:paraId="579E3104" w14:textId="7DE3B326"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1.2: Domov ako prvé miesto </w:t>
            </w:r>
            <w:r w:rsidRPr="00326E55">
              <w:rPr>
                <w:noProof/>
                <w:spacing w:val="-6"/>
                <w:lang w:val="sk-SK"/>
              </w:rPr>
              <w:t>starostlivosti</w:t>
            </w:r>
            <w:r w:rsidR="00326E55" w:rsidRPr="00326E55">
              <w:rPr>
                <w:noProof/>
                <w:spacing w:val="-6"/>
                <w:lang w:val="sk-SK"/>
              </w:rPr>
              <w:t xml:space="preserve"> a </w:t>
            </w:r>
            <w:r w:rsidRPr="00326E55">
              <w:rPr>
                <w:noProof/>
                <w:spacing w:val="-6"/>
                <w:lang w:val="sk-SK"/>
              </w:rPr>
              <w:t>telemedicíny</w:t>
            </w:r>
          </w:p>
        </w:tc>
        <w:tc>
          <w:tcPr>
            <w:tcW w:w="1276" w:type="dxa"/>
            <w:shd w:val="clear" w:color="auto" w:fill="C6EFCE"/>
            <w:tcMar>
              <w:left w:w="108" w:type="dxa"/>
              <w:right w:w="108" w:type="dxa"/>
            </w:tcMar>
            <w:vAlign w:val="center"/>
          </w:tcPr>
          <w:p w14:paraId="6ACB55D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15AA29A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Pomoc prostredníctvom nástrojov telemedicíny </w:t>
            </w:r>
          </w:p>
        </w:tc>
      </w:tr>
      <w:tr w:rsidR="00BF03AA" w:rsidRPr="00326E55" w14:paraId="6EA9121D" w14:textId="77777777">
        <w:trPr>
          <w:trHeight w:val="300"/>
        </w:trPr>
        <w:tc>
          <w:tcPr>
            <w:tcW w:w="1154" w:type="dxa"/>
            <w:shd w:val="clear" w:color="auto" w:fill="C6EFCE"/>
            <w:tcMar>
              <w:left w:w="108" w:type="dxa"/>
              <w:right w:w="108" w:type="dxa"/>
            </w:tcMar>
            <w:vAlign w:val="center"/>
          </w:tcPr>
          <w:p w14:paraId="6E110F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8</w:t>
            </w:r>
          </w:p>
        </w:tc>
        <w:tc>
          <w:tcPr>
            <w:tcW w:w="3541" w:type="dxa"/>
            <w:shd w:val="clear" w:color="auto" w:fill="C6EFCE"/>
            <w:tcMar>
              <w:left w:w="108" w:type="dxa"/>
              <w:right w:w="108" w:type="dxa"/>
            </w:tcMar>
            <w:vAlign w:val="center"/>
          </w:tcPr>
          <w:p w14:paraId="1F8116FC" w14:textId="77777777" w:rsidR="00BF03AA" w:rsidRPr="00326E55" w:rsidRDefault="00FB452D">
            <w:pPr>
              <w:pStyle w:val="P68B1DB1-Normal123"/>
              <w:spacing w:after="0" w:line="240" w:lineRule="auto"/>
              <w:rPr>
                <w:noProof/>
                <w:spacing w:val="-6"/>
                <w:lang w:val="sk-SK"/>
              </w:rPr>
            </w:pPr>
            <w:r w:rsidRPr="00326E55">
              <w:rPr>
                <w:noProof/>
                <w:spacing w:val="-6"/>
                <w:lang w:val="sk-SK"/>
              </w:rPr>
              <w:t>Investícia 1.1: Digitálna aktualizácia technologického vybavenia nemocníc</w:t>
            </w:r>
          </w:p>
        </w:tc>
        <w:tc>
          <w:tcPr>
            <w:tcW w:w="1276" w:type="dxa"/>
            <w:shd w:val="clear" w:color="auto" w:fill="C6EFCE"/>
            <w:tcMar>
              <w:left w:w="108" w:type="dxa"/>
              <w:right w:w="108" w:type="dxa"/>
            </w:tcMar>
            <w:vAlign w:val="center"/>
          </w:tcPr>
          <w:p w14:paraId="365B73F9"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6D7CFAA9" w14:textId="4C1B3707" w:rsidR="00BF03AA" w:rsidRPr="00326E55" w:rsidRDefault="00FB452D">
            <w:pPr>
              <w:pStyle w:val="P68B1DB1-Normal123"/>
              <w:spacing w:after="0" w:line="240" w:lineRule="auto"/>
              <w:rPr>
                <w:noProof/>
                <w:spacing w:val="-6"/>
                <w:lang w:val="sk-SK"/>
              </w:rPr>
            </w:pPr>
            <w:r w:rsidRPr="00326E55">
              <w:rPr>
                <w:noProof/>
                <w:spacing w:val="-6"/>
                <w:lang w:val="sk-SK"/>
              </w:rPr>
              <w:t>Nemocnice sú digitalizované (DEA – Núdzové</w:t>
            </w:r>
            <w:r w:rsidR="00326E55" w:rsidRPr="00326E55">
              <w:rPr>
                <w:noProof/>
                <w:spacing w:val="-6"/>
                <w:lang w:val="sk-SK"/>
              </w:rPr>
              <w:t xml:space="preserve"> a </w:t>
            </w:r>
            <w:r w:rsidRPr="00326E55">
              <w:rPr>
                <w:noProof/>
                <w:spacing w:val="-6"/>
                <w:lang w:val="sk-SK"/>
              </w:rPr>
              <w:t>prijímacie oddelenia – úroveň I</w:t>
            </w:r>
            <w:r w:rsidR="00326E55" w:rsidRPr="00326E55">
              <w:rPr>
                <w:noProof/>
                <w:spacing w:val="-6"/>
                <w:lang w:val="sk-SK"/>
              </w:rPr>
              <w:t xml:space="preserve"> a </w:t>
            </w:r>
            <w:r w:rsidRPr="00326E55">
              <w:rPr>
                <w:noProof/>
                <w:spacing w:val="-6"/>
                <w:lang w:val="sk-SK"/>
              </w:rPr>
              <w:t xml:space="preserve">úroveň </w:t>
            </w:r>
            <w:r w:rsidRPr="00326E55">
              <w:rPr>
                <w:noProof/>
                <w:spacing w:val="-6"/>
                <w:lang w:val="sk-SK"/>
              </w:rPr>
              <w:t>II)</w:t>
            </w:r>
          </w:p>
        </w:tc>
      </w:tr>
      <w:tr w:rsidR="00BF03AA" w:rsidRPr="00326E55" w14:paraId="709F538B" w14:textId="77777777">
        <w:trPr>
          <w:trHeight w:val="300"/>
        </w:trPr>
        <w:tc>
          <w:tcPr>
            <w:tcW w:w="1154" w:type="dxa"/>
            <w:shd w:val="clear" w:color="auto" w:fill="C6EFCE"/>
            <w:tcMar>
              <w:left w:w="108" w:type="dxa"/>
              <w:right w:w="108" w:type="dxa"/>
            </w:tcMar>
            <w:vAlign w:val="center"/>
          </w:tcPr>
          <w:p w14:paraId="6728D1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11</w:t>
            </w:r>
          </w:p>
        </w:tc>
        <w:tc>
          <w:tcPr>
            <w:tcW w:w="3541" w:type="dxa"/>
            <w:shd w:val="clear" w:color="auto" w:fill="C6EFCE"/>
            <w:tcMar>
              <w:left w:w="108" w:type="dxa"/>
              <w:right w:w="108" w:type="dxa"/>
            </w:tcMar>
            <w:vAlign w:val="center"/>
          </w:tcPr>
          <w:p w14:paraId="240B5B61" w14:textId="72BD4EE1" w:rsidR="00BF03AA" w:rsidRPr="00326E55" w:rsidRDefault="00FB452D">
            <w:pPr>
              <w:pStyle w:val="P68B1DB1-Normal123"/>
              <w:spacing w:after="0" w:line="240" w:lineRule="auto"/>
              <w:rPr>
                <w:noProof/>
                <w:spacing w:val="-6"/>
                <w:lang w:val="sk-SK"/>
              </w:rPr>
            </w:pPr>
            <w:r w:rsidRPr="00326E55">
              <w:rPr>
                <w:noProof/>
                <w:spacing w:val="-6"/>
                <w:lang w:val="sk-SK"/>
              </w:rPr>
              <w:t>Investícia 1.3: Posilnenie technologickej infraštruktúry</w:t>
            </w:r>
            <w:r w:rsidR="00326E55" w:rsidRPr="00326E55">
              <w:rPr>
                <w:noProof/>
                <w:spacing w:val="-6"/>
                <w:lang w:val="sk-SK"/>
              </w:rPr>
              <w:t xml:space="preserve"> a </w:t>
            </w:r>
            <w:r w:rsidRPr="00326E55">
              <w:rPr>
                <w:noProof/>
                <w:spacing w:val="-6"/>
                <w:lang w:val="sk-SK"/>
              </w:rPr>
              <w:t>nástrojov na zber údajov, spracovanie údajov, analýzu</w:t>
            </w:r>
            <w:r w:rsidR="00326E55" w:rsidRPr="00326E55">
              <w:rPr>
                <w:noProof/>
                <w:spacing w:val="-6"/>
                <w:lang w:val="sk-SK"/>
              </w:rPr>
              <w:t xml:space="preserve"> a </w:t>
            </w:r>
            <w:r w:rsidRPr="00326E55">
              <w:rPr>
                <w:noProof/>
                <w:spacing w:val="-6"/>
                <w:lang w:val="sk-SK"/>
              </w:rPr>
              <w:t>simuláciu údajov</w:t>
            </w:r>
          </w:p>
        </w:tc>
        <w:tc>
          <w:tcPr>
            <w:tcW w:w="1276" w:type="dxa"/>
            <w:shd w:val="clear" w:color="auto" w:fill="C6EFCE"/>
            <w:tcMar>
              <w:left w:w="108" w:type="dxa"/>
              <w:right w:w="108" w:type="dxa"/>
            </w:tcMar>
            <w:vAlign w:val="center"/>
          </w:tcPr>
          <w:p w14:paraId="62BD54A1"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14648DC4" w14:textId="77777777" w:rsidR="00BF03AA" w:rsidRPr="00326E55" w:rsidRDefault="00FB452D">
            <w:pPr>
              <w:pStyle w:val="P68B1DB1-Normal123"/>
              <w:spacing w:after="0" w:line="240" w:lineRule="auto"/>
              <w:rPr>
                <w:noProof/>
                <w:spacing w:val="-6"/>
                <w:lang w:val="sk-SK"/>
              </w:rPr>
            </w:pPr>
            <w:r w:rsidRPr="00326E55">
              <w:rPr>
                <w:noProof/>
                <w:spacing w:val="-6"/>
                <w:lang w:val="sk-SK"/>
              </w:rPr>
              <w:t>Všeobecní lekári, ktorí vypĺňajú elektronickú zdravotnú evidenciu.</w:t>
            </w:r>
          </w:p>
        </w:tc>
      </w:tr>
      <w:tr w:rsidR="00BF03AA" w:rsidRPr="00326E55" w14:paraId="6FF04E35" w14:textId="77777777">
        <w:trPr>
          <w:trHeight w:val="300"/>
        </w:trPr>
        <w:tc>
          <w:tcPr>
            <w:tcW w:w="1154" w:type="dxa"/>
            <w:shd w:val="clear" w:color="auto" w:fill="C6EFCE"/>
            <w:tcMar>
              <w:left w:w="108" w:type="dxa"/>
              <w:right w:w="108" w:type="dxa"/>
            </w:tcMar>
            <w:vAlign w:val="center"/>
          </w:tcPr>
          <w:p w14:paraId="2B54F64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33</w:t>
            </w:r>
          </w:p>
        </w:tc>
        <w:tc>
          <w:tcPr>
            <w:tcW w:w="3541" w:type="dxa"/>
            <w:shd w:val="clear" w:color="auto" w:fill="C6EFCE"/>
            <w:tcMar>
              <w:left w:w="108" w:type="dxa"/>
              <w:right w:w="108" w:type="dxa"/>
            </w:tcMar>
            <w:vAlign w:val="center"/>
          </w:tcPr>
          <w:p w14:paraId="7579DD1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Fondy na </w:t>
            </w:r>
            <w:r w:rsidRPr="00326E55">
              <w:rPr>
                <w:noProof/>
                <w:spacing w:val="-6"/>
                <w:lang w:val="sk-SK"/>
              </w:rPr>
              <w:t>konkurencieschopnosť podnikov cestovného ruchu</w:t>
            </w:r>
          </w:p>
        </w:tc>
        <w:tc>
          <w:tcPr>
            <w:tcW w:w="1276" w:type="dxa"/>
            <w:shd w:val="clear" w:color="auto" w:fill="C6EFCE"/>
            <w:tcMar>
              <w:left w:w="108" w:type="dxa"/>
              <w:right w:w="108" w:type="dxa"/>
            </w:tcMar>
            <w:vAlign w:val="center"/>
          </w:tcPr>
          <w:p w14:paraId="5F236B2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6CD2D989" w14:textId="617EB7E4" w:rsidR="00BF03AA" w:rsidRPr="00326E55" w:rsidRDefault="00FB452D">
            <w:pPr>
              <w:pStyle w:val="P68B1DB1-Normal121"/>
              <w:spacing w:after="0" w:line="240" w:lineRule="auto"/>
              <w:rPr>
                <w:noProof/>
                <w:spacing w:val="-6"/>
                <w:lang w:val="sk-SK"/>
              </w:rPr>
            </w:pPr>
            <w:r w:rsidRPr="00326E55">
              <w:rPr>
                <w:noProof/>
                <w:spacing w:val="-6"/>
                <w:lang w:val="sk-SK"/>
              </w:rPr>
              <w:t>Fondo Rotativo: Právna dohoda podpísaná</w:t>
            </w:r>
            <w:r w:rsidR="00326E55" w:rsidRPr="00326E55">
              <w:rPr>
                <w:noProof/>
                <w:spacing w:val="-6"/>
                <w:lang w:val="sk-SK"/>
              </w:rPr>
              <w:t xml:space="preserve"> s </w:t>
            </w:r>
            <w:r w:rsidRPr="00326E55">
              <w:rPr>
                <w:noProof/>
                <w:spacing w:val="-6"/>
                <w:lang w:val="sk-SK"/>
              </w:rPr>
              <w:t xml:space="preserve">konečnými príjemcami  </w:t>
            </w:r>
          </w:p>
        </w:tc>
      </w:tr>
      <w:tr w:rsidR="00BF03AA" w:rsidRPr="00326E55" w14:paraId="3589CFF0"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F547C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9bis</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CEA4B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4.1 Centrum digitálneho cestovného ruchu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92903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B49376" w14:textId="75BF65F7" w:rsidR="00BF03AA" w:rsidRPr="00326E55" w:rsidRDefault="00FB452D">
            <w:pPr>
              <w:pStyle w:val="P68B1DB1-Normal121"/>
              <w:spacing w:after="0" w:line="240" w:lineRule="auto"/>
              <w:rPr>
                <w:noProof/>
                <w:spacing w:val="-6"/>
                <w:lang w:val="sk-SK"/>
              </w:rPr>
            </w:pPr>
            <w:r w:rsidRPr="00326E55">
              <w:rPr>
                <w:noProof/>
                <w:spacing w:val="-6"/>
                <w:lang w:val="sk-SK"/>
              </w:rPr>
              <w:t>Registrácia prevádzkovateľov cestovného ruchu</w:t>
            </w:r>
            <w:r w:rsidR="00326E55" w:rsidRPr="00326E55">
              <w:rPr>
                <w:noProof/>
                <w:spacing w:val="-6"/>
                <w:lang w:val="sk-SK"/>
              </w:rPr>
              <w:t xml:space="preserve"> v </w:t>
            </w:r>
            <w:r w:rsidRPr="00326E55">
              <w:rPr>
                <w:noProof/>
                <w:spacing w:val="-6"/>
                <w:lang w:val="sk-SK"/>
              </w:rPr>
              <w:t>centre digitálneho ce</w:t>
            </w:r>
            <w:r w:rsidRPr="00326E55">
              <w:rPr>
                <w:noProof/>
                <w:spacing w:val="-6"/>
                <w:lang w:val="sk-SK"/>
              </w:rPr>
              <w:t>stovného ruchu</w:t>
            </w:r>
            <w:r w:rsidR="00326E55" w:rsidRPr="00326E55">
              <w:rPr>
                <w:noProof/>
                <w:spacing w:val="-6"/>
                <w:lang w:val="sk-SK"/>
              </w:rPr>
              <w:t xml:space="preserve"> a </w:t>
            </w:r>
            <w:r w:rsidRPr="00326E55">
              <w:rPr>
                <w:noProof/>
                <w:spacing w:val="-6"/>
                <w:lang w:val="sk-SK"/>
              </w:rPr>
              <w:t>prístup</w:t>
            </w:r>
            <w:r w:rsidR="00326E55" w:rsidRPr="00326E55">
              <w:rPr>
                <w:noProof/>
                <w:spacing w:val="-6"/>
                <w:lang w:val="sk-SK"/>
              </w:rPr>
              <w:t xml:space="preserve"> k </w:t>
            </w:r>
            <w:r w:rsidRPr="00326E55">
              <w:rPr>
                <w:noProof/>
                <w:spacing w:val="-6"/>
                <w:lang w:val="sk-SK"/>
              </w:rPr>
              <w:t xml:space="preserve">službám, ktoré centrum poskytuje  </w:t>
            </w:r>
          </w:p>
        </w:tc>
      </w:tr>
      <w:tr w:rsidR="00BF03AA" w:rsidRPr="00326E55" w14:paraId="36345369" w14:textId="77777777">
        <w:trPr>
          <w:trHeight w:val="300"/>
        </w:trPr>
        <w:tc>
          <w:tcPr>
            <w:tcW w:w="1154" w:type="dxa"/>
            <w:shd w:val="clear" w:color="auto" w:fill="C6EFCE"/>
            <w:tcMar>
              <w:left w:w="108" w:type="dxa"/>
              <w:right w:w="108" w:type="dxa"/>
            </w:tcMar>
            <w:vAlign w:val="center"/>
          </w:tcPr>
          <w:p w14:paraId="02FAFB4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18</w:t>
            </w:r>
          </w:p>
        </w:tc>
        <w:tc>
          <w:tcPr>
            <w:tcW w:w="3541" w:type="dxa"/>
            <w:shd w:val="clear" w:color="auto" w:fill="C6EFCE"/>
            <w:tcMar>
              <w:left w:w="108" w:type="dxa"/>
              <w:right w:w="108" w:type="dxa"/>
            </w:tcMar>
            <w:vAlign w:val="center"/>
          </w:tcPr>
          <w:p w14:paraId="71860158" w14:textId="0600D6DA" w:rsidR="00BF03AA" w:rsidRPr="00326E55" w:rsidRDefault="00FB452D">
            <w:pPr>
              <w:pStyle w:val="P68B1DB1-Normal121"/>
              <w:spacing w:after="0" w:line="240" w:lineRule="auto"/>
              <w:rPr>
                <w:noProof/>
                <w:spacing w:val="-6"/>
                <w:lang w:val="sk-SK"/>
              </w:rPr>
            </w:pPr>
            <w:r w:rsidRPr="00326E55">
              <w:rPr>
                <w:noProof/>
                <w:spacing w:val="-6"/>
                <w:lang w:val="sk-SK"/>
              </w:rPr>
              <w:t>Investícia 2.3 Programy na posilnenie identity miest, parkov</w:t>
            </w:r>
            <w:r w:rsidR="00326E55" w:rsidRPr="00326E55">
              <w:rPr>
                <w:noProof/>
                <w:spacing w:val="-6"/>
                <w:lang w:val="sk-SK"/>
              </w:rPr>
              <w:t xml:space="preserve"> a </w:t>
            </w:r>
            <w:r w:rsidRPr="00326E55">
              <w:rPr>
                <w:noProof/>
                <w:spacing w:val="-6"/>
                <w:lang w:val="sk-SK"/>
              </w:rPr>
              <w:t>historických záhrad</w:t>
            </w:r>
          </w:p>
        </w:tc>
        <w:tc>
          <w:tcPr>
            <w:tcW w:w="1276" w:type="dxa"/>
            <w:shd w:val="clear" w:color="auto" w:fill="C6EFCE"/>
            <w:tcMar>
              <w:left w:w="108" w:type="dxa"/>
              <w:right w:w="108" w:type="dxa"/>
            </w:tcMar>
            <w:vAlign w:val="center"/>
          </w:tcPr>
          <w:p w14:paraId="3CEE7C2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shd w:val="clear" w:color="auto" w:fill="C6EFCE"/>
            <w:tcMar>
              <w:left w:w="108" w:type="dxa"/>
              <w:right w:w="108" w:type="dxa"/>
            </w:tcMar>
            <w:vAlign w:val="center"/>
          </w:tcPr>
          <w:p w14:paraId="241E3718" w14:textId="352D64CE" w:rsidR="00BF03AA" w:rsidRPr="00326E55" w:rsidRDefault="00FB452D">
            <w:pPr>
              <w:pStyle w:val="P68B1DB1-Normal121"/>
              <w:spacing w:after="0" w:line="240" w:lineRule="auto"/>
              <w:rPr>
                <w:noProof/>
                <w:spacing w:val="-6"/>
                <w:lang w:val="sk-SK"/>
              </w:rPr>
            </w:pPr>
            <w:r w:rsidRPr="00326E55">
              <w:rPr>
                <w:noProof/>
                <w:spacing w:val="-6"/>
                <w:lang w:val="sk-SK"/>
              </w:rPr>
              <w:t>Počet preradených parkov</w:t>
            </w:r>
            <w:r w:rsidR="00326E55" w:rsidRPr="00326E55">
              <w:rPr>
                <w:noProof/>
                <w:spacing w:val="-6"/>
                <w:lang w:val="sk-SK"/>
              </w:rPr>
              <w:t xml:space="preserve"> a </w:t>
            </w:r>
            <w:r w:rsidRPr="00326E55">
              <w:rPr>
                <w:noProof/>
                <w:spacing w:val="-6"/>
                <w:lang w:val="sk-SK"/>
              </w:rPr>
              <w:t>historických záhrad</w:t>
            </w:r>
          </w:p>
        </w:tc>
      </w:tr>
      <w:tr w:rsidR="00BF03AA" w:rsidRPr="00326E55" w14:paraId="1F23300C" w14:textId="77777777">
        <w:trPr>
          <w:trHeight w:val="300"/>
        </w:trPr>
        <w:tc>
          <w:tcPr>
            <w:tcW w:w="1154" w:type="dxa"/>
            <w:shd w:val="clear" w:color="auto" w:fill="C6EFCE"/>
            <w:tcMar>
              <w:left w:w="108" w:type="dxa"/>
              <w:right w:w="108" w:type="dxa"/>
            </w:tcMar>
            <w:vAlign w:val="center"/>
          </w:tcPr>
          <w:p w14:paraId="1070A5C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23</w:t>
            </w:r>
          </w:p>
        </w:tc>
        <w:tc>
          <w:tcPr>
            <w:tcW w:w="3541" w:type="dxa"/>
            <w:shd w:val="clear" w:color="auto" w:fill="C6EFCE"/>
            <w:tcMar>
              <w:left w:w="108" w:type="dxa"/>
              <w:right w:w="108" w:type="dxa"/>
            </w:tcMar>
            <w:vAlign w:val="center"/>
          </w:tcPr>
          <w:p w14:paraId="4C93C94F" w14:textId="64C081B4"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3.4: Fondo Contratti di </w:t>
            </w:r>
            <w:r w:rsidRPr="00326E55">
              <w:rPr>
                <w:noProof/>
                <w:spacing w:val="-6"/>
                <w:lang w:val="sk-SK"/>
              </w:rPr>
              <w:t>Filiera (FCF) na podporu zmlúv</w:t>
            </w:r>
            <w:r w:rsidR="00326E55" w:rsidRPr="00326E55">
              <w:rPr>
                <w:noProof/>
                <w:spacing w:val="-6"/>
                <w:lang w:val="sk-SK"/>
              </w:rPr>
              <w:t xml:space="preserve"> o </w:t>
            </w:r>
            <w:r w:rsidRPr="00326E55">
              <w:rPr>
                <w:noProof/>
                <w:spacing w:val="-6"/>
                <w:lang w:val="sk-SK"/>
              </w:rPr>
              <w:t>dodávateľských reťazcoch pre agropotravinárske odvetvia, odvetvia rybolovu</w:t>
            </w:r>
            <w:r w:rsidR="00326E55" w:rsidRPr="00326E55">
              <w:rPr>
                <w:noProof/>
                <w:spacing w:val="-6"/>
                <w:lang w:val="sk-SK"/>
              </w:rPr>
              <w:t xml:space="preserve"> a </w:t>
            </w:r>
            <w:r w:rsidRPr="00326E55">
              <w:rPr>
                <w:noProof/>
                <w:spacing w:val="-6"/>
                <w:lang w:val="sk-SK"/>
              </w:rPr>
              <w:t>akvakultúry, lesného hospodárstva, kvetinárstva</w:t>
            </w:r>
            <w:r w:rsidR="00326E55" w:rsidRPr="00326E55">
              <w:rPr>
                <w:noProof/>
                <w:spacing w:val="-6"/>
                <w:lang w:val="sk-SK"/>
              </w:rPr>
              <w:t xml:space="preserve"> a </w:t>
            </w:r>
            <w:r w:rsidRPr="00326E55">
              <w:rPr>
                <w:noProof/>
                <w:spacing w:val="-6"/>
                <w:lang w:val="sk-SK"/>
              </w:rPr>
              <w:t>odchovní rastlín</w:t>
            </w:r>
          </w:p>
        </w:tc>
        <w:tc>
          <w:tcPr>
            <w:tcW w:w="1276" w:type="dxa"/>
            <w:shd w:val="clear" w:color="auto" w:fill="C6EFCE"/>
            <w:tcMar>
              <w:left w:w="108" w:type="dxa"/>
              <w:right w:w="108" w:type="dxa"/>
            </w:tcMar>
            <w:vAlign w:val="center"/>
          </w:tcPr>
          <w:p w14:paraId="5C9EC0A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60" w:type="dxa"/>
            <w:shd w:val="clear" w:color="auto" w:fill="C6EFCE"/>
            <w:tcMar>
              <w:left w:w="108" w:type="dxa"/>
              <w:right w:w="108" w:type="dxa"/>
            </w:tcMar>
            <w:vAlign w:val="center"/>
          </w:tcPr>
          <w:p w14:paraId="5150ADAA" w14:textId="60A83AE6" w:rsidR="00BF03AA" w:rsidRPr="00326E55" w:rsidRDefault="00FB452D">
            <w:pPr>
              <w:pStyle w:val="P68B1DB1-Normal121"/>
              <w:spacing w:after="0" w:line="240" w:lineRule="auto"/>
              <w:rPr>
                <w:noProof/>
                <w:spacing w:val="-6"/>
                <w:lang w:val="sk-SK"/>
              </w:rPr>
            </w:pPr>
            <w:r w:rsidRPr="00326E55">
              <w:rPr>
                <w:noProof/>
                <w:spacing w:val="-6"/>
                <w:lang w:val="sk-SK"/>
              </w:rPr>
              <w:t>Zdroje prevedené na ISMEA</w:t>
            </w:r>
            <w:r w:rsidR="00326E55" w:rsidRPr="00326E55">
              <w:rPr>
                <w:noProof/>
                <w:spacing w:val="-6"/>
                <w:lang w:val="sk-SK"/>
              </w:rPr>
              <w:t xml:space="preserve"> a </w:t>
            </w:r>
            <w:r w:rsidRPr="00326E55">
              <w:rPr>
                <w:noProof/>
                <w:spacing w:val="-6"/>
                <w:lang w:val="sk-SK"/>
              </w:rPr>
              <w:t>zmena vykonávacej dohody</w:t>
            </w:r>
          </w:p>
        </w:tc>
      </w:tr>
      <w:tr w:rsidR="00BF03AA" w:rsidRPr="00326E55" w14:paraId="310AA06C"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F6F54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31</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2D8CF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w:t>
            </w:r>
            <w:r w:rsidRPr="00326E55">
              <w:rPr>
                <w:noProof/>
                <w:spacing w:val="-6"/>
                <w:lang w:val="sk-SK"/>
              </w:rPr>
              <w:t>ia 5: Fond bývania pre študentov</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860BE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83F996"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p>
        </w:tc>
      </w:tr>
      <w:tr w:rsidR="00BF03AA" w:rsidRPr="00326E55" w14:paraId="21275B8B"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B91A2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19bis</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2D894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 Zakladanie podnikov žien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F983A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3B6891" w14:textId="600E7648"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r w:rsidR="00326E55" w:rsidRPr="00326E55">
              <w:rPr>
                <w:noProof/>
                <w:spacing w:val="-6"/>
                <w:lang w:val="sk-SK"/>
              </w:rPr>
              <w:t xml:space="preserve"> a </w:t>
            </w:r>
            <w:r w:rsidRPr="00326E55">
              <w:rPr>
                <w:noProof/>
                <w:spacing w:val="-6"/>
                <w:lang w:val="sk-SK"/>
              </w:rPr>
              <w:t>prevod do Invitalie</w:t>
            </w:r>
          </w:p>
        </w:tc>
      </w:tr>
      <w:tr w:rsidR="00BF03AA" w:rsidRPr="00326E55" w14:paraId="2F47054C"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DEFA74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30</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243E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7 – Národný fond pre konektivitu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25178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0502BD" w14:textId="77777777"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p>
        </w:tc>
      </w:tr>
      <w:tr w:rsidR="00BF03AA" w:rsidRPr="00326E55" w14:paraId="1B6AB2E3"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63BF030B" w14:textId="3CD3D37C" w:rsidR="00BF03AA" w:rsidRPr="00326E55" w:rsidRDefault="00FB452D">
            <w:pPr>
              <w:pStyle w:val="P68B1DB1-Normal121"/>
              <w:spacing w:after="0" w:line="240" w:lineRule="auto"/>
              <w:jc w:val="center"/>
              <w:rPr>
                <w:noProof/>
                <w:spacing w:val="-6"/>
                <w:lang w:val="sk-SK"/>
              </w:rPr>
            </w:pPr>
            <w:r w:rsidRPr="00326E55">
              <w:rPr>
                <w:noProof/>
                <w:spacing w:val="-6"/>
                <w:lang w:val="sk-SK"/>
              </w:rPr>
              <w:t>M2C1 – 26</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E4A48C" w14:textId="2564FFEF" w:rsidR="00BF03AA" w:rsidRPr="00326E55" w:rsidRDefault="00FB452D">
            <w:pPr>
              <w:pStyle w:val="P68B1DB1-Normal121"/>
              <w:spacing w:after="0" w:line="240" w:lineRule="auto"/>
              <w:rPr>
                <w:noProof/>
                <w:spacing w:val="-6"/>
                <w:lang w:val="sk-SK"/>
              </w:rPr>
            </w:pPr>
            <w:r w:rsidRPr="00326E55">
              <w:rPr>
                <w:noProof/>
                <w:spacing w:val="-6"/>
                <w:lang w:val="sk-SK"/>
              </w:rPr>
              <w:t>Investícia 4: Poľnohospodársko-politické parkovacie zariadenie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8969C0" w14:textId="2EBB3D08"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AAAAE3" w14:textId="60212123" w:rsidR="00BF03AA" w:rsidRPr="00326E55" w:rsidRDefault="00FB452D">
            <w:pPr>
              <w:pStyle w:val="P68B1DB1-Normal121"/>
              <w:spacing w:after="0" w:line="240" w:lineRule="auto"/>
              <w:rPr>
                <w:noProof/>
                <w:spacing w:val="-6"/>
                <w:lang w:val="sk-SK"/>
              </w:rPr>
            </w:pPr>
            <w:r w:rsidRPr="00326E55">
              <w:rPr>
                <w:noProof/>
                <w:spacing w:val="-6"/>
                <w:lang w:val="sk-SK"/>
              </w:rPr>
              <w:t>Vykonávacia dohoda</w:t>
            </w:r>
          </w:p>
        </w:tc>
      </w:tr>
      <w:tr w:rsidR="00BF03AA" w:rsidRPr="00326E55" w14:paraId="19A3807B"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E7CEFE" w14:textId="3FEC8602" w:rsidR="00BF03AA" w:rsidRPr="00326E55" w:rsidRDefault="00FB452D">
            <w:pPr>
              <w:pStyle w:val="P68B1DB1-Normal121"/>
              <w:spacing w:after="0" w:line="240" w:lineRule="auto"/>
              <w:jc w:val="center"/>
              <w:rPr>
                <w:noProof/>
                <w:spacing w:val="-6"/>
                <w:lang w:val="sk-SK"/>
              </w:rPr>
            </w:pPr>
            <w:r w:rsidRPr="00326E55">
              <w:rPr>
                <w:noProof/>
                <w:spacing w:val="-6"/>
                <w:lang w:val="sk-SK"/>
              </w:rPr>
              <w:t>M5C2 – 18</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FCB2ED" w14:textId="6FDDC8A6" w:rsidR="00BF03AA" w:rsidRPr="00326E55" w:rsidRDefault="00FB452D">
            <w:pPr>
              <w:pStyle w:val="P68B1DB1-Normal121"/>
              <w:spacing w:after="0" w:line="240" w:lineRule="auto"/>
              <w:rPr>
                <w:noProof/>
                <w:spacing w:val="-6"/>
                <w:lang w:val="sk-SK"/>
              </w:rPr>
            </w:pPr>
            <w:r w:rsidRPr="00326E55">
              <w:rPr>
                <w:noProof/>
                <w:spacing w:val="-6"/>
                <w:lang w:val="sk-SK"/>
              </w:rPr>
              <w:t>Investícia 5 – Mestské integrované plány – fond EIB – fond fondu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6900F9" w14:textId="2A6784E9"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56FFE2" w14:textId="199C4716" w:rsidR="00BF03AA" w:rsidRPr="00326E55" w:rsidRDefault="00FB452D">
            <w:pPr>
              <w:pStyle w:val="P68B1DB1-Normal121"/>
              <w:spacing w:after="0" w:line="240" w:lineRule="auto"/>
              <w:rPr>
                <w:noProof/>
                <w:spacing w:val="-6"/>
                <w:lang w:val="sk-SK"/>
              </w:rPr>
            </w:pPr>
            <w:r w:rsidRPr="00326E55">
              <w:rPr>
                <w:noProof/>
                <w:spacing w:val="-6"/>
                <w:lang w:val="sk-SK"/>
              </w:rPr>
              <w:t>Právne dohody podpísané</w:t>
            </w:r>
            <w:r w:rsidR="00326E55" w:rsidRPr="00326E55">
              <w:rPr>
                <w:noProof/>
                <w:spacing w:val="-6"/>
                <w:lang w:val="sk-SK"/>
              </w:rPr>
              <w:t xml:space="preserve"> s </w:t>
            </w:r>
            <w:r w:rsidRPr="00326E55">
              <w:rPr>
                <w:noProof/>
                <w:spacing w:val="-6"/>
                <w:lang w:val="sk-SK"/>
              </w:rPr>
              <w:t>konečnými príjemcami na investičnú hodnotu príslušných proje</w:t>
            </w:r>
            <w:r w:rsidRPr="00326E55">
              <w:rPr>
                <w:noProof/>
                <w:spacing w:val="-6"/>
                <w:lang w:val="sk-SK"/>
              </w:rPr>
              <w:t xml:space="preserve">ktov vo výške najmenej 545 000 000 EUR   </w:t>
            </w:r>
          </w:p>
        </w:tc>
      </w:tr>
      <w:tr w:rsidR="00BF03AA" w:rsidRPr="00326E55" w14:paraId="598C50AE" w14:textId="77777777">
        <w:trPr>
          <w:trHeight w:val="300"/>
        </w:trPr>
        <w:tc>
          <w:tcPr>
            <w:tcW w:w="1154" w:type="dxa"/>
            <w:shd w:val="clear" w:color="auto" w:fill="C6EFCE"/>
            <w:tcMar>
              <w:left w:w="108" w:type="dxa"/>
              <w:right w:w="108" w:type="dxa"/>
            </w:tcMar>
            <w:vAlign w:val="center"/>
          </w:tcPr>
          <w:p w14:paraId="127A4682"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541" w:type="dxa"/>
            <w:shd w:val="clear" w:color="auto" w:fill="C6EFCE"/>
            <w:tcMar>
              <w:left w:w="108" w:type="dxa"/>
              <w:right w:w="108" w:type="dxa"/>
            </w:tcMar>
            <w:vAlign w:val="center"/>
          </w:tcPr>
          <w:p w14:paraId="77EFA4B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 </w:t>
            </w:r>
          </w:p>
        </w:tc>
        <w:tc>
          <w:tcPr>
            <w:tcW w:w="1276" w:type="dxa"/>
            <w:shd w:val="clear" w:color="auto" w:fill="C6EFCE"/>
            <w:tcMar>
              <w:left w:w="108" w:type="dxa"/>
              <w:right w:w="108" w:type="dxa"/>
            </w:tcMar>
            <w:vAlign w:val="center"/>
          </w:tcPr>
          <w:p w14:paraId="3F8F093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260" w:type="dxa"/>
            <w:shd w:val="clear" w:color="auto" w:fill="C6EFCE"/>
            <w:tcMar>
              <w:left w:w="108" w:type="dxa"/>
              <w:right w:w="108" w:type="dxa"/>
            </w:tcMar>
            <w:vAlign w:val="center"/>
          </w:tcPr>
          <w:p w14:paraId="6D61BC93"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 xml:space="preserve"> 7118464154 EUR</w:t>
            </w:r>
            <w:r w:rsidRPr="00326E55">
              <w:rPr>
                <w:noProof/>
                <w:spacing w:val="-6"/>
                <w:sz w:val="23"/>
                <w:szCs w:val="23"/>
                <w:lang w:val="sk-SK"/>
              </w:rPr>
              <w:t xml:space="preserve">  </w:t>
            </w:r>
          </w:p>
        </w:tc>
      </w:tr>
    </w:tbl>
    <w:p w14:paraId="77001805" w14:textId="77777777" w:rsidR="00BF03AA" w:rsidRPr="00326E55" w:rsidRDefault="00BF03AA">
      <w:pPr>
        <w:rPr>
          <w:rFonts w:ascii="Times New Roman" w:eastAsia="Times New Roman" w:hAnsi="Times New Roman" w:cs="Times New Roman"/>
          <w:noProof/>
          <w:spacing w:val="-6"/>
          <w:lang w:val="sk-SK"/>
        </w:rPr>
      </w:pPr>
    </w:p>
    <w:p w14:paraId="59A67ED6" w14:textId="77777777" w:rsidR="00BF03AA" w:rsidRPr="00326E55" w:rsidRDefault="00FB452D">
      <w:pPr>
        <w:pStyle w:val="P68B1DB1-Heading34"/>
        <w:numPr>
          <w:ilvl w:val="1"/>
          <w:numId w:val="179"/>
        </w:numPr>
        <w:tabs>
          <w:tab w:val="clear" w:pos="850"/>
          <w:tab w:val="num" w:pos="1440"/>
        </w:tabs>
        <w:ind w:left="1440" w:hanging="360"/>
        <w:rPr>
          <w:noProof/>
          <w:spacing w:val="-6"/>
          <w:lang w:val="sk-SK"/>
        </w:rPr>
      </w:pPr>
      <w:r w:rsidRPr="00326E55">
        <w:rPr>
          <w:noProof/>
          <w:spacing w:val="-6"/>
          <w:lang w:val="sk-SK"/>
        </w:rPr>
        <w:t>Desiata fáza (úverová podpora):</w:t>
      </w:r>
    </w:p>
    <w:tbl>
      <w:tblPr>
        <w:tblW w:w="923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6"/>
        <w:gridCol w:w="3449"/>
        <w:gridCol w:w="1134"/>
        <w:gridCol w:w="3402"/>
      </w:tblGrid>
      <w:tr w:rsidR="00BF03AA" w:rsidRPr="00326E55" w14:paraId="3EA114BB" w14:textId="77777777">
        <w:trPr>
          <w:trHeight w:val="900"/>
          <w:tblHeader/>
        </w:trPr>
        <w:tc>
          <w:tcPr>
            <w:tcW w:w="1246" w:type="dxa"/>
            <w:vMerge w:val="restart"/>
            <w:shd w:val="clear" w:color="auto" w:fill="BDD7EE"/>
            <w:tcMar>
              <w:left w:w="108" w:type="dxa"/>
              <w:right w:w="108" w:type="dxa"/>
            </w:tcMar>
            <w:vAlign w:val="center"/>
          </w:tcPr>
          <w:p w14:paraId="635CBDD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Poradové číslo</w:t>
            </w:r>
          </w:p>
        </w:tc>
        <w:tc>
          <w:tcPr>
            <w:tcW w:w="3449" w:type="dxa"/>
            <w:vMerge w:val="restart"/>
            <w:shd w:val="clear" w:color="auto" w:fill="BDD7EE"/>
            <w:tcMar>
              <w:left w:w="108" w:type="dxa"/>
              <w:right w:w="108" w:type="dxa"/>
            </w:tcMar>
            <w:vAlign w:val="center"/>
          </w:tcPr>
          <w:p w14:paraId="77ECDD97"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Súvisiace opatrenie (reforma alebo investícia)</w:t>
            </w:r>
          </w:p>
        </w:tc>
        <w:tc>
          <w:tcPr>
            <w:tcW w:w="1134" w:type="dxa"/>
            <w:vMerge w:val="restart"/>
            <w:shd w:val="clear" w:color="auto" w:fill="BDD7EE"/>
            <w:tcMar>
              <w:left w:w="108" w:type="dxa"/>
              <w:right w:w="108" w:type="dxa"/>
            </w:tcMar>
            <w:vAlign w:val="center"/>
          </w:tcPr>
          <w:p w14:paraId="54FDD1EE"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Míľnik/cieľ</w:t>
            </w:r>
          </w:p>
        </w:tc>
        <w:tc>
          <w:tcPr>
            <w:tcW w:w="3402" w:type="dxa"/>
            <w:vMerge w:val="restart"/>
            <w:shd w:val="clear" w:color="auto" w:fill="BDD7EE"/>
            <w:tcMar>
              <w:left w:w="108" w:type="dxa"/>
              <w:right w:w="108" w:type="dxa"/>
            </w:tcMar>
            <w:vAlign w:val="center"/>
          </w:tcPr>
          <w:p w14:paraId="286B7CD7" w14:textId="77777777" w:rsidR="00BF03AA" w:rsidRPr="00326E55" w:rsidRDefault="00FB452D">
            <w:pPr>
              <w:pStyle w:val="P68B1DB1-Normal120"/>
              <w:spacing w:after="0" w:line="240" w:lineRule="auto"/>
              <w:jc w:val="center"/>
              <w:rPr>
                <w:noProof/>
                <w:spacing w:val="-6"/>
                <w:lang w:val="sk-SK"/>
              </w:rPr>
            </w:pPr>
            <w:r w:rsidRPr="00326E55">
              <w:rPr>
                <w:noProof/>
                <w:spacing w:val="-6"/>
                <w:lang w:val="sk-SK"/>
              </w:rPr>
              <w:t>Názov</w:t>
            </w:r>
          </w:p>
        </w:tc>
      </w:tr>
      <w:tr w:rsidR="00BF03AA" w:rsidRPr="00326E55" w14:paraId="2DDC408E" w14:textId="77777777">
        <w:trPr>
          <w:trHeight w:val="510"/>
        </w:trPr>
        <w:tc>
          <w:tcPr>
            <w:tcW w:w="1246" w:type="dxa"/>
            <w:vMerge/>
            <w:vAlign w:val="center"/>
          </w:tcPr>
          <w:p w14:paraId="44A50E7E"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449" w:type="dxa"/>
            <w:vMerge/>
            <w:vAlign w:val="center"/>
          </w:tcPr>
          <w:p w14:paraId="0B29D955" w14:textId="77777777" w:rsidR="00BF03AA" w:rsidRPr="00326E55" w:rsidRDefault="00BF03AA">
            <w:pPr>
              <w:spacing w:after="0" w:line="240" w:lineRule="auto"/>
              <w:rPr>
                <w:rFonts w:ascii="Times New Roman" w:eastAsia="Times New Roman" w:hAnsi="Times New Roman" w:cs="Times New Roman"/>
                <w:noProof/>
                <w:spacing w:val="-6"/>
                <w:lang w:val="sk-SK"/>
              </w:rPr>
            </w:pPr>
          </w:p>
        </w:tc>
        <w:tc>
          <w:tcPr>
            <w:tcW w:w="1134" w:type="dxa"/>
            <w:vMerge/>
            <w:vAlign w:val="center"/>
          </w:tcPr>
          <w:p w14:paraId="5F835863" w14:textId="77777777" w:rsidR="00BF03AA" w:rsidRPr="00326E55" w:rsidRDefault="00BF03AA">
            <w:pPr>
              <w:spacing w:after="0" w:line="240" w:lineRule="auto"/>
              <w:jc w:val="center"/>
              <w:rPr>
                <w:rFonts w:ascii="Times New Roman" w:eastAsia="Times New Roman" w:hAnsi="Times New Roman" w:cs="Times New Roman"/>
                <w:noProof/>
                <w:spacing w:val="-6"/>
                <w:lang w:val="sk-SK"/>
              </w:rPr>
            </w:pPr>
          </w:p>
        </w:tc>
        <w:tc>
          <w:tcPr>
            <w:tcW w:w="3402" w:type="dxa"/>
            <w:vMerge/>
            <w:vAlign w:val="center"/>
          </w:tcPr>
          <w:p w14:paraId="4CE2A4E2" w14:textId="77777777" w:rsidR="00BF03AA" w:rsidRPr="00326E55" w:rsidRDefault="00BF03AA">
            <w:pPr>
              <w:spacing w:after="0" w:line="240" w:lineRule="auto"/>
              <w:rPr>
                <w:rFonts w:ascii="Times New Roman" w:eastAsia="Times New Roman" w:hAnsi="Times New Roman" w:cs="Times New Roman"/>
                <w:noProof/>
                <w:spacing w:val="-6"/>
                <w:lang w:val="sk-SK"/>
              </w:rPr>
            </w:pPr>
          </w:p>
        </w:tc>
      </w:tr>
      <w:tr w:rsidR="00BF03AA" w:rsidRPr="00326E55" w14:paraId="5A6FEF3A" w14:textId="77777777">
        <w:trPr>
          <w:trHeight w:val="300"/>
        </w:trPr>
        <w:tc>
          <w:tcPr>
            <w:tcW w:w="1246" w:type="dxa"/>
            <w:shd w:val="clear" w:color="auto" w:fill="C6EFCE"/>
            <w:tcMar>
              <w:left w:w="108" w:type="dxa"/>
              <w:right w:w="108" w:type="dxa"/>
            </w:tcMar>
            <w:vAlign w:val="center"/>
          </w:tcPr>
          <w:p w14:paraId="75A541E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6</w:t>
            </w:r>
          </w:p>
        </w:tc>
        <w:tc>
          <w:tcPr>
            <w:tcW w:w="3449" w:type="dxa"/>
            <w:shd w:val="clear" w:color="auto" w:fill="C6EFCE"/>
            <w:tcMar>
              <w:left w:w="108" w:type="dxa"/>
              <w:right w:w="108" w:type="dxa"/>
            </w:tcMar>
            <w:vAlign w:val="center"/>
          </w:tcPr>
          <w:p w14:paraId="5FDD3AB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1.1: Výstavba nových škôl </w:t>
            </w:r>
            <w:r w:rsidRPr="00326E55">
              <w:rPr>
                <w:noProof/>
                <w:spacing w:val="-6"/>
                <w:lang w:val="sk-SK"/>
              </w:rPr>
              <w:t>prostredníctvom výmeny budov</w:t>
            </w:r>
          </w:p>
        </w:tc>
        <w:tc>
          <w:tcPr>
            <w:tcW w:w="1134" w:type="dxa"/>
            <w:shd w:val="clear" w:color="auto" w:fill="C6EFCE"/>
            <w:tcMar>
              <w:left w:w="108" w:type="dxa"/>
              <w:right w:w="108" w:type="dxa"/>
            </w:tcMar>
            <w:vAlign w:val="center"/>
          </w:tcPr>
          <w:p w14:paraId="4522609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2DF453C" w14:textId="77777777" w:rsidR="00BF03AA" w:rsidRPr="00326E55" w:rsidRDefault="00FB452D">
            <w:pPr>
              <w:pStyle w:val="P68B1DB1-Normal121"/>
              <w:spacing w:after="0" w:line="240" w:lineRule="auto"/>
              <w:rPr>
                <w:noProof/>
                <w:spacing w:val="-6"/>
                <w:lang w:val="sk-SK"/>
              </w:rPr>
            </w:pPr>
            <w:r w:rsidRPr="00326E55">
              <w:rPr>
                <w:noProof/>
                <w:spacing w:val="-6"/>
                <w:lang w:val="sk-SK"/>
              </w:rPr>
              <w:t>Prostredníctvom výmeny budov sa vybuduje najmenej 166 nových škôl.</w:t>
            </w:r>
          </w:p>
        </w:tc>
      </w:tr>
      <w:tr w:rsidR="00BF03AA" w:rsidRPr="00326E55" w14:paraId="2ABF07AD" w14:textId="77777777">
        <w:trPr>
          <w:trHeight w:val="300"/>
        </w:trPr>
        <w:tc>
          <w:tcPr>
            <w:tcW w:w="1246" w:type="dxa"/>
            <w:shd w:val="clear" w:color="auto" w:fill="C6EFCE"/>
            <w:tcMar>
              <w:left w:w="108" w:type="dxa"/>
              <w:right w:w="108" w:type="dxa"/>
            </w:tcMar>
            <w:vAlign w:val="center"/>
          </w:tcPr>
          <w:p w14:paraId="13397B8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8</w:t>
            </w:r>
          </w:p>
        </w:tc>
        <w:tc>
          <w:tcPr>
            <w:tcW w:w="3449" w:type="dxa"/>
            <w:shd w:val="clear" w:color="auto" w:fill="C6EFCE"/>
            <w:tcMar>
              <w:left w:w="108" w:type="dxa"/>
              <w:right w:w="108" w:type="dxa"/>
            </w:tcMar>
            <w:vAlign w:val="center"/>
          </w:tcPr>
          <w:p w14:paraId="1F43F23C"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1.2 – Rekvalifikácia verejného nehnuteľného majetku čiastočne alebo úplne využívaného výkonom spravodlivosti</w:t>
            </w:r>
          </w:p>
        </w:tc>
        <w:tc>
          <w:tcPr>
            <w:tcW w:w="1134" w:type="dxa"/>
            <w:shd w:val="clear" w:color="auto" w:fill="C6EFCE"/>
            <w:tcMar>
              <w:left w:w="108" w:type="dxa"/>
              <w:right w:w="108" w:type="dxa"/>
            </w:tcMar>
            <w:vAlign w:val="center"/>
          </w:tcPr>
          <w:p w14:paraId="0CB0B0A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174D93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Vykonané práce na </w:t>
            </w:r>
            <w:r w:rsidRPr="00326E55">
              <w:rPr>
                <w:noProof/>
                <w:spacing w:val="-6"/>
                <w:lang w:val="sk-SK"/>
              </w:rPr>
              <w:t>najmenej 289 000 m² verejného nehnuteľného majetku</w:t>
            </w:r>
          </w:p>
        </w:tc>
      </w:tr>
      <w:tr w:rsidR="00BF03AA" w:rsidRPr="00326E55" w14:paraId="379989C1" w14:textId="77777777">
        <w:trPr>
          <w:trHeight w:val="300"/>
        </w:trPr>
        <w:tc>
          <w:tcPr>
            <w:tcW w:w="1246" w:type="dxa"/>
            <w:shd w:val="clear" w:color="auto" w:fill="C6EFCE"/>
            <w:tcMar>
              <w:left w:w="108" w:type="dxa"/>
              <w:right w:w="108" w:type="dxa"/>
            </w:tcMar>
            <w:vAlign w:val="center"/>
          </w:tcPr>
          <w:p w14:paraId="7D963DE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M2C3 – 10</w:t>
            </w:r>
          </w:p>
        </w:tc>
        <w:tc>
          <w:tcPr>
            <w:tcW w:w="3449" w:type="dxa"/>
            <w:shd w:val="clear" w:color="auto" w:fill="C6EFCE"/>
            <w:tcMar>
              <w:left w:w="108" w:type="dxa"/>
              <w:right w:w="108" w:type="dxa"/>
            </w:tcMar>
            <w:vAlign w:val="center"/>
          </w:tcPr>
          <w:p w14:paraId="07D1C0C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3.1: Podpora účinného diaľkového vykurovania</w:t>
            </w:r>
          </w:p>
        </w:tc>
        <w:tc>
          <w:tcPr>
            <w:tcW w:w="1134" w:type="dxa"/>
            <w:shd w:val="clear" w:color="auto" w:fill="C6EFCE"/>
            <w:tcMar>
              <w:left w:w="108" w:type="dxa"/>
              <w:right w:w="108" w:type="dxa"/>
            </w:tcMar>
            <w:vAlign w:val="center"/>
          </w:tcPr>
          <w:p w14:paraId="14DC6D1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67515E3F" w14:textId="485C876F" w:rsidR="00BF03AA" w:rsidRPr="00326E55" w:rsidRDefault="00FB452D">
            <w:pPr>
              <w:pStyle w:val="P68B1DB1-Normal121"/>
              <w:spacing w:after="0" w:line="240" w:lineRule="auto"/>
              <w:rPr>
                <w:noProof/>
                <w:spacing w:val="-6"/>
                <w:lang w:val="sk-SK"/>
              </w:rPr>
            </w:pPr>
            <w:r w:rsidRPr="00326E55">
              <w:rPr>
                <w:noProof/>
                <w:spacing w:val="-6"/>
                <w:lang w:val="sk-SK"/>
              </w:rPr>
              <w:t>Vybudovanie alebo rozšírenie sietí diaľkového vykurovania</w:t>
            </w:r>
            <w:r w:rsidR="00326E55" w:rsidRPr="00326E55">
              <w:rPr>
                <w:noProof/>
                <w:spacing w:val="-6"/>
                <w:lang w:val="sk-SK"/>
              </w:rPr>
              <w:t xml:space="preserve"> s </w:t>
            </w:r>
            <w:r w:rsidRPr="00326E55">
              <w:rPr>
                <w:noProof/>
                <w:spacing w:val="-6"/>
                <w:lang w:val="sk-SK"/>
              </w:rPr>
              <w:t xml:space="preserve">cieľom znížiť spotrebu energie </w:t>
            </w:r>
          </w:p>
        </w:tc>
      </w:tr>
      <w:tr w:rsidR="00BF03AA" w:rsidRPr="00326E55" w14:paraId="530933F3" w14:textId="77777777">
        <w:trPr>
          <w:trHeight w:val="300"/>
        </w:trPr>
        <w:tc>
          <w:tcPr>
            <w:tcW w:w="1246" w:type="dxa"/>
            <w:shd w:val="clear" w:color="auto" w:fill="C6EFCE"/>
            <w:tcMar>
              <w:left w:w="108" w:type="dxa"/>
              <w:right w:w="108" w:type="dxa"/>
            </w:tcMar>
            <w:vAlign w:val="center"/>
          </w:tcPr>
          <w:p w14:paraId="1846760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23</w:t>
            </w:r>
          </w:p>
        </w:tc>
        <w:tc>
          <w:tcPr>
            <w:tcW w:w="3449" w:type="dxa"/>
            <w:shd w:val="clear" w:color="auto" w:fill="C6EFCE"/>
            <w:tcMar>
              <w:left w:w="108" w:type="dxa"/>
              <w:right w:w="108" w:type="dxa"/>
            </w:tcMar>
            <w:vAlign w:val="center"/>
          </w:tcPr>
          <w:p w14:paraId="622B886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3.3 Renaturácia </w:t>
            </w:r>
            <w:r w:rsidRPr="00326E55">
              <w:rPr>
                <w:noProof/>
                <w:spacing w:val="-6"/>
                <w:lang w:val="sk-SK"/>
              </w:rPr>
              <w:t>oblasti Po</w:t>
            </w:r>
          </w:p>
        </w:tc>
        <w:tc>
          <w:tcPr>
            <w:tcW w:w="1134" w:type="dxa"/>
            <w:shd w:val="clear" w:color="auto" w:fill="C6EFCE"/>
            <w:tcMar>
              <w:left w:w="108" w:type="dxa"/>
              <w:right w:w="108" w:type="dxa"/>
            </w:tcMar>
            <w:vAlign w:val="center"/>
          </w:tcPr>
          <w:p w14:paraId="3B1C62F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B0D29CB" w14:textId="77777777" w:rsidR="00BF03AA" w:rsidRPr="00326E55" w:rsidRDefault="00FB452D">
            <w:pPr>
              <w:pStyle w:val="P68B1DB1-Normal121"/>
              <w:spacing w:after="0" w:line="240" w:lineRule="auto"/>
              <w:rPr>
                <w:noProof/>
                <w:spacing w:val="-6"/>
                <w:lang w:val="sk-SK"/>
              </w:rPr>
            </w:pPr>
            <w:r w:rsidRPr="00326E55">
              <w:rPr>
                <w:noProof/>
                <w:spacing w:val="-6"/>
                <w:lang w:val="sk-SK"/>
              </w:rPr>
              <w:t>Zníženie umelosti riečneho dna na renaturáciu oblasti Pád T2</w:t>
            </w:r>
          </w:p>
        </w:tc>
      </w:tr>
      <w:tr w:rsidR="00BF03AA" w:rsidRPr="00326E55" w14:paraId="5A01352D" w14:textId="77777777">
        <w:trPr>
          <w:trHeight w:val="300"/>
        </w:trPr>
        <w:tc>
          <w:tcPr>
            <w:tcW w:w="1246" w:type="dxa"/>
            <w:shd w:val="clear" w:color="auto" w:fill="C6EFCE"/>
            <w:tcMar>
              <w:left w:w="108" w:type="dxa"/>
              <w:right w:w="108" w:type="dxa"/>
            </w:tcMar>
            <w:vAlign w:val="center"/>
          </w:tcPr>
          <w:p w14:paraId="231ADE0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25</w:t>
            </w:r>
          </w:p>
        </w:tc>
        <w:tc>
          <w:tcPr>
            <w:tcW w:w="3449" w:type="dxa"/>
            <w:shd w:val="clear" w:color="auto" w:fill="C6EFCE"/>
            <w:tcMar>
              <w:left w:w="108" w:type="dxa"/>
              <w:right w:w="108" w:type="dxa"/>
            </w:tcMar>
            <w:vAlign w:val="center"/>
          </w:tcPr>
          <w:p w14:paraId="58C36EF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3.4. Sanácia „pôdy osirotených lokalít“</w:t>
            </w:r>
          </w:p>
        </w:tc>
        <w:tc>
          <w:tcPr>
            <w:tcW w:w="1134" w:type="dxa"/>
            <w:shd w:val="clear" w:color="auto" w:fill="C6EFCE"/>
            <w:tcMar>
              <w:left w:w="108" w:type="dxa"/>
              <w:right w:w="108" w:type="dxa"/>
            </w:tcMar>
            <w:vAlign w:val="center"/>
          </w:tcPr>
          <w:p w14:paraId="5C8569E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053B964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Revitalizácia opustených lokalít </w:t>
            </w:r>
          </w:p>
        </w:tc>
      </w:tr>
      <w:tr w:rsidR="00BF03AA" w:rsidRPr="00326E55" w14:paraId="343DE3E4" w14:textId="77777777">
        <w:trPr>
          <w:trHeight w:val="300"/>
        </w:trPr>
        <w:tc>
          <w:tcPr>
            <w:tcW w:w="1246" w:type="dxa"/>
            <w:shd w:val="clear" w:color="auto" w:fill="C6EFCE"/>
            <w:tcMar>
              <w:left w:w="108" w:type="dxa"/>
              <w:right w:w="108" w:type="dxa"/>
            </w:tcMar>
            <w:vAlign w:val="center"/>
          </w:tcPr>
          <w:p w14:paraId="7B61E4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29</w:t>
            </w:r>
          </w:p>
        </w:tc>
        <w:tc>
          <w:tcPr>
            <w:tcW w:w="3449" w:type="dxa"/>
            <w:shd w:val="clear" w:color="auto" w:fill="C6EFCE"/>
            <w:tcMar>
              <w:left w:w="108" w:type="dxa"/>
              <w:right w:w="108" w:type="dxa"/>
            </w:tcMar>
            <w:vAlign w:val="center"/>
          </w:tcPr>
          <w:p w14:paraId="757C6518"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4.1. Investície do primárnej vodohospodárskej infraštruk</w:t>
            </w:r>
            <w:r w:rsidRPr="00326E55">
              <w:rPr>
                <w:noProof/>
                <w:spacing w:val="-6"/>
                <w:lang w:val="sk-SK"/>
              </w:rPr>
              <w:t>túry na zabezpečenie dodávok vody</w:t>
            </w:r>
          </w:p>
        </w:tc>
        <w:tc>
          <w:tcPr>
            <w:tcW w:w="1134" w:type="dxa"/>
            <w:shd w:val="clear" w:color="auto" w:fill="C6EFCE"/>
            <w:tcMar>
              <w:left w:w="108" w:type="dxa"/>
              <w:right w:w="108" w:type="dxa"/>
            </w:tcMar>
            <w:vAlign w:val="center"/>
          </w:tcPr>
          <w:p w14:paraId="403F519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828E74A" w14:textId="77777777" w:rsidR="00BF03AA" w:rsidRPr="00326E55" w:rsidRDefault="00FB452D">
            <w:pPr>
              <w:pStyle w:val="P68B1DB1-Normal121"/>
              <w:spacing w:after="0" w:line="240" w:lineRule="auto"/>
              <w:rPr>
                <w:noProof/>
                <w:spacing w:val="-6"/>
                <w:lang w:val="sk-SK"/>
              </w:rPr>
            </w:pPr>
            <w:r w:rsidRPr="00326E55">
              <w:rPr>
                <w:noProof/>
                <w:spacing w:val="-6"/>
                <w:lang w:val="sk-SK"/>
              </w:rPr>
              <w:t>Dokončenie prác na vodohospodárskej infraštruktúre</w:t>
            </w:r>
          </w:p>
        </w:tc>
      </w:tr>
      <w:tr w:rsidR="00BF03AA" w:rsidRPr="00326E55" w14:paraId="4C44B813" w14:textId="77777777">
        <w:trPr>
          <w:trHeight w:val="300"/>
        </w:trPr>
        <w:tc>
          <w:tcPr>
            <w:tcW w:w="1246" w:type="dxa"/>
            <w:shd w:val="clear" w:color="auto" w:fill="C6EFCE"/>
            <w:tcMar>
              <w:left w:w="108" w:type="dxa"/>
              <w:right w:w="108" w:type="dxa"/>
            </w:tcMar>
            <w:vAlign w:val="center"/>
          </w:tcPr>
          <w:p w14:paraId="455C6BC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38</w:t>
            </w:r>
          </w:p>
        </w:tc>
        <w:tc>
          <w:tcPr>
            <w:tcW w:w="3449" w:type="dxa"/>
            <w:shd w:val="clear" w:color="auto" w:fill="C6EFCE"/>
            <w:tcMar>
              <w:left w:w="108" w:type="dxa"/>
              <w:right w:w="108" w:type="dxa"/>
            </w:tcMar>
            <w:vAlign w:val="center"/>
          </w:tcPr>
          <w:p w14:paraId="059FBC37" w14:textId="1A3425A0" w:rsidR="00BF03AA" w:rsidRPr="00326E55" w:rsidRDefault="00FB452D">
            <w:pPr>
              <w:pStyle w:val="P68B1DB1-Normal121"/>
              <w:spacing w:after="0" w:line="240" w:lineRule="auto"/>
              <w:rPr>
                <w:noProof/>
                <w:spacing w:val="-6"/>
                <w:lang w:val="sk-SK"/>
              </w:rPr>
            </w:pPr>
            <w:r w:rsidRPr="00326E55">
              <w:rPr>
                <w:noProof/>
                <w:spacing w:val="-6"/>
                <w:lang w:val="sk-SK"/>
              </w:rPr>
              <w:t>Investícia 4.4 Investície do kanalizácie</w:t>
            </w:r>
            <w:r w:rsidR="00326E55" w:rsidRPr="00326E55">
              <w:rPr>
                <w:noProof/>
                <w:spacing w:val="-6"/>
                <w:lang w:val="sk-SK"/>
              </w:rPr>
              <w:t xml:space="preserve"> a </w:t>
            </w:r>
            <w:r w:rsidRPr="00326E55">
              <w:rPr>
                <w:noProof/>
                <w:spacing w:val="-6"/>
                <w:lang w:val="sk-SK"/>
              </w:rPr>
              <w:t>čistenia</w:t>
            </w:r>
          </w:p>
        </w:tc>
        <w:tc>
          <w:tcPr>
            <w:tcW w:w="1134" w:type="dxa"/>
            <w:shd w:val="clear" w:color="auto" w:fill="C6EFCE"/>
            <w:tcMar>
              <w:left w:w="108" w:type="dxa"/>
              <w:right w:w="108" w:type="dxa"/>
            </w:tcMar>
            <w:vAlign w:val="center"/>
          </w:tcPr>
          <w:p w14:paraId="5C04345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2857D2F5" w14:textId="1A40BF43" w:rsidR="00BF03AA" w:rsidRPr="00326E55" w:rsidRDefault="00FB452D">
            <w:pPr>
              <w:pStyle w:val="P68B1DB1-Normal121"/>
              <w:spacing w:after="0" w:line="240" w:lineRule="auto"/>
              <w:rPr>
                <w:noProof/>
                <w:spacing w:val="-6"/>
                <w:lang w:val="sk-SK"/>
              </w:rPr>
            </w:pPr>
            <w:r w:rsidRPr="00326E55">
              <w:rPr>
                <w:noProof/>
                <w:spacing w:val="-6"/>
                <w:lang w:val="sk-SK"/>
              </w:rPr>
              <w:t>Zásahy do kanalizácie</w:t>
            </w:r>
            <w:r w:rsidR="00326E55" w:rsidRPr="00326E55">
              <w:rPr>
                <w:noProof/>
                <w:spacing w:val="-6"/>
                <w:lang w:val="sk-SK"/>
              </w:rPr>
              <w:t xml:space="preserve"> a </w:t>
            </w:r>
            <w:r w:rsidRPr="00326E55">
              <w:rPr>
                <w:noProof/>
                <w:spacing w:val="-6"/>
                <w:lang w:val="sk-SK"/>
              </w:rPr>
              <w:t>čistenia T2</w:t>
            </w:r>
          </w:p>
        </w:tc>
      </w:tr>
      <w:tr w:rsidR="00BF03AA" w:rsidRPr="00326E55" w14:paraId="6747EA62" w14:textId="77777777">
        <w:trPr>
          <w:trHeight w:val="300"/>
        </w:trPr>
        <w:tc>
          <w:tcPr>
            <w:tcW w:w="1246" w:type="dxa"/>
            <w:shd w:val="clear" w:color="auto" w:fill="C6EFCE"/>
            <w:tcMar>
              <w:left w:w="108" w:type="dxa"/>
              <w:right w:w="108" w:type="dxa"/>
            </w:tcMar>
            <w:vAlign w:val="center"/>
          </w:tcPr>
          <w:p w14:paraId="03569E2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20</w:t>
            </w:r>
          </w:p>
        </w:tc>
        <w:tc>
          <w:tcPr>
            <w:tcW w:w="3449" w:type="dxa"/>
            <w:shd w:val="clear" w:color="auto" w:fill="C6EFCE"/>
            <w:tcMar>
              <w:left w:w="108" w:type="dxa"/>
              <w:right w:w="108" w:type="dxa"/>
            </w:tcMar>
            <w:vAlign w:val="center"/>
          </w:tcPr>
          <w:p w14:paraId="2CFDEB3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6 – Inovačný program pre kvalitu bývania</w:t>
            </w:r>
          </w:p>
        </w:tc>
        <w:tc>
          <w:tcPr>
            <w:tcW w:w="1134" w:type="dxa"/>
            <w:shd w:val="clear" w:color="auto" w:fill="C6EFCE"/>
            <w:tcMar>
              <w:left w:w="108" w:type="dxa"/>
              <w:right w:w="108" w:type="dxa"/>
            </w:tcMar>
            <w:vAlign w:val="center"/>
          </w:tcPr>
          <w:p w14:paraId="2434E3B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C1185D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Počet vybudovaných, zakúpených alebo zrenovovaných bytových jednotiek </w:t>
            </w:r>
          </w:p>
        </w:tc>
      </w:tr>
      <w:tr w:rsidR="00BF03AA" w:rsidRPr="00326E55" w14:paraId="4BCAC295" w14:textId="77777777">
        <w:trPr>
          <w:trHeight w:val="300"/>
        </w:trPr>
        <w:tc>
          <w:tcPr>
            <w:tcW w:w="1246" w:type="dxa"/>
            <w:shd w:val="clear" w:color="auto" w:fill="C6EFCE"/>
            <w:tcMar>
              <w:left w:w="108" w:type="dxa"/>
              <w:right w:w="108" w:type="dxa"/>
            </w:tcMar>
            <w:vAlign w:val="center"/>
          </w:tcPr>
          <w:p w14:paraId="4CF79FA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151</w:t>
            </w:r>
          </w:p>
        </w:tc>
        <w:tc>
          <w:tcPr>
            <w:tcW w:w="3449" w:type="dxa"/>
            <w:shd w:val="clear" w:color="auto" w:fill="C6EFCE"/>
            <w:tcMar>
              <w:left w:w="108" w:type="dxa"/>
              <w:right w:w="108" w:type="dxa"/>
            </w:tcMar>
            <w:vAlign w:val="center"/>
          </w:tcPr>
          <w:p w14:paraId="52B55CC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1.4.5 – Digitalizácia verejných oznamov</w:t>
            </w:r>
          </w:p>
        </w:tc>
        <w:tc>
          <w:tcPr>
            <w:tcW w:w="1134" w:type="dxa"/>
            <w:shd w:val="clear" w:color="auto" w:fill="C6EFCE"/>
            <w:tcMar>
              <w:left w:w="108" w:type="dxa"/>
              <w:right w:w="108" w:type="dxa"/>
            </w:tcMar>
            <w:vAlign w:val="center"/>
          </w:tcPr>
          <w:p w14:paraId="12B6241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092D38D" w14:textId="77777777" w:rsidR="00BF03AA" w:rsidRPr="00326E55" w:rsidRDefault="00FB452D">
            <w:pPr>
              <w:pStyle w:val="P68B1DB1-Normal121"/>
              <w:spacing w:after="0" w:line="240" w:lineRule="auto"/>
              <w:rPr>
                <w:noProof/>
                <w:spacing w:val="-6"/>
                <w:lang w:val="sk-SK"/>
              </w:rPr>
            </w:pPr>
            <w:r w:rsidRPr="00326E55">
              <w:rPr>
                <w:noProof/>
                <w:spacing w:val="-6"/>
                <w:lang w:val="sk-SK"/>
              </w:rPr>
              <w:t>Rozšírenie digitálnych verejných oznámení T2</w:t>
            </w:r>
          </w:p>
        </w:tc>
      </w:tr>
      <w:tr w:rsidR="00BF03AA" w:rsidRPr="00326E55" w14:paraId="51D602BB" w14:textId="77777777">
        <w:trPr>
          <w:trHeight w:val="300"/>
        </w:trPr>
        <w:tc>
          <w:tcPr>
            <w:tcW w:w="1246" w:type="dxa"/>
            <w:shd w:val="clear" w:color="auto" w:fill="C6EFCE"/>
            <w:tcMar>
              <w:left w:w="108" w:type="dxa"/>
              <w:right w:w="108" w:type="dxa"/>
            </w:tcMar>
            <w:vAlign w:val="center"/>
          </w:tcPr>
          <w:p w14:paraId="3C97996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M1C1 – 155</w:t>
            </w:r>
          </w:p>
        </w:tc>
        <w:tc>
          <w:tcPr>
            <w:tcW w:w="3449" w:type="dxa"/>
            <w:shd w:val="clear" w:color="auto" w:fill="C6EFCE"/>
            <w:tcMar>
              <w:left w:w="108" w:type="dxa"/>
              <w:right w:w="108" w:type="dxa"/>
            </w:tcMar>
            <w:vAlign w:val="center"/>
          </w:tcPr>
          <w:p w14:paraId="1EE5FFDB" w14:textId="3E279A28"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1.6.3 – Digitalizácia Národného inštitútu </w:t>
            </w:r>
            <w:r w:rsidRPr="00326E55">
              <w:rPr>
                <w:noProof/>
                <w:spacing w:val="-6"/>
                <w:lang w:val="sk-SK"/>
              </w:rPr>
              <w:t>sociálneho zabezpečenia (INPS)</w:t>
            </w:r>
            <w:r w:rsidR="00326E55" w:rsidRPr="00326E55">
              <w:rPr>
                <w:noProof/>
                <w:spacing w:val="-6"/>
                <w:lang w:val="sk-SK"/>
              </w:rPr>
              <w:t xml:space="preserve"> a </w:t>
            </w:r>
            <w:r w:rsidRPr="00326E55">
              <w:rPr>
                <w:noProof/>
                <w:spacing w:val="-6"/>
                <w:lang w:val="sk-SK"/>
              </w:rPr>
              <w:t>Národného inštitútu poistenia proti pracovným úrazom (INAIL)</w:t>
            </w:r>
          </w:p>
        </w:tc>
        <w:tc>
          <w:tcPr>
            <w:tcW w:w="1134" w:type="dxa"/>
            <w:shd w:val="clear" w:color="auto" w:fill="C6EFCE"/>
            <w:tcMar>
              <w:left w:w="108" w:type="dxa"/>
              <w:right w:w="108" w:type="dxa"/>
            </w:tcMar>
            <w:vAlign w:val="center"/>
          </w:tcPr>
          <w:p w14:paraId="789547C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1F07C1C" w14:textId="2DA5067C" w:rsidR="00BF03AA" w:rsidRPr="00326E55" w:rsidRDefault="00FB452D">
            <w:pPr>
              <w:pStyle w:val="P68B1DB1-Normal121"/>
              <w:spacing w:after="0" w:line="240" w:lineRule="auto"/>
              <w:rPr>
                <w:noProof/>
                <w:spacing w:val="-6"/>
                <w:lang w:val="sk-SK"/>
              </w:rPr>
            </w:pPr>
            <w:r w:rsidRPr="00326E55">
              <w:rPr>
                <w:noProof/>
                <w:spacing w:val="-6"/>
                <w:lang w:val="sk-SK"/>
              </w:rPr>
              <w:t>INAIL – Rekonštruované</w:t>
            </w:r>
            <w:r w:rsidR="00326E55" w:rsidRPr="00326E55">
              <w:rPr>
                <w:noProof/>
                <w:spacing w:val="-6"/>
                <w:lang w:val="sk-SK"/>
              </w:rPr>
              <w:t xml:space="preserve"> a </w:t>
            </w:r>
            <w:r w:rsidRPr="00326E55">
              <w:rPr>
                <w:noProof/>
                <w:spacing w:val="-6"/>
                <w:lang w:val="sk-SK"/>
              </w:rPr>
              <w:t>digitalizované procesy/služby T2</w:t>
            </w:r>
          </w:p>
        </w:tc>
      </w:tr>
      <w:tr w:rsidR="00BF03AA" w:rsidRPr="00326E55" w14:paraId="1DCA2A6E" w14:textId="77777777">
        <w:trPr>
          <w:trHeight w:val="300"/>
        </w:trPr>
        <w:tc>
          <w:tcPr>
            <w:tcW w:w="1246" w:type="dxa"/>
            <w:shd w:val="clear" w:color="auto" w:fill="C6EFCE"/>
            <w:tcMar>
              <w:left w:w="108" w:type="dxa"/>
              <w:right w:w="108" w:type="dxa"/>
            </w:tcMar>
            <w:vAlign w:val="center"/>
          </w:tcPr>
          <w:p w14:paraId="1A33A17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15</w:t>
            </w:r>
          </w:p>
        </w:tc>
        <w:tc>
          <w:tcPr>
            <w:tcW w:w="3449" w:type="dxa"/>
            <w:shd w:val="clear" w:color="auto" w:fill="C6EFCE"/>
            <w:tcMar>
              <w:left w:w="108" w:type="dxa"/>
              <w:right w:w="108" w:type="dxa"/>
            </w:tcMar>
            <w:vAlign w:val="center"/>
          </w:tcPr>
          <w:p w14:paraId="49C72548" w14:textId="4588E6AA" w:rsidR="00BF03AA" w:rsidRPr="00326E55" w:rsidRDefault="00FB452D">
            <w:pPr>
              <w:pStyle w:val="P68B1DB1-Normal121"/>
              <w:spacing w:after="0" w:line="240" w:lineRule="auto"/>
              <w:rPr>
                <w:noProof/>
                <w:spacing w:val="-6"/>
                <w:lang w:val="sk-SK"/>
              </w:rPr>
            </w:pPr>
            <w:r w:rsidRPr="00326E55">
              <w:rPr>
                <w:noProof/>
                <w:spacing w:val="-6"/>
                <w:lang w:val="sk-SK"/>
              </w:rPr>
              <w:t>Investícia 2: Inovácia</w:t>
            </w:r>
            <w:r w:rsidR="00326E55" w:rsidRPr="00326E55">
              <w:rPr>
                <w:noProof/>
                <w:spacing w:val="-6"/>
                <w:lang w:val="sk-SK"/>
              </w:rPr>
              <w:t xml:space="preserve"> a </w:t>
            </w:r>
            <w:r w:rsidRPr="00326E55">
              <w:rPr>
                <w:noProof/>
                <w:spacing w:val="-6"/>
                <w:lang w:val="sk-SK"/>
              </w:rPr>
              <w:t>technológia mikroelektroniky</w:t>
            </w:r>
          </w:p>
        </w:tc>
        <w:tc>
          <w:tcPr>
            <w:tcW w:w="1134" w:type="dxa"/>
            <w:shd w:val="clear" w:color="auto" w:fill="C6EFCE"/>
            <w:tcMar>
              <w:left w:w="108" w:type="dxa"/>
              <w:right w:w="108" w:type="dxa"/>
            </w:tcMar>
            <w:vAlign w:val="center"/>
          </w:tcPr>
          <w:p w14:paraId="77EE121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0338315B" w14:textId="73A84773" w:rsidR="00BF03AA" w:rsidRPr="00326E55" w:rsidRDefault="00FB452D">
            <w:pPr>
              <w:pStyle w:val="P68B1DB1-Normal121"/>
              <w:spacing w:after="0" w:line="240" w:lineRule="auto"/>
              <w:rPr>
                <w:noProof/>
                <w:spacing w:val="-6"/>
                <w:lang w:val="sk-SK"/>
              </w:rPr>
            </w:pPr>
            <w:r w:rsidRPr="00326E55">
              <w:rPr>
                <w:noProof/>
                <w:spacing w:val="-6"/>
                <w:lang w:val="sk-SK"/>
              </w:rPr>
              <w:t>Výrobná kapacita substrátov</w:t>
            </w:r>
            <w:r w:rsidR="00326E55" w:rsidRPr="00326E55">
              <w:rPr>
                <w:noProof/>
                <w:spacing w:val="-6"/>
                <w:lang w:val="sk-SK"/>
              </w:rPr>
              <w:t xml:space="preserve"> z </w:t>
            </w:r>
            <w:r w:rsidRPr="00326E55">
              <w:rPr>
                <w:noProof/>
                <w:spacing w:val="-6"/>
                <w:lang w:val="sk-SK"/>
              </w:rPr>
              <w:t>karbidu kremíka</w:t>
            </w:r>
          </w:p>
        </w:tc>
      </w:tr>
      <w:tr w:rsidR="00BF03AA" w:rsidRPr="00326E55" w14:paraId="4CF9B07A" w14:textId="77777777">
        <w:trPr>
          <w:trHeight w:val="300"/>
        </w:trPr>
        <w:tc>
          <w:tcPr>
            <w:tcW w:w="1246" w:type="dxa"/>
            <w:shd w:val="clear" w:color="auto" w:fill="C6EFCE"/>
            <w:tcMar>
              <w:left w:w="108" w:type="dxa"/>
              <w:right w:w="108" w:type="dxa"/>
            </w:tcMar>
            <w:vAlign w:val="center"/>
          </w:tcPr>
          <w:p w14:paraId="6FCA848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17</w:t>
            </w:r>
          </w:p>
        </w:tc>
        <w:tc>
          <w:tcPr>
            <w:tcW w:w="3449" w:type="dxa"/>
            <w:shd w:val="clear" w:color="auto" w:fill="C6EFCE"/>
            <w:tcMar>
              <w:left w:w="108" w:type="dxa"/>
              <w:right w:w="108" w:type="dxa"/>
            </w:tcMar>
            <w:vAlign w:val="center"/>
          </w:tcPr>
          <w:p w14:paraId="474BBD62" w14:textId="6B39ACEF" w:rsidR="00BF03AA" w:rsidRPr="00326E55" w:rsidRDefault="00FB452D">
            <w:pPr>
              <w:pStyle w:val="P68B1DB1-Normal121"/>
              <w:spacing w:after="0" w:line="240" w:lineRule="auto"/>
              <w:rPr>
                <w:noProof/>
                <w:spacing w:val="-6"/>
                <w:lang w:val="sk-SK"/>
              </w:rPr>
            </w:pPr>
            <w:r w:rsidRPr="00326E55">
              <w:rPr>
                <w:noProof/>
                <w:spacing w:val="-6"/>
                <w:lang w:val="sk-SK"/>
              </w:rPr>
              <w:t>Investícia 3: Rýchle internetové pripojenie (širokopásmové pripojenie</w:t>
            </w:r>
            <w:r w:rsidR="00326E55" w:rsidRPr="00326E55">
              <w:rPr>
                <w:noProof/>
                <w:spacing w:val="-6"/>
                <w:lang w:val="sk-SK"/>
              </w:rPr>
              <w:t xml:space="preserve"> a </w:t>
            </w:r>
            <w:r w:rsidRPr="00326E55">
              <w:rPr>
                <w:noProof/>
                <w:spacing w:val="-6"/>
                <w:lang w:val="sk-SK"/>
              </w:rPr>
              <w:t>5G)</w:t>
            </w:r>
          </w:p>
        </w:tc>
        <w:tc>
          <w:tcPr>
            <w:tcW w:w="1134" w:type="dxa"/>
            <w:shd w:val="clear" w:color="auto" w:fill="C6EFCE"/>
            <w:tcMar>
              <w:left w:w="108" w:type="dxa"/>
              <w:right w:w="108" w:type="dxa"/>
            </w:tcMar>
            <w:vAlign w:val="center"/>
          </w:tcPr>
          <w:p w14:paraId="3FAD403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485D2EC" w14:textId="2DF26E66" w:rsidR="00BF03AA" w:rsidRPr="00326E55" w:rsidRDefault="00FB452D">
            <w:pPr>
              <w:pStyle w:val="P68B1DB1-Normal121"/>
              <w:spacing w:after="0" w:line="240" w:lineRule="auto"/>
              <w:rPr>
                <w:noProof/>
                <w:spacing w:val="-6"/>
                <w:lang w:val="sk-SK"/>
              </w:rPr>
            </w:pPr>
            <w:r w:rsidRPr="00326E55">
              <w:rPr>
                <w:noProof/>
                <w:spacing w:val="-6"/>
                <w:lang w:val="sk-SK"/>
              </w:rPr>
              <w:t>Čísla domov</w:t>
            </w:r>
            <w:r w:rsidR="00326E55" w:rsidRPr="00326E55">
              <w:rPr>
                <w:noProof/>
                <w:spacing w:val="-6"/>
                <w:lang w:val="sk-SK"/>
              </w:rPr>
              <w:t xml:space="preserve"> s </w:t>
            </w:r>
            <w:r w:rsidRPr="00326E55">
              <w:rPr>
                <w:noProof/>
                <w:spacing w:val="-6"/>
                <w:lang w:val="sk-SK"/>
              </w:rPr>
              <w:t>pripojením 1 Gb/s</w:t>
            </w:r>
          </w:p>
        </w:tc>
      </w:tr>
      <w:tr w:rsidR="00BF03AA" w:rsidRPr="00326E55" w14:paraId="511B510B" w14:textId="77777777">
        <w:trPr>
          <w:trHeight w:val="300"/>
        </w:trPr>
        <w:tc>
          <w:tcPr>
            <w:tcW w:w="1246" w:type="dxa"/>
            <w:shd w:val="clear" w:color="auto" w:fill="C6EFCE"/>
            <w:tcMar>
              <w:left w:w="108" w:type="dxa"/>
              <w:right w:w="108" w:type="dxa"/>
            </w:tcMar>
            <w:vAlign w:val="center"/>
          </w:tcPr>
          <w:p w14:paraId="21F4253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18</w:t>
            </w:r>
          </w:p>
        </w:tc>
        <w:tc>
          <w:tcPr>
            <w:tcW w:w="3449" w:type="dxa"/>
            <w:shd w:val="clear" w:color="auto" w:fill="C6EFCE"/>
            <w:tcMar>
              <w:left w:w="108" w:type="dxa"/>
              <w:right w:w="108" w:type="dxa"/>
            </w:tcMar>
            <w:vAlign w:val="center"/>
          </w:tcPr>
          <w:p w14:paraId="2E439FB8" w14:textId="5230C16E" w:rsidR="00BF03AA" w:rsidRPr="00326E55" w:rsidRDefault="00FB452D">
            <w:pPr>
              <w:pStyle w:val="P68B1DB1-Normal121"/>
              <w:spacing w:after="0" w:line="240" w:lineRule="auto"/>
              <w:rPr>
                <w:noProof/>
                <w:spacing w:val="-6"/>
                <w:lang w:val="sk-SK"/>
              </w:rPr>
            </w:pPr>
            <w:r w:rsidRPr="00326E55">
              <w:rPr>
                <w:noProof/>
                <w:spacing w:val="-6"/>
                <w:lang w:val="sk-SK"/>
              </w:rPr>
              <w:t>Investícia 3: Rýchle internetové pripojenie (širokopásmové pripojenie</w:t>
            </w:r>
            <w:r w:rsidR="00326E55" w:rsidRPr="00326E55">
              <w:rPr>
                <w:noProof/>
                <w:spacing w:val="-6"/>
                <w:lang w:val="sk-SK"/>
              </w:rPr>
              <w:t xml:space="preserve"> a </w:t>
            </w:r>
            <w:r w:rsidRPr="00326E55">
              <w:rPr>
                <w:noProof/>
                <w:spacing w:val="-6"/>
                <w:lang w:val="sk-SK"/>
              </w:rPr>
              <w:t>5G)</w:t>
            </w:r>
          </w:p>
        </w:tc>
        <w:tc>
          <w:tcPr>
            <w:tcW w:w="1134" w:type="dxa"/>
            <w:shd w:val="clear" w:color="auto" w:fill="C6EFCE"/>
            <w:tcMar>
              <w:left w:w="108" w:type="dxa"/>
              <w:right w:w="108" w:type="dxa"/>
            </w:tcMar>
            <w:vAlign w:val="center"/>
          </w:tcPr>
          <w:p w14:paraId="7353244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7A431E7" w14:textId="57F074B8" w:rsidR="00BF03AA" w:rsidRPr="00326E55" w:rsidRDefault="00FB452D">
            <w:pPr>
              <w:pStyle w:val="P68B1DB1-Normal121"/>
              <w:spacing w:after="0" w:line="240" w:lineRule="auto"/>
              <w:rPr>
                <w:noProof/>
                <w:spacing w:val="-6"/>
                <w:lang w:val="sk-SK"/>
              </w:rPr>
            </w:pPr>
            <w:r w:rsidRPr="00326E55">
              <w:rPr>
                <w:noProof/>
                <w:spacing w:val="-6"/>
                <w:lang w:val="sk-SK"/>
              </w:rPr>
              <w:t>Školské budovy</w:t>
            </w:r>
            <w:r w:rsidR="00326E55" w:rsidRPr="00326E55">
              <w:rPr>
                <w:noProof/>
                <w:spacing w:val="-6"/>
                <w:lang w:val="sk-SK"/>
              </w:rPr>
              <w:t xml:space="preserve"> a </w:t>
            </w:r>
            <w:r w:rsidRPr="00326E55">
              <w:rPr>
                <w:noProof/>
                <w:spacing w:val="-6"/>
                <w:lang w:val="sk-SK"/>
              </w:rPr>
              <w:t>zdra</w:t>
            </w:r>
            <w:r w:rsidRPr="00326E55">
              <w:rPr>
                <w:noProof/>
                <w:spacing w:val="-6"/>
                <w:lang w:val="sk-SK"/>
              </w:rPr>
              <w:t>votnícke zariadenia</w:t>
            </w:r>
            <w:r w:rsidR="00326E55" w:rsidRPr="00326E55">
              <w:rPr>
                <w:noProof/>
                <w:spacing w:val="-6"/>
                <w:lang w:val="sk-SK"/>
              </w:rPr>
              <w:t xml:space="preserve"> s </w:t>
            </w:r>
            <w:r w:rsidRPr="00326E55">
              <w:rPr>
                <w:noProof/>
                <w:spacing w:val="-6"/>
                <w:lang w:val="sk-SK"/>
              </w:rPr>
              <w:t>pripojením 1 Gb/s</w:t>
            </w:r>
          </w:p>
        </w:tc>
      </w:tr>
      <w:tr w:rsidR="00BF03AA" w:rsidRPr="00326E55" w14:paraId="5977F143" w14:textId="77777777">
        <w:trPr>
          <w:trHeight w:val="300"/>
        </w:trPr>
        <w:tc>
          <w:tcPr>
            <w:tcW w:w="1246" w:type="dxa"/>
            <w:shd w:val="clear" w:color="auto" w:fill="C6EFCE"/>
            <w:tcMar>
              <w:left w:w="108" w:type="dxa"/>
              <w:right w:w="108" w:type="dxa"/>
            </w:tcMar>
            <w:vAlign w:val="center"/>
          </w:tcPr>
          <w:p w14:paraId="200102F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20</w:t>
            </w:r>
          </w:p>
        </w:tc>
        <w:tc>
          <w:tcPr>
            <w:tcW w:w="3449" w:type="dxa"/>
            <w:shd w:val="clear" w:color="auto" w:fill="C6EFCE"/>
            <w:tcMar>
              <w:left w:w="108" w:type="dxa"/>
              <w:right w:w="108" w:type="dxa"/>
            </w:tcMar>
            <w:vAlign w:val="center"/>
          </w:tcPr>
          <w:p w14:paraId="61DA9943" w14:textId="15A3C2E1" w:rsidR="00BF03AA" w:rsidRPr="00326E55" w:rsidRDefault="00FB452D">
            <w:pPr>
              <w:pStyle w:val="P68B1DB1-Normal121"/>
              <w:spacing w:after="0" w:line="240" w:lineRule="auto"/>
              <w:rPr>
                <w:noProof/>
                <w:spacing w:val="-6"/>
                <w:lang w:val="sk-SK"/>
              </w:rPr>
            </w:pPr>
            <w:r w:rsidRPr="00326E55">
              <w:rPr>
                <w:noProof/>
                <w:spacing w:val="-6"/>
                <w:lang w:val="sk-SK"/>
              </w:rPr>
              <w:t>Investícia 3: Rýchle internetové pripojenie (širokopásmové pripojenie</w:t>
            </w:r>
            <w:r w:rsidR="00326E55" w:rsidRPr="00326E55">
              <w:rPr>
                <w:noProof/>
                <w:spacing w:val="-6"/>
                <w:lang w:val="sk-SK"/>
              </w:rPr>
              <w:t xml:space="preserve"> a </w:t>
            </w:r>
            <w:r w:rsidRPr="00326E55">
              <w:rPr>
                <w:noProof/>
                <w:spacing w:val="-6"/>
                <w:lang w:val="sk-SK"/>
              </w:rPr>
              <w:t>5G)</w:t>
            </w:r>
          </w:p>
        </w:tc>
        <w:tc>
          <w:tcPr>
            <w:tcW w:w="1134" w:type="dxa"/>
            <w:shd w:val="clear" w:color="auto" w:fill="C6EFCE"/>
            <w:tcMar>
              <w:left w:w="108" w:type="dxa"/>
              <w:right w:w="108" w:type="dxa"/>
            </w:tcMar>
            <w:vAlign w:val="center"/>
          </w:tcPr>
          <w:p w14:paraId="1A3684A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88B7799" w14:textId="02814B0F" w:rsidR="00BF03AA" w:rsidRPr="00326E55" w:rsidRDefault="00FB452D">
            <w:pPr>
              <w:pStyle w:val="P68B1DB1-Normal121"/>
              <w:spacing w:after="0" w:line="240" w:lineRule="auto"/>
              <w:rPr>
                <w:noProof/>
                <w:spacing w:val="-6"/>
                <w:lang w:val="sk-SK"/>
              </w:rPr>
            </w:pPr>
            <w:r w:rsidRPr="00326E55">
              <w:rPr>
                <w:noProof/>
                <w:spacing w:val="-6"/>
                <w:lang w:val="sk-SK"/>
              </w:rPr>
              <w:t>Mimomestské cesty</w:t>
            </w:r>
            <w:r w:rsidR="00326E55" w:rsidRPr="00326E55">
              <w:rPr>
                <w:noProof/>
                <w:spacing w:val="-6"/>
                <w:lang w:val="sk-SK"/>
              </w:rPr>
              <w:t xml:space="preserve"> a </w:t>
            </w:r>
            <w:r w:rsidRPr="00326E55">
              <w:rPr>
                <w:noProof/>
                <w:spacing w:val="-6"/>
                <w:lang w:val="sk-SK"/>
              </w:rPr>
              <w:t>koridory aktivované</w:t>
            </w:r>
            <w:r w:rsidR="00326E55" w:rsidRPr="00326E55">
              <w:rPr>
                <w:noProof/>
                <w:spacing w:val="-6"/>
                <w:lang w:val="sk-SK"/>
              </w:rPr>
              <w:t xml:space="preserve"> s </w:t>
            </w:r>
            <w:r w:rsidRPr="00326E55">
              <w:rPr>
                <w:noProof/>
                <w:spacing w:val="-6"/>
                <w:lang w:val="sk-SK"/>
              </w:rPr>
              <w:t>pokrytím 5G</w:t>
            </w:r>
          </w:p>
        </w:tc>
      </w:tr>
      <w:tr w:rsidR="00BF03AA" w:rsidRPr="00326E55" w14:paraId="212E895D" w14:textId="77777777">
        <w:trPr>
          <w:trHeight w:val="300"/>
        </w:trPr>
        <w:tc>
          <w:tcPr>
            <w:tcW w:w="1246" w:type="dxa"/>
            <w:shd w:val="clear" w:color="auto" w:fill="C6EFCE"/>
            <w:tcMar>
              <w:left w:w="108" w:type="dxa"/>
              <w:right w:w="108" w:type="dxa"/>
            </w:tcMar>
            <w:vAlign w:val="center"/>
          </w:tcPr>
          <w:p w14:paraId="696F788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21</w:t>
            </w:r>
          </w:p>
        </w:tc>
        <w:tc>
          <w:tcPr>
            <w:tcW w:w="3449" w:type="dxa"/>
            <w:shd w:val="clear" w:color="auto" w:fill="C6EFCE"/>
            <w:tcMar>
              <w:left w:w="108" w:type="dxa"/>
              <w:right w:w="108" w:type="dxa"/>
            </w:tcMar>
            <w:vAlign w:val="center"/>
          </w:tcPr>
          <w:p w14:paraId="746F76B5" w14:textId="08B4FF8B"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3: Rýchle internetové pripojenie (širokopásmové </w:t>
            </w:r>
            <w:r w:rsidRPr="00326E55">
              <w:rPr>
                <w:noProof/>
                <w:spacing w:val="-6"/>
                <w:lang w:val="sk-SK"/>
              </w:rPr>
              <w:t>pripojenie</w:t>
            </w:r>
            <w:r w:rsidR="00326E55" w:rsidRPr="00326E55">
              <w:rPr>
                <w:noProof/>
                <w:spacing w:val="-6"/>
                <w:lang w:val="sk-SK"/>
              </w:rPr>
              <w:t xml:space="preserve"> a </w:t>
            </w:r>
            <w:r w:rsidRPr="00326E55">
              <w:rPr>
                <w:noProof/>
                <w:spacing w:val="-6"/>
                <w:lang w:val="sk-SK"/>
              </w:rPr>
              <w:t>5G)</w:t>
            </w:r>
          </w:p>
        </w:tc>
        <w:tc>
          <w:tcPr>
            <w:tcW w:w="1134" w:type="dxa"/>
            <w:shd w:val="clear" w:color="auto" w:fill="C6EFCE"/>
            <w:tcMar>
              <w:left w:w="108" w:type="dxa"/>
              <w:right w:w="108" w:type="dxa"/>
            </w:tcMar>
            <w:vAlign w:val="center"/>
          </w:tcPr>
          <w:p w14:paraId="7329E94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29E71572" w14:textId="55B573C5" w:rsidR="00BF03AA" w:rsidRPr="00326E55" w:rsidRDefault="00FB452D">
            <w:pPr>
              <w:pStyle w:val="P68B1DB1-Normal121"/>
              <w:spacing w:after="0" w:line="240" w:lineRule="auto"/>
              <w:rPr>
                <w:noProof/>
                <w:spacing w:val="-6"/>
                <w:lang w:val="sk-SK"/>
              </w:rPr>
            </w:pPr>
            <w:r w:rsidRPr="00326E55">
              <w:rPr>
                <w:noProof/>
                <w:spacing w:val="-6"/>
                <w:lang w:val="sk-SK"/>
              </w:rPr>
              <w:t>Možné oblasti zlyhania trhu</w:t>
            </w:r>
            <w:r w:rsidR="00326E55" w:rsidRPr="00326E55">
              <w:rPr>
                <w:noProof/>
                <w:spacing w:val="-6"/>
                <w:lang w:val="sk-SK"/>
              </w:rPr>
              <w:t xml:space="preserve"> s </w:t>
            </w:r>
            <w:r w:rsidRPr="00326E55">
              <w:rPr>
                <w:noProof/>
                <w:spacing w:val="-6"/>
                <w:lang w:val="sk-SK"/>
              </w:rPr>
              <w:t>pokrytím 5G</w:t>
            </w:r>
          </w:p>
        </w:tc>
      </w:tr>
      <w:tr w:rsidR="00BF03AA" w:rsidRPr="00326E55" w14:paraId="4FD531CA" w14:textId="77777777">
        <w:trPr>
          <w:trHeight w:val="300"/>
        </w:trPr>
        <w:tc>
          <w:tcPr>
            <w:tcW w:w="1246" w:type="dxa"/>
            <w:shd w:val="clear" w:color="auto" w:fill="C6EFCE"/>
            <w:tcMar>
              <w:left w:w="108" w:type="dxa"/>
              <w:right w:w="108" w:type="dxa"/>
            </w:tcMar>
            <w:vAlign w:val="center"/>
          </w:tcPr>
          <w:p w14:paraId="11586B3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21</w:t>
            </w:r>
          </w:p>
        </w:tc>
        <w:tc>
          <w:tcPr>
            <w:tcW w:w="3449" w:type="dxa"/>
            <w:shd w:val="clear" w:color="auto" w:fill="C6EFCE"/>
            <w:tcMar>
              <w:left w:w="108" w:type="dxa"/>
              <w:right w:w="108" w:type="dxa"/>
            </w:tcMar>
            <w:vAlign w:val="center"/>
          </w:tcPr>
          <w:p w14:paraId="0814BEF9"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Rozvoj filmového priemyslu (projekt Cinecittà)</w:t>
            </w:r>
          </w:p>
        </w:tc>
        <w:tc>
          <w:tcPr>
            <w:tcW w:w="1134" w:type="dxa"/>
            <w:shd w:val="clear" w:color="auto" w:fill="C6EFCE"/>
            <w:tcMar>
              <w:left w:w="108" w:type="dxa"/>
              <w:right w:w="108" w:type="dxa"/>
            </w:tcMar>
            <w:vAlign w:val="center"/>
          </w:tcPr>
          <w:p w14:paraId="1EEF023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234D4D1" w14:textId="77777777" w:rsidR="00BF03AA" w:rsidRPr="00326E55" w:rsidRDefault="00FB452D">
            <w:pPr>
              <w:pStyle w:val="P68B1DB1-Normal121"/>
              <w:spacing w:after="0" w:line="240" w:lineRule="auto"/>
              <w:rPr>
                <w:noProof/>
                <w:spacing w:val="-6"/>
                <w:lang w:val="sk-SK"/>
              </w:rPr>
            </w:pPr>
            <w:r w:rsidRPr="00326E55">
              <w:rPr>
                <w:noProof/>
                <w:spacing w:val="-6"/>
                <w:lang w:val="sk-SK"/>
              </w:rPr>
              <w:t>Počet vybudovaných alebo obnovených štúdií</w:t>
            </w:r>
          </w:p>
        </w:tc>
      </w:tr>
      <w:tr w:rsidR="00BF03AA" w:rsidRPr="00326E55" w14:paraId="32CE3766" w14:textId="77777777">
        <w:trPr>
          <w:trHeight w:val="300"/>
        </w:trPr>
        <w:tc>
          <w:tcPr>
            <w:tcW w:w="1246" w:type="dxa"/>
            <w:shd w:val="clear" w:color="auto" w:fill="C6EFCE"/>
            <w:tcMar>
              <w:left w:w="108" w:type="dxa"/>
              <w:right w:w="108" w:type="dxa"/>
            </w:tcMar>
            <w:vAlign w:val="center"/>
          </w:tcPr>
          <w:p w14:paraId="40E3E06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36</w:t>
            </w:r>
          </w:p>
        </w:tc>
        <w:tc>
          <w:tcPr>
            <w:tcW w:w="3449" w:type="dxa"/>
            <w:shd w:val="clear" w:color="auto" w:fill="C6EFCE"/>
            <w:tcMar>
              <w:left w:w="108" w:type="dxa"/>
              <w:right w:w="108" w:type="dxa"/>
            </w:tcMar>
            <w:vAlign w:val="center"/>
          </w:tcPr>
          <w:p w14:paraId="0123ECD1"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 4.3 Caput Mundi-Next Generation EU na </w:t>
            </w:r>
            <w:r w:rsidRPr="00326E55">
              <w:rPr>
                <w:noProof/>
                <w:spacing w:val="-6"/>
                <w:lang w:val="sk-SK"/>
              </w:rPr>
              <w:t>turistické veľké podujatia</w:t>
            </w:r>
          </w:p>
        </w:tc>
        <w:tc>
          <w:tcPr>
            <w:tcW w:w="1134" w:type="dxa"/>
            <w:shd w:val="clear" w:color="auto" w:fill="C6EFCE"/>
            <w:tcMar>
              <w:left w:w="108" w:type="dxa"/>
              <w:right w:w="108" w:type="dxa"/>
            </w:tcMar>
            <w:vAlign w:val="center"/>
          </w:tcPr>
          <w:p w14:paraId="5A40BFE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010EE0AF" w14:textId="2739AA99" w:rsidR="00BF03AA" w:rsidRPr="00326E55" w:rsidRDefault="00FB452D">
            <w:pPr>
              <w:pStyle w:val="P68B1DB1-Normal121"/>
              <w:spacing w:after="0" w:line="240" w:lineRule="auto"/>
              <w:rPr>
                <w:noProof/>
                <w:spacing w:val="-6"/>
                <w:lang w:val="sk-SK"/>
              </w:rPr>
            </w:pPr>
            <w:r w:rsidRPr="00326E55">
              <w:rPr>
                <w:noProof/>
                <w:spacing w:val="-6"/>
                <w:lang w:val="sk-SK"/>
              </w:rPr>
              <w:t>Počet intervencií</w:t>
            </w:r>
            <w:r w:rsidR="00326E55" w:rsidRPr="00326E55">
              <w:rPr>
                <w:noProof/>
                <w:spacing w:val="-6"/>
                <w:lang w:val="sk-SK"/>
              </w:rPr>
              <w:t xml:space="preserve"> v </w:t>
            </w:r>
            <w:r w:rsidRPr="00326E55">
              <w:rPr>
                <w:noProof/>
                <w:spacing w:val="-6"/>
                <w:lang w:val="sk-SK"/>
              </w:rPr>
              <w:t>kultúrnych</w:t>
            </w:r>
            <w:r w:rsidR="00326E55" w:rsidRPr="00326E55">
              <w:rPr>
                <w:noProof/>
                <w:spacing w:val="-6"/>
                <w:lang w:val="sk-SK"/>
              </w:rPr>
              <w:t xml:space="preserve"> a </w:t>
            </w:r>
            <w:r w:rsidRPr="00326E55">
              <w:rPr>
                <w:noProof/>
                <w:spacing w:val="-6"/>
                <w:lang w:val="sk-SK"/>
              </w:rPr>
              <w:t xml:space="preserve">turistických lokalitách </w:t>
            </w:r>
          </w:p>
        </w:tc>
      </w:tr>
      <w:tr w:rsidR="00BF03AA" w:rsidRPr="00326E55" w14:paraId="1196D524" w14:textId="77777777">
        <w:trPr>
          <w:trHeight w:val="300"/>
        </w:trPr>
        <w:tc>
          <w:tcPr>
            <w:tcW w:w="1246" w:type="dxa"/>
            <w:shd w:val="clear" w:color="auto" w:fill="C6EFCE"/>
            <w:tcMar>
              <w:left w:w="108" w:type="dxa"/>
              <w:right w:w="108" w:type="dxa"/>
            </w:tcMar>
            <w:vAlign w:val="center"/>
          </w:tcPr>
          <w:p w14:paraId="2C3002C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16</w:t>
            </w:r>
          </w:p>
        </w:tc>
        <w:tc>
          <w:tcPr>
            <w:tcW w:w="3449" w:type="dxa"/>
            <w:shd w:val="clear" w:color="auto" w:fill="C6EFCE"/>
            <w:tcMar>
              <w:left w:w="108" w:type="dxa"/>
              <w:right w:w="108" w:type="dxa"/>
            </w:tcMar>
            <w:vAlign w:val="center"/>
          </w:tcPr>
          <w:p w14:paraId="48E7262E" w14:textId="77BFF052" w:rsidR="00BF03AA" w:rsidRPr="00326E55" w:rsidRDefault="00FB452D">
            <w:pPr>
              <w:pStyle w:val="P68B1DB1-Normal121"/>
              <w:spacing w:after="0" w:line="240" w:lineRule="auto"/>
              <w:rPr>
                <w:noProof/>
                <w:spacing w:val="-6"/>
                <w:lang w:val="sk-SK"/>
              </w:rPr>
            </w:pPr>
            <w:r w:rsidRPr="00326E55">
              <w:rPr>
                <w:noProof/>
                <w:spacing w:val="-6"/>
                <w:lang w:val="sk-SK"/>
              </w:rPr>
              <w:t xml:space="preserve">  Investícia 1.1 – Realizácia nových zariadení na nakladanie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modernizácia existujúcich zariadení</w:t>
            </w:r>
          </w:p>
        </w:tc>
        <w:tc>
          <w:tcPr>
            <w:tcW w:w="1134" w:type="dxa"/>
            <w:shd w:val="clear" w:color="auto" w:fill="C6EFCE"/>
            <w:tcMar>
              <w:left w:w="108" w:type="dxa"/>
              <w:right w:w="108" w:type="dxa"/>
            </w:tcMar>
            <w:vAlign w:val="center"/>
          </w:tcPr>
          <w:p w14:paraId="66B0966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F86CDEE" w14:textId="77777777" w:rsidR="00BF03AA" w:rsidRPr="00326E55" w:rsidRDefault="00FB452D">
            <w:pPr>
              <w:pStyle w:val="P68B1DB1-Normal121"/>
              <w:spacing w:after="0" w:line="240" w:lineRule="auto"/>
              <w:rPr>
                <w:noProof/>
                <w:spacing w:val="-6"/>
                <w:lang w:val="sk-SK"/>
              </w:rPr>
            </w:pPr>
            <w:r w:rsidRPr="00326E55">
              <w:rPr>
                <w:noProof/>
                <w:spacing w:val="-6"/>
                <w:lang w:val="sk-SK"/>
              </w:rPr>
              <w:t>Nelegálne skládky</w:t>
            </w:r>
          </w:p>
        </w:tc>
      </w:tr>
      <w:tr w:rsidR="00BF03AA" w:rsidRPr="00326E55" w14:paraId="2962EB70" w14:textId="77777777">
        <w:trPr>
          <w:trHeight w:val="300"/>
        </w:trPr>
        <w:tc>
          <w:tcPr>
            <w:tcW w:w="1246" w:type="dxa"/>
            <w:shd w:val="clear" w:color="auto" w:fill="C6EFCE"/>
            <w:tcMar>
              <w:left w:w="108" w:type="dxa"/>
              <w:right w:w="108" w:type="dxa"/>
            </w:tcMar>
            <w:vAlign w:val="center"/>
          </w:tcPr>
          <w:p w14:paraId="627B89F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19</w:t>
            </w:r>
          </w:p>
        </w:tc>
        <w:tc>
          <w:tcPr>
            <w:tcW w:w="3449" w:type="dxa"/>
            <w:shd w:val="clear" w:color="auto" w:fill="C6EFCE"/>
            <w:tcMar>
              <w:left w:w="108" w:type="dxa"/>
              <w:right w:w="108" w:type="dxa"/>
            </w:tcMar>
            <w:vAlign w:val="center"/>
          </w:tcPr>
          <w:p w14:paraId="386891F0"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w:t>
            </w:r>
            <w:r w:rsidRPr="00326E55">
              <w:rPr>
                <w:noProof/>
                <w:spacing w:val="-6"/>
                <w:lang w:val="sk-SK"/>
              </w:rPr>
              <w:t>3.1: Zelené ostrovy</w:t>
            </w:r>
          </w:p>
        </w:tc>
        <w:tc>
          <w:tcPr>
            <w:tcW w:w="1134" w:type="dxa"/>
            <w:shd w:val="clear" w:color="auto" w:fill="C6EFCE"/>
            <w:tcMar>
              <w:left w:w="108" w:type="dxa"/>
              <w:right w:w="108" w:type="dxa"/>
            </w:tcMar>
            <w:vAlign w:val="center"/>
          </w:tcPr>
          <w:p w14:paraId="1EB3696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63E027C7" w14:textId="77777777" w:rsidR="00BF03AA" w:rsidRPr="00326E55" w:rsidRDefault="00FB452D">
            <w:pPr>
              <w:pStyle w:val="P68B1DB1-Normal121"/>
              <w:spacing w:after="0" w:line="240" w:lineRule="auto"/>
              <w:rPr>
                <w:noProof/>
                <w:spacing w:val="-6"/>
                <w:lang w:val="sk-SK"/>
              </w:rPr>
            </w:pPr>
            <w:r w:rsidRPr="00326E55">
              <w:rPr>
                <w:noProof/>
                <w:spacing w:val="-6"/>
                <w:lang w:val="sk-SK"/>
              </w:rPr>
              <w:t>Realizácia integrovaných projektov na malých ostrovoch</w:t>
            </w:r>
          </w:p>
        </w:tc>
      </w:tr>
      <w:tr w:rsidR="00BF03AA" w:rsidRPr="00326E55" w14:paraId="4336EB20" w14:textId="77777777">
        <w:trPr>
          <w:trHeight w:val="300"/>
        </w:trPr>
        <w:tc>
          <w:tcPr>
            <w:tcW w:w="1246" w:type="dxa"/>
            <w:shd w:val="clear" w:color="auto" w:fill="C6EFCE"/>
            <w:tcMar>
              <w:left w:w="108" w:type="dxa"/>
              <w:right w:w="108" w:type="dxa"/>
            </w:tcMar>
            <w:vAlign w:val="center"/>
          </w:tcPr>
          <w:p w14:paraId="52EF01F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21</w:t>
            </w:r>
          </w:p>
        </w:tc>
        <w:tc>
          <w:tcPr>
            <w:tcW w:w="3449" w:type="dxa"/>
            <w:shd w:val="clear" w:color="auto" w:fill="C6EFCE"/>
            <w:tcMar>
              <w:left w:w="108" w:type="dxa"/>
              <w:right w:w="108" w:type="dxa"/>
            </w:tcMar>
            <w:vAlign w:val="center"/>
          </w:tcPr>
          <w:p w14:paraId="362BA8F1"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Zelené spoločenstvá</w:t>
            </w:r>
          </w:p>
        </w:tc>
        <w:tc>
          <w:tcPr>
            <w:tcW w:w="1134" w:type="dxa"/>
            <w:shd w:val="clear" w:color="auto" w:fill="C6EFCE"/>
            <w:tcMar>
              <w:left w:w="108" w:type="dxa"/>
              <w:right w:w="108" w:type="dxa"/>
            </w:tcMar>
            <w:vAlign w:val="center"/>
          </w:tcPr>
          <w:p w14:paraId="43FCE63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8189C74" w14:textId="29984A30" w:rsidR="00BF03AA" w:rsidRPr="00326E55" w:rsidRDefault="00FB452D">
            <w:pPr>
              <w:pStyle w:val="P68B1DB1-Normal121"/>
              <w:spacing w:after="0" w:line="240" w:lineRule="auto"/>
              <w:rPr>
                <w:noProof/>
                <w:spacing w:val="-6"/>
                <w:lang w:val="sk-SK"/>
              </w:rPr>
            </w:pPr>
            <w:r w:rsidRPr="00326E55">
              <w:rPr>
                <w:noProof/>
                <w:spacing w:val="-6"/>
                <w:lang w:val="sk-SK"/>
              </w:rPr>
              <w:t>Vykonávacie projekty</w:t>
            </w:r>
            <w:r w:rsidR="00326E55" w:rsidRPr="00326E55">
              <w:rPr>
                <w:noProof/>
                <w:spacing w:val="-6"/>
                <w:lang w:val="sk-SK"/>
              </w:rPr>
              <w:t xml:space="preserve"> v </w:t>
            </w:r>
            <w:r w:rsidRPr="00326E55">
              <w:rPr>
                <w:noProof/>
                <w:spacing w:val="-6"/>
                <w:lang w:val="sk-SK"/>
              </w:rPr>
              <w:t>zelených spoločenstvách</w:t>
            </w:r>
          </w:p>
        </w:tc>
      </w:tr>
      <w:tr w:rsidR="00BF03AA" w:rsidRPr="00326E55" w14:paraId="31EE0673" w14:textId="77777777">
        <w:trPr>
          <w:trHeight w:val="300"/>
        </w:trPr>
        <w:tc>
          <w:tcPr>
            <w:tcW w:w="1246" w:type="dxa"/>
            <w:shd w:val="clear" w:color="auto" w:fill="C6EFCE"/>
            <w:tcMar>
              <w:left w:w="108" w:type="dxa"/>
              <w:right w:w="108" w:type="dxa"/>
            </w:tcMar>
            <w:vAlign w:val="center"/>
          </w:tcPr>
          <w:p w14:paraId="2CE7146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24</w:t>
            </w:r>
          </w:p>
        </w:tc>
        <w:tc>
          <w:tcPr>
            <w:tcW w:w="3449" w:type="dxa"/>
            <w:shd w:val="clear" w:color="auto" w:fill="C6EFCE"/>
            <w:tcMar>
              <w:left w:w="108" w:type="dxa"/>
              <w:right w:w="108" w:type="dxa"/>
            </w:tcMar>
            <w:vAlign w:val="center"/>
          </w:tcPr>
          <w:p w14:paraId="38075F5B" w14:textId="67592E91" w:rsidR="00BF03AA" w:rsidRPr="00326E55" w:rsidRDefault="00FB452D">
            <w:pPr>
              <w:pStyle w:val="P68B1DB1-Normal121"/>
              <w:spacing w:after="0" w:line="240" w:lineRule="auto"/>
              <w:rPr>
                <w:noProof/>
                <w:spacing w:val="-6"/>
                <w:lang w:val="sk-SK"/>
              </w:rPr>
            </w:pPr>
            <w:r w:rsidRPr="00326E55">
              <w:rPr>
                <w:noProof/>
                <w:spacing w:val="-6"/>
                <w:lang w:val="sk-SK"/>
              </w:rPr>
              <w:t>Investícia 3.4: Fondo Contratti di Filiera (FCF) na podporu zmlúv</w:t>
            </w:r>
            <w:r w:rsidR="00326E55" w:rsidRPr="00326E55">
              <w:rPr>
                <w:noProof/>
                <w:spacing w:val="-6"/>
                <w:lang w:val="sk-SK"/>
              </w:rPr>
              <w:t xml:space="preserve"> o </w:t>
            </w:r>
            <w:r w:rsidRPr="00326E55">
              <w:rPr>
                <w:noProof/>
                <w:spacing w:val="-6"/>
                <w:lang w:val="sk-SK"/>
              </w:rPr>
              <w:t>dodávateľských reťazcoch pre agropotravinárske odvetvia, odvetvia rybolovu</w:t>
            </w:r>
            <w:r w:rsidR="00326E55" w:rsidRPr="00326E55">
              <w:rPr>
                <w:noProof/>
                <w:spacing w:val="-6"/>
                <w:lang w:val="sk-SK"/>
              </w:rPr>
              <w:t xml:space="preserve"> a </w:t>
            </w:r>
            <w:r w:rsidRPr="00326E55">
              <w:rPr>
                <w:noProof/>
                <w:spacing w:val="-6"/>
                <w:lang w:val="sk-SK"/>
              </w:rPr>
              <w:t>akvakultúry, lesného hospodárstva, kvetinárstva</w:t>
            </w:r>
            <w:r w:rsidR="00326E55" w:rsidRPr="00326E55">
              <w:rPr>
                <w:noProof/>
                <w:spacing w:val="-6"/>
                <w:lang w:val="sk-SK"/>
              </w:rPr>
              <w:t xml:space="preserve"> a </w:t>
            </w:r>
            <w:r w:rsidRPr="00326E55">
              <w:rPr>
                <w:noProof/>
                <w:spacing w:val="-6"/>
                <w:lang w:val="sk-SK"/>
              </w:rPr>
              <w:t>odchovní rastlín</w:t>
            </w:r>
          </w:p>
        </w:tc>
        <w:tc>
          <w:tcPr>
            <w:tcW w:w="1134" w:type="dxa"/>
            <w:shd w:val="clear" w:color="auto" w:fill="C6EFCE"/>
            <w:tcMar>
              <w:left w:w="108" w:type="dxa"/>
              <w:right w:w="108" w:type="dxa"/>
            </w:tcMar>
            <w:vAlign w:val="center"/>
          </w:tcPr>
          <w:p w14:paraId="0DE2040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2C1051D" w14:textId="24064FEE" w:rsidR="00BF03AA" w:rsidRPr="00326E55" w:rsidRDefault="00FB452D">
            <w:pPr>
              <w:pStyle w:val="P68B1DB1-Normal121"/>
              <w:spacing w:after="0" w:line="240" w:lineRule="auto"/>
              <w:rPr>
                <w:noProof/>
                <w:spacing w:val="-6"/>
                <w:lang w:val="sk-SK"/>
              </w:rPr>
            </w:pPr>
            <w:r w:rsidRPr="00326E55">
              <w:rPr>
                <w:noProof/>
                <w:spacing w:val="-6"/>
                <w:lang w:val="sk-SK"/>
              </w:rPr>
              <w:t>Právne dohody</w:t>
            </w:r>
            <w:r w:rsidR="00326E55" w:rsidRPr="00326E55">
              <w:rPr>
                <w:noProof/>
                <w:spacing w:val="-6"/>
                <w:lang w:val="sk-SK"/>
              </w:rPr>
              <w:t xml:space="preserve"> s </w:t>
            </w:r>
            <w:r w:rsidRPr="00326E55">
              <w:rPr>
                <w:noProof/>
                <w:spacing w:val="-6"/>
                <w:lang w:val="sk-SK"/>
              </w:rPr>
              <w:t>konečnými príjemcami</w:t>
            </w:r>
          </w:p>
        </w:tc>
      </w:tr>
      <w:tr w:rsidR="00BF03AA" w:rsidRPr="00326E55" w14:paraId="24D04C0C" w14:textId="77777777">
        <w:trPr>
          <w:trHeight w:val="300"/>
        </w:trPr>
        <w:tc>
          <w:tcPr>
            <w:tcW w:w="1246" w:type="dxa"/>
            <w:shd w:val="clear" w:color="auto" w:fill="C6EFCE"/>
            <w:tcMar>
              <w:left w:w="108" w:type="dxa"/>
              <w:right w:w="108" w:type="dxa"/>
            </w:tcMar>
            <w:vAlign w:val="center"/>
          </w:tcPr>
          <w:p w14:paraId="137A263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5</w:t>
            </w:r>
          </w:p>
        </w:tc>
        <w:tc>
          <w:tcPr>
            <w:tcW w:w="3449" w:type="dxa"/>
            <w:shd w:val="clear" w:color="auto" w:fill="C6EFCE"/>
            <w:tcMar>
              <w:left w:w="108" w:type="dxa"/>
              <w:right w:w="108" w:type="dxa"/>
            </w:tcMar>
            <w:vAlign w:val="center"/>
          </w:tcPr>
          <w:p w14:paraId="501A08C4"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1.4 Vývoj biometánu podľa kritérií na podporu </w:t>
            </w:r>
            <w:r w:rsidRPr="00326E55">
              <w:rPr>
                <w:noProof/>
                <w:spacing w:val="-6"/>
                <w:lang w:val="sk-SK"/>
              </w:rPr>
              <w:t>obehového hospodárstva</w:t>
            </w:r>
          </w:p>
        </w:tc>
        <w:tc>
          <w:tcPr>
            <w:tcW w:w="1134" w:type="dxa"/>
            <w:shd w:val="clear" w:color="auto" w:fill="C6EFCE"/>
            <w:tcMar>
              <w:left w:w="108" w:type="dxa"/>
              <w:right w:w="108" w:type="dxa"/>
            </w:tcMar>
            <w:vAlign w:val="center"/>
          </w:tcPr>
          <w:p w14:paraId="11CF24C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52C32E33" w14:textId="67A90FDB" w:rsidR="00BF03AA" w:rsidRPr="00326E55" w:rsidRDefault="00FB452D">
            <w:pPr>
              <w:pStyle w:val="P68B1DB1-Normal121"/>
              <w:spacing w:after="0" w:line="240" w:lineRule="auto"/>
              <w:rPr>
                <w:noProof/>
                <w:spacing w:val="-6"/>
                <w:lang w:val="sk-SK"/>
              </w:rPr>
            </w:pPr>
            <w:r w:rsidRPr="00326E55">
              <w:rPr>
                <w:noProof/>
                <w:spacing w:val="-6"/>
                <w:lang w:val="sk-SK"/>
              </w:rPr>
              <w:t>Vykonávacia dohoda, právne dohody podpísané</w:t>
            </w:r>
            <w:r w:rsidR="00326E55" w:rsidRPr="00326E55">
              <w:rPr>
                <w:noProof/>
                <w:spacing w:val="-6"/>
                <w:lang w:val="sk-SK"/>
              </w:rPr>
              <w:t xml:space="preserve"> s </w:t>
            </w:r>
            <w:r w:rsidRPr="00326E55">
              <w:rPr>
                <w:noProof/>
                <w:spacing w:val="-6"/>
                <w:lang w:val="sk-SK"/>
              </w:rPr>
              <w:t>konečnými príjemcami</w:t>
            </w:r>
            <w:r w:rsidR="00326E55" w:rsidRPr="00326E55">
              <w:rPr>
                <w:noProof/>
                <w:spacing w:val="-6"/>
                <w:lang w:val="sk-SK"/>
              </w:rPr>
              <w:t xml:space="preserve"> a </w:t>
            </w:r>
            <w:r w:rsidRPr="00326E55">
              <w:rPr>
                <w:noProof/>
                <w:spacing w:val="-6"/>
                <w:lang w:val="sk-SK"/>
              </w:rPr>
              <w:t xml:space="preserve">dokončenie investícií </w:t>
            </w:r>
          </w:p>
        </w:tc>
      </w:tr>
      <w:tr w:rsidR="00BF03AA" w:rsidRPr="00326E55" w14:paraId="2CB00E77" w14:textId="77777777">
        <w:trPr>
          <w:trHeight w:val="300"/>
        </w:trPr>
        <w:tc>
          <w:tcPr>
            <w:tcW w:w="1246" w:type="dxa"/>
            <w:shd w:val="clear" w:color="auto" w:fill="C6EFCE"/>
            <w:tcMar>
              <w:left w:w="108" w:type="dxa"/>
              <w:right w:w="108" w:type="dxa"/>
            </w:tcMar>
            <w:vAlign w:val="center"/>
          </w:tcPr>
          <w:p w14:paraId="660222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17</w:t>
            </w:r>
          </w:p>
        </w:tc>
        <w:tc>
          <w:tcPr>
            <w:tcW w:w="3449" w:type="dxa"/>
            <w:shd w:val="clear" w:color="auto" w:fill="C6EFCE"/>
            <w:tcMar>
              <w:left w:w="108" w:type="dxa"/>
              <w:right w:w="108" w:type="dxa"/>
            </w:tcMar>
            <w:vAlign w:val="center"/>
          </w:tcPr>
          <w:p w14:paraId="7B03C620" w14:textId="281E52A2" w:rsidR="00BF03AA" w:rsidRPr="00326E55" w:rsidRDefault="00FB452D">
            <w:pPr>
              <w:pStyle w:val="P68B1DB1-Normal121"/>
              <w:spacing w:after="0" w:line="240" w:lineRule="auto"/>
              <w:rPr>
                <w:noProof/>
                <w:spacing w:val="-6"/>
                <w:lang w:val="sk-SK"/>
              </w:rPr>
            </w:pPr>
            <w:r w:rsidRPr="00326E55">
              <w:rPr>
                <w:noProof/>
                <w:spacing w:val="-6"/>
                <w:lang w:val="sk-SK"/>
              </w:rPr>
              <w:t>Investícia 3.4 Testovanie vodíka pre železničnú mobilitu</w:t>
            </w:r>
            <w:r w:rsidR="00326E55" w:rsidRPr="00326E55">
              <w:rPr>
                <w:noProof/>
                <w:spacing w:val="-6"/>
                <w:lang w:val="sk-SK"/>
              </w:rPr>
              <w:t xml:space="preserve"> a </w:t>
            </w:r>
            <w:r w:rsidRPr="00326E55">
              <w:rPr>
                <w:noProof/>
                <w:spacing w:val="-6"/>
                <w:lang w:val="sk-SK"/>
              </w:rPr>
              <w:t xml:space="preserve">cestnú dopravu </w:t>
            </w:r>
          </w:p>
        </w:tc>
        <w:tc>
          <w:tcPr>
            <w:tcW w:w="1134" w:type="dxa"/>
            <w:shd w:val="clear" w:color="auto" w:fill="C6EFCE"/>
            <w:tcMar>
              <w:left w:w="108" w:type="dxa"/>
              <w:right w:w="108" w:type="dxa"/>
            </w:tcMar>
            <w:vAlign w:val="center"/>
          </w:tcPr>
          <w:p w14:paraId="5AD4B18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2CAABA0B"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Počet vybudovaných vodíkových čerpacích staníc </w:t>
            </w:r>
          </w:p>
        </w:tc>
      </w:tr>
      <w:tr w:rsidR="00BF03AA" w:rsidRPr="00326E55" w14:paraId="44EFDD55" w14:textId="77777777">
        <w:trPr>
          <w:trHeight w:val="300"/>
        </w:trPr>
        <w:tc>
          <w:tcPr>
            <w:tcW w:w="1246" w:type="dxa"/>
            <w:shd w:val="clear" w:color="auto" w:fill="C6EFCE"/>
            <w:tcMar>
              <w:left w:w="108" w:type="dxa"/>
              <w:right w:w="108" w:type="dxa"/>
            </w:tcMar>
            <w:vAlign w:val="center"/>
          </w:tcPr>
          <w:p w14:paraId="7927B63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19</w:t>
            </w:r>
          </w:p>
        </w:tc>
        <w:tc>
          <w:tcPr>
            <w:tcW w:w="3449" w:type="dxa"/>
            <w:shd w:val="clear" w:color="auto" w:fill="C6EFCE"/>
            <w:tcMar>
              <w:left w:w="108" w:type="dxa"/>
              <w:right w:w="108" w:type="dxa"/>
            </w:tcMar>
            <w:vAlign w:val="center"/>
          </w:tcPr>
          <w:p w14:paraId="0386EED2" w14:textId="0697A9B3" w:rsidR="00BF03AA" w:rsidRPr="00326E55" w:rsidRDefault="00FB452D">
            <w:pPr>
              <w:pStyle w:val="P68B1DB1-Normal121"/>
              <w:spacing w:after="0" w:line="240" w:lineRule="auto"/>
              <w:rPr>
                <w:noProof/>
                <w:spacing w:val="-6"/>
                <w:lang w:val="sk-SK"/>
              </w:rPr>
            </w:pPr>
            <w:r w:rsidRPr="00326E55">
              <w:rPr>
                <w:noProof/>
                <w:spacing w:val="-6"/>
                <w:lang w:val="sk-SK"/>
              </w:rPr>
              <w:t>Investícia 3.5 Výskum</w:t>
            </w:r>
            <w:r w:rsidR="00326E55" w:rsidRPr="00326E55">
              <w:rPr>
                <w:noProof/>
                <w:spacing w:val="-6"/>
                <w:lang w:val="sk-SK"/>
              </w:rPr>
              <w:t xml:space="preserve"> a </w:t>
            </w:r>
            <w:r w:rsidRPr="00326E55">
              <w:rPr>
                <w:noProof/>
                <w:spacing w:val="-6"/>
                <w:lang w:val="sk-SK"/>
              </w:rPr>
              <w:t>vývoj vodíka</w:t>
            </w:r>
          </w:p>
        </w:tc>
        <w:tc>
          <w:tcPr>
            <w:tcW w:w="1134" w:type="dxa"/>
            <w:shd w:val="clear" w:color="auto" w:fill="C6EFCE"/>
            <w:tcMar>
              <w:left w:w="108" w:type="dxa"/>
              <w:right w:w="108" w:type="dxa"/>
            </w:tcMar>
            <w:vAlign w:val="center"/>
          </w:tcPr>
          <w:p w14:paraId="6A84ABA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EBA1CCD" w14:textId="10137E3D" w:rsidR="00BF03AA" w:rsidRPr="00326E55" w:rsidRDefault="00FB452D">
            <w:pPr>
              <w:pStyle w:val="P68B1DB1-Normal121"/>
              <w:spacing w:after="0" w:line="240" w:lineRule="auto"/>
              <w:rPr>
                <w:noProof/>
                <w:spacing w:val="-6"/>
                <w:lang w:val="sk-SK"/>
              </w:rPr>
            </w:pPr>
            <w:r w:rsidRPr="00326E55">
              <w:rPr>
                <w:noProof/>
                <w:spacing w:val="-6"/>
                <w:lang w:val="sk-SK"/>
              </w:rPr>
              <w:t>Počet projektov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v </w:t>
            </w:r>
            <w:r w:rsidRPr="00326E55">
              <w:rPr>
                <w:noProof/>
                <w:spacing w:val="-6"/>
                <w:lang w:val="sk-SK"/>
              </w:rPr>
              <w:t>oblasti vodíka</w:t>
            </w:r>
          </w:p>
        </w:tc>
      </w:tr>
      <w:tr w:rsidR="00BF03AA" w:rsidRPr="00326E55" w14:paraId="0572EFB5" w14:textId="77777777">
        <w:trPr>
          <w:trHeight w:val="300"/>
        </w:trPr>
        <w:tc>
          <w:tcPr>
            <w:tcW w:w="1246" w:type="dxa"/>
            <w:shd w:val="clear" w:color="auto" w:fill="C6EFCE"/>
            <w:tcMar>
              <w:left w:w="108" w:type="dxa"/>
              <w:right w:w="108" w:type="dxa"/>
            </w:tcMar>
            <w:vAlign w:val="center"/>
          </w:tcPr>
          <w:p w14:paraId="410ADF4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26</w:t>
            </w:r>
          </w:p>
        </w:tc>
        <w:tc>
          <w:tcPr>
            <w:tcW w:w="3449" w:type="dxa"/>
            <w:shd w:val="clear" w:color="auto" w:fill="C6EFCE"/>
            <w:tcMar>
              <w:left w:w="108" w:type="dxa"/>
              <w:right w:w="108" w:type="dxa"/>
            </w:tcMar>
            <w:vAlign w:val="center"/>
          </w:tcPr>
          <w:p w14:paraId="5924284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4.2 Vývoj rýchlych systémov hromadnej dopravy </w:t>
            </w:r>
          </w:p>
        </w:tc>
        <w:tc>
          <w:tcPr>
            <w:tcW w:w="1134" w:type="dxa"/>
            <w:shd w:val="clear" w:color="auto" w:fill="C6EFCE"/>
            <w:tcMar>
              <w:left w:w="108" w:type="dxa"/>
              <w:right w:w="108" w:type="dxa"/>
            </w:tcMar>
            <w:vAlign w:val="center"/>
          </w:tcPr>
          <w:p w14:paraId="5B2A90F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0B0978FB" w14:textId="77777777" w:rsidR="00BF03AA" w:rsidRPr="00326E55" w:rsidRDefault="00FB452D">
            <w:pPr>
              <w:pStyle w:val="P68B1DB1-Normal121"/>
              <w:spacing w:after="0" w:line="240" w:lineRule="auto"/>
              <w:rPr>
                <w:noProof/>
                <w:spacing w:val="-6"/>
                <w:lang w:val="sk-SK"/>
              </w:rPr>
            </w:pPr>
            <w:r w:rsidRPr="00326E55">
              <w:rPr>
                <w:noProof/>
                <w:spacing w:val="-6"/>
                <w:lang w:val="sk-SK"/>
              </w:rPr>
              <w:t>Vybudovaná alebo zmodernizova</w:t>
            </w:r>
            <w:r w:rsidRPr="00326E55">
              <w:rPr>
                <w:noProof/>
                <w:spacing w:val="-6"/>
                <w:lang w:val="sk-SK"/>
              </w:rPr>
              <w:t xml:space="preserve">ná verejná infraštruktúra pre rýchly rozvoj hromadnej dopravy, zakúpené železničné koľajové vozidlá </w:t>
            </w:r>
          </w:p>
        </w:tc>
      </w:tr>
      <w:tr w:rsidR="00BF03AA" w:rsidRPr="00326E55" w14:paraId="6D0406AA" w14:textId="77777777">
        <w:trPr>
          <w:trHeight w:val="300"/>
        </w:trPr>
        <w:tc>
          <w:tcPr>
            <w:tcW w:w="1246" w:type="dxa"/>
            <w:shd w:val="clear" w:color="auto" w:fill="C6EFCE"/>
            <w:tcMar>
              <w:left w:w="108" w:type="dxa"/>
              <w:right w:w="108" w:type="dxa"/>
            </w:tcMar>
            <w:vAlign w:val="center"/>
          </w:tcPr>
          <w:p w14:paraId="2562A0E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35 bis</w:t>
            </w:r>
          </w:p>
        </w:tc>
        <w:tc>
          <w:tcPr>
            <w:tcW w:w="3449" w:type="dxa"/>
            <w:shd w:val="clear" w:color="auto" w:fill="C6EFCE"/>
            <w:tcMar>
              <w:left w:w="108" w:type="dxa"/>
              <w:right w:w="108" w:type="dxa"/>
            </w:tcMar>
            <w:vAlign w:val="center"/>
          </w:tcPr>
          <w:p w14:paraId="53C3E049" w14:textId="383AC664" w:rsidR="00BF03AA" w:rsidRPr="00326E55" w:rsidRDefault="00FB452D">
            <w:pPr>
              <w:pStyle w:val="P68B1DB1-Normal121"/>
              <w:spacing w:after="0" w:line="240" w:lineRule="auto"/>
              <w:rPr>
                <w:noProof/>
                <w:spacing w:val="-6"/>
                <w:lang w:val="sk-SK"/>
              </w:rPr>
            </w:pPr>
            <w:r w:rsidRPr="00326E55">
              <w:rPr>
                <w:noProof/>
                <w:spacing w:val="-6"/>
                <w:lang w:val="sk-SK"/>
              </w:rPr>
              <w:t>Investícia 4.4.2:  Posilnenie vozového parku regionálnej verejnej železničnej dopravy (vlaky</w:t>
            </w:r>
            <w:r w:rsidR="00326E55" w:rsidRPr="00326E55">
              <w:rPr>
                <w:noProof/>
                <w:spacing w:val="-6"/>
                <w:lang w:val="sk-SK"/>
              </w:rPr>
              <w:t xml:space="preserve"> s </w:t>
            </w:r>
            <w:r w:rsidRPr="00326E55">
              <w:rPr>
                <w:noProof/>
                <w:spacing w:val="-6"/>
                <w:lang w:val="sk-SK"/>
              </w:rPr>
              <w:t>nulovými emisiami</w:t>
            </w:r>
            <w:r w:rsidR="00326E55" w:rsidRPr="00326E55">
              <w:rPr>
                <w:noProof/>
                <w:spacing w:val="-6"/>
                <w:lang w:val="sk-SK"/>
              </w:rPr>
              <w:t xml:space="preserve"> a </w:t>
            </w:r>
            <w:r w:rsidRPr="00326E55">
              <w:rPr>
                <w:noProof/>
                <w:spacing w:val="-6"/>
                <w:lang w:val="sk-SK"/>
              </w:rPr>
              <w:t>univerzálna služba)</w:t>
            </w:r>
          </w:p>
        </w:tc>
        <w:tc>
          <w:tcPr>
            <w:tcW w:w="1134" w:type="dxa"/>
            <w:shd w:val="clear" w:color="auto" w:fill="C6EFCE"/>
            <w:tcMar>
              <w:left w:w="108" w:type="dxa"/>
              <w:right w:w="108" w:type="dxa"/>
            </w:tcMar>
            <w:vAlign w:val="center"/>
          </w:tcPr>
          <w:p w14:paraId="1C8041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F6F545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Počet registrovaných vlakov </w:t>
            </w:r>
          </w:p>
        </w:tc>
      </w:tr>
      <w:tr w:rsidR="00BF03AA" w:rsidRPr="00326E55" w14:paraId="071C21F0" w14:textId="77777777">
        <w:trPr>
          <w:trHeight w:val="300"/>
        </w:trPr>
        <w:tc>
          <w:tcPr>
            <w:tcW w:w="1246" w:type="dxa"/>
            <w:shd w:val="clear" w:color="auto" w:fill="C6EFCE"/>
            <w:tcMar>
              <w:left w:w="108" w:type="dxa"/>
              <w:right w:w="108" w:type="dxa"/>
            </w:tcMar>
            <w:vAlign w:val="center"/>
          </w:tcPr>
          <w:p w14:paraId="4E809F4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40</w:t>
            </w:r>
          </w:p>
        </w:tc>
        <w:tc>
          <w:tcPr>
            <w:tcW w:w="3449" w:type="dxa"/>
            <w:shd w:val="clear" w:color="auto" w:fill="C6EFCE"/>
            <w:tcMar>
              <w:left w:w="108" w:type="dxa"/>
              <w:right w:w="108" w:type="dxa"/>
            </w:tcMar>
            <w:vAlign w:val="center"/>
          </w:tcPr>
          <w:p w14:paraId="376AE91E" w14:textId="0C7749AE" w:rsidR="00BF03AA" w:rsidRPr="00326E55" w:rsidRDefault="00FB452D">
            <w:pPr>
              <w:pStyle w:val="P68B1DB1-Normal121"/>
              <w:spacing w:after="0" w:line="240" w:lineRule="auto"/>
              <w:rPr>
                <w:noProof/>
                <w:spacing w:val="-6"/>
                <w:lang w:val="sk-SK"/>
              </w:rPr>
            </w:pPr>
            <w:r w:rsidRPr="00326E55">
              <w:rPr>
                <w:noProof/>
                <w:spacing w:val="-6"/>
                <w:lang w:val="sk-SK"/>
              </w:rPr>
              <w:t>Investícia 5.1. Podpora výrobného systému pre ekologickú transformáciu, emisne neutrálne technológie</w:t>
            </w:r>
            <w:r w:rsidR="00326E55" w:rsidRPr="00326E55">
              <w:rPr>
                <w:noProof/>
                <w:spacing w:val="-6"/>
                <w:lang w:val="sk-SK"/>
              </w:rPr>
              <w:t xml:space="preserve"> a </w:t>
            </w:r>
            <w:r w:rsidRPr="00326E55">
              <w:rPr>
                <w:noProof/>
                <w:spacing w:val="-6"/>
                <w:lang w:val="sk-SK"/>
              </w:rPr>
              <w:t>konkurencieschopnosť</w:t>
            </w:r>
            <w:r w:rsidR="00326E55" w:rsidRPr="00326E55">
              <w:rPr>
                <w:noProof/>
                <w:spacing w:val="-6"/>
                <w:lang w:val="sk-SK"/>
              </w:rPr>
              <w:t xml:space="preserve"> a </w:t>
            </w:r>
            <w:r w:rsidRPr="00326E55">
              <w:rPr>
                <w:noProof/>
                <w:spacing w:val="-6"/>
                <w:lang w:val="sk-SK"/>
              </w:rPr>
              <w:t>odolnosť strategických dodávateľských reťazcov</w:t>
            </w:r>
          </w:p>
        </w:tc>
        <w:tc>
          <w:tcPr>
            <w:tcW w:w="1134" w:type="dxa"/>
            <w:shd w:val="clear" w:color="auto" w:fill="C6EFCE"/>
            <w:tcMar>
              <w:left w:w="108" w:type="dxa"/>
              <w:right w:w="108" w:type="dxa"/>
            </w:tcMar>
            <w:vAlign w:val="center"/>
          </w:tcPr>
          <w:p w14:paraId="1B7DEF9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95CC5C6" w14:textId="3397D28B" w:rsidR="00BF03AA" w:rsidRPr="00326E55" w:rsidRDefault="00FB452D">
            <w:pPr>
              <w:pStyle w:val="P68B1DB1-Normal121"/>
              <w:spacing w:after="0" w:line="240" w:lineRule="auto"/>
              <w:rPr>
                <w:noProof/>
                <w:spacing w:val="-6"/>
                <w:lang w:val="sk-SK"/>
              </w:rPr>
            </w:pPr>
            <w:r w:rsidRPr="00326E55">
              <w:rPr>
                <w:noProof/>
                <w:spacing w:val="-6"/>
                <w:lang w:val="sk-SK"/>
              </w:rPr>
              <w:t>Dodatok</w:t>
            </w:r>
            <w:r w:rsidR="00326E55" w:rsidRPr="00326E55">
              <w:rPr>
                <w:noProof/>
                <w:spacing w:val="-6"/>
                <w:lang w:val="sk-SK"/>
              </w:rPr>
              <w:t xml:space="preserve"> k </w:t>
            </w:r>
            <w:r w:rsidRPr="00326E55">
              <w:rPr>
                <w:noProof/>
                <w:spacing w:val="-6"/>
                <w:lang w:val="sk-SK"/>
              </w:rPr>
              <w:t>vykonávacej dohode, právne d</w:t>
            </w:r>
            <w:r w:rsidRPr="00326E55">
              <w:rPr>
                <w:noProof/>
                <w:spacing w:val="-6"/>
                <w:lang w:val="sk-SK"/>
              </w:rPr>
              <w:t>ohody podpísané</w:t>
            </w:r>
            <w:r w:rsidR="00326E55" w:rsidRPr="00326E55">
              <w:rPr>
                <w:noProof/>
                <w:spacing w:val="-6"/>
                <w:lang w:val="sk-SK"/>
              </w:rPr>
              <w:t xml:space="preserve"> s </w:t>
            </w:r>
            <w:r w:rsidRPr="00326E55">
              <w:rPr>
                <w:noProof/>
                <w:spacing w:val="-6"/>
                <w:lang w:val="sk-SK"/>
              </w:rPr>
              <w:t>konečnými príjemcami</w:t>
            </w:r>
          </w:p>
        </w:tc>
      </w:tr>
      <w:tr w:rsidR="00BF03AA" w:rsidRPr="00326E55" w14:paraId="3580A672" w14:textId="77777777">
        <w:trPr>
          <w:trHeight w:val="300"/>
        </w:trPr>
        <w:tc>
          <w:tcPr>
            <w:tcW w:w="1246" w:type="dxa"/>
            <w:shd w:val="clear" w:color="auto" w:fill="C6EFCE"/>
            <w:tcMar>
              <w:left w:w="108" w:type="dxa"/>
              <w:right w:w="108" w:type="dxa"/>
            </w:tcMar>
            <w:vAlign w:val="center"/>
          </w:tcPr>
          <w:p w14:paraId="5D4EA1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43</w:t>
            </w:r>
          </w:p>
        </w:tc>
        <w:tc>
          <w:tcPr>
            <w:tcW w:w="3449" w:type="dxa"/>
            <w:shd w:val="clear" w:color="auto" w:fill="C6EFCE"/>
            <w:tcMar>
              <w:left w:w="108" w:type="dxa"/>
              <w:right w:w="108" w:type="dxa"/>
            </w:tcMar>
            <w:vAlign w:val="center"/>
          </w:tcPr>
          <w:p w14:paraId="2CA8804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5.4 – Kapitálová injekcia do Fondu pre zelenú transformáciu (ďalej len „GTF“)</w:t>
            </w:r>
          </w:p>
        </w:tc>
        <w:tc>
          <w:tcPr>
            <w:tcW w:w="1134" w:type="dxa"/>
            <w:shd w:val="clear" w:color="auto" w:fill="C6EFCE"/>
            <w:tcMar>
              <w:left w:w="108" w:type="dxa"/>
              <w:right w:w="108" w:type="dxa"/>
            </w:tcMar>
            <w:vAlign w:val="center"/>
          </w:tcPr>
          <w:p w14:paraId="574D43A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4A298283" w14:textId="77777777" w:rsidR="00BF03AA" w:rsidRPr="00326E55" w:rsidRDefault="00FB452D">
            <w:pPr>
              <w:pStyle w:val="P68B1DB1-Normal121"/>
              <w:spacing w:after="0" w:line="240" w:lineRule="auto"/>
              <w:rPr>
                <w:noProof/>
                <w:spacing w:val="-6"/>
                <w:lang w:val="sk-SK"/>
              </w:rPr>
            </w:pPr>
            <w:r w:rsidRPr="00326E55">
              <w:rPr>
                <w:noProof/>
                <w:spacing w:val="-6"/>
                <w:lang w:val="sk-SK"/>
              </w:rPr>
              <w:t>Prijatie správy</w:t>
            </w:r>
          </w:p>
        </w:tc>
      </w:tr>
      <w:tr w:rsidR="00BF03AA" w:rsidRPr="00326E55" w14:paraId="19A06E8E" w14:textId="77777777">
        <w:trPr>
          <w:trHeight w:val="300"/>
        </w:trPr>
        <w:tc>
          <w:tcPr>
            <w:tcW w:w="1246" w:type="dxa"/>
            <w:shd w:val="clear" w:color="auto" w:fill="C6EFCE"/>
            <w:tcMar>
              <w:left w:w="108" w:type="dxa"/>
              <w:right w:w="108" w:type="dxa"/>
            </w:tcMar>
            <w:vAlign w:val="center"/>
          </w:tcPr>
          <w:p w14:paraId="237E288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47</w:t>
            </w:r>
          </w:p>
        </w:tc>
        <w:tc>
          <w:tcPr>
            <w:tcW w:w="3449" w:type="dxa"/>
            <w:shd w:val="clear" w:color="auto" w:fill="C6EFCE"/>
            <w:tcMar>
              <w:left w:w="108" w:type="dxa"/>
              <w:right w:w="108" w:type="dxa"/>
            </w:tcMar>
            <w:vAlign w:val="center"/>
          </w:tcPr>
          <w:p w14:paraId="39E47C1C" w14:textId="0A345BDD" w:rsidR="00BF03AA" w:rsidRPr="00326E55" w:rsidRDefault="00FB452D">
            <w:pPr>
              <w:pStyle w:val="P68B1DB1-Normal121"/>
              <w:spacing w:after="0" w:line="240" w:lineRule="auto"/>
              <w:rPr>
                <w:noProof/>
                <w:spacing w:val="-6"/>
                <w:lang w:val="sk-SK"/>
              </w:rPr>
            </w:pPr>
            <w:r w:rsidRPr="00326E55">
              <w:rPr>
                <w:noProof/>
                <w:spacing w:val="-6"/>
                <w:lang w:val="sk-SK"/>
              </w:rPr>
              <w:t>Investícia 1.2 Podpora obnoviteľných zdrojov energie pre energetické spoločenstvá</w:t>
            </w:r>
            <w:r w:rsidR="00326E55" w:rsidRPr="00326E55">
              <w:rPr>
                <w:noProof/>
                <w:spacing w:val="-6"/>
                <w:lang w:val="sk-SK"/>
              </w:rPr>
              <w:t xml:space="preserve"> a </w:t>
            </w:r>
            <w:r w:rsidRPr="00326E55">
              <w:rPr>
                <w:noProof/>
                <w:spacing w:val="-6"/>
                <w:lang w:val="sk-SK"/>
              </w:rPr>
              <w:t>spoločne konajúcich samospotrebiteľov energie</w:t>
            </w:r>
            <w:r w:rsidR="00326E55" w:rsidRPr="00326E55">
              <w:rPr>
                <w:noProof/>
                <w:spacing w:val="-6"/>
                <w:lang w:val="sk-SK"/>
              </w:rPr>
              <w:t xml:space="preserve"> z </w:t>
            </w:r>
            <w:r w:rsidRPr="00326E55">
              <w:rPr>
                <w:noProof/>
                <w:spacing w:val="-6"/>
                <w:lang w:val="sk-SK"/>
              </w:rPr>
              <w:t>obnoviteľných zdrojov</w:t>
            </w:r>
          </w:p>
        </w:tc>
        <w:tc>
          <w:tcPr>
            <w:tcW w:w="1134" w:type="dxa"/>
            <w:shd w:val="clear" w:color="auto" w:fill="C6EFCE"/>
            <w:tcMar>
              <w:left w:w="108" w:type="dxa"/>
              <w:right w:w="108" w:type="dxa"/>
            </w:tcMar>
            <w:vAlign w:val="center"/>
          </w:tcPr>
          <w:p w14:paraId="0D7A0E3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E7F6DB5" w14:textId="590AF465" w:rsidR="00BF03AA" w:rsidRPr="00326E55" w:rsidRDefault="00FB452D">
            <w:pPr>
              <w:pStyle w:val="P68B1DB1-Normal121"/>
              <w:spacing w:after="0" w:line="240" w:lineRule="auto"/>
              <w:rPr>
                <w:noProof/>
                <w:spacing w:val="-6"/>
                <w:lang w:val="sk-SK"/>
              </w:rPr>
            </w:pPr>
            <w:r w:rsidRPr="00326E55">
              <w:rPr>
                <w:noProof/>
                <w:spacing w:val="-6"/>
                <w:lang w:val="sk-SK"/>
              </w:rPr>
              <w:t>Inštalácia novej kapacity na výrobu elektriny</w:t>
            </w:r>
            <w:r w:rsidR="00326E55" w:rsidRPr="00326E55">
              <w:rPr>
                <w:noProof/>
                <w:spacing w:val="-6"/>
                <w:lang w:val="sk-SK"/>
              </w:rPr>
              <w:t xml:space="preserve"> z </w:t>
            </w:r>
            <w:r w:rsidRPr="00326E55">
              <w:rPr>
                <w:noProof/>
                <w:spacing w:val="-6"/>
                <w:lang w:val="sk-SK"/>
              </w:rPr>
              <w:t>obnoviteľných zdrojov energie</w:t>
            </w:r>
            <w:r w:rsidR="00326E55" w:rsidRPr="00326E55">
              <w:rPr>
                <w:noProof/>
                <w:spacing w:val="-6"/>
                <w:lang w:val="sk-SK"/>
              </w:rPr>
              <w:t xml:space="preserve"> v </w:t>
            </w:r>
            <w:r w:rsidRPr="00326E55">
              <w:rPr>
                <w:noProof/>
                <w:spacing w:val="-6"/>
                <w:lang w:val="sk-SK"/>
              </w:rPr>
              <w:t>energetických spoločenstvách</w:t>
            </w:r>
            <w:r w:rsidR="00326E55" w:rsidRPr="00326E55">
              <w:rPr>
                <w:noProof/>
                <w:spacing w:val="-6"/>
                <w:lang w:val="sk-SK"/>
              </w:rPr>
              <w:t xml:space="preserve"> a </w:t>
            </w:r>
            <w:r w:rsidRPr="00326E55">
              <w:rPr>
                <w:noProof/>
                <w:spacing w:val="-6"/>
                <w:lang w:val="sk-SK"/>
              </w:rPr>
              <w:t>spoločne konajúcich samospotrebiteľoch energie</w:t>
            </w:r>
            <w:r w:rsidR="00326E55" w:rsidRPr="00326E55">
              <w:rPr>
                <w:noProof/>
                <w:spacing w:val="-6"/>
                <w:lang w:val="sk-SK"/>
              </w:rPr>
              <w:t xml:space="preserve"> z </w:t>
            </w:r>
            <w:r w:rsidRPr="00326E55">
              <w:rPr>
                <w:noProof/>
                <w:spacing w:val="-6"/>
                <w:lang w:val="sk-SK"/>
              </w:rPr>
              <w:t xml:space="preserve">obnoviteľných </w:t>
            </w:r>
            <w:r w:rsidRPr="00326E55">
              <w:rPr>
                <w:noProof/>
                <w:spacing w:val="-6"/>
                <w:lang w:val="sk-SK"/>
              </w:rPr>
              <w:t>zdrojov</w:t>
            </w:r>
          </w:p>
        </w:tc>
      </w:tr>
      <w:tr w:rsidR="00BF03AA" w:rsidRPr="00326E55" w14:paraId="35D795BA" w14:textId="77777777">
        <w:trPr>
          <w:trHeight w:val="300"/>
        </w:trPr>
        <w:tc>
          <w:tcPr>
            <w:tcW w:w="1246" w:type="dxa"/>
            <w:shd w:val="clear" w:color="auto" w:fill="C6EFCE"/>
            <w:tcMar>
              <w:left w:w="108" w:type="dxa"/>
              <w:right w:w="108" w:type="dxa"/>
            </w:tcMar>
            <w:vAlign w:val="center"/>
          </w:tcPr>
          <w:p w14:paraId="3ABE011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49</w:t>
            </w:r>
          </w:p>
        </w:tc>
        <w:tc>
          <w:tcPr>
            <w:tcW w:w="3449" w:type="dxa"/>
            <w:shd w:val="clear" w:color="auto" w:fill="C6EFCE"/>
            <w:tcMar>
              <w:left w:w="108" w:type="dxa"/>
              <w:right w:w="108" w:type="dxa"/>
            </w:tcMar>
            <w:vAlign w:val="center"/>
          </w:tcPr>
          <w:p w14:paraId="263CE8CF" w14:textId="233C20BE" w:rsidR="00BF03AA" w:rsidRPr="00326E55" w:rsidRDefault="00FB452D">
            <w:pPr>
              <w:pStyle w:val="P68B1DB1-Normal121"/>
              <w:spacing w:after="0" w:line="240" w:lineRule="auto"/>
              <w:rPr>
                <w:noProof/>
                <w:spacing w:val="-6"/>
                <w:lang w:val="sk-SK"/>
              </w:rPr>
            </w:pPr>
            <w:r w:rsidRPr="00326E55">
              <w:rPr>
                <w:noProof/>
                <w:spacing w:val="-6"/>
                <w:lang w:val="sk-SK"/>
              </w:rPr>
              <w:t>Investícia 3.1 Výroba vodíka</w:t>
            </w:r>
            <w:r w:rsidR="00326E55" w:rsidRPr="00326E55">
              <w:rPr>
                <w:noProof/>
                <w:spacing w:val="-6"/>
                <w:lang w:val="sk-SK"/>
              </w:rPr>
              <w:t xml:space="preserve"> v </w:t>
            </w:r>
            <w:r w:rsidRPr="00326E55">
              <w:rPr>
                <w:noProof/>
                <w:spacing w:val="-6"/>
                <w:lang w:val="sk-SK"/>
              </w:rPr>
              <w:t>opustených priemyselných areáloch (vodíkové údolia)</w:t>
            </w:r>
          </w:p>
        </w:tc>
        <w:tc>
          <w:tcPr>
            <w:tcW w:w="1134" w:type="dxa"/>
            <w:shd w:val="clear" w:color="auto" w:fill="C6EFCE"/>
            <w:tcMar>
              <w:left w:w="108" w:type="dxa"/>
              <w:right w:w="108" w:type="dxa"/>
            </w:tcMar>
            <w:vAlign w:val="center"/>
          </w:tcPr>
          <w:p w14:paraId="09BC270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2327C4F"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Realizovaný projekt </w:t>
            </w:r>
          </w:p>
        </w:tc>
      </w:tr>
      <w:tr w:rsidR="00BF03AA" w:rsidRPr="00326E55" w14:paraId="556B773A" w14:textId="77777777">
        <w:trPr>
          <w:trHeight w:val="300"/>
        </w:trPr>
        <w:tc>
          <w:tcPr>
            <w:tcW w:w="1246" w:type="dxa"/>
            <w:shd w:val="clear" w:color="auto" w:fill="C6EFCE"/>
            <w:tcMar>
              <w:left w:w="108" w:type="dxa"/>
              <w:right w:w="108" w:type="dxa"/>
            </w:tcMar>
            <w:vAlign w:val="center"/>
          </w:tcPr>
          <w:p w14:paraId="2A97CEC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53</w:t>
            </w:r>
          </w:p>
        </w:tc>
        <w:tc>
          <w:tcPr>
            <w:tcW w:w="3449" w:type="dxa"/>
            <w:shd w:val="clear" w:color="auto" w:fill="C6EFCE"/>
            <w:tcMar>
              <w:left w:w="108" w:type="dxa"/>
              <w:right w:w="108" w:type="dxa"/>
            </w:tcMar>
            <w:vAlign w:val="center"/>
          </w:tcPr>
          <w:p w14:paraId="1CE533D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5.2 Vodík</w:t>
            </w:r>
          </w:p>
        </w:tc>
        <w:tc>
          <w:tcPr>
            <w:tcW w:w="1134" w:type="dxa"/>
            <w:shd w:val="clear" w:color="auto" w:fill="C6EFCE"/>
            <w:tcMar>
              <w:left w:w="108" w:type="dxa"/>
              <w:right w:w="108" w:type="dxa"/>
            </w:tcMar>
            <w:vAlign w:val="center"/>
          </w:tcPr>
          <w:p w14:paraId="2003714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F1CF839"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Postavený priemyselný závod </w:t>
            </w:r>
          </w:p>
        </w:tc>
      </w:tr>
      <w:tr w:rsidR="00BF03AA" w:rsidRPr="00326E55" w14:paraId="00208443" w14:textId="77777777">
        <w:trPr>
          <w:trHeight w:val="300"/>
        </w:trPr>
        <w:tc>
          <w:tcPr>
            <w:tcW w:w="1246" w:type="dxa"/>
            <w:shd w:val="clear" w:color="auto" w:fill="C6EFCE"/>
            <w:tcMar>
              <w:left w:w="108" w:type="dxa"/>
              <w:right w:w="108" w:type="dxa"/>
            </w:tcMar>
            <w:vAlign w:val="center"/>
          </w:tcPr>
          <w:p w14:paraId="16C9C1B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6bis</w:t>
            </w:r>
          </w:p>
        </w:tc>
        <w:tc>
          <w:tcPr>
            <w:tcW w:w="3449" w:type="dxa"/>
            <w:shd w:val="clear" w:color="auto" w:fill="C6EFCE"/>
            <w:tcMar>
              <w:left w:w="108" w:type="dxa"/>
              <w:right w:w="108" w:type="dxa"/>
            </w:tcMar>
            <w:vAlign w:val="center"/>
          </w:tcPr>
          <w:p w14:paraId="5519548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Digitalizácia národných parkov</w:t>
            </w:r>
          </w:p>
        </w:tc>
        <w:tc>
          <w:tcPr>
            <w:tcW w:w="1134" w:type="dxa"/>
            <w:shd w:val="clear" w:color="auto" w:fill="C6EFCE"/>
            <w:tcMar>
              <w:left w:w="108" w:type="dxa"/>
              <w:right w:w="108" w:type="dxa"/>
            </w:tcMar>
            <w:vAlign w:val="center"/>
          </w:tcPr>
          <w:p w14:paraId="47CDCBF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3D1595CC" w14:textId="2B008A15" w:rsidR="00BF03AA" w:rsidRPr="00326E55" w:rsidRDefault="00FB452D">
            <w:pPr>
              <w:pStyle w:val="P68B1DB1-Normal121"/>
              <w:spacing w:after="0" w:line="240" w:lineRule="auto"/>
              <w:rPr>
                <w:noProof/>
                <w:spacing w:val="-6"/>
                <w:lang w:val="sk-SK"/>
              </w:rPr>
            </w:pPr>
            <w:r w:rsidRPr="00326E55">
              <w:rPr>
                <w:noProof/>
                <w:spacing w:val="-6"/>
                <w:lang w:val="sk-SK"/>
              </w:rPr>
              <w:t>Vykonané intervencie týkajúce sa ochrany prírody</w:t>
            </w:r>
            <w:r w:rsidR="00326E55" w:rsidRPr="00326E55">
              <w:rPr>
                <w:noProof/>
                <w:spacing w:val="-6"/>
                <w:lang w:val="sk-SK"/>
              </w:rPr>
              <w:t xml:space="preserve"> a </w:t>
            </w:r>
            <w:r w:rsidRPr="00326E55">
              <w:rPr>
                <w:noProof/>
                <w:spacing w:val="-6"/>
                <w:lang w:val="sk-SK"/>
              </w:rPr>
              <w:t>monitorovania poskytnutých prírodných zdrojov</w:t>
            </w:r>
          </w:p>
        </w:tc>
      </w:tr>
      <w:tr w:rsidR="00BF03AA" w:rsidRPr="00326E55" w14:paraId="37EA69B9" w14:textId="77777777">
        <w:trPr>
          <w:trHeight w:val="300"/>
        </w:trPr>
        <w:tc>
          <w:tcPr>
            <w:tcW w:w="1246" w:type="dxa"/>
            <w:shd w:val="clear" w:color="auto" w:fill="C6EFCE"/>
            <w:tcMar>
              <w:left w:w="108" w:type="dxa"/>
              <w:right w:w="108" w:type="dxa"/>
            </w:tcMar>
            <w:vAlign w:val="center"/>
          </w:tcPr>
          <w:p w14:paraId="7A7EA6F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11bis</w:t>
            </w:r>
          </w:p>
        </w:tc>
        <w:tc>
          <w:tcPr>
            <w:tcW w:w="3449" w:type="dxa"/>
            <w:shd w:val="clear" w:color="auto" w:fill="C6EFCE"/>
            <w:tcMar>
              <w:left w:w="108" w:type="dxa"/>
              <w:right w:w="108" w:type="dxa"/>
            </w:tcMar>
            <w:vAlign w:val="center"/>
          </w:tcPr>
          <w:p w14:paraId="67D7A359" w14:textId="331B4C41" w:rsidR="00BF03AA" w:rsidRPr="00326E55" w:rsidRDefault="00FB452D">
            <w:pPr>
              <w:pStyle w:val="P68B1DB1-Normal121"/>
              <w:spacing w:after="0" w:line="240" w:lineRule="auto"/>
              <w:rPr>
                <w:noProof/>
                <w:spacing w:val="-6"/>
                <w:lang w:val="sk-SK"/>
              </w:rPr>
            </w:pPr>
            <w:r w:rsidRPr="00326E55">
              <w:rPr>
                <w:noProof/>
                <w:spacing w:val="-6"/>
                <w:lang w:val="sk-SK"/>
              </w:rPr>
              <w:t>Investícia 2.1.a. Opatrenia na znižovanie povodňových</w:t>
            </w:r>
            <w:r w:rsidR="00326E55" w:rsidRPr="00326E55">
              <w:rPr>
                <w:noProof/>
                <w:spacing w:val="-6"/>
                <w:lang w:val="sk-SK"/>
              </w:rPr>
              <w:t xml:space="preserve"> a </w:t>
            </w:r>
            <w:r w:rsidRPr="00326E55">
              <w:rPr>
                <w:noProof/>
                <w:spacing w:val="-6"/>
                <w:lang w:val="sk-SK"/>
              </w:rPr>
              <w:t>hydrogeologických rizík – intervencie</w:t>
            </w:r>
            <w:r w:rsidR="00326E55" w:rsidRPr="00326E55">
              <w:rPr>
                <w:noProof/>
                <w:spacing w:val="-6"/>
                <w:lang w:val="sk-SK"/>
              </w:rPr>
              <w:t xml:space="preserve"> v </w:t>
            </w:r>
            <w:r w:rsidRPr="00326E55">
              <w:rPr>
                <w:noProof/>
                <w:spacing w:val="-6"/>
                <w:lang w:val="sk-SK"/>
              </w:rPr>
              <w:t>mestách Emilia Romagna, Toskánsko</w:t>
            </w:r>
            <w:r w:rsidR="00326E55" w:rsidRPr="00326E55">
              <w:rPr>
                <w:noProof/>
                <w:spacing w:val="-6"/>
                <w:lang w:val="sk-SK"/>
              </w:rPr>
              <w:t xml:space="preserve"> a </w:t>
            </w:r>
            <w:r w:rsidRPr="00326E55">
              <w:rPr>
                <w:noProof/>
                <w:spacing w:val="-6"/>
                <w:lang w:val="sk-SK"/>
              </w:rPr>
              <w:t>Marche</w:t>
            </w:r>
          </w:p>
        </w:tc>
        <w:tc>
          <w:tcPr>
            <w:tcW w:w="1134" w:type="dxa"/>
            <w:shd w:val="clear" w:color="auto" w:fill="C6EFCE"/>
            <w:tcMar>
              <w:left w:w="108" w:type="dxa"/>
              <w:right w:w="108" w:type="dxa"/>
            </w:tcMar>
            <w:vAlign w:val="center"/>
          </w:tcPr>
          <w:p w14:paraId="56A28B4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4C65652" w14:textId="77777777" w:rsidR="00BF03AA" w:rsidRPr="00326E55" w:rsidRDefault="00FB452D">
            <w:pPr>
              <w:pStyle w:val="P68B1DB1-Normal121"/>
              <w:spacing w:after="0" w:line="240" w:lineRule="auto"/>
              <w:rPr>
                <w:noProof/>
                <w:spacing w:val="-6"/>
                <w:lang w:val="sk-SK"/>
              </w:rPr>
            </w:pPr>
            <w:r w:rsidRPr="00326E55">
              <w:rPr>
                <w:noProof/>
                <w:spacing w:val="-6"/>
                <w:lang w:val="sk-SK"/>
              </w:rPr>
              <w:t>Realizované projekty</w:t>
            </w:r>
          </w:p>
        </w:tc>
      </w:tr>
      <w:tr w:rsidR="00BF03AA" w:rsidRPr="00326E55" w14:paraId="089CCD08" w14:textId="77777777">
        <w:trPr>
          <w:trHeight w:val="300"/>
        </w:trPr>
        <w:tc>
          <w:tcPr>
            <w:tcW w:w="1246" w:type="dxa"/>
            <w:shd w:val="clear" w:color="auto" w:fill="C6EFCE"/>
            <w:tcMar>
              <w:left w:w="108" w:type="dxa"/>
              <w:right w:w="108" w:type="dxa"/>
            </w:tcMar>
            <w:vAlign w:val="center"/>
          </w:tcPr>
          <w:p w14:paraId="36E6A13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13</w:t>
            </w:r>
          </w:p>
        </w:tc>
        <w:tc>
          <w:tcPr>
            <w:tcW w:w="3449" w:type="dxa"/>
            <w:shd w:val="clear" w:color="auto" w:fill="C6EFCE"/>
            <w:tcMar>
              <w:left w:w="108" w:type="dxa"/>
              <w:right w:w="108" w:type="dxa"/>
            </w:tcMar>
            <w:vAlign w:val="center"/>
          </w:tcPr>
          <w:p w14:paraId="48C2BD7A" w14:textId="46567130" w:rsidR="00BF03AA" w:rsidRPr="00326E55" w:rsidRDefault="00FB452D">
            <w:pPr>
              <w:pStyle w:val="P68B1DB1-Normal121"/>
              <w:spacing w:after="0" w:line="240" w:lineRule="auto"/>
              <w:rPr>
                <w:noProof/>
                <w:spacing w:val="-6"/>
                <w:lang w:val="sk-SK"/>
              </w:rPr>
            </w:pPr>
            <w:r w:rsidRPr="00326E55">
              <w:rPr>
                <w:noProof/>
                <w:spacing w:val="-6"/>
                <w:lang w:val="sk-SK"/>
              </w:rPr>
              <w:t>Investícia 2.1b – Opatrenia na zníženie povodňových</w:t>
            </w:r>
            <w:r w:rsidR="00326E55" w:rsidRPr="00326E55">
              <w:rPr>
                <w:noProof/>
                <w:spacing w:val="-6"/>
                <w:lang w:val="sk-SK"/>
              </w:rPr>
              <w:t xml:space="preserve"> a </w:t>
            </w:r>
            <w:r w:rsidRPr="00326E55">
              <w:rPr>
                <w:noProof/>
                <w:spacing w:val="-6"/>
                <w:lang w:val="sk-SK"/>
              </w:rPr>
              <w:t>hydrogeologických rizík</w:t>
            </w:r>
          </w:p>
        </w:tc>
        <w:tc>
          <w:tcPr>
            <w:tcW w:w="1134" w:type="dxa"/>
            <w:shd w:val="clear" w:color="auto" w:fill="C6EFCE"/>
            <w:tcMar>
              <w:left w:w="108" w:type="dxa"/>
              <w:right w:w="108" w:type="dxa"/>
            </w:tcMar>
            <w:vAlign w:val="center"/>
          </w:tcPr>
          <w:p w14:paraId="71EBC1A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C70A5FD" w14:textId="42D7A9CA" w:rsidR="00BF03AA" w:rsidRPr="00326E55" w:rsidRDefault="00FB452D">
            <w:pPr>
              <w:pStyle w:val="P68B1DB1-Normal121"/>
              <w:spacing w:after="0" w:line="240" w:lineRule="auto"/>
              <w:rPr>
                <w:noProof/>
                <w:spacing w:val="-6"/>
                <w:lang w:val="sk-SK"/>
              </w:rPr>
            </w:pPr>
            <w:r w:rsidRPr="00326E55">
              <w:rPr>
                <w:noProof/>
                <w:spacing w:val="-6"/>
                <w:lang w:val="sk-SK"/>
              </w:rPr>
              <w:t>Vykonané intervencie typu D</w:t>
            </w:r>
            <w:r w:rsidR="00326E55" w:rsidRPr="00326E55">
              <w:rPr>
                <w:noProof/>
                <w:spacing w:val="-6"/>
                <w:lang w:val="sk-SK"/>
              </w:rPr>
              <w:t xml:space="preserve"> a </w:t>
            </w:r>
            <w:r w:rsidRPr="00326E55">
              <w:rPr>
                <w:noProof/>
                <w:spacing w:val="-6"/>
                <w:lang w:val="sk-SK"/>
              </w:rPr>
              <w:t>typu E</w:t>
            </w:r>
          </w:p>
        </w:tc>
      </w:tr>
      <w:tr w:rsidR="00BF03AA" w:rsidRPr="00326E55" w14:paraId="312C481C" w14:textId="77777777">
        <w:trPr>
          <w:trHeight w:val="300"/>
        </w:trPr>
        <w:tc>
          <w:tcPr>
            <w:tcW w:w="1246" w:type="dxa"/>
            <w:shd w:val="clear" w:color="auto" w:fill="C6EFCE"/>
            <w:tcMar>
              <w:left w:w="108" w:type="dxa"/>
              <w:right w:w="108" w:type="dxa"/>
            </w:tcMar>
            <w:vAlign w:val="center"/>
          </w:tcPr>
          <w:p w14:paraId="0272519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20bis</w:t>
            </w:r>
          </w:p>
        </w:tc>
        <w:tc>
          <w:tcPr>
            <w:tcW w:w="3449" w:type="dxa"/>
            <w:shd w:val="clear" w:color="auto" w:fill="C6EFCE"/>
            <w:tcMar>
              <w:left w:w="108" w:type="dxa"/>
              <w:right w:w="108" w:type="dxa"/>
            </w:tcMar>
            <w:vAlign w:val="center"/>
          </w:tcPr>
          <w:p w14:paraId="76B11C11" w14:textId="3B86A66E" w:rsidR="00BF03AA" w:rsidRPr="00326E55" w:rsidRDefault="00FB452D">
            <w:pPr>
              <w:pStyle w:val="P68B1DB1-Normal121"/>
              <w:spacing w:after="0" w:line="240" w:lineRule="auto"/>
              <w:rPr>
                <w:noProof/>
                <w:spacing w:val="-6"/>
                <w:lang w:val="sk-SK"/>
              </w:rPr>
            </w:pPr>
            <w:r w:rsidRPr="00326E55">
              <w:rPr>
                <w:noProof/>
                <w:spacing w:val="-6"/>
                <w:lang w:val="sk-SK"/>
              </w:rPr>
              <w:t>Investície. 3.1: Ochrana</w:t>
            </w:r>
            <w:r w:rsidR="00326E55" w:rsidRPr="00326E55">
              <w:rPr>
                <w:noProof/>
                <w:spacing w:val="-6"/>
                <w:lang w:val="sk-SK"/>
              </w:rPr>
              <w:t xml:space="preserve"> a </w:t>
            </w:r>
            <w:r w:rsidRPr="00326E55">
              <w:rPr>
                <w:noProof/>
                <w:spacing w:val="-6"/>
                <w:lang w:val="sk-SK"/>
              </w:rPr>
              <w:t>zveľaďovanie mestských</w:t>
            </w:r>
            <w:r w:rsidR="00326E55" w:rsidRPr="00326E55">
              <w:rPr>
                <w:noProof/>
                <w:spacing w:val="-6"/>
                <w:lang w:val="sk-SK"/>
              </w:rPr>
              <w:t xml:space="preserve"> a </w:t>
            </w:r>
            <w:r w:rsidRPr="00326E55">
              <w:rPr>
                <w:noProof/>
                <w:spacing w:val="-6"/>
                <w:lang w:val="sk-SK"/>
              </w:rPr>
              <w:t>prímestských lesov</w:t>
            </w:r>
          </w:p>
        </w:tc>
        <w:tc>
          <w:tcPr>
            <w:tcW w:w="1134" w:type="dxa"/>
            <w:shd w:val="clear" w:color="auto" w:fill="C6EFCE"/>
            <w:tcMar>
              <w:left w:w="108" w:type="dxa"/>
              <w:right w:w="108" w:type="dxa"/>
            </w:tcMar>
            <w:vAlign w:val="center"/>
          </w:tcPr>
          <w:p w14:paraId="038EAEF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3DA1A36" w14:textId="2AA61827" w:rsidR="00BF03AA" w:rsidRPr="00326E55" w:rsidRDefault="00FB452D">
            <w:pPr>
              <w:pStyle w:val="P68B1DB1-Normal121"/>
              <w:spacing w:after="0" w:line="240" w:lineRule="auto"/>
              <w:rPr>
                <w:noProof/>
                <w:spacing w:val="-6"/>
                <w:lang w:val="sk-SK"/>
              </w:rPr>
            </w:pPr>
            <w:r w:rsidRPr="00326E55">
              <w:rPr>
                <w:noProof/>
                <w:spacing w:val="-6"/>
                <w:lang w:val="sk-SK"/>
              </w:rPr>
              <w:t>Rastlinné stromy na ochranu</w:t>
            </w:r>
            <w:r w:rsidR="00326E55" w:rsidRPr="00326E55">
              <w:rPr>
                <w:noProof/>
                <w:spacing w:val="-6"/>
                <w:lang w:val="sk-SK"/>
              </w:rPr>
              <w:t xml:space="preserve"> a </w:t>
            </w:r>
            <w:r w:rsidRPr="00326E55">
              <w:rPr>
                <w:noProof/>
                <w:spacing w:val="-6"/>
                <w:lang w:val="sk-SK"/>
              </w:rPr>
              <w:t>zhodnocovanie mestských</w:t>
            </w:r>
            <w:r w:rsidR="00326E55" w:rsidRPr="00326E55">
              <w:rPr>
                <w:noProof/>
                <w:spacing w:val="-6"/>
                <w:lang w:val="sk-SK"/>
              </w:rPr>
              <w:t xml:space="preserve"> a </w:t>
            </w:r>
            <w:r w:rsidRPr="00326E55">
              <w:rPr>
                <w:noProof/>
                <w:spacing w:val="-6"/>
                <w:lang w:val="sk-SK"/>
              </w:rPr>
              <w:t xml:space="preserve">prímestských zelených plôch T3 </w:t>
            </w:r>
          </w:p>
        </w:tc>
      </w:tr>
      <w:tr w:rsidR="00BF03AA" w:rsidRPr="00326E55" w14:paraId="11396F58" w14:textId="77777777">
        <w:trPr>
          <w:trHeight w:val="300"/>
        </w:trPr>
        <w:tc>
          <w:tcPr>
            <w:tcW w:w="1246" w:type="dxa"/>
            <w:shd w:val="clear" w:color="auto" w:fill="C6EFCE"/>
            <w:tcMar>
              <w:left w:w="108" w:type="dxa"/>
              <w:right w:w="108" w:type="dxa"/>
            </w:tcMar>
            <w:vAlign w:val="center"/>
          </w:tcPr>
          <w:p w14:paraId="0AD7206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34bis</w:t>
            </w:r>
          </w:p>
        </w:tc>
        <w:tc>
          <w:tcPr>
            <w:tcW w:w="3449" w:type="dxa"/>
            <w:shd w:val="clear" w:color="auto" w:fill="C6EFCE"/>
            <w:tcMar>
              <w:left w:w="108" w:type="dxa"/>
              <w:right w:w="108" w:type="dxa"/>
            </w:tcMar>
            <w:vAlign w:val="center"/>
          </w:tcPr>
          <w:p w14:paraId="7A020AA4" w14:textId="48294B23" w:rsidR="00BF03AA" w:rsidRPr="00326E55" w:rsidRDefault="00FB452D">
            <w:pPr>
              <w:pStyle w:val="P68B1DB1-Normal121"/>
              <w:spacing w:after="0" w:line="240" w:lineRule="auto"/>
              <w:rPr>
                <w:noProof/>
                <w:spacing w:val="-6"/>
                <w:lang w:val="sk-SK"/>
              </w:rPr>
            </w:pPr>
            <w:r w:rsidRPr="00326E55">
              <w:rPr>
                <w:noProof/>
                <w:spacing w:val="-6"/>
                <w:lang w:val="sk-SK"/>
              </w:rPr>
              <w:t>Investícia 4.3 Investície do odolnosti zavlažovacieho agrosystému pre lepšie hospodárenie</w:t>
            </w:r>
            <w:r w:rsidR="00326E55" w:rsidRPr="00326E55">
              <w:rPr>
                <w:noProof/>
                <w:spacing w:val="-6"/>
                <w:lang w:val="sk-SK"/>
              </w:rPr>
              <w:t xml:space="preserve"> s </w:t>
            </w:r>
            <w:r w:rsidRPr="00326E55">
              <w:rPr>
                <w:noProof/>
                <w:spacing w:val="-6"/>
                <w:lang w:val="sk-SK"/>
              </w:rPr>
              <w:t>vodnými zdrojmi</w:t>
            </w:r>
          </w:p>
        </w:tc>
        <w:tc>
          <w:tcPr>
            <w:tcW w:w="1134" w:type="dxa"/>
            <w:shd w:val="clear" w:color="auto" w:fill="C6EFCE"/>
            <w:tcMar>
              <w:left w:w="108" w:type="dxa"/>
              <w:right w:w="108" w:type="dxa"/>
            </w:tcMar>
            <w:vAlign w:val="center"/>
          </w:tcPr>
          <w:p w14:paraId="3B5F3AE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F62829C" w14:textId="026BA395" w:rsidR="00BF03AA" w:rsidRPr="00326E55" w:rsidRDefault="00FB452D">
            <w:pPr>
              <w:pStyle w:val="P68B1DB1-Normal121"/>
              <w:spacing w:after="0" w:line="240" w:lineRule="auto"/>
              <w:rPr>
                <w:noProof/>
                <w:spacing w:val="-6"/>
                <w:lang w:val="sk-SK"/>
              </w:rPr>
            </w:pPr>
            <w:r w:rsidRPr="00326E55">
              <w:rPr>
                <w:noProof/>
                <w:spacing w:val="-6"/>
                <w:lang w:val="sk-SK"/>
              </w:rPr>
              <w:t>Intervencie</w:t>
            </w:r>
            <w:r w:rsidR="00326E55" w:rsidRPr="00326E55">
              <w:rPr>
                <w:noProof/>
                <w:spacing w:val="-6"/>
                <w:lang w:val="sk-SK"/>
              </w:rPr>
              <w:t xml:space="preserve"> v </w:t>
            </w:r>
            <w:r w:rsidRPr="00326E55">
              <w:rPr>
                <w:noProof/>
                <w:spacing w:val="-6"/>
                <w:lang w:val="sk-SK"/>
              </w:rPr>
              <w:t xml:space="preserve">záujme odolnosti </w:t>
            </w:r>
            <w:r w:rsidRPr="00326E55">
              <w:rPr>
                <w:noProof/>
                <w:spacing w:val="-6"/>
                <w:lang w:val="sk-SK"/>
              </w:rPr>
              <w:t>zavlažovacieho agrosystému</w:t>
            </w:r>
            <w:r w:rsidR="00326E55" w:rsidRPr="00326E55">
              <w:rPr>
                <w:noProof/>
                <w:spacing w:val="-6"/>
                <w:lang w:val="sk-SK"/>
              </w:rPr>
              <w:t xml:space="preserve"> v </w:t>
            </w:r>
            <w:r w:rsidRPr="00326E55">
              <w:rPr>
                <w:noProof/>
                <w:spacing w:val="-6"/>
                <w:lang w:val="sk-SK"/>
              </w:rPr>
              <w:t>záujme lepšieho hospodárenia</w:t>
            </w:r>
            <w:r w:rsidR="00326E55" w:rsidRPr="00326E55">
              <w:rPr>
                <w:noProof/>
                <w:spacing w:val="-6"/>
                <w:lang w:val="sk-SK"/>
              </w:rPr>
              <w:t xml:space="preserve"> s </w:t>
            </w:r>
            <w:r w:rsidRPr="00326E55">
              <w:rPr>
                <w:noProof/>
                <w:spacing w:val="-6"/>
                <w:lang w:val="sk-SK"/>
              </w:rPr>
              <w:t>vodnými zdrojmi T1</w:t>
            </w:r>
          </w:p>
        </w:tc>
      </w:tr>
      <w:tr w:rsidR="00BF03AA" w:rsidRPr="00326E55" w14:paraId="7196FDBC" w14:textId="77777777">
        <w:trPr>
          <w:trHeight w:val="300"/>
        </w:trPr>
        <w:tc>
          <w:tcPr>
            <w:tcW w:w="1246" w:type="dxa"/>
            <w:shd w:val="clear" w:color="auto" w:fill="C6EFCE"/>
            <w:tcMar>
              <w:left w:w="108" w:type="dxa"/>
              <w:right w:w="108" w:type="dxa"/>
            </w:tcMar>
            <w:vAlign w:val="center"/>
          </w:tcPr>
          <w:p w14:paraId="6371402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6</w:t>
            </w:r>
          </w:p>
        </w:tc>
        <w:tc>
          <w:tcPr>
            <w:tcW w:w="3449" w:type="dxa"/>
            <w:shd w:val="clear" w:color="auto" w:fill="C6EFCE"/>
            <w:tcMar>
              <w:left w:w="108" w:type="dxa"/>
              <w:right w:w="108" w:type="dxa"/>
            </w:tcMar>
            <w:vAlign w:val="center"/>
          </w:tcPr>
          <w:p w14:paraId="0AB83447" w14:textId="3ADAA69B" w:rsidR="00BF03AA" w:rsidRPr="00326E55" w:rsidRDefault="00FB452D">
            <w:pPr>
              <w:pStyle w:val="P68B1DB1-Normal121"/>
              <w:spacing w:after="0" w:line="240" w:lineRule="auto"/>
              <w:rPr>
                <w:noProof/>
                <w:spacing w:val="-6"/>
                <w:lang w:val="sk-SK"/>
              </w:rPr>
            </w:pPr>
            <w:r w:rsidRPr="00326E55">
              <w:rPr>
                <w:noProof/>
                <w:spacing w:val="-6"/>
                <w:lang w:val="sk-SK"/>
              </w:rPr>
              <w:t>Investícia 1.1 – Vysokorýchlostné železničné spojenia na juhu pre osobnú</w:t>
            </w:r>
            <w:r w:rsidR="00326E55" w:rsidRPr="00326E55">
              <w:rPr>
                <w:noProof/>
                <w:spacing w:val="-6"/>
                <w:lang w:val="sk-SK"/>
              </w:rPr>
              <w:t xml:space="preserve"> a </w:t>
            </w:r>
            <w:r w:rsidRPr="00326E55">
              <w:rPr>
                <w:noProof/>
                <w:spacing w:val="-6"/>
                <w:lang w:val="sk-SK"/>
              </w:rPr>
              <w:t>nákladnú dopravu</w:t>
            </w:r>
          </w:p>
        </w:tc>
        <w:tc>
          <w:tcPr>
            <w:tcW w:w="1134" w:type="dxa"/>
            <w:shd w:val="clear" w:color="auto" w:fill="C6EFCE"/>
            <w:tcMar>
              <w:left w:w="108" w:type="dxa"/>
              <w:right w:w="108" w:type="dxa"/>
            </w:tcMar>
            <w:vAlign w:val="center"/>
          </w:tcPr>
          <w:p w14:paraId="57BA3C2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EA31630" w14:textId="77777777" w:rsidR="00BF03AA" w:rsidRPr="00326E55" w:rsidRDefault="00FB452D">
            <w:pPr>
              <w:pStyle w:val="P68B1DB1-Normal121"/>
              <w:spacing w:after="0" w:line="240" w:lineRule="auto"/>
              <w:rPr>
                <w:noProof/>
                <w:spacing w:val="-6"/>
                <w:lang w:val="sk-SK"/>
              </w:rPr>
            </w:pPr>
            <w:r w:rsidRPr="00326E55">
              <w:rPr>
                <w:noProof/>
                <w:spacing w:val="-6"/>
                <w:lang w:val="sk-SK"/>
              </w:rPr>
              <w:t>Vysokorýchlostná železnica na tratiach Napoli – Bari, Salerno-Reggio C</w:t>
            </w:r>
            <w:r w:rsidRPr="00326E55">
              <w:rPr>
                <w:noProof/>
                <w:spacing w:val="-6"/>
                <w:lang w:val="sk-SK"/>
              </w:rPr>
              <w:t>alabria, Palermo – Catania</w:t>
            </w:r>
          </w:p>
        </w:tc>
      </w:tr>
      <w:tr w:rsidR="00BF03AA" w:rsidRPr="00326E55" w14:paraId="38C32FE3" w14:textId="77777777">
        <w:trPr>
          <w:trHeight w:val="300"/>
        </w:trPr>
        <w:tc>
          <w:tcPr>
            <w:tcW w:w="1246" w:type="dxa"/>
            <w:shd w:val="clear" w:color="auto" w:fill="C6EFCE"/>
            <w:tcMar>
              <w:left w:w="108" w:type="dxa"/>
              <w:right w:w="108" w:type="dxa"/>
            </w:tcMar>
            <w:vAlign w:val="center"/>
          </w:tcPr>
          <w:p w14:paraId="48910E6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9</w:t>
            </w:r>
          </w:p>
        </w:tc>
        <w:tc>
          <w:tcPr>
            <w:tcW w:w="3449" w:type="dxa"/>
            <w:shd w:val="clear" w:color="auto" w:fill="C6EFCE"/>
            <w:tcMar>
              <w:left w:w="108" w:type="dxa"/>
              <w:right w:w="108" w:type="dxa"/>
            </w:tcMar>
            <w:vAlign w:val="center"/>
          </w:tcPr>
          <w:p w14:paraId="7FE18D7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1.2 – Vysokorýchlostné trate na severe spájajúce zvyšok Európy</w:t>
            </w:r>
          </w:p>
        </w:tc>
        <w:tc>
          <w:tcPr>
            <w:tcW w:w="1134" w:type="dxa"/>
            <w:shd w:val="clear" w:color="auto" w:fill="C6EFCE"/>
            <w:tcMar>
              <w:left w:w="108" w:type="dxa"/>
              <w:right w:w="108" w:type="dxa"/>
            </w:tcMar>
            <w:vAlign w:val="center"/>
          </w:tcPr>
          <w:p w14:paraId="0AFCA2C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8FCE3FD" w14:textId="77777777" w:rsidR="00BF03AA" w:rsidRPr="00326E55" w:rsidRDefault="00FB452D">
            <w:pPr>
              <w:pStyle w:val="P68B1DB1-Normal121"/>
              <w:spacing w:after="0" w:line="240" w:lineRule="auto"/>
              <w:rPr>
                <w:noProof/>
                <w:spacing w:val="-6"/>
                <w:lang w:val="sk-SK"/>
              </w:rPr>
            </w:pPr>
            <w:r w:rsidRPr="00326E55">
              <w:rPr>
                <w:noProof/>
                <w:spacing w:val="-6"/>
                <w:lang w:val="sk-SK"/>
              </w:rPr>
              <w:t>Vysokorýchlostná železnica na tratiach Brescia – Verona – Vicenza – Padova; Ligúria-Alpi.</w:t>
            </w:r>
          </w:p>
        </w:tc>
      </w:tr>
      <w:tr w:rsidR="00BF03AA" w:rsidRPr="00326E55" w14:paraId="75D27351" w14:textId="77777777">
        <w:trPr>
          <w:trHeight w:val="300"/>
        </w:trPr>
        <w:tc>
          <w:tcPr>
            <w:tcW w:w="1246" w:type="dxa"/>
            <w:shd w:val="clear" w:color="auto" w:fill="C6EFCE"/>
            <w:tcMar>
              <w:left w:w="108" w:type="dxa"/>
              <w:right w:w="108" w:type="dxa"/>
            </w:tcMar>
            <w:vAlign w:val="center"/>
          </w:tcPr>
          <w:p w14:paraId="3310DC2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11</w:t>
            </w:r>
          </w:p>
        </w:tc>
        <w:tc>
          <w:tcPr>
            <w:tcW w:w="3449" w:type="dxa"/>
            <w:shd w:val="clear" w:color="auto" w:fill="C6EFCE"/>
            <w:tcMar>
              <w:left w:w="108" w:type="dxa"/>
              <w:right w:w="108" w:type="dxa"/>
            </w:tcMar>
            <w:vAlign w:val="center"/>
          </w:tcPr>
          <w:p w14:paraId="28DB737B"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1.3 – Diagonálne spojenia</w:t>
            </w:r>
          </w:p>
        </w:tc>
        <w:tc>
          <w:tcPr>
            <w:tcW w:w="1134" w:type="dxa"/>
            <w:shd w:val="clear" w:color="auto" w:fill="C6EFCE"/>
            <w:tcMar>
              <w:left w:w="108" w:type="dxa"/>
              <w:right w:w="108" w:type="dxa"/>
            </w:tcMar>
            <w:vAlign w:val="center"/>
          </w:tcPr>
          <w:p w14:paraId="05E9F3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B4088F1" w14:textId="4F34D3E8" w:rsidR="00BF03AA" w:rsidRPr="00326E55" w:rsidRDefault="00FB452D">
            <w:pPr>
              <w:pStyle w:val="P68B1DB1-Normal121"/>
              <w:spacing w:after="0" w:line="240" w:lineRule="auto"/>
              <w:rPr>
                <w:noProof/>
                <w:spacing w:val="-6"/>
                <w:lang w:val="sk-SK"/>
              </w:rPr>
            </w:pPr>
            <w:r w:rsidRPr="00326E55">
              <w:rPr>
                <w:noProof/>
                <w:spacing w:val="-6"/>
                <w:lang w:val="sk-SK"/>
              </w:rPr>
              <w:t>Vysokorýchlostná železnica na tratiach Orte – Falconara</w:t>
            </w:r>
            <w:r w:rsidR="00326E55" w:rsidRPr="00326E55">
              <w:rPr>
                <w:noProof/>
                <w:spacing w:val="-6"/>
                <w:lang w:val="sk-SK"/>
              </w:rPr>
              <w:t xml:space="preserve"> a </w:t>
            </w:r>
            <w:r w:rsidRPr="00326E55">
              <w:rPr>
                <w:noProof/>
                <w:spacing w:val="-6"/>
                <w:lang w:val="sk-SK"/>
              </w:rPr>
              <w:t>Taranto – Metaponto – Potenza – Battipaglia</w:t>
            </w:r>
          </w:p>
        </w:tc>
      </w:tr>
      <w:tr w:rsidR="00BF03AA" w:rsidRPr="00326E55" w14:paraId="6D526144" w14:textId="77777777">
        <w:trPr>
          <w:trHeight w:val="300"/>
        </w:trPr>
        <w:tc>
          <w:tcPr>
            <w:tcW w:w="1246" w:type="dxa"/>
            <w:shd w:val="clear" w:color="auto" w:fill="C6EFCE"/>
            <w:tcMar>
              <w:left w:w="108" w:type="dxa"/>
              <w:right w:w="108" w:type="dxa"/>
            </w:tcMar>
            <w:vAlign w:val="center"/>
          </w:tcPr>
          <w:p w14:paraId="259EEEA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14</w:t>
            </w:r>
          </w:p>
        </w:tc>
        <w:tc>
          <w:tcPr>
            <w:tcW w:w="3449" w:type="dxa"/>
            <w:shd w:val="clear" w:color="auto" w:fill="C6EFCE"/>
            <w:tcMar>
              <w:left w:w="108" w:type="dxa"/>
              <w:right w:w="108" w:type="dxa"/>
            </w:tcMar>
            <w:vAlign w:val="center"/>
          </w:tcPr>
          <w:p w14:paraId="5D372D4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1.4 – Zavedenie Európskeho systému riadenia železničnej dopravy (ERTMS)</w:t>
            </w:r>
          </w:p>
        </w:tc>
        <w:tc>
          <w:tcPr>
            <w:tcW w:w="1134" w:type="dxa"/>
            <w:shd w:val="clear" w:color="auto" w:fill="C6EFCE"/>
            <w:tcMar>
              <w:left w:w="108" w:type="dxa"/>
              <w:right w:w="108" w:type="dxa"/>
            </w:tcMar>
            <w:vAlign w:val="center"/>
          </w:tcPr>
          <w:p w14:paraId="28CFD84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8A7ED96"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2</w:t>
            </w:r>
            <w:r w:rsidRPr="00326E55">
              <w:rPr>
                <w:noProof/>
                <w:spacing w:val="-6"/>
                <w:sz w:val="23"/>
                <w:szCs w:val="23"/>
                <w:lang w:val="sk-SK"/>
              </w:rPr>
              <w:t xml:space="preserve"> </w:t>
            </w:r>
            <w:r w:rsidRPr="00326E55">
              <w:rPr>
                <w:noProof/>
                <w:color w:val="006100"/>
                <w:spacing w:val="-6"/>
                <w:sz w:val="20"/>
                <w:szCs w:val="20"/>
                <w:lang w:val="sk-SK"/>
              </w:rPr>
              <w:t xml:space="preserve">785 km železničných tratí vybavených Európskym </w:t>
            </w:r>
            <w:r w:rsidRPr="00326E55">
              <w:rPr>
                <w:noProof/>
                <w:color w:val="006100"/>
                <w:spacing w:val="-6"/>
                <w:sz w:val="20"/>
                <w:szCs w:val="20"/>
                <w:lang w:val="sk-SK"/>
              </w:rPr>
              <w:t>systémom riadenia železničnej dopravy</w:t>
            </w:r>
          </w:p>
        </w:tc>
      </w:tr>
      <w:tr w:rsidR="00BF03AA" w:rsidRPr="00326E55" w14:paraId="7AB7D4F5" w14:textId="77777777">
        <w:trPr>
          <w:trHeight w:val="300"/>
        </w:trPr>
        <w:tc>
          <w:tcPr>
            <w:tcW w:w="1246" w:type="dxa"/>
            <w:shd w:val="clear" w:color="auto" w:fill="C6EFCE"/>
            <w:tcMar>
              <w:left w:w="108" w:type="dxa"/>
              <w:right w:w="108" w:type="dxa"/>
            </w:tcMar>
            <w:vAlign w:val="center"/>
          </w:tcPr>
          <w:p w14:paraId="0C6A5C6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20</w:t>
            </w:r>
          </w:p>
        </w:tc>
        <w:tc>
          <w:tcPr>
            <w:tcW w:w="3449" w:type="dxa"/>
            <w:shd w:val="clear" w:color="auto" w:fill="C6EFCE"/>
            <w:tcMar>
              <w:left w:w="108" w:type="dxa"/>
              <w:right w:w="108" w:type="dxa"/>
            </w:tcMar>
            <w:vAlign w:val="center"/>
          </w:tcPr>
          <w:p w14:paraId="67668D4A"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1.8 – Modernizácia železničných staníc (riadenie RFI; na juhu)</w:t>
            </w:r>
          </w:p>
        </w:tc>
        <w:tc>
          <w:tcPr>
            <w:tcW w:w="1134" w:type="dxa"/>
            <w:shd w:val="clear" w:color="auto" w:fill="C6EFCE"/>
            <w:tcMar>
              <w:left w:w="108" w:type="dxa"/>
              <w:right w:w="108" w:type="dxa"/>
            </w:tcMar>
            <w:vAlign w:val="center"/>
          </w:tcPr>
          <w:p w14:paraId="6447357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ADBBB94" w14:textId="2A4C0559" w:rsidR="00BF03AA" w:rsidRPr="00326E55" w:rsidRDefault="00FB452D">
            <w:pPr>
              <w:pStyle w:val="P68B1DB1-Normal121"/>
              <w:spacing w:after="0" w:line="240" w:lineRule="auto"/>
              <w:rPr>
                <w:noProof/>
                <w:spacing w:val="-6"/>
                <w:lang w:val="sk-SK"/>
              </w:rPr>
            </w:pPr>
            <w:r w:rsidRPr="00326E55">
              <w:rPr>
                <w:noProof/>
                <w:spacing w:val="-6"/>
                <w:lang w:val="sk-SK"/>
              </w:rPr>
              <w:t>Modernizované</w:t>
            </w:r>
            <w:r w:rsidR="00326E55" w:rsidRPr="00326E55">
              <w:rPr>
                <w:noProof/>
                <w:spacing w:val="-6"/>
                <w:lang w:val="sk-SK"/>
              </w:rPr>
              <w:t xml:space="preserve"> a </w:t>
            </w:r>
            <w:r w:rsidRPr="00326E55">
              <w:rPr>
                <w:noProof/>
                <w:spacing w:val="-6"/>
                <w:lang w:val="sk-SK"/>
              </w:rPr>
              <w:t>prístupné železničné stanice</w:t>
            </w:r>
          </w:p>
        </w:tc>
      </w:tr>
      <w:tr w:rsidR="00BF03AA" w:rsidRPr="00326E55" w14:paraId="0156779B" w14:textId="77777777">
        <w:trPr>
          <w:trHeight w:val="300"/>
        </w:trPr>
        <w:tc>
          <w:tcPr>
            <w:tcW w:w="1246" w:type="dxa"/>
            <w:shd w:val="clear" w:color="auto" w:fill="C6EFCE"/>
            <w:tcMar>
              <w:left w:w="108" w:type="dxa"/>
              <w:right w:w="108" w:type="dxa"/>
            </w:tcMar>
            <w:vAlign w:val="center"/>
          </w:tcPr>
          <w:p w14:paraId="7971C40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26</w:t>
            </w:r>
          </w:p>
        </w:tc>
        <w:tc>
          <w:tcPr>
            <w:tcW w:w="3449" w:type="dxa"/>
            <w:shd w:val="clear" w:color="auto" w:fill="C6EFCE"/>
            <w:tcMar>
              <w:left w:w="108" w:type="dxa"/>
              <w:right w:w="108" w:type="dxa"/>
            </w:tcMar>
            <w:vAlign w:val="center"/>
          </w:tcPr>
          <w:p w14:paraId="1C7AE2BE" w14:textId="245FD662" w:rsidR="00BF03AA" w:rsidRPr="00326E55" w:rsidRDefault="00FB452D">
            <w:pPr>
              <w:pStyle w:val="P68B1DB1-Normal121"/>
              <w:spacing w:after="0" w:line="240" w:lineRule="auto"/>
              <w:rPr>
                <w:noProof/>
                <w:spacing w:val="-6"/>
                <w:lang w:val="sk-SK"/>
              </w:rPr>
            </w:pPr>
            <w:r w:rsidRPr="00326E55">
              <w:rPr>
                <w:noProof/>
                <w:spacing w:val="-6"/>
                <w:lang w:val="sk-SK"/>
              </w:rPr>
              <w:t>Reforma 1.3 – Podpora efektívnosti železničnej infraštruktúry</w:t>
            </w:r>
            <w:r w:rsidR="00326E55" w:rsidRPr="00326E55">
              <w:rPr>
                <w:noProof/>
                <w:spacing w:val="-6"/>
                <w:lang w:val="sk-SK"/>
              </w:rPr>
              <w:t xml:space="preserve"> v </w:t>
            </w:r>
            <w:r w:rsidRPr="00326E55">
              <w:rPr>
                <w:noProof/>
                <w:spacing w:val="-6"/>
                <w:lang w:val="sk-SK"/>
              </w:rPr>
              <w:t>Taliansku</w:t>
            </w:r>
          </w:p>
        </w:tc>
        <w:tc>
          <w:tcPr>
            <w:tcW w:w="1134" w:type="dxa"/>
            <w:shd w:val="clear" w:color="auto" w:fill="C6EFCE"/>
            <w:tcMar>
              <w:left w:w="108" w:type="dxa"/>
              <w:right w:w="108" w:type="dxa"/>
            </w:tcMar>
            <w:vAlign w:val="center"/>
          </w:tcPr>
          <w:p w14:paraId="3159598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4BCC8D53" w14:textId="746713B4" w:rsidR="00BF03AA" w:rsidRPr="00326E55" w:rsidRDefault="00FB452D">
            <w:pPr>
              <w:pStyle w:val="P68B1DB1-Normal121"/>
              <w:spacing w:after="0" w:line="240" w:lineRule="auto"/>
              <w:rPr>
                <w:noProof/>
                <w:spacing w:val="-6"/>
                <w:lang w:val="sk-SK"/>
              </w:rPr>
            </w:pPr>
            <w:r w:rsidRPr="00326E55">
              <w:rPr>
                <w:noProof/>
                <w:spacing w:val="-6"/>
                <w:lang w:val="sk-SK"/>
              </w:rPr>
              <w:t>Nadobudnutie účinnosti primárnych sekundárnych právnych predpisov (a prijatie vykonávacích aktov)</w:t>
            </w:r>
          </w:p>
        </w:tc>
      </w:tr>
      <w:tr w:rsidR="00BF03AA" w:rsidRPr="00326E55" w14:paraId="7137054B" w14:textId="77777777">
        <w:trPr>
          <w:trHeight w:val="814"/>
        </w:trPr>
        <w:tc>
          <w:tcPr>
            <w:tcW w:w="1246" w:type="dxa"/>
            <w:shd w:val="clear" w:color="auto" w:fill="C6EFCE"/>
            <w:tcMar>
              <w:left w:w="108" w:type="dxa"/>
              <w:right w:w="108" w:type="dxa"/>
            </w:tcMar>
            <w:vAlign w:val="center"/>
          </w:tcPr>
          <w:p w14:paraId="6D372F9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30</w:t>
            </w:r>
          </w:p>
        </w:tc>
        <w:tc>
          <w:tcPr>
            <w:tcW w:w="3449" w:type="dxa"/>
            <w:shd w:val="clear" w:color="auto" w:fill="C6EFCE"/>
            <w:tcMar>
              <w:left w:w="108" w:type="dxa"/>
              <w:right w:w="108" w:type="dxa"/>
            </w:tcMar>
            <w:vAlign w:val="center"/>
          </w:tcPr>
          <w:p w14:paraId="792A0CEC" w14:textId="662C1142" w:rsidR="00BF03AA" w:rsidRPr="00326E55" w:rsidRDefault="00FB452D">
            <w:pPr>
              <w:pStyle w:val="P68B1DB1-Normal121"/>
              <w:spacing w:after="0" w:line="240" w:lineRule="auto"/>
              <w:rPr>
                <w:noProof/>
                <w:spacing w:val="-6"/>
                <w:lang w:val="sk-SK"/>
              </w:rPr>
            </w:pPr>
            <w:r w:rsidRPr="00326E55">
              <w:rPr>
                <w:noProof/>
                <w:spacing w:val="-6"/>
                <w:lang w:val="sk-SK"/>
              </w:rPr>
              <w:t>Reforma 1.7: Reforma regulácie bývania pre študentov</w:t>
            </w:r>
            <w:r w:rsidR="00326E55" w:rsidRPr="00326E55">
              <w:rPr>
                <w:noProof/>
                <w:spacing w:val="-6"/>
                <w:lang w:val="sk-SK"/>
              </w:rPr>
              <w:t xml:space="preserve"> a </w:t>
            </w:r>
            <w:r w:rsidRPr="00326E55">
              <w:rPr>
                <w:noProof/>
                <w:spacing w:val="-6"/>
                <w:lang w:val="sk-SK"/>
              </w:rPr>
              <w:t>investovanie do bývania pre študentov</w:t>
            </w:r>
          </w:p>
        </w:tc>
        <w:tc>
          <w:tcPr>
            <w:tcW w:w="1134" w:type="dxa"/>
            <w:shd w:val="clear" w:color="auto" w:fill="C6EFCE"/>
            <w:tcMar>
              <w:left w:w="108" w:type="dxa"/>
              <w:right w:w="108" w:type="dxa"/>
            </w:tcMar>
            <w:vAlign w:val="center"/>
          </w:tcPr>
          <w:p w14:paraId="5D3EA75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7A71E02" w14:textId="77777777" w:rsidR="00BF03AA" w:rsidRPr="00326E55" w:rsidRDefault="00FB452D">
            <w:pPr>
              <w:pStyle w:val="P68B1DB1-Normal121"/>
              <w:spacing w:after="0" w:line="240" w:lineRule="auto"/>
              <w:rPr>
                <w:noProof/>
                <w:spacing w:val="-6"/>
                <w:lang w:val="sk-SK"/>
              </w:rPr>
            </w:pPr>
            <w:r w:rsidRPr="00326E55">
              <w:rPr>
                <w:noProof/>
                <w:spacing w:val="-6"/>
                <w:lang w:val="sk-SK"/>
              </w:rPr>
              <w:t>Vytvorené ubytovacie jednotky pr</w:t>
            </w:r>
            <w:r w:rsidRPr="00326E55">
              <w:rPr>
                <w:noProof/>
                <w:spacing w:val="-6"/>
                <w:lang w:val="sk-SK"/>
              </w:rPr>
              <w:t>e študentov na spanie</w:t>
            </w:r>
          </w:p>
        </w:tc>
      </w:tr>
      <w:tr w:rsidR="00BF03AA" w:rsidRPr="00326E55" w14:paraId="0AA80999" w14:textId="77777777">
        <w:trPr>
          <w:trHeight w:val="300"/>
        </w:trPr>
        <w:tc>
          <w:tcPr>
            <w:tcW w:w="1246" w:type="dxa"/>
            <w:shd w:val="clear" w:color="auto" w:fill="C6EFCE"/>
            <w:tcMar>
              <w:left w:w="108" w:type="dxa"/>
              <w:right w:w="108" w:type="dxa"/>
            </w:tcMar>
            <w:vAlign w:val="center"/>
          </w:tcPr>
          <w:p w14:paraId="66D314E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9</w:t>
            </w:r>
          </w:p>
        </w:tc>
        <w:tc>
          <w:tcPr>
            <w:tcW w:w="3449" w:type="dxa"/>
            <w:shd w:val="clear" w:color="auto" w:fill="C6EFCE"/>
            <w:tcMar>
              <w:left w:w="108" w:type="dxa"/>
              <w:right w:w="108" w:type="dxa"/>
            </w:tcMar>
            <w:vAlign w:val="center"/>
          </w:tcPr>
          <w:p w14:paraId="4AD55867" w14:textId="4737F0D5" w:rsidR="00BF03AA" w:rsidRPr="00326E55" w:rsidRDefault="00FB452D">
            <w:pPr>
              <w:pStyle w:val="P68B1DB1-Normal121"/>
              <w:spacing w:after="0" w:line="240" w:lineRule="auto"/>
              <w:rPr>
                <w:noProof/>
                <w:spacing w:val="-6"/>
                <w:lang w:val="sk-SK"/>
              </w:rPr>
            </w:pPr>
            <w:r w:rsidRPr="00326E55">
              <w:rPr>
                <w:noProof/>
                <w:spacing w:val="-6"/>
                <w:lang w:val="sk-SK"/>
              </w:rPr>
              <w:t>Investícia 1.4: Vytvorenie „vnútroštátnych lídrov</w:t>
            </w:r>
            <w:r w:rsidR="00326E55" w:rsidRPr="00326E55">
              <w:rPr>
                <w:noProof/>
                <w:spacing w:val="-6"/>
                <w:lang w:val="sk-SK"/>
              </w:rPr>
              <w:t xml:space="preserve"> v </w:t>
            </w:r>
            <w:r w:rsidRPr="00326E55">
              <w:rPr>
                <w:noProof/>
                <w:spacing w:val="-6"/>
                <w:lang w:val="sk-SK"/>
              </w:rPr>
              <w:t>oblasti výskumu</w:t>
            </w:r>
            <w:r w:rsidR="00326E55" w:rsidRPr="00326E55">
              <w:rPr>
                <w:noProof/>
                <w:spacing w:val="-6"/>
                <w:lang w:val="sk-SK"/>
              </w:rPr>
              <w:t xml:space="preserve"> a </w:t>
            </w:r>
            <w:r w:rsidRPr="00326E55">
              <w:rPr>
                <w:noProof/>
                <w:spacing w:val="-6"/>
                <w:lang w:val="sk-SK"/>
              </w:rPr>
              <w:t>vývoja“</w:t>
            </w:r>
            <w:r w:rsidR="00326E55" w:rsidRPr="00326E55">
              <w:rPr>
                <w:noProof/>
                <w:spacing w:val="-6"/>
                <w:lang w:val="sk-SK"/>
              </w:rPr>
              <w:t xml:space="preserve"> v </w:t>
            </w:r>
            <w:r w:rsidRPr="00326E55">
              <w:rPr>
                <w:noProof/>
                <w:spacing w:val="-6"/>
                <w:lang w:val="sk-SK"/>
              </w:rPr>
              <w:t>oblasti niektorých kľúčových podporných technológií</w:t>
            </w:r>
          </w:p>
        </w:tc>
        <w:tc>
          <w:tcPr>
            <w:tcW w:w="1134" w:type="dxa"/>
            <w:shd w:val="clear" w:color="auto" w:fill="C6EFCE"/>
            <w:tcMar>
              <w:left w:w="108" w:type="dxa"/>
              <w:right w:w="108" w:type="dxa"/>
            </w:tcMar>
            <w:vAlign w:val="center"/>
          </w:tcPr>
          <w:p w14:paraId="75AD3EA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248B72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Národné centrá ukončili svoje výskumné činnosti </w:t>
            </w:r>
          </w:p>
        </w:tc>
      </w:tr>
      <w:tr w:rsidR="00BF03AA" w:rsidRPr="00326E55" w14:paraId="1ED1EE50" w14:textId="77777777">
        <w:trPr>
          <w:trHeight w:val="300"/>
        </w:trPr>
        <w:tc>
          <w:tcPr>
            <w:tcW w:w="1246" w:type="dxa"/>
            <w:shd w:val="clear" w:color="auto" w:fill="C6EFCE"/>
            <w:tcMar>
              <w:left w:w="108" w:type="dxa"/>
              <w:right w:w="108" w:type="dxa"/>
            </w:tcMar>
            <w:vAlign w:val="center"/>
          </w:tcPr>
          <w:p w14:paraId="6B84FAA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14</w:t>
            </w:r>
          </w:p>
        </w:tc>
        <w:tc>
          <w:tcPr>
            <w:tcW w:w="3449" w:type="dxa"/>
            <w:shd w:val="clear" w:color="auto" w:fill="C6EFCE"/>
            <w:tcMar>
              <w:left w:w="108" w:type="dxa"/>
              <w:right w:w="108" w:type="dxa"/>
            </w:tcMar>
            <w:vAlign w:val="center"/>
          </w:tcPr>
          <w:p w14:paraId="67911B8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2.3: /Centrá prenosu technológií </w:t>
            </w:r>
          </w:p>
        </w:tc>
        <w:tc>
          <w:tcPr>
            <w:tcW w:w="1134" w:type="dxa"/>
            <w:shd w:val="clear" w:color="auto" w:fill="C6EFCE"/>
            <w:tcMar>
              <w:left w:w="108" w:type="dxa"/>
              <w:right w:w="108" w:type="dxa"/>
            </w:tcMar>
            <w:vAlign w:val="center"/>
          </w:tcPr>
          <w:p w14:paraId="44DB01A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20DB7987" w14:textId="77777777" w:rsidR="00BF03AA" w:rsidRPr="00326E55" w:rsidRDefault="00FB452D">
            <w:pPr>
              <w:pStyle w:val="P68B1DB1-Normal8"/>
              <w:spacing w:after="0" w:line="240" w:lineRule="auto"/>
              <w:rPr>
                <w:noProof/>
                <w:spacing w:val="-6"/>
                <w:lang w:val="sk-SK"/>
              </w:rPr>
            </w:pPr>
            <w:r w:rsidRPr="00326E55">
              <w:rPr>
                <w:noProof/>
                <w:color w:val="006100"/>
                <w:spacing w:val="-6"/>
                <w:sz w:val="20"/>
                <w:szCs w:val="20"/>
                <w:lang w:val="sk-SK"/>
              </w:rPr>
              <w:t>Vyplatenie finančnej hodnoty 330 000 000 EUR</w:t>
            </w:r>
            <w:r w:rsidRPr="00326E55">
              <w:rPr>
                <w:noProof/>
                <w:spacing w:val="-6"/>
                <w:sz w:val="23"/>
                <w:szCs w:val="23"/>
                <w:lang w:val="sk-SK"/>
              </w:rPr>
              <w:t xml:space="preserve"> </w:t>
            </w:r>
            <w:r w:rsidRPr="00326E55">
              <w:rPr>
                <w:noProof/>
                <w:color w:val="006100"/>
                <w:spacing w:val="-6"/>
                <w:sz w:val="20"/>
                <w:szCs w:val="20"/>
                <w:lang w:val="sk-SK"/>
              </w:rPr>
              <w:t xml:space="preserve">. </w:t>
            </w:r>
          </w:p>
        </w:tc>
      </w:tr>
      <w:tr w:rsidR="00BF03AA" w:rsidRPr="00326E55" w14:paraId="19F34F8E" w14:textId="77777777">
        <w:trPr>
          <w:trHeight w:val="300"/>
        </w:trPr>
        <w:tc>
          <w:tcPr>
            <w:tcW w:w="1246" w:type="dxa"/>
            <w:shd w:val="clear" w:color="auto" w:fill="C6EFCE"/>
            <w:tcMar>
              <w:left w:w="108" w:type="dxa"/>
              <w:right w:w="108" w:type="dxa"/>
            </w:tcMar>
            <w:vAlign w:val="center"/>
          </w:tcPr>
          <w:p w14:paraId="76B0245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16 bis</w:t>
            </w:r>
          </w:p>
        </w:tc>
        <w:tc>
          <w:tcPr>
            <w:tcW w:w="3449" w:type="dxa"/>
            <w:shd w:val="clear" w:color="auto" w:fill="C6EFCE"/>
            <w:tcMar>
              <w:left w:w="108" w:type="dxa"/>
              <w:right w:w="108" w:type="dxa"/>
            </w:tcMar>
            <w:vAlign w:val="center"/>
          </w:tcPr>
          <w:p w14:paraId="5E6FF18E" w14:textId="679DEC69" w:rsidR="00BF03AA" w:rsidRPr="00326E55" w:rsidRDefault="00FB452D">
            <w:pPr>
              <w:pStyle w:val="P68B1DB1-Normal121"/>
              <w:spacing w:after="0" w:line="240" w:lineRule="auto"/>
              <w:rPr>
                <w:noProof/>
                <w:spacing w:val="-6"/>
                <w:lang w:val="sk-SK"/>
              </w:rPr>
            </w:pPr>
            <w:r w:rsidRPr="00326E55">
              <w:rPr>
                <w:noProof/>
                <w:spacing w:val="-6"/>
                <w:lang w:val="sk-SK"/>
              </w:rPr>
              <w:t>Investícia 3.1: Výskumné</w:t>
            </w:r>
            <w:r w:rsidR="00326E55" w:rsidRPr="00326E55">
              <w:rPr>
                <w:noProof/>
                <w:spacing w:val="-6"/>
                <w:lang w:val="sk-SK"/>
              </w:rPr>
              <w:t xml:space="preserve"> a </w:t>
            </w:r>
            <w:r w:rsidRPr="00326E55">
              <w:rPr>
                <w:noProof/>
                <w:spacing w:val="-6"/>
                <w:lang w:val="sk-SK"/>
              </w:rPr>
              <w:t>inovačné infraštruktúry</w:t>
            </w:r>
          </w:p>
        </w:tc>
        <w:tc>
          <w:tcPr>
            <w:tcW w:w="1134" w:type="dxa"/>
            <w:shd w:val="clear" w:color="auto" w:fill="C6EFCE"/>
            <w:tcMar>
              <w:left w:w="108" w:type="dxa"/>
              <w:right w:w="108" w:type="dxa"/>
            </w:tcMar>
            <w:vAlign w:val="center"/>
          </w:tcPr>
          <w:p w14:paraId="0792B27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21D5964A" w14:textId="39F57652" w:rsidR="00BF03AA" w:rsidRPr="00326E55" w:rsidRDefault="00FB452D">
            <w:pPr>
              <w:pStyle w:val="P68B1DB1-Normal121"/>
              <w:spacing w:after="0" w:line="240" w:lineRule="auto"/>
              <w:rPr>
                <w:noProof/>
                <w:spacing w:val="-6"/>
                <w:lang w:val="sk-SK"/>
              </w:rPr>
            </w:pPr>
            <w:r w:rsidRPr="00326E55">
              <w:rPr>
                <w:noProof/>
                <w:spacing w:val="-6"/>
                <w:lang w:val="sk-SK"/>
              </w:rPr>
              <w:t>Počet výskumných</w:t>
            </w:r>
            <w:r w:rsidR="00326E55" w:rsidRPr="00326E55">
              <w:rPr>
                <w:noProof/>
                <w:spacing w:val="-6"/>
                <w:lang w:val="sk-SK"/>
              </w:rPr>
              <w:t xml:space="preserve"> a </w:t>
            </w:r>
            <w:r w:rsidRPr="00326E55">
              <w:rPr>
                <w:noProof/>
                <w:spacing w:val="-6"/>
                <w:lang w:val="sk-SK"/>
              </w:rPr>
              <w:t xml:space="preserve">inovačných infraštruktúr, ktoré ukončili svoje činnosti </w:t>
            </w:r>
          </w:p>
        </w:tc>
      </w:tr>
      <w:tr w:rsidR="00BF03AA" w:rsidRPr="00326E55" w14:paraId="3D9A9932" w14:textId="77777777">
        <w:trPr>
          <w:trHeight w:val="300"/>
        </w:trPr>
        <w:tc>
          <w:tcPr>
            <w:tcW w:w="1246" w:type="dxa"/>
            <w:shd w:val="clear" w:color="auto" w:fill="C6EFCE"/>
            <w:tcMar>
              <w:left w:w="108" w:type="dxa"/>
              <w:right w:w="108" w:type="dxa"/>
            </w:tcMar>
            <w:vAlign w:val="center"/>
          </w:tcPr>
          <w:p w14:paraId="263FB6A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 xml:space="preserve">M4C2 – 18 </w:t>
            </w:r>
            <w:r w:rsidRPr="00326E55">
              <w:rPr>
                <w:noProof/>
                <w:spacing w:val="-6"/>
                <w:lang w:val="sk-SK"/>
              </w:rPr>
              <w:t>bis</w:t>
            </w:r>
          </w:p>
        </w:tc>
        <w:tc>
          <w:tcPr>
            <w:tcW w:w="3449" w:type="dxa"/>
            <w:shd w:val="clear" w:color="auto" w:fill="C6EFCE"/>
            <w:tcMar>
              <w:left w:w="108" w:type="dxa"/>
              <w:right w:w="108" w:type="dxa"/>
            </w:tcMar>
            <w:vAlign w:val="center"/>
          </w:tcPr>
          <w:p w14:paraId="754FFE9C" w14:textId="72EB882C" w:rsidR="00BF03AA" w:rsidRPr="00326E55" w:rsidRDefault="00FB452D">
            <w:pPr>
              <w:pStyle w:val="P68B1DB1-Normal121"/>
              <w:spacing w:after="0" w:line="240" w:lineRule="auto"/>
              <w:rPr>
                <w:noProof/>
                <w:spacing w:val="-6"/>
                <w:lang w:val="sk-SK"/>
              </w:rPr>
            </w:pPr>
            <w:r w:rsidRPr="00326E55">
              <w:rPr>
                <w:noProof/>
                <w:spacing w:val="-6"/>
                <w:lang w:val="sk-SK"/>
              </w:rPr>
              <w:t>Položka1.5: „Inovačné ekosystémy pre udržateľnosť“, budovanie „územných lídrov výskumu</w:t>
            </w:r>
            <w:r w:rsidR="00326E55" w:rsidRPr="00326E55">
              <w:rPr>
                <w:noProof/>
                <w:spacing w:val="-6"/>
                <w:lang w:val="sk-SK"/>
              </w:rPr>
              <w:t xml:space="preserve"> a </w:t>
            </w:r>
            <w:r w:rsidRPr="00326E55">
              <w:rPr>
                <w:noProof/>
                <w:spacing w:val="-6"/>
                <w:lang w:val="sk-SK"/>
              </w:rPr>
              <w:t>vývoja“</w:t>
            </w:r>
          </w:p>
        </w:tc>
        <w:tc>
          <w:tcPr>
            <w:tcW w:w="1134" w:type="dxa"/>
            <w:shd w:val="clear" w:color="auto" w:fill="C6EFCE"/>
            <w:tcMar>
              <w:left w:w="108" w:type="dxa"/>
              <w:right w:w="108" w:type="dxa"/>
            </w:tcMar>
            <w:vAlign w:val="center"/>
          </w:tcPr>
          <w:p w14:paraId="18E798D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07E0293C" w14:textId="316BDE59" w:rsidR="00BF03AA" w:rsidRPr="00326E55" w:rsidRDefault="00FB452D">
            <w:pPr>
              <w:pStyle w:val="P68B1DB1-Normal121"/>
              <w:spacing w:after="0" w:line="240" w:lineRule="auto"/>
              <w:rPr>
                <w:noProof/>
                <w:spacing w:val="-6"/>
                <w:lang w:val="sk-SK"/>
              </w:rPr>
            </w:pPr>
            <w:r w:rsidRPr="00326E55">
              <w:rPr>
                <w:noProof/>
                <w:spacing w:val="-6"/>
                <w:lang w:val="sk-SK"/>
              </w:rPr>
              <w:t>Činnosti vykonávané inovačnými ekosystémami</w:t>
            </w:r>
          </w:p>
        </w:tc>
      </w:tr>
      <w:tr w:rsidR="00BF03AA" w:rsidRPr="00326E55" w14:paraId="5CFCAD4F" w14:textId="77777777">
        <w:trPr>
          <w:trHeight w:val="300"/>
        </w:trPr>
        <w:tc>
          <w:tcPr>
            <w:tcW w:w="1246" w:type="dxa"/>
            <w:shd w:val="clear" w:color="auto" w:fill="C6EFCE"/>
            <w:tcMar>
              <w:left w:w="108" w:type="dxa"/>
              <w:right w:w="108" w:type="dxa"/>
            </w:tcMar>
            <w:vAlign w:val="center"/>
          </w:tcPr>
          <w:p w14:paraId="6EF3E80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M4C2 – 21</w:t>
            </w:r>
          </w:p>
        </w:tc>
        <w:tc>
          <w:tcPr>
            <w:tcW w:w="3449" w:type="dxa"/>
            <w:shd w:val="clear" w:color="auto" w:fill="C6EFCE"/>
            <w:tcMar>
              <w:left w:w="108" w:type="dxa"/>
              <w:right w:w="108" w:type="dxa"/>
            </w:tcMar>
            <w:vAlign w:val="center"/>
          </w:tcPr>
          <w:p w14:paraId="1E1A5993"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3.2 – Kapitálová injekcia do Fondu na digitálnu transformáciu (DTF)</w:t>
            </w:r>
          </w:p>
        </w:tc>
        <w:tc>
          <w:tcPr>
            <w:tcW w:w="1134" w:type="dxa"/>
            <w:shd w:val="clear" w:color="auto" w:fill="C6EFCE"/>
            <w:tcMar>
              <w:left w:w="108" w:type="dxa"/>
              <w:right w:w="108" w:type="dxa"/>
            </w:tcMar>
            <w:vAlign w:val="center"/>
          </w:tcPr>
          <w:p w14:paraId="73EB12D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1C3FF73D"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Prijatie </w:t>
            </w:r>
            <w:r w:rsidRPr="00326E55">
              <w:rPr>
                <w:noProof/>
                <w:spacing w:val="-6"/>
                <w:lang w:val="sk-SK"/>
              </w:rPr>
              <w:t>správy</w:t>
            </w:r>
          </w:p>
        </w:tc>
      </w:tr>
      <w:tr w:rsidR="00BF03AA" w:rsidRPr="00326E55" w14:paraId="2ADE749A" w14:textId="77777777">
        <w:trPr>
          <w:trHeight w:val="300"/>
        </w:trPr>
        <w:tc>
          <w:tcPr>
            <w:tcW w:w="1246" w:type="dxa"/>
            <w:shd w:val="clear" w:color="auto" w:fill="C6EFCE"/>
            <w:tcMar>
              <w:left w:w="108" w:type="dxa"/>
              <w:right w:w="108" w:type="dxa"/>
            </w:tcMar>
            <w:vAlign w:val="center"/>
          </w:tcPr>
          <w:p w14:paraId="64919AD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12</w:t>
            </w:r>
          </w:p>
        </w:tc>
        <w:tc>
          <w:tcPr>
            <w:tcW w:w="3449" w:type="dxa"/>
            <w:shd w:val="clear" w:color="auto" w:fill="C6EFCE"/>
            <w:tcMar>
              <w:left w:w="108" w:type="dxa"/>
              <w:right w:w="108" w:type="dxa"/>
            </w:tcMar>
            <w:vAlign w:val="center"/>
          </w:tcPr>
          <w:p w14:paraId="40EE46EE" w14:textId="712BF6C4" w:rsidR="00BF03AA" w:rsidRPr="00326E55" w:rsidRDefault="00FB452D">
            <w:pPr>
              <w:pStyle w:val="P68B1DB1-Normal121"/>
              <w:spacing w:after="0" w:line="240" w:lineRule="auto"/>
              <w:rPr>
                <w:noProof/>
                <w:spacing w:val="-6"/>
                <w:lang w:val="sk-SK"/>
              </w:rPr>
            </w:pPr>
            <w:r w:rsidRPr="00326E55">
              <w:rPr>
                <w:noProof/>
                <w:spacing w:val="-6"/>
                <w:lang w:val="sk-SK"/>
              </w:rPr>
              <w:t>Investícia 4 – Investície do projektov obnovy miest zamerané na zníženie situácií marginalizácie</w:t>
            </w:r>
            <w:r w:rsidR="00326E55" w:rsidRPr="00326E55">
              <w:rPr>
                <w:noProof/>
                <w:spacing w:val="-6"/>
                <w:lang w:val="sk-SK"/>
              </w:rPr>
              <w:t xml:space="preserve"> a </w:t>
            </w:r>
            <w:r w:rsidRPr="00326E55">
              <w:rPr>
                <w:noProof/>
                <w:spacing w:val="-6"/>
                <w:lang w:val="sk-SK"/>
              </w:rPr>
              <w:t>sociálnej degradácie</w:t>
            </w:r>
          </w:p>
        </w:tc>
        <w:tc>
          <w:tcPr>
            <w:tcW w:w="1134" w:type="dxa"/>
            <w:shd w:val="clear" w:color="auto" w:fill="C6EFCE"/>
            <w:tcMar>
              <w:left w:w="108" w:type="dxa"/>
              <w:right w:w="108" w:type="dxa"/>
            </w:tcMar>
            <w:vAlign w:val="center"/>
          </w:tcPr>
          <w:p w14:paraId="1023F8F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F131A22" w14:textId="2AFD3827" w:rsidR="00BF03AA" w:rsidRPr="00326E55" w:rsidRDefault="00FB452D">
            <w:pPr>
              <w:pStyle w:val="P68B1DB1-Normal121"/>
              <w:spacing w:after="0" w:line="240" w:lineRule="auto"/>
              <w:rPr>
                <w:noProof/>
                <w:spacing w:val="-6"/>
                <w:lang w:val="sk-SK"/>
              </w:rPr>
            </w:pPr>
            <w:r w:rsidRPr="00326E55">
              <w:rPr>
                <w:noProof/>
                <w:spacing w:val="-6"/>
                <w:lang w:val="sk-SK"/>
              </w:rPr>
              <w:t>Projekty na zásahy</w:t>
            </w:r>
            <w:r w:rsidR="00326E55" w:rsidRPr="00326E55">
              <w:rPr>
                <w:noProof/>
                <w:spacing w:val="-6"/>
                <w:lang w:val="sk-SK"/>
              </w:rPr>
              <w:t xml:space="preserve"> v </w:t>
            </w:r>
            <w:r w:rsidRPr="00326E55">
              <w:rPr>
                <w:noProof/>
                <w:spacing w:val="-6"/>
                <w:lang w:val="sk-SK"/>
              </w:rPr>
              <w:t>oblasti obnovy miest, ktoré sa vzťahujú na obce</w:t>
            </w:r>
          </w:p>
        </w:tc>
      </w:tr>
      <w:tr w:rsidR="00BF03AA" w:rsidRPr="00326E55" w14:paraId="589BEEE1" w14:textId="77777777">
        <w:trPr>
          <w:trHeight w:val="300"/>
        </w:trPr>
        <w:tc>
          <w:tcPr>
            <w:tcW w:w="1246" w:type="dxa"/>
            <w:shd w:val="clear" w:color="auto" w:fill="C6EFCE"/>
            <w:tcMar>
              <w:left w:w="108" w:type="dxa"/>
              <w:right w:w="108" w:type="dxa"/>
            </w:tcMar>
            <w:vAlign w:val="center"/>
          </w:tcPr>
          <w:p w14:paraId="332C012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14</w:t>
            </w:r>
          </w:p>
        </w:tc>
        <w:tc>
          <w:tcPr>
            <w:tcW w:w="3449" w:type="dxa"/>
            <w:shd w:val="clear" w:color="auto" w:fill="C6EFCE"/>
            <w:tcMar>
              <w:left w:w="108" w:type="dxa"/>
              <w:right w:w="108" w:type="dxa"/>
            </w:tcMar>
            <w:vAlign w:val="center"/>
          </w:tcPr>
          <w:p w14:paraId="3A34FA67"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5 – Mestské </w:t>
            </w:r>
            <w:r w:rsidRPr="00326E55">
              <w:rPr>
                <w:noProof/>
                <w:spacing w:val="-6"/>
                <w:lang w:val="sk-SK"/>
              </w:rPr>
              <w:t>integrované plány – všeobecné projekty</w:t>
            </w:r>
          </w:p>
        </w:tc>
        <w:tc>
          <w:tcPr>
            <w:tcW w:w="1134" w:type="dxa"/>
            <w:shd w:val="clear" w:color="auto" w:fill="C6EFCE"/>
            <w:tcMar>
              <w:left w:w="108" w:type="dxa"/>
              <w:right w:w="108" w:type="dxa"/>
            </w:tcMar>
            <w:vAlign w:val="center"/>
          </w:tcPr>
          <w:p w14:paraId="1D7714F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C6C0F82" w14:textId="30EE719A" w:rsidR="00BF03AA" w:rsidRPr="00326E55" w:rsidRDefault="00FB452D">
            <w:pPr>
              <w:pStyle w:val="P68B1DB1-Normal121"/>
              <w:spacing w:after="0" w:line="240" w:lineRule="auto"/>
              <w:rPr>
                <w:noProof/>
                <w:spacing w:val="-6"/>
                <w:lang w:val="sk-SK"/>
              </w:rPr>
            </w:pPr>
            <w:r w:rsidRPr="00326E55">
              <w:rPr>
                <w:noProof/>
                <w:spacing w:val="-6"/>
                <w:lang w:val="sk-SK"/>
              </w:rPr>
              <w:t>Dokončenie integrovaných projektov plánovania</w:t>
            </w:r>
            <w:r w:rsidR="00326E55" w:rsidRPr="00326E55">
              <w:rPr>
                <w:noProof/>
                <w:spacing w:val="-6"/>
                <w:lang w:val="sk-SK"/>
              </w:rPr>
              <w:t xml:space="preserve"> v </w:t>
            </w:r>
            <w:r w:rsidRPr="00326E55">
              <w:rPr>
                <w:noProof/>
                <w:spacing w:val="-6"/>
                <w:lang w:val="sk-SK"/>
              </w:rPr>
              <w:t>metropolitných mestách</w:t>
            </w:r>
          </w:p>
        </w:tc>
      </w:tr>
      <w:tr w:rsidR="00BF03AA" w:rsidRPr="00326E55" w14:paraId="1E9AE1A7" w14:textId="77777777">
        <w:trPr>
          <w:trHeight w:val="300"/>
        </w:trPr>
        <w:tc>
          <w:tcPr>
            <w:tcW w:w="1246" w:type="dxa"/>
            <w:shd w:val="clear" w:color="auto" w:fill="C6EFCE"/>
            <w:tcMar>
              <w:left w:w="108" w:type="dxa"/>
              <w:right w:w="108" w:type="dxa"/>
            </w:tcMar>
            <w:vAlign w:val="center"/>
          </w:tcPr>
          <w:p w14:paraId="712802E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16</w:t>
            </w:r>
          </w:p>
        </w:tc>
        <w:tc>
          <w:tcPr>
            <w:tcW w:w="3449" w:type="dxa"/>
            <w:shd w:val="clear" w:color="auto" w:fill="C6EFCE"/>
            <w:tcMar>
              <w:left w:w="108" w:type="dxa"/>
              <w:right w:w="108" w:type="dxa"/>
            </w:tcMar>
            <w:vAlign w:val="center"/>
          </w:tcPr>
          <w:p w14:paraId="27055275" w14:textId="12D9EE4D" w:rsidR="00BF03AA" w:rsidRPr="00326E55" w:rsidRDefault="00FB452D">
            <w:pPr>
              <w:pStyle w:val="P68B1DB1-Normal121"/>
              <w:spacing w:after="0" w:line="240" w:lineRule="auto"/>
              <w:rPr>
                <w:noProof/>
                <w:spacing w:val="-6"/>
                <w:lang w:val="sk-SK"/>
              </w:rPr>
            </w:pPr>
            <w:r w:rsidRPr="00326E55">
              <w:rPr>
                <w:noProof/>
                <w:spacing w:val="-6"/>
                <w:lang w:val="sk-SK"/>
              </w:rPr>
              <w:t>Investícia 5 – Mestské integrované plány – Prekonanie nelegálnych osád</w:t>
            </w:r>
            <w:r w:rsidR="00326E55" w:rsidRPr="00326E55">
              <w:rPr>
                <w:noProof/>
                <w:spacing w:val="-6"/>
                <w:lang w:val="sk-SK"/>
              </w:rPr>
              <w:t xml:space="preserve"> v </w:t>
            </w:r>
            <w:r w:rsidRPr="00326E55">
              <w:rPr>
                <w:noProof/>
                <w:spacing w:val="-6"/>
                <w:lang w:val="sk-SK"/>
              </w:rPr>
              <w:t>boji proti pracovnému vykorisťovaniu</w:t>
            </w:r>
            <w:r w:rsidR="00326E55" w:rsidRPr="00326E55">
              <w:rPr>
                <w:noProof/>
                <w:spacing w:val="-6"/>
                <w:lang w:val="sk-SK"/>
              </w:rPr>
              <w:t xml:space="preserve"> v </w:t>
            </w:r>
            <w:r w:rsidRPr="00326E55">
              <w:rPr>
                <w:noProof/>
                <w:spacing w:val="-6"/>
                <w:lang w:val="sk-SK"/>
              </w:rPr>
              <w:t>poľnohospodárstve</w:t>
            </w:r>
          </w:p>
        </w:tc>
        <w:tc>
          <w:tcPr>
            <w:tcW w:w="1134" w:type="dxa"/>
            <w:shd w:val="clear" w:color="auto" w:fill="C6EFCE"/>
            <w:tcMar>
              <w:left w:w="108" w:type="dxa"/>
              <w:right w:w="108" w:type="dxa"/>
            </w:tcMar>
            <w:vAlign w:val="center"/>
          </w:tcPr>
          <w:p w14:paraId="12391E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46194EC" w14:textId="1CEB3A0C" w:rsidR="00BF03AA" w:rsidRPr="00326E55" w:rsidRDefault="00FB452D">
            <w:pPr>
              <w:pStyle w:val="P68B1DB1-Normal121"/>
              <w:spacing w:after="0" w:line="240" w:lineRule="auto"/>
              <w:rPr>
                <w:noProof/>
                <w:spacing w:val="-6"/>
                <w:lang w:val="sk-SK"/>
              </w:rPr>
            </w:pPr>
            <w:r w:rsidRPr="00326E55">
              <w:rPr>
                <w:noProof/>
                <w:spacing w:val="-6"/>
                <w:lang w:val="sk-SK"/>
              </w:rPr>
              <w:t>Projekty týkajúce sa bývania pre pracovníkov</w:t>
            </w:r>
            <w:r w:rsidR="00326E55" w:rsidRPr="00326E55">
              <w:rPr>
                <w:noProof/>
                <w:spacing w:val="-6"/>
                <w:lang w:val="sk-SK"/>
              </w:rPr>
              <w:t xml:space="preserve"> v </w:t>
            </w:r>
            <w:r w:rsidRPr="00326E55">
              <w:rPr>
                <w:noProof/>
                <w:spacing w:val="-6"/>
                <w:lang w:val="sk-SK"/>
              </w:rPr>
              <w:t>poľnohospodárstve</w:t>
            </w:r>
            <w:r w:rsidR="00326E55" w:rsidRPr="00326E55">
              <w:rPr>
                <w:noProof/>
                <w:spacing w:val="-6"/>
                <w:lang w:val="sk-SK"/>
              </w:rPr>
              <w:t xml:space="preserve"> a </w:t>
            </w:r>
            <w:r w:rsidRPr="00326E55">
              <w:rPr>
                <w:noProof/>
                <w:spacing w:val="-6"/>
                <w:lang w:val="sk-SK"/>
              </w:rPr>
              <w:t>zriadenie platformy</w:t>
            </w:r>
          </w:p>
        </w:tc>
      </w:tr>
      <w:tr w:rsidR="00BF03AA" w:rsidRPr="00326E55" w14:paraId="032F0736" w14:textId="77777777">
        <w:trPr>
          <w:trHeight w:val="300"/>
        </w:trPr>
        <w:tc>
          <w:tcPr>
            <w:tcW w:w="1246" w:type="dxa"/>
            <w:shd w:val="clear" w:color="auto" w:fill="C6EFCE"/>
            <w:tcMar>
              <w:left w:w="108" w:type="dxa"/>
              <w:right w:w="108" w:type="dxa"/>
            </w:tcMar>
            <w:vAlign w:val="center"/>
          </w:tcPr>
          <w:p w14:paraId="12B0542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22</w:t>
            </w:r>
          </w:p>
        </w:tc>
        <w:tc>
          <w:tcPr>
            <w:tcW w:w="3449" w:type="dxa"/>
            <w:shd w:val="clear" w:color="auto" w:fill="C6EFCE"/>
            <w:tcMar>
              <w:left w:w="108" w:type="dxa"/>
              <w:right w:w="108" w:type="dxa"/>
            </w:tcMar>
            <w:vAlign w:val="center"/>
          </w:tcPr>
          <w:p w14:paraId="11997626" w14:textId="3BEA239D" w:rsidR="00BF03AA" w:rsidRPr="00326E55" w:rsidRDefault="00FB452D">
            <w:pPr>
              <w:pStyle w:val="P68B1DB1-Normal121"/>
              <w:spacing w:after="0" w:line="240" w:lineRule="auto"/>
              <w:rPr>
                <w:noProof/>
                <w:spacing w:val="-6"/>
                <w:lang w:val="sk-SK"/>
              </w:rPr>
            </w:pPr>
            <w:r w:rsidRPr="00326E55">
              <w:rPr>
                <w:noProof/>
                <w:spacing w:val="-6"/>
                <w:lang w:val="sk-SK"/>
              </w:rPr>
              <w:t>Investícia 7 – Šport</w:t>
            </w:r>
            <w:r w:rsidR="00326E55" w:rsidRPr="00326E55">
              <w:rPr>
                <w:noProof/>
                <w:spacing w:val="-6"/>
                <w:lang w:val="sk-SK"/>
              </w:rPr>
              <w:t xml:space="preserve"> a </w:t>
            </w:r>
            <w:r w:rsidRPr="00326E55">
              <w:rPr>
                <w:noProof/>
                <w:spacing w:val="-6"/>
                <w:lang w:val="sk-SK"/>
              </w:rPr>
              <w:t xml:space="preserve">sociálne začlenenie </w:t>
            </w:r>
          </w:p>
        </w:tc>
        <w:tc>
          <w:tcPr>
            <w:tcW w:w="1134" w:type="dxa"/>
            <w:shd w:val="clear" w:color="auto" w:fill="C6EFCE"/>
            <w:tcMar>
              <w:left w:w="108" w:type="dxa"/>
              <w:right w:w="108" w:type="dxa"/>
            </w:tcMar>
            <w:vAlign w:val="center"/>
          </w:tcPr>
          <w:p w14:paraId="47564DB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4EF80DA" w14:textId="72591ACB" w:rsidR="00BF03AA" w:rsidRPr="00326E55" w:rsidRDefault="00FB452D">
            <w:pPr>
              <w:pStyle w:val="P68B1DB1-Normal121"/>
              <w:spacing w:after="0" w:line="240" w:lineRule="auto"/>
              <w:rPr>
                <w:noProof/>
                <w:spacing w:val="-6"/>
                <w:lang w:val="sk-SK"/>
              </w:rPr>
            </w:pPr>
            <w:r w:rsidRPr="00326E55">
              <w:rPr>
                <w:noProof/>
                <w:spacing w:val="-6"/>
                <w:lang w:val="sk-SK"/>
              </w:rPr>
              <w:t>Vydané osvedčenia</w:t>
            </w:r>
            <w:r w:rsidR="00326E55" w:rsidRPr="00326E55">
              <w:rPr>
                <w:noProof/>
                <w:spacing w:val="-6"/>
                <w:lang w:val="sk-SK"/>
              </w:rPr>
              <w:t xml:space="preserve"> o </w:t>
            </w:r>
            <w:r w:rsidRPr="00326E55">
              <w:rPr>
                <w:noProof/>
                <w:spacing w:val="-6"/>
                <w:lang w:val="sk-SK"/>
              </w:rPr>
              <w:t>dokončení prác</w:t>
            </w:r>
          </w:p>
        </w:tc>
      </w:tr>
      <w:tr w:rsidR="00BF03AA" w:rsidRPr="00326E55" w14:paraId="7EBACB0E" w14:textId="77777777">
        <w:trPr>
          <w:trHeight w:val="300"/>
        </w:trPr>
        <w:tc>
          <w:tcPr>
            <w:tcW w:w="1246" w:type="dxa"/>
            <w:shd w:val="clear" w:color="auto" w:fill="C6EFCE"/>
            <w:tcMar>
              <w:left w:w="108" w:type="dxa"/>
              <w:right w:w="108" w:type="dxa"/>
            </w:tcMar>
            <w:vAlign w:val="center"/>
          </w:tcPr>
          <w:p w14:paraId="3E34583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M5C3 – 13</w:t>
            </w:r>
          </w:p>
        </w:tc>
        <w:tc>
          <w:tcPr>
            <w:tcW w:w="3449" w:type="dxa"/>
            <w:shd w:val="clear" w:color="auto" w:fill="C6EFCE"/>
            <w:tcMar>
              <w:left w:w="108" w:type="dxa"/>
              <w:right w:w="108" w:type="dxa"/>
            </w:tcMar>
            <w:vAlign w:val="center"/>
          </w:tcPr>
          <w:p w14:paraId="792824C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1.4: Investície do infraštruktúry pre osobitnú </w:t>
            </w:r>
            <w:r w:rsidRPr="00326E55">
              <w:rPr>
                <w:noProof/>
                <w:spacing w:val="-6"/>
                <w:lang w:val="sk-SK"/>
              </w:rPr>
              <w:t>hospodársku zónu</w:t>
            </w:r>
          </w:p>
        </w:tc>
        <w:tc>
          <w:tcPr>
            <w:tcW w:w="1134" w:type="dxa"/>
            <w:shd w:val="clear" w:color="auto" w:fill="C6EFCE"/>
            <w:tcMar>
              <w:left w:w="108" w:type="dxa"/>
              <w:right w:w="108" w:type="dxa"/>
            </w:tcMar>
            <w:vAlign w:val="center"/>
          </w:tcPr>
          <w:p w14:paraId="141789A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6608E80B" w14:textId="1AC4AC51" w:rsidR="00BF03AA" w:rsidRPr="00326E55" w:rsidRDefault="00FB452D">
            <w:pPr>
              <w:pStyle w:val="P68B1DB1-Normal121"/>
              <w:spacing w:after="0" w:line="240" w:lineRule="auto"/>
              <w:rPr>
                <w:noProof/>
                <w:spacing w:val="-6"/>
                <w:lang w:val="sk-SK"/>
              </w:rPr>
            </w:pPr>
            <w:r w:rsidRPr="00326E55">
              <w:rPr>
                <w:noProof/>
                <w:spacing w:val="-6"/>
                <w:lang w:val="sk-SK"/>
              </w:rPr>
              <w:t>Finalizácia intervencií</w:t>
            </w:r>
            <w:r w:rsidR="00326E55" w:rsidRPr="00326E55">
              <w:rPr>
                <w:noProof/>
                <w:spacing w:val="-6"/>
                <w:lang w:val="sk-SK"/>
              </w:rPr>
              <w:t xml:space="preserve"> v </w:t>
            </w:r>
            <w:r w:rsidRPr="00326E55">
              <w:rPr>
                <w:noProof/>
                <w:spacing w:val="-6"/>
                <w:lang w:val="sk-SK"/>
              </w:rPr>
              <w:t>oblasti infraštruktúry</w:t>
            </w:r>
            <w:r w:rsidR="00326E55" w:rsidRPr="00326E55">
              <w:rPr>
                <w:noProof/>
                <w:spacing w:val="-6"/>
                <w:lang w:val="sk-SK"/>
              </w:rPr>
              <w:t xml:space="preserve"> v </w:t>
            </w:r>
            <w:r w:rsidRPr="00326E55">
              <w:rPr>
                <w:noProof/>
                <w:spacing w:val="-6"/>
                <w:lang w:val="sk-SK"/>
              </w:rPr>
              <w:t>osobitných hospodárskych zónach.</w:t>
            </w:r>
          </w:p>
        </w:tc>
      </w:tr>
      <w:tr w:rsidR="00BF03AA" w:rsidRPr="00326E55" w14:paraId="30F5AB4E" w14:textId="77777777">
        <w:trPr>
          <w:trHeight w:val="300"/>
        </w:trPr>
        <w:tc>
          <w:tcPr>
            <w:tcW w:w="1246" w:type="dxa"/>
            <w:shd w:val="clear" w:color="auto" w:fill="C6EFCE"/>
            <w:tcMar>
              <w:left w:w="108" w:type="dxa"/>
              <w:right w:w="108" w:type="dxa"/>
            </w:tcMar>
            <w:vAlign w:val="center"/>
          </w:tcPr>
          <w:p w14:paraId="5F0CC8D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3</w:t>
            </w:r>
          </w:p>
        </w:tc>
        <w:tc>
          <w:tcPr>
            <w:tcW w:w="3449" w:type="dxa"/>
            <w:shd w:val="clear" w:color="auto" w:fill="C6EFCE"/>
            <w:tcMar>
              <w:left w:w="108" w:type="dxa"/>
              <w:right w:w="108" w:type="dxa"/>
            </w:tcMar>
            <w:vAlign w:val="center"/>
          </w:tcPr>
          <w:p w14:paraId="08823B46"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1.1: Komunitné zdravotnícke domy na zlepšenie územnej zdravotnej pomoci</w:t>
            </w:r>
          </w:p>
        </w:tc>
        <w:tc>
          <w:tcPr>
            <w:tcW w:w="1134" w:type="dxa"/>
            <w:shd w:val="clear" w:color="auto" w:fill="C6EFCE"/>
            <w:tcMar>
              <w:left w:w="108" w:type="dxa"/>
              <w:right w:w="108" w:type="dxa"/>
            </w:tcMar>
            <w:vAlign w:val="center"/>
          </w:tcPr>
          <w:p w14:paraId="0728AB6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E43252B"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Služby komunitných zdravotníckych domov sa aktivujú </w:t>
            </w:r>
          </w:p>
        </w:tc>
      </w:tr>
      <w:tr w:rsidR="00BF03AA" w:rsidRPr="00326E55" w14:paraId="71FF1C8A" w14:textId="77777777">
        <w:trPr>
          <w:trHeight w:val="300"/>
        </w:trPr>
        <w:tc>
          <w:tcPr>
            <w:tcW w:w="1246" w:type="dxa"/>
            <w:shd w:val="clear" w:color="auto" w:fill="C6EFCE"/>
            <w:tcMar>
              <w:left w:w="108" w:type="dxa"/>
              <w:right w:w="108" w:type="dxa"/>
            </w:tcMar>
            <w:vAlign w:val="center"/>
          </w:tcPr>
          <w:p w14:paraId="5BB98A2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M6C1 – 11</w:t>
            </w:r>
          </w:p>
        </w:tc>
        <w:tc>
          <w:tcPr>
            <w:tcW w:w="3449" w:type="dxa"/>
            <w:shd w:val="clear" w:color="auto" w:fill="C6EFCE"/>
            <w:tcMar>
              <w:left w:w="108" w:type="dxa"/>
              <w:right w:w="108" w:type="dxa"/>
            </w:tcMar>
            <w:vAlign w:val="center"/>
          </w:tcPr>
          <w:p w14:paraId="77F5EA8F" w14:textId="5D9A48DA" w:rsidR="00BF03AA" w:rsidRPr="00326E55" w:rsidRDefault="00FB452D">
            <w:pPr>
              <w:pStyle w:val="P68B1DB1-Normal121"/>
              <w:spacing w:after="0" w:line="240" w:lineRule="auto"/>
              <w:rPr>
                <w:noProof/>
                <w:spacing w:val="-6"/>
                <w:lang w:val="sk-SK"/>
              </w:rPr>
            </w:pPr>
            <w:r w:rsidRPr="00326E55">
              <w:rPr>
                <w:noProof/>
                <w:spacing w:val="-6"/>
                <w:lang w:val="sk-SK"/>
              </w:rPr>
              <w:t>Investícia 1.3: Posilnenie strednej zdravotnej starostlivosti</w:t>
            </w:r>
            <w:r w:rsidR="00326E55" w:rsidRPr="00326E55">
              <w:rPr>
                <w:noProof/>
                <w:spacing w:val="-6"/>
                <w:lang w:val="sk-SK"/>
              </w:rPr>
              <w:t xml:space="preserve"> a </w:t>
            </w:r>
            <w:r w:rsidRPr="00326E55">
              <w:rPr>
                <w:noProof/>
                <w:spacing w:val="-6"/>
                <w:lang w:val="sk-SK"/>
              </w:rPr>
              <w:t>jej zariadení (komunitné nemocnice)</w:t>
            </w:r>
          </w:p>
        </w:tc>
        <w:tc>
          <w:tcPr>
            <w:tcW w:w="1134" w:type="dxa"/>
            <w:shd w:val="clear" w:color="auto" w:fill="C6EFCE"/>
            <w:tcMar>
              <w:left w:w="108" w:type="dxa"/>
              <w:right w:w="108" w:type="dxa"/>
            </w:tcMar>
            <w:vAlign w:val="center"/>
          </w:tcPr>
          <w:p w14:paraId="30345B7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63A5FD9B" w14:textId="5CC1FFDC" w:rsidR="00BF03AA" w:rsidRPr="00326E55" w:rsidRDefault="00FB452D">
            <w:pPr>
              <w:pStyle w:val="P68B1DB1-Normal121"/>
              <w:spacing w:after="0" w:line="240" w:lineRule="auto"/>
              <w:rPr>
                <w:noProof/>
                <w:spacing w:val="-6"/>
                <w:lang w:val="sk-SK"/>
              </w:rPr>
            </w:pPr>
            <w:r w:rsidRPr="00326E55">
              <w:rPr>
                <w:noProof/>
                <w:spacing w:val="-6"/>
                <w:lang w:val="sk-SK"/>
              </w:rPr>
              <w:t>Komunitné nemocnice renovované, prepojené</w:t>
            </w:r>
            <w:r w:rsidR="00326E55" w:rsidRPr="00326E55">
              <w:rPr>
                <w:noProof/>
                <w:spacing w:val="-6"/>
                <w:lang w:val="sk-SK"/>
              </w:rPr>
              <w:t xml:space="preserve"> a </w:t>
            </w:r>
            <w:r w:rsidRPr="00326E55">
              <w:rPr>
                <w:noProof/>
                <w:spacing w:val="-6"/>
                <w:lang w:val="sk-SK"/>
              </w:rPr>
              <w:t xml:space="preserve">technologicky vybavené </w:t>
            </w:r>
          </w:p>
        </w:tc>
      </w:tr>
      <w:tr w:rsidR="00BF03AA" w:rsidRPr="00326E55" w14:paraId="60D40B2F" w14:textId="77777777">
        <w:trPr>
          <w:trHeight w:val="300"/>
        </w:trPr>
        <w:tc>
          <w:tcPr>
            <w:tcW w:w="1246" w:type="dxa"/>
            <w:shd w:val="clear" w:color="auto" w:fill="C6EFCE"/>
            <w:tcMar>
              <w:left w:w="108" w:type="dxa"/>
              <w:right w:w="108" w:type="dxa"/>
            </w:tcMar>
            <w:vAlign w:val="center"/>
          </w:tcPr>
          <w:p w14:paraId="62F6D64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6</w:t>
            </w:r>
          </w:p>
        </w:tc>
        <w:tc>
          <w:tcPr>
            <w:tcW w:w="3449" w:type="dxa"/>
            <w:shd w:val="clear" w:color="auto" w:fill="C6EFCE"/>
            <w:tcMar>
              <w:left w:w="108" w:type="dxa"/>
              <w:right w:w="108" w:type="dxa"/>
            </w:tcMar>
            <w:vAlign w:val="center"/>
          </w:tcPr>
          <w:p w14:paraId="3287ADF9" w14:textId="77777777" w:rsidR="00BF03AA" w:rsidRPr="00326E55" w:rsidRDefault="00FB452D">
            <w:pPr>
              <w:pStyle w:val="P68B1DB1-Normal123"/>
              <w:spacing w:after="0" w:line="240" w:lineRule="auto"/>
              <w:rPr>
                <w:noProof/>
                <w:spacing w:val="-6"/>
                <w:lang w:val="sk-SK"/>
              </w:rPr>
            </w:pPr>
            <w:r w:rsidRPr="00326E55">
              <w:rPr>
                <w:noProof/>
                <w:spacing w:val="-6"/>
                <w:lang w:val="sk-SK"/>
              </w:rPr>
              <w:t xml:space="preserve">Investícia 1.1: Digitálna aktualizácia technologického </w:t>
            </w:r>
            <w:r w:rsidRPr="00326E55">
              <w:rPr>
                <w:noProof/>
                <w:spacing w:val="-6"/>
                <w:lang w:val="sk-SK"/>
              </w:rPr>
              <w:t>vybavenia nemocníc</w:t>
            </w:r>
          </w:p>
        </w:tc>
        <w:tc>
          <w:tcPr>
            <w:tcW w:w="1134" w:type="dxa"/>
            <w:shd w:val="clear" w:color="auto" w:fill="C6EFCE"/>
            <w:tcMar>
              <w:left w:w="108" w:type="dxa"/>
              <w:right w:w="108" w:type="dxa"/>
            </w:tcMar>
            <w:vAlign w:val="center"/>
          </w:tcPr>
          <w:p w14:paraId="1A2A022D"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8A22E38" w14:textId="77777777" w:rsidR="00BF03AA" w:rsidRPr="00326E55" w:rsidRDefault="00FB452D">
            <w:pPr>
              <w:pStyle w:val="P68B1DB1-Normal123"/>
              <w:spacing w:after="0" w:line="240" w:lineRule="auto"/>
              <w:rPr>
                <w:noProof/>
                <w:spacing w:val="-6"/>
                <w:lang w:val="sk-SK"/>
              </w:rPr>
            </w:pPr>
            <w:r w:rsidRPr="00326E55">
              <w:rPr>
                <w:noProof/>
                <w:spacing w:val="-6"/>
                <w:lang w:val="sk-SK"/>
              </w:rPr>
              <w:t>Dodanie veľkých diagnostických zariadení</w:t>
            </w:r>
          </w:p>
        </w:tc>
      </w:tr>
      <w:tr w:rsidR="00BF03AA" w:rsidRPr="00326E55" w14:paraId="627BC4CB" w14:textId="77777777">
        <w:trPr>
          <w:trHeight w:val="300"/>
        </w:trPr>
        <w:tc>
          <w:tcPr>
            <w:tcW w:w="1246" w:type="dxa"/>
            <w:shd w:val="clear" w:color="auto" w:fill="C6EFCE"/>
            <w:tcMar>
              <w:left w:w="108" w:type="dxa"/>
              <w:right w:w="108" w:type="dxa"/>
            </w:tcMar>
            <w:vAlign w:val="center"/>
          </w:tcPr>
          <w:p w14:paraId="41BDF90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9</w:t>
            </w:r>
          </w:p>
        </w:tc>
        <w:tc>
          <w:tcPr>
            <w:tcW w:w="3449" w:type="dxa"/>
            <w:shd w:val="clear" w:color="auto" w:fill="C6EFCE"/>
            <w:tcMar>
              <w:left w:w="108" w:type="dxa"/>
              <w:right w:w="108" w:type="dxa"/>
            </w:tcMar>
            <w:vAlign w:val="center"/>
          </w:tcPr>
          <w:p w14:paraId="3007F536" w14:textId="77777777" w:rsidR="00BF03AA" w:rsidRPr="00326E55" w:rsidRDefault="00FB452D">
            <w:pPr>
              <w:pStyle w:val="P68B1DB1-Normal123"/>
              <w:spacing w:after="0" w:line="240" w:lineRule="auto"/>
              <w:rPr>
                <w:noProof/>
                <w:spacing w:val="-6"/>
                <w:lang w:val="sk-SK"/>
              </w:rPr>
            </w:pPr>
            <w:r w:rsidRPr="00326E55">
              <w:rPr>
                <w:noProof/>
                <w:spacing w:val="-6"/>
                <w:lang w:val="sk-SK"/>
              </w:rPr>
              <w:t>Investícia 1.1: Digitálna aktualizácia technologického vybavenia nemocníc</w:t>
            </w:r>
          </w:p>
        </w:tc>
        <w:tc>
          <w:tcPr>
            <w:tcW w:w="1134" w:type="dxa"/>
            <w:shd w:val="clear" w:color="auto" w:fill="C6EFCE"/>
            <w:tcMar>
              <w:left w:w="108" w:type="dxa"/>
              <w:right w:w="108" w:type="dxa"/>
            </w:tcMar>
            <w:vAlign w:val="center"/>
          </w:tcPr>
          <w:p w14:paraId="3C56E6C5"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6CDFD859" w14:textId="1683245B" w:rsidR="00BF03AA" w:rsidRPr="00326E55" w:rsidRDefault="00FB452D">
            <w:pPr>
              <w:pStyle w:val="P68B1DB1-Normal123"/>
              <w:spacing w:after="0" w:line="240" w:lineRule="auto"/>
              <w:rPr>
                <w:noProof/>
                <w:spacing w:val="-6"/>
                <w:lang w:val="sk-SK"/>
              </w:rPr>
            </w:pPr>
            <w:r w:rsidRPr="00326E55">
              <w:rPr>
                <w:noProof/>
                <w:spacing w:val="-6"/>
                <w:lang w:val="sk-SK"/>
              </w:rPr>
              <w:t>Dodatočné lôžka poskytované</w:t>
            </w:r>
            <w:r w:rsidR="00326E55" w:rsidRPr="00326E55">
              <w:rPr>
                <w:noProof/>
                <w:spacing w:val="-6"/>
                <w:lang w:val="sk-SK"/>
              </w:rPr>
              <w:t xml:space="preserve"> v </w:t>
            </w:r>
            <w:r w:rsidRPr="00326E55">
              <w:rPr>
                <w:noProof/>
                <w:spacing w:val="-6"/>
                <w:lang w:val="sk-SK"/>
              </w:rPr>
              <w:t>ICU</w:t>
            </w:r>
            <w:r w:rsidR="00326E55" w:rsidRPr="00326E55">
              <w:rPr>
                <w:noProof/>
                <w:spacing w:val="-6"/>
                <w:lang w:val="sk-SK"/>
              </w:rPr>
              <w:t xml:space="preserve"> a </w:t>
            </w:r>
            <w:r w:rsidRPr="00326E55">
              <w:rPr>
                <w:noProof/>
                <w:spacing w:val="-6"/>
                <w:lang w:val="sk-SK"/>
              </w:rPr>
              <w:t>menej intenzívna starostlivosť</w:t>
            </w:r>
          </w:p>
        </w:tc>
      </w:tr>
      <w:tr w:rsidR="00BF03AA" w:rsidRPr="00326E55" w14:paraId="6277A35E" w14:textId="77777777">
        <w:trPr>
          <w:trHeight w:val="300"/>
        </w:trPr>
        <w:tc>
          <w:tcPr>
            <w:tcW w:w="1246" w:type="dxa"/>
            <w:shd w:val="clear" w:color="auto" w:fill="C6EFCE"/>
            <w:tcMar>
              <w:left w:w="108" w:type="dxa"/>
              <w:right w:w="108" w:type="dxa"/>
            </w:tcMar>
            <w:vAlign w:val="center"/>
          </w:tcPr>
          <w:p w14:paraId="4139805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10</w:t>
            </w:r>
          </w:p>
        </w:tc>
        <w:tc>
          <w:tcPr>
            <w:tcW w:w="3449" w:type="dxa"/>
            <w:shd w:val="clear" w:color="auto" w:fill="C6EFCE"/>
            <w:tcMar>
              <w:left w:w="108" w:type="dxa"/>
              <w:right w:w="108" w:type="dxa"/>
            </w:tcMar>
            <w:vAlign w:val="center"/>
          </w:tcPr>
          <w:p w14:paraId="55FCF586" w14:textId="35C5A9AB" w:rsidR="00BF03AA" w:rsidRPr="00326E55" w:rsidRDefault="00FB452D">
            <w:pPr>
              <w:pStyle w:val="P68B1DB1-Normal123"/>
              <w:spacing w:after="0" w:line="240" w:lineRule="auto"/>
              <w:rPr>
                <w:noProof/>
                <w:spacing w:val="-6"/>
                <w:lang w:val="sk-SK"/>
              </w:rPr>
            </w:pPr>
            <w:r w:rsidRPr="00326E55">
              <w:rPr>
                <w:noProof/>
                <w:spacing w:val="-6"/>
                <w:lang w:val="sk-SK"/>
              </w:rPr>
              <w:t>Investícia 1.2: Smerom</w:t>
            </w:r>
            <w:r w:rsidR="00326E55" w:rsidRPr="00326E55">
              <w:rPr>
                <w:noProof/>
                <w:spacing w:val="-6"/>
                <w:lang w:val="sk-SK"/>
              </w:rPr>
              <w:t xml:space="preserve"> k </w:t>
            </w:r>
            <w:r w:rsidRPr="00326E55">
              <w:rPr>
                <w:noProof/>
                <w:spacing w:val="-6"/>
                <w:lang w:val="sk-SK"/>
              </w:rPr>
              <w:t>bezpečnej</w:t>
            </w:r>
            <w:r w:rsidR="00326E55" w:rsidRPr="00326E55">
              <w:rPr>
                <w:noProof/>
                <w:spacing w:val="-6"/>
                <w:lang w:val="sk-SK"/>
              </w:rPr>
              <w:t xml:space="preserve"> a </w:t>
            </w:r>
            <w:r w:rsidRPr="00326E55">
              <w:rPr>
                <w:noProof/>
                <w:spacing w:val="-6"/>
                <w:lang w:val="sk-SK"/>
              </w:rPr>
              <w:t>udržateľnej nemocnici</w:t>
            </w:r>
          </w:p>
        </w:tc>
        <w:tc>
          <w:tcPr>
            <w:tcW w:w="1134" w:type="dxa"/>
            <w:shd w:val="clear" w:color="auto" w:fill="C6EFCE"/>
            <w:tcMar>
              <w:left w:w="108" w:type="dxa"/>
              <w:right w:w="108" w:type="dxa"/>
            </w:tcMar>
            <w:vAlign w:val="center"/>
          </w:tcPr>
          <w:p w14:paraId="6463FBCE"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6ABFFDC7" w14:textId="4569728E" w:rsidR="00BF03AA" w:rsidRPr="00326E55" w:rsidRDefault="00FB452D">
            <w:pPr>
              <w:pStyle w:val="P68B1DB1-Normal123"/>
              <w:spacing w:after="0" w:line="240" w:lineRule="auto"/>
              <w:rPr>
                <w:noProof/>
                <w:spacing w:val="-6"/>
                <w:lang w:val="sk-SK"/>
              </w:rPr>
            </w:pPr>
            <w:r w:rsidRPr="00326E55">
              <w:rPr>
                <w:noProof/>
                <w:spacing w:val="-6"/>
                <w:lang w:val="sk-SK"/>
              </w:rPr>
              <w:t>Antiseizmické zásahy</w:t>
            </w:r>
            <w:r w:rsidR="00326E55" w:rsidRPr="00326E55">
              <w:rPr>
                <w:noProof/>
                <w:spacing w:val="-6"/>
                <w:lang w:val="sk-SK"/>
              </w:rPr>
              <w:t xml:space="preserve"> v </w:t>
            </w:r>
            <w:r w:rsidRPr="00326E55">
              <w:rPr>
                <w:noProof/>
                <w:spacing w:val="-6"/>
                <w:lang w:val="sk-SK"/>
              </w:rPr>
              <w:t>nemocničných zariadeniach sú dokončené</w:t>
            </w:r>
          </w:p>
        </w:tc>
      </w:tr>
      <w:tr w:rsidR="00BF03AA" w:rsidRPr="00326E55" w14:paraId="1297A5B5" w14:textId="77777777">
        <w:trPr>
          <w:trHeight w:val="300"/>
        </w:trPr>
        <w:tc>
          <w:tcPr>
            <w:tcW w:w="1246" w:type="dxa"/>
            <w:shd w:val="clear" w:color="auto" w:fill="C6EFCE"/>
            <w:tcMar>
              <w:left w:w="108" w:type="dxa"/>
              <w:right w:w="108" w:type="dxa"/>
            </w:tcMar>
            <w:vAlign w:val="center"/>
          </w:tcPr>
          <w:p w14:paraId="22C3327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10 bis</w:t>
            </w:r>
          </w:p>
        </w:tc>
        <w:tc>
          <w:tcPr>
            <w:tcW w:w="3449" w:type="dxa"/>
            <w:shd w:val="clear" w:color="auto" w:fill="C6EFCE"/>
            <w:tcMar>
              <w:left w:w="108" w:type="dxa"/>
              <w:right w:w="108" w:type="dxa"/>
            </w:tcMar>
            <w:vAlign w:val="center"/>
          </w:tcPr>
          <w:p w14:paraId="357355CC" w14:textId="69F8E1F8" w:rsidR="00BF03AA" w:rsidRPr="00326E55" w:rsidRDefault="00FB452D">
            <w:pPr>
              <w:pStyle w:val="P68B1DB1-Normal123"/>
              <w:spacing w:after="0" w:line="240" w:lineRule="auto"/>
              <w:rPr>
                <w:noProof/>
                <w:spacing w:val="-6"/>
                <w:lang w:val="sk-SK"/>
              </w:rPr>
            </w:pPr>
            <w:r w:rsidRPr="00326E55">
              <w:rPr>
                <w:noProof/>
                <w:spacing w:val="-6"/>
                <w:lang w:val="sk-SK"/>
              </w:rPr>
              <w:t>Investícia 1.2: Smerom</w:t>
            </w:r>
            <w:r w:rsidR="00326E55" w:rsidRPr="00326E55">
              <w:rPr>
                <w:noProof/>
                <w:spacing w:val="-6"/>
                <w:lang w:val="sk-SK"/>
              </w:rPr>
              <w:t xml:space="preserve"> k </w:t>
            </w:r>
            <w:r w:rsidRPr="00326E55">
              <w:rPr>
                <w:noProof/>
                <w:spacing w:val="-6"/>
                <w:lang w:val="sk-SK"/>
              </w:rPr>
              <w:t>bezpečnej</w:t>
            </w:r>
            <w:r w:rsidR="00326E55" w:rsidRPr="00326E55">
              <w:rPr>
                <w:noProof/>
                <w:spacing w:val="-6"/>
                <w:lang w:val="sk-SK"/>
              </w:rPr>
              <w:t xml:space="preserve"> a </w:t>
            </w:r>
            <w:r w:rsidRPr="00326E55">
              <w:rPr>
                <w:noProof/>
                <w:spacing w:val="-6"/>
                <w:lang w:val="sk-SK"/>
              </w:rPr>
              <w:t>udržateľnej nemocnici</w:t>
            </w:r>
          </w:p>
        </w:tc>
        <w:tc>
          <w:tcPr>
            <w:tcW w:w="1134" w:type="dxa"/>
            <w:shd w:val="clear" w:color="auto" w:fill="C6EFCE"/>
            <w:tcMar>
              <w:left w:w="108" w:type="dxa"/>
              <w:right w:w="108" w:type="dxa"/>
            </w:tcMar>
            <w:vAlign w:val="center"/>
          </w:tcPr>
          <w:p w14:paraId="24AF3BCB"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1959590" w14:textId="3E8C31DF" w:rsidR="00BF03AA" w:rsidRPr="00326E55" w:rsidRDefault="00FB452D">
            <w:pPr>
              <w:pStyle w:val="P68B1DB1-Normal123"/>
              <w:spacing w:after="0" w:line="240" w:lineRule="auto"/>
              <w:rPr>
                <w:noProof/>
                <w:spacing w:val="-6"/>
                <w:lang w:val="sk-SK"/>
              </w:rPr>
            </w:pPr>
            <w:r w:rsidRPr="00326E55">
              <w:rPr>
                <w:noProof/>
                <w:spacing w:val="-6"/>
                <w:lang w:val="sk-SK"/>
              </w:rPr>
              <w:t>Vyplácanie zdrojov Mechanizmu na podporu obnovy</w:t>
            </w:r>
            <w:r w:rsidR="00326E55" w:rsidRPr="00326E55">
              <w:rPr>
                <w:noProof/>
                <w:spacing w:val="-6"/>
                <w:lang w:val="sk-SK"/>
              </w:rPr>
              <w:t xml:space="preserve"> a </w:t>
            </w:r>
            <w:r w:rsidRPr="00326E55">
              <w:rPr>
                <w:noProof/>
                <w:spacing w:val="-6"/>
                <w:lang w:val="sk-SK"/>
              </w:rPr>
              <w:t>odolnosti na projekty p</w:t>
            </w:r>
            <w:r w:rsidRPr="00326E55">
              <w:rPr>
                <w:noProof/>
                <w:spacing w:val="-6"/>
                <w:lang w:val="sk-SK"/>
              </w:rPr>
              <w:t>odľa článku 20 finančného zákona 67/88 – Healthcare Building</w:t>
            </w:r>
          </w:p>
        </w:tc>
      </w:tr>
      <w:tr w:rsidR="00BF03AA" w:rsidRPr="00326E55" w14:paraId="348ACAF3" w14:textId="77777777">
        <w:trPr>
          <w:trHeight w:val="300"/>
        </w:trPr>
        <w:tc>
          <w:tcPr>
            <w:tcW w:w="1246" w:type="dxa"/>
            <w:shd w:val="clear" w:color="auto" w:fill="C6EFCE"/>
            <w:tcMar>
              <w:left w:w="108" w:type="dxa"/>
              <w:right w:w="108" w:type="dxa"/>
            </w:tcMar>
            <w:vAlign w:val="center"/>
          </w:tcPr>
          <w:p w14:paraId="5EBCD5E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12</w:t>
            </w:r>
          </w:p>
        </w:tc>
        <w:tc>
          <w:tcPr>
            <w:tcW w:w="3449" w:type="dxa"/>
            <w:shd w:val="clear" w:color="auto" w:fill="C6EFCE"/>
            <w:tcMar>
              <w:left w:w="108" w:type="dxa"/>
              <w:right w:w="108" w:type="dxa"/>
            </w:tcMar>
            <w:vAlign w:val="center"/>
          </w:tcPr>
          <w:p w14:paraId="0D673E97" w14:textId="6C4F5B17" w:rsidR="00BF03AA" w:rsidRPr="00326E55" w:rsidRDefault="00FB452D">
            <w:pPr>
              <w:pStyle w:val="P68B1DB1-Normal123"/>
              <w:spacing w:after="0" w:line="240" w:lineRule="auto"/>
              <w:rPr>
                <w:noProof/>
                <w:spacing w:val="-6"/>
                <w:lang w:val="sk-SK"/>
              </w:rPr>
            </w:pPr>
            <w:r w:rsidRPr="00326E55">
              <w:rPr>
                <w:noProof/>
                <w:spacing w:val="-6"/>
                <w:lang w:val="sk-SK"/>
              </w:rPr>
              <w:t>Investícia 1.3: Posilnenie technologickej infraštruktúry</w:t>
            </w:r>
            <w:r w:rsidR="00326E55" w:rsidRPr="00326E55">
              <w:rPr>
                <w:noProof/>
                <w:spacing w:val="-6"/>
                <w:lang w:val="sk-SK"/>
              </w:rPr>
              <w:t xml:space="preserve"> a </w:t>
            </w:r>
            <w:r w:rsidRPr="00326E55">
              <w:rPr>
                <w:noProof/>
                <w:spacing w:val="-6"/>
                <w:lang w:val="sk-SK"/>
              </w:rPr>
              <w:t>nástrojov na zber údajov, spracovanie údajov, analýzu</w:t>
            </w:r>
            <w:r w:rsidR="00326E55" w:rsidRPr="00326E55">
              <w:rPr>
                <w:noProof/>
                <w:spacing w:val="-6"/>
                <w:lang w:val="sk-SK"/>
              </w:rPr>
              <w:t xml:space="preserve"> a </w:t>
            </w:r>
            <w:r w:rsidRPr="00326E55">
              <w:rPr>
                <w:noProof/>
                <w:spacing w:val="-6"/>
                <w:lang w:val="sk-SK"/>
              </w:rPr>
              <w:t>simuláciu údajov</w:t>
            </w:r>
          </w:p>
        </w:tc>
        <w:tc>
          <w:tcPr>
            <w:tcW w:w="1134" w:type="dxa"/>
            <w:shd w:val="clear" w:color="auto" w:fill="C6EFCE"/>
            <w:tcMar>
              <w:left w:w="108" w:type="dxa"/>
              <w:right w:w="108" w:type="dxa"/>
            </w:tcMar>
            <w:vAlign w:val="center"/>
          </w:tcPr>
          <w:p w14:paraId="4CD8CC65"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3426189B" w14:textId="61973565" w:rsidR="00BF03AA" w:rsidRPr="00326E55" w:rsidRDefault="00FB452D">
            <w:pPr>
              <w:pStyle w:val="P68B1DB1-Normal123"/>
              <w:spacing w:after="0" w:line="240" w:lineRule="auto"/>
              <w:rPr>
                <w:noProof/>
                <w:spacing w:val="-6"/>
                <w:lang w:val="sk-SK"/>
              </w:rPr>
            </w:pPr>
            <w:r w:rsidRPr="00326E55">
              <w:rPr>
                <w:noProof/>
                <w:spacing w:val="-6"/>
                <w:lang w:val="sk-SK"/>
              </w:rPr>
              <w:t>Systém kariet zdravotného poistenia</w:t>
            </w:r>
            <w:r w:rsidR="00326E55" w:rsidRPr="00326E55">
              <w:rPr>
                <w:noProof/>
                <w:spacing w:val="-6"/>
                <w:lang w:val="sk-SK"/>
              </w:rPr>
              <w:t xml:space="preserve"> a </w:t>
            </w:r>
            <w:r w:rsidRPr="00326E55">
              <w:rPr>
                <w:noProof/>
                <w:spacing w:val="-6"/>
                <w:lang w:val="sk-SK"/>
              </w:rPr>
              <w:t>infraštruktúra pre interoperabilitu elektronických zdravotných záznamov sú</w:t>
            </w:r>
            <w:r w:rsidR="00326E55" w:rsidRPr="00326E55">
              <w:rPr>
                <w:noProof/>
                <w:spacing w:val="-6"/>
                <w:lang w:val="sk-SK"/>
              </w:rPr>
              <w:t xml:space="preserve"> v </w:t>
            </w:r>
            <w:r w:rsidRPr="00326E55">
              <w:rPr>
                <w:noProof/>
                <w:spacing w:val="-6"/>
                <w:lang w:val="sk-SK"/>
              </w:rPr>
              <w:t>prevádzke.</w:t>
            </w:r>
          </w:p>
        </w:tc>
      </w:tr>
      <w:tr w:rsidR="00BF03AA" w:rsidRPr="00326E55" w14:paraId="5136ADAE" w14:textId="77777777">
        <w:trPr>
          <w:trHeight w:val="300"/>
        </w:trPr>
        <w:tc>
          <w:tcPr>
            <w:tcW w:w="1246" w:type="dxa"/>
            <w:shd w:val="clear" w:color="auto" w:fill="C6EFCE"/>
            <w:tcMar>
              <w:left w:w="108" w:type="dxa"/>
              <w:right w:w="108" w:type="dxa"/>
            </w:tcMar>
            <w:vAlign w:val="center"/>
          </w:tcPr>
          <w:p w14:paraId="4B98A18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M6C2 – 13</w:t>
            </w:r>
          </w:p>
        </w:tc>
        <w:tc>
          <w:tcPr>
            <w:tcW w:w="3449" w:type="dxa"/>
            <w:shd w:val="clear" w:color="auto" w:fill="C6EFCE"/>
            <w:tcMar>
              <w:left w:w="108" w:type="dxa"/>
              <w:right w:w="108" w:type="dxa"/>
            </w:tcMar>
            <w:vAlign w:val="center"/>
          </w:tcPr>
          <w:p w14:paraId="397A4676" w14:textId="593C39ED" w:rsidR="00BF03AA" w:rsidRPr="00326E55" w:rsidRDefault="00FB452D">
            <w:pPr>
              <w:pStyle w:val="P68B1DB1-Normal123"/>
              <w:spacing w:after="0" w:line="240" w:lineRule="auto"/>
              <w:rPr>
                <w:noProof/>
                <w:spacing w:val="-6"/>
                <w:lang w:val="sk-SK"/>
              </w:rPr>
            </w:pPr>
            <w:r w:rsidRPr="00326E55">
              <w:rPr>
                <w:noProof/>
                <w:spacing w:val="-6"/>
                <w:lang w:val="sk-SK"/>
              </w:rPr>
              <w:t>Investícia 1.3: Posilnenie technologickej infraštruktúry</w:t>
            </w:r>
            <w:r w:rsidR="00326E55" w:rsidRPr="00326E55">
              <w:rPr>
                <w:noProof/>
                <w:spacing w:val="-6"/>
                <w:lang w:val="sk-SK"/>
              </w:rPr>
              <w:t xml:space="preserve"> a </w:t>
            </w:r>
            <w:r w:rsidRPr="00326E55">
              <w:rPr>
                <w:noProof/>
                <w:spacing w:val="-6"/>
                <w:lang w:val="sk-SK"/>
              </w:rPr>
              <w:t>nástrojov na zber údajov, spracovanie údajov, analýzu</w:t>
            </w:r>
            <w:r w:rsidR="00326E55" w:rsidRPr="00326E55">
              <w:rPr>
                <w:noProof/>
                <w:spacing w:val="-6"/>
                <w:lang w:val="sk-SK"/>
              </w:rPr>
              <w:t xml:space="preserve"> a </w:t>
            </w:r>
            <w:r w:rsidRPr="00326E55">
              <w:rPr>
                <w:noProof/>
                <w:spacing w:val="-6"/>
                <w:lang w:val="sk-SK"/>
              </w:rPr>
              <w:t>simuláciu údajov</w:t>
            </w:r>
          </w:p>
        </w:tc>
        <w:tc>
          <w:tcPr>
            <w:tcW w:w="1134" w:type="dxa"/>
            <w:shd w:val="clear" w:color="auto" w:fill="C6EFCE"/>
            <w:tcMar>
              <w:left w:w="108" w:type="dxa"/>
              <w:right w:w="108" w:type="dxa"/>
            </w:tcMar>
            <w:vAlign w:val="center"/>
          </w:tcPr>
          <w:p w14:paraId="22EDE51A" w14:textId="77777777" w:rsidR="00BF03AA" w:rsidRPr="00326E55" w:rsidRDefault="00FB452D">
            <w:pPr>
              <w:pStyle w:val="P68B1DB1-Normal123"/>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B7ACDD2" w14:textId="77777777" w:rsidR="00BF03AA" w:rsidRPr="00326E55" w:rsidRDefault="00FB452D">
            <w:pPr>
              <w:pStyle w:val="P68B1DB1-Normal123"/>
              <w:spacing w:after="0" w:line="240" w:lineRule="auto"/>
              <w:rPr>
                <w:noProof/>
                <w:spacing w:val="-6"/>
                <w:lang w:val="sk-SK"/>
              </w:rPr>
            </w:pPr>
            <w:r w:rsidRPr="00326E55">
              <w:rPr>
                <w:noProof/>
                <w:spacing w:val="-6"/>
                <w:lang w:val="sk-SK"/>
              </w:rPr>
              <w:t>V prípade väčšiny zd</w:t>
            </w:r>
            <w:r w:rsidRPr="00326E55">
              <w:rPr>
                <w:noProof/>
                <w:spacing w:val="-6"/>
                <w:lang w:val="sk-SK"/>
              </w:rPr>
              <w:t>ravotných záznamov sa používa elektronický zdravotný záznam.</w:t>
            </w:r>
          </w:p>
        </w:tc>
      </w:tr>
      <w:tr w:rsidR="00BF03AA" w:rsidRPr="00326E55" w14:paraId="16B66833" w14:textId="77777777">
        <w:trPr>
          <w:trHeight w:val="300"/>
        </w:trPr>
        <w:tc>
          <w:tcPr>
            <w:tcW w:w="1246" w:type="dxa"/>
            <w:shd w:val="clear" w:color="auto" w:fill="C6EFCE"/>
            <w:tcMar>
              <w:left w:w="108" w:type="dxa"/>
              <w:right w:w="108" w:type="dxa"/>
            </w:tcMar>
            <w:vAlign w:val="center"/>
          </w:tcPr>
          <w:p w14:paraId="39B1D57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37</w:t>
            </w:r>
          </w:p>
        </w:tc>
        <w:tc>
          <w:tcPr>
            <w:tcW w:w="3449" w:type="dxa"/>
            <w:shd w:val="clear" w:color="auto" w:fill="C6EFCE"/>
            <w:tcMar>
              <w:left w:w="108" w:type="dxa"/>
              <w:right w:w="108" w:type="dxa"/>
            </w:tcMar>
            <w:vAlign w:val="center"/>
          </w:tcPr>
          <w:p w14:paraId="7657D7C0" w14:textId="3A07AF2B" w:rsidR="00BF03AA" w:rsidRPr="00326E55" w:rsidRDefault="00FB452D">
            <w:pPr>
              <w:pStyle w:val="P68B1DB1-Normal121"/>
              <w:spacing w:after="0" w:line="240" w:lineRule="auto"/>
              <w:rPr>
                <w:noProof/>
                <w:spacing w:val="-6"/>
                <w:lang w:val="sk-SK"/>
              </w:rPr>
            </w:pPr>
            <w:r w:rsidRPr="00326E55">
              <w:rPr>
                <w:noProof/>
                <w:spacing w:val="-6"/>
                <w:lang w:val="sk-SK"/>
              </w:rPr>
              <w:t>Investícia 13: Fáza 1 Jadranskej linky (kompresorová stanica Sulmona</w:t>
            </w:r>
            <w:r w:rsidR="00326E55" w:rsidRPr="00326E55">
              <w:rPr>
                <w:noProof/>
                <w:spacing w:val="-6"/>
                <w:lang w:val="sk-SK"/>
              </w:rPr>
              <w:t xml:space="preserve"> a </w:t>
            </w:r>
            <w:r w:rsidRPr="00326E55">
              <w:rPr>
                <w:noProof/>
                <w:spacing w:val="-6"/>
                <w:lang w:val="sk-SK"/>
              </w:rPr>
              <w:t>plynovod Sestino-Minerbio)</w:t>
            </w:r>
          </w:p>
        </w:tc>
        <w:tc>
          <w:tcPr>
            <w:tcW w:w="1134" w:type="dxa"/>
            <w:shd w:val="clear" w:color="auto" w:fill="C6EFCE"/>
            <w:tcMar>
              <w:left w:w="108" w:type="dxa"/>
              <w:right w:w="108" w:type="dxa"/>
            </w:tcMar>
            <w:vAlign w:val="center"/>
          </w:tcPr>
          <w:p w14:paraId="22FCDB8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597FCBB3" w14:textId="60A7948B" w:rsidR="00BF03AA" w:rsidRPr="00326E55" w:rsidRDefault="00FB452D">
            <w:pPr>
              <w:pStyle w:val="P68B1DB1-Normal121"/>
              <w:spacing w:after="0" w:line="240" w:lineRule="auto"/>
              <w:rPr>
                <w:noProof/>
                <w:spacing w:val="-6"/>
                <w:lang w:val="sk-SK"/>
              </w:rPr>
            </w:pPr>
            <w:r w:rsidRPr="00326E55">
              <w:rPr>
                <w:noProof/>
                <w:spacing w:val="-6"/>
                <w:lang w:val="sk-SK"/>
              </w:rPr>
              <w:t>Vydané osvedčenia</w:t>
            </w:r>
            <w:r w:rsidR="00326E55" w:rsidRPr="00326E55">
              <w:rPr>
                <w:noProof/>
                <w:spacing w:val="-6"/>
                <w:lang w:val="sk-SK"/>
              </w:rPr>
              <w:t xml:space="preserve"> o </w:t>
            </w:r>
            <w:r w:rsidRPr="00326E55">
              <w:rPr>
                <w:noProof/>
                <w:spacing w:val="-6"/>
                <w:lang w:val="sk-SK"/>
              </w:rPr>
              <w:t>dokončení prác</w:t>
            </w:r>
          </w:p>
        </w:tc>
      </w:tr>
      <w:tr w:rsidR="00BF03AA" w:rsidRPr="00326E55" w14:paraId="2EC60B44" w14:textId="77777777">
        <w:trPr>
          <w:trHeight w:val="300"/>
        </w:trPr>
        <w:tc>
          <w:tcPr>
            <w:tcW w:w="1246" w:type="dxa"/>
            <w:shd w:val="clear" w:color="auto" w:fill="C6EFCE"/>
            <w:tcMar>
              <w:left w:w="108" w:type="dxa"/>
              <w:right w:w="108" w:type="dxa"/>
            </w:tcMar>
            <w:vAlign w:val="center"/>
          </w:tcPr>
          <w:p w14:paraId="6EC81BA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39</w:t>
            </w:r>
          </w:p>
        </w:tc>
        <w:tc>
          <w:tcPr>
            <w:tcW w:w="3449" w:type="dxa"/>
            <w:shd w:val="clear" w:color="auto" w:fill="C6EFCE"/>
            <w:tcMar>
              <w:left w:w="108" w:type="dxa"/>
              <w:right w:w="108" w:type="dxa"/>
            </w:tcMar>
            <w:vAlign w:val="center"/>
          </w:tcPr>
          <w:p w14:paraId="0DD9DF8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14: Infraštruktúra </w:t>
            </w:r>
            <w:r w:rsidRPr="00326E55">
              <w:rPr>
                <w:noProof/>
                <w:spacing w:val="-6"/>
                <w:lang w:val="sk-SK"/>
              </w:rPr>
              <w:t>cezhraničného vývozu plynu</w:t>
            </w:r>
          </w:p>
        </w:tc>
        <w:tc>
          <w:tcPr>
            <w:tcW w:w="1134" w:type="dxa"/>
            <w:shd w:val="clear" w:color="auto" w:fill="C6EFCE"/>
            <w:tcMar>
              <w:left w:w="108" w:type="dxa"/>
              <w:right w:w="108" w:type="dxa"/>
            </w:tcMar>
            <w:vAlign w:val="center"/>
          </w:tcPr>
          <w:p w14:paraId="7A616CFF"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069F77DD" w14:textId="7E5A3AE7" w:rsidR="00BF03AA" w:rsidRPr="00326E55" w:rsidRDefault="00FB452D">
            <w:pPr>
              <w:pStyle w:val="P68B1DB1-Normal121"/>
              <w:spacing w:after="0" w:line="240" w:lineRule="auto"/>
              <w:rPr>
                <w:noProof/>
                <w:spacing w:val="-6"/>
                <w:lang w:val="sk-SK"/>
              </w:rPr>
            </w:pPr>
            <w:r w:rsidRPr="00326E55">
              <w:rPr>
                <w:noProof/>
                <w:spacing w:val="-6"/>
                <w:lang w:val="sk-SK"/>
              </w:rPr>
              <w:t>Vydané osvedčenia</w:t>
            </w:r>
            <w:r w:rsidR="00326E55" w:rsidRPr="00326E55">
              <w:rPr>
                <w:noProof/>
                <w:spacing w:val="-6"/>
                <w:lang w:val="sk-SK"/>
              </w:rPr>
              <w:t xml:space="preserve"> o </w:t>
            </w:r>
            <w:r w:rsidRPr="00326E55">
              <w:rPr>
                <w:noProof/>
                <w:spacing w:val="-6"/>
                <w:lang w:val="sk-SK"/>
              </w:rPr>
              <w:t>dokončení prác</w:t>
            </w:r>
          </w:p>
        </w:tc>
      </w:tr>
      <w:tr w:rsidR="00BF03AA" w:rsidRPr="00326E55" w14:paraId="11EB092B" w14:textId="77777777">
        <w:trPr>
          <w:trHeight w:val="300"/>
        </w:trPr>
        <w:tc>
          <w:tcPr>
            <w:tcW w:w="1246" w:type="dxa"/>
            <w:shd w:val="clear" w:color="auto" w:fill="C6EFCE"/>
            <w:tcMar>
              <w:left w:w="108" w:type="dxa"/>
              <w:right w:w="108" w:type="dxa"/>
            </w:tcMar>
            <w:vAlign w:val="center"/>
          </w:tcPr>
          <w:p w14:paraId="7EAAE91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41</w:t>
            </w:r>
          </w:p>
        </w:tc>
        <w:tc>
          <w:tcPr>
            <w:tcW w:w="3449" w:type="dxa"/>
            <w:shd w:val="clear" w:color="auto" w:fill="C6EFCE"/>
            <w:tcMar>
              <w:left w:w="108" w:type="dxa"/>
              <w:right w:w="108" w:type="dxa"/>
            </w:tcMar>
            <w:vAlign w:val="center"/>
          </w:tcPr>
          <w:p w14:paraId="7DBD432A"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15: Transizione 5.0 </w:t>
            </w:r>
          </w:p>
        </w:tc>
        <w:tc>
          <w:tcPr>
            <w:tcW w:w="1134" w:type="dxa"/>
            <w:shd w:val="clear" w:color="auto" w:fill="C6EFCE"/>
            <w:tcMar>
              <w:left w:w="108" w:type="dxa"/>
              <w:right w:w="108" w:type="dxa"/>
            </w:tcMar>
            <w:vAlign w:val="center"/>
          </w:tcPr>
          <w:p w14:paraId="60C68F6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C793B77" w14:textId="17B851FF" w:rsidR="00BF03AA" w:rsidRPr="00326E55" w:rsidRDefault="00FB452D">
            <w:pPr>
              <w:pStyle w:val="P68B1DB1-Normal121"/>
              <w:spacing w:after="0" w:line="240" w:lineRule="auto"/>
              <w:rPr>
                <w:noProof/>
                <w:spacing w:val="-6"/>
                <w:lang w:val="sk-SK"/>
              </w:rPr>
            </w:pPr>
            <w:r w:rsidRPr="00326E55">
              <w:rPr>
                <w:noProof/>
                <w:spacing w:val="-6"/>
                <w:lang w:val="sk-SK"/>
              </w:rPr>
              <w:t>Poskytovanie zdrojov Mechanizmu na podporu obnovy</w:t>
            </w:r>
            <w:r w:rsidR="00326E55" w:rsidRPr="00326E55">
              <w:rPr>
                <w:noProof/>
                <w:spacing w:val="-6"/>
                <w:lang w:val="sk-SK"/>
              </w:rPr>
              <w:t xml:space="preserve"> a </w:t>
            </w:r>
            <w:r w:rsidRPr="00326E55">
              <w:rPr>
                <w:noProof/>
                <w:spacing w:val="-6"/>
                <w:lang w:val="sk-SK"/>
              </w:rPr>
              <w:t>odolnosti</w:t>
            </w:r>
          </w:p>
        </w:tc>
      </w:tr>
      <w:tr w:rsidR="00BF03AA" w:rsidRPr="00326E55" w14:paraId="3A9E54E2" w14:textId="77777777">
        <w:trPr>
          <w:trHeight w:val="300"/>
        </w:trPr>
        <w:tc>
          <w:tcPr>
            <w:tcW w:w="1246" w:type="dxa"/>
            <w:shd w:val="clear" w:color="auto" w:fill="C6EFCE"/>
            <w:tcMar>
              <w:left w:w="108" w:type="dxa"/>
              <w:right w:w="108" w:type="dxa"/>
            </w:tcMar>
            <w:vAlign w:val="center"/>
          </w:tcPr>
          <w:p w14:paraId="00CB6E4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42</w:t>
            </w:r>
          </w:p>
        </w:tc>
        <w:tc>
          <w:tcPr>
            <w:tcW w:w="3449" w:type="dxa"/>
            <w:shd w:val="clear" w:color="auto" w:fill="C6EFCE"/>
            <w:tcMar>
              <w:left w:w="108" w:type="dxa"/>
              <w:right w:w="108" w:type="dxa"/>
            </w:tcMar>
            <w:vAlign w:val="center"/>
          </w:tcPr>
          <w:p w14:paraId="17530B8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15: Transizione 5.0</w:t>
            </w:r>
          </w:p>
        </w:tc>
        <w:tc>
          <w:tcPr>
            <w:tcW w:w="1134" w:type="dxa"/>
            <w:shd w:val="clear" w:color="auto" w:fill="C6EFCE"/>
            <w:tcMar>
              <w:left w:w="108" w:type="dxa"/>
              <w:right w:w="108" w:type="dxa"/>
            </w:tcMar>
            <w:vAlign w:val="center"/>
          </w:tcPr>
          <w:p w14:paraId="67ED796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1C566CF3" w14:textId="2932CDD5" w:rsidR="00BF03AA" w:rsidRPr="00326E55" w:rsidRDefault="00FB452D">
            <w:pPr>
              <w:pStyle w:val="P68B1DB1-Normal121"/>
              <w:spacing w:after="0" w:line="240" w:lineRule="auto"/>
              <w:rPr>
                <w:noProof/>
                <w:spacing w:val="-6"/>
                <w:lang w:val="sk-SK"/>
              </w:rPr>
            </w:pPr>
            <w:r w:rsidRPr="00326E55">
              <w:rPr>
                <w:noProof/>
                <w:spacing w:val="-6"/>
                <w:lang w:val="sk-SK"/>
              </w:rPr>
              <w:t>Úspory energie</w:t>
            </w:r>
            <w:r w:rsidR="00326E55" w:rsidRPr="00326E55">
              <w:rPr>
                <w:noProof/>
                <w:spacing w:val="-6"/>
                <w:lang w:val="sk-SK"/>
              </w:rPr>
              <w:t xml:space="preserve"> v </w:t>
            </w:r>
            <w:r w:rsidRPr="00326E55">
              <w:rPr>
                <w:noProof/>
                <w:spacing w:val="-6"/>
                <w:lang w:val="sk-SK"/>
              </w:rPr>
              <w:t xml:space="preserve">konečnej </w:t>
            </w:r>
            <w:r w:rsidRPr="00326E55">
              <w:rPr>
                <w:noProof/>
                <w:spacing w:val="-6"/>
                <w:lang w:val="sk-SK"/>
              </w:rPr>
              <w:t>energetickej spotrebe 0,4 Mtoe</w:t>
            </w:r>
            <w:r w:rsidR="00326E55" w:rsidRPr="00326E55">
              <w:rPr>
                <w:noProof/>
                <w:spacing w:val="-6"/>
                <w:lang w:val="sk-SK"/>
              </w:rPr>
              <w:t xml:space="preserve"> v </w:t>
            </w:r>
            <w:r w:rsidRPr="00326E55">
              <w:rPr>
                <w:noProof/>
                <w:spacing w:val="-6"/>
                <w:lang w:val="sk-SK"/>
              </w:rPr>
              <w:t>období 2024 – 2026</w:t>
            </w:r>
          </w:p>
        </w:tc>
      </w:tr>
      <w:tr w:rsidR="00BF03AA" w:rsidRPr="00326E55" w14:paraId="0C15D73B" w14:textId="77777777">
        <w:trPr>
          <w:trHeight w:val="300"/>
        </w:trPr>
        <w:tc>
          <w:tcPr>
            <w:tcW w:w="1246" w:type="dxa"/>
            <w:shd w:val="clear" w:color="auto" w:fill="C6EFCE"/>
            <w:tcMar>
              <w:left w:w="108" w:type="dxa"/>
              <w:right w:w="108" w:type="dxa"/>
            </w:tcMar>
            <w:vAlign w:val="center"/>
          </w:tcPr>
          <w:p w14:paraId="672B3B3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45</w:t>
            </w:r>
          </w:p>
        </w:tc>
        <w:tc>
          <w:tcPr>
            <w:tcW w:w="3449" w:type="dxa"/>
            <w:shd w:val="clear" w:color="auto" w:fill="C6EFCE"/>
            <w:tcMar>
              <w:left w:w="108" w:type="dxa"/>
              <w:right w:w="108" w:type="dxa"/>
            </w:tcMar>
            <w:vAlign w:val="center"/>
          </w:tcPr>
          <w:p w14:paraId="008A9F85" w14:textId="7956AE1D" w:rsidR="00BF03AA" w:rsidRPr="00326E55" w:rsidRDefault="00FB452D">
            <w:pPr>
              <w:pStyle w:val="P68B1DB1-Normal121"/>
              <w:spacing w:after="0" w:line="240" w:lineRule="auto"/>
              <w:rPr>
                <w:noProof/>
                <w:spacing w:val="-6"/>
                <w:lang w:val="sk-SK"/>
              </w:rPr>
            </w:pPr>
            <w:r w:rsidRPr="00326E55">
              <w:rPr>
                <w:noProof/>
                <w:spacing w:val="-6"/>
                <w:lang w:val="sk-SK"/>
              </w:rPr>
              <w:t>Investícia 16: Podpora MSP na vlastnú výrobu</w:t>
            </w:r>
            <w:r w:rsidR="00326E55" w:rsidRPr="00326E55">
              <w:rPr>
                <w:noProof/>
                <w:spacing w:val="-6"/>
                <w:lang w:val="sk-SK"/>
              </w:rPr>
              <w:t xml:space="preserve"> z </w:t>
            </w:r>
            <w:r w:rsidRPr="00326E55">
              <w:rPr>
                <w:noProof/>
                <w:spacing w:val="-6"/>
                <w:lang w:val="sk-SK"/>
              </w:rPr>
              <w:t>obnoviteľných zdrojov energie</w:t>
            </w:r>
          </w:p>
        </w:tc>
        <w:tc>
          <w:tcPr>
            <w:tcW w:w="1134" w:type="dxa"/>
            <w:shd w:val="clear" w:color="auto" w:fill="C6EFCE"/>
            <w:tcMar>
              <w:left w:w="108" w:type="dxa"/>
              <w:right w:w="108" w:type="dxa"/>
            </w:tcMar>
            <w:vAlign w:val="center"/>
          </w:tcPr>
          <w:p w14:paraId="6116673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3818D48" w14:textId="14956DCD" w:rsidR="00BF03AA" w:rsidRPr="00326E55" w:rsidRDefault="00FB452D">
            <w:pPr>
              <w:pStyle w:val="P68B1DB1-Normal121"/>
              <w:spacing w:after="0" w:line="240" w:lineRule="auto"/>
              <w:rPr>
                <w:noProof/>
                <w:spacing w:val="-6"/>
                <w:lang w:val="sk-SK"/>
              </w:rPr>
            </w:pPr>
            <w:r w:rsidRPr="00326E55">
              <w:rPr>
                <w:noProof/>
                <w:spacing w:val="-6"/>
                <w:lang w:val="sk-SK"/>
              </w:rPr>
              <w:t>Právne dohody</w:t>
            </w:r>
            <w:r w:rsidR="00326E55" w:rsidRPr="00326E55">
              <w:rPr>
                <w:noProof/>
                <w:spacing w:val="-6"/>
                <w:lang w:val="sk-SK"/>
              </w:rPr>
              <w:t xml:space="preserve"> s </w:t>
            </w:r>
            <w:r w:rsidRPr="00326E55">
              <w:rPr>
                <w:noProof/>
                <w:spacing w:val="-6"/>
                <w:lang w:val="sk-SK"/>
              </w:rPr>
              <w:t>konečnými príjemcami</w:t>
            </w:r>
          </w:p>
        </w:tc>
      </w:tr>
      <w:tr w:rsidR="00BF03AA" w:rsidRPr="00326E55" w14:paraId="4974B148" w14:textId="77777777">
        <w:trPr>
          <w:trHeight w:val="300"/>
        </w:trPr>
        <w:tc>
          <w:tcPr>
            <w:tcW w:w="1246" w:type="dxa"/>
            <w:shd w:val="clear" w:color="auto" w:fill="C6EFCE"/>
            <w:tcMar>
              <w:left w:w="108" w:type="dxa"/>
              <w:right w:w="108" w:type="dxa"/>
            </w:tcMar>
            <w:vAlign w:val="center"/>
          </w:tcPr>
          <w:p w14:paraId="3CEE9E4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M7 – 49</w:t>
            </w:r>
          </w:p>
        </w:tc>
        <w:tc>
          <w:tcPr>
            <w:tcW w:w="3449" w:type="dxa"/>
            <w:shd w:val="clear" w:color="auto" w:fill="C6EFCE"/>
            <w:tcMar>
              <w:left w:w="108" w:type="dxa"/>
              <w:right w:w="108" w:type="dxa"/>
            </w:tcMar>
            <w:vAlign w:val="center"/>
          </w:tcPr>
          <w:p w14:paraId="293A7A8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17: Finančný nástroj na energetickú obnovu bytových </w:t>
            </w:r>
            <w:r w:rsidRPr="00326E55">
              <w:rPr>
                <w:noProof/>
                <w:spacing w:val="-6"/>
                <w:lang w:val="sk-SK"/>
              </w:rPr>
              <w:t>domov</w:t>
            </w:r>
          </w:p>
        </w:tc>
        <w:tc>
          <w:tcPr>
            <w:tcW w:w="1134" w:type="dxa"/>
            <w:shd w:val="clear" w:color="auto" w:fill="C6EFCE"/>
            <w:tcMar>
              <w:left w:w="108" w:type="dxa"/>
              <w:right w:w="108" w:type="dxa"/>
            </w:tcMar>
            <w:vAlign w:val="center"/>
          </w:tcPr>
          <w:p w14:paraId="437AA4F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3178C78" w14:textId="3A232A42" w:rsidR="00BF03AA" w:rsidRPr="00326E55" w:rsidRDefault="00FB452D">
            <w:pPr>
              <w:pStyle w:val="P68B1DB1-Normal121"/>
              <w:spacing w:after="0" w:line="240" w:lineRule="auto"/>
              <w:rPr>
                <w:noProof/>
                <w:spacing w:val="-6"/>
                <w:lang w:val="sk-SK"/>
              </w:rPr>
            </w:pPr>
            <w:r w:rsidRPr="00326E55">
              <w:rPr>
                <w:noProof/>
                <w:spacing w:val="-6"/>
                <w:lang w:val="sk-SK"/>
              </w:rPr>
              <w:t>Právne dohody podpísané</w:t>
            </w:r>
            <w:r w:rsidR="00326E55" w:rsidRPr="00326E55">
              <w:rPr>
                <w:noProof/>
                <w:spacing w:val="-6"/>
                <w:lang w:val="sk-SK"/>
              </w:rPr>
              <w:t xml:space="preserve"> s </w:t>
            </w:r>
            <w:r w:rsidRPr="00326E55">
              <w:rPr>
                <w:noProof/>
                <w:spacing w:val="-6"/>
                <w:lang w:val="sk-SK"/>
              </w:rPr>
              <w:t>konečnými príjemcami</w:t>
            </w:r>
          </w:p>
        </w:tc>
      </w:tr>
      <w:tr w:rsidR="00BF03AA" w:rsidRPr="00326E55" w14:paraId="485736F4" w14:textId="77777777">
        <w:trPr>
          <w:trHeight w:val="300"/>
        </w:trPr>
        <w:tc>
          <w:tcPr>
            <w:tcW w:w="1246" w:type="dxa"/>
            <w:shd w:val="clear" w:color="auto" w:fill="C6EFCE"/>
            <w:tcMar>
              <w:left w:w="108" w:type="dxa"/>
              <w:right w:w="108" w:type="dxa"/>
            </w:tcMar>
            <w:vAlign w:val="center"/>
          </w:tcPr>
          <w:p w14:paraId="1CC2014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29</w:t>
            </w:r>
          </w:p>
        </w:tc>
        <w:tc>
          <w:tcPr>
            <w:tcW w:w="3449" w:type="dxa"/>
            <w:shd w:val="clear" w:color="auto" w:fill="C6EFCE"/>
            <w:tcMar>
              <w:left w:w="108" w:type="dxa"/>
              <w:right w:w="108" w:type="dxa"/>
            </w:tcMar>
            <w:vAlign w:val="center"/>
          </w:tcPr>
          <w:p w14:paraId="59B6FC3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4.2:  Fondy pre konkurencieschopnosť podnikov cestovného ruchu</w:t>
            </w:r>
          </w:p>
        </w:tc>
        <w:tc>
          <w:tcPr>
            <w:tcW w:w="1134" w:type="dxa"/>
            <w:shd w:val="clear" w:color="auto" w:fill="C6EFCE"/>
            <w:tcMar>
              <w:left w:w="108" w:type="dxa"/>
              <w:right w:w="108" w:type="dxa"/>
            </w:tcMar>
            <w:vAlign w:val="center"/>
          </w:tcPr>
          <w:p w14:paraId="5BF7CA5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C1B2495" w14:textId="6AC7938D" w:rsidR="00BF03AA" w:rsidRPr="00326E55" w:rsidRDefault="00FB452D">
            <w:pPr>
              <w:pStyle w:val="P68B1DB1-Normal121"/>
              <w:spacing w:after="0" w:line="240" w:lineRule="auto"/>
              <w:rPr>
                <w:noProof/>
                <w:spacing w:val="-6"/>
                <w:lang w:val="sk-SK"/>
              </w:rPr>
            </w:pPr>
            <w:r w:rsidRPr="00326E55">
              <w:rPr>
                <w:noProof/>
                <w:spacing w:val="-6"/>
                <w:lang w:val="sk-SK"/>
              </w:rPr>
              <w:t>Počet projektov</w:t>
            </w:r>
            <w:r w:rsidR="00326E55" w:rsidRPr="00326E55">
              <w:rPr>
                <w:noProof/>
                <w:spacing w:val="-6"/>
                <w:lang w:val="sk-SK"/>
              </w:rPr>
              <w:t xml:space="preserve"> v </w:t>
            </w:r>
            <w:r w:rsidRPr="00326E55">
              <w:rPr>
                <w:noProof/>
                <w:spacing w:val="-6"/>
                <w:lang w:val="sk-SK"/>
              </w:rPr>
              <w:t>oblasti cestovného ruchu, ktoré sa majú podporiť prostredníctvom tematických fondov Európs</w:t>
            </w:r>
            <w:r w:rsidRPr="00326E55">
              <w:rPr>
                <w:noProof/>
                <w:spacing w:val="-6"/>
                <w:lang w:val="sk-SK"/>
              </w:rPr>
              <w:t xml:space="preserve">kej investičnej banky </w:t>
            </w:r>
          </w:p>
        </w:tc>
      </w:tr>
      <w:tr w:rsidR="00BF03AA" w:rsidRPr="00326E55" w14:paraId="266DBC5A" w14:textId="77777777">
        <w:trPr>
          <w:trHeight w:val="300"/>
        </w:trPr>
        <w:tc>
          <w:tcPr>
            <w:tcW w:w="1246" w:type="dxa"/>
            <w:shd w:val="clear" w:color="auto" w:fill="C6EFCE"/>
            <w:tcMar>
              <w:left w:w="108" w:type="dxa"/>
              <w:right w:w="108" w:type="dxa"/>
            </w:tcMar>
            <w:vAlign w:val="center"/>
          </w:tcPr>
          <w:p w14:paraId="54E40BC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M3C2 – 9</w:t>
            </w:r>
          </w:p>
        </w:tc>
        <w:tc>
          <w:tcPr>
            <w:tcW w:w="3449" w:type="dxa"/>
            <w:shd w:val="clear" w:color="auto" w:fill="C6EFCE"/>
            <w:tcMar>
              <w:left w:w="108" w:type="dxa"/>
              <w:right w:w="108" w:type="dxa"/>
            </w:tcMar>
            <w:vAlign w:val="center"/>
          </w:tcPr>
          <w:p w14:paraId="4BA4A2AA" w14:textId="2E497FC7" w:rsidR="00BF03AA" w:rsidRPr="00326E55" w:rsidRDefault="00FB452D">
            <w:pPr>
              <w:pStyle w:val="P68B1DB1-Normal121"/>
              <w:spacing w:after="0" w:line="240" w:lineRule="auto"/>
              <w:rPr>
                <w:noProof/>
                <w:spacing w:val="-6"/>
                <w:lang w:val="sk-SK"/>
              </w:rPr>
            </w:pPr>
            <w:r w:rsidRPr="00326E55">
              <w:rPr>
                <w:noProof/>
                <w:spacing w:val="-6"/>
                <w:lang w:val="sk-SK"/>
              </w:rPr>
              <w:t>Investícia 1.1: Zelené prístavy zásahy</w:t>
            </w:r>
            <w:r w:rsidR="00326E55" w:rsidRPr="00326E55">
              <w:rPr>
                <w:noProof/>
                <w:spacing w:val="-6"/>
                <w:lang w:val="sk-SK"/>
              </w:rPr>
              <w:t xml:space="preserve"> v </w:t>
            </w:r>
            <w:r w:rsidRPr="00326E55">
              <w:rPr>
                <w:noProof/>
                <w:spacing w:val="-6"/>
                <w:lang w:val="sk-SK"/>
              </w:rPr>
              <w:t>oblasti energie</w:t>
            </w:r>
            <w:r w:rsidR="00326E55" w:rsidRPr="00326E55">
              <w:rPr>
                <w:noProof/>
                <w:spacing w:val="-6"/>
                <w:lang w:val="sk-SK"/>
              </w:rPr>
              <w:t xml:space="preserve"> z </w:t>
            </w:r>
            <w:r w:rsidRPr="00326E55">
              <w:rPr>
                <w:noProof/>
                <w:spacing w:val="-6"/>
                <w:lang w:val="sk-SK"/>
              </w:rPr>
              <w:t>obnoviteľných zdrojov</w:t>
            </w:r>
            <w:r w:rsidR="00326E55" w:rsidRPr="00326E55">
              <w:rPr>
                <w:noProof/>
                <w:spacing w:val="-6"/>
                <w:lang w:val="sk-SK"/>
              </w:rPr>
              <w:t xml:space="preserve"> a </w:t>
            </w:r>
            <w:r w:rsidRPr="00326E55">
              <w:rPr>
                <w:noProof/>
                <w:spacing w:val="-6"/>
                <w:lang w:val="sk-SK"/>
              </w:rPr>
              <w:t>energetickej efektívnosti</w:t>
            </w:r>
            <w:r w:rsidR="00326E55" w:rsidRPr="00326E55">
              <w:rPr>
                <w:noProof/>
                <w:spacing w:val="-6"/>
                <w:lang w:val="sk-SK"/>
              </w:rPr>
              <w:t xml:space="preserve"> v </w:t>
            </w:r>
            <w:r w:rsidRPr="00326E55">
              <w:rPr>
                <w:noProof/>
                <w:spacing w:val="-6"/>
                <w:lang w:val="sk-SK"/>
              </w:rPr>
              <w:t xml:space="preserve">prístavoch </w:t>
            </w:r>
          </w:p>
        </w:tc>
        <w:tc>
          <w:tcPr>
            <w:tcW w:w="1134" w:type="dxa"/>
            <w:shd w:val="clear" w:color="auto" w:fill="C6EFCE"/>
            <w:tcMar>
              <w:left w:w="108" w:type="dxa"/>
              <w:right w:w="108" w:type="dxa"/>
            </w:tcMar>
            <w:vAlign w:val="center"/>
          </w:tcPr>
          <w:p w14:paraId="060137A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7C046EC" w14:textId="77777777" w:rsidR="00BF03AA" w:rsidRPr="00326E55" w:rsidRDefault="00FB452D">
            <w:pPr>
              <w:pStyle w:val="P68B1DB1-Normal121"/>
              <w:spacing w:after="0" w:line="240" w:lineRule="auto"/>
              <w:rPr>
                <w:noProof/>
                <w:spacing w:val="-6"/>
                <w:lang w:val="sk-SK"/>
              </w:rPr>
            </w:pPr>
            <w:r w:rsidRPr="00326E55">
              <w:rPr>
                <w:noProof/>
                <w:spacing w:val="-6"/>
                <w:lang w:val="sk-SK"/>
              </w:rPr>
              <w:t>Zelené prístavy dokončenie prác</w:t>
            </w:r>
          </w:p>
        </w:tc>
      </w:tr>
      <w:tr w:rsidR="00BF03AA" w:rsidRPr="00326E55" w14:paraId="53707D05" w14:textId="77777777">
        <w:trPr>
          <w:trHeight w:val="300"/>
        </w:trPr>
        <w:tc>
          <w:tcPr>
            <w:tcW w:w="1246" w:type="dxa"/>
            <w:shd w:val="clear" w:color="auto" w:fill="C6EFCE"/>
            <w:tcMar>
              <w:left w:w="108" w:type="dxa"/>
              <w:right w:w="108" w:type="dxa"/>
            </w:tcMar>
            <w:vAlign w:val="center"/>
          </w:tcPr>
          <w:p w14:paraId="5ADFA2D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23bis</w:t>
            </w:r>
          </w:p>
        </w:tc>
        <w:tc>
          <w:tcPr>
            <w:tcW w:w="3449" w:type="dxa"/>
            <w:shd w:val="clear" w:color="auto" w:fill="C6EFCE"/>
            <w:tcMar>
              <w:left w:w="108" w:type="dxa"/>
              <w:right w:w="108" w:type="dxa"/>
            </w:tcMar>
            <w:vAlign w:val="center"/>
          </w:tcPr>
          <w:p w14:paraId="5076B2EC" w14:textId="278FBFAF" w:rsidR="00BF03AA" w:rsidRPr="00326E55" w:rsidRDefault="00FB452D">
            <w:pPr>
              <w:pStyle w:val="P68B1DB1-Normal121"/>
              <w:spacing w:after="0" w:line="240" w:lineRule="auto"/>
              <w:rPr>
                <w:noProof/>
                <w:spacing w:val="-6"/>
                <w:lang w:val="sk-SK"/>
              </w:rPr>
            </w:pPr>
            <w:r w:rsidRPr="00326E55">
              <w:rPr>
                <w:noProof/>
                <w:spacing w:val="-6"/>
                <w:lang w:val="sk-SK"/>
              </w:rPr>
              <w:t>Investícia 4: Satelitné technológie</w:t>
            </w:r>
            <w:r w:rsidR="00326E55" w:rsidRPr="00326E55">
              <w:rPr>
                <w:noProof/>
                <w:spacing w:val="-6"/>
                <w:lang w:val="sk-SK"/>
              </w:rPr>
              <w:t xml:space="preserve"> a </w:t>
            </w:r>
            <w:r w:rsidRPr="00326E55">
              <w:rPr>
                <w:noProof/>
                <w:spacing w:val="-6"/>
                <w:lang w:val="sk-SK"/>
              </w:rPr>
              <w:t xml:space="preserve">vesmírne hospodárstvo </w:t>
            </w:r>
          </w:p>
        </w:tc>
        <w:tc>
          <w:tcPr>
            <w:tcW w:w="1134" w:type="dxa"/>
            <w:shd w:val="clear" w:color="auto" w:fill="C6EFCE"/>
            <w:tcMar>
              <w:left w:w="108" w:type="dxa"/>
              <w:right w:w="108" w:type="dxa"/>
            </w:tcMar>
            <w:vAlign w:val="center"/>
          </w:tcPr>
          <w:p w14:paraId="74BAF700"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43A2B116" w14:textId="74B8E0EB" w:rsidR="00BF03AA" w:rsidRPr="00326E55" w:rsidRDefault="00FB452D">
            <w:pPr>
              <w:pStyle w:val="P68B1DB1-Normal121"/>
              <w:spacing w:after="0" w:line="240" w:lineRule="auto"/>
              <w:rPr>
                <w:noProof/>
                <w:spacing w:val="-6"/>
                <w:lang w:val="sk-SK"/>
              </w:rPr>
            </w:pPr>
            <w:r w:rsidRPr="00326E55">
              <w:rPr>
                <w:noProof/>
                <w:spacing w:val="-6"/>
                <w:lang w:val="sk-SK"/>
              </w:rPr>
              <w:t>Dokončenie projektov satelitnej technológie</w:t>
            </w:r>
            <w:r w:rsidR="00326E55" w:rsidRPr="00326E55">
              <w:rPr>
                <w:noProof/>
                <w:spacing w:val="-6"/>
                <w:lang w:val="sk-SK"/>
              </w:rPr>
              <w:t xml:space="preserve"> a </w:t>
            </w:r>
            <w:r w:rsidRPr="00326E55">
              <w:rPr>
                <w:noProof/>
                <w:spacing w:val="-6"/>
                <w:lang w:val="sk-SK"/>
              </w:rPr>
              <w:t>vesmírnych projektov</w:t>
            </w:r>
          </w:p>
        </w:tc>
      </w:tr>
      <w:tr w:rsidR="00BF03AA" w:rsidRPr="00326E55" w14:paraId="48E43B79" w14:textId="77777777">
        <w:trPr>
          <w:trHeight w:val="300"/>
        </w:trPr>
        <w:tc>
          <w:tcPr>
            <w:tcW w:w="1246" w:type="dxa"/>
            <w:shd w:val="clear" w:color="auto" w:fill="C6EFCE"/>
            <w:tcMar>
              <w:left w:w="108" w:type="dxa"/>
              <w:right w:w="108" w:type="dxa"/>
            </w:tcMar>
            <w:vAlign w:val="center"/>
          </w:tcPr>
          <w:p w14:paraId="1D79157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16bis</w:t>
            </w:r>
          </w:p>
        </w:tc>
        <w:tc>
          <w:tcPr>
            <w:tcW w:w="3449" w:type="dxa"/>
            <w:shd w:val="clear" w:color="auto" w:fill="C6EFCE"/>
            <w:tcMar>
              <w:left w:w="108" w:type="dxa"/>
              <w:right w:w="108" w:type="dxa"/>
            </w:tcMar>
            <w:vAlign w:val="center"/>
          </w:tcPr>
          <w:p w14:paraId="4939383E"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Investícia-2.1: Atraktívnosť malých historických miest </w:t>
            </w:r>
          </w:p>
        </w:tc>
        <w:tc>
          <w:tcPr>
            <w:tcW w:w="1134" w:type="dxa"/>
            <w:shd w:val="clear" w:color="auto" w:fill="C6EFCE"/>
            <w:tcMar>
              <w:left w:w="108" w:type="dxa"/>
              <w:right w:w="108" w:type="dxa"/>
            </w:tcMar>
            <w:vAlign w:val="center"/>
          </w:tcPr>
          <w:p w14:paraId="332F7D5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FE82BC7" w14:textId="2DDF775D" w:rsidR="00BF03AA" w:rsidRPr="00326E55" w:rsidRDefault="00FB452D">
            <w:pPr>
              <w:pStyle w:val="P68B1DB1-Normal121"/>
              <w:spacing w:after="0" w:line="240" w:lineRule="auto"/>
              <w:rPr>
                <w:noProof/>
                <w:spacing w:val="-6"/>
                <w:lang w:val="sk-SK"/>
              </w:rPr>
            </w:pPr>
            <w:r w:rsidRPr="00326E55">
              <w:rPr>
                <w:noProof/>
                <w:spacing w:val="-6"/>
                <w:lang w:val="sk-SK"/>
              </w:rPr>
              <w:t>Projekty</w:t>
            </w:r>
            <w:r w:rsidR="00326E55" w:rsidRPr="00326E55">
              <w:rPr>
                <w:noProof/>
                <w:spacing w:val="-6"/>
                <w:lang w:val="sk-SK"/>
              </w:rPr>
              <w:t xml:space="preserve"> v </w:t>
            </w:r>
            <w:r w:rsidRPr="00326E55">
              <w:rPr>
                <w:noProof/>
                <w:spacing w:val="-6"/>
                <w:lang w:val="sk-SK"/>
              </w:rPr>
              <w:t>oblasti kultúrnej obnovy malých historických miest</w:t>
            </w:r>
          </w:p>
        </w:tc>
      </w:tr>
      <w:tr w:rsidR="00BF03AA" w:rsidRPr="00326E55" w14:paraId="1781DC30" w14:textId="77777777">
        <w:trPr>
          <w:trHeight w:val="1065"/>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6CA640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17</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6D316C" w14:textId="62CFEB90"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Investície </w:t>
            </w:r>
            <w:r w:rsidRPr="00326E55">
              <w:rPr>
                <w:noProof/>
                <w:spacing w:val="-6"/>
                <w:lang w:val="sk-SK"/>
              </w:rPr>
              <w:t>– 2.2 Ochrana</w:t>
            </w:r>
            <w:r w:rsidR="00326E55" w:rsidRPr="00326E55">
              <w:rPr>
                <w:noProof/>
                <w:spacing w:val="-6"/>
                <w:lang w:val="sk-SK"/>
              </w:rPr>
              <w:t xml:space="preserve"> a </w:t>
            </w:r>
            <w:r w:rsidRPr="00326E55">
              <w:rPr>
                <w:noProof/>
                <w:spacing w:val="-6"/>
                <w:lang w:val="sk-SK"/>
              </w:rPr>
              <w:t>zlepšenie vidieckej architektúry</w:t>
            </w:r>
            <w:r w:rsidR="00326E55" w:rsidRPr="00326E55">
              <w:rPr>
                <w:noProof/>
                <w:spacing w:val="-6"/>
                <w:lang w:val="sk-SK"/>
              </w:rPr>
              <w:t xml:space="preserve"> a </w:t>
            </w:r>
            <w:r w:rsidRPr="00326E55">
              <w:rPr>
                <w:noProof/>
                <w:spacing w:val="-6"/>
                <w:lang w:val="sk-SK"/>
              </w:rPr>
              <w:t>krajiny</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0DC8E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E07F56" w14:textId="02A40B4E" w:rsidR="00BF03AA" w:rsidRPr="00326E55" w:rsidRDefault="00FB452D">
            <w:pPr>
              <w:pStyle w:val="P68B1DB1-Normal121"/>
              <w:spacing w:after="0" w:line="240" w:lineRule="auto"/>
              <w:rPr>
                <w:noProof/>
                <w:spacing w:val="-6"/>
                <w:lang w:val="sk-SK"/>
              </w:rPr>
            </w:pPr>
            <w:r w:rsidRPr="00326E55">
              <w:rPr>
                <w:noProof/>
                <w:spacing w:val="-6"/>
                <w:lang w:val="sk-SK"/>
              </w:rPr>
              <w:t>Ukončené intervencie na ochranu</w:t>
            </w:r>
            <w:r w:rsidR="00326E55" w:rsidRPr="00326E55">
              <w:rPr>
                <w:noProof/>
                <w:spacing w:val="-6"/>
                <w:lang w:val="sk-SK"/>
              </w:rPr>
              <w:t xml:space="preserve"> a </w:t>
            </w:r>
            <w:r w:rsidRPr="00326E55">
              <w:rPr>
                <w:noProof/>
                <w:spacing w:val="-6"/>
                <w:lang w:val="sk-SK"/>
              </w:rPr>
              <w:t>zlepšenie vidieckej architektúry</w:t>
            </w:r>
            <w:r w:rsidR="00326E55" w:rsidRPr="00326E55">
              <w:rPr>
                <w:noProof/>
                <w:spacing w:val="-6"/>
                <w:lang w:val="sk-SK"/>
              </w:rPr>
              <w:t xml:space="preserve"> a </w:t>
            </w:r>
            <w:r w:rsidRPr="00326E55">
              <w:rPr>
                <w:noProof/>
                <w:spacing w:val="-6"/>
                <w:lang w:val="sk-SK"/>
              </w:rPr>
              <w:t>krajiny</w:t>
            </w:r>
          </w:p>
        </w:tc>
      </w:tr>
      <w:tr w:rsidR="00BF03AA" w:rsidRPr="00326E55" w14:paraId="5DEEA733" w14:textId="77777777">
        <w:trPr>
          <w:trHeight w:val="300"/>
        </w:trPr>
        <w:tc>
          <w:tcPr>
            <w:tcW w:w="1246" w:type="dxa"/>
            <w:shd w:val="clear" w:color="auto" w:fill="C6EFCE"/>
            <w:tcMar>
              <w:left w:w="108" w:type="dxa"/>
              <w:right w:w="108" w:type="dxa"/>
            </w:tcMar>
            <w:vAlign w:val="center"/>
          </w:tcPr>
          <w:p w14:paraId="6BE8DE0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M1C3 – 19</w:t>
            </w:r>
          </w:p>
        </w:tc>
        <w:tc>
          <w:tcPr>
            <w:tcW w:w="3449" w:type="dxa"/>
            <w:shd w:val="clear" w:color="auto" w:fill="C6EFCE"/>
            <w:tcMar>
              <w:left w:w="108" w:type="dxa"/>
              <w:right w:w="108" w:type="dxa"/>
            </w:tcMar>
            <w:vAlign w:val="center"/>
          </w:tcPr>
          <w:p w14:paraId="5F9A7C0C" w14:textId="72DB475F" w:rsidR="00BF03AA" w:rsidRPr="00326E55" w:rsidRDefault="00FB452D">
            <w:pPr>
              <w:pStyle w:val="P68B1DB1-Normal121"/>
              <w:spacing w:after="0" w:line="240" w:lineRule="auto"/>
              <w:rPr>
                <w:noProof/>
                <w:spacing w:val="-6"/>
                <w:lang w:val="sk-SK"/>
              </w:rPr>
            </w:pPr>
            <w:r w:rsidRPr="00326E55">
              <w:rPr>
                <w:noProof/>
                <w:spacing w:val="-6"/>
                <w:lang w:val="sk-SK"/>
              </w:rPr>
              <w:t>Investícia – 2.4 Seizmická bezpečnosť bohoslužobných miest, obnova FEC (Fondo Edifici di Culto)</w:t>
            </w:r>
            <w:r w:rsidR="00326E55" w:rsidRPr="00326E55">
              <w:rPr>
                <w:noProof/>
                <w:spacing w:val="-6"/>
                <w:lang w:val="sk-SK"/>
              </w:rPr>
              <w:t xml:space="preserve"> a </w:t>
            </w:r>
            <w:r w:rsidRPr="00326E55">
              <w:rPr>
                <w:noProof/>
                <w:spacing w:val="-6"/>
                <w:lang w:val="sk-SK"/>
              </w:rPr>
              <w:t>útulkov pre umelecké diela (obnova umenia)</w:t>
            </w:r>
          </w:p>
        </w:tc>
        <w:tc>
          <w:tcPr>
            <w:tcW w:w="1134" w:type="dxa"/>
            <w:shd w:val="clear" w:color="auto" w:fill="C6EFCE"/>
            <w:tcMar>
              <w:left w:w="108" w:type="dxa"/>
              <w:right w:w="108" w:type="dxa"/>
            </w:tcMar>
            <w:vAlign w:val="center"/>
          </w:tcPr>
          <w:p w14:paraId="4495B98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3EFBD387" w14:textId="0848D7B7" w:rsidR="00BF03AA" w:rsidRPr="00326E55" w:rsidRDefault="00FB452D">
            <w:pPr>
              <w:pStyle w:val="P68B1DB1-Normal121"/>
              <w:spacing w:after="0" w:line="240" w:lineRule="auto"/>
              <w:rPr>
                <w:noProof/>
                <w:spacing w:val="-6"/>
                <w:lang w:val="sk-SK"/>
              </w:rPr>
            </w:pPr>
            <w:r w:rsidRPr="00326E55">
              <w:rPr>
                <w:noProof/>
                <w:spacing w:val="-6"/>
                <w:lang w:val="sk-SK"/>
              </w:rPr>
              <w:t>Intervencie</w:t>
            </w:r>
            <w:r w:rsidR="00326E55" w:rsidRPr="00326E55">
              <w:rPr>
                <w:noProof/>
                <w:spacing w:val="-6"/>
                <w:lang w:val="sk-SK"/>
              </w:rPr>
              <w:t xml:space="preserve"> v </w:t>
            </w:r>
            <w:r w:rsidRPr="00326E55">
              <w:rPr>
                <w:noProof/>
                <w:spacing w:val="-6"/>
                <w:lang w:val="sk-SK"/>
              </w:rPr>
              <w:t>oblasti seizmickej bezpečnosti na miestach bohoslužieb, obnova dedičstva FEC (Fondo Edifici di Culto)</w:t>
            </w:r>
            <w:r w:rsidR="00326E55" w:rsidRPr="00326E55">
              <w:rPr>
                <w:noProof/>
                <w:spacing w:val="-6"/>
                <w:lang w:val="sk-SK"/>
              </w:rPr>
              <w:t xml:space="preserve"> a </w:t>
            </w:r>
            <w:r w:rsidRPr="00326E55">
              <w:rPr>
                <w:noProof/>
                <w:spacing w:val="-6"/>
                <w:lang w:val="sk-SK"/>
              </w:rPr>
              <w:t>útulkov umeleckých diel</w:t>
            </w:r>
          </w:p>
        </w:tc>
      </w:tr>
      <w:tr w:rsidR="00BF03AA" w:rsidRPr="00326E55" w14:paraId="2CB5BB0E" w14:textId="77777777">
        <w:trPr>
          <w:trHeight w:val="300"/>
        </w:trPr>
        <w:tc>
          <w:tcPr>
            <w:tcW w:w="1246" w:type="dxa"/>
            <w:shd w:val="clear" w:color="auto" w:fill="C6EFCE"/>
            <w:tcMar>
              <w:left w:w="108" w:type="dxa"/>
              <w:right w:w="108" w:type="dxa"/>
            </w:tcMar>
            <w:vAlign w:val="center"/>
          </w:tcPr>
          <w:p w14:paraId="2791427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M2C1 – 10</w:t>
            </w:r>
          </w:p>
        </w:tc>
        <w:tc>
          <w:tcPr>
            <w:tcW w:w="3449" w:type="dxa"/>
            <w:shd w:val="clear" w:color="auto" w:fill="C6EFCE"/>
            <w:tcMar>
              <w:left w:w="108" w:type="dxa"/>
              <w:right w:w="108" w:type="dxa"/>
            </w:tcMar>
            <w:vAlign w:val="center"/>
          </w:tcPr>
          <w:p w14:paraId="0AAFC180" w14:textId="4F8BEF24"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2.1: Logistický plán pre odvetvia </w:t>
            </w:r>
            <w:r w:rsidRPr="00326E55">
              <w:rPr>
                <w:noProof/>
                <w:spacing w:val="-6"/>
                <w:lang w:val="sk-SK"/>
              </w:rPr>
              <w:t>agropotravinárstva, rybolovu</w:t>
            </w:r>
            <w:r w:rsidR="00326E55" w:rsidRPr="00326E55">
              <w:rPr>
                <w:noProof/>
                <w:spacing w:val="-6"/>
                <w:lang w:val="sk-SK"/>
              </w:rPr>
              <w:t xml:space="preserve"> a </w:t>
            </w:r>
            <w:r w:rsidRPr="00326E55">
              <w:rPr>
                <w:noProof/>
                <w:spacing w:val="-6"/>
                <w:lang w:val="sk-SK"/>
              </w:rPr>
              <w:t>akvakultúry, lesného hospodárstva, kvetinárstva</w:t>
            </w:r>
            <w:r w:rsidR="00326E55" w:rsidRPr="00326E55">
              <w:rPr>
                <w:noProof/>
                <w:spacing w:val="-6"/>
                <w:lang w:val="sk-SK"/>
              </w:rPr>
              <w:t xml:space="preserve"> a </w:t>
            </w:r>
            <w:r w:rsidRPr="00326E55">
              <w:rPr>
                <w:noProof/>
                <w:spacing w:val="-6"/>
                <w:lang w:val="sk-SK"/>
              </w:rPr>
              <w:t>škôlok</w:t>
            </w:r>
          </w:p>
        </w:tc>
        <w:tc>
          <w:tcPr>
            <w:tcW w:w="1134" w:type="dxa"/>
            <w:shd w:val="clear" w:color="auto" w:fill="C6EFCE"/>
            <w:tcMar>
              <w:left w:w="108" w:type="dxa"/>
              <w:right w:w="108" w:type="dxa"/>
            </w:tcMar>
            <w:vAlign w:val="center"/>
          </w:tcPr>
          <w:p w14:paraId="139EFF0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55AB6E5D" w14:textId="1383747E" w:rsidR="00BF03AA" w:rsidRPr="00326E55" w:rsidRDefault="00FB452D">
            <w:pPr>
              <w:pStyle w:val="P68B1DB1-Normal121"/>
              <w:spacing w:after="0" w:line="240" w:lineRule="auto"/>
              <w:rPr>
                <w:noProof/>
                <w:spacing w:val="-6"/>
                <w:lang w:val="sk-SK"/>
              </w:rPr>
            </w:pPr>
            <w:r w:rsidRPr="00326E55">
              <w:rPr>
                <w:noProof/>
                <w:spacing w:val="-6"/>
                <w:lang w:val="sk-SK"/>
              </w:rPr>
              <w:t>Intervencie na zlepšenie logistiky</w:t>
            </w:r>
            <w:r w:rsidR="00326E55" w:rsidRPr="00326E55">
              <w:rPr>
                <w:noProof/>
                <w:spacing w:val="-6"/>
                <w:lang w:val="sk-SK"/>
              </w:rPr>
              <w:t xml:space="preserve"> v </w:t>
            </w:r>
            <w:r w:rsidRPr="00326E55">
              <w:rPr>
                <w:noProof/>
                <w:spacing w:val="-6"/>
                <w:lang w:val="sk-SK"/>
              </w:rPr>
              <w:t>odvetviach agropotravinárstva, rybolovu</w:t>
            </w:r>
            <w:r w:rsidR="00326E55" w:rsidRPr="00326E55">
              <w:rPr>
                <w:noProof/>
                <w:spacing w:val="-6"/>
                <w:lang w:val="sk-SK"/>
              </w:rPr>
              <w:t xml:space="preserve"> a </w:t>
            </w:r>
            <w:r w:rsidRPr="00326E55">
              <w:rPr>
                <w:noProof/>
                <w:spacing w:val="-6"/>
                <w:lang w:val="sk-SK"/>
              </w:rPr>
              <w:t>akvakultúry, lesného hospodárstva, kvetinárstva</w:t>
            </w:r>
            <w:r w:rsidR="00326E55" w:rsidRPr="00326E55">
              <w:rPr>
                <w:noProof/>
                <w:spacing w:val="-6"/>
                <w:lang w:val="sk-SK"/>
              </w:rPr>
              <w:t xml:space="preserve"> a </w:t>
            </w:r>
            <w:r w:rsidRPr="00326E55">
              <w:rPr>
                <w:noProof/>
                <w:spacing w:val="-6"/>
                <w:lang w:val="sk-SK"/>
              </w:rPr>
              <w:t>škôlok</w:t>
            </w:r>
          </w:p>
        </w:tc>
      </w:tr>
      <w:tr w:rsidR="00BF03AA" w:rsidRPr="00326E55" w14:paraId="58BCCAB5" w14:textId="77777777">
        <w:trPr>
          <w:trHeight w:val="300"/>
        </w:trPr>
        <w:tc>
          <w:tcPr>
            <w:tcW w:w="1246" w:type="dxa"/>
            <w:shd w:val="clear" w:color="auto" w:fill="C6EFCE"/>
            <w:tcMar>
              <w:left w:w="108" w:type="dxa"/>
              <w:right w:w="108" w:type="dxa"/>
            </w:tcMar>
            <w:vAlign w:val="center"/>
          </w:tcPr>
          <w:p w14:paraId="52D5D6AF" w14:textId="179BB4C2" w:rsidR="00BF03AA" w:rsidRPr="00326E55" w:rsidRDefault="00FB452D">
            <w:pPr>
              <w:pStyle w:val="P68B1DB1-Normal121"/>
              <w:spacing w:after="0" w:line="240" w:lineRule="auto"/>
              <w:jc w:val="center"/>
              <w:rPr>
                <w:noProof/>
                <w:spacing w:val="-6"/>
                <w:lang w:val="sk-SK"/>
              </w:rPr>
            </w:pPr>
            <w:r w:rsidRPr="00326E55">
              <w:rPr>
                <w:noProof/>
                <w:spacing w:val="-6"/>
                <w:lang w:val="sk-SK"/>
              </w:rPr>
              <w:t>M2C1 – 16c</w:t>
            </w:r>
          </w:p>
        </w:tc>
        <w:tc>
          <w:tcPr>
            <w:tcW w:w="3449" w:type="dxa"/>
            <w:shd w:val="clear" w:color="auto" w:fill="C6EFCE"/>
            <w:tcMar>
              <w:left w:w="108" w:type="dxa"/>
              <w:right w:w="108" w:type="dxa"/>
            </w:tcMar>
            <w:vAlign w:val="center"/>
          </w:tcPr>
          <w:p w14:paraId="7099E62A" w14:textId="0A377BEB"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1.1 </w:t>
            </w:r>
            <w:r w:rsidRPr="00326E55">
              <w:rPr>
                <w:noProof/>
                <w:spacing w:val="-6"/>
                <w:lang w:val="sk-SK"/>
              </w:rPr>
              <w:t>– Implementácia nových zariadení na nakladanie</w:t>
            </w:r>
            <w:r w:rsidR="00326E55" w:rsidRPr="00326E55">
              <w:rPr>
                <w:noProof/>
                <w:spacing w:val="-6"/>
                <w:lang w:val="sk-SK"/>
              </w:rPr>
              <w:t xml:space="preserve"> s </w:t>
            </w:r>
            <w:r w:rsidRPr="00326E55">
              <w:rPr>
                <w:noProof/>
                <w:spacing w:val="-6"/>
                <w:lang w:val="sk-SK"/>
              </w:rPr>
              <w:t>odpadom</w:t>
            </w:r>
            <w:r w:rsidR="00326E55" w:rsidRPr="00326E55">
              <w:rPr>
                <w:noProof/>
                <w:spacing w:val="-6"/>
                <w:lang w:val="sk-SK"/>
              </w:rPr>
              <w:t xml:space="preserve"> a </w:t>
            </w:r>
            <w:r w:rsidRPr="00326E55">
              <w:rPr>
                <w:noProof/>
                <w:spacing w:val="-6"/>
                <w:lang w:val="sk-SK"/>
              </w:rPr>
              <w:t>modernizácia existujúcich zariadení</w:t>
            </w:r>
            <w:r w:rsidR="00326E55" w:rsidRPr="00326E55">
              <w:rPr>
                <w:noProof/>
                <w:spacing w:val="-6"/>
                <w:lang w:val="sk-SK"/>
              </w:rPr>
              <w:t xml:space="preserve"> a </w:t>
            </w:r>
            <w:r w:rsidRPr="00326E55">
              <w:rPr>
                <w:noProof/>
                <w:spacing w:val="-6"/>
                <w:lang w:val="sk-SK"/>
              </w:rPr>
              <w:t>„hlavné“ projekty obehového hospodárstva</w:t>
            </w:r>
          </w:p>
        </w:tc>
        <w:tc>
          <w:tcPr>
            <w:tcW w:w="1134" w:type="dxa"/>
            <w:shd w:val="clear" w:color="auto" w:fill="C6EFCE"/>
            <w:tcMar>
              <w:left w:w="108" w:type="dxa"/>
              <w:right w:w="108" w:type="dxa"/>
            </w:tcMar>
            <w:vAlign w:val="center"/>
          </w:tcPr>
          <w:p w14:paraId="5B1FDD5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07BCEE3" w14:textId="44208526" w:rsidR="00BF03AA" w:rsidRPr="00326E55" w:rsidRDefault="00FB452D">
            <w:pPr>
              <w:pStyle w:val="P68B1DB1-Normal121"/>
              <w:spacing w:after="0" w:line="240" w:lineRule="auto"/>
              <w:rPr>
                <w:noProof/>
                <w:spacing w:val="-6"/>
                <w:lang w:val="sk-SK"/>
              </w:rPr>
            </w:pPr>
            <w:r w:rsidRPr="00326E55">
              <w:rPr>
                <w:noProof/>
                <w:spacing w:val="-6"/>
                <w:lang w:val="sk-SK"/>
              </w:rPr>
              <w:t xml:space="preserve">Skompletizované  </w:t>
            </w:r>
          </w:p>
        </w:tc>
      </w:tr>
      <w:tr w:rsidR="00BF03AA" w:rsidRPr="00326E55" w14:paraId="422FD69E"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4EF7D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M2C2 – 45</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878220"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1.1: Rozvoj agrovoltaických systémov</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7B8E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9C4C81" w14:textId="59E65D89" w:rsidR="00BF03AA" w:rsidRPr="00326E55" w:rsidRDefault="00FB452D">
            <w:pPr>
              <w:pStyle w:val="P68B1DB1-Normal121"/>
              <w:spacing w:after="0" w:line="240" w:lineRule="auto"/>
              <w:rPr>
                <w:noProof/>
                <w:spacing w:val="-6"/>
                <w:lang w:val="sk-SK"/>
              </w:rPr>
            </w:pPr>
            <w:r w:rsidRPr="00326E55">
              <w:rPr>
                <w:noProof/>
                <w:spacing w:val="-6"/>
                <w:lang w:val="sk-SK"/>
              </w:rPr>
              <w:t xml:space="preserve">Vykonávacia dohoda, právne </w:t>
            </w:r>
            <w:r w:rsidRPr="00326E55">
              <w:rPr>
                <w:noProof/>
                <w:spacing w:val="-6"/>
                <w:lang w:val="sk-SK"/>
              </w:rPr>
              <w:t>dohody podpísané</w:t>
            </w:r>
            <w:r w:rsidR="00326E55" w:rsidRPr="00326E55">
              <w:rPr>
                <w:noProof/>
                <w:spacing w:val="-6"/>
                <w:lang w:val="sk-SK"/>
              </w:rPr>
              <w:t xml:space="preserve"> s </w:t>
            </w:r>
            <w:r w:rsidRPr="00326E55">
              <w:rPr>
                <w:noProof/>
                <w:spacing w:val="-6"/>
                <w:lang w:val="sk-SK"/>
              </w:rPr>
              <w:t>konečnými príjemcami</w:t>
            </w:r>
            <w:r w:rsidR="00326E55" w:rsidRPr="00326E55">
              <w:rPr>
                <w:noProof/>
                <w:spacing w:val="-6"/>
                <w:lang w:val="sk-SK"/>
              </w:rPr>
              <w:t xml:space="preserve"> a </w:t>
            </w:r>
            <w:r w:rsidRPr="00326E55">
              <w:rPr>
                <w:noProof/>
                <w:spacing w:val="-6"/>
                <w:lang w:val="sk-SK"/>
              </w:rPr>
              <w:t>dokončenie investícií</w:t>
            </w:r>
          </w:p>
        </w:tc>
      </w:tr>
      <w:tr w:rsidR="00BF03AA" w:rsidRPr="00326E55" w14:paraId="274C2514"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EF2ED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18</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E42EDE" w14:textId="246720F2" w:rsidR="00BF03AA" w:rsidRPr="00326E55" w:rsidRDefault="00FB452D">
            <w:pPr>
              <w:pStyle w:val="P68B1DB1-Normal121"/>
              <w:spacing w:after="0" w:line="240" w:lineRule="auto"/>
              <w:rPr>
                <w:noProof/>
                <w:spacing w:val="-6"/>
                <w:lang w:val="sk-SK"/>
              </w:rPr>
            </w:pPr>
            <w:r w:rsidRPr="00326E55">
              <w:rPr>
                <w:noProof/>
                <w:spacing w:val="-6"/>
                <w:lang w:val="sk-SK"/>
              </w:rPr>
              <w:t>Investícia 1.1: Plán pre materské školy</w:t>
            </w:r>
            <w:r w:rsidR="00326E55" w:rsidRPr="00326E55">
              <w:rPr>
                <w:noProof/>
                <w:spacing w:val="-6"/>
                <w:lang w:val="sk-SK"/>
              </w:rPr>
              <w:t xml:space="preserve"> a </w:t>
            </w:r>
            <w:r w:rsidRPr="00326E55">
              <w:rPr>
                <w:noProof/>
                <w:spacing w:val="-6"/>
                <w:lang w:val="sk-SK"/>
              </w:rPr>
              <w:t>predškolské zariadenia</w:t>
            </w:r>
            <w:r w:rsidR="00326E55" w:rsidRPr="00326E55">
              <w:rPr>
                <w:noProof/>
                <w:spacing w:val="-6"/>
                <w:lang w:val="sk-SK"/>
              </w:rPr>
              <w:t xml:space="preserve"> a </w:t>
            </w:r>
            <w:r w:rsidRPr="00326E55">
              <w:rPr>
                <w:noProof/>
                <w:spacing w:val="-6"/>
                <w:lang w:val="sk-SK"/>
              </w:rPr>
              <w:t>služby vzdelávania</w:t>
            </w:r>
            <w:r w:rsidR="00326E55" w:rsidRPr="00326E55">
              <w:rPr>
                <w:noProof/>
                <w:spacing w:val="-6"/>
                <w:lang w:val="sk-SK"/>
              </w:rPr>
              <w:t xml:space="preserve"> a </w:t>
            </w:r>
            <w:r w:rsidRPr="00326E55">
              <w:rPr>
                <w:noProof/>
                <w:spacing w:val="-6"/>
                <w:lang w:val="sk-SK"/>
              </w:rPr>
              <w:t>starostlivosti</w:t>
            </w:r>
            <w:r w:rsidR="00326E55" w:rsidRPr="00326E55">
              <w:rPr>
                <w:noProof/>
                <w:spacing w:val="-6"/>
                <w:lang w:val="sk-SK"/>
              </w:rPr>
              <w:t xml:space="preserve"> v </w:t>
            </w:r>
            <w:r w:rsidRPr="00326E55">
              <w:rPr>
                <w:noProof/>
                <w:spacing w:val="-6"/>
                <w:lang w:val="sk-SK"/>
              </w:rPr>
              <w:t>ranom detstve</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E6C8C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B22542" w14:textId="59723A20" w:rsidR="00BF03AA" w:rsidRPr="00326E55" w:rsidRDefault="00FB452D">
            <w:pPr>
              <w:pStyle w:val="P68B1DB1-Normal121"/>
              <w:spacing w:after="0" w:line="240" w:lineRule="auto"/>
              <w:rPr>
                <w:noProof/>
                <w:spacing w:val="-6"/>
                <w:lang w:val="sk-SK"/>
              </w:rPr>
            </w:pPr>
            <w:r w:rsidRPr="00326E55">
              <w:rPr>
                <w:noProof/>
                <w:spacing w:val="-6"/>
                <w:lang w:val="sk-SK"/>
              </w:rPr>
              <w:t>Nové miesta aktivované pre služby vzdelávania</w:t>
            </w:r>
            <w:r w:rsidR="00326E55" w:rsidRPr="00326E55">
              <w:rPr>
                <w:noProof/>
                <w:spacing w:val="-6"/>
                <w:lang w:val="sk-SK"/>
              </w:rPr>
              <w:t xml:space="preserve"> a </w:t>
            </w:r>
            <w:r w:rsidRPr="00326E55">
              <w:rPr>
                <w:noProof/>
                <w:spacing w:val="-6"/>
                <w:lang w:val="sk-SK"/>
              </w:rPr>
              <w:t>starostlivosti</w:t>
            </w:r>
            <w:r w:rsidR="00326E55" w:rsidRPr="00326E55">
              <w:rPr>
                <w:noProof/>
                <w:spacing w:val="-6"/>
                <w:lang w:val="sk-SK"/>
              </w:rPr>
              <w:t xml:space="preserve"> v </w:t>
            </w:r>
            <w:r w:rsidRPr="00326E55">
              <w:rPr>
                <w:noProof/>
                <w:spacing w:val="-6"/>
                <w:lang w:val="sk-SK"/>
              </w:rPr>
              <w:t>ranom detstve (od nuly do šiestich rokov)</w:t>
            </w:r>
          </w:p>
        </w:tc>
      </w:tr>
      <w:tr w:rsidR="00BF03AA" w:rsidRPr="00326E55" w14:paraId="506A8E65"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372A6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21</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62D62F"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1.2: Plán na predĺženie pracovného času na plný úväzok</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BFB35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4F4082" w14:textId="77777777" w:rsidR="00BF03AA" w:rsidRPr="00326E55" w:rsidRDefault="00FB452D">
            <w:pPr>
              <w:pStyle w:val="P68B1DB1-Normal121"/>
              <w:spacing w:after="0" w:line="240" w:lineRule="auto"/>
              <w:rPr>
                <w:noProof/>
                <w:spacing w:val="-6"/>
                <w:lang w:val="sk-SK"/>
              </w:rPr>
            </w:pPr>
            <w:r w:rsidRPr="00326E55">
              <w:rPr>
                <w:noProof/>
                <w:spacing w:val="-6"/>
                <w:lang w:val="sk-SK"/>
              </w:rPr>
              <w:t>Štruktúry na prijímanie študentov mimo školského času</w:t>
            </w:r>
          </w:p>
        </w:tc>
      </w:tr>
      <w:tr w:rsidR="00BF03AA" w:rsidRPr="00326E55" w14:paraId="0C812F13"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E5AA5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26</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C553F3" w14:textId="682D57DF" w:rsidR="00BF03AA" w:rsidRPr="00326E55" w:rsidRDefault="00FB452D">
            <w:pPr>
              <w:pStyle w:val="P68B1DB1-Normal121"/>
              <w:spacing w:after="0" w:line="240" w:lineRule="auto"/>
              <w:rPr>
                <w:noProof/>
                <w:spacing w:val="-6"/>
                <w:lang w:val="sk-SK"/>
              </w:rPr>
            </w:pPr>
            <w:r w:rsidRPr="00326E55">
              <w:rPr>
                <w:noProof/>
                <w:spacing w:val="-6"/>
                <w:lang w:val="sk-SK"/>
              </w:rPr>
              <w:t>Investícia 3.3: Bezpečnosť školských budov</w:t>
            </w:r>
            <w:r w:rsidR="00326E55" w:rsidRPr="00326E55">
              <w:rPr>
                <w:noProof/>
                <w:spacing w:val="-6"/>
                <w:lang w:val="sk-SK"/>
              </w:rPr>
              <w:t xml:space="preserve"> a </w:t>
            </w:r>
            <w:r w:rsidRPr="00326E55">
              <w:rPr>
                <w:noProof/>
                <w:spacing w:val="-6"/>
                <w:lang w:val="sk-SK"/>
              </w:rPr>
              <w:t xml:space="preserve">plán </w:t>
            </w:r>
            <w:r w:rsidRPr="00326E55">
              <w:rPr>
                <w:noProof/>
                <w:spacing w:val="-6"/>
                <w:lang w:val="sk-SK"/>
              </w:rPr>
              <w:t>štrukturálnej obnovy</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328AE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06F8BD" w14:textId="77777777" w:rsidR="00BF03AA" w:rsidRPr="00326E55" w:rsidRDefault="00FB452D">
            <w:pPr>
              <w:pStyle w:val="P68B1DB1-Normal121"/>
              <w:spacing w:after="0" w:line="240" w:lineRule="auto"/>
              <w:rPr>
                <w:noProof/>
                <w:spacing w:val="-6"/>
                <w:lang w:val="sk-SK"/>
              </w:rPr>
            </w:pPr>
            <w:r w:rsidRPr="00326E55">
              <w:rPr>
                <w:noProof/>
                <w:spacing w:val="-6"/>
                <w:lang w:val="sk-SK"/>
              </w:rPr>
              <w:t>M2 zrekonštruovaných školských budov</w:t>
            </w:r>
          </w:p>
        </w:tc>
      </w:tr>
      <w:tr w:rsidR="00BF03AA" w:rsidRPr="00326E55" w14:paraId="0C1D6002"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F79929"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M4C1 – 32</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BB88A4"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Fond bývania pre študentov</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75F81C"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BC1FD1" w14:textId="07589AD4" w:rsidR="00BF03AA" w:rsidRPr="00326E55" w:rsidRDefault="00FB452D">
            <w:pPr>
              <w:pStyle w:val="P68B1DB1-Normal121"/>
              <w:spacing w:after="0" w:line="240" w:lineRule="auto"/>
              <w:rPr>
                <w:noProof/>
                <w:spacing w:val="-6"/>
                <w:lang w:val="sk-SK"/>
              </w:rPr>
            </w:pPr>
            <w:r w:rsidRPr="00326E55">
              <w:rPr>
                <w:noProof/>
                <w:spacing w:val="-6"/>
                <w:lang w:val="sk-SK"/>
              </w:rPr>
              <w:t>Právne dohody podpísané</w:t>
            </w:r>
            <w:r w:rsidR="00326E55" w:rsidRPr="00326E55">
              <w:rPr>
                <w:noProof/>
                <w:spacing w:val="-6"/>
                <w:lang w:val="sk-SK"/>
              </w:rPr>
              <w:t xml:space="preserve"> s </w:t>
            </w:r>
            <w:r w:rsidRPr="00326E55">
              <w:rPr>
                <w:noProof/>
                <w:spacing w:val="-6"/>
                <w:lang w:val="sk-SK"/>
              </w:rPr>
              <w:t>konečnými príjemcami</w:t>
            </w:r>
            <w:r w:rsidR="00326E55" w:rsidRPr="00326E55">
              <w:rPr>
                <w:noProof/>
                <w:spacing w:val="-6"/>
                <w:lang w:val="sk-SK"/>
              </w:rPr>
              <w:t xml:space="preserve"> a </w:t>
            </w:r>
            <w:r w:rsidRPr="00326E55">
              <w:rPr>
                <w:noProof/>
                <w:spacing w:val="-6"/>
                <w:lang w:val="sk-SK"/>
              </w:rPr>
              <w:t>dokončenie investícií</w:t>
            </w:r>
          </w:p>
        </w:tc>
      </w:tr>
      <w:tr w:rsidR="00BF03AA" w:rsidRPr="00326E55" w14:paraId="0879F3E5"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F8E05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M5C1 – 20</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C3BC4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5: Zakladanie ženských podnikov</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1BCD7D"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A6DD05" w14:textId="06E99624" w:rsidR="00BF03AA" w:rsidRPr="00326E55" w:rsidRDefault="00FB452D">
            <w:pPr>
              <w:pStyle w:val="P68B1DB1-Normal121"/>
              <w:spacing w:after="0" w:line="240" w:lineRule="auto"/>
              <w:rPr>
                <w:noProof/>
                <w:spacing w:val="-6"/>
                <w:lang w:val="sk-SK"/>
              </w:rPr>
            </w:pPr>
            <w:r w:rsidRPr="00326E55">
              <w:rPr>
                <w:noProof/>
                <w:spacing w:val="-6"/>
                <w:lang w:val="sk-SK"/>
              </w:rPr>
              <w:t>Právne</w:t>
            </w:r>
            <w:r w:rsidRPr="00326E55">
              <w:rPr>
                <w:noProof/>
                <w:spacing w:val="-6"/>
                <w:lang w:val="sk-SK"/>
              </w:rPr>
              <w:t xml:space="preserve"> dohody podpísané</w:t>
            </w:r>
            <w:r w:rsidR="00326E55" w:rsidRPr="00326E55">
              <w:rPr>
                <w:noProof/>
                <w:spacing w:val="-6"/>
                <w:lang w:val="sk-SK"/>
              </w:rPr>
              <w:t xml:space="preserve"> s </w:t>
            </w:r>
            <w:r w:rsidRPr="00326E55">
              <w:rPr>
                <w:noProof/>
                <w:spacing w:val="-6"/>
                <w:lang w:val="sk-SK"/>
              </w:rPr>
              <w:t xml:space="preserve">konečnými príjemcami </w:t>
            </w:r>
          </w:p>
        </w:tc>
      </w:tr>
      <w:tr w:rsidR="00BF03AA" w:rsidRPr="00326E55" w14:paraId="6D9B6D2B"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8E51F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6</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3EB25ED" w14:textId="273222C5" w:rsidR="00BF03AA" w:rsidRPr="00326E55" w:rsidRDefault="00FB452D">
            <w:pPr>
              <w:pStyle w:val="P68B1DB1-Normal121"/>
              <w:spacing w:after="0" w:line="240" w:lineRule="auto"/>
              <w:rPr>
                <w:noProof/>
                <w:spacing w:val="-6"/>
                <w:lang w:val="sk-SK"/>
              </w:rPr>
            </w:pPr>
            <w:r w:rsidRPr="00326E55">
              <w:rPr>
                <w:noProof/>
                <w:spacing w:val="-6"/>
                <w:lang w:val="sk-SK"/>
              </w:rPr>
              <w:t>Investícia 1 – Podpora zraniteľných osôb</w:t>
            </w:r>
            <w:r w:rsidR="00326E55" w:rsidRPr="00326E55">
              <w:rPr>
                <w:noProof/>
                <w:spacing w:val="-6"/>
                <w:lang w:val="sk-SK"/>
              </w:rPr>
              <w:t xml:space="preserve"> a </w:t>
            </w:r>
            <w:r w:rsidRPr="00326E55">
              <w:rPr>
                <w:noProof/>
                <w:spacing w:val="-6"/>
                <w:lang w:val="sk-SK"/>
              </w:rPr>
              <w:t>predchádzanie inštitucionalizácii</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1AF3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0D9F0C" w14:textId="76D3FF90" w:rsidR="00BF03AA" w:rsidRPr="00326E55" w:rsidRDefault="00FB452D">
            <w:pPr>
              <w:pStyle w:val="P68B1DB1-Normal121"/>
              <w:spacing w:after="0" w:line="240" w:lineRule="auto"/>
              <w:rPr>
                <w:noProof/>
                <w:spacing w:val="-6"/>
                <w:lang w:val="sk-SK"/>
              </w:rPr>
            </w:pPr>
            <w:r w:rsidRPr="00326E55">
              <w:rPr>
                <w:noProof/>
                <w:spacing w:val="-6"/>
                <w:lang w:val="sk-SK"/>
              </w:rPr>
              <w:t>Opatrenia na podporu zraniteľných osôb dokončené</w:t>
            </w:r>
            <w:r w:rsidR="00326E55" w:rsidRPr="00326E55">
              <w:rPr>
                <w:noProof/>
                <w:spacing w:val="-6"/>
                <w:lang w:val="sk-SK"/>
              </w:rPr>
              <w:t xml:space="preserve"> v </w:t>
            </w:r>
            <w:r w:rsidRPr="00326E55">
              <w:rPr>
                <w:noProof/>
                <w:spacing w:val="-6"/>
                <w:lang w:val="sk-SK"/>
              </w:rPr>
              <w:t>sociálnych štvrtiach</w:t>
            </w:r>
          </w:p>
        </w:tc>
      </w:tr>
      <w:tr w:rsidR="00BF03AA" w:rsidRPr="00326E55" w14:paraId="59E94139"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B7F457"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8</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25B932"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2 – Autonómne modely pre osob</w:t>
            </w:r>
            <w:r w:rsidRPr="00326E55">
              <w:rPr>
                <w:noProof/>
                <w:spacing w:val="-6"/>
                <w:lang w:val="sk-SK"/>
              </w:rPr>
              <w:t>y so zdravotným postihnutím</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3E9C4A"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8FE96B9" w14:textId="27EEA541" w:rsidR="00BF03AA" w:rsidRPr="00326E55" w:rsidRDefault="00FB452D">
            <w:pPr>
              <w:pStyle w:val="P68B1DB1-Normal121"/>
              <w:spacing w:after="0" w:line="240" w:lineRule="auto"/>
              <w:rPr>
                <w:noProof/>
                <w:spacing w:val="-6"/>
                <w:lang w:val="sk-SK"/>
              </w:rPr>
            </w:pPr>
            <w:r w:rsidRPr="00326E55">
              <w:rPr>
                <w:noProof/>
                <w:spacing w:val="-6"/>
                <w:lang w:val="sk-SK"/>
              </w:rPr>
              <w:t>Prijímatelia absolvovali renováciu domáceho priestoru a/alebo zariadení IKT spolu</w:t>
            </w:r>
            <w:r w:rsidR="00326E55" w:rsidRPr="00326E55">
              <w:rPr>
                <w:noProof/>
                <w:spacing w:val="-6"/>
                <w:lang w:val="sk-SK"/>
              </w:rPr>
              <w:t xml:space="preserve"> s </w:t>
            </w:r>
            <w:r w:rsidRPr="00326E55">
              <w:rPr>
                <w:noProof/>
                <w:spacing w:val="-6"/>
                <w:lang w:val="sk-SK"/>
              </w:rPr>
              <w:t>odbornou prípravou</w:t>
            </w:r>
            <w:r w:rsidR="00326E55" w:rsidRPr="00326E55">
              <w:rPr>
                <w:noProof/>
                <w:spacing w:val="-6"/>
                <w:lang w:val="sk-SK"/>
              </w:rPr>
              <w:t xml:space="preserve"> v </w:t>
            </w:r>
            <w:r w:rsidRPr="00326E55">
              <w:rPr>
                <w:noProof/>
                <w:spacing w:val="-6"/>
                <w:lang w:val="sk-SK"/>
              </w:rPr>
              <w:t>oblasti digitálnych zručností</w:t>
            </w:r>
          </w:p>
        </w:tc>
      </w:tr>
      <w:tr w:rsidR="00BF03AA" w:rsidRPr="00326E55" w14:paraId="4AEC28A3" w14:textId="77777777">
        <w:trPr>
          <w:trHeight w:val="300"/>
        </w:trPr>
        <w:tc>
          <w:tcPr>
            <w:tcW w:w="1246" w:type="dxa"/>
            <w:shd w:val="clear" w:color="auto" w:fill="C6EFCE"/>
            <w:tcMar>
              <w:left w:w="108" w:type="dxa"/>
              <w:right w:w="108" w:type="dxa"/>
            </w:tcMar>
            <w:vAlign w:val="center"/>
          </w:tcPr>
          <w:p w14:paraId="6478180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M5C2 – 10</w:t>
            </w:r>
          </w:p>
        </w:tc>
        <w:tc>
          <w:tcPr>
            <w:tcW w:w="3449" w:type="dxa"/>
            <w:shd w:val="clear" w:color="auto" w:fill="C6EFCE"/>
            <w:tcMar>
              <w:left w:w="108" w:type="dxa"/>
              <w:right w:w="108" w:type="dxa"/>
            </w:tcMar>
            <w:vAlign w:val="center"/>
          </w:tcPr>
          <w:p w14:paraId="6E3E82BB" w14:textId="65A25B0B" w:rsidR="00BF03AA" w:rsidRPr="00326E55" w:rsidRDefault="00FB452D">
            <w:pPr>
              <w:pStyle w:val="P68B1DB1-Normal121"/>
              <w:spacing w:after="0" w:line="240" w:lineRule="auto"/>
              <w:rPr>
                <w:noProof/>
                <w:spacing w:val="-6"/>
                <w:lang w:val="sk-SK"/>
              </w:rPr>
            </w:pPr>
            <w:r w:rsidRPr="00326E55">
              <w:rPr>
                <w:noProof/>
                <w:spacing w:val="-6"/>
                <w:lang w:val="sk-SK"/>
              </w:rPr>
              <w:t>Investícia 3 – Prvé bývanie</w:t>
            </w:r>
            <w:r w:rsidR="00326E55" w:rsidRPr="00326E55">
              <w:rPr>
                <w:noProof/>
                <w:spacing w:val="-6"/>
                <w:lang w:val="sk-SK"/>
              </w:rPr>
              <w:t xml:space="preserve"> a </w:t>
            </w:r>
            <w:r w:rsidRPr="00326E55">
              <w:rPr>
                <w:noProof/>
                <w:spacing w:val="-6"/>
                <w:lang w:val="sk-SK"/>
              </w:rPr>
              <w:t>poštové stanice</w:t>
            </w:r>
          </w:p>
        </w:tc>
        <w:tc>
          <w:tcPr>
            <w:tcW w:w="1134" w:type="dxa"/>
            <w:shd w:val="clear" w:color="auto" w:fill="C6EFCE"/>
            <w:tcMar>
              <w:left w:w="108" w:type="dxa"/>
              <w:right w:w="108" w:type="dxa"/>
            </w:tcMar>
            <w:vAlign w:val="center"/>
          </w:tcPr>
          <w:p w14:paraId="6F2A36F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18CA03D" w14:textId="2A96787E" w:rsidR="00BF03AA" w:rsidRPr="00326E55" w:rsidRDefault="00FB452D">
            <w:pPr>
              <w:pStyle w:val="P68B1DB1-Normal121"/>
              <w:spacing w:after="0" w:line="240" w:lineRule="auto"/>
              <w:rPr>
                <w:noProof/>
                <w:spacing w:val="-6"/>
                <w:lang w:val="sk-SK"/>
              </w:rPr>
            </w:pPr>
            <w:r w:rsidRPr="00326E55">
              <w:rPr>
                <w:noProof/>
                <w:spacing w:val="-6"/>
                <w:lang w:val="sk-SK"/>
              </w:rPr>
              <w:t xml:space="preserve">Ľudia žijúci vo vážnej </w:t>
            </w:r>
            <w:r w:rsidRPr="00326E55">
              <w:rPr>
                <w:noProof/>
                <w:spacing w:val="-6"/>
                <w:lang w:val="sk-SK"/>
              </w:rPr>
              <w:t>materiálnej deprivácii, ktorí sú zodpovední za projekty „bývanie ako prvé“ aspoň šesť mesiacov</w:t>
            </w:r>
            <w:r w:rsidR="00326E55" w:rsidRPr="00326E55">
              <w:rPr>
                <w:noProof/>
                <w:spacing w:val="-6"/>
                <w:lang w:val="sk-SK"/>
              </w:rPr>
              <w:t xml:space="preserve"> a </w:t>
            </w:r>
            <w:r w:rsidRPr="00326E55">
              <w:rPr>
                <w:noProof/>
                <w:spacing w:val="-6"/>
                <w:lang w:val="sk-SK"/>
              </w:rPr>
              <w:t>poštové stanice</w:t>
            </w:r>
          </w:p>
        </w:tc>
      </w:tr>
      <w:tr w:rsidR="00BF03AA" w:rsidRPr="00326E55" w14:paraId="2CB4D7B9" w14:textId="77777777">
        <w:trPr>
          <w:trHeight w:val="300"/>
        </w:trPr>
        <w:tc>
          <w:tcPr>
            <w:tcW w:w="1246" w:type="dxa"/>
            <w:shd w:val="clear" w:color="auto" w:fill="C6EFCE"/>
            <w:tcMar>
              <w:left w:w="108" w:type="dxa"/>
              <w:right w:w="108" w:type="dxa"/>
            </w:tcMar>
            <w:vAlign w:val="center"/>
          </w:tcPr>
          <w:p w14:paraId="60DFE54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31</w:t>
            </w:r>
          </w:p>
        </w:tc>
        <w:tc>
          <w:tcPr>
            <w:tcW w:w="3449" w:type="dxa"/>
            <w:shd w:val="clear" w:color="auto" w:fill="C6EFCE"/>
            <w:tcMar>
              <w:left w:w="108" w:type="dxa"/>
              <w:right w:w="108" w:type="dxa"/>
            </w:tcMar>
            <w:vAlign w:val="center"/>
          </w:tcPr>
          <w:p w14:paraId="086CD75A"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7 – Národný fond pre konektivitu</w:t>
            </w:r>
          </w:p>
        </w:tc>
        <w:tc>
          <w:tcPr>
            <w:tcW w:w="1134" w:type="dxa"/>
            <w:shd w:val="clear" w:color="auto" w:fill="C6EFCE"/>
            <w:tcMar>
              <w:left w:w="108" w:type="dxa"/>
              <w:right w:w="108" w:type="dxa"/>
            </w:tcMar>
            <w:vAlign w:val="center"/>
          </w:tcPr>
          <w:p w14:paraId="528E4E6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38624319" w14:textId="3A857B92" w:rsidR="00BF03AA" w:rsidRPr="00326E55" w:rsidRDefault="00FB452D">
            <w:pPr>
              <w:pStyle w:val="P68B1DB1-Normal121"/>
              <w:spacing w:after="0" w:line="240" w:lineRule="auto"/>
              <w:rPr>
                <w:noProof/>
                <w:spacing w:val="-6"/>
                <w:lang w:val="sk-SK"/>
              </w:rPr>
            </w:pPr>
            <w:r w:rsidRPr="00326E55">
              <w:rPr>
                <w:noProof/>
                <w:spacing w:val="-6"/>
                <w:lang w:val="sk-SK"/>
              </w:rPr>
              <w:t>Právne dohody podpísané</w:t>
            </w:r>
            <w:r w:rsidR="00326E55" w:rsidRPr="00326E55">
              <w:rPr>
                <w:noProof/>
                <w:spacing w:val="-6"/>
                <w:lang w:val="sk-SK"/>
              </w:rPr>
              <w:t xml:space="preserve"> s </w:t>
            </w:r>
            <w:r w:rsidRPr="00326E55">
              <w:rPr>
                <w:noProof/>
                <w:spacing w:val="-6"/>
                <w:lang w:val="sk-SK"/>
              </w:rPr>
              <w:t>konečnými príjemcami</w:t>
            </w:r>
            <w:r w:rsidR="00326E55" w:rsidRPr="00326E55">
              <w:rPr>
                <w:noProof/>
                <w:spacing w:val="-6"/>
                <w:lang w:val="sk-SK"/>
              </w:rPr>
              <w:t xml:space="preserve"> a </w:t>
            </w:r>
            <w:r w:rsidRPr="00326E55">
              <w:rPr>
                <w:noProof/>
                <w:spacing w:val="-6"/>
                <w:lang w:val="sk-SK"/>
              </w:rPr>
              <w:t>dokončenie investícií</w:t>
            </w:r>
          </w:p>
        </w:tc>
      </w:tr>
      <w:tr w:rsidR="00BF03AA" w:rsidRPr="00326E55" w14:paraId="4673D794" w14:textId="77777777">
        <w:trPr>
          <w:trHeight w:val="300"/>
        </w:trPr>
        <w:tc>
          <w:tcPr>
            <w:tcW w:w="1246" w:type="dxa"/>
            <w:shd w:val="clear" w:color="auto" w:fill="C6EFCE"/>
            <w:tcMar>
              <w:left w:w="108" w:type="dxa"/>
              <w:right w:w="108" w:type="dxa"/>
            </w:tcMar>
            <w:vAlign w:val="center"/>
          </w:tcPr>
          <w:p w14:paraId="30C48C2E"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32</w:t>
            </w:r>
          </w:p>
        </w:tc>
        <w:tc>
          <w:tcPr>
            <w:tcW w:w="3449" w:type="dxa"/>
            <w:shd w:val="clear" w:color="auto" w:fill="C6EFCE"/>
            <w:tcMar>
              <w:left w:w="108" w:type="dxa"/>
              <w:right w:w="108" w:type="dxa"/>
            </w:tcMar>
            <w:vAlign w:val="center"/>
          </w:tcPr>
          <w:p w14:paraId="7F428E7C"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Investícia 8 – Zložka členského štátu InvestEU </w:t>
            </w:r>
          </w:p>
        </w:tc>
        <w:tc>
          <w:tcPr>
            <w:tcW w:w="1134" w:type="dxa"/>
            <w:shd w:val="clear" w:color="auto" w:fill="C6EFCE"/>
            <w:tcMar>
              <w:left w:w="108" w:type="dxa"/>
              <w:right w:w="108" w:type="dxa"/>
            </w:tcMar>
            <w:vAlign w:val="center"/>
          </w:tcPr>
          <w:p w14:paraId="376119B8"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23246643" w14:textId="5F6F8C27" w:rsidR="00BF03AA" w:rsidRPr="00326E55" w:rsidRDefault="00FB452D">
            <w:pPr>
              <w:pStyle w:val="P68B1DB1-Normal121"/>
              <w:spacing w:after="0" w:line="240" w:lineRule="auto"/>
              <w:rPr>
                <w:noProof/>
                <w:spacing w:val="-6"/>
                <w:lang w:val="sk-SK"/>
              </w:rPr>
            </w:pPr>
            <w:r w:rsidRPr="00326E55">
              <w:rPr>
                <w:noProof/>
                <w:spacing w:val="-6"/>
                <w:lang w:val="sk-SK"/>
              </w:rPr>
              <w:t>Podpísanie dohody</w:t>
            </w:r>
            <w:r w:rsidR="00326E55" w:rsidRPr="00326E55">
              <w:rPr>
                <w:noProof/>
                <w:spacing w:val="-6"/>
                <w:lang w:val="sk-SK"/>
              </w:rPr>
              <w:t xml:space="preserve"> o </w:t>
            </w:r>
            <w:r w:rsidRPr="00326E55">
              <w:rPr>
                <w:noProof/>
                <w:spacing w:val="-6"/>
                <w:lang w:val="sk-SK"/>
              </w:rPr>
              <w:t>príspevku medzi vládou Talianska</w:t>
            </w:r>
            <w:r w:rsidR="00326E55" w:rsidRPr="00326E55">
              <w:rPr>
                <w:noProof/>
                <w:spacing w:val="-6"/>
                <w:lang w:val="sk-SK"/>
              </w:rPr>
              <w:t xml:space="preserve"> a </w:t>
            </w:r>
            <w:r w:rsidRPr="00326E55">
              <w:rPr>
                <w:noProof/>
                <w:spacing w:val="-6"/>
                <w:lang w:val="sk-SK"/>
              </w:rPr>
              <w:t xml:space="preserve">Európskou komisiou </w:t>
            </w:r>
          </w:p>
        </w:tc>
      </w:tr>
      <w:tr w:rsidR="00BF03AA" w:rsidRPr="00326E55" w14:paraId="200509C1" w14:textId="77777777">
        <w:trPr>
          <w:trHeight w:val="300"/>
        </w:trPr>
        <w:tc>
          <w:tcPr>
            <w:tcW w:w="1246" w:type="dxa"/>
            <w:shd w:val="clear" w:color="auto" w:fill="C6EFCE"/>
            <w:tcMar>
              <w:left w:w="108" w:type="dxa"/>
              <w:right w:w="108" w:type="dxa"/>
            </w:tcMar>
            <w:vAlign w:val="center"/>
          </w:tcPr>
          <w:p w14:paraId="65222E4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33</w:t>
            </w:r>
          </w:p>
        </w:tc>
        <w:tc>
          <w:tcPr>
            <w:tcW w:w="3449" w:type="dxa"/>
            <w:shd w:val="clear" w:color="auto" w:fill="C6EFCE"/>
            <w:tcMar>
              <w:left w:w="108" w:type="dxa"/>
              <w:right w:w="108" w:type="dxa"/>
            </w:tcMar>
            <w:vAlign w:val="center"/>
          </w:tcPr>
          <w:p w14:paraId="6B56D1CE"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8 – Zložka členského štátu InvestEU</w:t>
            </w:r>
          </w:p>
        </w:tc>
        <w:tc>
          <w:tcPr>
            <w:tcW w:w="1134" w:type="dxa"/>
            <w:shd w:val="clear" w:color="auto" w:fill="C6EFCE"/>
            <w:tcMar>
              <w:left w:w="108" w:type="dxa"/>
              <w:right w:w="108" w:type="dxa"/>
            </w:tcMar>
            <w:vAlign w:val="center"/>
          </w:tcPr>
          <w:p w14:paraId="7CBBAE8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4722E055"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Operácie financovania alebo investičné operácie schválené investičným výborom InvestEU </w:t>
            </w:r>
          </w:p>
        </w:tc>
      </w:tr>
      <w:tr w:rsidR="00BF03AA" w:rsidRPr="00326E55" w14:paraId="53F04979" w14:textId="77777777">
        <w:trPr>
          <w:trHeight w:val="300"/>
        </w:trPr>
        <w:tc>
          <w:tcPr>
            <w:tcW w:w="1246" w:type="dxa"/>
            <w:shd w:val="clear" w:color="auto" w:fill="C6EFCE"/>
            <w:tcMar>
              <w:left w:w="108" w:type="dxa"/>
              <w:right w:w="108" w:type="dxa"/>
            </w:tcMar>
            <w:vAlign w:val="center"/>
          </w:tcPr>
          <w:p w14:paraId="7C53E1AA" w14:textId="6A4FB837" w:rsidR="00BF03AA" w:rsidRPr="00326E55" w:rsidRDefault="00FB452D">
            <w:pPr>
              <w:pStyle w:val="P68B1DB1-Normal121"/>
              <w:spacing w:after="0" w:line="240" w:lineRule="auto"/>
              <w:jc w:val="center"/>
              <w:rPr>
                <w:noProof/>
                <w:spacing w:val="-6"/>
                <w:lang w:val="sk-SK"/>
              </w:rPr>
            </w:pPr>
            <w:r w:rsidRPr="00326E55">
              <w:rPr>
                <w:noProof/>
                <w:spacing w:val="-6"/>
                <w:lang w:val="sk-SK"/>
              </w:rPr>
              <w:t>M3C1 – 27</w:t>
            </w:r>
          </w:p>
        </w:tc>
        <w:tc>
          <w:tcPr>
            <w:tcW w:w="3449" w:type="dxa"/>
            <w:shd w:val="clear" w:color="auto" w:fill="C6EFCE"/>
            <w:tcMar>
              <w:left w:w="108" w:type="dxa"/>
              <w:right w:w="108" w:type="dxa"/>
            </w:tcMar>
            <w:vAlign w:val="center"/>
          </w:tcPr>
          <w:p w14:paraId="39052B92" w14:textId="7177C11D" w:rsidR="00BF03AA" w:rsidRPr="00326E55" w:rsidRDefault="00FB452D">
            <w:pPr>
              <w:pStyle w:val="P68B1DB1-Normal121"/>
              <w:spacing w:after="0" w:line="240" w:lineRule="auto"/>
              <w:rPr>
                <w:noProof/>
                <w:spacing w:val="-6"/>
                <w:lang w:val="sk-SK"/>
              </w:rPr>
            </w:pPr>
            <w:r w:rsidRPr="00326E55">
              <w:rPr>
                <w:noProof/>
                <w:spacing w:val="-6"/>
                <w:lang w:val="sk-SK"/>
              </w:rPr>
              <w:t>Reforma 1.3 – Podpora efektívnosti železničnej infraštruktúry</w:t>
            </w:r>
            <w:r w:rsidR="00326E55" w:rsidRPr="00326E55">
              <w:rPr>
                <w:noProof/>
                <w:spacing w:val="-6"/>
                <w:lang w:val="sk-SK"/>
              </w:rPr>
              <w:t xml:space="preserve"> v </w:t>
            </w:r>
            <w:r w:rsidRPr="00326E55">
              <w:rPr>
                <w:noProof/>
                <w:spacing w:val="-6"/>
                <w:lang w:val="sk-SK"/>
              </w:rPr>
              <w:t xml:space="preserve">Taliansku </w:t>
            </w:r>
          </w:p>
        </w:tc>
        <w:tc>
          <w:tcPr>
            <w:tcW w:w="1134" w:type="dxa"/>
            <w:shd w:val="clear" w:color="auto" w:fill="C6EFCE"/>
            <w:tcMar>
              <w:left w:w="108" w:type="dxa"/>
              <w:right w:w="108" w:type="dxa"/>
            </w:tcMar>
            <w:vAlign w:val="center"/>
          </w:tcPr>
          <w:p w14:paraId="166560C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4A3E5283" w14:textId="73E3394F" w:rsidR="00BF03AA" w:rsidRPr="00326E55" w:rsidRDefault="00FB452D">
            <w:pPr>
              <w:pStyle w:val="P68B1DB1-Normal121"/>
              <w:spacing w:after="0" w:line="240" w:lineRule="auto"/>
              <w:rPr>
                <w:noProof/>
                <w:spacing w:val="-6"/>
                <w:lang w:val="sk-SK"/>
              </w:rPr>
            </w:pPr>
            <w:r w:rsidRPr="00326E55">
              <w:rPr>
                <w:noProof/>
                <w:spacing w:val="-6"/>
                <w:lang w:val="sk-SK"/>
              </w:rPr>
              <w:t>Finančný</w:t>
            </w:r>
            <w:r w:rsidR="00326E55" w:rsidRPr="00326E55">
              <w:rPr>
                <w:noProof/>
                <w:spacing w:val="-6"/>
                <w:lang w:val="sk-SK"/>
              </w:rPr>
              <w:t xml:space="preserve"> a </w:t>
            </w:r>
            <w:r w:rsidRPr="00326E55">
              <w:rPr>
                <w:noProof/>
                <w:spacing w:val="-6"/>
                <w:lang w:val="sk-SK"/>
              </w:rPr>
              <w:t>podnikateľský plán pre štatút ROSCO</w:t>
            </w:r>
            <w:r w:rsidR="00326E55" w:rsidRPr="00326E55">
              <w:rPr>
                <w:noProof/>
                <w:spacing w:val="-6"/>
                <w:lang w:val="sk-SK"/>
              </w:rPr>
              <w:t xml:space="preserve"> a </w:t>
            </w:r>
            <w:r w:rsidRPr="00326E55">
              <w:rPr>
                <w:noProof/>
                <w:spacing w:val="-6"/>
                <w:lang w:val="sk-SK"/>
              </w:rPr>
              <w:t>prevod zdrojov</w:t>
            </w:r>
            <w:r w:rsidR="00326E55" w:rsidRPr="00326E55">
              <w:rPr>
                <w:noProof/>
                <w:spacing w:val="-6"/>
                <w:lang w:val="sk-SK"/>
              </w:rPr>
              <w:t xml:space="preserve"> a </w:t>
            </w:r>
            <w:r w:rsidRPr="00326E55">
              <w:rPr>
                <w:noProof/>
                <w:spacing w:val="-6"/>
                <w:lang w:val="sk-SK"/>
              </w:rPr>
              <w:t xml:space="preserve">aktív </w:t>
            </w:r>
          </w:p>
        </w:tc>
      </w:tr>
      <w:tr w:rsidR="00BF03AA" w:rsidRPr="00326E55" w14:paraId="6A1F20C9" w14:textId="77777777">
        <w:trPr>
          <w:trHeight w:val="300"/>
        </w:trPr>
        <w:tc>
          <w:tcPr>
            <w:tcW w:w="1246" w:type="dxa"/>
            <w:shd w:val="clear" w:color="auto" w:fill="C6EFCE"/>
            <w:tcMar>
              <w:left w:w="108" w:type="dxa"/>
              <w:right w:w="108" w:type="dxa"/>
            </w:tcMar>
            <w:vAlign w:val="center"/>
          </w:tcPr>
          <w:p w14:paraId="443F97A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w:t>
            </w:r>
            <w:r w:rsidRPr="00326E55">
              <w:rPr>
                <w:noProof/>
                <w:spacing w:val="-6"/>
                <w:lang w:val="sk-SK"/>
              </w:rPr>
              <w:t>5C3 – 14</w:t>
            </w:r>
          </w:p>
        </w:tc>
        <w:tc>
          <w:tcPr>
            <w:tcW w:w="3449" w:type="dxa"/>
            <w:shd w:val="clear" w:color="auto" w:fill="C6EFCE"/>
            <w:tcMar>
              <w:left w:w="108" w:type="dxa"/>
              <w:right w:w="108" w:type="dxa"/>
            </w:tcMar>
            <w:vAlign w:val="center"/>
          </w:tcPr>
          <w:p w14:paraId="56A99C56" w14:textId="656811D7" w:rsidR="00BF03AA" w:rsidRPr="00326E55" w:rsidRDefault="00FB452D">
            <w:pPr>
              <w:pStyle w:val="P68B1DB1-Normal121"/>
              <w:spacing w:after="0" w:line="240" w:lineRule="auto"/>
              <w:rPr>
                <w:noProof/>
                <w:spacing w:val="-6"/>
                <w:lang w:val="sk-SK"/>
              </w:rPr>
            </w:pPr>
            <w:r w:rsidRPr="00326E55">
              <w:rPr>
                <w:noProof/>
                <w:spacing w:val="-6"/>
                <w:lang w:val="sk-SK"/>
              </w:rPr>
              <w:t>Investícia 1.5 – Schéma daňových úverov pre investície</w:t>
            </w:r>
            <w:r w:rsidR="00326E55" w:rsidRPr="00326E55">
              <w:rPr>
                <w:noProof/>
                <w:spacing w:val="-6"/>
                <w:lang w:val="sk-SK"/>
              </w:rPr>
              <w:t xml:space="preserve"> v </w:t>
            </w:r>
            <w:r w:rsidRPr="00326E55">
              <w:rPr>
                <w:noProof/>
                <w:spacing w:val="-6"/>
                <w:lang w:val="sk-SK"/>
              </w:rPr>
              <w:t>južnom Taliansku</w:t>
            </w:r>
            <w:r w:rsidR="00326E55" w:rsidRPr="00326E55">
              <w:rPr>
                <w:noProof/>
                <w:spacing w:val="-6"/>
                <w:lang w:val="sk-SK"/>
              </w:rPr>
              <w:t xml:space="preserve"> a </w:t>
            </w:r>
            <w:r w:rsidRPr="00326E55">
              <w:rPr>
                <w:noProof/>
                <w:spacing w:val="-6"/>
                <w:lang w:val="sk-SK"/>
              </w:rPr>
              <w:t>osobitnej hospodárskej zóne (SEZ)</w:t>
            </w:r>
          </w:p>
        </w:tc>
        <w:tc>
          <w:tcPr>
            <w:tcW w:w="1134" w:type="dxa"/>
            <w:shd w:val="clear" w:color="auto" w:fill="C6EFCE"/>
            <w:tcMar>
              <w:left w:w="108" w:type="dxa"/>
              <w:right w:w="108" w:type="dxa"/>
            </w:tcMar>
            <w:vAlign w:val="center"/>
          </w:tcPr>
          <w:p w14:paraId="43DF71B3"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6E19AD6D" w14:textId="4F9781B8" w:rsidR="00BF03AA" w:rsidRPr="00326E55" w:rsidRDefault="00FB452D">
            <w:pPr>
              <w:pStyle w:val="P68B1DB1-Normal121"/>
              <w:spacing w:after="0" w:line="240" w:lineRule="auto"/>
              <w:rPr>
                <w:noProof/>
                <w:spacing w:val="-6"/>
                <w:lang w:val="sk-SK"/>
              </w:rPr>
            </w:pPr>
            <w:r w:rsidRPr="00326E55">
              <w:rPr>
                <w:noProof/>
                <w:spacing w:val="-6"/>
                <w:lang w:val="sk-SK"/>
              </w:rPr>
              <w:t>Daňové úvery pre južné Taliansko</w:t>
            </w:r>
            <w:r w:rsidR="00326E55" w:rsidRPr="00326E55">
              <w:rPr>
                <w:noProof/>
                <w:spacing w:val="-6"/>
                <w:lang w:val="sk-SK"/>
              </w:rPr>
              <w:t xml:space="preserve"> a </w:t>
            </w:r>
            <w:r w:rsidRPr="00326E55">
              <w:rPr>
                <w:noProof/>
                <w:spacing w:val="-6"/>
                <w:lang w:val="sk-SK"/>
              </w:rPr>
              <w:t>osobitnú hospodársku zónu (SEZ) poskytnuté firmám na základe daňových priznaní predložených</w:t>
            </w:r>
            <w:r w:rsidR="00326E55" w:rsidRPr="00326E55">
              <w:rPr>
                <w:noProof/>
                <w:spacing w:val="-6"/>
                <w:lang w:val="sk-SK"/>
              </w:rPr>
              <w:t xml:space="preserve"> v </w:t>
            </w:r>
            <w:r w:rsidRPr="00326E55">
              <w:rPr>
                <w:noProof/>
                <w:spacing w:val="-6"/>
                <w:lang w:val="sk-SK"/>
              </w:rPr>
              <w:t>rokoch 2023 – 2025</w:t>
            </w:r>
          </w:p>
        </w:tc>
      </w:tr>
      <w:tr w:rsidR="00BF03AA" w:rsidRPr="00326E55" w14:paraId="7C3BF548" w14:textId="77777777">
        <w:trPr>
          <w:trHeight w:val="300"/>
        </w:trPr>
        <w:tc>
          <w:tcPr>
            <w:tcW w:w="1246" w:type="dxa"/>
            <w:shd w:val="clear" w:color="auto" w:fill="C6EFCE"/>
            <w:tcMar>
              <w:left w:w="108" w:type="dxa"/>
              <w:right w:w="108" w:type="dxa"/>
            </w:tcMar>
            <w:vAlign w:val="center"/>
          </w:tcPr>
          <w:p w14:paraId="4739B85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M3C1 – 28</w:t>
            </w:r>
          </w:p>
        </w:tc>
        <w:tc>
          <w:tcPr>
            <w:tcW w:w="3449" w:type="dxa"/>
            <w:shd w:val="clear" w:color="auto" w:fill="C6EFCE"/>
            <w:tcMar>
              <w:left w:w="108" w:type="dxa"/>
              <w:right w:w="108" w:type="dxa"/>
            </w:tcMar>
            <w:vAlign w:val="center"/>
          </w:tcPr>
          <w:p w14:paraId="0C614B48" w14:textId="12F52EE2" w:rsidR="00BF03AA" w:rsidRPr="00326E55" w:rsidRDefault="00FB452D">
            <w:pPr>
              <w:pStyle w:val="P68B1DB1-Normal121"/>
              <w:spacing w:after="0" w:line="240" w:lineRule="auto"/>
              <w:rPr>
                <w:noProof/>
                <w:spacing w:val="-6"/>
                <w:lang w:val="sk-SK"/>
              </w:rPr>
            </w:pPr>
            <w:r w:rsidRPr="00326E55">
              <w:rPr>
                <w:noProof/>
                <w:spacing w:val="-6"/>
                <w:lang w:val="sk-SK"/>
              </w:rPr>
              <w:t>Investícia 1.10 – Posilnenie metropolitných uzlov, medziregionálnych</w:t>
            </w:r>
            <w:r w:rsidR="00326E55" w:rsidRPr="00326E55">
              <w:rPr>
                <w:noProof/>
                <w:spacing w:val="-6"/>
                <w:lang w:val="sk-SK"/>
              </w:rPr>
              <w:t xml:space="preserve"> a </w:t>
            </w:r>
            <w:r w:rsidRPr="00326E55">
              <w:rPr>
                <w:noProof/>
                <w:spacing w:val="-6"/>
                <w:lang w:val="sk-SK"/>
              </w:rPr>
              <w:t>regionálnych železničných tratí</w:t>
            </w:r>
          </w:p>
        </w:tc>
        <w:tc>
          <w:tcPr>
            <w:tcW w:w="1134" w:type="dxa"/>
            <w:shd w:val="clear" w:color="auto" w:fill="C6EFCE"/>
            <w:tcMar>
              <w:left w:w="108" w:type="dxa"/>
              <w:right w:w="108" w:type="dxa"/>
            </w:tcMar>
            <w:vAlign w:val="center"/>
          </w:tcPr>
          <w:p w14:paraId="0B91B7B1"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7040AD0E" w14:textId="77777777" w:rsidR="00BF03AA" w:rsidRPr="00326E55" w:rsidRDefault="00FB452D">
            <w:pPr>
              <w:pStyle w:val="P68B1DB1-Normal121"/>
              <w:spacing w:after="0" w:line="240" w:lineRule="auto"/>
              <w:rPr>
                <w:noProof/>
                <w:spacing w:val="-6"/>
                <w:lang w:val="sk-SK"/>
              </w:rPr>
            </w:pPr>
            <w:r w:rsidRPr="00326E55">
              <w:rPr>
                <w:noProof/>
                <w:spacing w:val="-6"/>
                <w:lang w:val="sk-SK"/>
              </w:rPr>
              <w:t>3 309 km modernizovaných úsekov trate vybudovaných</w:t>
            </w:r>
          </w:p>
        </w:tc>
      </w:tr>
      <w:tr w:rsidR="00BF03AA" w:rsidRPr="00326E55" w14:paraId="078DEB77" w14:textId="77777777">
        <w:trPr>
          <w:trHeight w:val="300"/>
        </w:trPr>
        <w:tc>
          <w:tcPr>
            <w:tcW w:w="1246" w:type="dxa"/>
            <w:shd w:val="clear" w:color="auto" w:fill="C6EFCE"/>
            <w:tcMar>
              <w:left w:w="108" w:type="dxa"/>
              <w:right w:w="108" w:type="dxa"/>
            </w:tcMar>
            <w:vAlign w:val="center"/>
          </w:tcPr>
          <w:p w14:paraId="233DCD7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40</w:t>
            </w:r>
          </w:p>
        </w:tc>
        <w:tc>
          <w:tcPr>
            <w:tcW w:w="3449" w:type="dxa"/>
            <w:shd w:val="clear" w:color="auto" w:fill="C6EFCE"/>
            <w:tcMar>
              <w:left w:w="108" w:type="dxa"/>
              <w:right w:w="108" w:type="dxa"/>
            </w:tcMar>
            <w:vAlign w:val="center"/>
          </w:tcPr>
          <w:p w14:paraId="14FFD68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4.5 – Schéma grantov na investície do vodo</w:t>
            </w:r>
            <w:r w:rsidRPr="00326E55">
              <w:rPr>
                <w:noProof/>
                <w:spacing w:val="-6"/>
                <w:lang w:val="sk-SK"/>
              </w:rPr>
              <w:t>hospodárskej infraštruktúry</w:t>
            </w:r>
          </w:p>
        </w:tc>
        <w:tc>
          <w:tcPr>
            <w:tcW w:w="1134" w:type="dxa"/>
            <w:shd w:val="clear" w:color="auto" w:fill="C6EFCE"/>
            <w:tcMar>
              <w:left w:w="108" w:type="dxa"/>
              <w:right w:w="108" w:type="dxa"/>
            </w:tcMar>
            <w:vAlign w:val="center"/>
          </w:tcPr>
          <w:p w14:paraId="35D698EB"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04B543F8" w14:textId="0F51124D" w:rsidR="00BF03AA" w:rsidRPr="00326E55" w:rsidRDefault="00FB452D">
            <w:pPr>
              <w:pStyle w:val="P68B1DB1-Normal121"/>
              <w:spacing w:after="0" w:line="240" w:lineRule="auto"/>
              <w:rPr>
                <w:noProof/>
                <w:spacing w:val="-6"/>
                <w:lang w:val="sk-SK"/>
              </w:rPr>
            </w:pPr>
            <w:r w:rsidRPr="00326E55">
              <w:rPr>
                <w:noProof/>
                <w:spacing w:val="-6"/>
                <w:lang w:val="sk-SK"/>
              </w:rPr>
              <w:t>Spoločnosť Invitalia S.p.A. musí</w:t>
            </w:r>
            <w:r w:rsidR="00326E55" w:rsidRPr="00326E55">
              <w:rPr>
                <w:noProof/>
                <w:spacing w:val="-6"/>
                <w:lang w:val="sk-SK"/>
              </w:rPr>
              <w:t xml:space="preserve"> s </w:t>
            </w:r>
            <w:r w:rsidRPr="00326E55">
              <w:rPr>
                <w:noProof/>
                <w:spacing w:val="-6"/>
                <w:lang w:val="sk-SK"/>
              </w:rPr>
              <w:t>konečnými príjemcami uzavrieť zákonné dohody</w:t>
            </w:r>
            <w:r w:rsidR="00326E55" w:rsidRPr="00326E55">
              <w:rPr>
                <w:noProof/>
                <w:spacing w:val="-6"/>
                <w:lang w:val="sk-SK"/>
              </w:rPr>
              <w:t xml:space="preserve"> o </w:t>
            </w:r>
            <w:r w:rsidRPr="00326E55">
              <w:rPr>
                <w:noProof/>
                <w:spacing w:val="-6"/>
                <w:lang w:val="sk-SK"/>
              </w:rPr>
              <w:t>grante na sumu potrebnú na využitie 100</w:t>
            </w:r>
            <w:r w:rsidR="00326E55" w:rsidRPr="00326E55">
              <w:rPr>
                <w:noProof/>
                <w:spacing w:val="-6"/>
                <w:lang w:val="sk-SK"/>
              </w:rPr>
              <w:t> %</w:t>
            </w:r>
            <w:r w:rsidRPr="00326E55">
              <w:rPr>
                <w:noProof/>
                <w:spacing w:val="-6"/>
                <w:lang w:val="sk-SK"/>
              </w:rPr>
              <w:t xml:space="preserve"> investícií Mechanizmu na podporu obnovy</w:t>
            </w:r>
            <w:r w:rsidR="00326E55" w:rsidRPr="00326E55">
              <w:rPr>
                <w:noProof/>
                <w:spacing w:val="-6"/>
                <w:lang w:val="sk-SK"/>
              </w:rPr>
              <w:t xml:space="preserve"> a </w:t>
            </w:r>
            <w:r w:rsidRPr="00326E55">
              <w:rPr>
                <w:noProof/>
                <w:spacing w:val="-6"/>
                <w:lang w:val="sk-SK"/>
              </w:rPr>
              <w:t>odolnosti do schémy (s prihliadnutím na poplatky za správ</w:t>
            </w:r>
            <w:r w:rsidRPr="00326E55">
              <w:rPr>
                <w:noProof/>
                <w:spacing w:val="-6"/>
                <w:lang w:val="sk-SK"/>
              </w:rPr>
              <w:t>u). Aspoň 40</w:t>
            </w:r>
            <w:r w:rsidR="00326E55" w:rsidRPr="00326E55">
              <w:rPr>
                <w:noProof/>
                <w:spacing w:val="-6"/>
                <w:lang w:val="sk-SK"/>
              </w:rPr>
              <w:t> %</w:t>
            </w:r>
            <w:r w:rsidRPr="00326E55">
              <w:rPr>
                <w:noProof/>
                <w:spacing w:val="-6"/>
                <w:lang w:val="sk-SK"/>
              </w:rPr>
              <w:t xml:space="preserve"> tohto financovania prispeje</w:t>
            </w:r>
            <w:r w:rsidR="00326E55" w:rsidRPr="00326E55">
              <w:rPr>
                <w:noProof/>
                <w:spacing w:val="-6"/>
                <w:lang w:val="sk-SK"/>
              </w:rPr>
              <w:t xml:space="preserve"> k </w:t>
            </w:r>
            <w:r w:rsidRPr="00326E55">
              <w:rPr>
                <w:noProof/>
                <w:spacing w:val="-6"/>
                <w:lang w:val="sk-SK"/>
              </w:rPr>
              <w:t>plneniu cieľov</w:t>
            </w:r>
            <w:r w:rsidR="00326E55" w:rsidRPr="00326E55">
              <w:rPr>
                <w:noProof/>
                <w:spacing w:val="-6"/>
                <w:lang w:val="sk-SK"/>
              </w:rPr>
              <w:t xml:space="preserve"> v </w:t>
            </w:r>
            <w:r w:rsidRPr="00326E55">
              <w:rPr>
                <w:noProof/>
                <w:spacing w:val="-6"/>
                <w:lang w:val="sk-SK"/>
              </w:rPr>
              <w:t>oblasti klímy pomocou metodiky uvedenej</w:t>
            </w:r>
            <w:r w:rsidR="00326E55" w:rsidRPr="00326E55">
              <w:rPr>
                <w:noProof/>
                <w:spacing w:val="-6"/>
                <w:lang w:val="sk-SK"/>
              </w:rPr>
              <w:t xml:space="preserve"> v </w:t>
            </w:r>
            <w:r w:rsidRPr="00326E55">
              <w:rPr>
                <w:noProof/>
                <w:spacing w:val="-6"/>
                <w:lang w:val="sk-SK"/>
              </w:rPr>
              <w:t>prílohe VI</w:t>
            </w:r>
            <w:r w:rsidR="00326E55" w:rsidRPr="00326E55">
              <w:rPr>
                <w:noProof/>
                <w:spacing w:val="-6"/>
                <w:lang w:val="sk-SK"/>
              </w:rPr>
              <w:t xml:space="preserve"> k </w:t>
            </w:r>
            <w:r w:rsidRPr="00326E55">
              <w:rPr>
                <w:noProof/>
                <w:spacing w:val="-6"/>
                <w:lang w:val="sk-SK"/>
              </w:rPr>
              <w:t>nariadeniu</w:t>
            </w:r>
            <w:r w:rsidR="00326E55" w:rsidRPr="00326E55">
              <w:rPr>
                <w:noProof/>
                <w:spacing w:val="-6"/>
                <w:lang w:val="sk-SK"/>
              </w:rPr>
              <w:t xml:space="preserve"> o </w:t>
            </w:r>
            <w:r w:rsidRPr="00326E55">
              <w:rPr>
                <w:noProof/>
                <w:spacing w:val="-6"/>
                <w:lang w:val="sk-SK"/>
              </w:rPr>
              <w:t>Mechanizme na podporu obnovy</w:t>
            </w:r>
            <w:r w:rsidR="00326E55" w:rsidRPr="00326E55">
              <w:rPr>
                <w:noProof/>
                <w:spacing w:val="-6"/>
                <w:lang w:val="sk-SK"/>
              </w:rPr>
              <w:t xml:space="preserve"> a </w:t>
            </w:r>
            <w:r w:rsidRPr="00326E55">
              <w:rPr>
                <w:noProof/>
                <w:spacing w:val="-6"/>
                <w:lang w:val="sk-SK"/>
              </w:rPr>
              <w:t>odolnosti.</w:t>
            </w:r>
          </w:p>
          <w:p w14:paraId="38FD3758" w14:textId="77777777" w:rsidR="00BF03AA" w:rsidRPr="00326E55" w:rsidRDefault="00BF03AA">
            <w:pPr>
              <w:spacing w:after="0" w:line="240" w:lineRule="auto"/>
              <w:rPr>
                <w:rFonts w:ascii="Times New Roman" w:eastAsia="Times New Roman" w:hAnsi="Times New Roman" w:cs="Times New Roman"/>
                <w:noProof/>
                <w:color w:val="006100"/>
                <w:spacing w:val="-6"/>
                <w:sz w:val="20"/>
                <w:szCs w:val="20"/>
                <w:lang w:val="sk-SK"/>
              </w:rPr>
            </w:pPr>
          </w:p>
          <w:p w14:paraId="6540F1ED" w14:textId="4D371548" w:rsidR="00BF03AA" w:rsidRPr="00326E55" w:rsidRDefault="00FB452D">
            <w:pPr>
              <w:pStyle w:val="P68B1DB1-Normal121"/>
              <w:spacing w:after="0" w:line="240" w:lineRule="auto"/>
              <w:rPr>
                <w:noProof/>
                <w:spacing w:val="-6"/>
                <w:lang w:val="sk-SK"/>
              </w:rPr>
            </w:pPr>
            <w:r w:rsidRPr="00326E55">
              <w:rPr>
                <w:noProof/>
                <w:spacing w:val="-6"/>
                <w:lang w:val="sk-SK"/>
              </w:rPr>
              <w:t>Taliansko prevedie 1 200 000 000 EUR na nástroj Invitalia S.p.A.</w:t>
            </w:r>
          </w:p>
        </w:tc>
      </w:tr>
      <w:tr w:rsidR="00BF03AA" w:rsidRPr="00326E55" w14:paraId="2E32898A" w14:textId="77777777">
        <w:trPr>
          <w:trHeight w:val="300"/>
        </w:trPr>
        <w:tc>
          <w:tcPr>
            <w:tcW w:w="1246" w:type="dxa"/>
            <w:shd w:val="clear" w:color="auto" w:fill="C6EFCE"/>
            <w:tcMar>
              <w:left w:w="108" w:type="dxa"/>
              <w:right w:w="108" w:type="dxa"/>
            </w:tcMar>
            <w:vAlign w:val="center"/>
          </w:tcPr>
          <w:p w14:paraId="6A8EE9F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M1C2 – 34</w:t>
            </w:r>
          </w:p>
        </w:tc>
        <w:tc>
          <w:tcPr>
            <w:tcW w:w="3449" w:type="dxa"/>
            <w:shd w:val="clear" w:color="auto" w:fill="C6EFCE"/>
            <w:tcMar>
              <w:left w:w="108" w:type="dxa"/>
              <w:right w:w="108" w:type="dxa"/>
            </w:tcMar>
            <w:vAlign w:val="center"/>
          </w:tcPr>
          <w:p w14:paraId="07B2188D"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9 – Prechod 4.0 – Rozšírenie</w:t>
            </w:r>
          </w:p>
        </w:tc>
        <w:tc>
          <w:tcPr>
            <w:tcW w:w="1134" w:type="dxa"/>
            <w:shd w:val="clear" w:color="auto" w:fill="C6EFCE"/>
            <w:tcMar>
              <w:left w:w="108" w:type="dxa"/>
              <w:right w:w="108" w:type="dxa"/>
            </w:tcMar>
            <w:vAlign w:val="center"/>
          </w:tcPr>
          <w:p w14:paraId="566483B5"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Cieľ</w:t>
            </w:r>
          </w:p>
        </w:tc>
        <w:tc>
          <w:tcPr>
            <w:tcW w:w="3402" w:type="dxa"/>
            <w:shd w:val="clear" w:color="auto" w:fill="C6EFCE"/>
            <w:tcMar>
              <w:left w:w="108" w:type="dxa"/>
              <w:right w:w="108" w:type="dxa"/>
            </w:tcMar>
            <w:vAlign w:val="center"/>
          </w:tcPr>
          <w:p w14:paraId="691D9037" w14:textId="71F01FF9" w:rsidR="00BF03AA" w:rsidRPr="00326E55" w:rsidRDefault="00FB452D">
            <w:pPr>
              <w:pStyle w:val="P68B1DB1-Normal121"/>
              <w:spacing w:after="0" w:line="240" w:lineRule="auto"/>
              <w:rPr>
                <w:noProof/>
                <w:spacing w:val="-6"/>
                <w:lang w:val="sk-SK"/>
              </w:rPr>
            </w:pPr>
            <w:r w:rsidRPr="00326E55">
              <w:rPr>
                <w:noProof/>
                <w:spacing w:val="-6"/>
                <w:lang w:val="sk-SK"/>
              </w:rPr>
              <w:t>Prechod 4.0 dobropisov na dane poskytnutých firmám na základe dokumentov predložených</w:t>
            </w:r>
            <w:r w:rsidR="00326E55" w:rsidRPr="00326E55">
              <w:rPr>
                <w:noProof/>
                <w:spacing w:val="-6"/>
                <w:lang w:val="sk-SK"/>
              </w:rPr>
              <w:t xml:space="preserve"> v </w:t>
            </w:r>
            <w:r w:rsidRPr="00326E55">
              <w:rPr>
                <w:noProof/>
                <w:spacing w:val="-6"/>
                <w:lang w:val="sk-SK"/>
              </w:rPr>
              <w:t>rokoch 2021 – 2026</w:t>
            </w:r>
          </w:p>
        </w:tc>
      </w:tr>
      <w:tr w:rsidR="00BF03AA" w:rsidRPr="00326E55" w14:paraId="0AD5C3F7" w14:textId="77777777">
        <w:trPr>
          <w:trHeight w:val="300"/>
        </w:trPr>
        <w:tc>
          <w:tcPr>
            <w:tcW w:w="1246" w:type="dxa"/>
            <w:shd w:val="clear" w:color="auto" w:fill="C6EFCE"/>
            <w:tcMar>
              <w:left w:w="108" w:type="dxa"/>
              <w:right w:w="108" w:type="dxa"/>
            </w:tcMar>
            <w:vAlign w:val="center"/>
          </w:tcPr>
          <w:p w14:paraId="32B9D695" w14:textId="06BF488F" w:rsidR="00BF03AA" w:rsidRPr="00326E55" w:rsidRDefault="00FB452D">
            <w:pPr>
              <w:pStyle w:val="P68B1DB1-Normal121"/>
              <w:spacing w:after="0" w:line="240" w:lineRule="auto"/>
              <w:jc w:val="center"/>
              <w:rPr>
                <w:noProof/>
                <w:spacing w:val="-6"/>
                <w:lang w:val="sk-SK"/>
              </w:rPr>
            </w:pPr>
            <w:r w:rsidRPr="00326E55">
              <w:rPr>
                <w:noProof/>
                <w:spacing w:val="-6"/>
                <w:lang w:val="sk-SK"/>
              </w:rPr>
              <w:t>M2C1 – 27</w:t>
            </w:r>
          </w:p>
        </w:tc>
        <w:tc>
          <w:tcPr>
            <w:tcW w:w="3449" w:type="dxa"/>
            <w:shd w:val="clear" w:color="auto" w:fill="C6EFCE"/>
            <w:tcMar>
              <w:left w:w="108" w:type="dxa"/>
              <w:right w:w="108" w:type="dxa"/>
            </w:tcMar>
            <w:vAlign w:val="center"/>
          </w:tcPr>
          <w:p w14:paraId="1E69DEDC" w14:textId="734F4381" w:rsidR="00BF03AA" w:rsidRPr="00326E55" w:rsidRDefault="00FB452D">
            <w:pPr>
              <w:pStyle w:val="P68B1DB1-Normal121"/>
              <w:spacing w:after="0" w:line="240" w:lineRule="auto"/>
              <w:rPr>
                <w:noProof/>
                <w:spacing w:val="-6"/>
                <w:lang w:val="sk-SK"/>
              </w:rPr>
            </w:pPr>
            <w:r w:rsidRPr="00326E55">
              <w:rPr>
                <w:noProof/>
                <w:spacing w:val="-6"/>
                <w:lang w:val="sk-SK"/>
              </w:rPr>
              <w:t>Investícia 4: Poľnohospodársko-politické parkovacie zariadenie</w:t>
            </w:r>
          </w:p>
        </w:tc>
        <w:tc>
          <w:tcPr>
            <w:tcW w:w="1134" w:type="dxa"/>
            <w:shd w:val="clear" w:color="auto" w:fill="C6EFCE"/>
            <w:tcMar>
              <w:left w:w="108" w:type="dxa"/>
              <w:right w:w="108" w:type="dxa"/>
            </w:tcMar>
            <w:vAlign w:val="center"/>
          </w:tcPr>
          <w:p w14:paraId="5E975165" w14:textId="42DD967D"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shd w:val="clear" w:color="auto" w:fill="C6EFCE"/>
            <w:tcMar>
              <w:left w:w="108" w:type="dxa"/>
              <w:right w:w="108" w:type="dxa"/>
            </w:tcMar>
            <w:vAlign w:val="center"/>
          </w:tcPr>
          <w:p w14:paraId="6E1A87B9" w14:textId="4119C634" w:rsidR="00BF03AA" w:rsidRPr="00326E55" w:rsidRDefault="00FB452D">
            <w:pPr>
              <w:pStyle w:val="P68B1DB1-Normal121"/>
              <w:spacing w:after="0" w:line="240" w:lineRule="auto"/>
              <w:rPr>
                <w:noProof/>
                <w:spacing w:val="-6"/>
                <w:lang w:val="sk-SK"/>
              </w:rPr>
            </w:pPr>
            <w:r w:rsidRPr="00326E55">
              <w:rPr>
                <w:noProof/>
                <w:spacing w:val="-6"/>
                <w:lang w:val="sk-SK"/>
              </w:rPr>
              <w:t>Právne dohody podpísané</w:t>
            </w:r>
            <w:r w:rsidR="00326E55" w:rsidRPr="00326E55">
              <w:rPr>
                <w:noProof/>
                <w:spacing w:val="-6"/>
                <w:lang w:val="sk-SK"/>
              </w:rPr>
              <w:t xml:space="preserve"> s </w:t>
            </w:r>
            <w:r w:rsidRPr="00326E55">
              <w:rPr>
                <w:noProof/>
                <w:spacing w:val="-6"/>
                <w:lang w:val="sk-SK"/>
              </w:rPr>
              <w:t>konečnými príjemcami</w:t>
            </w:r>
            <w:r w:rsidR="00326E55" w:rsidRPr="00326E55">
              <w:rPr>
                <w:noProof/>
                <w:spacing w:val="-6"/>
                <w:lang w:val="sk-SK"/>
              </w:rPr>
              <w:t xml:space="preserve"> a </w:t>
            </w:r>
            <w:r w:rsidRPr="00326E55">
              <w:rPr>
                <w:noProof/>
                <w:spacing w:val="-6"/>
                <w:lang w:val="sk-SK"/>
              </w:rPr>
              <w:t>dokončenie investícií</w:t>
            </w:r>
          </w:p>
        </w:tc>
      </w:tr>
      <w:tr w:rsidR="00BF03AA" w:rsidRPr="00326E55" w14:paraId="7DD767F6"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273B96"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M2C4 – 39</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259567" w14:textId="77777777" w:rsidR="00BF03AA" w:rsidRPr="00326E55" w:rsidRDefault="00FB452D">
            <w:pPr>
              <w:pStyle w:val="P68B1DB1-Normal121"/>
              <w:spacing w:after="0" w:line="240" w:lineRule="auto"/>
              <w:rPr>
                <w:noProof/>
                <w:spacing w:val="-6"/>
                <w:lang w:val="sk-SK"/>
              </w:rPr>
            </w:pPr>
            <w:r w:rsidRPr="00326E55">
              <w:rPr>
                <w:noProof/>
                <w:spacing w:val="-6"/>
                <w:lang w:val="sk-SK"/>
              </w:rPr>
              <w:t>Investícia 4.5 – Schéma grantov na investície do vodohospodárskej infraštruktúry</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E154D4"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Míľnik</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801CA2" w14:textId="77777777" w:rsidR="00BF03AA" w:rsidRPr="00326E55" w:rsidRDefault="00FB452D">
            <w:pPr>
              <w:pStyle w:val="P68B1DB1-Normal121"/>
              <w:spacing w:after="0" w:line="240" w:lineRule="auto"/>
              <w:rPr>
                <w:noProof/>
                <w:spacing w:val="-6"/>
                <w:lang w:val="sk-SK"/>
              </w:rPr>
            </w:pPr>
            <w:r w:rsidRPr="00326E55">
              <w:rPr>
                <w:noProof/>
                <w:spacing w:val="-6"/>
                <w:lang w:val="sk-SK"/>
              </w:rPr>
              <w:t xml:space="preserve">Nadobudnutie platnosti vykonávacej dohody </w:t>
            </w:r>
          </w:p>
        </w:tc>
      </w:tr>
      <w:tr w:rsidR="00BF03AA" w:rsidRPr="00326E55" w14:paraId="4CC1E651" w14:textId="77777777">
        <w:trPr>
          <w:trHeight w:val="300"/>
        </w:trPr>
        <w:tc>
          <w:tcPr>
            <w:tcW w:w="1246" w:type="dxa"/>
            <w:shd w:val="clear" w:color="auto" w:fill="C6EFCE"/>
            <w:tcMar>
              <w:left w:w="108" w:type="dxa"/>
              <w:right w:w="108" w:type="dxa"/>
            </w:tcMar>
            <w:vAlign w:val="center"/>
          </w:tcPr>
          <w:p w14:paraId="63D33AC3" w14:textId="77777777" w:rsidR="00BF03AA" w:rsidRPr="00326E55" w:rsidRDefault="00BF03AA">
            <w:pPr>
              <w:spacing w:after="0" w:line="240" w:lineRule="auto"/>
              <w:jc w:val="center"/>
              <w:rPr>
                <w:rFonts w:ascii="Times New Roman" w:eastAsia="Times New Roman" w:hAnsi="Times New Roman" w:cs="Times New Roman"/>
                <w:noProof/>
                <w:color w:val="006100"/>
                <w:spacing w:val="-6"/>
                <w:sz w:val="20"/>
                <w:szCs w:val="20"/>
                <w:lang w:val="sk-SK"/>
              </w:rPr>
            </w:pPr>
          </w:p>
        </w:tc>
        <w:tc>
          <w:tcPr>
            <w:tcW w:w="3449" w:type="dxa"/>
            <w:shd w:val="clear" w:color="auto" w:fill="C6EFCE"/>
            <w:tcMar>
              <w:left w:w="108" w:type="dxa"/>
              <w:right w:w="108" w:type="dxa"/>
            </w:tcMar>
            <w:vAlign w:val="center"/>
          </w:tcPr>
          <w:p w14:paraId="39823D8E" w14:textId="77777777" w:rsidR="00BF03AA" w:rsidRPr="00326E55" w:rsidRDefault="00BF03AA">
            <w:pPr>
              <w:spacing w:after="0" w:line="240" w:lineRule="auto"/>
              <w:rPr>
                <w:rFonts w:ascii="Times New Roman" w:eastAsia="Times New Roman" w:hAnsi="Times New Roman" w:cs="Times New Roman"/>
                <w:noProof/>
                <w:color w:val="006100"/>
                <w:spacing w:val="-6"/>
                <w:sz w:val="20"/>
                <w:szCs w:val="20"/>
                <w:lang w:val="sk-SK"/>
              </w:rPr>
            </w:pPr>
          </w:p>
        </w:tc>
        <w:tc>
          <w:tcPr>
            <w:tcW w:w="1134" w:type="dxa"/>
            <w:shd w:val="clear" w:color="auto" w:fill="C6EFCE"/>
            <w:tcMar>
              <w:left w:w="108" w:type="dxa"/>
              <w:right w:w="108" w:type="dxa"/>
            </w:tcMar>
            <w:vAlign w:val="center"/>
          </w:tcPr>
          <w:p w14:paraId="54804DF2" w14:textId="77777777" w:rsidR="00BF03AA" w:rsidRPr="00326E55" w:rsidRDefault="00FB452D">
            <w:pPr>
              <w:pStyle w:val="P68B1DB1-Normal121"/>
              <w:spacing w:after="0" w:line="240" w:lineRule="auto"/>
              <w:jc w:val="center"/>
              <w:rPr>
                <w:noProof/>
                <w:spacing w:val="-6"/>
                <w:lang w:val="sk-SK"/>
              </w:rPr>
            </w:pPr>
            <w:r w:rsidRPr="00326E55">
              <w:rPr>
                <w:noProof/>
                <w:spacing w:val="-6"/>
                <w:lang w:val="sk-SK"/>
              </w:rPr>
              <w:t>Suma splátky</w:t>
            </w:r>
          </w:p>
        </w:tc>
        <w:tc>
          <w:tcPr>
            <w:tcW w:w="3402" w:type="dxa"/>
            <w:shd w:val="clear" w:color="auto" w:fill="C6EFCE"/>
            <w:tcMar>
              <w:left w:w="108" w:type="dxa"/>
              <w:right w:w="108" w:type="dxa"/>
            </w:tcMar>
            <w:vAlign w:val="center"/>
          </w:tcPr>
          <w:p w14:paraId="593B2331" w14:textId="77777777" w:rsidR="00BF03AA" w:rsidRPr="00326E55" w:rsidRDefault="00FB452D">
            <w:pPr>
              <w:pStyle w:val="P68B1DB1-Normal8"/>
              <w:spacing w:after="0" w:line="240" w:lineRule="auto"/>
              <w:rPr>
                <w:noProof/>
                <w:color w:val="006100"/>
                <w:spacing w:val="-6"/>
                <w:sz w:val="20"/>
                <w:szCs w:val="20"/>
                <w:lang w:val="sk-SK"/>
              </w:rPr>
            </w:pPr>
            <w:r w:rsidRPr="00326E55">
              <w:rPr>
                <w:noProof/>
                <w:color w:val="006100"/>
                <w:spacing w:val="-6"/>
                <w:sz w:val="20"/>
                <w:szCs w:val="20"/>
                <w:lang w:val="sk-SK"/>
              </w:rPr>
              <w:t xml:space="preserve"> 19919595964 EUR</w:t>
            </w:r>
            <w:r w:rsidRPr="00326E55">
              <w:rPr>
                <w:noProof/>
                <w:spacing w:val="-6"/>
                <w:sz w:val="23"/>
                <w:szCs w:val="23"/>
                <w:lang w:val="sk-SK"/>
              </w:rPr>
              <w:t xml:space="preserve">  </w:t>
            </w:r>
          </w:p>
        </w:tc>
      </w:tr>
    </w:tbl>
    <w:p w14:paraId="45AD9142" w14:textId="77777777" w:rsidR="00BF03AA" w:rsidRPr="00326E55" w:rsidRDefault="00BF03AA">
      <w:pPr>
        <w:pStyle w:val="Heading2"/>
        <w:rPr>
          <w:rFonts w:ascii="Times New Roman" w:hAnsi="Times New Roman" w:cs="Times New Roman"/>
          <w:b/>
          <w:bCs/>
          <w:noProof/>
          <w:color w:val="auto"/>
          <w:spacing w:val="-6"/>
          <w:sz w:val="24"/>
          <w:szCs w:val="24"/>
          <w:lang w:val="sk-SK"/>
        </w:rPr>
      </w:pPr>
    </w:p>
    <w:p w14:paraId="2EAA7708" w14:textId="77777777" w:rsidR="00BF03AA" w:rsidRPr="00326E55" w:rsidRDefault="00FB452D">
      <w:pPr>
        <w:pStyle w:val="P68B1DB1-Normal7"/>
        <w:rPr>
          <w:rFonts w:eastAsiaTheme="majorEastAsia"/>
          <w:b/>
          <w:bCs/>
          <w:noProof/>
          <w:spacing w:val="-6"/>
          <w:lang w:val="sk-SK"/>
        </w:rPr>
      </w:pPr>
      <w:r w:rsidRPr="00326E55">
        <w:rPr>
          <w:noProof/>
          <w:spacing w:val="-6"/>
          <w:lang w:val="sk-SK"/>
        </w:rPr>
        <w:br w:type="page"/>
      </w:r>
    </w:p>
    <w:p w14:paraId="59EB3C84" w14:textId="77777777" w:rsidR="00326E55" w:rsidRPr="00326E55" w:rsidRDefault="00FB452D">
      <w:pPr>
        <w:pStyle w:val="P68B1DB1-Heading2117"/>
        <w:rPr>
          <w:noProof/>
          <w:spacing w:val="-6"/>
          <w:lang w:val="sk-SK"/>
        </w:rPr>
      </w:pPr>
      <w:r w:rsidRPr="00326E55">
        <w:rPr>
          <w:noProof/>
          <w:spacing w:val="-6"/>
          <w:lang w:val="sk-SK"/>
        </w:rPr>
        <w:t>ODDIEL 3: ĎALŠIE OPATRENIA</w:t>
      </w:r>
    </w:p>
    <w:p w14:paraId="48432426" w14:textId="07E0E62F" w:rsidR="00BF03AA" w:rsidRPr="00326E55" w:rsidRDefault="00FB452D">
      <w:pPr>
        <w:pStyle w:val="P68B1DB1-Normal125"/>
        <w:numPr>
          <w:ilvl w:val="0"/>
          <w:numId w:val="178"/>
        </w:numPr>
        <w:spacing w:before="120" w:after="120" w:line="240" w:lineRule="auto"/>
        <w:jc w:val="both"/>
        <w:rPr>
          <w:noProof/>
          <w:spacing w:val="-6"/>
          <w:lang w:val="sk-SK"/>
        </w:rPr>
      </w:pPr>
      <w:r w:rsidRPr="00326E55">
        <w:rPr>
          <w:noProof/>
          <w:spacing w:val="-6"/>
          <w:lang w:val="sk-SK"/>
        </w:rPr>
        <w:t>Opatrenia na monitorovanie</w:t>
      </w:r>
      <w:r w:rsidR="00326E55" w:rsidRPr="00326E55">
        <w:rPr>
          <w:noProof/>
          <w:spacing w:val="-6"/>
          <w:lang w:val="sk-SK"/>
        </w:rPr>
        <w:t xml:space="preserve"> a </w:t>
      </w:r>
      <w:r w:rsidRPr="00326E55">
        <w:rPr>
          <w:noProof/>
          <w:spacing w:val="-6"/>
          <w:lang w:val="sk-SK"/>
        </w:rPr>
        <w:t>realizáciu plánu obnovy</w:t>
      </w:r>
      <w:r w:rsidR="00326E55" w:rsidRPr="00326E55">
        <w:rPr>
          <w:noProof/>
          <w:spacing w:val="-6"/>
          <w:lang w:val="sk-SK"/>
        </w:rPr>
        <w:t xml:space="preserve"> a </w:t>
      </w:r>
      <w:r w:rsidRPr="00326E55">
        <w:rPr>
          <w:noProof/>
          <w:spacing w:val="-6"/>
          <w:lang w:val="sk-SK"/>
        </w:rPr>
        <w:t>odolnosti</w:t>
      </w:r>
    </w:p>
    <w:p w14:paraId="52CEAABB" w14:textId="5A8423F3" w:rsidR="00BF03AA" w:rsidRPr="00326E55" w:rsidRDefault="00FB452D">
      <w:pPr>
        <w:pStyle w:val="P68B1DB1-Normal38"/>
        <w:spacing w:before="120" w:after="120" w:line="240" w:lineRule="auto"/>
        <w:jc w:val="both"/>
        <w:rPr>
          <w:noProof/>
          <w:spacing w:val="-6"/>
          <w:lang w:val="sk-SK"/>
        </w:rPr>
      </w:pPr>
      <w:r w:rsidRPr="00326E55">
        <w:rPr>
          <w:noProof/>
          <w:spacing w:val="-6"/>
          <w:lang w:val="sk-SK"/>
        </w:rPr>
        <w:t>Monitorovanie</w:t>
      </w:r>
      <w:r w:rsidR="00326E55" w:rsidRPr="00326E55">
        <w:rPr>
          <w:noProof/>
          <w:spacing w:val="-6"/>
          <w:lang w:val="sk-SK"/>
        </w:rPr>
        <w:t xml:space="preserve"> a </w:t>
      </w:r>
      <w:r w:rsidRPr="00326E55">
        <w:rPr>
          <w:noProof/>
          <w:spacing w:val="-6"/>
          <w:lang w:val="sk-SK"/>
        </w:rPr>
        <w:t>realizácia plánu obnovy</w:t>
      </w:r>
      <w:r w:rsidR="00326E55" w:rsidRPr="00326E55">
        <w:rPr>
          <w:noProof/>
          <w:spacing w:val="-6"/>
          <w:lang w:val="sk-SK"/>
        </w:rPr>
        <w:t xml:space="preserve"> a </w:t>
      </w:r>
      <w:r w:rsidRPr="00326E55">
        <w:rPr>
          <w:noProof/>
          <w:spacing w:val="-6"/>
          <w:lang w:val="sk-SK"/>
        </w:rPr>
        <w:t>odolnosti Talianska sa uskutočňuje</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týmito opatreniami.</w:t>
      </w:r>
    </w:p>
    <w:p w14:paraId="5D78BB79" w14:textId="6E9CA5AA" w:rsidR="00BF03AA" w:rsidRPr="00326E55" w:rsidRDefault="00FB452D">
      <w:pPr>
        <w:pStyle w:val="P68B1DB1-Normal38"/>
        <w:spacing w:before="120" w:after="120" w:line="240" w:lineRule="auto"/>
        <w:jc w:val="both"/>
        <w:rPr>
          <w:noProof/>
          <w:spacing w:val="-6"/>
          <w:lang w:val="sk-SK"/>
        </w:rPr>
      </w:pPr>
      <w:r w:rsidRPr="00326E55">
        <w:rPr>
          <w:noProof/>
          <w:spacing w:val="-6"/>
          <w:lang w:val="sk-SK"/>
        </w:rPr>
        <w:t>Ako sa stanovuje</w:t>
      </w:r>
      <w:r w:rsidR="00326E55" w:rsidRPr="00326E55">
        <w:rPr>
          <w:noProof/>
          <w:spacing w:val="-6"/>
          <w:lang w:val="sk-SK"/>
        </w:rPr>
        <w:t xml:space="preserve"> v </w:t>
      </w:r>
      <w:r w:rsidRPr="00326E55">
        <w:rPr>
          <w:noProof/>
          <w:spacing w:val="-6"/>
          <w:lang w:val="sk-SK"/>
        </w:rPr>
        <w:t xml:space="preserve">zákonnom dekréte </w:t>
      </w:r>
      <w:r w:rsidR="00326E55" w:rsidRPr="00326E55">
        <w:rPr>
          <w:noProof/>
          <w:spacing w:val="-6"/>
          <w:lang w:val="sk-SK"/>
        </w:rPr>
        <w:t>č. </w:t>
      </w:r>
      <w:r w:rsidRPr="00326E55">
        <w:rPr>
          <w:noProof/>
          <w:spacing w:val="-6"/>
          <w:lang w:val="sk-SK"/>
        </w:rPr>
        <w:t>77</w:t>
      </w:r>
      <w:r w:rsidR="00326E55" w:rsidRPr="00326E55">
        <w:rPr>
          <w:noProof/>
          <w:spacing w:val="-6"/>
          <w:lang w:val="sk-SK"/>
        </w:rPr>
        <w:t xml:space="preserve"> z </w:t>
      </w:r>
      <w:r w:rsidRPr="00326E55">
        <w:rPr>
          <w:noProof/>
          <w:spacing w:val="-6"/>
          <w:lang w:val="sk-SK"/>
        </w:rPr>
        <w:t>31</w:t>
      </w:r>
      <w:r w:rsidR="00326E55" w:rsidRPr="00326E55">
        <w:rPr>
          <w:noProof/>
          <w:spacing w:val="-6"/>
          <w:lang w:val="sk-SK"/>
        </w:rPr>
        <w:t>. mája</w:t>
      </w:r>
      <w:r w:rsidRPr="00326E55">
        <w:rPr>
          <w:noProof/>
          <w:spacing w:val="-6"/>
          <w:lang w:val="sk-SK"/>
        </w:rPr>
        <w:t xml:space="preserve"> 2021, zmenenom zákonným dekrét</w:t>
      </w:r>
      <w:r w:rsidRPr="00326E55">
        <w:rPr>
          <w:noProof/>
          <w:spacing w:val="-6"/>
          <w:lang w:val="sk-SK"/>
        </w:rPr>
        <w:t xml:space="preserve">om </w:t>
      </w:r>
      <w:r w:rsidR="00326E55" w:rsidRPr="00326E55">
        <w:rPr>
          <w:noProof/>
          <w:spacing w:val="-6"/>
          <w:lang w:val="sk-SK"/>
        </w:rPr>
        <w:t>č. </w:t>
      </w:r>
      <w:r w:rsidRPr="00326E55">
        <w:rPr>
          <w:noProof/>
          <w:spacing w:val="-6"/>
          <w:lang w:val="sk-SK"/>
        </w:rPr>
        <w:t>13</w:t>
      </w:r>
      <w:r w:rsidR="00326E55" w:rsidRPr="00326E55">
        <w:rPr>
          <w:noProof/>
          <w:spacing w:val="-6"/>
          <w:lang w:val="sk-SK"/>
        </w:rPr>
        <w:t xml:space="preserve"> z </w:t>
      </w:r>
      <w:r w:rsidRPr="00326E55">
        <w:rPr>
          <w:noProof/>
          <w:spacing w:val="-6"/>
          <w:lang w:val="sk-SK"/>
        </w:rPr>
        <w:t>24</w:t>
      </w:r>
      <w:r w:rsidR="00326E55" w:rsidRPr="00326E55">
        <w:rPr>
          <w:noProof/>
          <w:spacing w:val="-6"/>
          <w:lang w:val="sk-SK"/>
        </w:rPr>
        <w:t>. februára</w:t>
      </w:r>
      <w:r w:rsidRPr="00326E55">
        <w:rPr>
          <w:noProof/>
          <w:spacing w:val="-6"/>
          <w:lang w:val="sk-SK"/>
        </w:rPr>
        <w:t xml:space="preserve"> 2023, vytvorí sa niekoľko koordinačných štruktúr na monitorovanie</w:t>
      </w:r>
      <w:r w:rsidR="00326E55" w:rsidRPr="00326E55">
        <w:rPr>
          <w:noProof/>
          <w:spacing w:val="-6"/>
          <w:lang w:val="sk-SK"/>
        </w:rPr>
        <w:t xml:space="preserve"> a </w:t>
      </w:r>
      <w:r w:rsidRPr="00326E55">
        <w:rPr>
          <w:noProof/>
          <w:spacing w:val="-6"/>
          <w:lang w:val="sk-SK"/>
        </w:rPr>
        <w:t>realizáciu plánu. Zahŕňa to najmä: I) riadiaci výbor na vysokej úrovni („cabina di regia“) zriadený počas predsedníctva Rady ministrov, ktorého hlavnou úlohou je ri</w:t>
      </w:r>
      <w:r w:rsidRPr="00326E55">
        <w:rPr>
          <w:noProof/>
          <w:spacing w:val="-6"/>
          <w:lang w:val="sk-SK"/>
        </w:rPr>
        <w:t>adiť</w:t>
      </w:r>
      <w:r w:rsidR="00326E55" w:rsidRPr="00326E55">
        <w:rPr>
          <w:noProof/>
          <w:spacing w:val="-6"/>
          <w:lang w:val="sk-SK"/>
        </w:rPr>
        <w:t xml:space="preserve"> a </w:t>
      </w:r>
      <w:r w:rsidRPr="00326E55">
        <w:rPr>
          <w:noProof/>
          <w:spacing w:val="-6"/>
          <w:lang w:val="sk-SK"/>
        </w:rPr>
        <w:t>koordinovať vykonávanie plánu; II) štruktúra misií zriadená počas predsedníctva Rady ministrov aspoň počas trvania plánu, splnomocnená konať ako centrálna koordinačná štruktúra na vykonávanie</w:t>
      </w:r>
      <w:r w:rsidR="00326E55" w:rsidRPr="00326E55">
        <w:rPr>
          <w:noProof/>
          <w:spacing w:val="-6"/>
          <w:lang w:val="sk-SK"/>
        </w:rPr>
        <w:t xml:space="preserve"> a </w:t>
      </w:r>
      <w:r w:rsidRPr="00326E55">
        <w:rPr>
          <w:noProof/>
          <w:spacing w:val="-6"/>
          <w:lang w:val="sk-SK"/>
        </w:rPr>
        <w:t>monitorovanie plánu; III) technickú štruktúru na minist</w:t>
      </w:r>
      <w:r w:rsidRPr="00326E55">
        <w:rPr>
          <w:noProof/>
          <w:spacing w:val="-6"/>
          <w:lang w:val="sk-SK"/>
        </w:rPr>
        <w:t>erstve hospodárstva</w:t>
      </w:r>
      <w:r w:rsidR="00326E55" w:rsidRPr="00326E55">
        <w:rPr>
          <w:noProof/>
          <w:spacing w:val="-6"/>
          <w:lang w:val="sk-SK"/>
        </w:rPr>
        <w:t xml:space="preserve"> a </w:t>
      </w:r>
      <w:r w:rsidRPr="00326E55">
        <w:rPr>
          <w:noProof/>
          <w:spacing w:val="-6"/>
          <w:lang w:val="sk-SK"/>
        </w:rPr>
        <w:t>financií, ktorá vykonáva prevádzkové monitorovanie realizácie plánu, kontrolu správnosti postupov</w:t>
      </w:r>
      <w:r w:rsidR="00326E55" w:rsidRPr="00326E55">
        <w:rPr>
          <w:noProof/>
          <w:spacing w:val="-6"/>
          <w:lang w:val="sk-SK"/>
        </w:rPr>
        <w:t xml:space="preserve"> a </w:t>
      </w:r>
      <w:r w:rsidRPr="00326E55">
        <w:rPr>
          <w:noProof/>
          <w:spacing w:val="-6"/>
          <w:lang w:val="sk-SK"/>
        </w:rPr>
        <w:t>výdavkov</w:t>
      </w:r>
      <w:r w:rsidR="00326E55" w:rsidRPr="00326E55">
        <w:rPr>
          <w:noProof/>
          <w:spacing w:val="-6"/>
          <w:lang w:val="sk-SK"/>
        </w:rPr>
        <w:t xml:space="preserve"> a </w:t>
      </w:r>
      <w:r w:rsidRPr="00326E55">
        <w:rPr>
          <w:noProof/>
          <w:spacing w:val="-6"/>
          <w:lang w:val="sk-SK"/>
        </w:rPr>
        <w:t>podávanie správ, ako aj technickú</w:t>
      </w:r>
      <w:r w:rsidR="00326E55" w:rsidRPr="00326E55">
        <w:rPr>
          <w:noProof/>
          <w:spacing w:val="-6"/>
          <w:lang w:val="sk-SK"/>
        </w:rPr>
        <w:t xml:space="preserve"> a </w:t>
      </w:r>
      <w:r w:rsidRPr="00326E55">
        <w:rPr>
          <w:noProof/>
          <w:spacing w:val="-6"/>
          <w:lang w:val="sk-SK"/>
        </w:rPr>
        <w:t>operačnú podporu vykonávacej fázy. Štruktúra pre úlohy na úrovni predsedníctva Rady min</w:t>
      </w:r>
      <w:r w:rsidRPr="00326E55">
        <w:rPr>
          <w:noProof/>
          <w:spacing w:val="-6"/>
          <w:lang w:val="sk-SK"/>
        </w:rPr>
        <w:t>istrov slúži ako jednotné kontaktné miesto na vnútroštátnej úrovni pre Európsku komisiu. Ministerstvo hospodárstva</w:t>
      </w:r>
      <w:r w:rsidR="00326E55" w:rsidRPr="00326E55">
        <w:rPr>
          <w:noProof/>
          <w:spacing w:val="-6"/>
          <w:lang w:val="sk-SK"/>
        </w:rPr>
        <w:t xml:space="preserve"> a </w:t>
      </w:r>
      <w:r w:rsidRPr="00326E55">
        <w:rPr>
          <w:noProof/>
          <w:spacing w:val="-6"/>
          <w:lang w:val="sk-SK"/>
        </w:rPr>
        <w:t>financií zabezpečuje hodnotenie výsledkov plánu. Sociálni partneri</w:t>
      </w:r>
      <w:r w:rsidR="00326E55" w:rsidRPr="00326E55">
        <w:rPr>
          <w:noProof/>
          <w:spacing w:val="-6"/>
          <w:lang w:val="sk-SK"/>
        </w:rPr>
        <w:t xml:space="preserve"> a </w:t>
      </w:r>
      <w:r w:rsidRPr="00326E55">
        <w:rPr>
          <w:noProof/>
          <w:spacing w:val="-6"/>
          <w:lang w:val="sk-SK"/>
        </w:rPr>
        <w:t>iné zainteresované strany sa zúčastňujú na osobitných stretnutiach „ca</w:t>
      </w:r>
      <w:r w:rsidRPr="00326E55">
        <w:rPr>
          <w:noProof/>
          <w:spacing w:val="-6"/>
          <w:lang w:val="sk-SK"/>
        </w:rPr>
        <w:t>bina di regia“, aby sa zabezpečila ich účasť na vykonávaní plánu. Okrem toho sa na úrovni každej ústrednej správy zodpovednej za opatrenia zahrnuté do plánu určia koordinačné štruktúry, ktoré sú poverené riadením, monitorovaním, podávaním správ</w:t>
      </w:r>
      <w:r w:rsidR="00326E55" w:rsidRPr="00326E55">
        <w:rPr>
          <w:noProof/>
          <w:spacing w:val="-6"/>
          <w:lang w:val="sk-SK"/>
        </w:rPr>
        <w:t xml:space="preserve"> a </w:t>
      </w:r>
      <w:r w:rsidRPr="00326E55">
        <w:rPr>
          <w:noProof/>
          <w:spacing w:val="-6"/>
          <w:lang w:val="sk-SK"/>
        </w:rPr>
        <w:t>kontrolou</w:t>
      </w:r>
      <w:r w:rsidRPr="00326E55">
        <w:rPr>
          <w:noProof/>
          <w:spacing w:val="-6"/>
          <w:lang w:val="sk-SK"/>
        </w:rPr>
        <w:t xml:space="preserve"> príslušných intervencií,</w:t>
      </w:r>
      <w:r w:rsidR="00326E55" w:rsidRPr="00326E55">
        <w:rPr>
          <w:noProof/>
          <w:spacing w:val="-6"/>
          <w:lang w:val="sk-SK"/>
        </w:rPr>
        <w:t xml:space="preserve"> a </w:t>
      </w:r>
      <w:r w:rsidRPr="00326E55">
        <w:rPr>
          <w:noProof/>
          <w:spacing w:val="-6"/>
          <w:lang w:val="sk-SK"/>
        </w:rPr>
        <w:t>to aj</w:t>
      </w:r>
      <w:r w:rsidR="00326E55" w:rsidRPr="00326E55">
        <w:rPr>
          <w:noProof/>
          <w:spacing w:val="-6"/>
          <w:lang w:val="sk-SK"/>
        </w:rPr>
        <w:t xml:space="preserve"> v </w:t>
      </w:r>
      <w:r w:rsidRPr="00326E55">
        <w:rPr>
          <w:noProof/>
          <w:spacing w:val="-6"/>
          <w:lang w:val="sk-SK"/>
        </w:rPr>
        <w:t>súvislosti</w:t>
      </w:r>
      <w:r w:rsidR="00326E55" w:rsidRPr="00326E55">
        <w:rPr>
          <w:noProof/>
          <w:spacing w:val="-6"/>
          <w:lang w:val="sk-SK"/>
        </w:rPr>
        <w:t xml:space="preserve"> s </w:t>
      </w:r>
      <w:r w:rsidRPr="00326E55">
        <w:rPr>
          <w:noProof/>
          <w:spacing w:val="-6"/>
          <w:lang w:val="sk-SK"/>
        </w:rPr>
        <w:t>dohľadom nad vykonávaním</w:t>
      </w:r>
      <w:r w:rsidR="00326E55" w:rsidRPr="00326E55">
        <w:rPr>
          <w:noProof/>
          <w:spacing w:val="-6"/>
          <w:lang w:val="sk-SK"/>
        </w:rPr>
        <w:t xml:space="preserve"> a </w:t>
      </w:r>
      <w:r w:rsidRPr="00326E55">
        <w:rPr>
          <w:noProof/>
          <w:spacing w:val="-6"/>
          <w:lang w:val="sk-SK"/>
        </w:rPr>
        <w:t>pokrokom pri dosahovaní míľnikov</w:t>
      </w:r>
      <w:r w:rsidR="00326E55" w:rsidRPr="00326E55">
        <w:rPr>
          <w:noProof/>
          <w:spacing w:val="-6"/>
          <w:lang w:val="sk-SK"/>
        </w:rPr>
        <w:t xml:space="preserve"> a </w:t>
      </w:r>
      <w:r w:rsidRPr="00326E55">
        <w:rPr>
          <w:noProof/>
          <w:spacing w:val="-6"/>
          <w:lang w:val="sk-SK"/>
        </w:rPr>
        <w:t>cieľov. Napokon sa plánuje zavedenie mechanizmov presadzovania</w:t>
      </w:r>
      <w:r w:rsidR="00326E55" w:rsidRPr="00326E55">
        <w:rPr>
          <w:noProof/>
          <w:spacing w:val="-6"/>
          <w:lang w:val="sk-SK"/>
        </w:rPr>
        <w:t xml:space="preserve"> v </w:t>
      </w:r>
      <w:r w:rsidRPr="00326E55">
        <w:rPr>
          <w:noProof/>
          <w:spacing w:val="-6"/>
          <w:lang w:val="sk-SK"/>
        </w:rPr>
        <w:t>prípade problémov</w:t>
      </w:r>
      <w:r w:rsidR="00326E55" w:rsidRPr="00326E55">
        <w:rPr>
          <w:noProof/>
          <w:spacing w:val="-6"/>
          <w:lang w:val="sk-SK"/>
        </w:rPr>
        <w:t xml:space="preserve"> s </w:t>
      </w:r>
      <w:r w:rsidRPr="00326E55">
        <w:rPr>
          <w:noProof/>
          <w:spacing w:val="-6"/>
          <w:lang w:val="sk-SK"/>
        </w:rPr>
        <w:t>vykonávaním,</w:t>
      </w:r>
      <w:r w:rsidR="00326E55" w:rsidRPr="00326E55">
        <w:rPr>
          <w:noProof/>
          <w:spacing w:val="-6"/>
          <w:lang w:val="sk-SK"/>
        </w:rPr>
        <w:t xml:space="preserve"> a </w:t>
      </w:r>
      <w:r w:rsidRPr="00326E55">
        <w:rPr>
          <w:noProof/>
          <w:spacing w:val="-6"/>
          <w:lang w:val="sk-SK"/>
        </w:rPr>
        <w:t>to aj prostredníctvom aktivácie substitučných</w:t>
      </w:r>
      <w:r w:rsidRPr="00326E55">
        <w:rPr>
          <w:noProof/>
          <w:spacing w:val="-6"/>
          <w:lang w:val="sk-SK"/>
        </w:rPr>
        <w:t xml:space="preserve"> právomocí voči správnym orgánom zodpovedným za opatrenia plánu,</w:t>
      </w:r>
      <w:r w:rsidR="00326E55" w:rsidRPr="00326E55">
        <w:rPr>
          <w:noProof/>
          <w:spacing w:val="-6"/>
          <w:lang w:val="sk-SK"/>
        </w:rPr>
        <w:t xml:space="preserve"> s </w:t>
      </w:r>
      <w:r w:rsidRPr="00326E55">
        <w:rPr>
          <w:noProof/>
          <w:spacing w:val="-6"/>
          <w:lang w:val="sk-SK"/>
        </w:rPr>
        <w:t>cieľom zaručiť včasné</w:t>
      </w:r>
      <w:r w:rsidR="00326E55" w:rsidRPr="00326E55">
        <w:rPr>
          <w:noProof/>
          <w:spacing w:val="-6"/>
          <w:lang w:val="sk-SK"/>
        </w:rPr>
        <w:t xml:space="preserve"> a </w:t>
      </w:r>
      <w:r w:rsidRPr="00326E55">
        <w:rPr>
          <w:noProof/>
          <w:spacing w:val="-6"/>
          <w:lang w:val="sk-SK"/>
        </w:rPr>
        <w:t>účinné vykonanie projektov</w:t>
      </w:r>
      <w:r w:rsidR="00326E55" w:rsidRPr="00326E55">
        <w:rPr>
          <w:noProof/>
          <w:spacing w:val="-6"/>
          <w:lang w:val="sk-SK"/>
        </w:rPr>
        <w:t xml:space="preserve"> a </w:t>
      </w:r>
      <w:r w:rsidRPr="00326E55">
        <w:rPr>
          <w:noProof/>
          <w:spacing w:val="-6"/>
          <w:lang w:val="sk-SK"/>
        </w:rPr>
        <w:t>zavedú sa mechanizmy ex ante na riešenie konfliktov.</w:t>
      </w:r>
    </w:p>
    <w:p w14:paraId="79AA7AA8" w14:textId="74B6F485" w:rsidR="00326E55" w:rsidRPr="00326E55" w:rsidRDefault="00FB452D">
      <w:pPr>
        <w:pStyle w:val="P68B1DB1-Normal38"/>
        <w:spacing w:before="120" w:after="120" w:line="240" w:lineRule="auto"/>
        <w:jc w:val="both"/>
        <w:rPr>
          <w:noProof/>
          <w:spacing w:val="-6"/>
          <w:lang w:val="sk-SK"/>
        </w:rPr>
      </w:pPr>
      <w:r w:rsidRPr="00326E55">
        <w:rPr>
          <w:noProof/>
          <w:spacing w:val="-6"/>
          <w:lang w:val="sk-SK"/>
        </w:rPr>
        <w:t>S cieľom posilniť administratívne kapacity na monitorovanie</w:t>
      </w:r>
      <w:r w:rsidR="00326E55" w:rsidRPr="00326E55">
        <w:rPr>
          <w:noProof/>
          <w:spacing w:val="-6"/>
          <w:lang w:val="sk-SK"/>
        </w:rPr>
        <w:t xml:space="preserve"> a </w:t>
      </w:r>
      <w:r w:rsidRPr="00326E55">
        <w:rPr>
          <w:noProof/>
          <w:spacing w:val="-6"/>
          <w:lang w:val="sk-SK"/>
        </w:rPr>
        <w:t>vykonávanie sa plánuj</w:t>
      </w:r>
      <w:r w:rsidRPr="00326E55">
        <w:rPr>
          <w:noProof/>
          <w:spacing w:val="-6"/>
          <w:lang w:val="sk-SK"/>
        </w:rPr>
        <w:t>e nábor dočasných zamestnancov,</w:t>
      </w:r>
      <w:r w:rsidR="00326E55" w:rsidRPr="00326E55">
        <w:rPr>
          <w:noProof/>
          <w:spacing w:val="-6"/>
          <w:lang w:val="sk-SK"/>
        </w:rPr>
        <w:t xml:space="preserve"> a </w:t>
      </w:r>
      <w:r w:rsidRPr="00326E55">
        <w:rPr>
          <w:noProof/>
          <w:spacing w:val="-6"/>
          <w:lang w:val="sk-SK"/>
        </w:rPr>
        <w:t>to aj vo vzťahu</w:t>
      </w:r>
      <w:r w:rsidR="00326E55" w:rsidRPr="00326E55">
        <w:rPr>
          <w:noProof/>
          <w:spacing w:val="-6"/>
          <w:lang w:val="sk-SK"/>
        </w:rPr>
        <w:t xml:space="preserve"> k </w:t>
      </w:r>
      <w:r w:rsidRPr="00326E55">
        <w:rPr>
          <w:noProof/>
          <w:spacing w:val="-6"/>
          <w:lang w:val="sk-SK"/>
        </w:rPr>
        <w:t>ústredným správam zodpovedným za intervencie plánu</w:t>
      </w:r>
      <w:r w:rsidR="00326E55" w:rsidRPr="00326E55">
        <w:rPr>
          <w:noProof/>
          <w:spacing w:val="-6"/>
          <w:lang w:val="sk-SK"/>
        </w:rPr>
        <w:t xml:space="preserve"> a </w:t>
      </w:r>
      <w:r w:rsidRPr="00326E55">
        <w:rPr>
          <w:noProof/>
          <w:spacing w:val="-6"/>
          <w:lang w:val="sk-SK"/>
        </w:rPr>
        <w:t>ministerstvu hospodárstva</w:t>
      </w:r>
      <w:r w:rsidR="00326E55" w:rsidRPr="00326E55">
        <w:rPr>
          <w:noProof/>
          <w:spacing w:val="-6"/>
          <w:lang w:val="sk-SK"/>
        </w:rPr>
        <w:t xml:space="preserve"> a </w:t>
      </w:r>
      <w:r w:rsidRPr="00326E55">
        <w:rPr>
          <w:noProof/>
          <w:spacing w:val="-6"/>
          <w:lang w:val="sk-SK"/>
        </w:rPr>
        <w:t>financií (vrátane ústrednej koordinačnej štruktúry</w:t>
      </w:r>
      <w:r w:rsidR="00326E55" w:rsidRPr="00326E55">
        <w:rPr>
          <w:noProof/>
          <w:spacing w:val="-6"/>
          <w:lang w:val="sk-SK"/>
        </w:rPr>
        <w:t xml:space="preserve"> a </w:t>
      </w:r>
      <w:r w:rsidRPr="00326E55">
        <w:rPr>
          <w:noProof/>
          <w:spacing w:val="-6"/>
          <w:lang w:val="sk-SK"/>
        </w:rPr>
        <w:t>odboru účtovníctva štátu), ako sa stanovuje</w:t>
      </w:r>
      <w:r w:rsidR="00326E55" w:rsidRPr="00326E55">
        <w:rPr>
          <w:noProof/>
          <w:spacing w:val="-6"/>
          <w:lang w:val="sk-SK"/>
        </w:rPr>
        <w:t xml:space="preserve"> v </w:t>
      </w:r>
      <w:r w:rsidRPr="00326E55">
        <w:rPr>
          <w:noProof/>
          <w:spacing w:val="-6"/>
          <w:lang w:val="sk-SK"/>
        </w:rPr>
        <w:t xml:space="preserve">zákonnom dekréte </w:t>
      </w:r>
      <w:r w:rsidR="00326E55" w:rsidRPr="00326E55">
        <w:rPr>
          <w:noProof/>
          <w:spacing w:val="-6"/>
          <w:lang w:val="sk-SK"/>
        </w:rPr>
        <w:t>č. </w:t>
      </w:r>
      <w:r w:rsidRPr="00326E55">
        <w:rPr>
          <w:noProof/>
          <w:spacing w:val="-6"/>
          <w:lang w:val="sk-SK"/>
        </w:rPr>
        <w:t>80</w:t>
      </w:r>
      <w:r w:rsidR="00326E55" w:rsidRPr="00326E55">
        <w:rPr>
          <w:noProof/>
          <w:spacing w:val="-6"/>
          <w:lang w:val="sk-SK"/>
        </w:rPr>
        <w:t xml:space="preserve"> z </w:t>
      </w:r>
      <w:r w:rsidRPr="00326E55">
        <w:rPr>
          <w:noProof/>
          <w:spacing w:val="-6"/>
          <w:lang w:val="sk-SK"/>
        </w:rPr>
        <w:t>9</w:t>
      </w:r>
      <w:r w:rsidR="00326E55" w:rsidRPr="00326E55">
        <w:rPr>
          <w:noProof/>
          <w:spacing w:val="-6"/>
          <w:lang w:val="sk-SK"/>
        </w:rPr>
        <w:t>. júna</w:t>
      </w:r>
      <w:r w:rsidRPr="00326E55">
        <w:rPr>
          <w:noProof/>
          <w:spacing w:val="-6"/>
          <w:lang w:val="sk-SK"/>
        </w:rPr>
        <w:t xml:space="preserve"> 2021, ako aj vo vzťahu</w:t>
      </w:r>
      <w:r w:rsidR="00326E55" w:rsidRPr="00326E55">
        <w:rPr>
          <w:noProof/>
          <w:spacing w:val="-6"/>
          <w:lang w:val="sk-SK"/>
        </w:rPr>
        <w:t xml:space="preserve"> k </w:t>
      </w:r>
      <w:r w:rsidRPr="00326E55">
        <w:rPr>
          <w:noProof/>
          <w:spacing w:val="-6"/>
          <w:lang w:val="sk-SK"/>
        </w:rPr>
        <w:t>správam na juhu Talianska, od ktorých sa očakáva, že posilnia ľudský kapitál zapojený do plánovania</w:t>
      </w:r>
      <w:r w:rsidR="00326E55" w:rsidRPr="00326E55">
        <w:rPr>
          <w:noProof/>
          <w:spacing w:val="-6"/>
          <w:lang w:val="sk-SK"/>
        </w:rPr>
        <w:t xml:space="preserve"> a </w:t>
      </w:r>
      <w:r w:rsidRPr="00326E55">
        <w:rPr>
          <w:noProof/>
          <w:spacing w:val="-6"/>
          <w:lang w:val="sk-SK"/>
        </w:rPr>
        <w:t>čerpania finančných prostriedkov EÚ, ako sa stanovuje najmä</w:t>
      </w:r>
      <w:r w:rsidR="00326E55" w:rsidRPr="00326E55">
        <w:rPr>
          <w:noProof/>
          <w:spacing w:val="-6"/>
          <w:lang w:val="sk-SK"/>
        </w:rPr>
        <w:t xml:space="preserve"> v </w:t>
      </w:r>
      <w:r w:rsidRPr="00326E55">
        <w:rPr>
          <w:noProof/>
          <w:spacing w:val="-6"/>
          <w:lang w:val="sk-SK"/>
        </w:rPr>
        <w:t xml:space="preserve">zákone </w:t>
      </w:r>
      <w:r w:rsidR="00326E55" w:rsidRPr="00326E55">
        <w:rPr>
          <w:noProof/>
          <w:spacing w:val="-6"/>
          <w:lang w:val="sk-SK"/>
        </w:rPr>
        <w:t>č. </w:t>
      </w:r>
      <w:r w:rsidRPr="00326E55">
        <w:rPr>
          <w:noProof/>
          <w:spacing w:val="-6"/>
          <w:lang w:val="sk-SK"/>
        </w:rPr>
        <w:t>178</w:t>
      </w:r>
      <w:r w:rsidR="00326E55" w:rsidRPr="00326E55">
        <w:rPr>
          <w:noProof/>
          <w:spacing w:val="-6"/>
          <w:lang w:val="sk-SK"/>
        </w:rPr>
        <w:t xml:space="preserve"> z </w:t>
      </w:r>
      <w:r w:rsidRPr="00326E55">
        <w:rPr>
          <w:noProof/>
          <w:spacing w:val="-6"/>
          <w:lang w:val="sk-SK"/>
        </w:rPr>
        <w:t>roku 2020. Prostriedky sa okrem toho pri</w:t>
      </w:r>
      <w:r w:rsidRPr="00326E55">
        <w:rPr>
          <w:noProof/>
          <w:spacing w:val="-6"/>
          <w:lang w:val="sk-SK"/>
        </w:rPr>
        <w:t>deľujú štruktúre pre úlohy zriadenej na úrovni predsedníctva Rady ministrov</w:t>
      </w:r>
      <w:r w:rsidR="00326E55" w:rsidRPr="00326E55">
        <w:rPr>
          <w:noProof/>
          <w:spacing w:val="-6"/>
          <w:lang w:val="sk-SK"/>
        </w:rPr>
        <w:t xml:space="preserve"> s </w:t>
      </w:r>
      <w:r w:rsidRPr="00326E55">
        <w:rPr>
          <w:noProof/>
          <w:spacing w:val="-6"/>
          <w:lang w:val="sk-SK"/>
        </w:rPr>
        <w:t>cieľom zabezpečiť jej účinné fungovanie, ako sa stanovuje</w:t>
      </w:r>
      <w:r w:rsidR="00326E55" w:rsidRPr="00326E55">
        <w:rPr>
          <w:noProof/>
          <w:spacing w:val="-6"/>
          <w:lang w:val="sk-SK"/>
        </w:rPr>
        <w:t xml:space="preserve"> v </w:t>
      </w:r>
      <w:r w:rsidRPr="00326E55">
        <w:rPr>
          <w:noProof/>
          <w:spacing w:val="-6"/>
          <w:lang w:val="sk-SK"/>
        </w:rPr>
        <w:t xml:space="preserve">zákonnom dekréte </w:t>
      </w:r>
      <w:r w:rsidR="00326E55" w:rsidRPr="00326E55">
        <w:rPr>
          <w:noProof/>
          <w:spacing w:val="-6"/>
          <w:lang w:val="sk-SK"/>
        </w:rPr>
        <w:t>č. </w:t>
      </w:r>
      <w:r w:rsidRPr="00326E55">
        <w:rPr>
          <w:noProof/>
          <w:spacing w:val="-6"/>
          <w:lang w:val="sk-SK"/>
        </w:rPr>
        <w:t>13</w:t>
      </w:r>
      <w:r w:rsidR="00326E55" w:rsidRPr="00326E55">
        <w:rPr>
          <w:noProof/>
          <w:spacing w:val="-6"/>
          <w:lang w:val="sk-SK"/>
        </w:rPr>
        <w:t xml:space="preserve"> z </w:t>
      </w:r>
      <w:r w:rsidRPr="00326E55">
        <w:rPr>
          <w:noProof/>
          <w:spacing w:val="-6"/>
          <w:lang w:val="sk-SK"/>
        </w:rPr>
        <w:t>24</w:t>
      </w:r>
      <w:r w:rsidR="00326E55" w:rsidRPr="00326E55">
        <w:rPr>
          <w:noProof/>
          <w:spacing w:val="-6"/>
          <w:lang w:val="sk-SK"/>
        </w:rPr>
        <w:t>. februára</w:t>
      </w:r>
      <w:r w:rsidRPr="00326E55">
        <w:rPr>
          <w:noProof/>
          <w:spacing w:val="-6"/>
          <w:lang w:val="sk-SK"/>
        </w:rPr>
        <w:t xml:space="preserve"> 2023. Napokon sa predpokladá technická</w:t>
      </w:r>
      <w:r w:rsidR="00326E55" w:rsidRPr="00326E55">
        <w:rPr>
          <w:noProof/>
          <w:spacing w:val="-6"/>
          <w:lang w:val="sk-SK"/>
        </w:rPr>
        <w:t xml:space="preserve"> a </w:t>
      </w:r>
      <w:r w:rsidRPr="00326E55">
        <w:rPr>
          <w:noProof/>
          <w:spacing w:val="-6"/>
          <w:lang w:val="sk-SK"/>
        </w:rPr>
        <w:t>operačná podpora ústrednej</w:t>
      </w:r>
      <w:r w:rsidR="00326E55" w:rsidRPr="00326E55">
        <w:rPr>
          <w:noProof/>
          <w:spacing w:val="-6"/>
          <w:lang w:val="sk-SK"/>
        </w:rPr>
        <w:t xml:space="preserve"> a </w:t>
      </w:r>
      <w:r w:rsidRPr="00326E55">
        <w:rPr>
          <w:noProof/>
          <w:spacing w:val="-6"/>
          <w:lang w:val="sk-SK"/>
        </w:rPr>
        <w:t>miestnej s</w:t>
      </w:r>
      <w:r w:rsidRPr="00326E55">
        <w:rPr>
          <w:noProof/>
          <w:spacing w:val="-6"/>
          <w:lang w:val="sk-SK"/>
        </w:rPr>
        <w:t>právy pri realizácii projektov,</w:t>
      </w:r>
      <w:r w:rsidR="00326E55" w:rsidRPr="00326E55">
        <w:rPr>
          <w:noProof/>
          <w:spacing w:val="-6"/>
          <w:lang w:val="sk-SK"/>
        </w:rPr>
        <w:t xml:space="preserve"> a </w:t>
      </w:r>
      <w:r w:rsidRPr="00326E55">
        <w:rPr>
          <w:noProof/>
          <w:spacing w:val="-6"/>
          <w:lang w:val="sk-SK"/>
        </w:rPr>
        <w:t>to aj prostredníctvom využívania verejných kapitálových spoločností, skupiny odborníkov na technickú pomoc</w:t>
      </w:r>
      <w:r w:rsidR="00326E55" w:rsidRPr="00326E55">
        <w:rPr>
          <w:noProof/>
          <w:spacing w:val="-6"/>
          <w:lang w:val="sk-SK"/>
        </w:rPr>
        <w:t xml:space="preserve"> a </w:t>
      </w:r>
      <w:r w:rsidRPr="00326E55">
        <w:rPr>
          <w:noProof/>
          <w:spacing w:val="-6"/>
          <w:lang w:val="sk-SK"/>
        </w:rPr>
        <w:t xml:space="preserve">možnosti využitia externých odborných znalostí. Tieto opatrenia bude sprevádzať vykonávanie opatrení na zníženie </w:t>
      </w:r>
      <w:r w:rsidRPr="00326E55">
        <w:rPr>
          <w:noProof/>
          <w:spacing w:val="-6"/>
          <w:lang w:val="sk-SK"/>
        </w:rPr>
        <w:t>byrokracie</w:t>
      </w:r>
      <w:r w:rsidR="00326E55" w:rsidRPr="00326E55">
        <w:rPr>
          <w:noProof/>
          <w:spacing w:val="-6"/>
          <w:lang w:val="sk-SK"/>
        </w:rPr>
        <w:t xml:space="preserve"> a </w:t>
      </w:r>
      <w:r w:rsidRPr="00326E55">
        <w:rPr>
          <w:noProof/>
          <w:spacing w:val="-6"/>
          <w:lang w:val="sk-SK"/>
        </w:rPr>
        <w:t>zjednodušenie administratívnych postupov, ako sa stanovuje</w:t>
      </w:r>
      <w:r w:rsidR="00326E55" w:rsidRPr="00326E55">
        <w:rPr>
          <w:noProof/>
          <w:spacing w:val="-6"/>
          <w:lang w:val="sk-SK"/>
        </w:rPr>
        <w:t xml:space="preserve"> v </w:t>
      </w:r>
      <w:r w:rsidRPr="00326E55">
        <w:rPr>
          <w:noProof/>
          <w:spacing w:val="-6"/>
          <w:lang w:val="sk-SK"/>
        </w:rPr>
        <w:t xml:space="preserve">zákonnom dekréte </w:t>
      </w:r>
      <w:r w:rsidR="00326E55" w:rsidRPr="00326E55">
        <w:rPr>
          <w:noProof/>
          <w:spacing w:val="-6"/>
          <w:lang w:val="sk-SK"/>
        </w:rPr>
        <w:t>č. </w:t>
      </w:r>
      <w:r w:rsidRPr="00326E55">
        <w:rPr>
          <w:noProof/>
          <w:spacing w:val="-6"/>
          <w:lang w:val="sk-SK"/>
        </w:rPr>
        <w:t>77</w:t>
      </w:r>
      <w:r w:rsidR="00326E55" w:rsidRPr="00326E55">
        <w:rPr>
          <w:noProof/>
          <w:spacing w:val="-6"/>
          <w:lang w:val="sk-SK"/>
        </w:rPr>
        <w:t xml:space="preserve"> z </w:t>
      </w:r>
      <w:r w:rsidRPr="00326E55">
        <w:rPr>
          <w:noProof/>
          <w:spacing w:val="-6"/>
          <w:lang w:val="sk-SK"/>
        </w:rPr>
        <w:t>31</w:t>
      </w:r>
      <w:r w:rsidR="00326E55" w:rsidRPr="00326E55">
        <w:rPr>
          <w:noProof/>
          <w:spacing w:val="-6"/>
          <w:lang w:val="sk-SK"/>
        </w:rPr>
        <w:t>. mája</w:t>
      </w:r>
      <w:r w:rsidRPr="00326E55">
        <w:rPr>
          <w:noProof/>
          <w:spacing w:val="-6"/>
          <w:lang w:val="sk-SK"/>
        </w:rPr>
        <w:t xml:space="preserve"> 2021</w:t>
      </w:r>
      <w:r w:rsidR="00326E55" w:rsidRPr="00326E55">
        <w:rPr>
          <w:noProof/>
          <w:spacing w:val="-6"/>
          <w:lang w:val="sk-SK"/>
        </w:rPr>
        <w:t xml:space="preserve"> a </w:t>
      </w:r>
      <w:r w:rsidRPr="00326E55">
        <w:rPr>
          <w:noProof/>
          <w:spacing w:val="-6"/>
          <w:lang w:val="sk-SK"/>
        </w:rPr>
        <w:t xml:space="preserve">zákonnom dekréte </w:t>
      </w:r>
      <w:r w:rsidR="00326E55" w:rsidRPr="00326E55">
        <w:rPr>
          <w:noProof/>
          <w:spacing w:val="-6"/>
          <w:lang w:val="sk-SK"/>
        </w:rPr>
        <w:t>č. </w:t>
      </w:r>
      <w:r w:rsidRPr="00326E55">
        <w:rPr>
          <w:noProof/>
          <w:spacing w:val="-6"/>
          <w:lang w:val="sk-SK"/>
        </w:rPr>
        <w:t>13</w:t>
      </w:r>
      <w:r w:rsidR="00326E55" w:rsidRPr="00326E55">
        <w:rPr>
          <w:noProof/>
          <w:spacing w:val="-6"/>
          <w:lang w:val="sk-SK"/>
        </w:rPr>
        <w:t xml:space="preserve"> z </w:t>
      </w:r>
      <w:r w:rsidRPr="00326E55">
        <w:rPr>
          <w:noProof/>
          <w:spacing w:val="-6"/>
          <w:lang w:val="sk-SK"/>
        </w:rPr>
        <w:t>24</w:t>
      </w:r>
      <w:r w:rsidR="00326E55" w:rsidRPr="00326E55">
        <w:rPr>
          <w:noProof/>
          <w:spacing w:val="-6"/>
          <w:lang w:val="sk-SK"/>
        </w:rPr>
        <w:t>. februára</w:t>
      </w:r>
      <w:r w:rsidRPr="00326E55">
        <w:rPr>
          <w:noProof/>
          <w:spacing w:val="-6"/>
          <w:lang w:val="sk-SK"/>
        </w:rPr>
        <w:t xml:space="preserve"> 2023</w:t>
      </w:r>
      <w:r w:rsidR="00326E55" w:rsidRPr="00326E55">
        <w:rPr>
          <w:noProof/>
          <w:spacing w:val="-6"/>
          <w:lang w:val="sk-SK"/>
        </w:rPr>
        <w:t>.</w:t>
      </w:r>
    </w:p>
    <w:p w14:paraId="715C8A03" w14:textId="24D903ED" w:rsidR="00BF03AA" w:rsidRPr="00326E55" w:rsidRDefault="00FB452D">
      <w:pPr>
        <w:pStyle w:val="P68B1DB1-Normal38"/>
        <w:spacing w:before="120" w:after="120" w:line="240" w:lineRule="auto"/>
        <w:jc w:val="both"/>
        <w:rPr>
          <w:noProof/>
          <w:spacing w:val="-6"/>
          <w:lang w:val="sk-SK"/>
        </w:rPr>
      </w:pPr>
      <w:r w:rsidRPr="00326E55">
        <w:rPr>
          <w:noProof/>
          <w:spacing w:val="-6"/>
          <w:lang w:val="sk-SK"/>
        </w:rPr>
        <w:t>V opatreniach sa takisto stanovuje používanie integrovaného informačného systému („ReGiS“). Jestv</w:t>
      </w:r>
      <w:r w:rsidRPr="00326E55">
        <w:rPr>
          <w:noProof/>
          <w:spacing w:val="-6"/>
          <w:lang w:val="sk-SK"/>
        </w:rPr>
        <w:t>ujúci útvar auditu, Generálny inšpektorát pre finančné vzťahy</w:t>
      </w:r>
      <w:r w:rsidR="00326E55" w:rsidRPr="00326E55">
        <w:rPr>
          <w:noProof/>
          <w:spacing w:val="-6"/>
          <w:lang w:val="sk-SK"/>
        </w:rPr>
        <w:t xml:space="preserve"> s </w:t>
      </w:r>
      <w:r w:rsidRPr="00326E55">
        <w:rPr>
          <w:noProof/>
          <w:spacing w:val="-6"/>
          <w:lang w:val="sk-SK"/>
        </w:rPr>
        <w:t>Európskou úniou (IGRUE),</w:t>
      </w:r>
      <w:r w:rsidR="00326E55" w:rsidRPr="00326E55">
        <w:rPr>
          <w:noProof/>
          <w:spacing w:val="-6"/>
          <w:lang w:val="sk-SK"/>
        </w:rPr>
        <w:t xml:space="preserve"> v </w:t>
      </w:r>
      <w:r w:rsidRPr="00326E55">
        <w:rPr>
          <w:noProof/>
          <w:spacing w:val="-6"/>
          <w:lang w:val="sk-SK"/>
        </w:rPr>
        <w:t>rámci ministerstva hospodárstva</w:t>
      </w:r>
      <w:r w:rsidR="00326E55" w:rsidRPr="00326E55">
        <w:rPr>
          <w:noProof/>
          <w:spacing w:val="-6"/>
          <w:lang w:val="sk-SK"/>
        </w:rPr>
        <w:t xml:space="preserve"> a </w:t>
      </w:r>
      <w:r w:rsidRPr="00326E55">
        <w:rPr>
          <w:noProof/>
          <w:spacing w:val="-6"/>
          <w:lang w:val="sk-SK"/>
        </w:rPr>
        <w:t>financií je poverený koordináciou systémov auditu</w:t>
      </w:r>
      <w:r w:rsidR="00326E55" w:rsidRPr="00326E55">
        <w:rPr>
          <w:noProof/>
          <w:spacing w:val="-6"/>
          <w:lang w:val="sk-SK"/>
        </w:rPr>
        <w:t xml:space="preserve"> a </w:t>
      </w:r>
      <w:r w:rsidRPr="00326E55">
        <w:rPr>
          <w:noProof/>
          <w:spacing w:val="-6"/>
          <w:lang w:val="sk-SK"/>
        </w:rPr>
        <w:t>vykonávaním kontrol</w:t>
      </w:r>
      <w:r w:rsidR="00326E55" w:rsidRPr="00326E55">
        <w:rPr>
          <w:noProof/>
          <w:spacing w:val="-6"/>
          <w:lang w:val="sk-SK"/>
        </w:rPr>
        <w:t xml:space="preserve"> s </w:t>
      </w:r>
      <w:r w:rsidRPr="00326E55">
        <w:rPr>
          <w:noProof/>
          <w:spacing w:val="-6"/>
          <w:lang w:val="sk-SK"/>
        </w:rPr>
        <w:t>podporou Územného úradu pre štátne účty (RTS).</w:t>
      </w:r>
      <w:r w:rsidR="00326E55" w:rsidRPr="00326E55">
        <w:rPr>
          <w:noProof/>
          <w:spacing w:val="-6"/>
          <w:lang w:val="sk-SK"/>
        </w:rPr>
        <w:t xml:space="preserve"> S </w:t>
      </w:r>
      <w:r w:rsidRPr="00326E55">
        <w:rPr>
          <w:noProof/>
          <w:spacing w:val="-6"/>
          <w:lang w:val="sk-SK"/>
        </w:rPr>
        <w:t>taliansk</w:t>
      </w:r>
      <w:r w:rsidRPr="00326E55">
        <w:rPr>
          <w:noProof/>
          <w:spacing w:val="-6"/>
          <w:lang w:val="sk-SK"/>
        </w:rPr>
        <w:t>ou finančnou políciou Guardia di Finanza</w:t>
      </w:r>
      <w:r w:rsidR="00326E55" w:rsidRPr="00326E55">
        <w:rPr>
          <w:noProof/>
          <w:spacing w:val="-6"/>
          <w:lang w:val="sk-SK"/>
        </w:rPr>
        <w:t xml:space="preserve"> a </w:t>
      </w:r>
      <w:r w:rsidRPr="00326E55">
        <w:rPr>
          <w:noProof/>
          <w:spacing w:val="-6"/>
          <w:lang w:val="sk-SK"/>
        </w:rPr>
        <w:t>príslušnými nezávislými orgánmi, ako je národná agentúra pre boj proti korupcii ANAC, sa ďalej uplatňujú posilnené dohody, čím sa posilní úloha, ktorú taliansky právny systém už pripisuje týmto orgánom</w:t>
      </w:r>
      <w:r w:rsidR="00326E55" w:rsidRPr="00326E55">
        <w:rPr>
          <w:noProof/>
          <w:spacing w:val="-6"/>
          <w:lang w:val="sk-SK"/>
        </w:rPr>
        <w:t xml:space="preserve"> v </w:t>
      </w:r>
      <w:r w:rsidRPr="00326E55">
        <w:rPr>
          <w:noProof/>
          <w:spacing w:val="-6"/>
          <w:lang w:val="sk-SK"/>
        </w:rPr>
        <w:t>súvislost</w:t>
      </w:r>
      <w:r w:rsidRPr="00326E55">
        <w:rPr>
          <w:noProof/>
          <w:spacing w:val="-6"/>
          <w:lang w:val="sk-SK"/>
        </w:rPr>
        <w:t>i</w:t>
      </w:r>
      <w:r w:rsidR="00326E55" w:rsidRPr="00326E55">
        <w:rPr>
          <w:noProof/>
          <w:spacing w:val="-6"/>
          <w:lang w:val="sk-SK"/>
        </w:rPr>
        <w:t xml:space="preserve"> s </w:t>
      </w:r>
      <w:r w:rsidRPr="00326E55">
        <w:rPr>
          <w:noProof/>
          <w:spacing w:val="-6"/>
          <w:lang w:val="sk-SK"/>
        </w:rPr>
        <w:t>ochranou verejných financií vrátane financií od EÚ.</w:t>
      </w:r>
    </w:p>
    <w:p w14:paraId="04D9E5E5" w14:textId="77777777" w:rsidR="00BF03AA" w:rsidRPr="00326E55" w:rsidRDefault="00FB452D">
      <w:pPr>
        <w:pStyle w:val="P68B1DB1-Normal38"/>
        <w:rPr>
          <w:noProof/>
          <w:spacing w:val="-6"/>
          <w:lang w:val="sk-SK"/>
        </w:rPr>
      </w:pPr>
      <w:r w:rsidRPr="00326E55">
        <w:rPr>
          <w:noProof/>
          <w:spacing w:val="-6"/>
          <w:lang w:val="sk-SK"/>
        </w:rPr>
        <w:br w:type="page"/>
      </w:r>
    </w:p>
    <w:p w14:paraId="60FE7E75" w14:textId="77777777" w:rsidR="00BF03AA" w:rsidRPr="00326E55" w:rsidRDefault="00BF03AA">
      <w:pPr>
        <w:spacing w:before="120" w:after="120" w:line="240" w:lineRule="auto"/>
        <w:jc w:val="both"/>
        <w:rPr>
          <w:rFonts w:ascii="Times New Roman" w:eastAsia="Calibri" w:hAnsi="Times New Roman" w:cs="Times New Roman"/>
          <w:noProof/>
          <w:spacing w:val="-6"/>
          <w:lang w:val="sk-SK"/>
        </w:rPr>
      </w:pPr>
    </w:p>
    <w:p w14:paraId="06279AEA" w14:textId="1308A1B5" w:rsidR="00BF03AA" w:rsidRPr="00326E55" w:rsidRDefault="00FB452D">
      <w:pPr>
        <w:pStyle w:val="P68B1DB1-Normal29"/>
        <w:numPr>
          <w:ilvl w:val="0"/>
          <w:numId w:val="178"/>
        </w:numPr>
        <w:spacing w:before="120" w:after="120" w:line="240" w:lineRule="auto"/>
        <w:jc w:val="both"/>
        <w:rPr>
          <w:noProof/>
          <w:spacing w:val="-6"/>
          <w:lang w:val="sk-SK"/>
        </w:rPr>
      </w:pPr>
      <w:r w:rsidRPr="00326E55">
        <w:rPr>
          <w:noProof/>
          <w:spacing w:val="-6"/>
          <w:lang w:val="sk-SK"/>
        </w:rPr>
        <w:t>Opatrenia na poskytnutie plného prístupu</w:t>
      </w:r>
      <w:r w:rsidR="00326E55" w:rsidRPr="00326E55">
        <w:rPr>
          <w:noProof/>
          <w:spacing w:val="-6"/>
          <w:lang w:val="sk-SK"/>
        </w:rPr>
        <w:t xml:space="preserve"> k </w:t>
      </w:r>
      <w:r w:rsidRPr="00326E55">
        <w:rPr>
          <w:noProof/>
          <w:spacing w:val="-6"/>
          <w:lang w:val="sk-SK"/>
        </w:rPr>
        <w:t>podkladovým údajom Komisii</w:t>
      </w:r>
    </w:p>
    <w:p w14:paraId="386EC65E" w14:textId="54B03481" w:rsidR="00BF03AA" w:rsidRPr="00326E55" w:rsidRDefault="00FB452D">
      <w:pPr>
        <w:pStyle w:val="P68B1DB1-Normal38"/>
        <w:spacing w:before="120" w:after="120" w:line="240" w:lineRule="auto"/>
        <w:jc w:val="both"/>
        <w:rPr>
          <w:noProof/>
          <w:spacing w:val="-6"/>
          <w:lang w:val="sk-SK"/>
        </w:rPr>
      </w:pPr>
      <w:r w:rsidRPr="00326E55">
        <w:rPr>
          <w:noProof/>
          <w:spacing w:val="-6"/>
          <w:lang w:val="sk-SK"/>
        </w:rPr>
        <w:t>S cieľom poskytnúť Komisii úplný prístup</w:t>
      </w:r>
      <w:r w:rsidR="00326E55" w:rsidRPr="00326E55">
        <w:rPr>
          <w:noProof/>
          <w:spacing w:val="-6"/>
          <w:lang w:val="sk-SK"/>
        </w:rPr>
        <w:t xml:space="preserve"> k </w:t>
      </w:r>
      <w:r w:rsidRPr="00326E55">
        <w:rPr>
          <w:noProof/>
          <w:spacing w:val="-6"/>
          <w:lang w:val="sk-SK"/>
        </w:rPr>
        <w:t>príslušným podkladovým údajom Taliansko zavedie tieto opatrenia.</w:t>
      </w:r>
    </w:p>
    <w:p w14:paraId="0CBCE94E" w14:textId="6405C4EC" w:rsidR="00BF03AA" w:rsidRPr="00326E55" w:rsidRDefault="00FB452D">
      <w:pPr>
        <w:pStyle w:val="P68B1DB1-Normal38"/>
        <w:spacing w:before="120" w:after="120" w:line="240" w:lineRule="auto"/>
        <w:jc w:val="both"/>
        <w:rPr>
          <w:noProof/>
          <w:spacing w:val="-6"/>
          <w:lang w:val="sk-SK"/>
        </w:rPr>
      </w:pPr>
      <w:r w:rsidRPr="00326E55">
        <w:rPr>
          <w:noProof/>
          <w:spacing w:val="-6"/>
          <w:lang w:val="sk-SK"/>
        </w:rPr>
        <w:t xml:space="preserve">Ministerstvo </w:t>
      </w:r>
      <w:r w:rsidRPr="00326E55">
        <w:rPr>
          <w:noProof/>
          <w:spacing w:val="-6"/>
          <w:lang w:val="sk-SK"/>
        </w:rPr>
        <w:t>hospodárstva</w:t>
      </w:r>
      <w:r w:rsidR="00326E55" w:rsidRPr="00326E55">
        <w:rPr>
          <w:noProof/>
          <w:spacing w:val="-6"/>
          <w:lang w:val="sk-SK"/>
        </w:rPr>
        <w:t xml:space="preserve"> a </w:t>
      </w:r>
      <w:r w:rsidRPr="00326E55">
        <w:rPr>
          <w:noProof/>
          <w:spacing w:val="-6"/>
          <w:lang w:val="sk-SK"/>
        </w:rPr>
        <w:t>financií pôsobí ako technická štruktúra na monitorovanie (vrátane monitorovania pokroku pri dosahovaní míľnikov</w:t>
      </w:r>
      <w:r w:rsidR="00326E55" w:rsidRPr="00326E55">
        <w:rPr>
          <w:noProof/>
          <w:spacing w:val="-6"/>
          <w:lang w:val="sk-SK"/>
        </w:rPr>
        <w:t xml:space="preserve"> a </w:t>
      </w:r>
      <w:r w:rsidRPr="00326E55">
        <w:rPr>
          <w:noProof/>
          <w:spacing w:val="-6"/>
          <w:lang w:val="sk-SK"/>
        </w:rPr>
        <w:t>cieľov)</w:t>
      </w:r>
      <w:r w:rsidR="00326E55" w:rsidRPr="00326E55">
        <w:rPr>
          <w:noProof/>
          <w:spacing w:val="-6"/>
          <w:lang w:val="sk-SK"/>
        </w:rPr>
        <w:t xml:space="preserve"> a v </w:t>
      </w:r>
      <w:r w:rsidRPr="00326E55">
        <w:rPr>
          <w:noProof/>
          <w:spacing w:val="-6"/>
          <w:lang w:val="sk-SK"/>
        </w:rPr>
        <w:t>prípade potreby na vykonávanie kontrolných</w:t>
      </w:r>
      <w:r w:rsidR="00326E55" w:rsidRPr="00326E55">
        <w:rPr>
          <w:noProof/>
          <w:spacing w:val="-6"/>
          <w:lang w:val="sk-SK"/>
        </w:rPr>
        <w:t xml:space="preserve"> a </w:t>
      </w:r>
      <w:r w:rsidRPr="00326E55">
        <w:rPr>
          <w:noProof/>
          <w:spacing w:val="-6"/>
          <w:lang w:val="sk-SK"/>
        </w:rPr>
        <w:t>audítorských činností</w:t>
      </w:r>
      <w:r w:rsidR="00326E55" w:rsidRPr="00326E55">
        <w:rPr>
          <w:noProof/>
          <w:spacing w:val="-6"/>
          <w:lang w:val="sk-SK"/>
        </w:rPr>
        <w:t xml:space="preserve"> a </w:t>
      </w:r>
      <w:r w:rsidRPr="00326E55">
        <w:rPr>
          <w:noProof/>
          <w:spacing w:val="-6"/>
          <w:lang w:val="sk-SK"/>
        </w:rPr>
        <w:t>na predkladanie správ</w:t>
      </w:r>
      <w:r w:rsidR="00326E55" w:rsidRPr="00326E55">
        <w:rPr>
          <w:noProof/>
          <w:spacing w:val="-6"/>
          <w:lang w:val="sk-SK"/>
        </w:rPr>
        <w:t xml:space="preserve"> a </w:t>
      </w:r>
      <w:r w:rsidRPr="00326E55">
        <w:rPr>
          <w:noProof/>
          <w:spacing w:val="-6"/>
          <w:lang w:val="sk-SK"/>
        </w:rPr>
        <w:t>žiadostí</w:t>
      </w:r>
      <w:r w:rsidR="00326E55" w:rsidRPr="00326E55">
        <w:rPr>
          <w:noProof/>
          <w:spacing w:val="-6"/>
          <w:lang w:val="sk-SK"/>
        </w:rPr>
        <w:t xml:space="preserve"> o </w:t>
      </w:r>
      <w:r w:rsidRPr="00326E55">
        <w:rPr>
          <w:noProof/>
          <w:spacing w:val="-6"/>
          <w:lang w:val="sk-SK"/>
        </w:rPr>
        <w:t>platby. Koo</w:t>
      </w:r>
      <w:r w:rsidRPr="00326E55">
        <w:rPr>
          <w:noProof/>
          <w:spacing w:val="-6"/>
          <w:lang w:val="sk-SK"/>
        </w:rPr>
        <w:t>rdinuje podávanie správ</w:t>
      </w:r>
      <w:r w:rsidR="00326E55" w:rsidRPr="00326E55">
        <w:rPr>
          <w:noProof/>
          <w:spacing w:val="-6"/>
          <w:lang w:val="sk-SK"/>
        </w:rPr>
        <w:t xml:space="preserve"> o </w:t>
      </w:r>
      <w:r w:rsidRPr="00326E55">
        <w:rPr>
          <w:noProof/>
          <w:spacing w:val="-6"/>
          <w:lang w:val="sk-SK"/>
        </w:rPr>
        <w:t>míľnikoch</w:t>
      </w:r>
      <w:r w:rsidR="00326E55" w:rsidRPr="00326E55">
        <w:rPr>
          <w:noProof/>
          <w:spacing w:val="-6"/>
          <w:lang w:val="sk-SK"/>
        </w:rPr>
        <w:t xml:space="preserve"> a </w:t>
      </w:r>
      <w:r w:rsidRPr="00326E55">
        <w:rPr>
          <w:noProof/>
          <w:spacing w:val="-6"/>
          <w:lang w:val="sk-SK"/>
        </w:rPr>
        <w:t>cieľoch, príslušných ukazovateľoch, ale aj kvalitatívnych finančných informáciách</w:t>
      </w:r>
      <w:r w:rsidR="00326E55" w:rsidRPr="00326E55">
        <w:rPr>
          <w:noProof/>
          <w:spacing w:val="-6"/>
          <w:lang w:val="sk-SK"/>
        </w:rPr>
        <w:t xml:space="preserve"> a </w:t>
      </w:r>
      <w:r w:rsidRPr="00326E55">
        <w:rPr>
          <w:noProof/>
          <w:spacing w:val="-6"/>
          <w:lang w:val="sk-SK"/>
        </w:rPr>
        <w:t>iných údajoch, napríklad</w:t>
      </w:r>
      <w:r w:rsidR="00326E55" w:rsidRPr="00326E55">
        <w:rPr>
          <w:noProof/>
          <w:spacing w:val="-6"/>
          <w:lang w:val="sk-SK"/>
        </w:rPr>
        <w:t xml:space="preserve"> o </w:t>
      </w:r>
      <w:r w:rsidRPr="00326E55">
        <w:rPr>
          <w:noProof/>
          <w:spacing w:val="-6"/>
          <w:lang w:val="sk-SK"/>
        </w:rPr>
        <w:t>konečných príjemcoch. Kódovanie údajov prebieha na úrovni ústredných správnych orgánov zodpovedných za opat</w:t>
      </w:r>
      <w:r w:rsidRPr="00326E55">
        <w:rPr>
          <w:noProof/>
          <w:spacing w:val="-6"/>
          <w:lang w:val="sk-SK"/>
        </w:rPr>
        <w:t>renia plánu, ktoré</w:t>
      </w:r>
      <w:r w:rsidR="00326E55" w:rsidRPr="00326E55">
        <w:rPr>
          <w:noProof/>
          <w:spacing w:val="-6"/>
          <w:lang w:val="sk-SK"/>
        </w:rPr>
        <w:t xml:space="preserve"> o </w:t>
      </w:r>
      <w:r w:rsidRPr="00326E55">
        <w:rPr>
          <w:noProof/>
          <w:spacing w:val="-6"/>
          <w:lang w:val="sk-SK"/>
        </w:rPr>
        <w:t>požadovaných údajoch informujú ministerstvo hospodárstva</w:t>
      </w:r>
      <w:r w:rsidR="00326E55" w:rsidRPr="00326E55">
        <w:rPr>
          <w:noProof/>
          <w:spacing w:val="-6"/>
          <w:lang w:val="sk-SK"/>
        </w:rPr>
        <w:t xml:space="preserve"> a </w:t>
      </w:r>
      <w:r w:rsidRPr="00326E55">
        <w:rPr>
          <w:noProof/>
          <w:spacing w:val="-6"/>
          <w:lang w:val="sk-SK"/>
        </w:rPr>
        <w:t>financií.</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článkom 24 ods. 2 nariadenia (EÚ) 2021/241 Taliansko po splnení príslušných dohodnutých míľnikov</w:t>
      </w:r>
      <w:r w:rsidR="00326E55" w:rsidRPr="00326E55">
        <w:rPr>
          <w:noProof/>
          <w:spacing w:val="-6"/>
          <w:lang w:val="sk-SK"/>
        </w:rPr>
        <w:t xml:space="preserve"> a </w:t>
      </w:r>
      <w:r w:rsidRPr="00326E55">
        <w:rPr>
          <w:noProof/>
          <w:spacing w:val="-6"/>
          <w:lang w:val="sk-SK"/>
        </w:rPr>
        <w:t>cieľov uvedených</w:t>
      </w:r>
      <w:r w:rsidR="00326E55" w:rsidRPr="00326E55">
        <w:rPr>
          <w:noProof/>
          <w:spacing w:val="-6"/>
          <w:lang w:val="sk-SK"/>
        </w:rPr>
        <w:t xml:space="preserve"> v </w:t>
      </w:r>
      <w:r w:rsidRPr="00326E55">
        <w:rPr>
          <w:noProof/>
          <w:spacing w:val="-6"/>
          <w:lang w:val="sk-SK"/>
        </w:rPr>
        <w:t>oddiele 2.1 tejto prílohy predloží Ko</w:t>
      </w:r>
      <w:r w:rsidRPr="00326E55">
        <w:rPr>
          <w:noProof/>
          <w:spacing w:val="-6"/>
          <w:lang w:val="sk-SK"/>
        </w:rPr>
        <w:t>misii riadne odôvodnenú žiadosť</w:t>
      </w:r>
      <w:r w:rsidR="00326E55" w:rsidRPr="00326E55">
        <w:rPr>
          <w:noProof/>
          <w:spacing w:val="-6"/>
          <w:lang w:val="sk-SK"/>
        </w:rPr>
        <w:t xml:space="preserve"> o </w:t>
      </w:r>
      <w:r w:rsidRPr="00326E55">
        <w:rPr>
          <w:noProof/>
          <w:spacing w:val="-6"/>
          <w:lang w:val="sk-SK"/>
        </w:rPr>
        <w:t>vyplatenie finančného príspevku</w:t>
      </w:r>
      <w:r w:rsidR="00326E55" w:rsidRPr="00326E55">
        <w:rPr>
          <w:noProof/>
          <w:spacing w:val="-6"/>
          <w:lang w:val="sk-SK"/>
        </w:rPr>
        <w:t xml:space="preserve"> a v </w:t>
      </w:r>
      <w:r w:rsidRPr="00326E55">
        <w:rPr>
          <w:noProof/>
          <w:spacing w:val="-6"/>
          <w:lang w:val="sk-SK"/>
        </w:rPr>
        <w:t>relevantnom prípade aj úveru. Taliansko zabezpečí, aby Komisia mala na požiadanie úplný prístup</w:t>
      </w:r>
      <w:r w:rsidR="00326E55" w:rsidRPr="00326E55">
        <w:rPr>
          <w:noProof/>
          <w:spacing w:val="-6"/>
          <w:lang w:val="sk-SK"/>
        </w:rPr>
        <w:t xml:space="preserve"> k </w:t>
      </w:r>
      <w:r w:rsidRPr="00326E55">
        <w:rPr>
          <w:noProof/>
          <w:spacing w:val="-6"/>
          <w:lang w:val="sk-SK"/>
        </w:rPr>
        <w:t>príslušným podkladovým údajom, ktoré podporujú riadne odôvodnenie žiadosti</w:t>
      </w:r>
      <w:r w:rsidR="00326E55" w:rsidRPr="00326E55">
        <w:rPr>
          <w:noProof/>
          <w:spacing w:val="-6"/>
          <w:lang w:val="sk-SK"/>
        </w:rPr>
        <w:t xml:space="preserve"> o </w:t>
      </w:r>
      <w:r w:rsidRPr="00326E55">
        <w:rPr>
          <w:noProof/>
          <w:spacing w:val="-6"/>
          <w:lang w:val="sk-SK"/>
        </w:rPr>
        <w:t>platbu,</w:t>
      </w:r>
      <w:r w:rsidR="00326E55" w:rsidRPr="00326E55">
        <w:rPr>
          <w:noProof/>
          <w:spacing w:val="-6"/>
          <w:lang w:val="sk-SK"/>
        </w:rPr>
        <w:t xml:space="preserve"> a </w:t>
      </w:r>
      <w:r w:rsidRPr="00326E55">
        <w:rPr>
          <w:noProof/>
          <w:spacing w:val="-6"/>
          <w:lang w:val="sk-SK"/>
        </w:rPr>
        <w:t>t</w:t>
      </w:r>
      <w:r w:rsidRPr="00326E55">
        <w:rPr>
          <w:noProof/>
          <w:spacing w:val="-6"/>
          <w:lang w:val="sk-SK"/>
        </w:rPr>
        <w:t>o na účely posúdenia žiadosti</w:t>
      </w:r>
      <w:r w:rsidR="00326E55" w:rsidRPr="00326E55">
        <w:rPr>
          <w:noProof/>
          <w:spacing w:val="-6"/>
          <w:lang w:val="sk-SK"/>
        </w:rPr>
        <w:t xml:space="preserve"> o </w:t>
      </w:r>
      <w:r w:rsidRPr="00326E55">
        <w:rPr>
          <w:noProof/>
          <w:spacing w:val="-6"/>
          <w:lang w:val="sk-SK"/>
        </w:rPr>
        <w:t>platbu</w:t>
      </w:r>
      <w:r w:rsidR="00326E55" w:rsidRPr="00326E55">
        <w:rPr>
          <w:noProof/>
          <w:spacing w:val="-6"/>
          <w:lang w:val="sk-SK"/>
        </w:rPr>
        <w:t xml:space="preserve"> v </w:t>
      </w:r>
      <w:r w:rsidRPr="00326E55">
        <w:rPr>
          <w:noProof/>
          <w:spacing w:val="-6"/>
          <w:lang w:val="sk-SK"/>
        </w:rPr>
        <w:t>súlade</w:t>
      </w:r>
      <w:r w:rsidR="00326E55" w:rsidRPr="00326E55">
        <w:rPr>
          <w:noProof/>
          <w:spacing w:val="-6"/>
          <w:lang w:val="sk-SK"/>
        </w:rPr>
        <w:t xml:space="preserve"> s </w:t>
      </w:r>
      <w:r w:rsidRPr="00326E55">
        <w:rPr>
          <w:noProof/>
          <w:spacing w:val="-6"/>
          <w:lang w:val="sk-SK"/>
        </w:rPr>
        <w:t>článkom 24 ods. 3 nariadenia (EÚ) 2021/241, ako aj na účely auditu</w:t>
      </w:r>
      <w:r w:rsidR="00326E55" w:rsidRPr="00326E55">
        <w:rPr>
          <w:noProof/>
          <w:spacing w:val="-6"/>
          <w:lang w:val="sk-SK"/>
        </w:rPr>
        <w:t xml:space="preserve"> a </w:t>
      </w:r>
      <w:r w:rsidRPr="00326E55">
        <w:rPr>
          <w:noProof/>
          <w:spacing w:val="-6"/>
          <w:lang w:val="sk-SK"/>
        </w:rPr>
        <w:t>kontroly.</w:t>
      </w:r>
    </w:p>
    <w:p w14:paraId="3E350CC9" w14:textId="77777777" w:rsidR="00BF03AA" w:rsidRPr="00326E55" w:rsidRDefault="00BF03AA">
      <w:pPr>
        <w:rPr>
          <w:rFonts w:ascii="Times New Roman" w:hAnsi="Times New Roman"/>
          <w:noProof/>
          <w:spacing w:val="-6"/>
          <w:lang w:val="sk-SK"/>
        </w:rPr>
      </w:pPr>
    </w:p>
    <w:sectPr w:rsidR="00BF03AA" w:rsidRPr="00326E55">
      <w:headerReference w:type="default" r:id="rId332"/>
      <w:footerReference w:type="default" r:id="rId3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8B07D3" w14:textId="77777777" w:rsidR="007F3033" w:rsidRDefault="007F3033">
      <w:pPr>
        <w:spacing w:after="0" w:line="240" w:lineRule="auto"/>
      </w:pPr>
      <w:r>
        <w:separator/>
      </w:r>
    </w:p>
  </w:endnote>
  <w:endnote w:type="continuationSeparator" w:id="0">
    <w:p w14:paraId="1B8706A0" w14:textId="77777777" w:rsidR="007F3033" w:rsidRDefault="007F3033">
      <w:pPr>
        <w:spacing w:after="0" w:line="240" w:lineRule="auto"/>
      </w:pPr>
      <w:r>
        <w:continuationSeparator/>
      </w:r>
    </w:p>
  </w:endnote>
  <w:endnote w:type="continuationNotice" w:id="1">
    <w:p w14:paraId="30EF6519" w14:textId="77777777" w:rsidR="007F3033" w:rsidRDefault="007F30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quot;Times New Roman&quot;,serif">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EC Square Sans Pro">
    <w:charset w:val="00"/>
    <w:family w:val="swiss"/>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CC322" w14:textId="0DD8E41D" w:rsidR="00FB452D" w:rsidRPr="00FB452D" w:rsidRDefault="00FB452D" w:rsidP="00FB452D">
    <w:pPr>
      <w:pStyle w:val="FooterCoverPage"/>
      <w:rPr>
        <w:rFonts w:ascii="Arial" w:hAnsi="Arial" w:cs="Arial"/>
        <w:b/>
        <w:sz w:val="48"/>
      </w:rPr>
    </w:pPr>
    <w:r w:rsidRPr="00FB452D">
      <w:rPr>
        <w:rFonts w:ascii="Arial" w:hAnsi="Arial" w:cs="Arial"/>
        <w:b/>
        <w:sz w:val="48"/>
      </w:rPr>
      <w:t>SK</w:t>
    </w:r>
    <w:r w:rsidRPr="00FB452D">
      <w:rPr>
        <w:rFonts w:ascii="Arial" w:hAnsi="Arial" w:cs="Arial"/>
        <w:b/>
        <w:sz w:val="48"/>
      </w:rPr>
      <w:tab/>
    </w:r>
    <w:r w:rsidRPr="00FB452D">
      <w:rPr>
        <w:rFonts w:ascii="Arial" w:hAnsi="Arial" w:cs="Arial"/>
        <w:b/>
        <w:sz w:val="48"/>
      </w:rPr>
      <w:tab/>
    </w:r>
    <w:r w:rsidRPr="00FB452D">
      <w:tab/>
    </w:r>
    <w:r w:rsidRPr="00FB452D">
      <w:rPr>
        <w:rFonts w:ascii="Arial" w:hAnsi="Arial" w:cs="Arial"/>
        <w:b/>
        <w:sz w:val="48"/>
      </w:rPr>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8A05E" w14:textId="10F06767" w:rsidR="00FB452D" w:rsidRPr="00FB452D" w:rsidRDefault="00FB452D" w:rsidP="00FB452D">
    <w:pPr>
      <w:pStyle w:val="FooterCoverPage"/>
      <w:rPr>
        <w:rFonts w:ascii="Arial" w:hAnsi="Arial" w:cs="Arial"/>
        <w:b/>
        <w:sz w:val="48"/>
      </w:rPr>
    </w:pPr>
    <w:r w:rsidRPr="00FB452D">
      <w:rPr>
        <w:rFonts w:ascii="Arial" w:hAnsi="Arial" w:cs="Arial"/>
        <w:b/>
        <w:sz w:val="48"/>
      </w:rPr>
      <w:t>SK</w:t>
    </w:r>
    <w:r w:rsidRPr="00FB452D">
      <w:rPr>
        <w:rFonts w:ascii="Arial" w:hAnsi="Arial" w:cs="Arial"/>
        <w:b/>
        <w:sz w:val="48"/>
      </w:rPr>
      <w:tab/>
    </w:r>
    <w:r w:rsidRPr="00FB452D">
      <w:rPr>
        <w:rFonts w:ascii="Arial" w:hAnsi="Arial" w:cs="Arial"/>
        <w:b/>
        <w:sz w:val="48"/>
      </w:rPr>
      <w:tab/>
    </w:r>
    <w:r w:rsidRPr="00FB452D">
      <w:tab/>
    </w:r>
    <w:r w:rsidRPr="00FB452D">
      <w:rPr>
        <w:rFonts w:ascii="Arial" w:hAnsi="Arial" w:cs="Arial"/>
        <w:b/>
        <w:sz w:val="48"/>
      </w:rPr>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D7A9F" w14:textId="77777777" w:rsidR="00FB452D" w:rsidRPr="00FB452D" w:rsidRDefault="00FB452D" w:rsidP="00FB452D">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F60F7" w14:textId="77777777" w:rsidR="00BF03AA" w:rsidRDefault="00BF03A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44638651"/>
      <w:docPartObj>
        <w:docPartGallery w:val="Page Numbers (Bottom of Page)"/>
        <w:docPartUnique/>
      </w:docPartObj>
    </w:sdtPr>
    <w:sdtEndPr/>
    <w:sdtContent>
      <w:p w14:paraId="15AFD4EF" w14:textId="2ABA094C" w:rsidR="00BF03AA" w:rsidRDefault="00FB452D">
        <w:pPr>
          <w:pStyle w:val="Footer"/>
          <w:jc w:val="center"/>
        </w:pPr>
        <w:r>
          <w:fldChar w:fldCharType="begin"/>
        </w:r>
        <w:r>
          <w:instrText xml:space="preserve"> PAGE   \* MERGEFORMAT </w:instrText>
        </w:r>
        <w:r>
          <w:fldChar w:fldCharType="separate"/>
        </w:r>
        <w:r>
          <w:rPr>
            <w:noProof/>
          </w:rPr>
          <w:t>7</w:t>
        </w:r>
        <w:r>
          <w:fldChar w:fldCharType="end"/>
        </w:r>
      </w:p>
    </w:sdtContent>
  </w:sdt>
  <w:p w14:paraId="158885D5" w14:textId="77777777" w:rsidR="00BF03AA" w:rsidRDefault="00BF03AA">
    <w:pPr>
      <w:pStyle w:val="FooterCouncil"/>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6CD63" w14:textId="77777777" w:rsidR="00BF03AA" w:rsidRDefault="00BF03A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84E9A" w14:textId="77777777" w:rsidR="00BF03AA" w:rsidRDefault="00BF03A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22449238"/>
      <w:docPartObj>
        <w:docPartGallery w:val="Page Numbers (Bottom of Page)"/>
        <w:docPartUnique/>
      </w:docPartObj>
    </w:sdtPr>
    <w:sdtEndPr/>
    <w:sdtContent>
      <w:p w14:paraId="637B417B" w14:textId="2DF54572" w:rsidR="00BF03AA" w:rsidRDefault="00FB452D">
        <w:pPr>
          <w:pStyle w:val="Footer"/>
          <w:jc w:val="center"/>
        </w:pPr>
        <w:r>
          <w:fldChar w:fldCharType="begin"/>
        </w:r>
        <w:r>
          <w:instrText xml:space="preserve"> PAGE   \* MERGEFORMAT </w:instrText>
        </w:r>
        <w:r>
          <w:fldChar w:fldCharType="separate"/>
        </w:r>
        <w:r>
          <w:rPr>
            <w:noProof/>
          </w:rPr>
          <w:t>12</w:t>
        </w:r>
        <w:r>
          <w:fldChar w:fldCharType="end"/>
        </w:r>
      </w:p>
    </w:sdtContent>
  </w:sdt>
  <w:p w14:paraId="0A8C0572" w14:textId="77777777" w:rsidR="00BF03AA" w:rsidRDefault="00BF03AA">
    <w:pPr>
      <w:pStyle w:val="FooterCouncil"/>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9FE4B" w14:textId="77777777" w:rsidR="00BF03AA" w:rsidRDefault="00BF03A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AC862" w14:textId="77777777" w:rsidR="00BF03AA" w:rsidRDefault="00BF03A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30924729"/>
      <w:docPartObj>
        <w:docPartGallery w:val="Page Numbers (Bottom of Page)"/>
        <w:docPartUnique/>
      </w:docPartObj>
    </w:sdtPr>
    <w:sdtEndPr/>
    <w:sdtContent>
      <w:p w14:paraId="1A49A47D" w14:textId="77777777" w:rsidR="00BF03AA" w:rsidRDefault="00FB452D">
        <w:pPr>
          <w:pStyle w:val="Footer"/>
          <w:jc w:val="center"/>
        </w:pPr>
        <w:r>
          <w:fldChar w:fldCharType="begin"/>
        </w:r>
        <w:r>
          <w:instrText xml:space="preserve"> PAGE   \* MERGEFORMAT </w:instrText>
        </w:r>
        <w:r>
          <w:fldChar w:fldCharType="separate"/>
        </w:r>
        <w:r>
          <w:t>125</w:t>
        </w:r>
        <w:r>
          <w:fldChar w:fldCharType="end"/>
        </w:r>
      </w:p>
    </w:sdtContent>
  </w:sdt>
  <w:p w14:paraId="1637FED8" w14:textId="77777777" w:rsidR="00BF03AA" w:rsidRDefault="00BF03AA">
    <w:pPr>
      <w:pStyle w:val="FooterCouncil"/>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D710A" w14:textId="77777777" w:rsidR="00BF03AA" w:rsidRDefault="00BF03AA">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51194635"/>
      <w:docPartObj>
        <w:docPartGallery w:val="Page Numbers (Bottom of Page)"/>
        <w:docPartUnique/>
      </w:docPartObj>
    </w:sdtPr>
    <w:sdtEndPr/>
    <w:sdtContent>
      <w:p w14:paraId="5610D547" w14:textId="77777777" w:rsidR="00326E55" w:rsidRDefault="00326E55">
        <w:pPr>
          <w:pStyle w:val="Footer"/>
          <w:jc w:val="center"/>
        </w:pPr>
        <w:r>
          <w:fldChar w:fldCharType="begin"/>
        </w:r>
        <w:r>
          <w:instrText xml:space="preserve"> PAGE   \* MERGEFORMAT </w:instrText>
        </w:r>
        <w:r>
          <w:fldChar w:fldCharType="separate"/>
        </w:r>
        <w:r>
          <w:t>125</w:t>
        </w:r>
        <w:r>
          <w:fldChar w:fldCharType="end"/>
        </w:r>
      </w:p>
    </w:sdtContent>
  </w:sdt>
  <w:p w14:paraId="5ED2D663" w14:textId="77777777" w:rsidR="00326E55" w:rsidRDefault="00326E55">
    <w:pPr>
      <w:pStyle w:val="FooterCouncil"/>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18694097"/>
      <w:docPartObj>
        <w:docPartGallery w:val="Page Numbers (Bottom of Page)"/>
        <w:docPartUnique/>
      </w:docPartObj>
    </w:sdtPr>
    <w:sdtEndPr/>
    <w:sdtContent>
      <w:p w14:paraId="63495D7B" w14:textId="77777777" w:rsidR="00326E55" w:rsidRDefault="00326E55">
        <w:pPr>
          <w:pStyle w:val="Footer"/>
          <w:jc w:val="center"/>
        </w:pPr>
        <w:r>
          <w:fldChar w:fldCharType="begin"/>
        </w:r>
        <w:r>
          <w:instrText xml:space="preserve"> PAGE   \* MERGEFORMAT </w:instrText>
        </w:r>
        <w:r>
          <w:fldChar w:fldCharType="separate"/>
        </w:r>
        <w:r>
          <w:t>125</w:t>
        </w:r>
        <w:r>
          <w:fldChar w:fldCharType="end"/>
        </w:r>
      </w:p>
    </w:sdtContent>
  </w:sdt>
  <w:p w14:paraId="1094229C" w14:textId="77777777" w:rsidR="00326E55" w:rsidRDefault="00326E55">
    <w:pPr>
      <w:pStyle w:val="FooterCouncil"/>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6284C" w14:textId="77777777" w:rsidR="00BF03AA" w:rsidRDefault="00BF03AA">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69438783"/>
      <w:docPartObj>
        <w:docPartGallery w:val="Page Numbers (Bottom of Page)"/>
        <w:docPartUnique/>
      </w:docPartObj>
    </w:sdtPr>
    <w:sdtEndPr/>
    <w:sdtContent>
      <w:p w14:paraId="0C14A3A0"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0ED5EF8B" w14:textId="77777777" w:rsidR="00BF03AA" w:rsidRDefault="00BF03AA">
    <w:pPr>
      <w:pStyle w:val="FooterCouncil"/>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8BA4C" w14:textId="77777777" w:rsidR="00BF03AA" w:rsidRDefault="00BF03AA">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4F1A" w14:textId="77777777" w:rsidR="00BF03AA" w:rsidRDefault="00BF03AA">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06992641"/>
      <w:docPartObj>
        <w:docPartGallery w:val="Page Numbers (Bottom of Page)"/>
        <w:docPartUnique/>
      </w:docPartObj>
    </w:sdtPr>
    <w:sdtEndPr/>
    <w:sdtContent>
      <w:p w14:paraId="7902460E"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67467335" w14:textId="77777777" w:rsidR="00BF03AA" w:rsidRDefault="00BF03AA">
    <w:pPr>
      <w:pStyle w:val="FooterCouncil"/>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2617F" w14:textId="77777777" w:rsidR="00BF03AA" w:rsidRDefault="00BF03AA">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1CCD6" w14:textId="77777777" w:rsidR="00BF03AA" w:rsidRDefault="00BF03AA">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71273559"/>
      <w:docPartObj>
        <w:docPartGallery w:val="Page Numbers (Bottom of Page)"/>
        <w:docPartUnique/>
      </w:docPartObj>
    </w:sdtPr>
    <w:sdtEndPr/>
    <w:sdtContent>
      <w:p w14:paraId="6D2843FF"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3CC5750A" w14:textId="77777777" w:rsidR="00BF03AA" w:rsidRDefault="00BF03AA">
    <w:pPr>
      <w:pStyle w:val="FooterCouncil"/>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DE4D3" w14:textId="77777777" w:rsidR="00BF03AA" w:rsidRDefault="00BF03AA">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899991"/>
      <w:docPartObj>
        <w:docPartGallery w:val="Page Numbers (Bottom of Page)"/>
        <w:docPartUnique/>
      </w:docPartObj>
    </w:sdtPr>
    <w:sdtEndPr/>
    <w:sdtContent>
      <w:p w14:paraId="5512B681" w14:textId="77777777" w:rsidR="00326E55" w:rsidRDefault="00326E55">
        <w:pPr>
          <w:pStyle w:val="Footer"/>
          <w:jc w:val="center"/>
        </w:pPr>
        <w:r>
          <w:fldChar w:fldCharType="begin"/>
        </w:r>
        <w:r>
          <w:instrText xml:space="preserve"> PAGE   \* MERGEFORMAT </w:instrText>
        </w:r>
        <w:r>
          <w:fldChar w:fldCharType="separate"/>
        </w:r>
        <w:r>
          <w:t>150</w:t>
        </w:r>
        <w:r>
          <w:fldChar w:fldCharType="end"/>
        </w:r>
      </w:p>
    </w:sdtContent>
  </w:sdt>
  <w:p w14:paraId="49F058EB" w14:textId="77777777" w:rsidR="00326E55" w:rsidRDefault="00326E55">
    <w:pPr>
      <w:pStyle w:val="FooterCouncil"/>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20757558"/>
      <w:docPartObj>
        <w:docPartGallery w:val="Page Numbers (Bottom of Page)"/>
        <w:docPartUnique/>
      </w:docPartObj>
    </w:sdtPr>
    <w:sdtEndPr/>
    <w:sdtContent>
      <w:p w14:paraId="2DAE1122"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09D417B4" w14:textId="77777777" w:rsidR="00BF03AA" w:rsidRDefault="00BF03AA">
    <w:pPr>
      <w:pStyle w:val="FooterCouncil"/>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EB488" w14:textId="77777777" w:rsidR="00BF03AA" w:rsidRDefault="00BF03AA">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73375581"/>
      <w:docPartObj>
        <w:docPartGallery w:val="Page Numbers (Bottom of Page)"/>
        <w:docPartUnique/>
      </w:docPartObj>
    </w:sdtPr>
    <w:sdtEndPr/>
    <w:sdtContent>
      <w:p w14:paraId="4B15B08D" w14:textId="77777777" w:rsidR="00BF03AA" w:rsidRDefault="00FB452D">
        <w:pPr>
          <w:pStyle w:val="Footer"/>
          <w:jc w:val="center"/>
        </w:pPr>
        <w:r>
          <w:fldChar w:fldCharType="begin"/>
        </w:r>
        <w:r>
          <w:instrText xml:space="preserve"> PAGE   \* MERGEFORMAT </w:instrText>
        </w:r>
        <w:r>
          <w:fldChar w:fldCharType="separate"/>
        </w:r>
        <w:r>
          <w:t>188</w:t>
        </w:r>
        <w:r>
          <w:fldChar w:fldCharType="end"/>
        </w:r>
      </w:p>
    </w:sdtContent>
  </w:sdt>
  <w:p w14:paraId="1A22EFA3" w14:textId="77777777" w:rsidR="00BF03AA" w:rsidRDefault="00BF03AA">
    <w:pPr>
      <w:pStyle w:val="FooterCouncil"/>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CF846" w14:textId="77777777" w:rsidR="00BF03AA" w:rsidRDefault="00BF03AA">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F8D3" w14:textId="77777777" w:rsidR="00BF03AA" w:rsidRDefault="00BF03AA">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17821140"/>
      <w:docPartObj>
        <w:docPartGallery w:val="Page Numbers (Bottom of Page)"/>
        <w:docPartUnique/>
      </w:docPartObj>
    </w:sdtPr>
    <w:sdtEndPr/>
    <w:sdtContent>
      <w:p w14:paraId="4AB8E351" w14:textId="77777777" w:rsidR="00BF03AA" w:rsidRDefault="00FB452D">
        <w:pPr>
          <w:pStyle w:val="Footer"/>
          <w:jc w:val="center"/>
        </w:pPr>
        <w:r>
          <w:fldChar w:fldCharType="begin"/>
        </w:r>
        <w:r>
          <w:instrText xml:space="preserve"> PAGE   \* MERGEFORMAT </w:instrText>
        </w:r>
        <w:r>
          <w:fldChar w:fldCharType="separate"/>
        </w:r>
        <w:r>
          <w:t>252</w:t>
        </w:r>
        <w:r>
          <w:fldChar w:fldCharType="end"/>
        </w:r>
      </w:p>
    </w:sdtContent>
  </w:sdt>
  <w:p w14:paraId="31F56FB2" w14:textId="77777777" w:rsidR="00BF03AA" w:rsidRDefault="00BF03AA">
    <w:pPr>
      <w:pStyle w:val="FooterCouncil"/>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C44B5" w14:textId="77777777" w:rsidR="00BF03AA" w:rsidRDefault="00BF03AA">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47697106"/>
      <w:docPartObj>
        <w:docPartGallery w:val="Page Numbers (Bottom of Page)"/>
        <w:docPartUnique/>
      </w:docPartObj>
    </w:sdtPr>
    <w:sdtEndPr/>
    <w:sdtContent>
      <w:p w14:paraId="69156DFD" w14:textId="77777777" w:rsidR="00326E55" w:rsidRDefault="00326E55">
        <w:pPr>
          <w:pStyle w:val="Footer"/>
          <w:jc w:val="center"/>
        </w:pPr>
        <w:r>
          <w:fldChar w:fldCharType="begin"/>
        </w:r>
        <w:r>
          <w:instrText xml:space="preserve"> PAGE   \* MERGEFORMAT </w:instrText>
        </w:r>
        <w:r>
          <w:fldChar w:fldCharType="separate"/>
        </w:r>
        <w:r>
          <w:t>252</w:t>
        </w:r>
        <w:r>
          <w:fldChar w:fldCharType="end"/>
        </w:r>
      </w:p>
    </w:sdtContent>
  </w:sdt>
  <w:p w14:paraId="76297E9D" w14:textId="77777777" w:rsidR="00326E55" w:rsidRDefault="00326E55">
    <w:pPr>
      <w:pStyle w:val="FooterCouncil"/>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49248382"/>
      <w:docPartObj>
        <w:docPartGallery w:val="Page Numbers (Bottom of Page)"/>
        <w:docPartUnique/>
      </w:docPartObj>
    </w:sdtPr>
    <w:sdtEndPr/>
    <w:sdtContent>
      <w:p w14:paraId="21D6FF29" w14:textId="77777777" w:rsidR="00326E55" w:rsidRDefault="00326E55">
        <w:pPr>
          <w:pStyle w:val="Footer"/>
          <w:jc w:val="center"/>
        </w:pPr>
        <w:r>
          <w:fldChar w:fldCharType="begin"/>
        </w:r>
        <w:r>
          <w:instrText xml:space="preserve"> PAGE   \* MERGEFORMAT </w:instrText>
        </w:r>
        <w:r>
          <w:fldChar w:fldCharType="separate"/>
        </w:r>
        <w:r>
          <w:t>252</w:t>
        </w:r>
        <w:r>
          <w:fldChar w:fldCharType="end"/>
        </w:r>
      </w:p>
    </w:sdtContent>
  </w:sdt>
  <w:p w14:paraId="500787F5" w14:textId="77777777" w:rsidR="00326E55" w:rsidRDefault="00326E55">
    <w:pPr>
      <w:pStyle w:val="FooterCouncil"/>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92876113"/>
      <w:docPartObj>
        <w:docPartGallery w:val="Page Numbers (Bottom of Page)"/>
        <w:docPartUnique/>
      </w:docPartObj>
    </w:sdtPr>
    <w:sdtEndPr/>
    <w:sdtContent>
      <w:p w14:paraId="24DF93D3" w14:textId="77777777" w:rsidR="00326E55" w:rsidRDefault="00326E55">
        <w:pPr>
          <w:pStyle w:val="Footer"/>
          <w:jc w:val="center"/>
        </w:pPr>
        <w:r>
          <w:fldChar w:fldCharType="begin"/>
        </w:r>
        <w:r>
          <w:instrText xml:space="preserve"> PAGE   \* MERGEFORMAT </w:instrText>
        </w:r>
        <w:r>
          <w:fldChar w:fldCharType="separate"/>
        </w:r>
        <w:r>
          <w:t>252</w:t>
        </w:r>
        <w:r>
          <w:fldChar w:fldCharType="end"/>
        </w:r>
      </w:p>
    </w:sdtContent>
  </w:sdt>
  <w:p w14:paraId="3036CB1D" w14:textId="77777777" w:rsidR="00326E55" w:rsidRDefault="00326E55">
    <w:pPr>
      <w:pStyle w:val="FooterCouncil"/>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46570126"/>
      <w:docPartObj>
        <w:docPartGallery w:val="Page Numbers (Bottom of Page)"/>
        <w:docPartUnique/>
      </w:docPartObj>
    </w:sdtPr>
    <w:sdtEndPr/>
    <w:sdtContent>
      <w:p w14:paraId="7AFD03E2" w14:textId="77777777" w:rsidR="00326E55" w:rsidRDefault="00326E55">
        <w:pPr>
          <w:pStyle w:val="Footer"/>
          <w:jc w:val="center"/>
        </w:pPr>
        <w:r>
          <w:fldChar w:fldCharType="begin"/>
        </w:r>
        <w:r>
          <w:instrText xml:space="preserve"> PAGE   \* MERGEFORMAT </w:instrText>
        </w:r>
        <w:r>
          <w:fldChar w:fldCharType="separate"/>
        </w:r>
        <w:r>
          <w:t>252</w:t>
        </w:r>
        <w:r>
          <w:fldChar w:fldCharType="end"/>
        </w:r>
      </w:p>
    </w:sdtContent>
  </w:sdt>
  <w:p w14:paraId="578AFDD8" w14:textId="77777777" w:rsidR="00326E55" w:rsidRDefault="00326E55">
    <w:pPr>
      <w:pStyle w:val="FooterCouncil"/>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98765335"/>
      <w:docPartObj>
        <w:docPartGallery w:val="Page Numbers (Bottom of Page)"/>
        <w:docPartUnique/>
      </w:docPartObj>
    </w:sdtPr>
    <w:sdtEndPr/>
    <w:sdtContent>
      <w:p w14:paraId="61B65FE8" w14:textId="77777777" w:rsidR="00326E55" w:rsidRDefault="00326E55">
        <w:pPr>
          <w:pStyle w:val="Footer"/>
          <w:jc w:val="center"/>
        </w:pPr>
        <w:r>
          <w:fldChar w:fldCharType="begin"/>
        </w:r>
        <w:r>
          <w:instrText xml:space="preserve"> PAGE   \* MERGEFORMAT </w:instrText>
        </w:r>
        <w:r>
          <w:fldChar w:fldCharType="separate"/>
        </w:r>
        <w:r>
          <w:t>252</w:t>
        </w:r>
        <w:r>
          <w:fldChar w:fldCharType="end"/>
        </w:r>
      </w:p>
    </w:sdtContent>
  </w:sdt>
  <w:p w14:paraId="2C8A20BF" w14:textId="77777777" w:rsidR="00326E55" w:rsidRDefault="00326E55">
    <w:pPr>
      <w:pStyle w:val="FooterCouncil"/>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0515B" w14:textId="77777777" w:rsidR="00BF03AA" w:rsidRDefault="00BF03AA">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04251616"/>
      <w:docPartObj>
        <w:docPartGallery w:val="Page Numbers (Bottom of Page)"/>
        <w:docPartUnique/>
      </w:docPartObj>
    </w:sdtPr>
    <w:sdtEndPr/>
    <w:sdtContent>
      <w:p w14:paraId="0037A069"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711182E1" w14:textId="77777777" w:rsidR="00BF03AA" w:rsidRDefault="00BF03AA">
    <w:pPr>
      <w:pStyle w:val="FooterCouncil"/>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EEC8" w14:textId="77777777" w:rsidR="00BF03AA" w:rsidRDefault="00BF03AA">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65E31" w14:textId="77777777" w:rsidR="00BF03AA" w:rsidRDefault="00BF03AA">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53387456"/>
      <w:docPartObj>
        <w:docPartGallery w:val="Page Numbers (Bottom of Page)"/>
        <w:docPartUnique/>
      </w:docPartObj>
    </w:sdtPr>
    <w:sdtEndPr/>
    <w:sdtContent>
      <w:p w14:paraId="7FC8B172"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514C6D41" w14:textId="77777777" w:rsidR="00BF03AA" w:rsidRDefault="00BF03AA">
    <w:pPr>
      <w:pStyle w:val="FooterCouncil"/>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22A4A" w14:textId="77777777" w:rsidR="00BF03AA" w:rsidRDefault="00BF03AA">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08437440"/>
      <w:docPartObj>
        <w:docPartGallery w:val="Page Numbers (Bottom of Page)"/>
        <w:docPartUnique/>
      </w:docPartObj>
    </w:sdtPr>
    <w:sdtEndPr/>
    <w:sdtContent>
      <w:p w14:paraId="0D1E9511" w14:textId="77777777" w:rsidR="00BF03AA" w:rsidRDefault="00FB452D">
        <w:pPr>
          <w:pStyle w:val="Footer"/>
          <w:jc w:val="center"/>
        </w:pPr>
        <w:r>
          <w:fldChar w:fldCharType="begin"/>
        </w:r>
        <w:r>
          <w:instrText xml:space="preserve"> PAGE   \* MERGEFORMAT </w:instrText>
        </w:r>
        <w:r>
          <w:fldChar w:fldCharType="separate"/>
        </w:r>
        <w:r>
          <w:t>301</w:t>
        </w:r>
        <w:r>
          <w:fldChar w:fldCharType="end"/>
        </w:r>
      </w:p>
    </w:sdtContent>
  </w:sdt>
  <w:p w14:paraId="69496CCA" w14:textId="77777777" w:rsidR="00BF03AA" w:rsidRDefault="00BF03AA">
    <w:pPr>
      <w:pStyle w:val="FooterCouncil"/>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44215269"/>
      <w:docPartObj>
        <w:docPartGallery w:val="Page Numbers (Bottom of Page)"/>
        <w:docPartUnique/>
      </w:docPartObj>
    </w:sdtPr>
    <w:sdtEndPr/>
    <w:sdtContent>
      <w:p w14:paraId="32A4697E" w14:textId="77777777" w:rsidR="00326E55" w:rsidRDefault="00326E55">
        <w:pPr>
          <w:pStyle w:val="Footer"/>
          <w:jc w:val="center"/>
        </w:pPr>
        <w:r>
          <w:fldChar w:fldCharType="begin"/>
        </w:r>
        <w:r>
          <w:instrText xml:space="preserve"> PAGE   \* MERGEFORMAT </w:instrText>
        </w:r>
        <w:r>
          <w:fldChar w:fldCharType="separate"/>
        </w:r>
        <w:r>
          <w:t>301</w:t>
        </w:r>
        <w:r>
          <w:fldChar w:fldCharType="end"/>
        </w:r>
      </w:p>
    </w:sdtContent>
  </w:sdt>
  <w:p w14:paraId="686FCEDA" w14:textId="77777777" w:rsidR="00326E55" w:rsidRDefault="00326E55">
    <w:pPr>
      <w:pStyle w:val="FooterCouncil"/>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9C194" w14:textId="77777777" w:rsidR="00BF03AA" w:rsidRDefault="00BF03AA">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83844078"/>
      <w:docPartObj>
        <w:docPartGallery w:val="Page Numbers (Bottom of Page)"/>
        <w:docPartUnique/>
      </w:docPartObj>
    </w:sdtPr>
    <w:sdtEndPr/>
    <w:sdtContent>
      <w:p w14:paraId="4C95E0B3" w14:textId="77777777" w:rsidR="00BF03AA" w:rsidRDefault="00FB452D">
        <w:pPr>
          <w:pStyle w:val="Footer"/>
          <w:jc w:val="center"/>
        </w:pPr>
        <w:r>
          <w:fldChar w:fldCharType="begin"/>
        </w:r>
        <w:r>
          <w:instrText xml:space="preserve"> PAGE   \* MERGEFORMAT </w:instrText>
        </w:r>
        <w:r>
          <w:fldChar w:fldCharType="separate"/>
        </w:r>
        <w:r>
          <w:t>303</w:t>
        </w:r>
        <w:r>
          <w:fldChar w:fldCharType="end"/>
        </w:r>
      </w:p>
    </w:sdtContent>
  </w:sdt>
  <w:p w14:paraId="2CDA133D" w14:textId="77777777" w:rsidR="00BF03AA" w:rsidRDefault="00BF03AA">
    <w:pPr>
      <w:pStyle w:val="FooterCouncil"/>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DA44F" w14:textId="77777777" w:rsidR="00BF03AA" w:rsidRDefault="00BF03AA">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5D96B" w14:textId="77777777" w:rsidR="00BF03AA" w:rsidRDefault="00BF03AA">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83001240"/>
      <w:docPartObj>
        <w:docPartGallery w:val="Page Numbers (Bottom of Page)"/>
        <w:docPartUnique/>
      </w:docPartObj>
    </w:sdtPr>
    <w:sdtEndPr/>
    <w:sdtContent>
      <w:p w14:paraId="732E22B6" w14:textId="77777777" w:rsidR="00BF03AA" w:rsidRDefault="00FB452D">
        <w:pPr>
          <w:pStyle w:val="Footer"/>
          <w:jc w:val="center"/>
        </w:pPr>
        <w:r>
          <w:fldChar w:fldCharType="begin"/>
        </w:r>
        <w:r>
          <w:instrText xml:space="preserve"> PAGE   \* MERGEFORMAT </w:instrText>
        </w:r>
        <w:r>
          <w:fldChar w:fldCharType="separate"/>
        </w:r>
        <w:r>
          <w:t>30</w:t>
        </w:r>
        <w:r>
          <w:t>5</w:t>
        </w:r>
        <w:r>
          <w:fldChar w:fldCharType="end"/>
        </w:r>
      </w:p>
    </w:sdtContent>
  </w:sdt>
  <w:p w14:paraId="4BF68858" w14:textId="77777777" w:rsidR="00BF03AA" w:rsidRDefault="00BF03AA">
    <w:pPr>
      <w:pStyle w:val="FooterCouncil"/>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D49D7" w14:textId="77777777" w:rsidR="00BF03AA" w:rsidRDefault="00BF03AA">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F72C7" w14:textId="77777777" w:rsidR="00BF03AA" w:rsidRDefault="00BF03AA">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1768562"/>
      <w:docPartObj>
        <w:docPartGallery w:val="Page Numbers (Bottom of Page)"/>
        <w:docPartUnique/>
      </w:docPartObj>
    </w:sdtPr>
    <w:sdtEndPr/>
    <w:sdtContent>
      <w:p w14:paraId="7D2ED769" w14:textId="77777777" w:rsidR="00BF03AA" w:rsidRDefault="00FB452D">
        <w:pPr>
          <w:pStyle w:val="Footer"/>
          <w:jc w:val="center"/>
        </w:pPr>
        <w:r>
          <w:fldChar w:fldCharType="begin"/>
        </w:r>
        <w:r>
          <w:instrText xml:space="preserve"> PAGE   \* MERGEFORMAT </w:instrText>
        </w:r>
        <w:r>
          <w:fldChar w:fldCharType="separate"/>
        </w:r>
        <w:r>
          <w:t>311</w:t>
        </w:r>
        <w:r>
          <w:fldChar w:fldCharType="end"/>
        </w:r>
      </w:p>
    </w:sdtContent>
  </w:sdt>
  <w:p w14:paraId="090ACE95" w14:textId="77777777" w:rsidR="00BF03AA" w:rsidRDefault="00BF03AA">
    <w:pPr>
      <w:pStyle w:val="FooterCouncil"/>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EDF68" w14:textId="77777777" w:rsidR="00BF03AA" w:rsidRDefault="00BF03AA">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89370416"/>
      <w:docPartObj>
        <w:docPartGallery w:val="Page Numbers (Bottom of Page)"/>
        <w:docPartUnique/>
      </w:docPartObj>
    </w:sdtPr>
    <w:sdtEndPr/>
    <w:sdtContent>
      <w:p w14:paraId="39CE0ABA" w14:textId="77777777" w:rsidR="00326E55" w:rsidRDefault="00326E55">
        <w:pPr>
          <w:pStyle w:val="Footer"/>
          <w:jc w:val="center"/>
        </w:pPr>
        <w:r>
          <w:fldChar w:fldCharType="begin"/>
        </w:r>
        <w:r>
          <w:instrText xml:space="preserve"> PAGE   \* MERGEFORMAT </w:instrText>
        </w:r>
        <w:r>
          <w:fldChar w:fldCharType="separate"/>
        </w:r>
        <w:r>
          <w:t>311</w:t>
        </w:r>
        <w:r>
          <w:fldChar w:fldCharType="end"/>
        </w:r>
      </w:p>
    </w:sdtContent>
  </w:sdt>
  <w:p w14:paraId="307E65AD" w14:textId="77777777" w:rsidR="00326E55" w:rsidRDefault="00326E55">
    <w:pPr>
      <w:pStyle w:val="FooterCouncil"/>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AE054" w14:textId="77777777" w:rsidR="00BF03AA" w:rsidRDefault="00BF03AA">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20093231"/>
      <w:docPartObj>
        <w:docPartGallery w:val="Page Numbers (Bottom of Page)"/>
        <w:docPartUnique/>
      </w:docPartObj>
    </w:sdtPr>
    <w:sdtEndPr/>
    <w:sdtContent>
      <w:p w14:paraId="3654EAC1" w14:textId="77777777" w:rsidR="00BF03AA" w:rsidRDefault="00FB452D">
        <w:pPr>
          <w:pStyle w:val="Footer"/>
          <w:jc w:val="center"/>
        </w:pPr>
        <w:r>
          <w:fldChar w:fldCharType="begin"/>
        </w:r>
        <w:r>
          <w:instrText xml:space="preserve"> PAGE   \* MERGEFORMAT </w:instrText>
        </w:r>
        <w:r>
          <w:fldChar w:fldCharType="separate"/>
        </w:r>
        <w:r>
          <w:t>316</w:t>
        </w:r>
        <w:r>
          <w:fldChar w:fldCharType="end"/>
        </w:r>
      </w:p>
    </w:sdtContent>
  </w:sdt>
  <w:p w14:paraId="72BEB777" w14:textId="77777777" w:rsidR="00BF03AA" w:rsidRDefault="00BF03AA">
    <w:pPr>
      <w:pStyle w:val="FooterCouncil"/>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C77A8" w14:textId="77777777" w:rsidR="00BF03AA" w:rsidRDefault="00BF03AA">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2B878" w14:textId="77777777" w:rsidR="00BF03AA" w:rsidRDefault="00BF03AA">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88578604"/>
      <w:docPartObj>
        <w:docPartGallery w:val="Page Numbers (Bottom of Page)"/>
        <w:docPartUnique/>
      </w:docPartObj>
    </w:sdtPr>
    <w:sdtEndPr/>
    <w:sdtContent>
      <w:p w14:paraId="42B3B8C4" w14:textId="77777777" w:rsidR="00BF03AA" w:rsidRDefault="00FB452D">
        <w:pPr>
          <w:pStyle w:val="Footer"/>
          <w:jc w:val="center"/>
        </w:pPr>
        <w:r>
          <w:fldChar w:fldCharType="begin"/>
        </w:r>
        <w:r>
          <w:instrText xml:space="preserve"> PAGE   \* MERGEFORMAT </w:instrText>
        </w:r>
        <w:r>
          <w:fldChar w:fldCharType="separate"/>
        </w:r>
        <w:r>
          <w:t>321</w:t>
        </w:r>
        <w:r>
          <w:fldChar w:fldCharType="end"/>
        </w:r>
      </w:p>
    </w:sdtContent>
  </w:sdt>
  <w:p w14:paraId="03C407FB" w14:textId="77777777" w:rsidR="00BF03AA" w:rsidRDefault="00BF03AA">
    <w:pPr>
      <w:pStyle w:val="FooterCouncil"/>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BDA08" w14:textId="77777777" w:rsidR="00BF03AA" w:rsidRDefault="00BF03AA">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08CF8" w14:textId="77777777" w:rsidR="00BF03AA" w:rsidRDefault="00BF03AA">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02795532"/>
      <w:docPartObj>
        <w:docPartGallery w:val="Page Numbers (Bottom of Page)"/>
        <w:docPartUnique/>
      </w:docPartObj>
    </w:sdtPr>
    <w:sdtEndPr/>
    <w:sdtContent>
      <w:p w14:paraId="12914846" w14:textId="77777777" w:rsidR="00BF03AA" w:rsidRDefault="00FB452D">
        <w:pPr>
          <w:pStyle w:val="Footer"/>
          <w:jc w:val="center"/>
        </w:pPr>
        <w:r>
          <w:fldChar w:fldCharType="begin"/>
        </w:r>
        <w:r>
          <w:instrText xml:space="preserve"> PAGE   \* MERGEFORMAT </w:instrText>
        </w:r>
        <w:r>
          <w:fldChar w:fldCharType="separate"/>
        </w:r>
        <w:r>
          <w:t>329</w:t>
        </w:r>
        <w:r>
          <w:fldChar w:fldCharType="end"/>
        </w:r>
      </w:p>
    </w:sdtContent>
  </w:sdt>
  <w:p w14:paraId="6A8E4DD0" w14:textId="77777777" w:rsidR="00BF03AA" w:rsidRDefault="00BF03AA">
    <w:pPr>
      <w:pStyle w:val="FooterCouncil"/>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6995D" w14:textId="77777777" w:rsidR="00BF03AA" w:rsidRDefault="00BF03AA">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2D269" w14:textId="77777777" w:rsidR="00BF03AA" w:rsidRDefault="00BF03AA">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20231685"/>
      <w:docPartObj>
        <w:docPartGallery w:val="Page Numbers (Bottom of Page)"/>
        <w:docPartUnique/>
      </w:docPartObj>
    </w:sdtPr>
    <w:sdtEndPr/>
    <w:sdtContent>
      <w:p w14:paraId="3571F17F" w14:textId="77777777" w:rsidR="00BF03AA" w:rsidRDefault="00FB452D">
        <w:pPr>
          <w:pStyle w:val="Footer"/>
          <w:jc w:val="center"/>
        </w:pPr>
        <w:r>
          <w:fldChar w:fldCharType="begin"/>
        </w:r>
        <w:r>
          <w:instrText xml:space="preserve"> PAGE   \* MERGEFORMAT </w:instrText>
        </w:r>
        <w:r>
          <w:fldChar w:fldCharType="separate"/>
        </w:r>
        <w:r>
          <w:t>333</w:t>
        </w:r>
        <w:r>
          <w:fldChar w:fldCharType="end"/>
        </w:r>
      </w:p>
    </w:sdtContent>
  </w:sdt>
  <w:p w14:paraId="6F4A6CCD" w14:textId="77777777" w:rsidR="00BF03AA" w:rsidRDefault="00BF03AA">
    <w:pPr>
      <w:pStyle w:val="FooterCouncil"/>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D82FD" w14:textId="77777777" w:rsidR="00BF03AA" w:rsidRDefault="00BF03AA">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A9ACB" w14:textId="77777777" w:rsidR="00BF03AA" w:rsidRDefault="00BF03AA">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99909044"/>
      <w:docPartObj>
        <w:docPartGallery w:val="Page Numbers (Bottom of Page)"/>
        <w:docPartUnique/>
      </w:docPartObj>
    </w:sdtPr>
    <w:sdtEndPr/>
    <w:sdtContent>
      <w:p w14:paraId="126C709C" w14:textId="77777777" w:rsidR="00BF03AA" w:rsidRDefault="00FB452D">
        <w:pPr>
          <w:pStyle w:val="Footer"/>
          <w:jc w:val="center"/>
        </w:pPr>
        <w:r>
          <w:fldChar w:fldCharType="begin"/>
        </w:r>
        <w:r>
          <w:instrText xml:space="preserve"> PAGE   \* MERGEFORMAT </w:instrText>
        </w:r>
        <w:r>
          <w:fldChar w:fldCharType="separate"/>
        </w:r>
        <w:r>
          <w:t>346</w:t>
        </w:r>
        <w:r>
          <w:fldChar w:fldCharType="end"/>
        </w:r>
      </w:p>
    </w:sdtContent>
  </w:sdt>
  <w:p w14:paraId="6528BDA0" w14:textId="77777777" w:rsidR="00BF03AA" w:rsidRDefault="00BF03AA">
    <w:pPr>
      <w:pStyle w:val="FooterCouncil"/>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E8AB3" w14:textId="77777777" w:rsidR="00BF03AA" w:rsidRDefault="00BF03AA">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FDFE" w14:textId="77777777" w:rsidR="00BF03AA" w:rsidRDefault="00BF03AA">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33151712"/>
      <w:docPartObj>
        <w:docPartGallery w:val="Page Numbers (Bottom of Page)"/>
        <w:docPartUnique/>
      </w:docPartObj>
    </w:sdtPr>
    <w:sdtEndPr/>
    <w:sdtContent>
      <w:p w14:paraId="496D1DD3" w14:textId="77777777" w:rsidR="00BF03AA" w:rsidRDefault="00FB452D">
        <w:pPr>
          <w:pStyle w:val="Footer"/>
          <w:jc w:val="center"/>
        </w:pPr>
        <w:r>
          <w:fldChar w:fldCharType="begin"/>
        </w:r>
        <w:r>
          <w:instrText xml:space="preserve"> PAGE   \* MERGEFORMAT </w:instrText>
        </w:r>
        <w:r>
          <w:fldChar w:fldCharType="separate"/>
        </w:r>
        <w:r>
          <w:t>348</w:t>
        </w:r>
        <w:r>
          <w:fldChar w:fldCharType="end"/>
        </w:r>
      </w:p>
    </w:sdtContent>
  </w:sdt>
  <w:p w14:paraId="7A1E035D" w14:textId="77777777" w:rsidR="00BF03AA" w:rsidRDefault="00BF03AA">
    <w:pPr>
      <w:pStyle w:val="FooterCouncil"/>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B8A8D" w14:textId="77777777" w:rsidR="00BF03AA" w:rsidRDefault="00BF03AA">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CC578" w14:textId="77777777" w:rsidR="00BF03AA" w:rsidRDefault="00BF03AA">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29649965"/>
      <w:docPartObj>
        <w:docPartGallery w:val="Page Numbers (Bottom of Page)"/>
        <w:docPartUnique/>
      </w:docPartObj>
    </w:sdtPr>
    <w:sdtEndPr/>
    <w:sdtContent>
      <w:p w14:paraId="21D91727"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2059EBF7" w14:textId="77777777" w:rsidR="00BF03AA" w:rsidRDefault="00BF03AA">
    <w:pPr>
      <w:pStyle w:val="FooterCouncil"/>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B9AE" w14:textId="77777777" w:rsidR="00BF03AA" w:rsidRDefault="00BF03AA">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23601" w14:textId="77777777" w:rsidR="00BF03AA" w:rsidRDefault="00BF03AA">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72535438"/>
      <w:docPartObj>
        <w:docPartGallery w:val="Page Numbers (Bottom of Page)"/>
        <w:docPartUnique/>
      </w:docPartObj>
    </w:sdtPr>
    <w:sdtEndPr/>
    <w:sdtContent>
      <w:p w14:paraId="4269E7DA"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73F066D1" w14:textId="77777777" w:rsidR="00BF03AA" w:rsidRDefault="00BF03AA">
    <w:pPr>
      <w:pStyle w:val="FooterCouncil"/>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2548D" w14:textId="77777777" w:rsidR="00BF03AA" w:rsidRDefault="00BF03AA">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EA315" w14:textId="77777777" w:rsidR="00BF03AA" w:rsidRDefault="00BF03AA">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38553045"/>
      <w:docPartObj>
        <w:docPartGallery w:val="Page Numbers (Bottom of Page)"/>
        <w:docPartUnique/>
      </w:docPartObj>
    </w:sdtPr>
    <w:sdtEndPr/>
    <w:sdtContent>
      <w:p w14:paraId="15941337"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6CB1D8C1" w14:textId="77777777" w:rsidR="00BF03AA" w:rsidRDefault="00BF03AA">
    <w:pPr>
      <w:pStyle w:val="FooterCouncil"/>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02A6C" w14:textId="77777777" w:rsidR="00BF03AA" w:rsidRDefault="00BF03AA">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69602965"/>
      <w:docPartObj>
        <w:docPartGallery w:val="Page Numbers (Bottom of Page)"/>
        <w:docPartUnique/>
      </w:docPartObj>
    </w:sdtPr>
    <w:sdtEndPr/>
    <w:sdtContent>
      <w:p w14:paraId="1CD0E92F" w14:textId="77777777" w:rsidR="00326E55" w:rsidRDefault="00326E55">
        <w:pPr>
          <w:pStyle w:val="Footer"/>
          <w:jc w:val="center"/>
        </w:pPr>
        <w:r>
          <w:fldChar w:fldCharType="begin"/>
        </w:r>
        <w:r>
          <w:instrText xml:space="preserve"> PAGE   \* MERGEFORMAT </w:instrText>
        </w:r>
        <w:r>
          <w:fldChar w:fldCharType="separate"/>
        </w:r>
        <w:r>
          <w:t>150</w:t>
        </w:r>
        <w:r>
          <w:fldChar w:fldCharType="end"/>
        </w:r>
      </w:p>
    </w:sdtContent>
  </w:sdt>
  <w:p w14:paraId="158E7FF3" w14:textId="77777777" w:rsidR="00326E55" w:rsidRDefault="00326E55">
    <w:pPr>
      <w:pStyle w:val="FooterCouncil"/>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FBEAB" w14:textId="77777777" w:rsidR="00BF03AA" w:rsidRDefault="00BF03AA">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0300025"/>
      <w:docPartObj>
        <w:docPartGallery w:val="Page Numbers (Bottom of Page)"/>
        <w:docPartUnique/>
      </w:docPartObj>
    </w:sdtPr>
    <w:sdtEndPr/>
    <w:sdtContent>
      <w:p w14:paraId="497E0612"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02BBBA9B" w14:textId="77777777" w:rsidR="00BF03AA" w:rsidRDefault="00BF03AA">
    <w:pPr>
      <w:pStyle w:val="FooterCouncil"/>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C5D2B" w14:textId="77777777" w:rsidR="00BF03AA" w:rsidRDefault="00BF03AA">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42337" w14:textId="77777777" w:rsidR="00BF03AA" w:rsidRDefault="00BF03AA">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6409279"/>
      <w:docPartObj>
        <w:docPartGallery w:val="Page Numbers (Bottom of Page)"/>
        <w:docPartUnique/>
      </w:docPartObj>
    </w:sdtPr>
    <w:sdtEndPr/>
    <w:sdtContent>
      <w:p w14:paraId="2708DEBA"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1A5547A9" w14:textId="77777777" w:rsidR="00BF03AA" w:rsidRDefault="00BF03AA">
    <w:pPr>
      <w:pStyle w:val="FooterCouncil"/>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FC273" w14:textId="77777777" w:rsidR="00BF03AA" w:rsidRDefault="00BF03AA">
    <w:pPr>
      <w:pStyle w:val="Footer"/>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42AB8" w14:textId="77777777" w:rsidR="00BF03AA" w:rsidRDefault="00BF03AA">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472487318"/>
      <w:docPartObj>
        <w:docPartGallery w:val="Page Numbers (Bottom of Page)"/>
        <w:docPartUnique/>
      </w:docPartObj>
    </w:sdtPr>
    <w:sdtEndPr/>
    <w:sdtContent>
      <w:p w14:paraId="015A18CA"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78759F2C" w14:textId="77777777" w:rsidR="00BF03AA" w:rsidRDefault="00BF03AA">
    <w:pPr>
      <w:pStyle w:val="FooterCouncil"/>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75E63" w14:textId="77777777" w:rsidR="00BF03AA" w:rsidRDefault="00BF03AA">
    <w:pPr>
      <w:pStyle w:val="Footer"/>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FBA72" w14:textId="77777777" w:rsidR="00BF03AA" w:rsidRDefault="00BF03AA">
    <w:pPr>
      <w:pStyle w:val="Footer"/>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30604405"/>
      <w:docPartObj>
        <w:docPartGallery w:val="Page Numbers (Bottom of Page)"/>
        <w:docPartUnique/>
      </w:docPartObj>
    </w:sdtPr>
    <w:sdtEndPr/>
    <w:sdtContent>
      <w:p w14:paraId="0FED1D7D"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16910274" w14:textId="77777777" w:rsidR="00BF03AA" w:rsidRDefault="00BF03AA">
    <w:pPr>
      <w:pStyle w:val="FooterCouncil"/>
    </w:pPr>
  </w:p>
</w:ftr>
</file>

<file path=word/footer9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1A30D" w14:textId="77777777" w:rsidR="00BF03AA" w:rsidRDefault="00BF03AA">
    <w:pPr>
      <w:pStyle w:val="Footer"/>
    </w:pPr>
  </w:p>
</w:ftr>
</file>

<file path=word/footer9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5984869"/>
      <w:docPartObj>
        <w:docPartGallery w:val="Page Numbers (Bottom of Page)"/>
        <w:docPartUnique/>
      </w:docPartObj>
    </w:sdtPr>
    <w:sdtEndPr/>
    <w:sdtContent>
      <w:p w14:paraId="0673C3AF"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2226C58D" w14:textId="77777777" w:rsidR="00BF03AA" w:rsidRDefault="00BF03AA">
    <w:pPr>
      <w:pStyle w:val="FooterCouncil"/>
    </w:pPr>
  </w:p>
</w:ftr>
</file>

<file path=word/footer9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6C09A" w14:textId="77777777" w:rsidR="00BF03AA" w:rsidRDefault="00BF03AA">
    <w:pPr>
      <w:pStyle w:val="Footer"/>
    </w:pPr>
  </w:p>
</w:ftr>
</file>

<file path=word/footer9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10333636"/>
      <w:docPartObj>
        <w:docPartGallery w:val="Page Numbers (Bottom of Page)"/>
        <w:docPartUnique/>
      </w:docPartObj>
    </w:sdtPr>
    <w:sdtEndPr/>
    <w:sdtContent>
      <w:p w14:paraId="409DFC8F"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07EEC089" w14:textId="77777777" w:rsidR="00BF03AA" w:rsidRDefault="00BF03AA">
    <w:pPr>
      <w:pStyle w:val="FooterCouncil"/>
    </w:pPr>
  </w:p>
</w:ftr>
</file>

<file path=word/footer9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D46C7" w14:textId="77777777" w:rsidR="00BF03AA" w:rsidRDefault="00BF03AA">
    <w:pPr>
      <w:pStyle w:val="Footer"/>
    </w:pPr>
  </w:p>
</w:ftr>
</file>

<file path=word/footer9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30218303"/>
      <w:docPartObj>
        <w:docPartGallery w:val="Page Numbers (Bottom of Page)"/>
        <w:docPartUnique/>
      </w:docPartObj>
    </w:sdtPr>
    <w:sdtEndPr/>
    <w:sdtContent>
      <w:p w14:paraId="286B2416"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31541DBC" w14:textId="77777777" w:rsidR="00BF03AA" w:rsidRDefault="00BF03AA">
    <w:pPr>
      <w:pStyle w:val="FooterCouncil"/>
    </w:pPr>
  </w:p>
</w:ftr>
</file>

<file path=word/footer10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20DD" w14:textId="77777777" w:rsidR="00BF03AA" w:rsidRDefault="00BF03AA">
    <w:pPr>
      <w:pStyle w:val="Footer"/>
    </w:pPr>
  </w:p>
</w:ftr>
</file>

<file path=word/footer10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85582437"/>
      <w:docPartObj>
        <w:docPartGallery w:val="Page Numbers (Bottom of Page)"/>
        <w:docPartUnique/>
      </w:docPartObj>
    </w:sdtPr>
    <w:sdtEndPr/>
    <w:sdtContent>
      <w:p w14:paraId="2671F551"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7CDCDE31" w14:textId="77777777" w:rsidR="00BF03AA" w:rsidRDefault="00BF03AA">
    <w:pPr>
      <w:pStyle w:val="FooterCouncil"/>
    </w:pPr>
  </w:p>
</w:ftr>
</file>

<file path=word/footer10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20211" w14:textId="77777777" w:rsidR="00BF03AA" w:rsidRDefault="00BF03AA">
    <w:pPr>
      <w:pStyle w:val="Footer"/>
    </w:pPr>
  </w:p>
</w:ftr>
</file>

<file path=word/footer10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FF179" w14:textId="77777777" w:rsidR="00BF03AA" w:rsidRDefault="00BF03AA">
    <w:pPr>
      <w:pStyle w:val="Footer"/>
    </w:pPr>
  </w:p>
</w:ftr>
</file>

<file path=word/footer10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73987498"/>
      <w:docPartObj>
        <w:docPartGallery w:val="Page Numbers (Bottom of Page)"/>
        <w:docPartUnique/>
      </w:docPartObj>
    </w:sdtPr>
    <w:sdtEndPr/>
    <w:sdtContent>
      <w:p w14:paraId="4EAFFB8B"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5051DA43" w14:textId="77777777" w:rsidR="00BF03AA" w:rsidRDefault="00BF03AA">
    <w:pPr>
      <w:pStyle w:val="FooterCouncil"/>
    </w:pPr>
  </w:p>
</w:ftr>
</file>

<file path=word/footer10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1DDA" w14:textId="77777777" w:rsidR="00BF03AA" w:rsidRDefault="00BF03AA">
    <w:pPr>
      <w:pStyle w:val="Footer"/>
    </w:pPr>
  </w:p>
</w:ftr>
</file>

<file path=word/footer10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CE2C1" w14:textId="77777777" w:rsidR="00BF03AA" w:rsidRDefault="00BF03AA">
    <w:pPr>
      <w:pStyle w:val="Footer"/>
    </w:pPr>
  </w:p>
</w:ftr>
</file>

<file path=word/footer10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77548900"/>
      <w:docPartObj>
        <w:docPartGallery w:val="Page Numbers (Bottom of Page)"/>
        <w:docPartUnique/>
      </w:docPartObj>
    </w:sdtPr>
    <w:sdtEndPr/>
    <w:sdtContent>
      <w:p w14:paraId="0BA6BD50"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16B96CCC" w14:textId="77777777" w:rsidR="00BF03AA" w:rsidRDefault="00BF03AA">
    <w:pPr>
      <w:pStyle w:val="FooterCouncil"/>
    </w:pPr>
  </w:p>
</w:ftr>
</file>

<file path=word/footer10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52431" w14:textId="77777777" w:rsidR="00BF03AA" w:rsidRDefault="00BF03AA">
    <w:pPr>
      <w:pStyle w:val="Footer"/>
    </w:pPr>
  </w:p>
</w:ftr>
</file>

<file path=word/footer10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35D04" w14:textId="77777777" w:rsidR="00BF03AA" w:rsidRDefault="00BF03AA">
    <w:pPr>
      <w:pStyle w:val="Footer"/>
    </w:pPr>
  </w:p>
</w:ftr>
</file>

<file path=word/footer1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977180683"/>
      <w:docPartObj>
        <w:docPartGallery w:val="Page Numbers (Bottom of Page)"/>
        <w:docPartUnique/>
      </w:docPartObj>
    </w:sdtPr>
    <w:sdtEndPr/>
    <w:sdtContent>
      <w:p w14:paraId="5AC18C2C"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4E2B6A4C" w14:textId="77777777" w:rsidR="00BF03AA" w:rsidRDefault="00BF03AA">
    <w:pPr>
      <w:pStyle w:val="FooterCouncil"/>
    </w:pPr>
  </w:p>
</w:ftr>
</file>

<file path=word/footer1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14D0D" w14:textId="77777777" w:rsidR="00BF03AA" w:rsidRDefault="00BF03AA">
    <w:pPr>
      <w:pStyle w:val="Footer"/>
    </w:pPr>
  </w:p>
</w:ftr>
</file>

<file path=word/footer1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D272B" w14:textId="77777777" w:rsidR="00BF03AA" w:rsidRDefault="00BF03AA">
    <w:pPr>
      <w:pStyle w:val="Footer"/>
    </w:pPr>
  </w:p>
</w:ftr>
</file>

<file path=word/footer1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69031883"/>
      <w:docPartObj>
        <w:docPartGallery w:val="Page Numbers (Bottom of Page)"/>
        <w:docPartUnique/>
      </w:docPartObj>
    </w:sdtPr>
    <w:sdtEndPr/>
    <w:sdtContent>
      <w:p w14:paraId="4936FD2C" w14:textId="77777777" w:rsidR="00BF03AA" w:rsidRDefault="00FB452D">
        <w:pPr>
          <w:pStyle w:val="Footer"/>
          <w:jc w:val="center"/>
        </w:pPr>
        <w:r>
          <w:fldChar w:fldCharType="begin"/>
        </w:r>
        <w:r>
          <w:instrText xml:space="preserve"> PAGE  </w:instrText>
        </w:r>
        <w:r>
          <w:instrText xml:space="preserve"> \* MERGEFORMAT </w:instrText>
        </w:r>
        <w:r>
          <w:fldChar w:fldCharType="separate"/>
        </w:r>
        <w:r>
          <w:t>150</w:t>
        </w:r>
        <w:r>
          <w:fldChar w:fldCharType="end"/>
        </w:r>
      </w:p>
    </w:sdtContent>
  </w:sdt>
  <w:p w14:paraId="5D9B6550" w14:textId="77777777" w:rsidR="00BF03AA" w:rsidRDefault="00BF03AA">
    <w:pPr>
      <w:pStyle w:val="FooterCouncil"/>
    </w:pPr>
  </w:p>
</w:ftr>
</file>

<file path=word/footer1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A219F" w14:textId="77777777" w:rsidR="00BF03AA" w:rsidRDefault="00BF03AA">
    <w:pPr>
      <w:pStyle w:val="Footer"/>
    </w:pPr>
  </w:p>
</w:ftr>
</file>

<file path=word/footer1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F7DAD" w14:textId="77777777" w:rsidR="00BF03AA" w:rsidRDefault="00BF03AA">
    <w:pPr>
      <w:pStyle w:val="Footer"/>
    </w:pPr>
  </w:p>
</w:ftr>
</file>

<file path=word/footer1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29578663"/>
      <w:docPartObj>
        <w:docPartGallery w:val="Page Numbers (Bottom of Page)"/>
        <w:docPartUnique/>
      </w:docPartObj>
    </w:sdtPr>
    <w:sdtEndPr/>
    <w:sdtContent>
      <w:p w14:paraId="73AA753C"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6D60672B" w14:textId="77777777" w:rsidR="00BF03AA" w:rsidRDefault="00BF03AA">
    <w:pPr>
      <w:pStyle w:val="FooterCouncil"/>
    </w:pPr>
  </w:p>
</w:ftr>
</file>

<file path=word/footer1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C3073" w14:textId="77777777" w:rsidR="00BF03AA" w:rsidRDefault="00BF03AA">
    <w:pPr>
      <w:pStyle w:val="Footer"/>
    </w:pPr>
  </w:p>
</w:ftr>
</file>

<file path=word/footer1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48428" w14:textId="77777777" w:rsidR="00BF03AA" w:rsidRDefault="00BF03AA">
    <w:pPr>
      <w:pStyle w:val="Footer"/>
    </w:pPr>
  </w:p>
</w:ftr>
</file>

<file path=word/footer1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86676152"/>
      <w:docPartObj>
        <w:docPartGallery w:val="Page Numbers (Bottom of Page)"/>
        <w:docPartUnique/>
      </w:docPartObj>
    </w:sdtPr>
    <w:sdtEndPr/>
    <w:sdtContent>
      <w:p w14:paraId="0C65622B"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2873CBB0" w14:textId="77777777" w:rsidR="00BF03AA" w:rsidRDefault="00BF03AA">
    <w:pPr>
      <w:pStyle w:val="FooterCouncil"/>
    </w:pPr>
  </w:p>
</w:ftr>
</file>

<file path=word/footer1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6970B" w14:textId="77777777" w:rsidR="00BF03AA" w:rsidRDefault="00BF03AA">
    <w:pPr>
      <w:pStyle w:val="Footer"/>
    </w:pPr>
  </w:p>
</w:ftr>
</file>

<file path=word/footer1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C8D67" w14:textId="77777777" w:rsidR="00BF03AA" w:rsidRDefault="00BF03AA">
    <w:pPr>
      <w:pStyle w:val="Footer"/>
    </w:pPr>
  </w:p>
</w:ftr>
</file>

<file path=word/footer1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4835686"/>
      <w:docPartObj>
        <w:docPartGallery w:val="Page Numbers (Bottom of Page)"/>
        <w:docPartUnique/>
      </w:docPartObj>
    </w:sdtPr>
    <w:sdtEndPr/>
    <w:sdtContent>
      <w:p w14:paraId="73676C06"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61A821A2" w14:textId="77777777" w:rsidR="00BF03AA" w:rsidRDefault="00BF03AA">
    <w:pPr>
      <w:pStyle w:val="FooterCouncil"/>
    </w:pPr>
  </w:p>
</w:ftr>
</file>

<file path=word/footer1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1B537" w14:textId="77777777" w:rsidR="00BF03AA" w:rsidRDefault="00BF03AA">
    <w:pPr>
      <w:pStyle w:val="Footer"/>
    </w:pPr>
  </w:p>
</w:ftr>
</file>

<file path=word/footer1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794D1" w14:textId="77777777" w:rsidR="00BF03AA" w:rsidRDefault="00BF03AA">
    <w:pPr>
      <w:pStyle w:val="Footer"/>
    </w:pPr>
  </w:p>
</w:ftr>
</file>

<file path=word/footer1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0979719"/>
      <w:docPartObj>
        <w:docPartGallery w:val="Page Numbers (Bottom of Page)"/>
        <w:docPartUnique/>
      </w:docPartObj>
    </w:sdtPr>
    <w:sdtEndPr/>
    <w:sdtContent>
      <w:p w14:paraId="655EDE84"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038B4C4B" w14:textId="77777777" w:rsidR="00BF03AA" w:rsidRDefault="00BF03AA">
    <w:pPr>
      <w:pStyle w:val="FooterCouncil"/>
    </w:pPr>
  </w:p>
</w:ftr>
</file>

<file path=word/footer1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F1292" w14:textId="77777777" w:rsidR="00BF03AA" w:rsidRDefault="00BF03AA">
    <w:pPr>
      <w:pStyle w:val="Footer"/>
    </w:pPr>
  </w:p>
</w:ftr>
</file>

<file path=word/footer1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A4A9D" w14:textId="77777777" w:rsidR="00BF03AA" w:rsidRDefault="00BF03AA">
    <w:pPr>
      <w:pStyle w:val="Footer"/>
    </w:pPr>
  </w:p>
</w:ftr>
</file>

<file path=word/footer1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14969950"/>
      <w:docPartObj>
        <w:docPartGallery w:val="Page Numbers (Bottom of Page)"/>
        <w:docPartUnique/>
      </w:docPartObj>
    </w:sdtPr>
    <w:sdtEndPr/>
    <w:sdtContent>
      <w:p w14:paraId="0C2DC4F2"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52E91CEE" w14:textId="77777777" w:rsidR="00BF03AA" w:rsidRDefault="00BF03AA">
    <w:pPr>
      <w:pStyle w:val="FooterCouncil"/>
    </w:pPr>
  </w:p>
</w:ftr>
</file>

<file path=word/footer1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39920" w14:textId="77777777" w:rsidR="00BF03AA" w:rsidRDefault="00BF03AA">
    <w:pPr>
      <w:pStyle w:val="Footer"/>
    </w:pPr>
  </w:p>
</w:ftr>
</file>

<file path=word/footer1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FE8AA" w14:textId="77777777" w:rsidR="00BF03AA" w:rsidRDefault="00BF03AA">
    <w:pPr>
      <w:pStyle w:val="Footer"/>
    </w:pPr>
  </w:p>
</w:ftr>
</file>

<file path=word/footer1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4695283"/>
      <w:docPartObj>
        <w:docPartGallery w:val="Page Numbers (Bottom of Page)"/>
        <w:docPartUnique/>
      </w:docPartObj>
    </w:sdtPr>
    <w:sdtEndPr/>
    <w:sdtContent>
      <w:p w14:paraId="6FC1DFB2"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7BAF95A3" w14:textId="77777777" w:rsidR="00BF03AA" w:rsidRDefault="00BF03AA">
    <w:pPr>
      <w:pStyle w:val="FooterCouncil"/>
    </w:pPr>
  </w:p>
</w:ftr>
</file>

<file path=word/footer1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17BE2" w14:textId="77777777" w:rsidR="00BF03AA" w:rsidRDefault="00BF03AA">
    <w:pPr>
      <w:pStyle w:val="Footer"/>
    </w:pPr>
  </w:p>
</w:ftr>
</file>

<file path=word/footer1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54511586"/>
      <w:docPartObj>
        <w:docPartGallery w:val="Page Numbers (Bottom of Page)"/>
        <w:docPartUnique/>
      </w:docPartObj>
    </w:sdtPr>
    <w:sdtEndPr/>
    <w:sdtContent>
      <w:p w14:paraId="713BEEE0"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23480867" w14:textId="77777777" w:rsidR="00BF03AA" w:rsidRDefault="00BF03AA">
    <w:pPr>
      <w:pStyle w:val="FooterCouncil"/>
    </w:pPr>
  </w:p>
</w:ftr>
</file>

<file path=word/footer1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9EC3C" w14:textId="77777777" w:rsidR="00BF03AA" w:rsidRDefault="00BF03AA">
    <w:pPr>
      <w:pStyle w:val="Footer"/>
    </w:pPr>
  </w:p>
</w:ftr>
</file>

<file path=word/footer1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4108887"/>
      <w:docPartObj>
        <w:docPartGallery w:val="Page Numbers (Bottom of Page)"/>
        <w:docPartUnique/>
      </w:docPartObj>
    </w:sdtPr>
    <w:sdtEndPr/>
    <w:sdtContent>
      <w:p w14:paraId="1D450129"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7B4A47CD" w14:textId="77777777" w:rsidR="00BF03AA" w:rsidRDefault="00BF03AA">
    <w:pPr>
      <w:pStyle w:val="FooterCouncil"/>
    </w:pPr>
  </w:p>
</w:ftr>
</file>

<file path=word/footer1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4EEE6" w14:textId="77777777" w:rsidR="00BF03AA" w:rsidRDefault="00BF03AA">
    <w:pPr>
      <w:pStyle w:val="Footer"/>
    </w:pPr>
  </w:p>
</w:ftr>
</file>

<file path=word/footer1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14FF9" w14:textId="77777777" w:rsidR="00BF03AA" w:rsidRDefault="00BF03AA">
    <w:pPr>
      <w:pStyle w:val="Footer"/>
    </w:pPr>
  </w:p>
</w:ftr>
</file>

<file path=word/footer1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84245955"/>
      <w:docPartObj>
        <w:docPartGallery w:val="Page Numbers (Bottom of Page)"/>
        <w:docPartUnique/>
      </w:docPartObj>
    </w:sdtPr>
    <w:sdtEndPr/>
    <w:sdtContent>
      <w:p w14:paraId="7CDF7A54"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2464DBE8" w14:textId="77777777" w:rsidR="00BF03AA" w:rsidRDefault="00BF03AA">
    <w:pPr>
      <w:pStyle w:val="FooterCouncil"/>
    </w:pPr>
  </w:p>
</w:ftr>
</file>

<file path=word/footer1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878E5" w14:textId="77777777" w:rsidR="00BF03AA" w:rsidRDefault="00BF03AA">
    <w:pPr>
      <w:pStyle w:val="Footer"/>
    </w:pPr>
  </w:p>
</w:ftr>
</file>

<file path=word/footer1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28630" w14:textId="77777777" w:rsidR="00BF03AA" w:rsidRDefault="00BF03AA">
    <w:pPr>
      <w:pStyle w:val="Footer"/>
    </w:pPr>
  </w:p>
</w:ftr>
</file>

<file path=word/footer1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91572551"/>
      <w:docPartObj>
        <w:docPartGallery w:val="Page Numbers (Bottom of Page)"/>
        <w:docPartUnique/>
      </w:docPartObj>
    </w:sdtPr>
    <w:sdtEndPr/>
    <w:sdtContent>
      <w:p w14:paraId="1D52D1F4"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0D4D32D8" w14:textId="77777777" w:rsidR="00BF03AA" w:rsidRDefault="00BF03AA">
    <w:pPr>
      <w:pStyle w:val="FooterCouncil"/>
    </w:pPr>
  </w:p>
</w:ftr>
</file>

<file path=word/footer1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FD3AE" w14:textId="77777777" w:rsidR="00BF03AA" w:rsidRDefault="00BF03AA">
    <w:pPr>
      <w:pStyle w:val="Footer"/>
    </w:pPr>
  </w:p>
</w:ftr>
</file>

<file path=word/footer1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8E949" w14:textId="77777777" w:rsidR="00BF03AA" w:rsidRDefault="00BF03AA">
    <w:pPr>
      <w:pStyle w:val="Footer"/>
    </w:pPr>
  </w:p>
</w:ftr>
</file>

<file path=word/footer1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04122785"/>
      <w:docPartObj>
        <w:docPartGallery w:val="Page Numbers (Bottom of Page)"/>
        <w:docPartUnique/>
      </w:docPartObj>
    </w:sdtPr>
    <w:sdtEndPr/>
    <w:sdtContent>
      <w:p w14:paraId="2F9B1B9E"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6C7F4E98" w14:textId="77777777" w:rsidR="00BF03AA" w:rsidRDefault="00BF03AA">
    <w:pPr>
      <w:pStyle w:val="FooterCouncil"/>
    </w:pPr>
  </w:p>
</w:ftr>
</file>

<file path=word/footer1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951BB" w14:textId="77777777" w:rsidR="00BF03AA" w:rsidRDefault="00BF03AA">
    <w:pPr>
      <w:pStyle w:val="Footer"/>
    </w:pPr>
  </w:p>
</w:ftr>
</file>

<file path=word/footer1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CC395" w14:textId="77777777" w:rsidR="00BF03AA" w:rsidRDefault="00BF03AA">
    <w:pPr>
      <w:pStyle w:val="Footer"/>
    </w:pPr>
  </w:p>
</w:ftr>
</file>

<file path=word/footer1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78580418"/>
      <w:docPartObj>
        <w:docPartGallery w:val="Page Numbers (Bottom of Page)"/>
        <w:docPartUnique/>
      </w:docPartObj>
    </w:sdtPr>
    <w:sdtEndPr/>
    <w:sdtContent>
      <w:p w14:paraId="725D276A" w14:textId="77777777" w:rsidR="00BF03AA" w:rsidRDefault="00FB452D">
        <w:pPr>
          <w:pStyle w:val="Footer"/>
          <w:jc w:val="center"/>
        </w:pPr>
        <w:r>
          <w:fldChar w:fldCharType="begin"/>
        </w:r>
        <w:r>
          <w:instrText xml:space="preserve"> PA</w:instrText>
        </w:r>
        <w:r>
          <w:instrText xml:space="preserve">GE   \* MERGEFORMAT </w:instrText>
        </w:r>
        <w:r>
          <w:fldChar w:fldCharType="separate"/>
        </w:r>
        <w:r>
          <w:t>150</w:t>
        </w:r>
        <w:r>
          <w:fldChar w:fldCharType="end"/>
        </w:r>
      </w:p>
    </w:sdtContent>
  </w:sdt>
  <w:p w14:paraId="7ABE0E4E" w14:textId="77777777" w:rsidR="00BF03AA" w:rsidRDefault="00BF03AA">
    <w:pPr>
      <w:pStyle w:val="FooterCouncil"/>
    </w:pPr>
  </w:p>
</w:ftr>
</file>

<file path=word/footer1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B2F55" w14:textId="77777777" w:rsidR="00BF03AA" w:rsidRDefault="00BF03AA">
    <w:pPr>
      <w:pStyle w:val="Footer"/>
    </w:pPr>
  </w:p>
</w:ftr>
</file>

<file path=word/footer1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E26CF" w14:textId="77777777" w:rsidR="00BF03AA" w:rsidRDefault="00BF03AA">
    <w:pPr>
      <w:pStyle w:val="Footer"/>
    </w:pPr>
  </w:p>
</w:ftr>
</file>

<file path=word/footer1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35876722"/>
      <w:docPartObj>
        <w:docPartGallery w:val="Page Numbers (Bottom of Page)"/>
        <w:docPartUnique/>
      </w:docPartObj>
    </w:sdtPr>
    <w:sdtEndPr/>
    <w:sdtContent>
      <w:p w14:paraId="6157DFA4"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032B8BC5" w14:textId="77777777" w:rsidR="00BF03AA" w:rsidRDefault="00BF03AA">
    <w:pPr>
      <w:pStyle w:val="Footer"/>
    </w:pPr>
  </w:p>
</w:ftr>
</file>

<file path=word/footer1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BAD08" w14:textId="77777777" w:rsidR="00BF03AA" w:rsidRDefault="00BF03AA">
    <w:pPr>
      <w:pStyle w:val="Footer"/>
    </w:pPr>
  </w:p>
</w:ftr>
</file>

<file path=word/footer1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5F132" w14:textId="77777777" w:rsidR="00BF03AA" w:rsidRDefault="00BF03AA">
    <w:pPr>
      <w:pStyle w:val="Footer"/>
    </w:pPr>
  </w:p>
</w:ftr>
</file>

<file path=word/footer1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17611416"/>
      <w:docPartObj>
        <w:docPartGallery w:val="Page Numbers (Bottom of Page)"/>
        <w:docPartUnique/>
      </w:docPartObj>
    </w:sdtPr>
    <w:sdtEndPr/>
    <w:sdtContent>
      <w:p w14:paraId="528D6C66"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16845681" w14:textId="77777777" w:rsidR="00BF03AA" w:rsidRDefault="00BF03AA">
    <w:pPr>
      <w:pStyle w:val="FooterCouncil"/>
    </w:pPr>
  </w:p>
</w:ftr>
</file>

<file path=word/footer1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89133" w14:textId="77777777" w:rsidR="00BF03AA" w:rsidRDefault="00BF03AA">
    <w:pPr>
      <w:pStyle w:val="Footer"/>
    </w:pPr>
  </w:p>
</w:ftr>
</file>

<file path=word/footer1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65493268"/>
      <w:docPartObj>
        <w:docPartGallery w:val="Page Numbers (Bottom of Page)"/>
        <w:docPartUnique/>
      </w:docPartObj>
    </w:sdtPr>
    <w:sdtEndPr/>
    <w:sdtContent>
      <w:p w14:paraId="1FBA63FF"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4C9AED66" w14:textId="77777777" w:rsidR="00BF03AA" w:rsidRDefault="00BF03AA">
    <w:pPr>
      <w:pStyle w:val="FooterCouncil"/>
    </w:pPr>
  </w:p>
</w:ftr>
</file>

<file path=word/footer1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12C3" w14:textId="77777777" w:rsidR="00BF03AA" w:rsidRDefault="00BF03AA">
    <w:pPr>
      <w:pStyle w:val="Footer"/>
    </w:pPr>
  </w:p>
</w:ftr>
</file>

<file path=word/footer1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7860876"/>
      <w:docPartObj>
        <w:docPartGallery w:val="Page Numbers (Bottom of Page)"/>
        <w:docPartUnique/>
      </w:docPartObj>
    </w:sdtPr>
    <w:sdtEndPr/>
    <w:sdtContent>
      <w:p w14:paraId="062A5B08"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21F2EF04" w14:textId="77777777" w:rsidR="00BF03AA" w:rsidRDefault="00BF03AA">
    <w:pPr>
      <w:pStyle w:val="FooterCouncil"/>
    </w:pPr>
  </w:p>
</w:ftr>
</file>

<file path=word/footer1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18F57" w14:textId="77777777" w:rsidR="00BF03AA" w:rsidRDefault="00BF03AA">
    <w:pPr>
      <w:pStyle w:val="Footer"/>
    </w:pPr>
  </w:p>
</w:ftr>
</file>

<file path=word/footer1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0655814"/>
      <w:docPartObj>
        <w:docPartGallery w:val="Page Numbers (Bottom of Page)"/>
        <w:docPartUnique/>
      </w:docPartObj>
    </w:sdtPr>
    <w:sdtEndPr/>
    <w:sdtContent>
      <w:p w14:paraId="2BF760B5" w14:textId="77777777" w:rsidR="00326E55" w:rsidRDefault="00326E55">
        <w:pPr>
          <w:pStyle w:val="Footer"/>
          <w:jc w:val="center"/>
        </w:pPr>
        <w:r>
          <w:fldChar w:fldCharType="begin"/>
        </w:r>
        <w:r>
          <w:instrText xml:space="preserve"> PAGE   \* MERGEFORMAT </w:instrText>
        </w:r>
        <w:r>
          <w:fldChar w:fldCharType="separate"/>
        </w:r>
        <w:r>
          <w:t>150</w:t>
        </w:r>
        <w:r>
          <w:fldChar w:fldCharType="end"/>
        </w:r>
      </w:p>
    </w:sdtContent>
  </w:sdt>
  <w:p w14:paraId="4C45BBFF" w14:textId="77777777" w:rsidR="00326E55" w:rsidRDefault="00326E55">
    <w:pPr>
      <w:pStyle w:val="FooterCouncil"/>
    </w:pPr>
  </w:p>
</w:ftr>
</file>

<file path=word/footer1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65108023"/>
      <w:docPartObj>
        <w:docPartGallery w:val="Page Numbers (Bottom of Page)"/>
        <w:docPartUnique/>
      </w:docPartObj>
    </w:sdtPr>
    <w:sdtEndPr/>
    <w:sdtContent>
      <w:p w14:paraId="163D7DEC" w14:textId="77777777" w:rsidR="00BF03AA" w:rsidRDefault="00FB452D">
        <w:pPr>
          <w:pStyle w:val="Footer"/>
          <w:jc w:val="center"/>
        </w:pPr>
        <w:r>
          <w:fldChar w:fldCharType="begin"/>
        </w:r>
        <w:r>
          <w:instrText xml:space="preserve"> PAGE   \* MERGEFORMAT </w:instrText>
        </w:r>
        <w:r>
          <w:fldChar w:fldCharType="separate"/>
        </w:r>
        <w:r>
          <w:t>150</w:t>
        </w:r>
        <w:r>
          <w:fldChar w:fldCharType="end"/>
        </w:r>
      </w:p>
    </w:sdtContent>
  </w:sdt>
  <w:p w14:paraId="5014921D" w14:textId="77777777" w:rsidR="00BF03AA" w:rsidRDefault="00BF03AA">
    <w:pPr>
      <w:pStyle w:val="FooterCounci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01C9E" w14:textId="77777777" w:rsidR="007F3033" w:rsidRDefault="007F3033">
      <w:pPr>
        <w:spacing w:after="0" w:line="240" w:lineRule="auto"/>
      </w:pPr>
      <w:r>
        <w:separator/>
      </w:r>
    </w:p>
  </w:footnote>
  <w:footnote w:type="continuationSeparator" w:id="0">
    <w:p w14:paraId="7D2C9C73" w14:textId="77777777" w:rsidR="007F3033" w:rsidRDefault="007F3033">
      <w:pPr>
        <w:spacing w:after="0" w:line="240" w:lineRule="auto"/>
      </w:pPr>
      <w:r>
        <w:continuationSeparator/>
      </w:r>
    </w:p>
  </w:footnote>
  <w:footnote w:type="continuationNotice" w:id="1">
    <w:p w14:paraId="0D44D862" w14:textId="77777777" w:rsidR="007F3033" w:rsidRDefault="007F3033">
      <w:pPr>
        <w:spacing w:after="0" w:line="240" w:lineRule="auto"/>
      </w:pPr>
    </w:p>
  </w:footnote>
  <w:footnote w:id="2">
    <w:p w14:paraId="364F768C" w14:textId="77777777" w:rsidR="00BF03AA" w:rsidRDefault="00FB452D">
      <w:pPr>
        <w:spacing w:after="0" w:line="240" w:lineRule="auto"/>
        <w:jc w:val="both"/>
        <w:rPr>
          <w:rFonts w:ascii="Times New Roman" w:hAnsi="Times New Roman" w:cs="Times New Roman"/>
          <w:sz w:val="20"/>
          <w:szCs w:val="20"/>
        </w:rPr>
      </w:pPr>
      <w:r>
        <w:footnoteRef/>
      </w:r>
      <w:r>
        <w:t xml:space="preserve"> </w:t>
      </w:r>
      <w:r>
        <w:rPr>
          <w:rFonts w:ascii="Times New Roman" w:hAnsi="Times New Roman" w:cs="Times New Roman"/>
          <w:sz w:val="20"/>
          <w:szCs w:val="20"/>
        </w:rPr>
        <w:t>Okrem projektov v rámci tohto opatrenia v oblasti výroby elektrickej energie a/alebo</w:t>
      </w:r>
      <w:r>
        <w:rPr>
          <w:rFonts w:ascii="Times New Roman" w:hAnsi="Times New Roman" w:cs="Times New Roman"/>
          <w:sz w:val="20"/>
          <w:szCs w:val="20"/>
        </w:rPr>
        <w:t xml:space="preserve"> tepla, ako aj súvisiacej prenosovej a distribučnej infraštruktúry využívajúcej zemný plyn, ktoré spĺňajú podmienky stanovené v prílohe III k technickému usmerneniu „nespôsobiť žiadne významné škody“ (2021/C58/01).</w:t>
      </w:r>
    </w:p>
  </w:footnote>
  <w:footnote w:id="3">
    <w:p w14:paraId="21839C26" w14:textId="77777777" w:rsidR="00BF03AA" w:rsidRDefault="00FB452D">
      <w:pPr>
        <w:pStyle w:val="P68B1DB1-Normal113"/>
        <w:spacing w:after="0" w:line="240" w:lineRule="auto"/>
        <w:jc w:val="both"/>
        <w:rPr>
          <w:szCs w:val="20"/>
        </w:rPr>
      </w:pPr>
      <w:r>
        <w:rPr>
          <w:rFonts w:ascii="Times New Roman" w:hAnsi="Times New Roman" w:cs="Times New Roman"/>
          <w:szCs w:val="20"/>
        </w:rPr>
        <w:footnoteRef/>
      </w:r>
      <w:r>
        <w:rPr>
          <w:rFonts w:ascii="Times New Roman" w:hAnsi="Times New Roman" w:cs="Times New Roman"/>
          <w:szCs w:val="20"/>
        </w:rPr>
        <w:t xml:space="preserve"> Ak sa v rámci podporovanej činnosti dos</w:t>
      </w:r>
      <w:r>
        <w:rPr>
          <w:rFonts w:ascii="Times New Roman" w:hAnsi="Times New Roman" w:cs="Times New Roman"/>
          <w:szCs w:val="20"/>
        </w:rPr>
        <w:t>iahnu predpokladané emisie skleníkových plynov, ktoré nie sú výrazne nižšie ako príslušné referenčné hodnoty, malo by sa poskytnúť vysvetlenie dôvodov, prečo to nie je možné. Referenčné hodnoty stanovené</w:t>
      </w:r>
      <w:r>
        <w:t xml:space="preserve"> </w:t>
      </w:r>
      <w:r>
        <w:rPr>
          <w:rFonts w:ascii="Times New Roman" w:hAnsi="Times New Roman" w:cs="Times New Roman"/>
          <w:szCs w:val="20"/>
        </w:rPr>
        <w:t>pre bezodplatné prideľovanie kvót pre činnosti, ktor</w:t>
      </w:r>
      <w:r>
        <w:rPr>
          <w:rFonts w:ascii="Times New Roman" w:hAnsi="Times New Roman" w:cs="Times New Roman"/>
          <w:szCs w:val="20"/>
        </w:rPr>
        <w:t>é patria do rozsahu pôsobnosti systému obchodovania s emisiami, ako sa stanovuje vo vykonávacom nariadení Komisie (EÚ) 2021/447.</w:t>
      </w:r>
    </w:p>
  </w:footnote>
  <w:footnote w:id="4">
    <w:p w14:paraId="510A15A0" w14:textId="77777777" w:rsidR="00BF03AA" w:rsidRDefault="00FB452D">
      <w:pPr>
        <w:spacing w:after="0" w:line="240" w:lineRule="auto"/>
        <w:jc w:val="both"/>
        <w:rPr>
          <w:rFonts w:ascii="Times New Roman" w:hAnsi="Times New Roman" w:cs="Times New Roman"/>
          <w:sz w:val="20"/>
          <w:szCs w:val="20"/>
        </w:rPr>
      </w:pPr>
      <w:r>
        <w:footnoteRef/>
      </w:r>
      <w:r>
        <w:t xml:space="preserve"> </w:t>
      </w:r>
      <w:r>
        <w:rPr>
          <w:rFonts w:ascii="Times New Roman" w:hAnsi="Times New Roman" w:cs="Times New Roman"/>
          <w:sz w:val="20"/>
          <w:szCs w:val="20"/>
        </w:rPr>
        <w:t>Toto vylúčenie sa nevzťahuje na činnosti v rámci tohto opatrenia v zariadeniach určených výlučne na spracovanie nerecyklovate</w:t>
      </w:r>
      <w:r>
        <w:rPr>
          <w:rFonts w:ascii="Times New Roman" w:hAnsi="Times New Roman" w:cs="Times New Roman"/>
          <w:sz w:val="20"/>
          <w:szCs w:val="20"/>
        </w:rPr>
        <w:t xml:space="preserve">ľného nebezpečného odpadu a na existujúce zariadenia, ak sú činnosti v rámci tohto opatrenia zamerané na zvýšenie energetickej účinnosti, zachytávanie výfukových plynov na skladovanie alebo používanie alebo zhodnocovanie materiálov zo spaľovania popola za </w:t>
      </w:r>
      <w:r>
        <w:rPr>
          <w:rFonts w:ascii="Times New Roman" w:hAnsi="Times New Roman" w:cs="Times New Roman"/>
          <w:sz w:val="20"/>
          <w:szCs w:val="20"/>
        </w:rPr>
        <w:t>predpokladu, že takéto opatrenia v rámci tohto opatrenia nevedú k zvýšeniu kapacity zariadení na spracovanie odpadu alebo k predĺženiu životnosti zariadení; v prípade ktorých sa poskytujú dôkazy na úrovni zariadenia.</w:t>
      </w:r>
    </w:p>
  </w:footnote>
  <w:footnote w:id="5">
    <w:p w14:paraId="0AEC8155" w14:textId="77777777" w:rsidR="00BF03AA" w:rsidRDefault="00FB452D">
      <w:pPr>
        <w:pStyle w:val="P68B1DB1-Normal126"/>
        <w:spacing w:after="0" w:line="240" w:lineRule="auto"/>
        <w:jc w:val="both"/>
      </w:pPr>
      <w:r>
        <w:footnoteRef/>
      </w:r>
      <w:r>
        <w:t xml:space="preserve"> Toto vylúčenie sa nevzťahuje na akcie</w:t>
      </w:r>
      <w:r>
        <w:t xml:space="preserve"> v rámci tohto opatrenia v existujúcich zariadeniach na mechanické biologické spracovanie, ak sú činnosti v rámci tohto opatrenia zamerané na zvýšenie energetickej účinnosti alebo prispôsobenie triedeného odpadu na činnosti recyklácie kompostovaného biolog</w:t>
      </w:r>
      <w:r>
        <w:t>ického odpadu a anaeróbnej digescie biologického odpadu za predpokladu, že takéto opatrenia v rámci tohto opatrenia nevedú k zvýšeniu kapacity zariadení na spracovanie odpadu alebo k predĺženiu životnosti zariadení; v prípade ktorých sa poskytujú dôkazy na</w:t>
      </w:r>
      <w:r>
        <w:t xml:space="preserve"> úrovni zariadenia.</w:t>
      </w:r>
    </w:p>
  </w:footnote>
  <w:footnote w:id="6">
    <w:p w14:paraId="2E2A4411" w14:textId="77777777" w:rsidR="00BF03AA" w:rsidRDefault="00FB452D">
      <w:pPr>
        <w:pStyle w:val="FootnoteText"/>
        <w:ind w:left="0" w:firstLine="0"/>
      </w:pPr>
      <w:r>
        <w:rPr>
          <w:rStyle w:val="FootnoteReference"/>
        </w:rPr>
        <w:footnoteRef/>
      </w:r>
      <w:r>
        <w:t xml:space="preserve"> S výnimkou a) aktív a činností pri výrobe elektriny a/alebo tepla, ako aj súvisiacej prenosovej a distribučnej infraštruktúry využívajúcej zemný plyn, ktoré sú v súlade s podmienkami stanovenými v prílohe III k technickému usmerneniu </w:t>
      </w:r>
      <w:r>
        <w:t>„výrazne nenarušiť“ (2021/C58/01) a b) činností a aktív podľa bodu ii), v prípade ktorých je používanie fosílnych palív dočasné a technicky nevyhnutné na včasný prechod na prevádzku bez fosílnych palív.</w:t>
      </w:r>
    </w:p>
  </w:footnote>
  <w:footnote w:id="7">
    <w:p w14:paraId="2681FDC5" w14:textId="77777777" w:rsidR="00BF03AA" w:rsidRDefault="00FB452D">
      <w:pPr>
        <w:pStyle w:val="FootnoteText"/>
        <w:ind w:left="0" w:firstLine="0"/>
        <w:rPr>
          <w:rFonts w:eastAsia="EC Square Sans Pro"/>
        </w:rPr>
      </w:pPr>
      <w:r>
        <w:rPr>
          <w:rStyle w:val="FootnoteReference"/>
        </w:rPr>
        <w:footnoteRef/>
      </w:r>
      <w:r>
        <w:t xml:space="preserve"> </w:t>
      </w:r>
      <w:r>
        <w:rPr>
          <w:rFonts w:eastAsia="EC Square Sans Pro"/>
        </w:rPr>
        <w:t>Ak sa podporovanou činnosťou dosiahnu predpokladané</w:t>
      </w:r>
      <w:r>
        <w:rPr>
          <w:rFonts w:eastAsia="EC Square Sans Pro"/>
        </w:rPr>
        <w:t xml:space="preserve"> emisie skleníkových plynov, ktoré nie sú výrazne nižšie ako príslušné referenčné hodnoty, poskytne sa vysvetlenie dôvodov, prečo to nie je možné. Referenčné hodnoty stanovené pre bezodplatné prideľovanie kvót pre činnosti, ktoré patria do rozsahu pôsobnos</w:t>
      </w:r>
      <w:r>
        <w:rPr>
          <w:rFonts w:eastAsia="EC Square Sans Pro"/>
        </w:rPr>
        <w:t xml:space="preserve">ti systému obchodovania s emisiami, ako sa stanovuje vo vykonávacom nariadení Komisie (EÚ) 2021/447. </w:t>
      </w:r>
    </w:p>
  </w:footnote>
  <w:footnote w:id="8">
    <w:p w14:paraId="63F12DE1" w14:textId="77777777" w:rsidR="00BF03AA" w:rsidRDefault="00FB452D">
      <w:pPr>
        <w:pStyle w:val="FootnoteText"/>
        <w:ind w:left="0" w:firstLine="0"/>
      </w:pPr>
      <w:r>
        <w:rPr>
          <w:rStyle w:val="FootnoteReference"/>
        </w:rPr>
        <w:footnoteRef/>
      </w:r>
      <w:r>
        <w:t xml:space="preserve"> Toto vylúčenie sa nevzťahuje na činnosti v rámci tohto opatrenia v zariadeniach určených výlučne na spracovanie nerecyklovateľného nebezpečného odpadu a</w:t>
      </w:r>
      <w:r>
        <w:t xml:space="preserve"> na existujúce zariadenia, ak sú činnosti v rámci tohto opatrenia zamerané na zvýšenie energetickej účinnosti, zachytávanie výfukových plynov na skladovanie alebo používanie alebo zhodnocovanie materiálov zo spaľovania popola za predpokladu, že takéto opat</w:t>
      </w:r>
      <w:r>
        <w:t>renia v rámci tohto opatrenia nevedú k zvýšeniu kapacity zariadení na spracovanie odpadu alebo k predĺženiu životnosti zariadení; v prípade ktorých sa poskytujú dôkazy na úrovni zariadenia. </w:t>
      </w:r>
    </w:p>
  </w:footnote>
  <w:footnote w:id="9">
    <w:p w14:paraId="3679FD3C" w14:textId="77777777" w:rsidR="00BF03AA" w:rsidRDefault="00FB452D">
      <w:pPr>
        <w:pStyle w:val="FootnoteText"/>
        <w:ind w:left="0" w:firstLine="0"/>
      </w:pPr>
      <w:r>
        <w:rPr>
          <w:rStyle w:val="FootnoteReference"/>
        </w:rPr>
        <w:footnoteRef/>
      </w:r>
      <w:r>
        <w:t xml:space="preserve"> Toto vylúčenie sa nevzťahuje na akcie v rámci tohto opatrenia v</w:t>
      </w:r>
      <w:r>
        <w:t xml:space="preserve"> existujúcich zariadeniach na mechanické biologické spracovanie, ak sú činnosti v rámci tohto opatrenia zamerané na zvýšenie energetickej účinnosti alebo prispôsobenie triedeného odpadu na činnosti recyklácie kompostovaného biologického odpadu a anaeróbnej</w:t>
      </w:r>
      <w:r>
        <w:t xml:space="preserve"> digescie biologického odpadu za predpokladu, že takéto opatrenia v rámci tohto opatrenia nevedú k zvýšeniu kapacity zariadení na spracovanie odpadu alebo k predĺženiu životnosti zariadení; v prípade ktorých sa poskytujú dôkazy na úrovni zariadenia. </w:t>
      </w:r>
    </w:p>
  </w:footnote>
  <w:footnote w:id="10">
    <w:p w14:paraId="00F4C13D" w14:textId="77777777" w:rsidR="00BF03AA" w:rsidRDefault="00FB452D">
      <w:pPr>
        <w:spacing w:after="0"/>
        <w:jc w:val="both"/>
        <w:rPr>
          <w:rFonts w:ascii="Times New Roman" w:hAnsi="Times New Roman" w:cs="Times New Roman"/>
          <w:sz w:val="20"/>
          <w:szCs w:val="20"/>
        </w:rPr>
      </w:pPr>
      <w:r>
        <w:rPr>
          <w:rStyle w:val="FootnoteReference"/>
        </w:rPr>
        <w:footnoteRef/>
      </w:r>
      <w:r>
        <w:rPr>
          <w:rFonts w:ascii="Times New Roman" w:hAnsi="Times New Roman" w:cs="Times New Roman"/>
          <w:sz w:val="20"/>
          <w:szCs w:val="20"/>
        </w:rPr>
        <w:t xml:space="preserve">S </w:t>
      </w:r>
      <w:r>
        <w:rPr>
          <w:rFonts w:ascii="Times New Roman" w:hAnsi="Times New Roman" w:cs="Times New Roman"/>
          <w:sz w:val="20"/>
          <w:szCs w:val="20"/>
        </w:rPr>
        <w:t>výnimkou a) projektov v oblasti výroby elektrickej energie a/alebo tepla, ako aj súvisiacej prenosovej a distribučnej infraštruktúry využívajúcej zemný plyn, ktoré sú v súlade s podmienkami stanovenými v prílohe III k technickému usmerneniu „výrazne nenaru</w:t>
      </w:r>
      <w:r>
        <w:rPr>
          <w:rFonts w:ascii="Times New Roman" w:hAnsi="Times New Roman" w:cs="Times New Roman"/>
          <w:sz w:val="20"/>
          <w:szCs w:val="20"/>
        </w:rPr>
        <w:t>šiť“ (2021/C58/01) a b) činností a aktív podľa bodu ii), v prípade ktorých je používanie fosílnych palív dočasné a technicky nevyhnutné na včasný prechod na prevádzku bez fosílnych palív.</w:t>
      </w:r>
    </w:p>
  </w:footnote>
  <w:footnote w:id="11">
    <w:p w14:paraId="230872FC" w14:textId="50692238" w:rsidR="00BF03AA" w:rsidRDefault="00FB452D">
      <w:pPr>
        <w:pStyle w:val="FootnoteText"/>
        <w:ind w:left="0" w:firstLine="0"/>
      </w:pPr>
      <w:r>
        <w:rPr>
          <w:rStyle w:val="FootnoteReference"/>
        </w:rPr>
        <w:footnoteRef/>
      </w:r>
      <w:r>
        <w:t xml:space="preserve"> Ak sa podporovanou činnosťou dosiahnu predpokladané emisie skleník</w:t>
      </w:r>
      <w:r>
        <w:t>ových plynov, ktoré nie sú výrazne nižšie ako príslušné referenčné hodnoty, poskytne sa vysvetlenie dôvodov, prečo to nie je možné. Referenčné hodnoty stanovené na bezodplatné prideľovanie kvót na činnosti patriace do rozsahu pôsobnosti systému obchodovani</w:t>
      </w:r>
      <w:r>
        <w:t>a s emisiami, ako sa stanovuje vo vykonávacom nariadení Komisie (EÚ) 2021/447</w:t>
      </w:r>
    </w:p>
  </w:footnote>
  <w:footnote w:id="12">
    <w:p w14:paraId="4645AFF0" w14:textId="6C52A571" w:rsidR="00BF03AA" w:rsidRDefault="00FB452D">
      <w:pPr>
        <w:pStyle w:val="FootnoteText"/>
        <w:ind w:left="0" w:firstLine="0"/>
      </w:pPr>
      <w:r>
        <w:rPr>
          <w:rStyle w:val="FootnoteReference"/>
        </w:rPr>
        <w:footnoteRef/>
      </w:r>
      <w:r>
        <w:t xml:space="preserve"> Toto vylúčenie sa nevzťahuje na činnosti v zariadeniach určených výlučne na spracovanie nerecyklovateľného nebezpečného odpadu a na existujúce zariadenia, kde sú tieto činnosti</w:t>
      </w:r>
      <w:r>
        <w:t xml:space="preserve"> zamerané na zvýšenie energetickej účinnosti, zachytávanie výfukových plynov na skladovanie alebo používanie alebo zhodnocovanie materiálov zo spaľovania popola za predpokladu, že takéto opatrenia nevedú k zvýšeniu kapacity zariadení na spracovanie odpadu </w:t>
      </w:r>
      <w:r>
        <w:t>alebo k predĺženiu životnosti zariadení; pre ktoré sa poskytujú dôkazy na úrovni zariadenia</w:t>
      </w:r>
    </w:p>
  </w:footnote>
  <w:footnote w:id="13">
    <w:p w14:paraId="7A7B606D" w14:textId="77777777" w:rsidR="00BF03AA" w:rsidRDefault="00FB452D">
      <w:pPr>
        <w:pStyle w:val="FootnoteText"/>
        <w:ind w:left="0" w:firstLine="0"/>
      </w:pPr>
      <w:r>
        <w:rPr>
          <w:rStyle w:val="FootnoteReference"/>
        </w:rPr>
        <w:footnoteRef/>
      </w:r>
      <w:r>
        <w:t xml:space="preserve"> Toto vylúčenie sa nevzťahuje na činnosti v existujúcich zariadeniach na mechanické biologické spracovanie, ak sú opatrenia zamerané na zvýšenie energetickej účinn</w:t>
      </w:r>
      <w:r>
        <w:t>osti alebo dodatočné vybavenie separovaného odpadu na činnosti recyklácie kompostovaného biologického odpadu a anaeróbnej digescie biologického odpadu za predpokladu, že takéto opatrenia nevedú k zvýšeniu kapacity zariadení na spracovanie odpadu alebo k pr</w:t>
      </w:r>
      <w:r>
        <w:t>edĺženiu životnosti zariadení; pre ktoré sa poskytujú dôkazy na úrovni zariadenia</w:t>
      </w:r>
    </w:p>
  </w:footnote>
  <w:footnote w:id="14">
    <w:p w14:paraId="368C5BB4" w14:textId="77777777" w:rsidR="00BF03AA" w:rsidRDefault="00FB452D">
      <w:pPr>
        <w:pStyle w:val="FootnoteText"/>
        <w:ind w:left="0" w:firstLine="0"/>
      </w:pPr>
      <w:r>
        <w:rPr>
          <w:rStyle w:val="FootnoteReference"/>
        </w:rPr>
        <w:footnoteRef/>
      </w:r>
      <w:r>
        <w:t xml:space="preserve"> S výnimkou a) projektov v rámci tohto opatrenia v oblasti výroby elektrickej energie a/alebo tepla, ako aj súvisiacej prenosovej a distribučnej infraštruktúry využívajúcej </w:t>
      </w:r>
      <w:r>
        <w:t xml:space="preserve">zemný plyn, ktoré sú v súlade s podmienkami stanovenými v prílohe III k technickému usmerneniu „výrazne nenarušiť“ (2021/C58/01) a b) činností a aktív podľa bodu ii), v prípade ktorých je používanie fosílnych palív dočasné a technicky nevyhnutné na včasný </w:t>
      </w:r>
      <w:r>
        <w:t>prechod na prevádzku bez fosílnych palív.</w:t>
      </w:r>
    </w:p>
  </w:footnote>
  <w:footnote w:id="15">
    <w:p w14:paraId="41A6E0F5" w14:textId="77777777" w:rsidR="00BF03AA" w:rsidRDefault="00FB452D">
      <w:pPr>
        <w:pStyle w:val="FootnoteText"/>
        <w:ind w:left="0" w:firstLine="0"/>
      </w:pPr>
      <w:r>
        <w:rPr>
          <w:rStyle w:val="FootnoteReference"/>
        </w:rPr>
        <w:footnoteRef/>
      </w:r>
      <w:r>
        <w:t xml:space="preserve"> Ak sa v rámci podporovanej činnosti dosiahnu predpokladané emisie skleníkových plynov, ktoré nie sú výrazne nižšie ako príslušné referenčné hodnoty, malo by sa poskytnúť vysvetlenie dôvodov, prečo to nie je možné</w:t>
      </w:r>
      <w:r>
        <w:t>. Referenčné hodnoty stanovené pre bezodplatné prideľovanie kvót pre činnosti, ktoré patria do rozsahu pôsobnosti systému obchodovania s emisiami, ako sa stanovuje vo vykonávacom nariadení Komisie (EÚ) 2021/447.</w:t>
      </w:r>
    </w:p>
  </w:footnote>
  <w:footnote w:id="16">
    <w:p w14:paraId="3A10E54E" w14:textId="77777777" w:rsidR="00BF03AA" w:rsidRDefault="00FB452D">
      <w:pPr>
        <w:pStyle w:val="FootnoteText"/>
        <w:ind w:left="0" w:firstLine="0"/>
      </w:pPr>
      <w:r>
        <w:rPr>
          <w:rStyle w:val="FootnoteReference"/>
        </w:rPr>
        <w:footnoteRef/>
      </w:r>
      <w:r>
        <w:t xml:space="preserve"> Toto vylúčenie sa nevzťahuje na činnosti v</w:t>
      </w:r>
      <w:r>
        <w:t xml:space="preserve"> rámci tohto opatrenia v zariadeniach určených výlučne na spracovanie nerecyklovateľného nebezpečného odpadu a na existujúce zariadenia, ak sú činnosti v rámci tohto opatrenia zamerané na zvýšenie energetickej účinnosti, zachytávanie výfukových plynov na s</w:t>
      </w:r>
      <w:r>
        <w:t>kladovanie alebo používanie alebo zhodnocovanie materiálov zo spaľovania popola za predpokladu, že takéto opatrenia v rámci tohto opatrenia nevedú k zvýšeniu kapacity zariadení na spracovanie odpadu alebo k predĺženiu životnosti zariadení; v prípade ktorýc</w:t>
      </w:r>
      <w:r>
        <w:t>h sa poskytujú dôkazy na úrovni zariadenia.</w:t>
      </w:r>
    </w:p>
  </w:footnote>
  <w:footnote w:id="17">
    <w:p w14:paraId="3539B40F" w14:textId="77777777"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 spracovanie, ak sú činnosti v rámci tohto opatrenia zamerané na zvýšenie energetickej účinnosti</w:t>
      </w:r>
      <w:r>
        <w:t xml:space="preserve"> alebo prispôsobenie triedeného odpadu na činnosti recyklácie kompostovaného biologického odpadu a anaeróbnej digescie biologického odpadu za predpokladu, že takéto opatrenia v rámci tohto opatrenia nevedú k zvýšeniu kapacity zariadení na spracovanie odpad</w:t>
      </w:r>
      <w:r>
        <w:t>u alebo k predĺženiu životnosti zariadení; v prípade ktorých sa poskytujú dôkazy na úrovni zariadenia.</w:t>
      </w:r>
    </w:p>
  </w:footnote>
  <w:footnote w:id="18">
    <w:p w14:paraId="01BD6B4F" w14:textId="42D72CD5" w:rsidR="00BF03AA" w:rsidRDefault="00FB452D">
      <w:pPr>
        <w:pStyle w:val="FootnoteText"/>
        <w:ind w:left="0" w:firstLine="0"/>
      </w:pPr>
      <w:r>
        <w:rPr>
          <w:rStyle w:val="FootnoteReference"/>
        </w:rPr>
        <w:footnoteRef/>
      </w:r>
      <w:r>
        <w:t xml:space="preserve"> S výnimkou a) projektov v rámci tohto opatrenia v oblasti výroby elektrickej energie a/alebo tepla, ako aj súvisiacej prenosovej a distribučnej infrašt</w:t>
      </w:r>
      <w:r>
        <w:t xml:space="preserve">ruktúry využívajúcej zemný plyn, ktoré sú v súlade s podmienkami stanovenými v prílohe III k technickému usmerneniu „výrazne nenarušiť“ (2021/C58/01) a b) činností a aktív podľa bodu ii), v prípade ktorých je používanie fosílnych palív dočasné a technicky </w:t>
      </w:r>
      <w:r>
        <w:t>nevyhnutné na včasný prechod na prevádzku bez fosílnych palív.</w:t>
      </w:r>
    </w:p>
  </w:footnote>
  <w:footnote w:id="19">
    <w:p w14:paraId="5ACA7097" w14:textId="77777777" w:rsidR="00BF03AA" w:rsidRDefault="00FB452D">
      <w:pPr>
        <w:pStyle w:val="FootnoteText"/>
        <w:ind w:left="0" w:firstLine="0"/>
      </w:pPr>
      <w:r>
        <w:rPr>
          <w:rStyle w:val="FootnoteReference"/>
        </w:rPr>
        <w:footnoteRef/>
      </w:r>
      <w:r>
        <w:t xml:space="preserve"> Ak sa v rámci podporovanej činnosti dosiahnu predpokladané emisie skleníkových plynov, ktoré nie sú výrazne nižšie ako príslušné referenčné hodnoty, malo by sa poskytnúť vysvetlenie dôvodov, </w:t>
      </w:r>
      <w:r>
        <w:t>prečo to nie je možné. Referenčné hodnoty stanovené pre bezodplatné prideľovanie kvót pre činnosti, ktoré patria do rozsahu pôsobnosti systému obchodovania s emisiami, ako sa stanovuje vo vykonávacom nariadení Komisie (EÚ) 2021/447.</w:t>
      </w:r>
    </w:p>
  </w:footnote>
  <w:footnote w:id="20">
    <w:p w14:paraId="234E4838" w14:textId="09192011" w:rsidR="00BF03AA" w:rsidRDefault="00FB452D">
      <w:pPr>
        <w:pStyle w:val="FootnoteText"/>
        <w:ind w:left="0" w:firstLine="0"/>
      </w:pPr>
      <w:r>
        <w:rPr>
          <w:rStyle w:val="FootnoteReference"/>
        </w:rPr>
        <w:footnoteRef/>
      </w:r>
      <w:r>
        <w:t xml:space="preserve"> Toto vylúčenie sa nev</w:t>
      </w:r>
      <w:r>
        <w:t>zťahuje na činnosti v rámci tohto opatrenia v zariadeniach určených výlučne na spracovanie nerecyklovateľného nebezpečného odpadu a na existujúce zariadenia, ak sú činnosti v rámci tohto opatrenia zamerané na zvýšenie energetickej účinnosti, zachytávanie v</w:t>
      </w:r>
      <w:r>
        <w:t>ýfukových plynov na skladovanie alebo používanie alebo zhodnocovanie materiálov zo spaľovania popola za predpokladu, že takéto opatrenia v rámci tohto opatrenia nevedú k zvýšeniu kapacity zariadení na spracovanie odpadu alebo k predĺženiu životnosti zariad</w:t>
      </w:r>
      <w:r>
        <w:t>ení; v prípade ktorých sa poskytujú dôkazy na úrovni zariadenia.</w:t>
      </w:r>
    </w:p>
  </w:footnote>
  <w:footnote w:id="21">
    <w:p w14:paraId="0D356463" w14:textId="77777777"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 spracovanie, ak sú činnosti v rámci tohto opatrenia zamerané na zvýšenie e</w:t>
      </w:r>
      <w:r>
        <w:t>nergetickej účinnosti alebo prispôsobenie triedeného odpadu na činnosti recyklácie kompostovaného biologického odpadu a anaeróbnej digescie biologického odpadu za predpokladu, že takéto opatrenia v rámci tohto opatrenia nevedú k zvýšeniu kapacity zariadení</w:t>
      </w:r>
      <w:r>
        <w:t xml:space="preserve"> na spracovanie odpadu alebo k predĺženiu životnosti zariadení; v prípade ktorých sa poskytujú dôkazy na úrovni zariadenia.</w:t>
      </w:r>
    </w:p>
  </w:footnote>
  <w:footnote w:id="22">
    <w:p w14:paraId="59A3E652" w14:textId="017732FB" w:rsidR="00BF03AA" w:rsidRDefault="00FB452D">
      <w:pPr>
        <w:pStyle w:val="FootnoteText"/>
        <w:ind w:left="0" w:firstLine="0"/>
      </w:pPr>
      <w:r>
        <w:rPr>
          <w:rStyle w:val="FootnoteReference"/>
        </w:rPr>
        <w:footnoteRef/>
      </w:r>
      <w:r>
        <w:t xml:space="preserve"> S výnimkou a) aktív a činností pri výrobe elektriny a/alebo tepla, ako aj súvisiacej prenosovej a distribučnej infraštruktúry využ</w:t>
      </w:r>
      <w:r>
        <w:t>ívajúcej zemný plyn, ktoré sú v súlade s podmienkami stanovenými v prílohe III k technickému usmerneniu „výrazne nenarušiť“ (2021/C58/01) a b) činností a aktív podľa bodu ii), v prípade ktorých je používanie fosílnych palív dočasné a technicky nevyhnutné n</w:t>
      </w:r>
      <w:r>
        <w:t>a včasný prechod na prevádzku bez fosílnych palív.</w:t>
      </w:r>
    </w:p>
  </w:footnote>
  <w:footnote w:id="23">
    <w:p w14:paraId="5EDBC356" w14:textId="43276090" w:rsidR="00BF03AA" w:rsidRDefault="00FB452D">
      <w:pPr>
        <w:pStyle w:val="FootnoteText"/>
        <w:ind w:left="0" w:firstLine="0"/>
      </w:pPr>
      <w:r>
        <w:rPr>
          <w:rStyle w:val="FootnoteReference"/>
        </w:rPr>
        <w:footnoteRef/>
      </w:r>
      <w:r>
        <w:t xml:space="preserve"> Ak sa podporovanou činnosťou dosiahnu predpokladané emisie skleníkových plynov, ktoré nie sú výrazne nižšie ako príslušné referenčné hodnoty, poskytne sa vysvetlenie dôvodov, prečo to nie je možné. Refer</w:t>
      </w:r>
      <w:r>
        <w:t>enčné hodnoty stanovené na bezodplatné prideľovanie kvót na činnosti patriace do rozsahu pôsobnosti systému obchodovania s emisiami, ako sa stanovuje vo vykonávacom nariadení Komisie (EÚ) 2021/447</w:t>
      </w:r>
    </w:p>
  </w:footnote>
  <w:footnote w:id="24">
    <w:p w14:paraId="4F5613C7" w14:textId="67FD14AF" w:rsidR="00BF03AA" w:rsidRDefault="00FB452D">
      <w:pPr>
        <w:pStyle w:val="FootnoteText"/>
        <w:ind w:left="0" w:firstLine="0"/>
      </w:pPr>
      <w:r>
        <w:rPr>
          <w:rStyle w:val="FootnoteReference"/>
        </w:rPr>
        <w:footnoteRef/>
      </w:r>
      <w:r>
        <w:t xml:space="preserve"> Toto vylúčenie sa nevzťahuje na činnosti v rámci tohto op</w:t>
      </w:r>
      <w:r>
        <w:t>atrenia v zariadeniach určených výlučne na spracovanie nerecyklovateľného nebezpečného odpadu a na existujúce zariadenia, ak sú činnosti v rámci tohto opatrenia zamerané na zvýšenie energetickej účinnosti, zachytávanie výfukových plynov na skladovanie aleb</w:t>
      </w:r>
      <w:r>
        <w:t xml:space="preserve">o používanie alebo zhodnocovanie materiálov zo spaľovania popola za predpokladu, že takéto opatrenia v rámci tohto opatrenia nevedú k zvýšeniu kapacity zariadení na spracovanie odpadu alebo k predĺženiu životnosti zariadení; v prípade ktorých sa poskytujú </w:t>
      </w:r>
      <w:r>
        <w:t>dôkazy na úrovni zariadenia. </w:t>
      </w:r>
    </w:p>
  </w:footnote>
  <w:footnote w:id="25">
    <w:p w14:paraId="2358574C" w14:textId="72CD2514"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 spracovanie, ak sú činnosti v rámci tohto opatrenia zamerané na zvýšenie energetickej účinnosti alebo prispôs</w:t>
      </w:r>
      <w:r>
        <w:t>obenie triedeného odpadu na činnosti recyklácie kompostovaného biologického odpadu a anaeróbnej digescie biologického odpadu za predpokladu, že takéto opatrenia v rámci tohto opatrenia nevedú k zvýšeniu kapacity zariadení na spracovanie odpadu alebo k pred</w:t>
      </w:r>
      <w:r>
        <w:t>ĺženiu životnosti zariadení; v prípade ktorých sa poskytujú dôkazy na úrovni zariadenia. </w:t>
      </w:r>
    </w:p>
  </w:footnote>
  <w:footnote w:id="26">
    <w:p w14:paraId="085F4836" w14:textId="24C59B28" w:rsidR="00BF03AA" w:rsidRDefault="00FB452D">
      <w:pPr>
        <w:pStyle w:val="FootnoteText"/>
        <w:ind w:left="0" w:firstLine="0"/>
      </w:pPr>
      <w:r>
        <w:rPr>
          <w:rStyle w:val="FootnoteReference"/>
        </w:rPr>
        <w:footnoteRef/>
      </w:r>
      <w:r>
        <w:t xml:space="preserve"> Od konečných príjemcov zapojených do konkrétnych projektov sa vyžaduje, aby na účely výpočtu príspevku na klímu poskytli odôvodnenie vybranej oblasti intervencie pr</w:t>
      </w:r>
      <w:r>
        <w:t>e každý podporovaný projekt spolu s opisom projektu. Na účely výpočtu príspevku v oblasti klímy koneční príjemcovia z kapitálových, kvázi kapitálových, podnikových dlhopisov alebo rovnocenných nástrojov, ktoré nie sú zamerané na konkrétne projekty, poskytn</w:t>
      </w:r>
      <w:r>
        <w:t>ú odôvodnenie vybranej oblasti (oblastí) intervencie. Implementujúci partner je takisto povinný poskytovať členskému štátu polročnú správu o vykonávaní každého projektu/činnosti.</w:t>
      </w:r>
    </w:p>
  </w:footnote>
  <w:footnote w:id="27">
    <w:p w14:paraId="39AD15BC" w14:textId="6001C0E1" w:rsidR="00BF03AA" w:rsidRDefault="00FB452D">
      <w:pPr>
        <w:pStyle w:val="FootnoteText"/>
        <w:ind w:left="0" w:firstLine="0"/>
      </w:pPr>
      <w:r>
        <w:rPr>
          <w:rStyle w:val="FootnoteReference"/>
        </w:rPr>
        <w:footnoteRef/>
      </w:r>
      <w:r>
        <w:t xml:space="preserve"> S výnimkou a) aktív a činností pri výrobe elektriny a/alebo tepla, ako aj s</w:t>
      </w:r>
      <w:r>
        <w:t>úvisiacej prenosovej a distribučnej infraštruktúry využívajúcej zemný plyn, ktoré sú v súlade s podmienkami stanovenými v prílohe III k technickému usmerneniu „výrazne nenarušiť“ (2021/C58/01) a b) činností a aktív podľa bodu ii), v prípade ktorých je použ</w:t>
      </w:r>
      <w:r>
        <w:t>ívanie fosílnych palív dočasné a technicky nevyhnutné na včasný prechod na prevádzku bez fosílnych palív.</w:t>
      </w:r>
    </w:p>
  </w:footnote>
  <w:footnote w:id="28">
    <w:p w14:paraId="39EA8B56" w14:textId="6E27082C" w:rsidR="00BF03AA" w:rsidRDefault="00FB452D">
      <w:pPr>
        <w:pStyle w:val="FootnoteText"/>
        <w:ind w:left="0" w:firstLine="0"/>
      </w:pPr>
      <w:r>
        <w:rPr>
          <w:rStyle w:val="FootnoteReference"/>
        </w:rPr>
        <w:footnoteRef/>
      </w:r>
      <w:r>
        <w:t xml:space="preserve"> Ak sa podporovanou činnosťou dosiahnu predpokladané emisie skleníkových plynov, ktoré nie sú výrazne nižšie ako príslušné referenčné hodnoty, poskyt</w:t>
      </w:r>
      <w:r>
        <w:t>ne sa vysvetlenie dôvodov, prečo to nie je možné. Referenčné hodnoty stanovené na bezodplatné prideľovanie kvót na činnosti patriace do rozsahu pôsobnosti systému obchodovania s emisiami, ako sa stanovuje vo vykonávacom nariadení Komisie (EÚ) 2021/447</w:t>
      </w:r>
    </w:p>
  </w:footnote>
  <w:footnote w:id="29">
    <w:p w14:paraId="270AFB94" w14:textId="4762D7C7" w:rsidR="00BF03AA" w:rsidRDefault="00FB452D">
      <w:pPr>
        <w:pStyle w:val="FootnoteText"/>
        <w:ind w:left="0" w:firstLine="0"/>
      </w:pPr>
      <w:r>
        <w:rPr>
          <w:rStyle w:val="FootnoteReference"/>
        </w:rPr>
        <w:footnoteRef/>
      </w:r>
      <w:r>
        <w:t xml:space="preserve"> To</w:t>
      </w:r>
      <w:r>
        <w:t>to vylúčenie sa nevzťahuje na činnosti v rámci tohto opatrenia v zariadeniach určených výlučne na spracovanie nerecyklovateľného nebezpečného odpadu a na existujúce zariadenia, ak sú činnosti v rámci tohto opatrenia zamerané na zvýšenie energetickej účinno</w:t>
      </w:r>
      <w:r>
        <w:t>sti, zachytávanie výfukových plynov na skladovanie alebo používanie alebo zhodnocovanie materiálov zo spaľovania popola za predpokladu, že takéto opatrenia v rámci tohto opatrenia nevedú k zvýšeniu kapacity zariadení na spracovanie odpadu alebo k predĺženi</w:t>
      </w:r>
      <w:r>
        <w:t>u životnosti zariadení; v prípade ktorých sa poskytujú dôkazy na úrovni zariadenia. </w:t>
      </w:r>
    </w:p>
  </w:footnote>
  <w:footnote w:id="30">
    <w:p w14:paraId="712803BE" w14:textId="0176D412"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 spracovanie, ak sú činnosti v rámci tohto opatrenia za</w:t>
      </w:r>
      <w:r>
        <w:t>merané na zvýšenie energetickej účinnosti alebo prispôsobenie triedeného odpadu na činnosti recyklácie kompostovaného biologického odpadu a anaeróbnej digescie biologického odpadu za predpokladu, že takéto opatrenia v rámci tohto opatrenia nevedú k zvýšeni</w:t>
      </w:r>
      <w:r>
        <w:t xml:space="preserve">u kapacity zariadení na spracovanie odpadu alebo k predĺženiu životnosti zariadení; v prípade ktorých sa poskytujú dôkazy na úrovni zariadenia.  </w:t>
      </w:r>
    </w:p>
  </w:footnote>
  <w:footnote w:id="31">
    <w:p w14:paraId="6FBE0893" w14:textId="4BDE0727" w:rsidR="00BF03AA" w:rsidRDefault="00FB452D">
      <w:pPr>
        <w:pStyle w:val="FootnoteText"/>
        <w:ind w:left="0" w:firstLine="0"/>
      </w:pPr>
      <w:r>
        <w:rPr>
          <w:rStyle w:val="FootnoteReference"/>
        </w:rPr>
        <w:footnoteRef/>
      </w:r>
      <w:r>
        <w:t xml:space="preserve"> Od konečných príjemcov zapojených do konkrétnych projektov sa vyžaduje, aby na účely výpočtu príspevku na kl</w:t>
      </w:r>
      <w:r>
        <w:t>ímu poskytli odôvodnenie vybranej oblasti intervencie pre každý podporovaný projekt spolu s opisom projektu. Na účely výpočtu príspevku v oblasti klímy koneční príjemcovia z kapitálových, kvázi kapitálových, podnikových dlhopisov alebo rovnocenných nástroj</w:t>
      </w:r>
      <w:r>
        <w:t>ov, ktoré nie sú zamerané na konkrétne projekty, poskytnú odôvodnenie vybranej oblasti (oblastí) intervencie. Implementujúci partner je takisto povinný poskytovať členskému štátu polročnú správu o vykonávaní každého projektu/činnosti.</w:t>
      </w:r>
    </w:p>
  </w:footnote>
  <w:footnote w:id="32">
    <w:p w14:paraId="5FEF3435" w14:textId="77777777" w:rsidR="00BF03AA" w:rsidRDefault="00FB452D">
      <w:pPr>
        <w:pStyle w:val="FootnoteText"/>
        <w:ind w:left="0" w:firstLine="0"/>
        <w:rPr>
          <w:rStyle w:val="FootnoteReference"/>
          <w:vertAlign w:val="baseline"/>
        </w:rPr>
      </w:pPr>
      <w:r>
        <w:t>Maximálna horná hrani</w:t>
      </w:r>
      <w:r>
        <w:t xml:space="preserve">ca </w:t>
      </w:r>
      <w:r>
        <w:rPr>
          <w:rStyle w:val="FootnoteReference"/>
        </w:rPr>
        <w:footnoteRef/>
      </w:r>
      <w:r>
        <w:rPr>
          <w:rStyle w:val="FootnoteReference"/>
        </w:rPr>
        <w:t xml:space="preserve"> </w:t>
      </w:r>
      <w:r>
        <w:t>13 % konkrétne nezahŕňa prenesený záujem, výkonnostné poplatky súvisiace s GTF a všetky náklady a poplatky za riadenie súvisiace s finančnými prostriedkami tretích strán.</w:t>
      </w:r>
    </w:p>
  </w:footnote>
  <w:footnote w:id="33">
    <w:p w14:paraId="76B2B589"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Najmä v prípade priamych investícií GTF funguje tak, že poskytuje kapitálovú a</w:t>
      </w:r>
      <w:r>
        <w:rPr>
          <w:rStyle w:val="FootnoteReference"/>
          <w:vertAlign w:val="baseline"/>
        </w:rPr>
        <w:t>lebo kvázi kapitálovú podporu; v prípade nepriamych investícií GTF funguje prostredníctvom financovania finančných prostriedkov tretích strán, ktoré fungujú tak, že poskytujú aspoň jednu z týchto možností: kapitálové alebo kvázikapitálové, dlhové alebo kvá</w:t>
      </w:r>
      <w:r>
        <w:rPr>
          <w:rStyle w:val="FootnoteReference"/>
          <w:vertAlign w:val="baseline"/>
        </w:rPr>
        <w:t>zi dlhové nástroje.</w:t>
      </w:r>
    </w:p>
  </w:footnote>
  <w:footnote w:id="34">
    <w:p w14:paraId="40EB3245"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Predpokladá sa, že konečný príjemca má „podstatné zameranie“ na odvetvie alebo podnikateľskú činnosť, ak je takéto odvetvie alebo činnosť identifikované ako podstatná súčasť podnikateľskej činnosti konečného príjemcu v súvislosti s hr</w:t>
      </w:r>
      <w:r>
        <w:rPr>
          <w:rStyle w:val="FootnoteReference"/>
          <w:vertAlign w:val="baseline"/>
        </w:rPr>
        <w:t>ubými príjmami, ziskom alebo klientskou základňou konečného príjemcu. Hrubé príjmy z obmedzeného odvetvia alebo činnosti v žiadnom prípade nepresiahnu 50 % hrubých príjmov.</w:t>
      </w:r>
    </w:p>
  </w:footnote>
  <w:footnote w:id="35">
    <w:p w14:paraId="19F45151"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t>S výnimkou a) aktív a činností pri výrobe elektriny a/alebo tepla, ako aj súvisia</w:t>
      </w:r>
      <w:r>
        <w:t>cej prenosovej a distribučnej infraštruktúry využívajúcej zemný plyn, ktoré sú v súlade s podmienkami stanovenými v prílohe III k technickému usmerneniu „výrazne nenarušiť“ (2021/C58/01) a b) činností a aktív podľa bodu ii), v prípade ktorých je používanie</w:t>
      </w:r>
      <w:r>
        <w:t xml:space="preserve"> fosílnych palív dočasné a technicky nevyhnutné na včasný prechod na prevádzku bez fosílnych palív.</w:t>
      </w:r>
    </w:p>
  </w:footnote>
  <w:footnote w:id="36">
    <w:p w14:paraId="4CE05882"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rPr>
          <w:rFonts w:eastAsia="EC Square Sans Pro"/>
        </w:rPr>
        <w:t>Vrátane činností a aktív v rámci systému EÚ na obchodovanie s emisiami (ETS), ktorými sa dosahujú predpokladané emisie skleníkových plynov, ktoré nie sú n</w:t>
      </w:r>
      <w:r>
        <w:rPr>
          <w:rFonts w:eastAsia="EC Square Sans Pro"/>
        </w:rPr>
        <w:t>ižšie ako príslušné referenčné hodnoty. Ak sa podporovanou činnosťou dosiahnu predpokladané emisie skleníkových plynov, ktoré nie sú výrazne nižšie ako príslušné referenčné hodnoty, poskytne sa vysvetlenie dôvodov, prečo to nie je možné. Referenčné hodnoty</w:t>
      </w:r>
      <w:r>
        <w:rPr>
          <w:rFonts w:eastAsia="EC Square Sans Pro"/>
        </w:rPr>
        <w:t xml:space="preserve"> stanovené pre bezodplatné prideľovanie kvót pre činnosti, ktoré patria do rozsahu pôsobnosti systému obchodovania s emisiami, ako sa stanovuje vo vykonávacom nariadení Komisie (EÚ) 2021/447.</w:t>
      </w:r>
    </w:p>
  </w:footnote>
  <w:footnote w:id="37">
    <w:p w14:paraId="55B04306"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rPr>
          <w:rFonts w:eastAsia="EC Square Sans Pro"/>
        </w:rPr>
        <w:t xml:space="preserve">Znečisťujúce vozidlá sa vymedzujú ako vozidlá s nulovými </w:t>
      </w:r>
      <w:r>
        <w:rPr>
          <w:rFonts w:eastAsia="EC Square Sans Pro"/>
        </w:rPr>
        <w:t>emisiami.</w:t>
      </w:r>
    </w:p>
  </w:footnote>
  <w:footnote w:id="38">
    <w:p w14:paraId="6608282D" w14:textId="77777777" w:rsidR="00BF03AA" w:rsidRDefault="00FB452D">
      <w:pPr>
        <w:pStyle w:val="FootnoteText"/>
        <w:ind w:left="0" w:firstLine="0"/>
      </w:pPr>
      <w:r>
        <w:rPr>
          <w:rStyle w:val="FootnoteReference"/>
        </w:rPr>
        <w:footnoteRef/>
      </w:r>
      <w:r>
        <w:rPr>
          <w:rStyle w:val="FootnoteReference"/>
        </w:rPr>
        <w:t xml:space="preserve"> </w:t>
      </w:r>
      <w:r>
        <w:rPr>
          <w:rFonts w:eastAsia="EC Square Sans Pro"/>
        </w:rPr>
        <w:t>Toto vylúčenie sa nevzťahuje na činnosti v zariadeniach určených výlučne na spracovanie nerecyklovateľného nebezpečného odpadu a na existujúce zariadenia, ak sú činnosti v rámci tohto opatrenia zamerané na zvýšenie energetickej účinnosti, zachy</w:t>
      </w:r>
      <w:r>
        <w:rPr>
          <w:rFonts w:eastAsia="EC Square Sans Pro"/>
        </w:rPr>
        <w:t>távanie výfukových plynov na skladovanie alebo používanie alebo zhodnocovanie materiálov zo spaľovania popola za predpokladu, že takéto činnosti v rámci tohto opatrenia nevedú k zvýšeniu kapacity zariadení na spracovanie odpadu alebo k predĺženiu životnost</w:t>
      </w:r>
      <w:r>
        <w:rPr>
          <w:rFonts w:eastAsia="EC Square Sans Pro"/>
        </w:rPr>
        <w:t>i zariadení; v prípade ktorých sa poskytujú dôkazy na úrovni zariadenia.</w:t>
      </w:r>
    </w:p>
  </w:footnote>
  <w:footnote w:id="39">
    <w:p w14:paraId="473DA147" w14:textId="77777777" w:rsidR="00BF03AA" w:rsidRDefault="00FB452D">
      <w:pPr>
        <w:pStyle w:val="FootnoteText"/>
      </w:pPr>
      <w:r>
        <w:rPr>
          <w:rStyle w:val="FootnoteReference"/>
        </w:rPr>
        <w:footnoteRef/>
      </w:r>
      <w:r>
        <w:t xml:space="preserve"> V súlade s oblasťou intervencie 72a prílohy VI k nariadeniu (EÚ) 2021/241 sa uplatňuje aj na dvojmodálne vlaky.</w:t>
      </w:r>
    </w:p>
  </w:footnote>
  <w:footnote w:id="40">
    <w:p w14:paraId="31AC05CF" w14:textId="25C74B52" w:rsidR="00BF03AA" w:rsidRDefault="00FB452D">
      <w:pPr>
        <w:pStyle w:val="FootnoteText"/>
        <w:ind w:left="0" w:firstLine="0"/>
      </w:pPr>
      <w:r>
        <w:rPr>
          <w:rStyle w:val="FootnoteReference"/>
        </w:rPr>
        <w:footnoteRef/>
      </w:r>
      <w:r>
        <w:t xml:space="preserve"> Od konečných príjemcov zapojených do konkrétnych projektov</w:t>
      </w:r>
      <w:r>
        <w:t xml:space="preserve"> sa vyžaduje, aby na účely výpočtu príspevku na klímu poskytli odôvodnenie vybranej oblasti intervencie pre každý podporovaný projekt spolu s opisom projektu. Na účely výpočtu príspevku v oblasti klímy koneční príjemcovia z kapitálových, kvázi kapitálových</w:t>
      </w:r>
      <w:r>
        <w:t>, podnikových dlhopisov alebo rovnocenných nástrojov, ktoré nie sú zamerané na konkrétne projekty, poskytnú odôvodnenie vybranej oblasti (oblastí) intervencie. Implementujúci partner je takisto povinný poskytovať členskému štátu polročnú správu o vykonávan</w:t>
      </w:r>
      <w:r>
        <w:t>í každého projektu/činnosti.</w:t>
      </w:r>
    </w:p>
  </w:footnote>
  <w:footnote w:id="41">
    <w:p w14:paraId="2260F10B" w14:textId="77777777" w:rsidR="00BF03AA" w:rsidRDefault="00FB452D">
      <w:pPr>
        <w:pStyle w:val="FootnoteText"/>
        <w:ind w:left="0" w:firstLine="0"/>
      </w:pPr>
      <w:r>
        <w:rPr>
          <w:rStyle w:val="FootnoteReference"/>
          <w:rFonts w:eastAsia="Yu Gothic Light"/>
        </w:rPr>
        <w:footnoteRef/>
      </w:r>
      <w:r>
        <w:t xml:space="preserve"> S výnimkou a) aktív a činností pri výrobe elektriny a/alebo tepla, ako aj súvisiacej prenosovej a distribučnej infraštruktúry využívajúcej zemný plyn, ktoré sú v súlade s podmienkami stanovenými v prílohe III k technickému us</w:t>
      </w:r>
      <w:r>
        <w:t>merneniu „výrazne nenarušiť“ (2021/C58/01) a b) činností a aktív podľa bodu ii), v prípade ktorých je používanie fosílnych palív dočasné a technicky nevyhnutné na včasný prechod na prevádzku bez fosílnych palív.</w:t>
      </w:r>
    </w:p>
  </w:footnote>
  <w:footnote w:id="42">
    <w:p w14:paraId="7C0BFB13" w14:textId="77777777" w:rsidR="00BF03AA" w:rsidRDefault="00FB452D">
      <w:pPr>
        <w:pStyle w:val="FootnoteText"/>
        <w:ind w:left="0" w:firstLine="0"/>
        <w:rPr>
          <w:rFonts w:eastAsia="EC Square Sans Pro"/>
        </w:rPr>
      </w:pPr>
      <w:r>
        <w:rPr>
          <w:rStyle w:val="FootnoteReference"/>
          <w:rFonts w:eastAsia="Yu Gothic Light"/>
        </w:rPr>
        <w:footnoteRef/>
      </w:r>
      <w:r>
        <w:t xml:space="preserve"> </w:t>
      </w:r>
      <w:r>
        <w:rPr>
          <w:rFonts w:eastAsia="EC Square Sans Pro"/>
        </w:rPr>
        <w:t>Ak sa podporovanou činnosťou dosiahnu pred</w:t>
      </w:r>
      <w:r>
        <w:rPr>
          <w:rFonts w:eastAsia="EC Square Sans Pro"/>
        </w:rPr>
        <w:t>pokladané emisie skleníkových plynov, ktoré nie sú výrazne nižšie ako príslušné referenčné hodnoty, poskytne sa vysvetlenie dôvodov, prečo to nie je možné. Referenčné hodnoty stanovené pre bezodplatné prideľovanie kvót pre činnosti, ktoré patria do rozsahu</w:t>
      </w:r>
      <w:r>
        <w:rPr>
          <w:rFonts w:eastAsia="EC Square Sans Pro"/>
        </w:rPr>
        <w:t xml:space="preserve"> pôsobnosti systému obchodovania s emisiami, ako sa stanovuje vo vykonávacom nariadení Komisie (EÚ) 2021/447. </w:t>
      </w:r>
    </w:p>
  </w:footnote>
  <w:footnote w:id="43">
    <w:p w14:paraId="72ABFE10" w14:textId="77777777" w:rsidR="00BF03AA" w:rsidRDefault="00FB452D">
      <w:pPr>
        <w:pStyle w:val="FootnoteText"/>
        <w:ind w:left="0" w:firstLine="0"/>
      </w:pPr>
      <w:r>
        <w:rPr>
          <w:rStyle w:val="FootnoteReference"/>
          <w:rFonts w:eastAsia="Yu Gothic Light"/>
        </w:rPr>
        <w:footnoteRef/>
      </w:r>
      <w:r>
        <w:t xml:space="preserve"> Toto vylúčenie sa nevzťahuje na činnosti v rámci tohto opatrenia v zariadeniach určených výlučne na spracovanie nerecyklovateľného nebezpečného</w:t>
      </w:r>
      <w:r>
        <w:t xml:space="preserve"> odpadu a na existujúce zariadenia, ak sú činnosti v rámci tohto opatrenia zamerané na zvýšenie energetickej účinnosti, zachytávanie výfukových plynov na skladovanie alebo používanie alebo zhodnocovanie materiálov zo spaľovania popola za predpokladu, že ta</w:t>
      </w:r>
      <w:r>
        <w:t>kéto opatrenia v rámci tohto opatrenia nevedú k zvýšeniu kapacity zariadení na spracovanie odpadu alebo k predĺženiu životnosti zariadení; v prípade ktorých sa poskytujú dôkazy na úrovni zariadenia. </w:t>
      </w:r>
    </w:p>
  </w:footnote>
  <w:footnote w:id="44">
    <w:p w14:paraId="4B3E96E2" w14:textId="77777777" w:rsidR="00BF03AA" w:rsidRDefault="00FB452D">
      <w:pPr>
        <w:pStyle w:val="FootnoteText"/>
        <w:ind w:left="0" w:firstLine="0"/>
      </w:pPr>
      <w:r>
        <w:rPr>
          <w:rStyle w:val="FootnoteReference"/>
          <w:rFonts w:eastAsia="Yu Gothic Light"/>
        </w:rPr>
        <w:footnoteRef/>
      </w:r>
      <w:r>
        <w:t xml:space="preserve"> Toto vylúčenie sa nevzťahuje na akcie v rámci tohto op</w:t>
      </w:r>
      <w:r>
        <w:t>atrenia v existujúcich zariadeniach na mechanické biologické spracovanie, ak sú činnosti v rámci tohto opatrenia zamerané na zvýšenie energetickej účinnosti alebo prispôsobenie triedeného odpadu na činnosti recyklácie kompostovaného biologického odpadu a a</w:t>
      </w:r>
      <w:r>
        <w:t>naeróbnej digescie biologického odpadu za predpokladu, že takéto opatrenia v rámci tohto opatrenia nevedú k zvýšeniu kapacity zariadení na spracovanie odpadu alebo k predĺženiu životnosti zariadení; v prípade ktorých sa poskytujú dôkazy na úrovni zariadeni</w:t>
      </w:r>
      <w:r>
        <w:t>a. </w:t>
      </w:r>
    </w:p>
  </w:footnote>
  <w:footnote w:id="45">
    <w:p w14:paraId="2B1C95AF" w14:textId="77777777" w:rsidR="00BF03AA" w:rsidRDefault="00FB452D">
      <w:pPr>
        <w:pStyle w:val="FootnoteText"/>
        <w:ind w:left="0" w:firstLine="0"/>
      </w:pPr>
      <w:r>
        <w:rPr>
          <w:rStyle w:val="FootnoteReference"/>
        </w:rPr>
        <w:footnoteRef/>
      </w:r>
      <w:r>
        <w:t xml:space="preserve"> Od konečných príjemcov zapojených do konkrétnych projektov sa vyžaduje, aby na účely výpočtu príspevku na klímu poskytli odôvodnenie vybranej oblasti intervencie pre každý podporovaný projekt spolu s opisom projektu. Na účely výpočtu príspevku v obla</w:t>
      </w:r>
      <w:r>
        <w:t>sti klímy koneční príjemcovia z kapitálových, kvázi-kapitálových, podnikových dlhopisov alebo rovnocenných nástrojov, ktoré nie sú zamerané na konkrétne projekty, poskytnú odôvodnenie vybranej oblasti (oblastí) intervencie. Implementujúci partner je takist</w:t>
      </w:r>
      <w:r>
        <w:t>o povinný poskytovať členskému štátu polročnú správu o vykonávaní každého projektu/činnosti.</w:t>
      </w:r>
    </w:p>
  </w:footnote>
  <w:footnote w:id="46">
    <w:p w14:paraId="2076CAB8" w14:textId="0FB6856E" w:rsidR="00BF03AA" w:rsidRDefault="00FB452D">
      <w:pPr>
        <w:spacing w:after="0"/>
        <w:jc w:val="both"/>
        <w:rPr>
          <w:rFonts w:ascii="Times New Roman"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S výnimkou a) aktív a činností pri výrobe elektriny a/alebo tepla, ako aj súvisiacej prenosovej a distribučnej infraštruktúry využívajúcej zemný plyn, ktoré sú v</w:t>
      </w:r>
      <w:r>
        <w:rPr>
          <w:rFonts w:ascii="Times New Roman" w:hAnsi="Times New Roman" w:cs="Times New Roman"/>
          <w:sz w:val="20"/>
          <w:szCs w:val="20"/>
        </w:rPr>
        <w:t xml:space="preserve"> súlade s podmienkami stanovenými v prílohe III k technickému usmerneniu „výrazne nenarušiť“ (2021/C58/01) a b) činností a aktív podľa bodu ii), v prípade ktorých je používanie fosílnych palív dočasné a technicky nevyhnutné na včasný prechod na prevádzku b</w:t>
      </w:r>
      <w:r>
        <w:rPr>
          <w:rFonts w:ascii="Times New Roman" w:hAnsi="Times New Roman" w:cs="Times New Roman"/>
          <w:sz w:val="20"/>
          <w:szCs w:val="20"/>
        </w:rPr>
        <w:t>ez fosílnych palív.</w:t>
      </w:r>
    </w:p>
  </w:footnote>
  <w:footnote w:id="47">
    <w:p w14:paraId="084BC864" w14:textId="678612A7" w:rsidR="00BF03AA" w:rsidRDefault="00FB452D">
      <w:pPr>
        <w:spacing w:after="0"/>
        <w:jc w:val="both"/>
        <w:rPr>
          <w:rFonts w:ascii="Times New Roman" w:eastAsia="Aptos"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Ak sa podporovanou činnosťou dosiahnu predpokladané emisie skleníkových plynov, ktoré nie sú výrazne nižšie ako príslušné referenčné hodnoty, poskytne sa vysvetlenie dôvodov, prečo to nie je možné. Referenčné hodnoty stanovené na bezo</w:t>
      </w:r>
      <w:r>
        <w:rPr>
          <w:rFonts w:ascii="Times New Roman" w:hAnsi="Times New Roman" w:cs="Times New Roman"/>
          <w:sz w:val="20"/>
          <w:szCs w:val="20"/>
        </w:rPr>
        <w:t>dplatné prideľovanie kvót na činnosti patriace do rozsahu pôsobnosti systému obchodovania s emisiami, ako sa stanovuje vo vykonávacom nariadení Komisie (EÚ) 2021/447</w:t>
      </w:r>
    </w:p>
  </w:footnote>
  <w:footnote w:id="48">
    <w:p w14:paraId="5E536C1C" w14:textId="68298A53" w:rsidR="00BF03AA" w:rsidRDefault="00FB452D">
      <w:pPr>
        <w:spacing w:after="0"/>
        <w:jc w:val="both"/>
        <w:rPr>
          <w:rFonts w:ascii="Times New Roman" w:eastAsia="Aptos"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Toto vylúčenie sa nevzťahuje na činnosti v rámci tohto opatrenia v zariadeniach určených</w:t>
      </w:r>
      <w:r>
        <w:rPr>
          <w:rFonts w:ascii="Times New Roman" w:hAnsi="Times New Roman" w:cs="Times New Roman"/>
          <w:sz w:val="20"/>
          <w:szCs w:val="20"/>
        </w:rPr>
        <w:t xml:space="preserve"> výlučne na spracovanie nerecyklovateľného nebezpečného odpadu a na existujúce zariadenia, ak sú činnosti v rámci tohto opatrenia zamerané na zvýšenie energetickej účinnosti, zachytávanie výfukových plynov na skladovanie alebo používanie alebo zhodnocovani</w:t>
      </w:r>
      <w:r>
        <w:rPr>
          <w:rFonts w:ascii="Times New Roman" w:hAnsi="Times New Roman" w:cs="Times New Roman"/>
          <w:sz w:val="20"/>
          <w:szCs w:val="20"/>
        </w:rPr>
        <w:t>e materiálov zo spaľovania popola za predpokladu, že takéto opatrenia v rámci tohto opatrenia nevedú k zvýšeniu kapacity zariadení na spracovanie odpadu alebo k predĺženiu životnosti zariadení; v prípade ktorých sa poskytujú dôkazy na úrovni zariadenia.</w:t>
      </w:r>
    </w:p>
  </w:footnote>
  <w:footnote w:id="49">
    <w:p w14:paraId="41674876" w14:textId="1CAC894A" w:rsidR="00BF03AA" w:rsidRDefault="00FB452D">
      <w:pPr>
        <w:spacing w:after="0"/>
        <w:jc w:val="both"/>
        <w:rPr>
          <w:rFonts w:ascii="Aptos" w:eastAsia="Aptos" w:hAnsi="Aptos" w:cs="Aptos"/>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w:t>
      </w:r>
      <w:r>
        <w:rPr>
          <w:rFonts w:ascii="Times New Roman" w:hAnsi="Times New Roman" w:cs="Times New Roman"/>
          <w:sz w:val="20"/>
          <w:szCs w:val="20"/>
        </w:rPr>
        <w:t>Toto vylúčenie sa nevzťahuje na akcie v rámci tohto opatrenia v existujúcich zariadeniach na mechanické biologické spracovanie, ak sú činnosti v rámci tohto opatrenia zamerané na zvýšenie energetickej účinnosti alebo prispôsobenie triedeného odpadu na činn</w:t>
      </w:r>
      <w:r>
        <w:rPr>
          <w:rFonts w:ascii="Times New Roman" w:hAnsi="Times New Roman" w:cs="Times New Roman"/>
          <w:sz w:val="20"/>
          <w:szCs w:val="20"/>
        </w:rPr>
        <w:t>osti recyklácie kompostovaného biologického odpadu a anaeróbnej digescie biologického odpadu za predpokladu, že takéto opatrenia v rámci tohto opatrenia nevedú k zvýšeniu kapacity zariadení na spracovanie odpadu alebo k predĺženiu životnosti zariadení; v p</w:t>
      </w:r>
      <w:r>
        <w:rPr>
          <w:rFonts w:ascii="Times New Roman" w:hAnsi="Times New Roman" w:cs="Times New Roman"/>
          <w:sz w:val="20"/>
          <w:szCs w:val="20"/>
        </w:rPr>
        <w:t>rípade ktorých sa poskytujú dôkazy na úrovni zariadenia.</w:t>
      </w:r>
      <w:r>
        <w:rPr>
          <w:rFonts w:ascii="Calibri" w:eastAsia="Calibri" w:hAnsi="Calibri" w:cs="Calibri"/>
        </w:rPr>
        <w:t> </w:t>
      </w:r>
    </w:p>
  </w:footnote>
  <w:footnote w:id="50">
    <w:p w14:paraId="59EE7A40" w14:textId="77777777" w:rsidR="00BF03AA" w:rsidRDefault="00BF03AA">
      <w:pPr>
        <w:pStyle w:val="FootnoteText"/>
        <w:ind w:left="0" w:firstLine="0"/>
      </w:pPr>
    </w:p>
    <w:p w14:paraId="2CD4D05A" w14:textId="0732CD84" w:rsidR="00BF03AA" w:rsidRDefault="00FB452D">
      <w:pPr>
        <w:pStyle w:val="FootnoteText"/>
        <w:ind w:left="0" w:firstLine="0"/>
      </w:pPr>
      <w:r>
        <w:rPr>
          <w:rStyle w:val="FootnoteReference"/>
        </w:rPr>
        <w:footnoteRef/>
      </w:r>
      <w:r>
        <w:t xml:space="preserve"> Od konečných príjemcov zapojených do konkrétnych projektov sa vyžaduje, aby na účely výpočtu príspevku na klímu poskytli odôvodnenie vybranej oblasti intervencie pre každý podporovaný projekt spo</w:t>
      </w:r>
      <w:r>
        <w:t>lu s opisom projektu. Na účely výpočtu klimatického príspevku poskytnú koneční príjemcovia z kapitálových, kvázi kapitálových, podnikových dlhopisov alebo rovnocenných nástrojov, ktoré nie sú zamerané na konkrétne projekty, odôvodnenie vybranej oblasti (ob</w:t>
      </w:r>
      <w:r>
        <w:t>lastí) intervencie. Implementujúci partner je takisto povinný poskytovať členskému štátu polročnú správu o vykonávaní každého projektu/činnosti.</w:t>
      </w:r>
    </w:p>
  </w:footnote>
  <w:footnote w:id="51">
    <w:p w14:paraId="4EF9C993" w14:textId="77777777" w:rsidR="00BF03AA" w:rsidRDefault="00FB452D">
      <w:pPr>
        <w:pStyle w:val="FootnoteText"/>
        <w:ind w:left="0" w:firstLine="0"/>
      </w:pPr>
      <w:r>
        <w:rPr>
          <w:rStyle w:val="FootnoteReference"/>
        </w:rPr>
        <w:footnoteRef/>
      </w:r>
      <w:r>
        <w:t>S výnimkou a) aktív a činností pri výrobe elektriny a/alebo tepla, ako aj súvisiacej prenosovej a distribučnej</w:t>
      </w:r>
      <w:r>
        <w:t xml:space="preserve"> infraštruktúry využívajúcej zemný plyn, ktoré sú v súlade s podmienkami stanovenými v prílohe III k technickému usmerneniu „výrazne nenarušiť“ (2021/C58/01) a b) činností a aktív podľa bodu ii), v prípade ktorých je používanie fosílnych palív dočasné a te</w:t>
      </w:r>
      <w:r>
        <w:t>chnicky nevyhnutné na včasný prechod na prevádzku bez fosílnych palív.</w:t>
      </w:r>
    </w:p>
  </w:footnote>
  <w:footnote w:id="52">
    <w:p w14:paraId="5FB6DCE0" w14:textId="77777777" w:rsidR="00BF03AA" w:rsidRDefault="00FB452D">
      <w:pPr>
        <w:pStyle w:val="FootnoteText"/>
        <w:ind w:left="0" w:firstLine="0"/>
      </w:pPr>
      <w:r>
        <w:rPr>
          <w:rStyle w:val="FootnoteReference"/>
        </w:rPr>
        <w:footnoteRef/>
      </w:r>
      <w:r>
        <w:t xml:space="preserve"> Ak sa podporovanou činnosťou dosiahnu predpokladané emisie skleníkových plynov, ktoré nie sú výrazne nižšie ako príslušné referenčné hodnoty, poskytne sa vysvetlenie dôvodov, prečo to</w:t>
      </w:r>
      <w:r>
        <w:t xml:space="preserve"> nie je možné. Referenčné hodnoty stanovené na bezodplatné prideľovanie kvót na činnosti patriace do rozsahu pôsobnosti systému obchodovania s emisiami, ako sa stanovuje vo vykonávacom nariadení Komisie (EÚ) 2021/447</w:t>
      </w:r>
    </w:p>
  </w:footnote>
  <w:footnote w:id="53">
    <w:p w14:paraId="05445A5D" w14:textId="77777777" w:rsidR="00BF03AA" w:rsidRDefault="00FB452D">
      <w:pPr>
        <w:pStyle w:val="FootnoteText"/>
        <w:ind w:left="0" w:firstLine="0"/>
      </w:pPr>
      <w:r>
        <w:rPr>
          <w:rStyle w:val="FootnoteReference"/>
        </w:rPr>
        <w:footnoteRef/>
      </w:r>
      <w:r>
        <w:t xml:space="preserve"> Toto vylúčenie sa nevzťahuje na činno</w:t>
      </w:r>
      <w:r>
        <w:t>sti v rámci tohto opatrenia v zariadeniach určených výlučne na spracovanie nerecyklovateľného nebezpečného odpadu a na existujúce zariadenia, ak sú činnosti v rámci tohto opatrenia zamerané na zvýšenie energetickej účinnosti, zachytávanie výfukových plynov</w:t>
      </w:r>
      <w:r>
        <w:t xml:space="preserve"> na skladovanie alebo používanie alebo zhodnocovanie materiálov zo spaľovania popola za predpokladu, že takéto opatrenia v rámci tohto opatrenia nevedú k zvýšeniu kapacity zariadení na spracovanie odpadu alebo k predĺženiu životnosti zariadení; v prípade k</w:t>
      </w:r>
      <w:r>
        <w:t>torých sa poskytujú dôkazy na úrovni zariadenia.</w:t>
      </w:r>
    </w:p>
  </w:footnote>
  <w:footnote w:id="54">
    <w:p w14:paraId="2A4B6539" w14:textId="77777777"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 spracovanie, ak sú činnosti v rámci tohto opatrenia zamerané na zvýšenie energetickej účin</w:t>
      </w:r>
      <w:r>
        <w:t xml:space="preserve">nosti alebo prispôsobenie triedeného odpadu na činnosti recyklácie kompostovaného biologického odpadu a anaeróbnej digescie biologického odpadu za predpokladu, že takéto opatrenia v rámci tohto opatrenia nevedú k zvýšeniu kapacity zariadení na spracovanie </w:t>
      </w:r>
      <w:r>
        <w:t xml:space="preserve">odpadu alebo k predĺženiu životnosti zariadení; v prípade ktorých sa poskytujú dôkazy na úrovni zariadenia. </w:t>
      </w:r>
    </w:p>
  </w:footnote>
  <w:footnote w:id="55">
    <w:p w14:paraId="2CF9F919" w14:textId="77777777" w:rsidR="00BF03AA" w:rsidRDefault="00FB452D">
      <w:pPr>
        <w:pStyle w:val="FootnoteText"/>
        <w:ind w:left="0" w:firstLine="0"/>
      </w:pPr>
      <w:r>
        <w:rPr>
          <w:rStyle w:val="FootnoteReference"/>
        </w:rPr>
        <w:footnoteRef/>
      </w:r>
      <w:r>
        <w:t xml:space="preserve"> S výnimkou a) aktív a činností pri výrobe elektriny a/alebo tepla, ako aj súvisiacej prenosovej a distribučnej infraštruktúry využívajúcej zemný </w:t>
      </w:r>
      <w:r>
        <w:t>plyn, ktoré sú v súlade s podmienkami stanovenými v prílohe III k technickému usmerneniu „výrazne nenarušiť“ (2021/C58/01) a b) činností a aktív podľa bodu ii), v prípade ktorých je používanie fosílnych palív dočasné a technicky nevyhnutné na včasný precho</w:t>
      </w:r>
      <w:r>
        <w:t>d na prevádzku bez fosílnych palív.</w:t>
      </w:r>
    </w:p>
  </w:footnote>
  <w:footnote w:id="56">
    <w:p w14:paraId="0CD610FF" w14:textId="77777777" w:rsidR="00BF03AA" w:rsidRDefault="00FB452D">
      <w:pPr>
        <w:pStyle w:val="FootnoteText"/>
        <w:ind w:left="0" w:firstLine="0"/>
      </w:pPr>
      <w:r>
        <w:rPr>
          <w:rStyle w:val="FootnoteReference"/>
        </w:rPr>
        <w:footnoteRef/>
      </w:r>
      <w:r>
        <w:t xml:space="preserve"> Ak sa podporovanou činnosťou dosiahnu predpokladané emisie skleníkových plynov, ktoré nie sú výrazne nižšie ako príslušné referenčné hodnoty, poskytne sa vysvetlenie dôvodov, prečo to nie je možné. Referenčné hodnoty </w:t>
      </w:r>
      <w:r>
        <w:t>stanovené pre bezodplatné prideľovanie kvót pre činnosti, ktoré patria do rozsahu pôsobnosti systému obchodovania s emisiami, ako sa stanovuje vo vykonávacom nariadení Komisie (EÚ) 2021/447.</w:t>
      </w:r>
    </w:p>
  </w:footnote>
  <w:footnote w:id="57">
    <w:p w14:paraId="0B56C31B" w14:textId="77777777" w:rsidR="00BF03AA" w:rsidRDefault="00FB452D">
      <w:pPr>
        <w:pStyle w:val="FootnoteText"/>
        <w:ind w:left="0" w:firstLine="0"/>
      </w:pPr>
      <w:r>
        <w:rPr>
          <w:rStyle w:val="FootnoteReference"/>
        </w:rPr>
        <w:footnoteRef/>
      </w:r>
      <w:r>
        <w:t xml:space="preserve"> Toto vylúčenie sa nevzťahuje na činnosti v rámci tohto opatreni</w:t>
      </w:r>
      <w:r>
        <w:t>a v zariadeniach určených výlučne na spracovanie nerecyklovateľného nebezpečného odpadu a na existujúce zariadenia, ak sú činnosti v rámci tohto opatrenia zamerané na zvýšenie energetickej účinnosti, zachytávanie výfukových plynov na skladovanie alebo použ</w:t>
      </w:r>
      <w:r>
        <w:t>ívanie alebo zhodnocovanie materiálov zo spaľovania popola za predpokladu, že takéto opatrenia v rámci tohto opatrenia nevedú k zvýšeniu kapacity zariadení na spracovanie odpadu alebo k predĺženiu životnosti zariadení; v prípade ktorých sa poskytujú dôkazy</w:t>
      </w:r>
      <w:r>
        <w:t xml:space="preserve"> na úrovni zariadenia. </w:t>
      </w:r>
    </w:p>
  </w:footnote>
  <w:footnote w:id="58">
    <w:p w14:paraId="1A87ACB1" w14:textId="77777777"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 spracovanie, ak sú činnosti v rámci tohto opatrenia zamerané na zvýšenie energetickej účinnosti alebo prispôsobenie</w:t>
      </w:r>
      <w:r>
        <w:t xml:space="preserve"> triedeného odpadu na činnosti recyklácie kompostovaného biologického odpadu a anaeróbnej digescie biologického odpadu za predpokladu, že takéto opatrenia v rámci tohto opatrenia nevedú k zvýšeniu kapacity zariadení na spracovanie odpadu alebo k predĺženiu</w:t>
      </w:r>
      <w:r>
        <w:t xml:space="preserve"> životnosti zariadení; v prípade ktorých sa poskytujú dôkazy na úrovni zariadenia. </w:t>
      </w:r>
    </w:p>
  </w:footnote>
  <w:footnote w:id="59">
    <w:p w14:paraId="61F8B985" w14:textId="77777777" w:rsidR="00BF03AA" w:rsidRDefault="00FB452D">
      <w:pPr>
        <w:pStyle w:val="FootnoteText"/>
        <w:ind w:left="0" w:firstLine="0"/>
      </w:pPr>
      <w:r>
        <w:rPr>
          <w:rStyle w:val="FootnoteReference"/>
        </w:rPr>
        <w:footnoteRef/>
      </w:r>
      <w:r>
        <w:t xml:space="preserve"> Od konečných príjemcov zapojených do konkrétnych projektov sa vyžaduje, aby na účely výpočtu príspevku na klímu poskytli odôvodnenie vybranej oblasti intervencie pre každ</w:t>
      </w:r>
      <w:r>
        <w:t>ý podporovaný projekt spolu s opisom projektu. Na účely výpočtu príspevku v oblasti klímy koneční príjemcovia z kapitálových, kvázi-kapitálových, podnikových dlhopisov alebo rovnocenných nástrojov, ktoré nie sú zamerané na konkrétne projekty, poskytnú odôv</w:t>
      </w:r>
      <w:r>
        <w:t>odnenie vybranej oblasti (oblastí) intervencie. Implementujúci partner je takisto povinný poskytovať členskému štátu polročnú správu o vykonávaní každého projektu/činnosti.</w:t>
      </w:r>
    </w:p>
  </w:footnote>
  <w:footnote w:id="60">
    <w:p w14:paraId="1DF21E80" w14:textId="77777777" w:rsidR="00BF03AA" w:rsidRDefault="00FB452D">
      <w:pPr>
        <w:pStyle w:val="FootnoteText"/>
        <w:ind w:left="0" w:firstLine="0"/>
      </w:pPr>
      <w:r>
        <w:rPr>
          <w:rStyle w:val="FootnoteReference"/>
        </w:rPr>
        <w:footnoteRef/>
      </w:r>
      <w:r>
        <w:t xml:space="preserve"> S výnimkou a) aktív a činností pri výrobe elektriny a/alebo tepla, ako aj súvisia</w:t>
      </w:r>
      <w:r>
        <w:t>cej prenosovej a distribučnej infraštruktúry využívajúcej zemný plyn, ktoré sú v súlade s podmienkami stanovenými v prílohe III k technickému usmerneniu „výrazne nenarušiť“ (2021/C58/01) a b) činností a aktív podľa bodu ii), v prípade ktorých je používanie</w:t>
      </w:r>
      <w:r>
        <w:t xml:space="preserve"> fosílnych palív dočasné a technicky nevyhnutné na včasný prechod na prevádzku bez fosílnych palív.</w:t>
      </w:r>
    </w:p>
  </w:footnote>
  <w:footnote w:id="61">
    <w:p w14:paraId="6C88DFA7" w14:textId="77777777" w:rsidR="00BF03AA" w:rsidRDefault="00FB452D">
      <w:pPr>
        <w:pStyle w:val="FootnoteText"/>
        <w:ind w:left="0" w:firstLine="0"/>
      </w:pPr>
      <w:r>
        <w:rPr>
          <w:rStyle w:val="FootnoteReference"/>
        </w:rPr>
        <w:footnoteRef/>
      </w:r>
      <w:r>
        <w:t xml:space="preserve"> Ak sa podporovanou činnosťou dosiahnu predpokladané emisie skleníkových plynov, ktoré nie sú výrazne nižšie ako príslušné referenčné hodnoty, poskytne sa </w:t>
      </w:r>
      <w:r>
        <w:t>vysvetlenie dôvodov, prečo to nie je možné. Referenčné hodnoty stanovené pre bezodplatné prideľovanie kvót pre činnosti, ktoré patria do rozsahu pôsobnosti systému obchodovania s emisiami, ako sa stanovuje vo vykonávacom nariadení Komisie (EÚ) 2021/447.</w:t>
      </w:r>
    </w:p>
  </w:footnote>
  <w:footnote w:id="62">
    <w:p w14:paraId="59F8EAA0" w14:textId="77777777" w:rsidR="00BF03AA" w:rsidRDefault="00FB452D">
      <w:pPr>
        <w:pStyle w:val="FootnoteText"/>
        <w:ind w:left="0" w:firstLine="0"/>
      </w:pPr>
      <w:r>
        <w:rPr>
          <w:rStyle w:val="FootnoteReference"/>
        </w:rPr>
        <w:footnoteRef/>
      </w:r>
      <w:r>
        <w:t xml:space="preserve"> </w:t>
      </w:r>
      <w:r>
        <w:t>Toto vylúčenie sa nevzťahuje na činnosti v rámci tohto opatrenia v zariadeniach určených výlučne na spracovanie nerecyklovateľného nebezpečného odpadu a na existujúce zariadenia, ak sú činnosti v rámci tohto opatrenia zamerané na zvýšenie energetickej účin</w:t>
      </w:r>
      <w:r>
        <w:t>nosti, zachytávanie výfukových plynov na skladovanie alebo používanie alebo zhodnocovanie materiálov zo spaľovania popola za predpokladu, že takéto opatrenia v rámci tohto opatrenia nevedú k zvýšeniu kapacity zariadení na spracovanie odpadu alebo k predĺže</w:t>
      </w:r>
      <w:r>
        <w:t>niu životnosti zariadení; v prípade ktorých sa poskytujú dôkazy na úrovni zariadenia.</w:t>
      </w:r>
    </w:p>
  </w:footnote>
  <w:footnote w:id="63">
    <w:p w14:paraId="3D4DD7C3" w14:textId="77777777"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 spracovanie, ak sú činnosti v rámci tohto opatrenia zamerané na zvýšenie energetickej účinnosti alebo prispôsobenie triedeného odpadu na čin</w:t>
      </w:r>
      <w:r>
        <w:t xml:space="preserve">nosti recyklácie kompostovaného biologického odpadu a anaeróbnej digescie biologického odpadu za predpokladu, že takéto opatrenia v rámci tohto opatrenia nevedú k zvýšeniu kapacity zariadení na spracovanie odpadu alebo k predĺženiu životnosti zariadení; v </w:t>
      </w:r>
      <w:r>
        <w:t>prípade ktorých sa poskytujú dôkazy na úrovni zariadenia.</w:t>
      </w:r>
    </w:p>
  </w:footnote>
  <w:footnote w:id="64">
    <w:p w14:paraId="6E5B334C" w14:textId="77777777" w:rsidR="00BF03AA" w:rsidRDefault="00FB452D">
      <w:pPr>
        <w:pStyle w:val="FootnoteText"/>
        <w:ind w:left="0" w:firstLine="0"/>
        <w:rPr>
          <w:rStyle w:val="FootnoteReference"/>
          <w:vertAlign w:val="baseline"/>
        </w:rPr>
      </w:pPr>
      <w:r>
        <w:t xml:space="preserve">Maximálna horná hranica </w:t>
      </w:r>
      <w:r>
        <w:rPr>
          <w:rStyle w:val="FootnoteReference"/>
        </w:rPr>
        <w:footnoteRef/>
      </w:r>
      <w:r>
        <w:rPr>
          <w:rStyle w:val="FootnoteReference"/>
        </w:rPr>
        <w:t xml:space="preserve"> </w:t>
      </w:r>
      <w:r>
        <w:t>13 % konkrétne nezahŕňa prenesený záujem, výkonnostné poplatky súvisiace s GTF a všetky náklady a poplatky za riadenie súvisiace s finančnými prostriedkami tretích strán.</w:t>
      </w:r>
    </w:p>
  </w:footnote>
  <w:footnote w:id="65">
    <w:p w14:paraId="3BCBD42F"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Najmä v prípade priamych investícií GTF funguje tak, že poskytuje kapitálovú alebo kvázi kapitálovú podporu; v prípade nepriamych investícií GTF funguje prostredníctvom financovania finančných prostriedkov tretích strán, ktoré fungujú tak, že poskytujú as</w:t>
      </w:r>
      <w:r>
        <w:rPr>
          <w:rStyle w:val="FootnoteReference"/>
          <w:vertAlign w:val="baseline"/>
        </w:rPr>
        <w:t>poň jednu z týchto možností: kapitálové alebo kvázikapitálové, dlhové alebo kvázi dlhové nástroje.</w:t>
      </w:r>
    </w:p>
  </w:footnote>
  <w:footnote w:id="66">
    <w:p w14:paraId="1597E65E"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Predpokladá sa, že konečný príjemca má „podstatné zameranie“ na odvetvie alebo podnikateľskú činnosť, ak je takéto odvetvie alebo činnosť identifikované ak</w:t>
      </w:r>
      <w:r>
        <w:rPr>
          <w:rStyle w:val="FootnoteReference"/>
          <w:vertAlign w:val="baseline"/>
        </w:rPr>
        <w:t>o podstatná súčasť podnikateľskej činnosti konečného príjemcu v súvislosti s hrubými príjmami, ziskom alebo klientskou základňou konečného príjemcu. Hrubé príjmy z obmedzeného odvetvia alebo činnosti v žiadnom prípade nepresiahnu 50 % hrubých príjmov.</w:t>
      </w:r>
    </w:p>
  </w:footnote>
  <w:footnote w:id="67">
    <w:p w14:paraId="7F6D6F13"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t xml:space="preserve">S </w:t>
      </w:r>
      <w:r>
        <w:t>výnimkou a) aktív a činností pri výrobe elektriny a/alebo tepla, ako aj súvisiacej prenosovej a distribučnej infraštruktúry využívajúcej zemný plyn, ktoré sú v súlade s podmienkami stanovenými v prílohe III k technickému usmerneniu „výrazne nenarušiť“ (202</w:t>
      </w:r>
      <w:r>
        <w:t>1/C58/01) a b) činností a aktív podľa bodu ii), v prípade ktorých je používanie fosílnych palív dočasné a technicky nevyhnutné na včasný prechod na prevádzku bez fosílnych palív.</w:t>
      </w:r>
    </w:p>
  </w:footnote>
  <w:footnote w:id="68">
    <w:p w14:paraId="244B1E52"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rPr>
          <w:rFonts w:eastAsia="EC Square Sans Pro"/>
        </w:rPr>
        <w:t>Vrátane činností a aktív v rámci systému EÚ na obchodovanie s emisiami (ETS</w:t>
      </w:r>
      <w:r>
        <w:rPr>
          <w:rFonts w:eastAsia="EC Square Sans Pro"/>
        </w:rPr>
        <w:t>), ktorými sa dosahujú predpokladané emisie skleníkových plynov, ktoré nie sú nižšie ako príslušné referenčné hodnoty. Ak sa podporovanou činnosťou dosiahnu predpokladané emisie skleníkových plynov, ktoré nie sú výrazne nižšie ako príslušné referenčné hodn</w:t>
      </w:r>
      <w:r>
        <w:rPr>
          <w:rFonts w:eastAsia="EC Square Sans Pro"/>
        </w:rPr>
        <w:t xml:space="preserve">oty, poskytne sa vysvetlenie dôvodov, prečo to nie je možné. Referenčné hodnoty stanovené pre bezodplatné prideľovanie kvót pre činnosti, ktoré patria do rozsahu pôsobnosti systému obchodovania s emisiami, ako sa stanovuje vo vykonávacom nariadení Komisie </w:t>
      </w:r>
      <w:r>
        <w:rPr>
          <w:rFonts w:eastAsia="EC Square Sans Pro"/>
        </w:rPr>
        <w:t>(EÚ) 2021/447.</w:t>
      </w:r>
    </w:p>
  </w:footnote>
  <w:footnote w:id="69">
    <w:p w14:paraId="70D6F159" w14:textId="77777777" w:rsidR="00BF03AA" w:rsidRDefault="00FB452D">
      <w:pPr>
        <w:pStyle w:val="FootnoteText"/>
        <w:ind w:left="0" w:firstLine="0"/>
        <w:rPr>
          <w:rStyle w:val="FootnoteReference"/>
        </w:rPr>
      </w:pPr>
      <w:r>
        <w:rPr>
          <w:rStyle w:val="FootnoteReference"/>
        </w:rPr>
        <w:footnoteRef/>
      </w:r>
      <w:r>
        <w:rPr>
          <w:rStyle w:val="FootnoteReference"/>
        </w:rPr>
        <w:t xml:space="preserve"> </w:t>
      </w:r>
      <w:r>
        <w:rPr>
          <w:rFonts w:eastAsia="EC Square Sans Pro"/>
        </w:rPr>
        <w:t>Znečisťujúce vozidlá sa vymedzujú ako vozidlá s nulovými emisiami.</w:t>
      </w:r>
    </w:p>
  </w:footnote>
  <w:footnote w:id="70">
    <w:p w14:paraId="00F5E111" w14:textId="77777777" w:rsidR="00BF03AA" w:rsidRDefault="00FB452D">
      <w:pPr>
        <w:pStyle w:val="FootnoteText"/>
        <w:ind w:left="0" w:firstLine="0"/>
      </w:pPr>
      <w:r>
        <w:rPr>
          <w:rStyle w:val="FootnoteReference"/>
        </w:rPr>
        <w:footnoteRef/>
      </w:r>
      <w:r>
        <w:rPr>
          <w:rStyle w:val="FootnoteReference"/>
        </w:rPr>
        <w:t xml:space="preserve"> </w:t>
      </w:r>
      <w:r>
        <w:rPr>
          <w:rFonts w:eastAsia="EC Square Sans Pro"/>
        </w:rPr>
        <w:t xml:space="preserve">Toto vylúčenie sa nevzťahuje na činnosti v zariadeniach určených výlučne na spracovanie nerecyklovateľného nebezpečného odpadu a na existujúce zariadenia, ak sú činnosti </w:t>
      </w:r>
      <w:r>
        <w:rPr>
          <w:rFonts w:eastAsia="EC Square Sans Pro"/>
        </w:rPr>
        <w:t>v rámci tohto opatrenia zamerané na zvýšenie energetickej účinnosti, zachytávanie výfukových plynov na skladovanie alebo používanie alebo zhodnocovanie materiálov zo spaľovania popola za predpokladu, že takéto činnosti v rámci tohto opatrenia nevedú k zvýš</w:t>
      </w:r>
      <w:r>
        <w:rPr>
          <w:rFonts w:eastAsia="EC Square Sans Pro"/>
        </w:rPr>
        <w:t>eniu kapacity zariadení na spracovanie odpadu alebo k predĺženiu životnosti zariadení; v prípade ktorých sa poskytujú dôkazy na úrovni zariadenia.</w:t>
      </w:r>
    </w:p>
  </w:footnote>
  <w:footnote w:id="71">
    <w:p w14:paraId="57F8253E" w14:textId="77777777" w:rsidR="00BF03AA" w:rsidRDefault="00FB452D">
      <w:pPr>
        <w:pStyle w:val="FootnoteText"/>
        <w:ind w:left="0" w:firstLine="0"/>
      </w:pPr>
      <w:r>
        <w:rPr>
          <w:rStyle w:val="FootnoteReference"/>
          <w:rFonts w:eastAsiaTheme="majorEastAsia"/>
        </w:rPr>
        <w:footnoteRef/>
      </w:r>
      <w:r>
        <w:t xml:space="preserve"> S výnimkou a) aktív a činností pri výrobe elektrickej energie a/alebo tepla, ako aj súvisiacej prenosovej a</w:t>
      </w:r>
      <w:r>
        <w:t xml:space="preserve"> distribučnej infraštruktúry využívajúcej zemný plyn, ktoré spĺňajú podmienky stanovené v prílohe III k technickému usmerneniu „výrazne nenarušiť“ (2021/C58/01).</w:t>
      </w:r>
    </w:p>
  </w:footnote>
  <w:footnote w:id="72">
    <w:p w14:paraId="5666D2DB" w14:textId="6E0FC9E3" w:rsidR="00BF03AA" w:rsidRDefault="00FB452D">
      <w:pPr>
        <w:pStyle w:val="FootnoteText"/>
        <w:ind w:left="0" w:firstLine="0"/>
      </w:pPr>
      <w:r>
        <w:rPr>
          <w:rStyle w:val="FootnoteReference"/>
        </w:rPr>
        <w:footnoteRef/>
      </w:r>
      <w:r>
        <w:t xml:space="preserve"> Od konečných príjemcov zapojených do konkrétnych projektov sa vyžaduje, aby na účely výpočtu</w:t>
      </w:r>
      <w:r>
        <w:t xml:space="preserve"> príspevku na klímu poskytli odôvodnenie vybranej oblasti intervencie pre každý podporovaný projekt spolu s opisom projektu. Na účely výpočtu príspevku v oblasti klímy koneční príjemcovia z kapitálových, kvázi kapitálových, podnikových dlhopisov alebo rovn</w:t>
      </w:r>
      <w:r>
        <w:t>ocenných nástrojov, ktoré nie sú zamerané na konkrétne projekty, uvedú odôvodnenie vybranej oblasti (oblastí) intervencie. Implementujúci partner je takisto povinný poskytovať členskému štátu polročnú správu o vykonávaní každého projektu/činnosti.</w:t>
      </w:r>
    </w:p>
  </w:footnote>
  <w:footnote w:id="73">
    <w:p w14:paraId="2D53AB2B" w14:textId="77777777" w:rsidR="00BF03AA" w:rsidRDefault="00FB452D">
      <w:pPr>
        <w:pStyle w:val="FootnoteText"/>
        <w:ind w:left="0" w:firstLine="0"/>
      </w:pPr>
      <w:r>
        <w:rPr>
          <w:rStyle w:val="FootnoteReference"/>
          <w:rFonts w:eastAsiaTheme="majorEastAsia"/>
        </w:rPr>
        <w:footnoteRef/>
      </w:r>
      <w:r>
        <w:t xml:space="preserve"> S výni</w:t>
      </w:r>
      <w:r>
        <w:t>mkou a) aktív a činností pri výrobe elektriny a/alebo tepla, ako aj súvisiacej prenosovej a distribučnej infraštruktúry využívajúcej zemný plyn, ktoré sú v súlade s podmienkami stanovenými v prílohe III k technickému usmerneniu „výrazne nenarušiť“ (2021/C5</w:t>
      </w:r>
      <w:r>
        <w:t>8/01) a b) činností a aktív podľa bodu ii), v prípade ktorých je používanie fosílnych palív dočasné a technicky nevyhnutné na včasný prechod na prevádzku bez fosílnych palív.</w:t>
      </w:r>
    </w:p>
  </w:footnote>
  <w:footnote w:id="74">
    <w:p w14:paraId="7DDA649D" w14:textId="77777777" w:rsidR="00BF03AA" w:rsidRDefault="00FB452D">
      <w:pPr>
        <w:pStyle w:val="FootnoteText"/>
        <w:ind w:left="0" w:firstLine="0"/>
        <w:rPr>
          <w:rFonts w:eastAsia="EC Square Sans Pro"/>
        </w:rPr>
      </w:pPr>
      <w:r>
        <w:rPr>
          <w:rStyle w:val="FootnoteReference"/>
          <w:rFonts w:eastAsiaTheme="majorEastAsia"/>
        </w:rPr>
        <w:footnoteRef/>
      </w:r>
      <w:r>
        <w:t xml:space="preserve"> </w:t>
      </w:r>
      <w:r>
        <w:rPr>
          <w:rFonts w:eastAsia="EC Square Sans Pro"/>
        </w:rPr>
        <w:t>Ak sa podporovanou činnosťou dosiahnu predpokladané emisie skleníkových plynov,</w:t>
      </w:r>
      <w:r>
        <w:rPr>
          <w:rFonts w:eastAsia="EC Square Sans Pro"/>
        </w:rPr>
        <w:t xml:space="preserve"> ktoré nie sú výrazne nižšie ako príslušné referenčné hodnoty, poskytne sa vysvetlenie dôvodov, prečo to nie je možné. Referenčné hodnoty stanovené pre bezodplatné prideľovanie kvót pre činnosti, ktoré patria do rozsahu pôsobnosti systému obchodovania s em</w:t>
      </w:r>
      <w:r>
        <w:rPr>
          <w:rFonts w:eastAsia="EC Square Sans Pro"/>
        </w:rPr>
        <w:t xml:space="preserve">isiami, ako sa stanovuje vo vykonávacom nariadení Komisie (EÚ) 2021/447. </w:t>
      </w:r>
    </w:p>
  </w:footnote>
  <w:footnote w:id="75">
    <w:p w14:paraId="3E52CCA0" w14:textId="77777777" w:rsidR="00BF03AA" w:rsidRDefault="00FB452D">
      <w:pPr>
        <w:pStyle w:val="FootnoteText"/>
        <w:ind w:left="0" w:firstLine="0"/>
      </w:pPr>
      <w:r>
        <w:rPr>
          <w:rStyle w:val="FootnoteReference"/>
          <w:rFonts w:eastAsiaTheme="majorEastAsia"/>
        </w:rPr>
        <w:footnoteRef/>
      </w:r>
      <w:r>
        <w:t xml:space="preserve"> Toto vylúčenie sa nevzťahuje na činnosti v rámci tohto opatrenia v zariadeniach určených výlučne na spracovanie nerecyklovateľného nebezpečného odpadu a na existujúce zariadenia, a</w:t>
      </w:r>
      <w:r>
        <w:t>k sú činnosti v rámci tohto opatrenia zamerané na zvýšenie energetickej účinnosti, zachytávanie výfukových plynov na skladovanie alebo používanie alebo zhodnocovanie materiálov zo spaľovania popola za predpokladu, že takéto opatrenia v rámci tohto opatreni</w:t>
      </w:r>
      <w:r>
        <w:t>a nevedú k zvýšeniu kapacity zariadení na spracovanie odpadu alebo k predĺženiu životnosti zariadení; v prípade ktorých sa poskytujú dôkazy na úrovni zariadenia. </w:t>
      </w:r>
    </w:p>
  </w:footnote>
  <w:footnote w:id="76">
    <w:p w14:paraId="0980FE0E" w14:textId="77777777" w:rsidR="00BF03AA" w:rsidRDefault="00FB452D">
      <w:pPr>
        <w:pStyle w:val="FootnoteText"/>
        <w:ind w:left="0" w:firstLine="0"/>
      </w:pPr>
      <w:r>
        <w:rPr>
          <w:rStyle w:val="FootnoteReference"/>
          <w:rFonts w:eastAsiaTheme="majorEastAsia"/>
        </w:rPr>
        <w:footnoteRef/>
      </w:r>
      <w:r>
        <w:t xml:space="preserve"> Toto vylúčenie sa nevzťahuje na akcie v rámci tohto opatrenia v existujúcich zariadeniach n</w:t>
      </w:r>
      <w:r>
        <w:t>a mechanické biologické spracovanie, ak sú činnosti v rámci tohto opatrenia zamerané na zvýšenie energetickej účinnosti alebo prispôsobenie triedeného odpadu na činnosti recyklácie kompostovaného biologického odpadu a anaeróbnej digescie biologického odpad</w:t>
      </w:r>
      <w:r>
        <w:t>u za predpokladu, že takéto opatrenia v rámci tohto opatrenia nevedú k zvýšeniu kapacity zariadení na spracovanie odpadu alebo k predĺženiu životnosti zariadení; v prípade ktorých sa poskytujú dôkazy na úrovni zariadenia. </w:t>
      </w:r>
    </w:p>
  </w:footnote>
  <w:footnote w:id="77">
    <w:p w14:paraId="5F40F9FE" w14:textId="57637972" w:rsidR="00BF03AA" w:rsidRDefault="00FB452D">
      <w:pPr>
        <w:pStyle w:val="FootnoteText"/>
        <w:ind w:left="0" w:firstLine="0"/>
        <w:jc w:val="left"/>
      </w:pPr>
      <w:r>
        <w:rPr>
          <w:rStyle w:val="FootnoteReference"/>
        </w:rPr>
        <w:footnoteRef/>
      </w:r>
      <w:r>
        <w:t xml:space="preserve"> S výnimkou a) aktív a činností </w:t>
      </w:r>
      <w:r>
        <w:t>pri výrobe elektriny a/alebo tepla, ako aj súvisiacej prenosovej a distribučnej infraštruktúry využívajúcej zemný plyn, ktoré sú v súlade s podmienkami stanovenými v prílohe III k technickému usmerneniu „výrazne nenarušiť“ (2021/C58/01) a b) činností a akt</w:t>
      </w:r>
      <w:r>
        <w:t>ív podľa bodu ii), v prípade ktorých je používanie fosílnych palív dočasné a technicky nevyhnutné na včasný prechod na prevádzku bez fosílnych palív.</w:t>
      </w:r>
    </w:p>
  </w:footnote>
  <w:footnote w:id="78">
    <w:p w14:paraId="5F67219E" w14:textId="2FDE4722" w:rsidR="00BF03AA" w:rsidRDefault="00FB452D">
      <w:pPr>
        <w:pStyle w:val="FootnoteText"/>
        <w:ind w:left="0" w:firstLine="0"/>
      </w:pPr>
      <w:r>
        <w:rPr>
          <w:rStyle w:val="FootnoteReference"/>
        </w:rPr>
        <w:footnoteRef/>
      </w:r>
      <w:r>
        <w:t xml:space="preserve"> Ak sa podporovanou činnosťou dosiahnu predpokladané emisie skleníkových plynov, ktoré nie sú výrazne </w:t>
      </w:r>
      <w:r>
        <w:t>nižšie ako príslušné referenčné hodnoty, poskytne sa vysvetlenie dôvodov, prečo to nie je možné. Referenčné hodnoty stanovené pre bezodplatné prideľovanie kvót pre činnosti, ktoré patria do rozsahu pôsobnosti systému obchodovania s emisiami, ako sa stanovu</w:t>
      </w:r>
      <w:r>
        <w:t>je vo vykonávacom nariadení Komisie (EÚ) 2021/447. </w:t>
      </w:r>
    </w:p>
  </w:footnote>
  <w:footnote w:id="79">
    <w:p w14:paraId="12729B67" w14:textId="53775914" w:rsidR="00BF03AA" w:rsidRDefault="00FB452D">
      <w:pPr>
        <w:pStyle w:val="FootnoteText"/>
        <w:ind w:left="0" w:firstLine="0"/>
      </w:pPr>
      <w:r>
        <w:rPr>
          <w:rStyle w:val="FootnoteReference"/>
        </w:rPr>
        <w:footnoteRef/>
      </w:r>
      <w:r>
        <w:t xml:space="preserve"> Toto vylúčenie sa nevzťahuje na činnosti v rámci tohto opatrenia v zariadeniach určených výlučne na spracovanie nerecyklovateľného nebezpečného odpadu a na existujúce zariadenia, ak sú činnosti v rámci </w:t>
      </w:r>
      <w:r>
        <w:t>tohto opatrenia zamerané na zvýšenie energetickej účinnosti, zachytávanie výfukových plynov na skladovanie alebo používanie alebo zhodnocovanie materiálov zo spaľovania popola za predpokladu, že takéto opatrenia v rámci tohto opatrenia nevedú k zvýšeniu ka</w:t>
      </w:r>
      <w:r>
        <w:t>pacity zariadení na spracovanie odpadu alebo k predĺženiu životnosti zariadení; v prípade ktorých sa poskytujú dôkazy na úrovni zariadenia.</w:t>
      </w:r>
    </w:p>
  </w:footnote>
  <w:footnote w:id="80">
    <w:p w14:paraId="4AD2B9CE" w14:textId="64187F07"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w:t>
      </w:r>
      <w:r>
        <w:t xml:space="preserve"> spracovanie, ak sú činnosti v rámci tohto opatrenia zamerané na zvýšenie energetickej účinnosti alebo prispôsobenie triedeného odpadu na činnosti recyklácie kompostovaného biologického odpadu a anaeróbnej digescie biologického odpadu za predpokladu, že ta</w:t>
      </w:r>
      <w:r>
        <w:t>kéto opatrenia v rámci tohto opatrenia nevedú k zvýšeniu kapacity zariadení na spracovanie odpadu alebo k predĺženiu životnosti zariadení; v prípade ktorých sa poskytujú dôkazy na úrovni zariadenia.</w:t>
      </w:r>
    </w:p>
  </w:footnote>
  <w:footnote w:id="81">
    <w:p w14:paraId="4733E3CB" w14:textId="77777777" w:rsidR="00BF03AA" w:rsidRDefault="00FB452D">
      <w:pPr>
        <w:pStyle w:val="FootnoteText"/>
        <w:ind w:left="0" w:firstLine="0"/>
      </w:pPr>
      <w:r>
        <w:rPr>
          <w:rStyle w:val="FootnoteReference"/>
        </w:rPr>
        <w:footnoteRef/>
      </w:r>
      <w:r>
        <w:t xml:space="preserve"> Pracovný balík je súčasťou členenia prác na projekte, a</w:t>
      </w:r>
      <w:r>
        <w:t>ko napríklad: testovanie pred investovaním, zručnosti a odborná príprava, riadenie a koordinácia projektov. Predstavuje skupinu projektových prác opísaných v činnostiach a úlohách. Pracovné balíky musia obsahovať jasné a logické prepojenie s cieľmi projekt</w:t>
      </w:r>
      <w:r>
        <w:t xml:space="preserve">u a s ostatnými pracovnými balíkmi. Každý pracovný balík tvorí podčasť projektu, čo je krok vedúci k dosiahnutiu celkových cieľov projektu. </w:t>
      </w:r>
    </w:p>
  </w:footnote>
  <w:footnote w:id="82">
    <w:p w14:paraId="2CB6BA0A" w14:textId="77777777" w:rsidR="00BF03AA" w:rsidRDefault="00FB452D">
      <w:pPr>
        <w:pStyle w:val="FootnoteText"/>
      </w:pPr>
      <w:r>
        <w:rPr>
          <w:rStyle w:val="FootnoteReference"/>
          <w:rFonts w:eastAsiaTheme="majorEastAsia"/>
        </w:rPr>
        <w:footnoteRef/>
      </w:r>
      <w:r>
        <w:t xml:space="preserve"> Konkrétne maximálny strop vo výške 13 % nezahŕňa prenášaný záujem, výkonnostné poplatky súvisiace s DTF a</w:t>
      </w:r>
    </w:p>
    <w:p w14:paraId="790BDC8F" w14:textId="77777777" w:rsidR="00BF03AA" w:rsidRDefault="00FB452D">
      <w:pPr>
        <w:pStyle w:val="FootnoteText"/>
      </w:pPr>
      <w:r>
        <w:t xml:space="preserve">všetky </w:t>
      </w:r>
      <w:r>
        <w:t>náklady a poplatky za riadenie súvisiace s nepriamymi investíciami/fondmi tretích strán.</w:t>
      </w:r>
    </w:p>
  </w:footnote>
  <w:footnote w:id="83">
    <w:p w14:paraId="57194C5D" w14:textId="77777777" w:rsidR="00BF03AA" w:rsidRDefault="00FB452D">
      <w:pPr>
        <w:pStyle w:val="FootnoteText"/>
        <w:ind w:left="0" w:firstLine="0"/>
        <w:rPr>
          <w:rStyle w:val="FootnoteReference"/>
          <w:vertAlign w:val="baseline"/>
        </w:rPr>
      </w:pPr>
      <w:r>
        <w:rPr>
          <w:rStyle w:val="FootnoteReference"/>
        </w:rPr>
        <w:footnoteRef/>
      </w:r>
      <w:r>
        <w:rPr>
          <w:rStyle w:val="FootnoteReference"/>
        </w:rPr>
        <w:t xml:space="preserve"> </w:t>
      </w:r>
      <w:r>
        <w:rPr>
          <w:rStyle w:val="FootnoteReference"/>
          <w:vertAlign w:val="baseline"/>
        </w:rPr>
        <w:t>Najmä v prípade priamych investícií DTF funguje tak, že poskytuje kapitálovú alebo kvázi kapitálovú podporu;</w:t>
      </w:r>
    </w:p>
    <w:p w14:paraId="009373B7" w14:textId="77777777" w:rsidR="00BF03AA" w:rsidRDefault="00FB452D">
      <w:pPr>
        <w:pStyle w:val="FootnoteText"/>
        <w:ind w:left="0" w:firstLine="0"/>
        <w:rPr>
          <w:rStyle w:val="FootnoteReference"/>
        </w:rPr>
      </w:pPr>
      <w:r>
        <w:rPr>
          <w:rStyle w:val="FootnoteReference"/>
          <w:vertAlign w:val="baseline"/>
        </w:rPr>
        <w:t>v prípade nepriamych investícií DTF funguje prostredníct</w:t>
      </w:r>
      <w:r>
        <w:rPr>
          <w:rStyle w:val="FootnoteReference"/>
          <w:vertAlign w:val="baseline"/>
        </w:rPr>
        <w:t>vom financovania fondov tretích strán, ktoré fungujú tak, že poskytujú aspoň jednu z týchto možností: kapitálové alebo kvázikapitálové, dlhové alebo kvázi dlhové nástroje.</w:t>
      </w:r>
    </w:p>
  </w:footnote>
  <w:footnote w:id="84">
    <w:p w14:paraId="33CAE47C" w14:textId="77777777" w:rsidR="00BF03AA" w:rsidRDefault="00FB452D">
      <w:pPr>
        <w:spacing w:after="0" w:line="240" w:lineRule="auto"/>
        <w:jc w:val="both"/>
        <w:rPr>
          <w:rFonts w:ascii="Times New Roman" w:eastAsia="Times New Roman" w:hAnsi="Times New Roman" w:cs="Times New Roman"/>
        </w:rPr>
      </w:pPr>
      <w:r>
        <w:rPr>
          <w:rStyle w:val="FootnoteReference"/>
          <w:sz w:val="20"/>
          <w:szCs w:val="20"/>
        </w:rPr>
        <w:footnoteRef/>
      </w:r>
      <w:r>
        <w:rPr>
          <w:rStyle w:val="FootnoteReference"/>
          <w:sz w:val="20"/>
          <w:szCs w:val="20"/>
        </w:rPr>
        <w:t xml:space="preserve"> </w:t>
      </w:r>
      <w:r>
        <w:rPr>
          <w:rStyle w:val="FootnoteReference"/>
          <w:rFonts w:ascii="Times New Roman" w:hAnsi="Times New Roman" w:cs="Times New Roman"/>
          <w:sz w:val="20"/>
          <w:szCs w:val="20"/>
          <w:vertAlign w:val="baseline"/>
        </w:rPr>
        <w:t>Predpokladá sa, že konečný príjemca má „podstatné zameranie“ na odvetvie alebo pod</w:t>
      </w:r>
      <w:r>
        <w:rPr>
          <w:rStyle w:val="FootnoteReference"/>
          <w:rFonts w:ascii="Times New Roman" w:hAnsi="Times New Roman" w:cs="Times New Roman"/>
          <w:sz w:val="20"/>
          <w:szCs w:val="20"/>
          <w:vertAlign w:val="baseline"/>
        </w:rPr>
        <w:t>nikateľskú činnosť, ak je takéto odvetvie alebo činnosť identifikované ako podstatná súčasť podnikateľskej činnosti konečného príjemcu v súvislosti s hrubými príjmami, ziskom alebo klientskou základňou konečného príjemcu. Hrubé príjmy z obmedzeného odvetvi</w:t>
      </w:r>
      <w:r>
        <w:rPr>
          <w:rStyle w:val="FootnoteReference"/>
          <w:rFonts w:ascii="Times New Roman" w:hAnsi="Times New Roman" w:cs="Times New Roman"/>
          <w:sz w:val="20"/>
          <w:szCs w:val="20"/>
          <w:vertAlign w:val="baseline"/>
        </w:rPr>
        <w:t>a alebo činnosti v žiadnom prípade nepresiahnu 50 % hrubých príjmov.</w:t>
      </w:r>
    </w:p>
  </w:footnote>
  <w:footnote w:id="85">
    <w:p w14:paraId="09AC3AF3" w14:textId="77777777" w:rsidR="00BF03AA" w:rsidRDefault="00FB452D">
      <w:pPr>
        <w:spacing w:after="0" w:line="240" w:lineRule="auto"/>
        <w:jc w:val="both"/>
        <w:rPr>
          <w:rFonts w:ascii="Times New Roman" w:eastAsia="Times New Roman" w:hAnsi="Times New Roman" w:cs="Times New Roman"/>
          <w:sz w:val="20"/>
          <w:szCs w:val="20"/>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S výnimkou a) aktív a činností pri výrobe elektriny a/alebo tepla, ako aj súvisiacej prenosovej a distribučnej infraštruktúry využívajúcej zemný plyn, ktoré sú v súlade s podmienkami st</w:t>
      </w:r>
      <w:r>
        <w:rPr>
          <w:rFonts w:ascii="Times New Roman" w:hAnsi="Times New Roman" w:cs="Times New Roman"/>
          <w:sz w:val="20"/>
          <w:szCs w:val="20"/>
        </w:rPr>
        <w:t>anovenými v prílohe III k technickému usmerneniu „</w:t>
      </w:r>
      <w:r>
        <w:rPr>
          <w:rFonts w:ascii="Times New Roman" w:eastAsia="Times New Roman" w:hAnsi="Times New Roman" w:cs="Times New Roman"/>
          <w:i/>
          <w:sz w:val="20"/>
          <w:szCs w:val="20"/>
        </w:rPr>
        <w:t>výrazne nenarušiť</w:t>
      </w:r>
      <w:r>
        <w:rPr>
          <w:rFonts w:ascii="Times New Roman" w:eastAsia="Times New Roman" w:hAnsi="Times New Roman" w:cs="Times New Roman"/>
          <w:sz w:val="20"/>
          <w:szCs w:val="20"/>
        </w:rPr>
        <w:t>“ (2021/C58/01) a b) činností a aktív podľa bodu ii), v prípade ktorých je používanie fosílnych palív dočasné a technicky nevyhnutné na včasný prechod na prevádzku bez fosílnych palív.</w:t>
      </w:r>
    </w:p>
  </w:footnote>
  <w:footnote w:id="86">
    <w:p w14:paraId="2F5E2959" w14:textId="77777777" w:rsidR="00BF03AA" w:rsidRDefault="00FB452D">
      <w:pPr>
        <w:spacing w:after="0" w:line="240" w:lineRule="auto"/>
        <w:jc w:val="both"/>
        <w:rPr>
          <w:rStyle w:val="FootnoteReference"/>
          <w:rFonts w:ascii="Times New Roman" w:hAnsi="Times New Roman" w:cs="Times New Roman"/>
          <w:sz w:val="20"/>
          <w:szCs w:val="20"/>
          <w:vertAlign w:val="baseline"/>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rPr>
        <w:t xml:space="preserve"> </w:t>
      </w:r>
      <w:r>
        <w:rPr>
          <w:rStyle w:val="FootnoteReference"/>
          <w:rFonts w:ascii="Times New Roman" w:hAnsi="Times New Roman" w:cs="Times New Roman"/>
          <w:sz w:val="20"/>
          <w:szCs w:val="20"/>
          <w:vertAlign w:val="baseline"/>
        </w:rPr>
        <w:t>Vrátane činností a aktív v rámci systému EÚ na obchodovanie s emisiami (ETS), ktorými sa dosahujú predpokladané emisie skleníkových plynov, ktoré nie sú nižšie ako príslušné referenčné hodnoty. Ak sa podporovanou činnosťou dosiahnu predpokladané emisie skl</w:t>
      </w:r>
      <w:r>
        <w:rPr>
          <w:rStyle w:val="FootnoteReference"/>
          <w:rFonts w:ascii="Times New Roman" w:hAnsi="Times New Roman" w:cs="Times New Roman"/>
          <w:sz w:val="20"/>
          <w:szCs w:val="20"/>
          <w:vertAlign w:val="baseline"/>
        </w:rPr>
        <w:t xml:space="preserve">eníkových plynov, ktoré nie sú výrazne nižšie ako príslušné referenčné hodnoty, poskytne sa vysvetlenie dôvodov, prečo to nie je možné. Referenčné hodnoty stanovené pre bezodplatné prideľovanie kvót pre činnosti, ktoré patria do rozsahu pôsobnosti systému </w:t>
      </w:r>
      <w:r>
        <w:rPr>
          <w:rStyle w:val="FootnoteReference"/>
          <w:rFonts w:ascii="Times New Roman" w:hAnsi="Times New Roman" w:cs="Times New Roman"/>
          <w:sz w:val="20"/>
          <w:szCs w:val="20"/>
          <w:vertAlign w:val="baseline"/>
        </w:rPr>
        <w:t>obchodovania s emisiami, ako sa stanovuje vo vykonávacom nariadení Komisie (EÚ) 2021/447.</w:t>
      </w:r>
    </w:p>
  </w:footnote>
  <w:footnote w:id="87">
    <w:p w14:paraId="4A650BD8" w14:textId="77777777" w:rsidR="00BF03AA" w:rsidRDefault="00FB452D">
      <w:pPr>
        <w:spacing w:after="0" w:line="240" w:lineRule="auto"/>
        <w:jc w:val="both"/>
        <w:rPr>
          <w:rStyle w:val="FootnoteReference"/>
          <w:rFonts w:ascii="Times New Roman" w:hAnsi="Times New Roman" w:cs="Times New Roman"/>
          <w:sz w:val="20"/>
          <w:szCs w:val="20"/>
          <w:vertAlign w:val="baseline"/>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vertAlign w:val="baseline"/>
        </w:rPr>
        <w:t>Znečisťujúce vozidlá sa vymedzujú ako vozidlá s nulovými emisiami.</w:t>
      </w:r>
    </w:p>
  </w:footnote>
  <w:footnote w:id="88">
    <w:p w14:paraId="21842AC2" w14:textId="77777777" w:rsidR="00BF03AA" w:rsidRDefault="00FB452D">
      <w:pPr>
        <w:spacing w:after="0" w:line="240" w:lineRule="auto"/>
        <w:jc w:val="both"/>
        <w:rPr>
          <w:rFonts w:ascii="Times New Roman" w:eastAsia="Times New Roman" w:hAnsi="Times New Roman" w:cs="Times New Roman"/>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rPr>
        <w:t xml:space="preserve"> </w:t>
      </w:r>
      <w:r>
        <w:rPr>
          <w:rStyle w:val="FootnoteReference"/>
          <w:rFonts w:ascii="Times New Roman" w:hAnsi="Times New Roman" w:cs="Times New Roman"/>
          <w:sz w:val="20"/>
          <w:szCs w:val="20"/>
          <w:vertAlign w:val="baseline"/>
        </w:rPr>
        <w:t>Toto vylúčenie sa nevzťahuje na činnosti v zariadeniach určených výlučne na spracovanie nerecykl</w:t>
      </w:r>
      <w:r>
        <w:rPr>
          <w:rStyle w:val="FootnoteReference"/>
          <w:rFonts w:ascii="Times New Roman" w:hAnsi="Times New Roman" w:cs="Times New Roman"/>
          <w:sz w:val="20"/>
          <w:szCs w:val="20"/>
          <w:vertAlign w:val="baseline"/>
        </w:rPr>
        <w:t>ovateľného nebezpečného odpadu a na existujúce zariadenia, ak sú činnosti v rámci tohto opatrenia zamerané na zvýšenie energetickej účinnosti, zachytávanie výfukových plynov na skladovanie alebo používanie alebo zhodnocovanie materiálov zo spaľovania popol</w:t>
      </w:r>
      <w:r>
        <w:rPr>
          <w:rStyle w:val="FootnoteReference"/>
          <w:rFonts w:ascii="Times New Roman" w:hAnsi="Times New Roman" w:cs="Times New Roman"/>
          <w:sz w:val="20"/>
          <w:szCs w:val="20"/>
          <w:vertAlign w:val="baseline"/>
        </w:rPr>
        <w:t>a za predpokladu, že takéto činnosti v rámci tohto opatrenia nevedú k zvýšeniu kapacity zariadení na spracovanie odpadu alebo k predĺženiu životnosti zariadení; v prípade ktorých sa poskytujú dôkazy na úrovni zariadenia.</w:t>
      </w:r>
    </w:p>
  </w:footnote>
  <w:footnote w:id="89">
    <w:p w14:paraId="6F9200E1" w14:textId="77777777" w:rsidR="00BF03AA" w:rsidRDefault="00FB452D">
      <w:pPr>
        <w:pStyle w:val="FootnoteText"/>
        <w:ind w:left="0" w:firstLine="0"/>
      </w:pPr>
      <w:r>
        <w:rPr>
          <w:rStyle w:val="FootnoteReference"/>
        </w:rPr>
        <w:footnoteRef/>
      </w:r>
      <w:r>
        <w:t xml:space="preserve"> S výnimkou a) aktív a činností pr</w:t>
      </w:r>
      <w:r>
        <w:t>i výrobe elektriny a/alebo tepla, ako aj súvisiacej prenosovej a distribučnej infraštruktúry využívajúcej zemný plyn, ktoré sú v súlade s podmienkami stanovenými v prílohe III k technickému usmerneniu „výrazne nenarušiť“ (2021/C58/01) a b) činností a aktív</w:t>
      </w:r>
      <w:r>
        <w:t xml:space="preserve"> podľa bodu ii), v prípade ktorých je používanie fosílnych palív dočasné a technicky nevyhnutné na včasný prechod na prevádzku bez fosílnych palív.</w:t>
      </w:r>
    </w:p>
  </w:footnote>
  <w:footnote w:id="90">
    <w:p w14:paraId="4F389F10" w14:textId="77777777" w:rsidR="00BF03AA" w:rsidRDefault="00FB452D">
      <w:pPr>
        <w:pStyle w:val="FootnoteText"/>
        <w:ind w:left="0" w:firstLine="0"/>
        <w:rPr>
          <w:rFonts w:eastAsia="EC Square Sans Pro"/>
        </w:rPr>
      </w:pPr>
      <w:r>
        <w:rPr>
          <w:rStyle w:val="FootnoteReference"/>
        </w:rPr>
        <w:footnoteRef/>
      </w:r>
      <w:r>
        <w:t xml:space="preserve"> </w:t>
      </w:r>
      <w:r>
        <w:rPr>
          <w:rFonts w:eastAsia="EC Square Sans Pro"/>
        </w:rPr>
        <w:t>Ak sa podporovanou činnosťou dosiahnu predpokladané emisie skleníkových plynov, ktoré nie sú výrazne nižši</w:t>
      </w:r>
      <w:r>
        <w:rPr>
          <w:rFonts w:eastAsia="EC Square Sans Pro"/>
        </w:rPr>
        <w:t>e ako príslušné referenčné hodnoty, poskytne sa vysvetlenie dôvodov, prečo to nie je možné. Referenčné hodnoty stanovené pre bezodplatné prideľovanie kvót pre činnosti, ktoré patria do rozsahu pôsobnosti systému obchodovania s emisiami, ako sa stanovuje vo</w:t>
      </w:r>
      <w:r>
        <w:rPr>
          <w:rFonts w:eastAsia="EC Square Sans Pro"/>
        </w:rPr>
        <w:t xml:space="preserve"> vykonávacom nariadení Komisie (EÚ) 2021/447. </w:t>
      </w:r>
    </w:p>
  </w:footnote>
  <w:footnote w:id="91">
    <w:p w14:paraId="4A3B153C" w14:textId="77777777" w:rsidR="00BF03AA" w:rsidRDefault="00FB452D">
      <w:pPr>
        <w:pStyle w:val="FootnoteText"/>
        <w:ind w:left="0" w:firstLine="0"/>
        <w:rPr>
          <w:rFonts w:eastAsiaTheme="minorHAnsi" w:cstheme="minorBidi"/>
        </w:rPr>
      </w:pPr>
      <w:r>
        <w:rPr>
          <w:rStyle w:val="FootnoteReference"/>
        </w:rPr>
        <w:footnoteRef/>
      </w:r>
      <w:r>
        <w:t xml:space="preserve"> Toto vylúčenie sa nevzťahuje na činnosti v rámci tohto opatrenia v zariadeniach určených výlučne na spracovanie nerecyklovateľného nebezpečného odpadu a na existujúce zariadenia, ak sú činnosti v rámci tohto</w:t>
      </w:r>
      <w:r>
        <w:t xml:space="preserve"> opatrenia zamerané na zvýšenie energetickej účinnosti, zachytávanie výfukových plynov na skladovanie alebo používanie alebo zhodnocovanie materiálov zo spaľovania popola za predpokladu, že takéto opatrenia v rámci tohto opatrenia nevedú k zvýšeniu kapacit</w:t>
      </w:r>
      <w:r>
        <w:t>y zariadení na spracovanie odpadu alebo k predĺženiu životnosti zariadení; v prípade ktorých sa poskytujú dôkazy na úrovni zariadenia. </w:t>
      </w:r>
    </w:p>
  </w:footnote>
  <w:footnote w:id="92">
    <w:p w14:paraId="57AA7244" w14:textId="77777777" w:rsidR="00BF03AA" w:rsidRDefault="00FB452D">
      <w:pPr>
        <w:pStyle w:val="FootnoteText"/>
        <w:ind w:left="0" w:firstLine="0"/>
      </w:pPr>
      <w:r>
        <w:rPr>
          <w:rStyle w:val="FootnoteReference"/>
        </w:rPr>
        <w:footnoteRef/>
      </w:r>
      <w:r>
        <w:t xml:space="preserve"> Toto vylúčenie sa nevzťahuje na akcie v rámci tohto opatrenia v existujúcich zariadeniach na mechanické biologické spr</w:t>
      </w:r>
      <w:r>
        <w:t>acovanie, ak sú činnosti v rámci tohto opatrenia zamerané na zvýšenie energetickej účinnosti alebo prispôsobenie triedeného odpadu na činnosti recyklácie kompostovaného biologického odpadu a anaeróbnej digescie biologického odpadu za predpokladu, že takéto</w:t>
      </w:r>
      <w:r>
        <w:t xml:space="preserve"> opatrenia v rámci tohto opatrenia nevedú k zvýšeniu kapacity zariadení na spracovanie odpadu alebo k predĺženiu životnosti zariadení; v prípade ktorých sa poskytujú dôkazy na úrovni zariadenia. </w:t>
      </w:r>
    </w:p>
  </w:footnote>
  <w:footnote w:id="93">
    <w:p w14:paraId="554975A4" w14:textId="77777777" w:rsidR="00BF03AA" w:rsidRDefault="00FB452D">
      <w:pPr>
        <w:pStyle w:val="FootnoteText"/>
        <w:ind w:left="0" w:firstLine="0"/>
      </w:pPr>
      <w:r>
        <w:rPr>
          <w:rStyle w:val="FootnoteReference"/>
        </w:rPr>
        <w:footnoteRef/>
      </w:r>
      <w:r>
        <w:t xml:space="preserve"> Okrem projektov v rámci tohto opatrenia v oblasti výroby e</w:t>
      </w:r>
      <w:r>
        <w:t>lektrickej energie a/alebo tepla, ako aj súvisiacej prenosovej a distribučnej infraštruktúry využívajúcej zemný plyn, ktoré spĺňajú podmienky stanovené v prílohe III k technickému usmerneniu „nespôsobiť žiadne významné škody“ (2021/C58/01).</w:t>
      </w:r>
    </w:p>
  </w:footnote>
  <w:footnote w:id="94">
    <w:p w14:paraId="7E32F814" w14:textId="77777777" w:rsidR="00BF03AA" w:rsidRDefault="00FB452D">
      <w:pPr>
        <w:pStyle w:val="FootnoteText"/>
        <w:ind w:left="0" w:firstLine="0"/>
      </w:pPr>
      <w:r>
        <w:rPr>
          <w:rStyle w:val="FootnoteReference"/>
        </w:rPr>
        <w:footnoteRef/>
      </w:r>
      <w:r>
        <w:t xml:space="preserve"> Ak sa v rámci</w:t>
      </w:r>
      <w:r>
        <w:t xml:space="preserve"> podporovanej činnosti dosiahnu predpokladané emisie skleníkových plynov, ktoré nie sú výrazne nižšie ako príslušné referenčné hodnoty, malo by sa poskytnúť vysvetlenie dôvodov, prečo to nie je možné. Referenčné hodnoty stanovené pre bezodplatné prideľovan</w:t>
      </w:r>
      <w:r>
        <w:t>ie kvót pre činnosti, ktoré patria do rozsahu pôsobnosti systému obchodovania s emisiami, ako sa stanovuje vo vykonávacom nariadení Komisie (EÚ) 2021/447.</w:t>
      </w:r>
    </w:p>
  </w:footnote>
  <w:footnote w:id="95">
    <w:p w14:paraId="04641FDD" w14:textId="77777777" w:rsidR="00BF03AA" w:rsidRDefault="00FB452D">
      <w:pPr>
        <w:spacing w:after="0" w:line="240" w:lineRule="auto"/>
        <w:jc w:val="both"/>
        <w:rPr>
          <w:rFonts w:ascii="Times New Roman" w:hAnsi="Times New Roman" w:cs="Times New Roman"/>
        </w:rPr>
      </w:pPr>
      <w:r>
        <w:rPr>
          <w:rStyle w:val="FootnoteReference"/>
          <w:rFonts w:ascii="Times New Roman" w:hAnsi="Times New Roman" w:cs="Times New Roman"/>
          <w:sz w:val="20"/>
          <w:szCs w:val="20"/>
        </w:rPr>
        <w:footnoteRef/>
      </w:r>
      <w:r>
        <w:rPr>
          <w:rFonts w:ascii="Times New Roman" w:hAnsi="Times New Roman" w:cs="Times New Roman"/>
          <w:sz w:val="20"/>
        </w:rPr>
        <w:t xml:space="preserve"> Toto vylúčenie sa nevzťahuje na činnosti v rámci tohto opatrenia v zariadeniach určených výlučne na</w:t>
      </w:r>
      <w:r>
        <w:rPr>
          <w:rFonts w:ascii="Times New Roman" w:hAnsi="Times New Roman" w:cs="Times New Roman"/>
          <w:sz w:val="20"/>
        </w:rPr>
        <w:t xml:space="preserve"> spracovanie nerecyklovateľného nebezpečného odpadu a na existujúce zariadenia, ak sú činnosti v rámci tohto opatrenia zamerané na zvýšenie energetickej účinnosti, zachytávanie výfukových plynov na skladovanie alebo používanie alebo zhodnocovanie materiálo</w:t>
      </w:r>
      <w:r>
        <w:rPr>
          <w:rFonts w:ascii="Times New Roman" w:hAnsi="Times New Roman" w:cs="Times New Roman"/>
          <w:sz w:val="20"/>
        </w:rPr>
        <w:t>v zo spaľovania popola za predpokladu, že takéto opatrenia v rámci tohto opatrenia nevedú k zvýšeniu kapacity zariadení na spracovanie odpadu alebo k predĺženiu životnosti zariadení; v prípade ktorých sa poskytujú dôkazy na úrovni zariadenia.</w:t>
      </w:r>
    </w:p>
  </w:footnote>
  <w:footnote w:id="96">
    <w:p w14:paraId="102719DC" w14:textId="77777777" w:rsidR="00BF03AA" w:rsidRDefault="00FB452D">
      <w:pPr>
        <w:pStyle w:val="FootnoteText"/>
        <w:ind w:left="0" w:firstLine="0"/>
      </w:pPr>
      <w:r>
        <w:rPr>
          <w:rStyle w:val="FootnoteReference"/>
        </w:rPr>
        <w:footnoteRef/>
      </w:r>
      <w:r>
        <w:t xml:space="preserve"> Toto vylúče</w:t>
      </w:r>
      <w:r>
        <w:t>nie sa nevzťahuje na akcie v rámci tohto opatrenia v existujúcich zariadeniach na mechanické biologické spracovanie, ak sú činnosti v rámci tohto opatrenia zamerané na zvýšenie energetickej účinnosti alebo prispôsobenie triedeného odpadu na činnosti recykl</w:t>
      </w:r>
      <w:r>
        <w:t>ácie kompostovaného biologického odpadu a anaeróbnej digescie biologického odpadu za predpokladu, že takéto opatrenia v rámci tohto opatrenia nevedú k zvýšeniu kapacity zariadení na spracovanie odpadu alebo k predĺženiu životnosti zariadení; v prípade ktor</w:t>
      </w:r>
      <w:r>
        <w:t>ých sa poskytujú dôkazy na úrovni zariadenia.</w:t>
      </w:r>
    </w:p>
  </w:footnote>
  <w:footnote w:id="97">
    <w:p w14:paraId="1BE840AA" w14:textId="77777777" w:rsidR="00BF03AA" w:rsidRDefault="00BF03AA"/>
  </w:footnote>
  <w:footnote w:id="98">
    <w:p w14:paraId="4B04E9F4" w14:textId="2BAAE38D" w:rsidR="00BF03AA" w:rsidRDefault="00FB452D">
      <w:pPr>
        <w:pStyle w:val="FootnoteText"/>
        <w:ind w:left="0" w:firstLine="0"/>
      </w:pPr>
      <w:r>
        <w:rPr>
          <w:rStyle w:val="FootnoteReference"/>
        </w:rPr>
        <w:footnoteRef/>
      </w:r>
      <w:r>
        <w:t xml:space="preserve"> Od konečných príjemcov zapojených do konkrétnych projektov sa vyžaduje, aby na účely výpočtu príspevku na klímu poskytli odôvodnenie vybranej oblasti intervencie pre každý podporovaný projekt spolu s opisom </w:t>
      </w:r>
      <w:r>
        <w:t>projektu. Implementujúci partner je takisto povinný poskytovať členskému štátu polročnú správu o vykonávaní každého projektu/činnosti.</w:t>
      </w:r>
    </w:p>
  </w:footnote>
  <w:footnote w:id="99">
    <w:p w14:paraId="38058091" w14:textId="77777777" w:rsidR="00BF03AA" w:rsidRDefault="00FB452D">
      <w:pPr>
        <w:pStyle w:val="FootnoteText"/>
        <w:ind w:left="0" w:firstLine="0"/>
      </w:pPr>
      <w:r>
        <w:rPr>
          <w:rStyle w:val="FootnoteReference"/>
          <w:rFonts w:eastAsiaTheme="majorEastAsia"/>
        </w:rPr>
        <w:footnoteRef/>
      </w:r>
      <w:r>
        <w:t xml:space="preserve"> Predpokladá sa, že konečný príjemca má „podstatné zameranie“ na odvetvie alebo podnikateľskú činnosť, ak je takéto </w:t>
      </w:r>
      <w:r>
        <w:t>odvetvie alebo činnosť identifikované ako podstatná súčasť podnikateľskej činnosti konečného príjemcu v súvislosti s hrubými príjmami, ziskom alebo klientskou základňou konečného príjemcu. Hrubé príjmy z obmedzeného odvetvia alebo činnosti v žiadnom prípad</w:t>
      </w:r>
      <w:r>
        <w:t>e nepresiahnu 50 % hrubých príjmov.</w:t>
      </w:r>
    </w:p>
  </w:footnote>
  <w:footnote w:id="100">
    <w:p w14:paraId="4622071A" w14:textId="77777777" w:rsidR="00BF03AA" w:rsidRDefault="00FB452D">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S výnimkou a) aktív a činností pri výrobe elektriny a/alebo tepla, ako aj súvisiacej prenosovej a distribučnej infraštruktúry využívajúcej zemný plyn, ktoré sú v súlade s podmienkami stanovenými v prílohe III k technic</w:t>
      </w:r>
      <w:r>
        <w:rPr>
          <w:rFonts w:ascii="Times New Roman" w:hAnsi="Times New Roman" w:cs="Times New Roman"/>
          <w:sz w:val="20"/>
        </w:rPr>
        <w:t>kému usmerneniu „výrazne nenarušiť“ (2021/C58/01) a b) činností a aktív podľa bodu ii), v prípade ktorých je používanie fosílnych palív dočasné a technicky nevyhnutné na včasný prechod na prevádzku bez fosílnych palív.</w:t>
      </w:r>
    </w:p>
  </w:footnote>
  <w:footnote w:id="101">
    <w:p w14:paraId="227754C7" w14:textId="77777777" w:rsidR="00BF03AA" w:rsidRDefault="00FB452D">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Vrátane činností a aktív v rámci sy</w:t>
      </w:r>
      <w:r>
        <w:rPr>
          <w:rFonts w:ascii="Times New Roman" w:hAnsi="Times New Roman" w:cs="Times New Roman"/>
          <w:sz w:val="20"/>
        </w:rPr>
        <w:t>stému EÚ na obchodovanie s emisiami (ETS), ktorými sa dosahujú predpokladané emisie skleníkových plynov, ktoré nie sú nižšie ako príslušné referenčné hodnoty. Ak sa podporovanou činnosťou dosiahnu predpokladané emisie skleníkových plynov, ktoré nie sú výra</w:t>
      </w:r>
      <w:r>
        <w:rPr>
          <w:rFonts w:ascii="Times New Roman" w:hAnsi="Times New Roman" w:cs="Times New Roman"/>
          <w:sz w:val="20"/>
        </w:rPr>
        <w:t>zne nižšie ako príslušné referenčné hodnoty, poskytne sa vysvetlenie dôvodov, prečo to nie je možné. Referenčné hodnoty stanovené pre bezodplatné prideľovanie kvót pre činnosti, ktoré patria do rozsahu pôsobnosti systému obchodovania s emisiami, ako sa sta</w:t>
      </w:r>
      <w:r>
        <w:rPr>
          <w:rFonts w:ascii="Times New Roman" w:hAnsi="Times New Roman" w:cs="Times New Roman"/>
          <w:sz w:val="20"/>
        </w:rPr>
        <w:t>novuje vo vykonávacom nariadení Komisie (EÚ) 2021/447.</w:t>
      </w:r>
    </w:p>
  </w:footnote>
  <w:footnote w:id="102">
    <w:p w14:paraId="56FC1216" w14:textId="77777777" w:rsidR="00BF03AA" w:rsidRDefault="00FB452D">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Znečisťujúce vozidlá sa vymedzujú ako vozidlá s nulovými emisiami.</w:t>
      </w:r>
    </w:p>
  </w:footnote>
  <w:footnote w:id="103">
    <w:p w14:paraId="1F4EADE3" w14:textId="77777777" w:rsidR="00BF03AA" w:rsidRDefault="00FB452D">
      <w:pPr>
        <w:pStyle w:val="FootnoteText"/>
        <w:ind w:left="0" w:firstLine="0"/>
      </w:pPr>
      <w:r>
        <w:rPr>
          <w:rStyle w:val="FootnoteReference"/>
          <w:rFonts w:eastAsiaTheme="majorEastAsia"/>
        </w:rPr>
        <w:footnoteRef/>
      </w:r>
      <w:r>
        <w:t xml:space="preserve"> Toto vylúčenie sa nevzťahuje na činnosti v zariadeniach určených výlučne na spracovanie nerecyklovateľného nebezpečného odpadu a n</w:t>
      </w:r>
      <w:r>
        <w:t>a existujúce zariadenia, ak sú činnosti v rámci tohto opatrenia zamerané na zvýšenie energetickej účinnosti, zachytávanie výfukových plynov na skladovanie alebo používanie alebo zhodnocovanie materiálov zo spaľovania popola za predpokladu, že takéto činnos</w:t>
      </w:r>
      <w:r>
        <w:t>ti v rámci tohto opatrenia nevedú k zvýšeniu kapacity zariadení na spracovanie odpadu alebo k predĺženiu životnosti zariadení; v prípade ktorých sa poskytujú dôkazy na úrovni zariadenia.</w:t>
      </w:r>
    </w:p>
  </w:footnote>
  <w:footnote w:id="104">
    <w:p w14:paraId="2118312F" w14:textId="60DBA07F" w:rsidR="00BF03AA" w:rsidRDefault="00FB452D">
      <w:pPr>
        <w:pStyle w:val="FootnoteText"/>
        <w:ind w:left="0" w:firstLine="0"/>
      </w:pPr>
      <w:r>
        <w:rPr>
          <w:rStyle w:val="FootnoteReference"/>
        </w:rPr>
        <w:footnoteRef/>
      </w:r>
      <w:r>
        <w:t xml:space="preserve"> Od konečných príjemcov zapojených do konkrétnych projektov sa vyžad</w:t>
      </w:r>
      <w:r>
        <w:t xml:space="preserve">uje, aby na účely výpočtu príspevku na klímu poskytli odôvodnenie vybranej oblasti intervencie pre každý podporovaný projekt spolu s opisom projektu. Implementujúci partner je takisto povinný poskytovať členskému štátu polročnú správu o vykonávaní každého </w:t>
      </w:r>
      <w:r>
        <w:t>projektu/činnosti.</w:t>
      </w:r>
    </w:p>
  </w:footnote>
  <w:footnote w:id="105">
    <w:p w14:paraId="091AAF01" w14:textId="77777777" w:rsidR="00BF03AA" w:rsidRDefault="00FB452D">
      <w:pPr>
        <w:pStyle w:val="FootnoteText"/>
        <w:ind w:left="0" w:firstLine="0"/>
      </w:pPr>
      <w:r>
        <w:rPr>
          <w:rStyle w:val="FootnoteReference"/>
        </w:rPr>
        <w:footnoteRef/>
      </w:r>
      <w:r>
        <w:t xml:space="preserve"> S výnimkou a) aktív a činností pri výrobe elektriny a/alebo tepla, ako aj súvisiacej prenosovej a distribučnej infraštruktúry využívajúcej zemný plyn, ktoré sú v súlade s podmienkami stanovenými v prílohe III k technickému usmerneniu „</w:t>
      </w:r>
      <w:r>
        <w:t>výrazne nenarušiť“ (2021/C58/01) a b) činností a aktív podľa bodu ii), v prípade ktorých je používanie fosílnych palív dočasné a technicky nevyhnutné na včasný prechod na prevádzku bez fosílnych palív.</w:t>
      </w:r>
    </w:p>
  </w:footnote>
  <w:footnote w:id="106">
    <w:p w14:paraId="5FB85DB4" w14:textId="77777777" w:rsidR="00BF03AA" w:rsidRDefault="00FB452D">
      <w:pPr>
        <w:pStyle w:val="FootnoteText"/>
        <w:ind w:left="0" w:firstLine="0"/>
        <w:rPr>
          <w:rFonts w:eastAsia="EC Square Sans Pro"/>
        </w:rPr>
      </w:pPr>
      <w:r>
        <w:rPr>
          <w:rStyle w:val="FootnoteReference"/>
          <w:rFonts w:eastAsiaTheme="majorEastAsia"/>
        </w:rPr>
        <w:footnoteRef/>
      </w:r>
      <w:r>
        <w:t xml:space="preserve"> Ak sa podporovanou činnosťou dosiahnu predpokladané </w:t>
      </w:r>
      <w:r>
        <w:t>emisie skleníkových plynov, ktoré nie sú výrazne nižšie ako príslušné referenčné hodnoty, poskytne sa vysvetlenie dôvodov, prečo to nie je možné. Referenčné hodnoty stanovené pre bezodplatné prideľovanie kvót pre činnosti, ktoré patria do rozsahu pôsobnost</w:t>
      </w:r>
      <w:r>
        <w:t>i systému obchodovania s emisiami, ako sa stanovuje vo vykonávacom nariadení Komisie (EÚ) 2021/447. </w:t>
      </w:r>
    </w:p>
  </w:footnote>
  <w:footnote w:id="107">
    <w:p w14:paraId="3EEF9FE7" w14:textId="77777777" w:rsidR="00BF03AA" w:rsidRDefault="00FB452D">
      <w:pPr>
        <w:pStyle w:val="FootnoteText"/>
        <w:ind w:left="0" w:firstLine="0"/>
      </w:pPr>
      <w:r>
        <w:rPr>
          <w:rStyle w:val="FootnoteReference"/>
          <w:rFonts w:eastAsiaTheme="majorEastAsia"/>
        </w:rPr>
        <w:footnoteRef/>
      </w:r>
      <w:r>
        <w:t xml:space="preserve"> Toto vylúčenie sa nevzťahuje na činnosti v rámci tohto opatrenia v zariadeniach určených výlučne na spracovanie nerecyklovateľného nebezpečného odpadu a </w:t>
      </w:r>
      <w:r>
        <w:t>na existujúce zariadenia, ak sú činnosti v rámci tohto opatrenia zamerané na zvýšenie energetickej účinnosti, zachytávanie výfukových plynov na skladovanie alebo používanie alebo zhodnocovanie materiálov zo spaľovania popola za predpokladu, že takéto opatr</w:t>
      </w:r>
      <w:r>
        <w:t>enia v rámci tohto opatrenia nevedú k zvýšeniu kapacity zariadení na spracovanie odpadu alebo k predĺženiu životnosti zariadení; v prípade ktorých sa poskytujú dôkazy na úrovni zariadenia. </w:t>
      </w:r>
    </w:p>
  </w:footnote>
  <w:footnote w:id="108">
    <w:p w14:paraId="09D62EC6" w14:textId="77777777" w:rsidR="00BF03AA" w:rsidRDefault="00FB452D">
      <w:pPr>
        <w:pStyle w:val="FootnoteText"/>
        <w:ind w:left="0" w:firstLine="0"/>
      </w:pPr>
      <w:r>
        <w:rPr>
          <w:rStyle w:val="FootnoteReference"/>
          <w:rFonts w:eastAsiaTheme="majorEastAsia"/>
        </w:rPr>
        <w:footnoteRef/>
      </w:r>
      <w:r>
        <w:t xml:space="preserve"> Toto vylúčenie sa nevzťahuje na akcie v rámci tohto opatrenia v </w:t>
      </w:r>
      <w:r>
        <w:t xml:space="preserve">existujúcich zariadeniach na mechanické biologické spracovanie, ak sú činnosti v rámci tohto opatrenia zamerané na zvýšenie energetickej účinnosti alebo prispôsobenie triedeného odpadu na činnosti recyklácie kompostovaného biologického odpadu a anaeróbnej </w:t>
      </w:r>
      <w:r>
        <w:t>digescie biologického odpadu za predpokladu, že takéto opatrenia v rámci tohto opatrenia nevedú k zvýšeniu kapacity zariadení na spracovanie odpadu alebo k predĺženiu životnosti zariadení; v prípade ktorých sa poskytujú dôkazy na úrovni zariadenia.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A1282" w14:textId="77777777" w:rsidR="00FB452D" w:rsidRPr="00FB452D" w:rsidRDefault="00FB452D" w:rsidP="00FB452D">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87BC0" w14:textId="77777777" w:rsidR="00FB452D" w:rsidRPr="00FB452D" w:rsidRDefault="00FB452D" w:rsidP="00FB452D">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ED23F" w14:textId="77777777" w:rsidR="00FB452D" w:rsidRPr="00FB452D" w:rsidRDefault="00FB452D" w:rsidP="00FB452D">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CF26E" w14:textId="77777777" w:rsidR="00BF03AA" w:rsidRDefault="00BF03A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B5866" w14:textId="77777777" w:rsidR="00BF03AA" w:rsidRDefault="00BF03A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7C3F1" w14:textId="77777777" w:rsidR="00BF03AA" w:rsidRDefault="00BF03A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0E26A" w14:textId="77777777" w:rsidR="00BF03AA" w:rsidRDefault="00BF03A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335AC" w14:textId="77777777" w:rsidR="00BF03AA" w:rsidRDefault="00BF03A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5E682" w14:textId="77777777" w:rsidR="00BF03AA" w:rsidRDefault="00BF03A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F386C" w14:textId="77777777" w:rsidR="00BF03AA" w:rsidRDefault="00BF03A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75DBF" w14:textId="77777777" w:rsidR="00BF03AA" w:rsidRDefault="00BF03A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31201" w14:textId="77777777" w:rsidR="00BF03AA" w:rsidRDefault="00BF03A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25B54" w14:textId="77777777" w:rsidR="00326E55" w:rsidRDefault="00326E5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5AE76" w14:textId="77777777" w:rsidR="00326E55" w:rsidRDefault="00326E5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4F251" w14:textId="77777777" w:rsidR="00BF03AA" w:rsidRDefault="00BF03A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A9229" w14:textId="77777777" w:rsidR="00BF03AA" w:rsidRDefault="00BF03AA">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91FD3" w14:textId="77777777" w:rsidR="00BF03AA" w:rsidRDefault="00BF03AA">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B11D7" w14:textId="77777777" w:rsidR="00BF03AA" w:rsidRDefault="00BF03AA">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967A1" w14:textId="77777777" w:rsidR="00BF03AA" w:rsidRDefault="00BF03AA">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86D25" w14:textId="77777777" w:rsidR="00BF03AA" w:rsidRDefault="00BF03AA">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8EDD9" w14:textId="77777777" w:rsidR="00BF03AA" w:rsidRDefault="00BF03AA">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26DA6" w14:textId="77777777" w:rsidR="00BF03AA" w:rsidRDefault="00BF03AA">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6BBDF" w14:textId="77777777" w:rsidR="00BF03AA" w:rsidRDefault="00BF03AA">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BB174" w14:textId="77777777" w:rsidR="00326E55" w:rsidRDefault="00326E55">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3BF9A" w14:textId="77777777" w:rsidR="00BF03AA" w:rsidRDefault="00BF03AA">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5DA48" w14:textId="77777777" w:rsidR="00BF03AA" w:rsidRDefault="00BF03AA">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A5BCC" w14:textId="77777777" w:rsidR="00BF03AA" w:rsidRDefault="00BF03AA">
    <w:pPr>
      <w:pStyle w:val="Header"/>
      <w:rPr>
        <w:rFonts w:eastAsia="Calibri"/>
      </w:rP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127C5" w14:textId="77777777" w:rsidR="00BF03AA" w:rsidRDefault="00BF03AA">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7F4DB" w14:textId="77777777" w:rsidR="00BF03AA" w:rsidRDefault="00BF03AA">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F3DE7" w14:textId="77777777" w:rsidR="00BF03AA" w:rsidRDefault="00BF03AA">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7CEF0" w14:textId="77777777" w:rsidR="00BF03AA" w:rsidRDefault="00BF03AA">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F689B" w14:textId="77777777" w:rsidR="00326E55" w:rsidRDefault="00326E55">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566BE" w14:textId="77777777" w:rsidR="00326E55" w:rsidRDefault="00326E55">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67E86" w14:textId="77777777" w:rsidR="00326E55" w:rsidRDefault="00326E55">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ED1E9" w14:textId="77777777" w:rsidR="00326E55" w:rsidRDefault="00326E55">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51721" w14:textId="77777777" w:rsidR="00326E55" w:rsidRDefault="00326E55">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4D977" w14:textId="77777777" w:rsidR="00BF03AA" w:rsidRDefault="00BF03AA">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38186" w14:textId="77777777" w:rsidR="00BF03AA" w:rsidRDefault="00BF03AA">
    <w:pPr>
      <w:pStyle w:val="Header"/>
      <w:rPr>
        <w:rFonts w:eastAsia="Calibri"/>
      </w:rPr>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570B1" w14:textId="77777777" w:rsidR="00BF03AA" w:rsidRDefault="00BF03AA">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02B5E" w14:textId="77777777" w:rsidR="00BF03AA" w:rsidRDefault="00BF03AA">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AC372" w14:textId="77777777" w:rsidR="00BF03AA" w:rsidRDefault="00BF03AA">
    <w:pPr>
      <w:pStyle w:val="Header"/>
      <w:rPr>
        <w:rFonts w:eastAsia="Calibri"/>
      </w:rPr>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03D45" w14:textId="77777777" w:rsidR="00BF03AA" w:rsidRDefault="00BF03AA">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61720" w14:textId="77777777" w:rsidR="00BF03AA" w:rsidRDefault="00BF03AA">
    <w:pPr>
      <w:pStyle w:val="Header"/>
      <w:rPr>
        <w:rFonts w:eastAsia="Calibri"/>
      </w:rPr>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F8831" w14:textId="77777777" w:rsidR="00326E55" w:rsidRDefault="00326E55">
    <w:pPr>
      <w:pStyle w:val="Header"/>
      <w:rPr>
        <w:rFonts w:eastAsia="Calibri"/>
      </w:rPr>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4BD48" w14:textId="77777777" w:rsidR="00BF03AA" w:rsidRDefault="00BF03AA">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7B1D0" w14:textId="77777777" w:rsidR="00BF03AA" w:rsidRDefault="00BF03AA">
    <w:pPr>
      <w:pStyle w:val="Header"/>
      <w:rPr>
        <w:rFonts w:eastAsia="Calibri"/>
      </w:rPr>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BB5E3" w14:textId="77777777" w:rsidR="00BF03AA" w:rsidRDefault="00BF03AA">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C770E" w14:textId="77777777" w:rsidR="00BF03AA" w:rsidRDefault="00BF03AA">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78DC" w14:textId="77777777" w:rsidR="00BF03AA" w:rsidRDefault="00BF03AA">
    <w:pPr>
      <w:pStyle w:val="Header"/>
      <w:rPr>
        <w:rFonts w:eastAsia="Calibri"/>
      </w:rPr>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17A1D" w14:textId="77777777" w:rsidR="00BF03AA" w:rsidRDefault="00BF03AA">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9A94B" w14:textId="77777777" w:rsidR="00BF03AA" w:rsidRDefault="00BF03AA">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D82D0" w14:textId="77777777" w:rsidR="00BF03AA" w:rsidRDefault="00BF03AA">
    <w:pPr>
      <w:pStyle w:val="Header"/>
      <w:rPr>
        <w:rFonts w:eastAsia="Calibri"/>
      </w:rPr>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B149" w14:textId="77777777" w:rsidR="00BF03AA" w:rsidRDefault="00BF03AA">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8069D" w14:textId="77777777" w:rsidR="00326E55" w:rsidRDefault="00326E55">
    <w:pPr>
      <w:pStyle w:val="Header"/>
      <w:rPr>
        <w:rFonts w:eastAsia="Calibri"/>
      </w:rPr>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72970" w14:textId="77777777" w:rsidR="00BF03AA" w:rsidRDefault="00BF03AA">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3052A" w14:textId="77777777" w:rsidR="00BF03AA" w:rsidRDefault="00BF03AA">
    <w:pPr>
      <w:pStyle w:val="Header"/>
      <w:rPr>
        <w:rFonts w:eastAsia="Calibri"/>
      </w:rPr>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7AFA7" w14:textId="77777777" w:rsidR="00BF03AA" w:rsidRDefault="00BF03AA">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82F9C" w14:textId="77777777" w:rsidR="00BF03AA" w:rsidRDefault="00BF03AA">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61867" w14:textId="77777777" w:rsidR="00BF03AA" w:rsidRDefault="00BF03AA">
    <w:pPr>
      <w:pStyle w:val="Header"/>
      <w:rPr>
        <w:rFonts w:eastAsia="Calibri"/>
      </w:rPr>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800BD" w14:textId="77777777" w:rsidR="00BF03AA" w:rsidRDefault="00BF03AA">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E9E1" w14:textId="77777777" w:rsidR="00BF03AA" w:rsidRDefault="00BF03AA">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BB450" w14:textId="77777777" w:rsidR="00BF03AA" w:rsidRDefault="00BF03AA">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E6B37" w14:textId="77777777" w:rsidR="00BF03AA" w:rsidRDefault="00BF03AA">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B703F" w14:textId="77777777" w:rsidR="00BF03AA" w:rsidRDefault="00BF03AA">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396E6" w14:textId="77777777" w:rsidR="00BF03AA" w:rsidRDefault="00BF03AA">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04268" w14:textId="77777777" w:rsidR="00BF03AA" w:rsidRDefault="00BF03AA">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EF16B" w14:textId="77777777" w:rsidR="00BF03AA" w:rsidRDefault="00BF03AA">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287F2" w14:textId="77777777" w:rsidR="00BF03AA" w:rsidRDefault="00BF03AA">
    <w:pPr>
      <w:pStyle w:val="Header"/>
      <w:rPr>
        <w:rFonts w:eastAsia="Calibri"/>
      </w:rPr>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2A038" w14:textId="77777777" w:rsidR="00BF03AA" w:rsidRDefault="00BF03AA">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70C47" w14:textId="77777777" w:rsidR="00BF03AA" w:rsidRDefault="00BF03AA">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F3F8E" w14:textId="77777777" w:rsidR="00BF03AA" w:rsidRDefault="00BF03AA">
    <w:pPr>
      <w:pStyle w:val="Header"/>
      <w:rPr>
        <w:rFonts w:eastAsia="Calibri"/>
      </w:rPr>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01625" w14:textId="77777777" w:rsidR="00BF03AA" w:rsidRDefault="00BF03AA">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178FC" w14:textId="77777777" w:rsidR="00BF03AA" w:rsidRDefault="00BF03AA">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778AC" w14:textId="77777777" w:rsidR="00BF03AA" w:rsidRDefault="00BF03AA">
    <w:pPr>
      <w:pStyle w:val="Header"/>
      <w:rPr>
        <w:rFonts w:eastAsia="Calibri"/>
      </w:rPr>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D3A8" w14:textId="77777777" w:rsidR="00BF03AA" w:rsidRDefault="00BF03AA">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43316" w14:textId="77777777" w:rsidR="00BF03AA" w:rsidRDefault="00BF03AA">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ED6A" w14:textId="77777777" w:rsidR="00BF03AA" w:rsidRDefault="00BF03AA">
    <w:pPr>
      <w:pStyle w:val="Header"/>
      <w:rPr>
        <w:rFonts w:eastAsia="Calibri"/>
      </w:rPr>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54877" w14:textId="77777777" w:rsidR="00BF03AA" w:rsidRDefault="00BF03AA">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F1017" w14:textId="77777777" w:rsidR="00BF03AA" w:rsidRDefault="00BF03AA">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AC98C" w14:textId="77777777" w:rsidR="00BF03AA" w:rsidRDefault="00BF03AA">
    <w:pPr>
      <w:pStyle w:val="Header"/>
      <w:rPr>
        <w:rFonts w:eastAsia="Calibri"/>
      </w:rPr>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A8972" w14:textId="77777777" w:rsidR="00BF03AA" w:rsidRDefault="00BF03AA">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0F895" w14:textId="77777777" w:rsidR="00326E55" w:rsidRDefault="00326E55">
    <w:pPr>
      <w:pStyle w:val="Header"/>
      <w:rPr>
        <w:rFonts w:eastAsia="Calibri"/>
      </w:rPr>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0A51E" w14:textId="77777777" w:rsidR="00BF03AA" w:rsidRDefault="00BF03AA">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7CFC8" w14:textId="77777777" w:rsidR="00BF03AA" w:rsidRDefault="00BF03AA">
    <w:pPr>
      <w:pStyle w:val="Header"/>
      <w:rPr>
        <w:rFonts w:eastAsia="Calibri"/>
      </w:rPr>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BDB5" w14:textId="77777777" w:rsidR="00BF03AA" w:rsidRDefault="00BF03AA">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ACAA3" w14:textId="77777777" w:rsidR="00BF03AA" w:rsidRDefault="00BF03AA">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50401" w14:textId="77777777" w:rsidR="00BF03AA" w:rsidRDefault="00BF03AA">
    <w:pPr>
      <w:pStyle w:val="Header"/>
      <w:rPr>
        <w:rFonts w:eastAsia="Calibri"/>
      </w:rPr>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2DBFA" w14:textId="77777777" w:rsidR="00BF03AA" w:rsidRDefault="00BF03AA">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9B889" w14:textId="77777777" w:rsidR="00BF03AA" w:rsidRDefault="00BF03AA">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CFA0" w14:textId="77777777" w:rsidR="00BF03AA" w:rsidRDefault="00BF03AA">
    <w:pPr>
      <w:pStyle w:val="Header"/>
      <w:rPr>
        <w:rFonts w:eastAsia="Calibri"/>
      </w:rPr>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942F3" w14:textId="77777777" w:rsidR="00BF03AA" w:rsidRDefault="00BF03AA">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928FE" w14:textId="77777777" w:rsidR="00BF03AA" w:rsidRDefault="00BF03AA">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3593B" w14:textId="77777777" w:rsidR="00BF03AA" w:rsidRDefault="00BF03AA">
    <w:pPr>
      <w:pStyle w:val="Header"/>
      <w:rPr>
        <w:rFonts w:eastAsia="Calibri"/>
      </w:rPr>
    </w:pPr>
  </w:p>
</w:hdr>
</file>

<file path=word/header9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F17B0" w14:textId="77777777" w:rsidR="00BF03AA" w:rsidRDefault="00BF03AA">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8332" w14:textId="77777777" w:rsidR="00BF03AA" w:rsidRDefault="00BF03AA">
    <w:pPr>
      <w:pStyle w:val="Header"/>
      <w:rPr>
        <w:rFonts w:eastAsia="Calibri"/>
      </w:rPr>
    </w:pPr>
  </w:p>
</w:hdr>
</file>

<file path=word/header9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559E4" w14:textId="77777777" w:rsidR="00BF03AA" w:rsidRDefault="00BF03AA">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C6BB0" w14:textId="77777777" w:rsidR="00BF03AA" w:rsidRDefault="00BF03AA">
    <w:pPr>
      <w:pStyle w:val="Header"/>
      <w:rPr>
        <w:rFonts w:eastAsia="Calibri"/>
      </w:rPr>
    </w:pPr>
  </w:p>
</w:hdr>
</file>

<file path=word/header9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AAA94" w14:textId="77777777" w:rsidR="00BF03AA" w:rsidRDefault="00BF03AA">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DB3BE" w14:textId="77777777" w:rsidR="00BF03AA" w:rsidRDefault="00BF03AA">
    <w:pPr>
      <w:pStyle w:val="Header"/>
      <w:rPr>
        <w:rFonts w:eastAsia="Calibri"/>
      </w:rPr>
    </w:pPr>
  </w:p>
</w:hdr>
</file>

<file path=word/header10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E81E1" w14:textId="77777777" w:rsidR="00BF03AA" w:rsidRDefault="00BF03AA">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34D8D" w14:textId="77777777" w:rsidR="00BF03AA" w:rsidRDefault="00BF03AA">
    <w:pPr>
      <w:pStyle w:val="Header"/>
      <w:rPr>
        <w:rFonts w:eastAsia="Calibri"/>
      </w:rPr>
    </w:pPr>
  </w:p>
</w:hdr>
</file>

<file path=word/header10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35B36" w14:textId="77777777" w:rsidR="00BF03AA" w:rsidRDefault="00BF03AA">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38983" w14:textId="77777777" w:rsidR="00BF03AA" w:rsidRDefault="00BF03AA">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D5C2E" w14:textId="77777777" w:rsidR="00BF03AA" w:rsidRDefault="00BF03AA">
    <w:pPr>
      <w:pStyle w:val="Header"/>
      <w:rPr>
        <w:rFonts w:eastAsia="Calibri"/>
      </w:rPr>
    </w:pPr>
  </w:p>
</w:hdr>
</file>

<file path=word/header10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6DDE0" w14:textId="77777777" w:rsidR="00BF03AA" w:rsidRDefault="00BF03AA">
    <w:pPr>
      <w:pStyle w:val="Header"/>
    </w:pPr>
  </w:p>
</w:hdr>
</file>

<file path=word/header10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295A" w14:textId="77777777" w:rsidR="00BF03AA" w:rsidRDefault="00BF03AA">
    <w:pPr>
      <w:pStyle w:val="Header"/>
    </w:pPr>
  </w:p>
</w:hdr>
</file>

<file path=word/header10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A64F3" w14:textId="77777777" w:rsidR="00BF03AA" w:rsidRDefault="00BF03AA">
    <w:pPr>
      <w:pStyle w:val="Header"/>
      <w:rPr>
        <w:rFonts w:eastAsia="Calibri"/>
      </w:rPr>
    </w:pPr>
  </w:p>
</w:hdr>
</file>

<file path=word/header10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D0A20" w14:textId="77777777" w:rsidR="00BF03AA" w:rsidRDefault="00BF03AA">
    <w:pPr>
      <w:pStyle w:val="Header"/>
    </w:pPr>
  </w:p>
</w:hdr>
</file>

<file path=word/header10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3CE6C" w14:textId="77777777" w:rsidR="00BF03AA" w:rsidRDefault="00BF03AA">
    <w:pPr>
      <w:pStyle w:val="Header"/>
    </w:pPr>
  </w:p>
</w:hdr>
</file>

<file path=word/header1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53641" w14:textId="77777777" w:rsidR="00BF03AA" w:rsidRDefault="00BF03AA">
    <w:pPr>
      <w:pStyle w:val="Header"/>
      <w:rPr>
        <w:rFonts w:eastAsia="Calibri"/>
      </w:rPr>
    </w:pPr>
  </w:p>
</w:hdr>
</file>

<file path=word/header1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B9CFF" w14:textId="77777777" w:rsidR="00BF03AA" w:rsidRDefault="00BF03AA">
    <w:pPr>
      <w:pStyle w:val="Header"/>
    </w:pPr>
  </w:p>
</w:hdr>
</file>

<file path=word/header1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7C5B8" w14:textId="77777777" w:rsidR="00BF03AA" w:rsidRDefault="00BF03AA">
    <w:pPr>
      <w:pStyle w:val="Header"/>
    </w:pPr>
  </w:p>
</w:hdr>
</file>

<file path=word/header1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74932" w14:textId="77777777" w:rsidR="00BF03AA" w:rsidRDefault="00BF03AA">
    <w:pPr>
      <w:pStyle w:val="Header"/>
      <w:rPr>
        <w:rFonts w:eastAsia="Calibri"/>
      </w:rPr>
    </w:pPr>
  </w:p>
</w:hdr>
</file>

<file path=word/header1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B8C3C" w14:textId="77777777" w:rsidR="00BF03AA" w:rsidRDefault="00BF03AA">
    <w:pPr>
      <w:pStyle w:val="Header"/>
    </w:pPr>
  </w:p>
</w:hdr>
</file>

<file path=word/header1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26C7A" w14:textId="77777777" w:rsidR="00BF03AA" w:rsidRDefault="00BF03AA">
    <w:pPr>
      <w:pStyle w:val="Header"/>
    </w:pPr>
  </w:p>
</w:hdr>
</file>

<file path=word/header1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9ADD2" w14:textId="77777777" w:rsidR="00BF03AA" w:rsidRDefault="00BF03AA">
    <w:pPr>
      <w:pStyle w:val="Header"/>
      <w:rPr>
        <w:rFonts w:eastAsia="Calibri"/>
      </w:rPr>
    </w:pPr>
  </w:p>
</w:hdr>
</file>

<file path=word/header1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69A97" w14:textId="77777777" w:rsidR="00BF03AA" w:rsidRDefault="00BF03AA">
    <w:pPr>
      <w:pStyle w:val="Header"/>
    </w:pPr>
  </w:p>
</w:hdr>
</file>

<file path=word/header1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FD868" w14:textId="77777777" w:rsidR="00BF03AA" w:rsidRDefault="00BF03AA">
    <w:pPr>
      <w:pStyle w:val="Header"/>
    </w:pPr>
  </w:p>
</w:hdr>
</file>

<file path=word/header1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19CCB" w14:textId="77777777" w:rsidR="00BF03AA" w:rsidRDefault="00BF03AA">
    <w:pPr>
      <w:pStyle w:val="Header"/>
      <w:rPr>
        <w:rFonts w:eastAsia="Calibri"/>
      </w:rPr>
    </w:pPr>
  </w:p>
</w:hdr>
</file>

<file path=word/header1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78A21" w14:textId="77777777" w:rsidR="00BF03AA" w:rsidRDefault="00BF03AA">
    <w:pPr>
      <w:pStyle w:val="Header"/>
    </w:pPr>
  </w:p>
</w:hdr>
</file>

<file path=word/header1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2D5BB" w14:textId="77777777" w:rsidR="00BF03AA" w:rsidRDefault="00BF03AA">
    <w:pPr>
      <w:pStyle w:val="Header"/>
    </w:pPr>
  </w:p>
</w:hdr>
</file>

<file path=word/header1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4D354" w14:textId="77777777" w:rsidR="00BF03AA" w:rsidRDefault="00BF03AA">
    <w:pPr>
      <w:pStyle w:val="Header"/>
      <w:rPr>
        <w:rFonts w:eastAsia="Calibri"/>
      </w:rPr>
    </w:pPr>
  </w:p>
</w:hdr>
</file>

<file path=word/header1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AA2C8" w14:textId="77777777" w:rsidR="00BF03AA" w:rsidRDefault="00BF03AA">
    <w:pPr>
      <w:pStyle w:val="Header"/>
    </w:pPr>
  </w:p>
</w:hdr>
</file>

<file path=word/header1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EC541" w14:textId="77777777" w:rsidR="00BF03AA" w:rsidRDefault="00BF03AA">
    <w:pPr>
      <w:pStyle w:val="Header"/>
    </w:pPr>
  </w:p>
</w:hdr>
</file>

<file path=word/header1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230E4" w14:textId="77777777" w:rsidR="00BF03AA" w:rsidRDefault="00BF03AA">
    <w:pPr>
      <w:pStyle w:val="Header"/>
      <w:rPr>
        <w:rFonts w:eastAsia="Calibri"/>
      </w:rPr>
    </w:pPr>
  </w:p>
</w:hdr>
</file>

<file path=word/header1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69BB3" w14:textId="77777777" w:rsidR="00BF03AA" w:rsidRDefault="00BF03AA">
    <w:pPr>
      <w:pStyle w:val="Header"/>
    </w:pPr>
  </w:p>
</w:hdr>
</file>

<file path=word/header1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60457" w14:textId="77777777" w:rsidR="00BF03AA" w:rsidRDefault="00BF03AA">
    <w:pPr>
      <w:pStyle w:val="Header"/>
    </w:pPr>
  </w:p>
</w:hdr>
</file>

<file path=word/header1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F0EF6" w14:textId="77777777" w:rsidR="00BF03AA" w:rsidRDefault="00BF03AA">
    <w:pPr>
      <w:pStyle w:val="Header"/>
      <w:rPr>
        <w:rFonts w:eastAsia="Calibri"/>
      </w:rPr>
    </w:pPr>
  </w:p>
</w:hdr>
</file>

<file path=word/header1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69D7E" w14:textId="77777777" w:rsidR="00BF03AA" w:rsidRDefault="00BF03AA">
    <w:pPr>
      <w:pStyle w:val="Header"/>
    </w:pPr>
  </w:p>
</w:hdr>
</file>

<file path=word/header1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8A734" w14:textId="77777777" w:rsidR="00BF03AA" w:rsidRDefault="00BF03AA">
    <w:pPr>
      <w:pStyle w:val="Header"/>
    </w:pPr>
  </w:p>
</w:hdr>
</file>

<file path=word/header1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2F56" w14:textId="77777777" w:rsidR="00BF03AA" w:rsidRDefault="00BF03AA">
    <w:pPr>
      <w:pStyle w:val="Header"/>
      <w:rPr>
        <w:rFonts w:eastAsia="Calibri"/>
      </w:rPr>
    </w:pPr>
  </w:p>
</w:hdr>
</file>

<file path=word/header1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CA264" w14:textId="77777777" w:rsidR="00BF03AA" w:rsidRDefault="00BF03AA">
    <w:pPr>
      <w:pStyle w:val="Header"/>
    </w:pPr>
  </w:p>
</w:hdr>
</file>

<file path=word/header1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DF924" w14:textId="77777777" w:rsidR="00BF03AA" w:rsidRDefault="00BF03AA">
    <w:pPr>
      <w:pStyle w:val="Header"/>
      <w:rPr>
        <w:rFonts w:eastAsia="Calibri"/>
      </w:rPr>
    </w:pPr>
  </w:p>
</w:hdr>
</file>

<file path=word/header1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81B82" w14:textId="77777777" w:rsidR="00BF03AA" w:rsidRDefault="00BF03AA">
    <w:pPr>
      <w:pStyle w:val="Header"/>
    </w:pPr>
  </w:p>
</w:hdr>
</file>

<file path=word/header1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2783D" w14:textId="77777777" w:rsidR="00BF03AA" w:rsidRDefault="00BF03AA">
    <w:pPr>
      <w:pStyle w:val="Header"/>
      <w:rPr>
        <w:rFonts w:eastAsia="Calibri"/>
      </w:rPr>
    </w:pPr>
  </w:p>
</w:hdr>
</file>

<file path=word/header1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A5892" w14:textId="77777777" w:rsidR="00BF03AA" w:rsidRDefault="00BF03AA">
    <w:pPr>
      <w:pStyle w:val="Header"/>
    </w:pPr>
  </w:p>
</w:hdr>
</file>

<file path=word/header1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764B9" w14:textId="77777777" w:rsidR="00BF03AA" w:rsidRDefault="00BF03AA">
    <w:pPr>
      <w:pStyle w:val="Header"/>
    </w:pPr>
  </w:p>
</w:hdr>
</file>

<file path=word/header1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09257" w14:textId="77777777" w:rsidR="00BF03AA" w:rsidRDefault="00BF03AA">
    <w:pPr>
      <w:pStyle w:val="Header"/>
      <w:rPr>
        <w:rFonts w:eastAsia="Calibri"/>
      </w:rPr>
    </w:pPr>
  </w:p>
</w:hdr>
</file>

<file path=word/header1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E6209" w14:textId="77777777" w:rsidR="00BF03AA" w:rsidRDefault="00BF03AA">
    <w:pPr>
      <w:pStyle w:val="Header"/>
    </w:pPr>
  </w:p>
</w:hdr>
</file>

<file path=word/header1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551B1" w14:textId="77777777" w:rsidR="00BF03AA" w:rsidRDefault="00BF03AA">
    <w:pPr>
      <w:pStyle w:val="Header"/>
    </w:pPr>
  </w:p>
</w:hdr>
</file>

<file path=word/header1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7B83B" w14:textId="77777777" w:rsidR="00BF03AA" w:rsidRDefault="00BF03AA">
    <w:pPr>
      <w:pStyle w:val="Header"/>
      <w:rPr>
        <w:rFonts w:eastAsia="Calibri"/>
      </w:rPr>
    </w:pPr>
  </w:p>
</w:hdr>
</file>

<file path=word/header1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8C6E9" w14:textId="77777777" w:rsidR="00BF03AA" w:rsidRDefault="00BF03AA">
    <w:pPr>
      <w:pStyle w:val="Header"/>
    </w:pPr>
  </w:p>
</w:hdr>
</file>

<file path=word/header1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77BB" w14:textId="77777777" w:rsidR="00BF03AA" w:rsidRDefault="00BF03AA">
    <w:pPr>
      <w:pStyle w:val="Header"/>
    </w:pPr>
  </w:p>
</w:hdr>
</file>

<file path=word/header1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E9DA4" w14:textId="77777777" w:rsidR="00BF03AA" w:rsidRDefault="00BF03AA">
    <w:pPr>
      <w:pStyle w:val="Header"/>
      <w:rPr>
        <w:rFonts w:eastAsia="Calibri"/>
      </w:rPr>
    </w:pPr>
  </w:p>
</w:hdr>
</file>

<file path=word/header1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F1AEC" w14:textId="77777777" w:rsidR="00BF03AA" w:rsidRDefault="00BF03AA">
    <w:pPr>
      <w:pStyle w:val="Header"/>
    </w:pPr>
  </w:p>
</w:hdr>
</file>

<file path=word/header1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CC4A7" w14:textId="77777777" w:rsidR="00BF03AA" w:rsidRDefault="00BF03AA">
    <w:pPr>
      <w:pStyle w:val="Header"/>
    </w:pPr>
  </w:p>
</w:hdr>
</file>

<file path=word/header1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B4352" w14:textId="77777777" w:rsidR="00BF03AA" w:rsidRDefault="00BF03AA">
    <w:pPr>
      <w:pStyle w:val="Header"/>
      <w:rPr>
        <w:rFonts w:eastAsia="Calibri"/>
      </w:rPr>
    </w:pPr>
  </w:p>
</w:hdr>
</file>

<file path=word/header1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CDDD8" w14:textId="77777777" w:rsidR="00BF03AA" w:rsidRDefault="00BF03AA">
    <w:pPr>
      <w:pStyle w:val="Header"/>
    </w:pPr>
  </w:p>
</w:hdr>
</file>

<file path=word/header1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15A87" w14:textId="77777777" w:rsidR="00BF03AA" w:rsidRDefault="00BF03AA">
    <w:pPr>
      <w:pStyle w:val="Header"/>
    </w:pPr>
  </w:p>
</w:hdr>
</file>

<file path=word/header1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48F58" w14:textId="77777777" w:rsidR="00BF03AA" w:rsidRDefault="00BF03AA">
    <w:pPr>
      <w:pStyle w:val="Header"/>
    </w:pPr>
  </w:p>
</w:hdr>
</file>

<file path=word/header1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8C9FC" w14:textId="77777777" w:rsidR="00BF03AA" w:rsidRDefault="00BF03AA">
    <w:pPr>
      <w:pStyle w:val="Header"/>
    </w:pPr>
  </w:p>
</w:hdr>
</file>

<file path=word/header1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D105" w14:textId="77777777" w:rsidR="00BF03AA" w:rsidRDefault="00BF03AA">
    <w:pPr>
      <w:pStyle w:val="Header"/>
    </w:pPr>
  </w:p>
</w:hdr>
</file>

<file path=word/header1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24B57" w14:textId="77777777" w:rsidR="00BF03AA" w:rsidRDefault="00BF03AA">
    <w:pPr>
      <w:pStyle w:val="Header"/>
      <w:rPr>
        <w:sz w:val="10"/>
      </w:rPr>
    </w:pPr>
  </w:p>
</w:hdr>
</file>

<file path=word/header1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ECBEC" w14:textId="77777777" w:rsidR="00BF03AA" w:rsidRDefault="00BF03AA">
    <w:pPr>
      <w:pStyle w:val="Header"/>
    </w:pPr>
  </w:p>
</w:hdr>
</file>

<file path=word/header1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B9B83" w14:textId="77777777" w:rsidR="00BF03AA" w:rsidRDefault="00BF03AA">
    <w:pPr>
      <w:pStyle w:val="Header"/>
      <w:rPr>
        <w:sz w:val="10"/>
      </w:rPr>
    </w:pPr>
  </w:p>
</w:hdr>
</file>

<file path=word/header1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433DA" w14:textId="77777777" w:rsidR="00BF03AA" w:rsidRDefault="00BF03AA">
    <w:pPr>
      <w:pStyle w:val="Header"/>
    </w:pPr>
  </w:p>
</w:hdr>
</file>

<file path=word/header1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3A500" w14:textId="77777777" w:rsidR="00BF03AA" w:rsidRDefault="00BF03AA">
    <w:pPr>
      <w:pStyle w:val="Header"/>
      <w:rPr>
        <w:rFonts w:eastAsia="Calibri"/>
      </w:rPr>
    </w:pPr>
  </w:p>
</w:hdr>
</file>

<file path=word/header1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D681D" w14:textId="77777777" w:rsidR="00BF03AA" w:rsidRDefault="00BF03AA">
    <w:pPr>
      <w:pStyle w:val="Header"/>
    </w:pPr>
  </w:p>
</w:hdr>
</file>

<file path=word/header1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D1235" w14:textId="77777777" w:rsidR="00326E55" w:rsidRDefault="00326E55">
    <w:pPr>
      <w:pStyle w:val="Header"/>
      <w:rPr>
        <w:rFonts w:eastAsia="Calibri"/>
      </w:rPr>
    </w:pPr>
  </w:p>
</w:hdr>
</file>

<file path=word/header1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48B9" w14:textId="77777777" w:rsidR="00BF03AA" w:rsidRDefault="00BF03AA">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3E140CA2"/>
    <w:lvl w:ilvl="0">
      <w:start w:val="1"/>
      <w:numFmt w:val="decimal"/>
      <w:pStyle w:val="ListNumber4"/>
      <w:lvlText w:val="%1."/>
      <w:lvlJc w:val="left"/>
      <w:pPr>
        <w:tabs>
          <w:tab w:val="num" w:pos="1056"/>
        </w:tabs>
        <w:ind w:left="1056" w:hanging="360"/>
      </w:pPr>
    </w:lvl>
  </w:abstractNum>
  <w:abstractNum w:abstractNumId="1" w15:restartNumberingAfterBreak="0">
    <w:nsid w:val="FFFFFF7E"/>
    <w:multiLevelType w:val="singleLevel"/>
    <w:tmpl w:val="55A6272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3C20270C"/>
    <w:lvl w:ilvl="0">
      <w:start w:val="1"/>
      <w:numFmt w:val="decimal"/>
      <w:pStyle w:val="ListNumber2"/>
      <w:lvlText w:val="%1."/>
      <w:lvlJc w:val="left"/>
      <w:pPr>
        <w:tabs>
          <w:tab w:val="num" w:pos="643"/>
        </w:tabs>
        <w:ind w:left="643" w:hanging="360"/>
      </w:pPr>
    </w:lvl>
  </w:abstractNum>
  <w:abstractNum w:abstractNumId="3" w15:restartNumberingAfterBreak="0">
    <w:nsid w:val="FFFFFF88"/>
    <w:multiLevelType w:val="singleLevel"/>
    <w:tmpl w:val="AD788A4A"/>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3FE82790"/>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D81DA2"/>
    <w:multiLevelType w:val="multilevel"/>
    <w:tmpl w:val="0E1CAF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281CA7"/>
    <w:multiLevelType w:val="hybridMultilevel"/>
    <w:tmpl w:val="8B104CD2"/>
    <w:lvl w:ilvl="0" w:tplc="18090019">
      <w:start w:val="1"/>
      <w:numFmt w:val="lowerLetter"/>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7" w15:restartNumberingAfterBreak="0">
    <w:nsid w:val="02003373"/>
    <w:multiLevelType w:val="hybridMultilevel"/>
    <w:tmpl w:val="F3802738"/>
    <w:lvl w:ilvl="0" w:tplc="FC26DA30">
      <w:start w:val="1"/>
      <w:numFmt w:val="bullet"/>
      <w:lvlText w:val="-"/>
      <w:lvlJc w:val="left"/>
      <w:pPr>
        <w:ind w:left="720" w:hanging="360"/>
      </w:pPr>
      <w:rPr>
        <w:rFonts w:ascii="Symbol" w:hAnsi="Symbol" w:hint="default"/>
      </w:rPr>
    </w:lvl>
    <w:lvl w:ilvl="1" w:tplc="0462880E">
      <w:start w:val="1"/>
      <w:numFmt w:val="bullet"/>
      <w:lvlText w:val="o"/>
      <w:lvlJc w:val="left"/>
      <w:pPr>
        <w:ind w:left="1440" w:hanging="360"/>
      </w:pPr>
      <w:rPr>
        <w:rFonts w:ascii="Courier New" w:hAnsi="Courier New" w:cs="Times New Roman" w:hint="default"/>
      </w:rPr>
    </w:lvl>
    <w:lvl w:ilvl="2" w:tplc="F90A8E8E">
      <w:start w:val="1"/>
      <w:numFmt w:val="bullet"/>
      <w:lvlText w:val=""/>
      <w:lvlJc w:val="left"/>
      <w:pPr>
        <w:ind w:left="2160" w:hanging="360"/>
      </w:pPr>
      <w:rPr>
        <w:rFonts w:ascii="Wingdings" w:hAnsi="Wingdings" w:hint="default"/>
      </w:rPr>
    </w:lvl>
    <w:lvl w:ilvl="3" w:tplc="6D4420D6">
      <w:start w:val="1"/>
      <w:numFmt w:val="bullet"/>
      <w:lvlText w:val=""/>
      <w:lvlJc w:val="left"/>
      <w:pPr>
        <w:ind w:left="2880" w:hanging="360"/>
      </w:pPr>
      <w:rPr>
        <w:rFonts w:ascii="Symbol" w:hAnsi="Symbol" w:hint="default"/>
      </w:rPr>
    </w:lvl>
    <w:lvl w:ilvl="4" w:tplc="16727DC8">
      <w:start w:val="1"/>
      <w:numFmt w:val="bullet"/>
      <w:lvlText w:val="o"/>
      <w:lvlJc w:val="left"/>
      <w:pPr>
        <w:ind w:left="3600" w:hanging="360"/>
      </w:pPr>
      <w:rPr>
        <w:rFonts w:ascii="Courier New" w:hAnsi="Courier New" w:cs="Times New Roman" w:hint="default"/>
      </w:rPr>
    </w:lvl>
    <w:lvl w:ilvl="5" w:tplc="C7B4C740">
      <w:start w:val="1"/>
      <w:numFmt w:val="bullet"/>
      <w:lvlText w:val=""/>
      <w:lvlJc w:val="left"/>
      <w:pPr>
        <w:ind w:left="4320" w:hanging="360"/>
      </w:pPr>
      <w:rPr>
        <w:rFonts w:ascii="Wingdings" w:hAnsi="Wingdings" w:hint="default"/>
      </w:rPr>
    </w:lvl>
    <w:lvl w:ilvl="6" w:tplc="6172E3C4">
      <w:start w:val="1"/>
      <w:numFmt w:val="bullet"/>
      <w:lvlText w:val=""/>
      <w:lvlJc w:val="left"/>
      <w:pPr>
        <w:ind w:left="5040" w:hanging="360"/>
      </w:pPr>
      <w:rPr>
        <w:rFonts w:ascii="Symbol" w:hAnsi="Symbol" w:hint="default"/>
      </w:rPr>
    </w:lvl>
    <w:lvl w:ilvl="7" w:tplc="778A8E7C">
      <w:start w:val="1"/>
      <w:numFmt w:val="bullet"/>
      <w:lvlText w:val="o"/>
      <w:lvlJc w:val="left"/>
      <w:pPr>
        <w:ind w:left="5760" w:hanging="360"/>
      </w:pPr>
      <w:rPr>
        <w:rFonts w:ascii="Courier New" w:hAnsi="Courier New" w:cs="Times New Roman" w:hint="default"/>
      </w:rPr>
    </w:lvl>
    <w:lvl w:ilvl="8" w:tplc="B5700FD6">
      <w:start w:val="1"/>
      <w:numFmt w:val="bullet"/>
      <w:lvlText w:val=""/>
      <w:lvlJc w:val="left"/>
      <w:pPr>
        <w:ind w:left="6480" w:hanging="360"/>
      </w:pPr>
      <w:rPr>
        <w:rFonts w:ascii="Wingdings" w:hAnsi="Wingdings" w:hint="default"/>
      </w:rPr>
    </w:lvl>
  </w:abstractNum>
  <w:abstractNum w:abstractNumId="8" w15:restartNumberingAfterBreak="0">
    <w:nsid w:val="02978374"/>
    <w:multiLevelType w:val="hybridMultilevel"/>
    <w:tmpl w:val="FFFFFFFF"/>
    <w:lvl w:ilvl="0" w:tplc="F94C6FB4">
      <w:start w:val="1"/>
      <w:numFmt w:val="bullet"/>
      <w:lvlText w:val="·"/>
      <w:lvlJc w:val="left"/>
      <w:pPr>
        <w:ind w:left="720" w:hanging="360"/>
      </w:pPr>
      <w:rPr>
        <w:rFonts w:ascii="Symbol" w:hAnsi="Symbol" w:hint="default"/>
      </w:rPr>
    </w:lvl>
    <w:lvl w:ilvl="1" w:tplc="A87C51DE">
      <w:start w:val="1"/>
      <w:numFmt w:val="bullet"/>
      <w:lvlText w:val="o"/>
      <w:lvlJc w:val="left"/>
      <w:pPr>
        <w:ind w:left="1440" w:hanging="360"/>
      </w:pPr>
      <w:rPr>
        <w:rFonts w:ascii="Courier New" w:hAnsi="Courier New" w:hint="default"/>
      </w:rPr>
    </w:lvl>
    <w:lvl w:ilvl="2" w:tplc="476A0580">
      <w:start w:val="1"/>
      <w:numFmt w:val="bullet"/>
      <w:lvlText w:val=""/>
      <w:lvlJc w:val="left"/>
      <w:pPr>
        <w:ind w:left="2160" w:hanging="360"/>
      </w:pPr>
      <w:rPr>
        <w:rFonts w:ascii="Wingdings" w:hAnsi="Wingdings" w:hint="default"/>
      </w:rPr>
    </w:lvl>
    <w:lvl w:ilvl="3" w:tplc="720833BA">
      <w:start w:val="1"/>
      <w:numFmt w:val="bullet"/>
      <w:lvlText w:val=""/>
      <w:lvlJc w:val="left"/>
      <w:pPr>
        <w:ind w:left="2880" w:hanging="360"/>
      </w:pPr>
      <w:rPr>
        <w:rFonts w:ascii="Symbol" w:hAnsi="Symbol" w:hint="default"/>
      </w:rPr>
    </w:lvl>
    <w:lvl w:ilvl="4" w:tplc="B88A2602">
      <w:start w:val="1"/>
      <w:numFmt w:val="bullet"/>
      <w:lvlText w:val="o"/>
      <w:lvlJc w:val="left"/>
      <w:pPr>
        <w:ind w:left="3600" w:hanging="360"/>
      </w:pPr>
      <w:rPr>
        <w:rFonts w:ascii="Courier New" w:hAnsi="Courier New" w:hint="default"/>
      </w:rPr>
    </w:lvl>
    <w:lvl w:ilvl="5" w:tplc="75E40A7A">
      <w:start w:val="1"/>
      <w:numFmt w:val="bullet"/>
      <w:lvlText w:val=""/>
      <w:lvlJc w:val="left"/>
      <w:pPr>
        <w:ind w:left="4320" w:hanging="360"/>
      </w:pPr>
      <w:rPr>
        <w:rFonts w:ascii="Wingdings" w:hAnsi="Wingdings" w:hint="default"/>
      </w:rPr>
    </w:lvl>
    <w:lvl w:ilvl="6" w:tplc="30105FF0">
      <w:start w:val="1"/>
      <w:numFmt w:val="bullet"/>
      <w:lvlText w:val=""/>
      <w:lvlJc w:val="left"/>
      <w:pPr>
        <w:ind w:left="5040" w:hanging="360"/>
      </w:pPr>
      <w:rPr>
        <w:rFonts w:ascii="Symbol" w:hAnsi="Symbol" w:hint="default"/>
      </w:rPr>
    </w:lvl>
    <w:lvl w:ilvl="7" w:tplc="E28A437E">
      <w:start w:val="1"/>
      <w:numFmt w:val="bullet"/>
      <w:lvlText w:val="o"/>
      <w:lvlJc w:val="left"/>
      <w:pPr>
        <w:ind w:left="5760" w:hanging="360"/>
      </w:pPr>
      <w:rPr>
        <w:rFonts w:ascii="Courier New" w:hAnsi="Courier New" w:hint="default"/>
      </w:rPr>
    </w:lvl>
    <w:lvl w:ilvl="8" w:tplc="9B36E314">
      <w:start w:val="1"/>
      <w:numFmt w:val="bullet"/>
      <w:lvlText w:val=""/>
      <w:lvlJc w:val="left"/>
      <w:pPr>
        <w:ind w:left="6480" w:hanging="360"/>
      </w:pPr>
      <w:rPr>
        <w:rFonts w:ascii="Wingdings" w:hAnsi="Wingdings" w:hint="default"/>
      </w:rPr>
    </w:lvl>
  </w:abstractNum>
  <w:abstractNum w:abstractNumId="9" w15:restartNumberingAfterBreak="0">
    <w:nsid w:val="04056853"/>
    <w:multiLevelType w:val="multilevel"/>
    <w:tmpl w:val="C77A159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D2A71"/>
    <w:multiLevelType w:val="hybridMultilevel"/>
    <w:tmpl w:val="ECC83972"/>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06331374"/>
    <w:multiLevelType w:val="hybridMultilevel"/>
    <w:tmpl w:val="F94A11DC"/>
    <w:lvl w:ilvl="0" w:tplc="18090015">
      <w:start w:val="1"/>
      <w:numFmt w:val="upperLetter"/>
      <w:lvlText w:val="%1."/>
      <w:lvlJc w:val="left"/>
      <w:pPr>
        <w:ind w:left="360" w:hanging="360"/>
      </w:p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12" w15:restartNumberingAfterBreak="0">
    <w:nsid w:val="06F47115"/>
    <w:multiLevelType w:val="hybridMultilevel"/>
    <w:tmpl w:val="523AD6C6"/>
    <w:lvl w:ilvl="0" w:tplc="E4E01FB6">
      <w:start w:val="1"/>
      <w:numFmt w:val="lowerRoman"/>
      <w:lvlText w:val="%1."/>
      <w:lvlJc w:val="right"/>
      <w:pPr>
        <w:ind w:left="720" w:hanging="360"/>
      </w:pPr>
    </w:lvl>
    <w:lvl w:ilvl="1" w:tplc="CC14CE30">
      <w:start w:val="1"/>
      <w:numFmt w:val="lowerLetter"/>
      <w:lvlText w:val="%2."/>
      <w:lvlJc w:val="left"/>
      <w:pPr>
        <w:ind w:left="1440" w:hanging="360"/>
      </w:pPr>
    </w:lvl>
    <w:lvl w:ilvl="2" w:tplc="7C30A1AA">
      <w:start w:val="1"/>
      <w:numFmt w:val="lowerRoman"/>
      <w:lvlText w:val="%3."/>
      <w:lvlJc w:val="right"/>
      <w:pPr>
        <w:ind w:left="2160" w:hanging="180"/>
      </w:pPr>
    </w:lvl>
    <w:lvl w:ilvl="3" w:tplc="A5343F08">
      <w:start w:val="1"/>
      <w:numFmt w:val="decimal"/>
      <w:lvlText w:val="%4."/>
      <w:lvlJc w:val="left"/>
      <w:pPr>
        <w:ind w:left="2880" w:hanging="360"/>
      </w:pPr>
    </w:lvl>
    <w:lvl w:ilvl="4" w:tplc="A412B3A4">
      <w:start w:val="1"/>
      <w:numFmt w:val="lowerLetter"/>
      <w:lvlText w:val="%5."/>
      <w:lvlJc w:val="left"/>
      <w:pPr>
        <w:ind w:left="3600" w:hanging="360"/>
      </w:pPr>
    </w:lvl>
    <w:lvl w:ilvl="5" w:tplc="2D3A5EC6">
      <w:start w:val="1"/>
      <w:numFmt w:val="lowerRoman"/>
      <w:lvlText w:val="%6."/>
      <w:lvlJc w:val="right"/>
      <w:pPr>
        <w:ind w:left="4320" w:hanging="180"/>
      </w:pPr>
    </w:lvl>
    <w:lvl w:ilvl="6" w:tplc="442A8E74">
      <w:start w:val="1"/>
      <w:numFmt w:val="decimal"/>
      <w:lvlText w:val="%7."/>
      <w:lvlJc w:val="left"/>
      <w:pPr>
        <w:ind w:left="5040" w:hanging="360"/>
      </w:pPr>
    </w:lvl>
    <w:lvl w:ilvl="7" w:tplc="978A2838">
      <w:start w:val="1"/>
      <w:numFmt w:val="lowerLetter"/>
      <w:lvlText w:val="%8."/>
      <w:lvlJc w:val="left"/>
      <w:pPr>
        <w:ind w:left="5760" w:hanging="360"/>
      </w:pPr>
    </w:lvl>
    <w:lvl w:ilvl="8" w:tplc="5EC4DE44">
      <w:start w:val="1"/>
      <w:numFmt w:val="lowerRoman"/>
      <w:lvlText w:val="%9."/>
      <w:lvlJc w:val="right"/>
      <w:pPr>
        <w:ind w:left="6480" w:hanging="180"/>
      </w:pPr>
    </w:lvl>
  </w:abstractNum>
  <w:abstractNum w:abstractNumId="13" w15:restartNumberingAfterBreak="0">
    <w:nsid w:val="0816690D"/>
    <w:multiLevelType w:val="multilevel"/>
    <w:tmpl w:val="6D4EB08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83D4687"/>
    <w:multiLevelType w:val="multilevel"/>
    <w:tmpl w:val="0D3C09D4"/>
    <w:lvl w:ilvl="0">
      <w:start w:val="4"/>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0869CDD7"/>
    <w:multiLevelType w:val="hybridMultilevel"/>
    <w:tmpl w:val="E6F60F72"/>
    <w:lvl w:ilvl="0" w:tplc="CC5A35A2">
      <w:start w:val="1"/>
      <w:numFmt w:val="bullet"/>
      <w:lvlText w:val="-"/>
      <w:lvlJc w:val="left"/>
      <w:pPr>
        <w:ind w:left="720" w:hanging="360"/>
      </w:pPr>
      <w:rPr>
        <w:rFonts w:ascii="Symbol" w:hAnsi="Symbol" w:hint="default"/>
      </w:rPr>
    </w:lvl>
    <w:lvl w:ilvl="1" w:tplc="E90CF390">
      <w:start w:val="1"/>
      <w:numFmt w:val="bullet"/>
      <w:lvlText w:val="o"/>
      <w:lvlJc w:val="left"/>
      <w:pPr>
        <w:ind w:left="1440" w:hanging="360"/>
      </w:pPr>
      <w:rPr>
        <w:rFonts w:ascii="Courier New" w:hAnsi="Courier New" w:cs="Times New Roman" w:hint="default"/>
      </w:rPr>
    </w:lvl>
    <w:lvl w:ilvl="2" w:tplc="62C827A8">
      <w:start w:val="1"/>
      <w:numFmt w:val="bullet"/>
      <w:lvlText w:val=""/>
      <w:lvlJc w:val="left"/>
      <w:pPr>
        <w:ind w:left="2160" w:hanging="360"/>
      </w:pPr>
      <w:rPr>
        <w:rFonts w:ascii="Wingdings" w:hAnsi="Wingdings" w:hint="default"/>
      </w:rPr>
    </w:lvl>
    <w:lvl w:ilvl="3" w:tplc="C6AC6B24">
      <w:start w:val="1"/>
      <w:numFmt w:val="bullet"/>
      <w:lvlText w:val=""/>
      <w:lvlJc w:val="left"/>
      <w:pPr>
        <w:ind w:left="2880" w:hanging="360"/>
      </w:pPr>
      <w:rPr>
        <w:rFonts w:ascii="Symbol" w:hAnsi="Symbol" w:hint="default"/>
      </w:rPr>
    </w:lvl>
    <w:lvl w:ilvl="4" w:tplc="DF44F6A4">
      <w:start w:val="1"/>
      <w:numFmt w:val="bullet"/>
      <w:lvlText w:val="o"/>
      <w:lvlJc w:val="left"/>
      <w:pPr>
        <w:ind w:left="3600" w:hanging="360"/>
      </w:pPr>
      <w:rPr>
        <w:rFonts w:ascii="Courier New" w:hAnsi="Courier New" w:cs="Times New Roman" w:hint="default"/>
      </w:rPr>
    </w:lvl>
    <w:lvl w:ilvl="5" w:tplc="8126F19E">
      <w:start w:val="1"/>
      <w:numFmt w:val="bullet"/>
      <w:lvlText w:val=""/>
      <w:lvlJc w:val="left"/>
      <w:pPr>
        <w:ind w:left="4320" w:hanging="360"/>
      </w:pPr>
      <w:rPr>
        <w:rFonts w:ascii="Wingdings" w:hAnsi="Wingdings" w:hint="default"/>
      </w:rPr>
    </w:lvl>
    <w:lvl w:ilvl="6" w:tplc="E4401EFE">
      <w:start w:val="1"/>
      <w:numFmt w:val="bullet"/>
      <w:lvlText w:val=""/>
      <w:lvlJc w:val="left"/>
      <w:pPr>
        <w:ind w:left="5040" w:hanging="360"/>
      </w:pPr>
      <w:rPr>
        <w:rFonts w:ascii="Symbol" w:hAnsi="Symbol" w:hint="default"/>
      </w:rPr>
    </w:lvl>
    <w:lvl w:ilvl="7" w:tplc="57C0F16C">
      <w:start w:val="1"/>
      <w:numFmt w:val="bullet"/>
      <w:lvlText w:val="o"/>
      <w:lvlJc w:val="left"/>
      <w:pPr>
        <w:ind w:left="5760" w:hanging="360"/>
      </w:pPr>
      <w:rPr>
        <w:rFonts w:ascii="Courier New" w:hAnsi="Courier New" w:cs="Times New Roman" w:hint="default"/>
      </w:rPr>
    </w:lvl>
    <w:lvl w:ilvl="8" w:tplc="59DA7ED4">
      <w:start w:val="1"/>
      <w:numFmt w:val="bullet"/>
      <w:lvlText w:val=""/>
      <w:lvlJc w:val="left"/>
      <w:pPr>
        <w:ind w:left="6480" w:hanging="360"/>
      </w:pPr>
      <w:rPr>
        <w:rFonts w:ascii="Wingdings" w:hAnsi="Wingdings" w:hint="default"/>
      </w:rPr>
    </w:lvl>
  </w:abstractNum>
  <w:abstractNum w:abstractNumId="16" w15:restartNumberingAfterBreak="0">
    <w:nsid w:val="09C45F0E"/>
    <w:multiLevelType w:val="multilevel"/>
    <w:tmpl w:val="569C1C5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41762F"/>
    <w:multiLevelType w:val="hybridMultilevel"/>
    <w:tmpl w:val="758601BC"/>
    <w:lvl w:ilvl="0" w:tplc="D7FEB5D2">
      <w:start w:val="1"/>
      <w:numFmt w:val="bullet"/>
      <w:lvlText w:val=""/>
      <w:lvlJc w:val="left"/>
      <w:pPr>
        <w:ind w:left="720" w:hanging="360"/>
      </w:pPr>
      <w:rPr>
        <w:rFonts w:ascii="Symbol" w:hAnsi="Symbol" w:hint="default"/>
      </w:rPr>
    </w:lvl>
    <w:lvl w:ilvl="1" w:tplc="B6F0C5A4">
      <w:start w:val="1"/>
      <w:numFmt w:val="bullet"/>
      <w:lvlText w:val="o"/>
      <w:lvlJc w:val="left"/>
      <w:pPr>
        <w:ind w:left="1440" w:hanging="360"/>
      </w:pPr>
      <w:rPr>
        <w:rFonts w:ascii="Courier New" w:hAnsi="Courier New" w:hint="default"/>
      </w:rPr>
    </w:lvl>
    <w:lvl w:ilvl="2" w:tplc="B6601F7E">
      <w:start w:val="1"/>
      <w:numFmt w:val="bullet"/>
      <w:lvlText w:val=""/>
      <w:lvlJc w:val="left"/>
      <w:pPr>
        <w:ind w:left="2160" w:hanging="360"/>
      </w:pPr>
      <w:rPr>
        <w:rFonts w:ascii="Wingdings" w:hAnsi="Wingdings" w:hint="default"/>
      </w:rPr>
    </w:lvl>
    <w:lvl w:ilvl="3" w:tplc="A7F26932">
      <w:start w:val="1"/>
      <w:numFmt w:val="bullet"/>
      <w:lvlText w:val=""/>
      <w:lvlJc w:val="left"/>
      <w:pPr>
        <w:ind w:left="2880" w:hanging="360"/>
      </w:pPr>
      <w:rPr>
        <w:rFonts w:ascii="Symbol" w:hAnsi="Symbol" w:hint="default"/>
      </w:rPr>
    </w:lvl>
    <w:lvl w:ilvl="4" w:tplc="0A001BA4">
      <w:start w:val="1"/>
      <w:numFmt w:val="bullet"/>
      <w:lvlText w:val="o"/>
      <w:lvlJc w:val="left"/>
      <w:pPr>
        <w:ind w:left="3600" w:hanging="360"/>
      </w:pPr>
      <w:rPr>
        <w:rFonts w:ascii="Courier New" w:hAnsi="Courier New" w:hint="default"/>
      </w:rPr>
    </w:lvl>
    <w:lvl w:ilvl="5" w:tplc="C5888858">
      <w:start w:val="1"/>
      <w:numFmt w:val="bullet"/>
      <w:lvlText w:val=""/>
      <w:lvlJc w:val="left"/>
      <w:pPr>
        <w:ind w:left="4320" w:hanging="360"/>
      </w:pPr>
      <w:rPr>
        <w:rFonts w:ascii="Wingdings" w:hAnsi="Wingdings" w:hint="default"/>
      </w:rPr>
    </w:lvl>
    <w:lvl w:ilvl="6" w:tplc="4282EB4C">
      <w:start w:val="1"/>
      <w:numFmt w:val="bullet"/>
      <w:lvlText w:val=""/>
      <w:lvlJc w:val="left"/>
      <w:pPr>
        <w:ind w:left="5040" w:hanging="360"/>
      </w:pPr>
      <w:rPr>
        <w:rFonts w:ascii="Symbol" w:hAnsi="Symbol" w:hint="default"/>
      </w:rPr>
    </w:lvl>
    <w:lvl w:ilvl="7" w:tplc="7A544E5C">
      <w:start w:val="1"/>
      <w:numFmt w:val="bullet"/>
      <w:lvlText w:val="o"/>
      <w:lvlJc w:val="left"/>
      <w:pPr>
        <w:ind w:left="5760" w:hanging="360"/>
      </w:pPr>
      <w:rPr>
        <w:rFonts w:ascii="Courier New" w:hAnsi="Courier New" w:hint="default"/>
      </w:rPr>
    </w:lvl>
    <w:lvl w:ilvl="8" w:tplc="A622FBBC">
      <w:start w:val="1"/>
      <w:numFmt w:val="bullet"/>
      <w:lvlText w:val=""/>
      <w:lvlJc w:val="left"/>
      <w:pPr>
        <w:ind w:left="6480" w:hanging="360"/>
      </w:pPr>
      <w:rPr>
        <w:rFonts w:ascii="Wingdings" w:hAnsi="Wingdings" w:hint="default"/>
      </w:rPr>
    </w:lvl>
  </w:abstractNum>
  <w:abstractNum w:abstractNumId="18" w15:restartNumberingAfterBreak="0">
    <w:nsid w:val="0C8B7279"/>
    <w:multiLevelType w:val="hybridMultilevel"/>
    <w:tmpl w:val="6D724774"/>
    <w:lvl w:ilvl="0" w:tplc="FFFFFFFF">
      <w:start w:val="1"/>
      <w:numFmt w:val="decimal"/>
      <w:lvlText w:val="%1."/>
      <w:lvlJc w:val="left"/>
      <w:pPr>
        <w:ind w:left="2345" w:hanging="360"/>
      </w:pPr>
    </w:lvl>
    <w:lvl w:ilvl="1" w:tplc="FFFFFFFF" w:tentative="1">
      <w:start w:val="1"/>
      <w:numFmt w:val="lowerLetter"/>
      <w:lvlText w:val="%2."/>
      <w:lvlJc w:val="left"/>
      <w:pPr>
        <w:ind w:left="3065" w:hanging="360"/>
      </w:pPr>
    </w:lvl>
    <w:lvl w:ilvl="2" w:tplc="FFFFFFFF" w:tentative="1">
      <w:start w:val="1"/>
      <w:numFmt w:val="lowerRoman"/>
      <w:lvlText w:val="%3."/>
      <w:lvlJc w:val="right"/>
      <w:pPr>
        <w:ind w:left="3785" w:hanging="180"/>
      </w:pPr>
    </w:lvl>
    <w:lvl w:ilvl="3" w:tplc="FFFFFFFF" w:tentative="1">
      <w:start w:val="1"/>
      <w:numFmt w:val="decimal"/>
      <w:lvlText w:val="%4."/>
      <w:lvlJc w:val="left"/>
      <w:pPr>
        <w:ind w:left="4505" w:hanging="360"/>
      </w:pPr>
    </w:lvl>
    <w:lvl w:ilvl="4" w:tplc="FFFFFFFF" w:tentative="1">
      <w:start w:val="1"/>
      <w:numFmt w:val="lowerLetter"/>
      <w:lvlText w:val="%5."/>
      <w:lvlJc w:val="left"/>
      <w:pPr>
        <w:ind w:left="5225" w:hanging="360"/>
      </w:pPr>
    </w:lvl>
    <w:lvl w:ilvl="5" w:tplc="FFFFFFFF" w:tentative="1">
      <w:start w:val="1"/>
      <w:numFmt w:val="lowerRoman"/>
      <w:lvlText w:val="%6."/>
      <w:lvlJc w:val="right"/>
      <w:pPr>
        <w:ind w:left="5945" w:hanging="180"/>
      </w:pPr>
    </w:lvl>
    <w:lvl w:ilvl="6" w:tplc="FFFFFFFF" w:tentative="1">
      <w:start w:val="1"/>
      <w:numFmt w:val="decimal"/>
      <w:lvlText w:val="%7."/>
      <w:lvlJc w:val="left"/>
      <w:pPr>
        <w:ind w:left="6665" w:hanging="360"/>
      </w:pPr>
    </w:lvl>
    <w:lvl w:ilvl="7" w:tplc="FFFFFFFF" w:tentative="1">
      <w:start w:val="1"/>
      <w:numFmt w:val="lowerLetter"/>
      <w:lvlText w:val="%8."/>
      <w:lvlJc w:val="left"/>
      <w:pPr>
        <w:ind w:left="7385" w:hanging="360"/>
      </w:pPr>
    </w:lvl>
    <w:lvl w:ilvl="8" w:tplc="FFFFFFFF" w:tentative="1">
      <w:start w:val="1"/>
      <w:numFmt w:val="lowerRoman"/>
      <w:lvlText w:val="%9."/>
      <w:lvlJc w:val="right"/>
      <w:pPr>
        <w:ind w:left="8105" w:hanging="180"/>
      </w:pPr>
    </w:lvl>
  </w:abstractNum>
  <w:abstractNum w:abstractNumId="19" w15:restartNumberingAfterBreak="0">
    <w:nsid w:val="0D860C36"/>
    <w:multiLevelType w:val="multilevel"/>
    <w:tmpl w:val="3A7E7F8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00D6C98"/>
    <w:multiLevelType w:val="hybridMultilevel"/>
    <w:tmpl w:val="C1183510"/>
    <w:lvl w:ilvl="0" w:tplc="F496A694">
      <w:start w:val="1"/>
      <w:numFmt w:val="bullet"/>
      <w:lvlText w:val=""/>
      <w:lvlJc w:val="left"/>
      <w:pPr>
        <w:ind w:left="720" w:hanging="360"/>
      </w:pPr>
      <w:rPr>
        <w:rFonts w:ascii="Symbol" w:hAnsi="Symbol" w:hint="default"/>
      </w:rPr>
    </w:lvl>
    <w:lvl w:ilvl="1" w:tplc="F4865392">
      <w:start w:val="1"/>
      <w:numFmt w:val="bullet"/>
      <w:lvlText w:val="o"/>
      <w:lvlJc w:val="left"/>
      <w:pPr>
        <w:ind w:left="1440" w:hanging="360"/>
      </w:pPr>
      <w:rPr>
        <w:rFonts w:ascii="Courier New" w:hAnsi="Courier New" w:hint="default"/>
      </w:rPr>
    </w:lvl>
    <w:lvl w:ilvl="2" w:tplc="96A008EE">
      <w:start w:val="1"/>
      <w:numFmt w:val="bullet"/>
      <w:lvlText w:val=""/>
      <w:lvlJc w:val="left"/>
      <w:pPr>
        <w:ind w:left="2160" w:hanging="360"/>
      </w:pPr>
      <w:rPr>
        <w:rFonts w:ascii="Wingdings" w:hAnsi="Wingdings" w:hint="default"/>
      </w:rPr>
    </w:lvl>
    <w:lvl w:ilvl="3" w:tplc="EB0A6D76">
      <w:start w:val="1"/>
      <w:numFmt w:val="bullet"/>
      <w:lvlText w:val=""/>
      <w:lvlJc w:val="left"/>
      <w:pPr>
        <w:ind w:left="2880" w:hanging="360"/>
      </w:pPr>
      <w:rPr>
        <w:rFonts w:ascii="Symbol" w:hAnsi="Symbol" w:hint="default"/>
      </w:rPr>
    </w:lvl>
    <w:lvl w:ilvl="4" w:tplc="CE7ACB2A">
      <w:start w:val="1"/>
      <w:numFmt w:val="bullet"/>
      <w:lvlText w:val="o"/>
      <w:lvlJc w:val="left"/>
      <w:pPr>
        <w:ind w:left="3600" w:hanging="360"/>
      </w:pPr>
      <w:rPr>
        <w:rFonts w:ascii="Courier New" w:hAnsi="Courier New" w:hint="default"/>
      </w:rPr>
    </w:lvl>
    <w:lvl w:ilvl="5" w:tplc="B8064BFA">
      <w:start w:val="1"/>
      <w:numFmt w:val="bullet"/>
      <w:lvlText w:val=""/>
      <w:lvlJc w:val="left"/>
      <w:pPr>
        <w:ind w:left="4320" w:hanging="360"/>
      </w:pPr>
      <w:rPr>
        <w:rFonts w:ascii="Wingdings" w:hAnsi="Wingdings" w:hint="default"/>
      </w:rPr>
    </w:lvl>
    <w:lvl w:ilvl="6" w:tplc="04766396">
      <w:start w:val="1"/>
      <w:numFmt w:val="bullet"/>
      <w:lvlText w:val=""/>
      <w:lvlJc w:val="left"/>
      <w:pPr>
        <w:ind w:left="5040" w:hanging="360"/>
      </w:pPr>
      <w:rPr>
        <w:rFonts w:ascii="Symbol" w:hAnsi="Symbol" w:hint="default"/>
      </w:rPr>
    </w:lvl>
    <w:lvl w:ilvl="7" w:tplc="CFB025BA">
      <w:start w:val="1"/>
      <w:numFmt w:val="bullet"/>
      <w:lvlText w:val="o"/>
      <w:lvlJc w:val="left"/>
      <w:pPr>
        <w:ind w:left="5760" w:hanging="360"/>
      </w:pPr>
      <w:rPr>
        <w:rFonts w:ascii="Courier New" w:hAnsi="Courier New" w:hint="default"/>
      </w:rPr>
    </w:lvl>
    <w:lvl w:ilvl="8" w:tplc="D7F680FE">
      <w:start w:val="1"/>
      <w:numFmt w:val="bullet"/>
      <w:lvlText w:val=""/>
      <w:lvlJc w:val="left"/>
      <w:pPr>
        <w:ind w:left="6480" w:hanging="360"/>
      </w:pPr>
      <w:rPr>
        <w:rFonts w:ascii="Wingdings" w:hAnsi="Wingdings" w:hint="default"/>
      </w:rPr>
    </w:lvl>
  </w:abstractNum>
  <w:abstractNum w:abstractNumId="21" w15:restartNumberingAfterBreak="0">
    <w:nsid w:val="1148198B"/>
    <w:multiLevelType w:val="multilevel"/>
    <w:tmpl w:val="37820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18A1EC2"/>
    <w:multiLevelType w:val="multilevel"/>
    <w:tmpl w:val="4EDCD4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3042290"/>
    <w:multiLevelType w:val="hybridMultilevel"/>
    <w:tmpl w:val="26E691E0"/>
    <w:lvl w:ilvl="0" w:tplc="A1747E5E">
      <w:start w:val="1"/>
      <w:numFmt w:val="lowerLetter"/>
      <w:lvlText w:val="%1)"/>
      <w:lvlJc w:val="left"/>
      <w:pPr>
        <w:ind w:left="405" w:hanging="360"/>
      </w:pPr>
      <w:rPr>
        <w:rFonts w:ascii="Arial Narrow" w:eastAsia="Times New Roman" w:hAnsi="Arial Narrow" w:cs="Times New Roman"/>
      </w:rPr>
    </w:lvl>
    <w:lvl w:ilvl="1" w:tplc="04100019">
      <w:start w:val="1"/>
      <w:numFmt w:val="lowerLetter"/>
      <w:lvlText w:val="%2."/>
      <w:lvlJc w:val="left"/>
      <w:pPr>
        <w:ind w:left="1125" w:hanging="360"/>
      </w:pPr>
    </w:lvl>
    <w:lvl w:ilvl="2" w:tplc="0410001B">
      <w:start w:val="1"/>
      <w:numFmt w:val="lowerRoman"/>
      <w:lvlText w:val="%3."/>
      <w:lvlJc w:val="right"/>
      <w:pPr>
        <w:ind w:left="1845" w:hanging="180"/>
      </w:pPr>
    </w:lvl>
    <w:lvl w:ilvl="3" w:tplc="0410000F">
      <w:start w:val="1"/>
      <w:numFmt w:val="decimal"/>
      <w:lvlText w:val="%4."/>
      <w:lvlJc w:val="left"/>
      <w:pPr>
        <w:ind w:left="2565" w:hanging="360"/>
      </w:pPr>
    </w:lvl>
    <w:lvl w:ilvl="4" w:tplc="04100019">
      <w:start w:val="1"/>
      <w:numFmt w:val="lowerLetter"/>
      <w:lvlText w:val="%5."/>
      <w:lvlJc w:val="left"/>
      <w:pPr>
        <w:ind w:left="3285" w:hanging="360"/>
      </w:pPr>
    </w:lvl>
    <w:lvl w:ilvl="5" w:tplc="0410001B">
      <w:start w:val="1"/>
      <w:numFmt w:val="lowerRoman"/>
      <w:lvlText w:val="%6."/>
      <w:lvlJc w:val="right"/>
      <w:pPr>
        <w:ind w:left="4005" w:hanging="180"/>
      </w:pPr>
    </w:lvl>
    <w:lvl w:ilvl="6" w:tplc="0410000F">
      <w:start w:val="1"/>
      <w:numFmt w:val="decimal"/>
      <w:lvlText w:val="%7."/>
      <w:lvlJc w:val="left"/>
      <w:pPr>
        <w:ind w:left="4725" w:hanging="360"/>
      </w:pPr>
    </w:lvl>
    <w:lvl w:ilvl="7" w:tplc="04100019">
      <w:start w:val="1"/>
      <w:numFmt w:val="lowerLetter"/>
      <w:lvlText w:val="%8."/>
      <w:lvlJc w:val="left"/>
      <w:pPr>
        <w:ind w:left="5445" w:hanging="360"/>
      </w:pPr>
    </w:lvl>
    <w:lvl w:ilvl="8" w:tplc="0410001B">
      <w:start w:val="1"/>
      <w:numFmt w:val="lowerRoman"/>
      <w:lvlText w:val="%9."/>
      <w:lvlJc w:val="right"/>
      <w:pPr>
        <w:ind w:left="6165" w:hanging="180"/>
      </w:pPr>
    </w:lvl>
  </w:abstractNum>
  <w:abstractNum w:abstractNumId="24" w15:restartNumberingAfterBreak="0">
    <w:nsid w:val="14ED7B12"/>
    <w:multiLevelType w:val="hybridMultilevel"/>
    <w:tmpl w:val="29EA5478"/>
    <w:lvl w:ilvl="0" w:tplc="7AACA2A8">
      <w:start w:val="1"/>
      <w:numFmt w:val="lowerRoman"/>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15D54647"/>
    <w:multiLevelType w:val="hybridMultilevel"/>
    <w:tmpl w:val="CDD2791E"/>
    <w:lvl w:ilvl="0" w:tplc="ECE249C6">
      <w:start w:val="1"/>
      <w:numFmt w:val="bullet"/>
      <w:lvlText w:val=""/>
      <w:lvlJc w:val="right"/>
      <w:pPr>
        <w:ind w:left="720" w:hanging="360"/>
      </w:pPr>
      <w:rPr>
        <w:rFonts w:ascii="Symbol" w:hAnsi="Symbol" w:hint="default"/>
        <w:color w:val="3A7C22" w:themeColor="accent6" w:themeShade="BF"/>
        <w:spacing w:val="6"/>
        <w:position w:val="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15E226B0"/>
    <w:multiLevelType w:val="multilevel"/>
    <w:tmpl w:val="C5D2BA54"/>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Noto Sans Symbols" w:hAnsi="Noto Sans Symbols" w:hint="default"/>
      </w:rPr>
    </w:lvl>
    <w:lvl w:ilvl="3">
      <w:start w:val="1"/>
      <w:numFmt w:val="bullet"/>
      <w:lvlText w:val="●"/>
      <w:lvlJc w:val="left"/>
      <w:pPr>
        <w:ind w:left="2520" w:hanging="360"/>
      </w:pPr>
      <w:rPr>
        <w:rFonts w:ascii="Noto Sans Symbols" w:hAnsi="Noto Sans Symbols"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Noto Sans Symbols" w:hAnsi="Noto Sans Symbols" w:hint="default"/>
      </w:rPr>
    </w:lvl>
    <w:lvl w:ilvl="6">
      <w:start w:val="1"/>
      <w:numFmt w:val="bullet"/>
      <w:lvlText w:val="●"/>
      <w:lvlJc w:val="left"/>
      <w:pPr>
        <w:ind w:left="4680" w:hanging="360"/>
      </w:pPr>
      <w:rPr>
        <w:rFonts w:ascii="Noto Sans Symbols" w:hAnsi="Noto Sans Symbols"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Noto Sans Symbols" w:hAnsi="Noto Sans Symbols" w:hint="default"/>
      </w:rPr>
    </w:lvl>
  </w:abstractNum>
  <w:abstractNum w:abstractNumId="27" w15:restartNumberingAfterBreak="0">
    <w:nsid w:val="16353175"/>
    <w:multiLevelType w:val="multilevel"/>
    <w:tmpl w:val="397A91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165622D8"/>
    <w:multiLevelType w:val="hybridMultilevel"/>
    <w:tmpl w:val="E6E46808"/>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9" w15:restartNumberingAfterBreak="0">
    <w:nsid w:val="181C2342"/>
    <w:multiLevelType w:val="multilevel"/>
    <w:tmpl w:val="BA5E2E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19337120"/>
    <w:multiLevelType w:val="multilevel"/>
    <w:tmpl w:val="3A4A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811323"/>
    <w:multiLevelType w:val="hybridMultilevel"/>
    <w:tmpl w:val="D428AE04"/>
    <w:lvl w:ilvl="0" w:tplc="07F82988">
      <w:start w:val="1"/>
      <w:numFmt w:val="bullet"/>
      <w:lvlText w:val="-"/>
      <w:lvlJc w:val="left"/>
      <w:pPr>
        <w:ind w:left="1429" w:hanging="360"/>
      </w:pPr>
      <w:rPr>
        <w:rFonts w:ascii="Times New Roman" w:hAnsi="Times New Roman" w:hint="default"/>
      </w:rPr>
    </w:lvl>
    <w:lvl w:ilvl="1" w:tplc="9222CE2E">
      <w:start w:val="1"/>
      <w:numFmt w:val="bullet"/>
      <w:lvlText w:val="o"/>
      <w:lvlJc w:val="left"/>
      <w:pPr>
        <w:ind w:left="2149" w:hanging="360"/>
      </w:pPr>
      <w:rPr>
        <w:rFonts w:ascii="Courier New" w:hAnsi="Courier New" w:hint="default"/>
      </w:rPr>
    </w:lvl>
    <w:lvl w:ilvl="2" w:tplc="701E9312">
      <w:start w:val="1"/>
      <w:numFmt w:val="bullet"/>
      <w:lvlText w:val=""/>
      <w:lvlJc w:val="left"/>
      <w:pPr>
        <w:ind w:left="2869" w:hanging="360"/>
      </w:pPr>
      <w:rPr>
        <w:rFonts w:ascii="Wingdings" w:hAnsi="Wingdings" w:hint="default"/>
      </w:rPr>
    </w:lvl>
    <w:lvl w:ilvl="3" w:tplc="C162749A">
      <w:start w:val="1"/>
      <w:numFmt w:val="bullet"/>
      <w:lvlText w:val=""/>
      <w:lvlJc w:val="left"/>
      <w:pPr>
        <w:ind w:left="3589" w:hanging="360"/>
      </w:pPr>
      <w:rPr>
        <w:rFonts w:ascii="Symbol" w:hAnsi="Symbol" w:hint="default"/>
      </w:rPr>
    </w:lvl>
    <w:lvl w:ilvl="4" w:tplc="BD6EA15C">
      <w:start w:val="1"/>
      <w:numFmt w:val="bullet"/>
      <w:lvlText w:val="o"/>
      <w:lvlJc w:val="left"/>
      <w:pPr>
        <w:ind w:left="4309" w:hanging="360"/>
      </w:pPr>
      <w:rPr>
        <w:rFonts w:ascii="Courier New" w:hAnsi="Courier New" w:hint="default"/>
      </w:rPr>
    </w:lvl>
    <w:lvl w:ilvl="5" w:tplc="B1B03284">
      <w:start w:val="1"/>
      <w:numFmt w:val="bullet"/>
      <w:lvlText w:val=""/>
      <w:lvlJc w:val="left"/>
      <w:pPr>
        <w:ind w:left="5029" w:hanging="360"/>
      </w:pPr>
      <w:rPr>
        <w:rFonts w:ascii="Wingdings" w:hAnsi="Wingdings" w:hint="default"/>
      </w:rPr>
    </w:lvl>
    <w:lvl w:ilvl="6" w:tplc="5BFAF6F2">
      <w:start w:val="1"/>
      <w:numFmt w:val="bullet"/>
      <w:lvlText w:val=""/>
      <w:lvlJc w:val="left"/>
      <w:pPr>
        <w:ind w:left="5749" w:hanging="360"/>
      </w:pPr>
      <w:rPr>
        <w:rFonts w:ascii="Symbol" w:hAnsi="Symbol" w:hint="default"/>
      </w:rPr>
    </w:lvl>
    <w:lvl w:ilvl="7" w:tplc="3D4AC7AE">
      <w:start w:val="1"/>
      <w:numFmt w:val="bullet"/>
      <w:lvlText w:val="o"/>
      <w:lvlJc w:val="left"/>
      <w:pPr>
        <w:ind w:left="6469" w:hanging="360"/>
      </w:pPr>
      <w:rPr>
        <w:rFonts w:ascii="Courier New" w:hAnsi="Courier New" w:hint="default"/>
      </w:rPr>
    </w:lvl>
    <w:lvl w:ilvl="8" w:tplc="0366C68C">
      <w:start w:val="1"/>
      <w:numFmt w:val="bullet"/>
      <w:lvlText w:val=""/>
      <w:lvlJc w:val="left"/>
      <w:pPr>
        <w:ind w:left="7189" w:hanging="360"/>
      </w:pPr>
      <w:rPr>
        <w:rFonts w:ascii="Wingdings" w:hAnsi="Wingdings" w:hint="default"/>
      </w:rPr>
    </w:lvl>
  </w:abstractNum>
  <w:abstractNum w:abstractNumId="32" w15:restartNumberingAfterBreak="0">
    <w:nsid w:val="1A747A46"/>
    <w:multiLevelType w:val="multilevel"/>
    <w:tmpl w:val="DAE6534A"/>
    <w:lvl w:ilvl="0">
      <w:start w:val="5"/>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1B3C78B8"/>
    <w:multiLevelType w:val="multilevel"/>
    <w:tmpl w:val="2ED4F4D0"/>
    <w:name w:val="Point"/>
    <w:lvl w:ilvl="0">
      <w:start w:val="1"/>
      <w:numFmt w:val="decimal"/>
      <w:pStyle w:val="Point0number"/>
      <w:lvlText w:val="(%1)"/>
      <w:lvlJc w:val="left"/>
      <w:pPr>
        <w:tabs>
          <w:tab w:val="num" w:pos="850"/>
        </w:tabs>
        <w:ind w:left="850" w:hanging="850"/>
      </w:pPr>
    </w:lvl>
    <w:lvl w:ilvl="1">
      <w:start w:val="1"/>
      <w:numFmt w:val="lowerLetter"/>
      <w:pStyle w:val="Point3numb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pStyle w:val="Point0letter"/>
      <w:lvlText w:val="(%4)"/>
      <w:lvlJc w:val="left"/>
      <w:pPr>
        <w:tabs>
          <w:tab w:val="num" w:pos="1417"/>
        </w:tabs>
        <w:ind w:left="1417" w:hanging="567"/>
      </w:pPr>
    </w:lvl>
    <w:lvl w:ilvl="4">
      <w:start w:val="1"/>
      <w:numFmt w:val="decimal"/>
      <w:pStyle w:val="Point1number"/>
      <w:lvlText w:val="(%5)"/>
      <w:lvlJc w:val="left"/>
      <w:pPr>
        <w:tabs>
          <w:tab w:val="num" w:pos="1984"/>
        </w:tabs>
        <w:ind w:left="1984" w:hanging="567"/>
      </w:pPr>
    </w:lvl>
    <w:lvl w:ilvl="5">
      <w:start w:val="1"/>
      <w:numFmt w:val="lowerLetter"/>
      <w:pStyle w:val="Point1letter"/>
      <w:lvlText w:val="(%6)"/>
      <w:lvlJc w:val="left"/>
      <w:pPr>
        <w:tabs>
          <w:tab w:val="num" w:pos="1984"/>
        </w:tabs>
        <w:ind w:left="1984" w:hanging="567"/>
      </w:pPr>
    </w:lvl>
    <w:lvl w:ilvl="6">
      <w:start w:val="1"/>
      <w:numFmt w:val="decimal"/>
      <w:pStyle w:val="Point2number"/>
      <w:lvlText w:val="(%7)"/>
      <w:lvlJc w:val="left"/>
      <w:pPr>
        <w:tabs>
          <w:tab w:val="num" w:pos="2551"/>
        </w:tabs>
        <w:ind w:left="2551" w:hanging="567"/>
      </w:pPr>
    </w:lvl>
    <w:lvl w:ilvl="7">
      <w:start w:val="1"/>
      <w:numFmt w:val="lowerLetter"/>
      <w:pStyle w:val="Point2letter"/>
      <w:lvlText w:val="(%8)"/>
      <w:lvlJc w:val="left"/>
      <w:pPr>
        <w:tabs>
          <w:tab w:val="num" w:pos="2551"/>
        </w:tabs>
        <w:ind w:left="2551" w:hanging="567"/>
      </w:pPr>
    </w:lvl>
    <w:lvl w:ilvl="8">
      <w:start w:val="1"/>
      <w:numFmt w:val="lowerLetter"/>
      <w:pStyle w:val="Point3letter"/>
      <w:lvlText w:val="(%9)"/>
      <w:lvlJc w:val="left"/>
      <w:pPr>
        <w:tabs>
          <w:tab w:val="num" w:pos="3118"/>
        </w:tabs>
        <w:ind w:left="3118" w:hanging="567"/>
      </w:pPr>
    </w:lvl>
  </w:abstractNum>
  <w:abstractNum w:abstractNumId="34" w15:restartNumberingAfterBreak="0">
    <w:nsid w:val="1E317D26"/>
    <w:multiLevelType w:val="hybridMultilevel"/>
    <w:tmpl w:val="F2566412"/>
    <w:lvl w:ilvl="0" w:tplc="7CC4E43C">
      <w:start w:val="1"/>
      <w:numFmt w:val="decimal"/>
      <w:lvlText w:val="%1."/>
      <w:lvlJc w:val="left"/>
      <w:pPr>
        <w:ind w:left="720" w:hanging="360"/>
      </w:pPr>
    </w:lvl>
    <w:lvl w:ilvl="1" w:tplc="98B4BE10">
      <w:start w:val="1"/>
      <w:numFmt w:val="lowerLetter"/>
      <w:lvlText w:val="%2."/>
      <w:lvlJc w:val="left"/>
      <w:pPr>
        <w:ind w:left="1440" w:hanging="360"/>
      </w:pPr>
    </w:lvl>
    <w:lvl w:ilvl="2" w:tplc="E28A6A02">
      <w:start w:val="1"/>
      <w:numFmt w:val="lowerRoman"/>
      <w:lvlText w:val="%3."/>
      <w:lvlJc w:val="right"/>
      <w:pPr>
        <w:ind w:left="2160" w:hanging="180"/>
      </w:pPr>
    </w:lvl>
    <w:lvl w:ilvl="3" w:tplc="6EB468B2">
      <w:start w:val="1"/>
      <w:numFmt w:val="decimal"/>
      <w:lvlText w:val="%4."/>
      <w:lvlJc w:val="left"/>
      <w:pPr>
        <w:ind w:left="2880" w:hanging="360"/>
      </w:pPr>
    </w:lvl>
    <w:lvl w:ilvl="4" w:tplc="DD965FD8">
      <w:start w:val="1"/>
      <w:numFmt w:val="lowerLetter"/>
      <w:lvlText w:val="%5."/>
      <w:lvlJc w:val="left"/>
      <w:pPr>
        <w:ind w:left="3600" w:hanging="360"/>
      </w:pPr>
    </w:lvl>
    <w:lvl w:ilvl="5" w:tplc="4E466424">
      <w:start w:val="1"/>
      <w:numFmt w:val="lowerRoman"/>
      <w:lvlText w:val="%6."/>
      <w:lvlJc w:val="right"/>
      <w:pPr>
        <w:ind w:left="4320" w:hanging="180"/>
      </w:pPr>
    </w:lvl>
    <w:lvl w:ilvl="6" w:tplc="2174BC9C">
      <w:start w:val="1"/>
      <w:numFmt w:val="decimal"/>
      <w:lvlText w:val="%7."/>
      <w:lvlJc w:val="left"/>
      <w:pPr>
        <w:ind w:left="5040" w:hanging="360"/>
      </w:pPr>
    </w:lvl>
    <w:lvl w:ilvl="7" w:tplc="3EA00D02">
      <w:start w:val="1"/>
      <w:numFmt w:val="lowerLetter"/>
      <w:lvlText w:val="%8."/>
      <w:lvlJc w:val="left"/>
      <w:pPr>
        <w:ind w:left="5760" w:hanging="360"/>
      </w:pPr>
    </w:lvl>
    <w:lvl w:ilvl="8" w:tplc="4616220A">
      <w:start w:val="1"/>
      <w:numFmt w:val="lowerRoman"/>
      <w:lvlText w:val="%9."/>
      <w:lvlJc w:val="right"/>
      <w:pPr>
        <w:ind w:left="6480" w:hanging="180"/>
      </w:pPr>
    </w:lvl>
  </w:abstractNum>
  <w:abstractNum w:abstractNumId="35" w15:restartNumberingAfterBreak="0">
    <w:nsid w:val="1E950445"/>
    <w:multiLevelType w:val="multilevel"/>
    <w:tmpl w:val="610804BC"/>
    <w:lvl w:ilvl="0">
      <w:start w:val="1"/>
      <w:numFmt w:val="decimal"/>
      <w:lvlText w:val="%1."/>
      <w:lvlJc w:val="left"/>
      <w:pPr>
        <w:ind w:left="476" w:hanging="476"/>
      </w:pPr>
      <w:rPr>
        <w:b/>
        <w:bCs/>
      </w:rPr>
    </w:lvl>
    <w:lvl w:ilvl="1">
      <w:start w:val="1"/>
      <w:numFmt w:val="lowerLetter"/>
      <w:lvlText w:val="%2)"/>
      <w:lvlJc w:val="left"/>
      <w:pPr>
        <w:ind w:left="836" w:hanging="360"/>
      </w:pPr>
    </w:lvl>
    <w:lvl w:ilvl="2">
      <w:start w:val="1"/>
      <w:numFmt w:val="lowerRoman"/>
      <w:lvlText w:val="%3."/>
      <w:lvlJc w:val="left"/>
      <w:pPr>
        <w:ind w:left="1429" w:hanging="476"/>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49CA69"/>
    <w:multiLevelType w:val="hybridMultilevel"/>
    <w:tmpl w:val="FFFFFFFF"/>
    <w:lvl w:ilvl="0" w:tplc="9BA2FBA8">
      <w:start w:val="1"/>
      <w:numFmt w:val="bullet"/>
      <w:lvlText w:val="·"/>
      <w:lvlJc w:val="left"/>
      <w:pPr>
        <w:ind w:left="720" w:hanging="360"/>
      </w:pPr>
      <w:rPr>
        <w:rFonts w:ascii="&quot;Times New Roman&quot;,serif" w:hAnsi="&quot;Times New Roman&quot;,serif" w:hint="default"/>
      </w:rPr>
    </w:lvl>
    <w:lvl w:ilvl="1" w:tplc="275440D2">
      <w:start w:val="1"/>
      <w:numFmt w:val="bullet"/>
      <w:lvlText w:val="o"/>
      <w:lvlJc w:val="left"/>
      <w:pPr>
        <w:ind w:left="1440" w:hanging="360"/>
      </w:pPr>
      <w:rPr>
        <w:rFonts w:ascii="Courier New" w:hAnsi="Courier New" w:hint="default"/>
      </w:rPr>
    </w:lvl>
    <w:lvl w:ilvl="2" w:tplc="0BD676BC">
      <w:start w:val="1"/>
      <w:numFmt w:val="bullet"/>
      <w:lvlText w:val=""/>
      <w:lvlJc w:val="left"/>
      <w:pPr>
        <w:ind w:left="2160" w:hanging="360"/>
      </w:pPr>
      <w:rPr>
        <w:rFonts w:ascii="Wingdings" w:hAnsi="Wingdings" w:hint="default"/>
      </w:rPr>
    </w:lvl>
    <w:lvl w:ilvl="3" w:tplc="9766BE38">
      <w:start w:val="1"/>
      <w:numFmt w:val="bullet"/>
      <w:lvlText w:val=""/>
      <w:lvlJc w:val="left"/>
      <w:pPr>
        <w:ind w:left="2880" w:hanging="360"/>
      </w:pPr>
      <w:rPr>
        <w:rFonts w:ascii="Symbol" w:hAnsi="Symbol" w:hint="default"/>
      </w:rPr>
    </w:lvl>
    <w:lvl w:ilvl="4" w:tplc="04686B50">
      <w:start w:val="1"/>
      <w:numFmt w:val="bullet"/>
      <w:lvlText w:val="o"/>
      <w:lvlJc w:val="left"/>
      <w:pPr>
        <w:ind w:left="3600" w:hanging="360"/>
      </w:pPr>
      <w:rPr>
        <w:rFonts w:ascii="Courier New" w:hAnsi="Courier New" w:hint="default"/>
      </w:rPr>
    </w:lvl>
    <w:lvl w:ilvl="5" w:tplc="57443B5E">
      <w:start w:val="1"/>
      <w:numFmt w:val="bullet"/>
      <w:lvlText w:val=""/>
      <w:lvlJc w:val="left"/>
      <w:pPr>
        <w:ind w:left="4320" w:hanging="360"/>
      </w:pPr>
      <w:rPr>
        <w:rFonts w:ascii="Wingdings" w:hAnsi="Wingdings" w:hint="default"/>
      </w:rPr>
    </w:lvl>
    <w:lvl w:ilvl="6" w:tplc="0FF6A8E4">
      <w:start w:val="1"/>
      <w:numFmt w:val="bullet"/>
      <w:lvlText w:val=""/>
      <w:lvlJc w:val="left"/>
      <w:pPr>
        <w:ind w:left="5040" w:hanging="360"/>
      </w:pPr>
      <w:rPr>
        <w:rFonts w:ascii="Symbol" w:hAnsi="Symbol" w:hint="default"/>
      </w:rPr>
    </w:lvl>
    <w:lvl w:ilvl="7" w:tplc="ABC400F0">
      <w:start w:val="1"/>
      <w:numFmt w:val="bullet"/>
      <w:lvlText w:val="o"/>
      <w:lvlJc w:val="left"/>
      <w:pPr>
        <w:ind w:left="5760" w:hanging="360"/>
      </w:pPr>
      <w:rPr>
        <w:rFonts w:ascii="Courier New" w:hAnsi="Courier New" w:hint="default"/>
      </w:rPr>
    </w:lvl>
    <w:lvl w:ilvl="8" w:tplc="66C02916">
      <w:start w:val="1"/>
      <w:numFmt w:val="bullet"/>
      <w:lvlText w:val=""/>
      <w:lvlJc w:val="left"/>
      <w:pPr>
        <w:ind w:left="6480" w:hanging="360"/>
      </w:pPr>
      <w:rPr>
        <w:rFonts w:ascii="Wingdings" w:hAnsi="Wingdings" w:hint="default"/>
      </w:rPr>
    </w:lvl>
  </w:abstractNum>
  <w:abstractNum w:abstractNumId="37" w15:restartNumberingAfterBreak="0">
    <w:nsid w:val="1FFB1B04"/>
    <w:multiLevelType w:val="multilevel"/>
    <w:tmpl w:val="B56431F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20012FB"/>
    <w:multiLevelType w:val="multilevel"/>
    <w:tmpl w:val="AADC2D4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22B3650B"/>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2E44180"/>
    <w:multiLevelType w:val="multilevel"/>
    <w:tmpl w:val="DFC88CEC"/>
    <w:lvl w:ilvl="0">
      <w:start w:val="1"/>
      <w:numFmt w:val="decimal"/>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pStyle w:val="NumPar2"/>
      <w:lvlText w:val="%1.%2.%3."/>
      <w:lvlJc w:val="left"/>
      <w:pPr>
        <w:tabs>
          <w:tab w:val="num" w:pos="850"/>
        </w:tabs>
        <w:ind w:left="850" w:hanging="850"/>
      </w:pPr>
    </w:lvl>
    <w:lvl w:ilvl="3">
      <w:start w:val="1"/>
      <w:numFmt w:val="decimal"/>
      <w:pStyle w:val="NumPar3"/>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164AFB"/>
    <w:multiLevelType w:val="hybridMultilevel"/>
    <w:tmpl w:val="8B6C2238"/>
    <w:lvl w:ilvl="0" w:tplc="1C2C3C14">
      <w:start w:val="1"/>
      <w:numFmt w:val="decimal"/>
      <w:lvlText w:val="%1."/>
      <w:lvlJc w:val="left"/>
      <w:pPr>
        <w:ind w:left="1080" w:hanging="360"/>
      </w:pPr>
    </w:lvl>
    <w:lvl w:ilvl="1" w:tplc="400CA014">
      <w:start w:val="1"/>
      <w:numFmt w:val="lowerLetter"/>
      <w:lvlText w:val="%2."/>
      <w:lvlJc w:val="left"/>
      <w:pPr>
        <w:ind w:left="1800" w:hanging="360"/>
      </w:pPr>
    </w:lvl>
    <w:lvl w:ilvl="2" w:tplc="9FE250C4">
      <w:start w:val="1"/>
      <w:numFmt w:val="lowerRoman"/>
      <w:lvlText w:val="%3."/>
      <w:lvlJc w:val="right"/>
      <w:pPr>
        <w:ind w:left="2520" w:hanging="180"/>
      </w:pPr>
    </w:lvl>
    <w:lvl w:ilvl="3" w:tplc="0220BE9C">
      <w:start w:val="1"/>
      <w:numFmt w:val="decimal"/>
      <w:lvlText w:val="%4."/>
      <w:lvlJc w:val="left"/>
      <w:pPr>
        <w:ind w:left="3240" w:hanging="360"/>
      </w:pPr>
    </w:lvl>
    <w:lvl w:ilvl="4" w:tplc="194015C8">
      <w:start w:val="1"/>
      <w:numFmt w:val="lowerLetter"/>
      <w:lvlText w:val="%5."/>
      <w:lvlJc w:val="left"/>
      <w:pPr>
        <w:ind w:left="3960" w:hanging="360"/>
      </w:pPr>
    </w:lvl>
    <w:lvl w:ilvl="5" w:tplc="FD30D5EA">
      <w:start w:val="1"/>
      <w:numFmt w:val="lowerRoman"/>
      <w:lvlText w:val="%6."/>
      <w:lvlJc w:val="right"/>
      <w:pPr>
        <w:ind w:left="4680" w:hanging="180"/>
      </w:pPr>
    </w:lvl>
    <w:lvl w:ilvl="6" w:tplc="17522B08">
      <w:start w:val="1"/>
      <w:numFmt w:val="decimal"/>
      <w:lvlText w:val="%7."/>
      <w:lvlJc w:val="left"/>
      <w:pPr>
        <w:ind w:left="5400" w:hanging="360"/>
      </w:pPr>
    </w:lvl>
    <w:lvl w:ilvl="7" w:tplc="1C7E61F4">
      <w:start w:val="1"/>
      <w:numFmt w:val="lowerLetter"/>
      <w:lvlText w:val="%8."/>
      <w:lvlJc w:val="left"/>
      <w:pPr>
        <w:ind w:left="6120" w:hanging="360"/>
      </w:pPr>
    </w:lvl>
    <w:lvl w:ilvl="8" w:tplc="2A36D5F2">
      <w:start w:val="1"/>
      <w:numFmt w:val="lowerRoman"/>
      <w:lvlText w:val="%9."/>
      <w:lvlJc w:val="right"/>
      <w:pPr>
        <w:ind w:left="6840" w:hanging="180"/>
      </w:pPr>
    </w:lvl>
  </w:abstractNum>
  <w:abstractNum w:abstractNumId="42" w15:restartNumberingAfterBreak="0">
    <w:nsid w:val="23646EE9"/>
    <w:multiLevelType w:val="multilevel"/>
    <w:tmpl w:val="6AE2B6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46A2E3F"/>
    <w:multiLevelType w:val="hybridMultilevel"/>
    <w:tmpl w:val="DDC0CB96"/>
    <w:lvl w:ilvl="0" w:tplc="74F0ABD6">
      <w:start w:val="2025"/>
      <w:numFmt w:val="bullet"/>
      <w:lvlText w:val="-"/>
      <w:lvlJc w:val="left"/>
      <w:pPr>
        <w:ind w:left="1080" w:hanging="360"/>
      </w:pPr>
      <w:rPr>
        <w:rFonts w:ascii="Segoe UI" w:hAnsi="Segoe UI" w:hint="default"/>
      </w:rPr>
    </w:lvl>
    <w:lvl w:ilvl="1" w:tplc="CCD83952">
      <w:start w:val="1"/>
      <w:numFmt w:val="bullet"/>
      <w:lvlText w:val="o"/>
      <w:lvlJc w:val="left"/>
      <w:pPr>
        <w:ind w:left="1800" w:hanging="360"/>
      </w:pPr>
      <w:rPr>
        <w:rFonts w:ascii="Courier New" w:hAnsi="Courier New" w:hint="default"/>
      </w:rPr>
    </w:lvl>
    <w:lvl w:ilvl="2" w:tplc="4D3099A2">
      <w:start w:val="1"/>
      <w:numFmt w:val="bullet"/>
      <w:lvlText w:val=""/>
      <w:lvlJc w:val="left"/>
      <w:pPr>
        <w:ind w:left="2520" w:hanging="360"/>
      </w:pPr>
      <w:rPr>
        <w:rFonts w:ascii="Wingdings" w:hAnsi="Wingdings" w:hint="default"/>
      </w:rPr>
    </w:lvl>
    <w:lvl w:ilvl="3" w:tplc="40989C6E">
      <w:start w:val="1"/>
      <w:numFmt w:val="bullet"/>
      <w:lvlText w:val=""/>
      <w:lvlJc w:val="left"/>
      <w:pPr>
        <w:ind w:left="3240" w:hanging="360"/>
      </w:pPr>
      <w:rPr>
        <w:rFonts w:ascii="Symbol" w:hAnsi="Symbol" w:hint="default"/>
      </w:rPr>
    </w:lvl>
    <w:lvl w:ilvl="4" w:tplc="B6C2CE2E">
      <w:start w:val="1"/>
      <w:numFmt w:val="bullet"/>
      <w:lvlText w:val="o"/>
      <w:lvlJc w:val="left"/>
      <w:pPr>
        <w:ind w:left="3960" w:hanging="360"/>
      </w:pPr>
      <w:rPr>
        <w:rFonts w:ascii="Courier New" w:hAnsi="Courier New" w:hint="default"/>
      </w:rPr>
    </w:lvl>
    <w:lvl w:ilvl="5" w:tplc="71E023EC">
      <w:start w:val="1"/>
      <w:numFmt w:val="bullet"/>
      <w:lvlText w:val=""/>
      <w:lvlJc w:val="left"/>
      <w:pPr>
        <w:ind w:left="4680" w:hanging="360"/>
      </w:pPr>
      <w:rPr>
        <w:rFonts w:ascii="Wingdings" w:hAnsi="Wingdings" w:hint="default"/>
      </w:rPr>
    </w:lvl>
    <w:lvl w:ilvl="6" w:tplc="84FC4682">
      <w:start w:val="1"/>
      <w:numFmt w:val="bullet"/>
      <w:lvlText w:val=""/>
      <w:lvlJc w:val="left"/>
      <w:pPr>
        <w:ind w:left="5400" w:hanging="360"/>
      </w:pPr>
      <w:rPr>
        <w:rFonts w:ascii="Symbol" w:hAnsi="Symbol" w:hint="default"/>
      </w:rPr>
    </w:lvl>
    <w:lvl w:ilvl="7" w:tplc="77FC9FDE">
      <w:start w:val="1"/>
      <w:numFmt w:val="bullet"/>
      <w:lvlText w:val="o"/>
      <w:lvlJc w:val="left"/>
      <w:pPr>
        <w:ind w:left="6120" w:hanging="360"/>
      </w:pPr>
      <w:rPr>
        <w:rFonts w:ascii="Courier New" w:hAnsi="Courier New" w:hint="default"/>
      </w:rPr>
    </w:lvl>
    <w:lvl w:ilvl="8" w:tplc="AF5C0566">
      <w:start w:val="1"/>
      <w:numFmt w:val="bullet"/>
      <w:lvlText w:val=""/>
      <w:lvlJc w:val="left"/>
      <w:pPr>
        <w:ind w:left="6840" w:hanging="360"/>
      </w:pPr>
      <w:rPr>
        <w:rFonts w:ascii="Wingdings" w:hAnsi="Wingdings" w:hint="default"/>
      </w:rPr>
    </w:lvl>
  </w:abstractNum>
  <w:abstractNum w:abstractNumId="44" w15:restartNumberingAfterBreak="0">
    <w:nsid w:val="24AF1572"/>
    <w:multiLevelType w:val="singleLevel"/>
    <w:tmpl w:val="3FE82790"/>
    <w:styleLink w:val="Puntielenco0"/>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24BB5D4E"/>
    <w:multiLevelType w:val="multilevel"/>
    <w:tmpl w:val="8A3A51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24EB7D87"/>
    <w:multiLevelType w:val="multilevel"/>
    <w:tmpl w:val="A4A6DBE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6E7148B"/>
    <w:multiLevelType w:val="hybridMultilevel"/>
    <w:tmpl w:val="AE1ABF60"/>
    <w:lvl w:ilvl="0" w:tplc="3EA80E8E">
      <w:start w:val="1"/>
      <w:numFmt w:val="bullet"/>
      <w:lvlText w:val=""/>
      <w:lvlJc w:val="left"/>
      <w:pPr>
        <w:ind w:left="720" w:hanging="360"/>
      </w:pPr>
      <w:rPr>
        <w:rFonts w:ascii="Symbol" w:hAnsi="Symbol" w:hint="default"/>
      </w:rPr>
    </w:lvl>
    <w:lvl w:ilvl="1" w:tplc="A81EF75A">
      <w:start w:val="1"/>
      <w:numFmt w:val="bullet"/>
      <w:lvlText w:val="o"/>
      <w:lvlJc w:val="left"/>
      <w:pPr>
        <w:ind w:left="1440" w:hanging="360"/>
      </w:pPr>
      <w:rPr>
        <w:rFonts w:ascii="Courier New" w:hAnsi="Courier New" w:hint="default"/>
      </w:rPr>
    </w:lvl>
    <w:lvl w:ilvl="2" w:tplc="C010B64C">
      <w:start w:val="1"/>
      <w:numFmt w:val="bullet"/>
      <w:lvlText w:val=""/>
      <w:lvlJc w:val="left"/>
      <w:pPr>
        <w:ind w:left="2160" w:hanging="360"/>
      </w:pPr>
      <w:rPr>
        <w:rFonts w:ascii="Wingdings" w:hAnsi="Wingdings" w:hint="default"/>
      </w:rPr>
    </w:lvl>
    <w:lvl w:ilvl="3" w:tplc="F8DA74A0">
      <w:start w:val="1"/>
      <w:numFmt w:val="bullet"/>
      <w:lvlText w:val=""/>
      <w:lvlJc w:val="left"/>
      <w:pPr>
        <w:ind w:left="2880" w:hanging="360"/>
      </w:pPr>
      <w:rPr>
        <w:rFonts w:ascii="Symbol" w:hAnsi="Symbol" w:hint="default"/>
      </w:rPr>
    </w:lvl>
    <w:lvl w:ilvl="4" w:tplc="835E426C">
      <w:start w:val="1"/>
      <w:numFmt w:val="bullet"/>
      <w:lvlText w:val="o"/>
      <w:lvlJc w:val="left"/>
      <w:pPr>
        <w:ind w:left="3600" w:hanging="360"/>
      </w:pPr>
      <w:rPr>
        <w:rFonts w:ascii="Courier New" w:hAnsi="Courier New" w:hint="default"/>
      </w:rPr>
    </w:lvl>
    <w:lvl w:ilvl="5" w:tplc="8AC4FF18">
      <w:start w:val="1"/>
      <w:numFmt w:val="bullet"/>
      <w:lvlText w:val=""/>
      <w:lvlJc w:val="left"/>
      <w:pPr>
        <w:ind w:left="4320" w:hanging="360"/>
      </w:pPr>
      <w:rPr>
        <w:rFonts w:ascii="Wingdings" w:hAnsi="Wingdings" w:hint="default"/>
      </w:rPr>
    </w:lvl>
    <w:lvl w:ilvl="6" w:tplc="F3745DE0">
      <w:start w:val="1"/>
      <w:numFmt w:val="bullet"/>
      <w:lvlText w:val=""/>
      <w:lvlJc w:val="left"/>
      <w:pPr>
        <w:ind w:left="5040" w:hanging="360"/>
      </w:pPr>
      <w:rPr>
        <w:rFonts w:ascii="Symbol" w:hAnsi="Symbol" w:hint="default"/>
      </w:rPr>
    </w:lvl>
    <w:lvl w:ilvl="7" w:tplc="BC84CD90">
      <w:start w:val="1"/>
      <w:numFmt w:val="bullet"/>
      <w:lvlText w:val="o"/>
      <w:lvlJc w:val="left"/>
      <w:pPr>
        <w:ind w:left="5760" w:hanging="360"/>
      </w:pPr>
      <w:rPr>
        <w:rFonts w:ascii="Courier New" w:hAnsi="Courier New" w:hint="default"/>
      </w:rPr>
    </w:lvl>
    <w:lvl w:ilvl="8" w:tplc="B418948A">
      <w:start w:val="1"/>
      <w:numFmt w:val="bullet"/>
      <w:lvlText w:val=""/>
      <w:lvlJc w:val="left"/>
      <w:pPr>
        <w:ind w:left="6480" w:hanging="360"/>
      </w:pPr>
      <w:rPr>
        <w:rFonts w:ascii="Wingdings" w:hAnsi="Wingdings" w:hint="default"/>
      </w:rPr>
    </w:lvl>
  </w:abstractNum>
  <w:abstractNum w:abstractNumId="48" w15:restartNumberingAfterBreak="0">
    <w:nsid w:val="27C27310"/>
    <w:multiLevelType w:val="multilevel"/>
    <w:tmpl w:val="14A07D5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85C7D04"/>
    <w:multiLevelType w:val="multilevel"/>
    <w:tmpl w:val="788E53A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8BD17F5"/>
    <w:multiLevelType w:val="hybridMultilevel"/>
    <w:tmpl w:val="6E3089F2"/>
    <w:lvl w:ilvl="0" w:tplc="6E24EB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1" w15:restartNumberingAfterBreak="0">
    <w:nsid w:val="29857FBA"/>
    <w:multiLevelType w:val="hybridMultilevel"/>
    <w:tmpl w:val="0526D434"/>
    <w:lvl w:ilvl="0" w:tplc="C9B23F44">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2" w15:restartNumberingAfterBreak="0">
    <w:nsid w:val="298A4C8A"/>
    <w:multiLevelType w:val="hybridMultilevel"/>
    <w:tmpl w:val="2D4623CC"/>
    <w:lvl w:ilvl="0" w:tplc="D8CCA47E">
      <w:start w:val="1"/>
      <w:numFmt w:val="bullet"/>
      <w:lvlText w:val="-"/>
      <w:lvlJc w:val="left"/>
      <w:pPr>
        <w:ind w:left="360" w:hanging="360"/>
      </w:pPr>
      <w:rPr>
        <w:rFonts w:ascii="Times New Roman" w:hAnsi="Times New Roman" w:cs="Times New Roman" w:hint="default"/>
      </w:rPr>
    </w:lvl>
    <w:lvl w:ilvl="1" w:tplc="18090003" w:tentative="1">
      <w:start w:val="1"/>
      <w:numFmt w:val="bullet"/>
      <w:lvlText w:val="o"/>
      <w:lvlJc w:val="left"/>
      <w:pPr>
        <w:ind w:left="371" w:hanging="360"/>
      </w:pPr>
      <w:rPr>
        <w:rFonts w:ascii="Courier New" w:hAnsi="Courier New" w:cs="Courier New" w:hint="default"/>
      </w:rPr>
    </w:lvl>
    <w:lvl w:ilvl="2" w:tplc="18090005" w:tentative="1">
      <w:start w:val="1"/>
      <w:numFmt w:val="bullet"/>
      <w:lvlText w:val=""/>
      <w:lvlJc w:val="left"/>
      <w:pPr>
        <w:ind w:left="1091" w:hanging="360"/>
      </w:pPr>
      <w:rPr>
        <w:rFonts w:ascii="Wingdings" w:hAnsi="Wingdings" w:hint="default"/>
      </w:rPr>
    </w:lvl>
    <w:lvl w:ilvl="3" w:tplc="18090001" w:tentative="1">
      <w:start w:val="1"/>
      <w:numFmt w:val="bullet"/>
      <w:lvlText w:val=""/>
      <w:lvlJc w:val="left"/>
      <w:pPr>
        <w:ind w:left="1811" w:hanging="360"/>
      </w:pPr>
      <w:rPr>
        <w:rFonts w:ascii="Symbol" w:hAnsi="Symbol" w:hint="default"/>
      </w:rPr>
    </w:lvl>
    <w:lvl w:ilvl="4" w:tplc="18090003" w:tentative="1">
      <w:start w:val="1"/>
      <w:numFmt w:val="bullet"/>
      <w:lvlText w:val="o"/>
      <w:lvlJc w:val="left"/>
      <w:pPr>
        <w:ind w:left="2531" w:hanging="360"/>
      </w:pPr>
      <w:rPr>
        <w:rFonts w:ascii="Courier New" w:hAnsi="Courier New" w:cs="Courier New" w:hint="default"/>
      </w:rPr>
    </w:lvl>
    <w:lvl w:ilvl="5" w:tplc="18090005" w:tentative="1">
      <w:start w:val="1"/>
      <w:numFmt w:val="bullet"/>
      <w:lvlText w:val=""/>
      <w:lvlJc w:val="left"/>
      <w:pPr>
        <w:ind w:left="3251" w:hanging="360"/>
      </w:pPr>
      <w:rPr>
        <w:rFonts w:ascii="Wingdings" w:hAnsi="Wingdings" w:hint="default"/>
      </w:rPr>
    </w:lvl>
    <w:lvl w:ilvl="6" w:tplc="18090001" w:tentative="1">
      <w:start w:val="1"/>
      <w:numFmt w:val="bullet"/>
      <w:lvlText w:val=""/>
      <w:lvlJc w:val="left"/>
      <w:pPr>
        <w:ind w:left="3971" w:hanging="360"/>
      </w:pPr>
      <w:rPr>
        <w:rFonts w:ascii="Symbol" w:hAnsi="Symbol" w:hint="default"/>
      </w:rPr>
    </w:lvl>
    <w:lvl w:ilvl="7" w:tplc="18090003" w:tentative="1">
      <w:start w:val="1"/>
      <w:numFmt w:val="bullet"/>
      <w:lvlText w:val="o"/>
      <w:lvlJc w:val="left"/>
      <w:pPr>
        <w:ind w:left="4691" w:hanging="360"/>
      </w:pPr>
      <w:rPr>
        <w:rFonts w:ascii="Courier New" w:hAnsi="Courier New" w:cs="Courier New" w:hint="default"/>
      </w:rPr>
    </w:lvl>
    <w:lvl w:ilvl="8" w:tplc="18090005" w:tentative="1">
      <w:start w:val="1"/>
      <w:numFmt w:val="bullet"/>
      <w:lvlText w:val=""/>
      <w:lvlJc w:val="left"/>
      <w:pPr>
        <w:ind w:left="5411" w:hanging="360"/>
      </w:pPr>
      <w:rPr>
        <w:rFonts w:ascii="Wingdings" w:hAnsi="Wingdings" w:hint="default"/>
      </w:rPr>
    </w:lvl>
  </w:abstractNum>
  <w:abstractNum w:abstractNumId="53" w15:restartNumberingAfterBreak="0">
    <w:nsid w:val="2A1379F2"/>
    <w:multiLevelType w:val="hybridMultilevel"/>
    <w:tmpl w:val="FFFFFFFF"/>
    <w:lvl w:ilvl="0" w:tplc="FB8CE01E">
      <w:start w:val="1"/>
      <w:numFmt w:val="lowerRoman"/>
      <w:lvlText w:val="%1."/>
      <w:lvlJc w:val="right"/>
      <w:pPr>
        <w:ind w:left="720" w:hanging="360"/>
      </w:pPr>
    </w:lvl>
    <w:lvl w:ilvl="1" w:tplc="7A8E242E">
      <w:start w:val="1"/>
      <w:numFmt w:val="lowerLetter"/>
      <w:lvlText w:val="%2."/>
      <w:lvlJc w:val="left"/>
      <w:pPr>
        <w:ind w:left="1440" w:hanging="360"/>
      </w:pPr>
    </w:lvl>
    <w:lvl w:ilvl="2" w:tplc="7B784084">
      <w:start w:val="1"/>
      <w:numFmt w:val="lowerRoman"/>
      <w:lvlText w:val="%3."/>
      <w:lvlJc w:val="right"/>
      <w:pPr>
        <w:ind w:left="2160" w:hanging="180"/>
      </w:pPr>
    </w:lvl>
    <w:lvl w:ilvl="3" w:tplc="6D54AFC8">
      <w:start w:val="1"/>
      <w:numFmt w:val="decimal"/>
      <w:lvlText w:val="%4."/>
      <w:lvlJc w:val="left"/>
      <w:pPr>
        <w:ind w:left="2880" w:hanging="360"/>
      </w:pPr>
    </w:lvl>
    <w:lvl w:ilvl="4" w:tplc="2728A924">
      <w:start w:val="1"/>
      <w:numFmt w:val="lowerLetter"/>
      <w:lvlText w:val="%5."/>
      <w:lvlJc w:val="left"/>
      <w:pPr>
        <w:ind w:left="3600" w:hanging="360"/>
      </w:pPr>
    </w:lvl>
    <w:lvl w:ilvl="5" w:tplc="6AE40ED8">
      <w:start w:val="1"/>
      <w:numFmt w:val="lowerRoman"/>
      <w:lvlText w:val="%6."/>
      <w:lvlJc w:val="right"/>
      <w:pPr>
        <w:ind w:left="4320" w:hanging="180"/>
      </w:pPr>
    </w:lvl>
    <w:lvl w:ilvl="6" w:tplc="B48873E0">
      <w:start w:val="1"/>
      <w:numFmt w:val="decimal"/>
      <w:lvlText w:val="%7."/>
      <w:lvlJc w:val="left"/>
      <w:pPr>
        <w:ind w:left="5040" w:hanging="360"/>
      </w:pPr>
    </w:lvl>
    <w:lvl w:ilvl="7" w:tplc="D27202C2">
      <w:start w:val="1"/>
      <w:numFmt w:val="lowerLetter"/>
      <w:lvlText w:val="%8."/>
      <w:lvlJc w:val="left"/>
      <w:pPr>
        <w:ind w:left="5760" w:hanging="360"/>
      </w:pPr>
    </w:lvl>
    <w:lvl w:ilvl="8" w:tplc="1F0C88F6">
      <w:start w:val="1"/>
      <w:numFmt w:val="lowerRoman"/>
      <w:lvlText w:val="%9."/>
      <w:lvlJc w:val="right"/>
      <w:pPr>
        <w:ind w:left="6480" w:hanging="180"/>
      </w:pPr>
    </w:lvl>
  </w:abstractNum>
  <w:abstractNum w:abstractNumId="54" w15:restartNumberingAfterBreak="0">
    <w:nsid w:val="2A92660E"/>
    <w:multiLevelType w:val="hybridMultilevel"/>
    <w:tmpl w:val="E50C9DBA"/>
    <w:lvl w:ilvl="0" w:tplc="BCAC91D2">
      <w:numFmt w:val="bullet"/>
      <w:lvlText w:val="-"/>
      <w:lvlJc w:val="left"/>
      <w:pPr>
        <w:ind w:left="720" w:hanging="360"/>
      </w:pPr>
      <w:rPr>
        <w:rFonts w:ascii="Calibri" w:hAnsi="Calibri" w:hint="default"/>
      </w:rPr>
    </w:lvl>
    <w:lvl w:ilvl="1" w:tplc="97B44F9C">
      <w:start w:val="1"/>
      <w:numFmt w:val="bullet"/>
      <w:lvlText w:val="o"/>
      <w:lvlJc w:val="left"/>
      <w:pPr>
        <w:ind w:left="1440" w:hanging="360"/>
      </w:pPr>
      <w:rPr>
        <w:rFonts w:ascii="Courier New" w:hAnsi="Courier New" w:hint="default"/>
      </w:rPr>
    </w:lvl>
    <w:lvl w:ilvl="2" w:tplc="79A880CC">
      <w:start w:val="1"/>
      <w:numFmt w:val="bullet"/>
      <w:lvlText w:val=""/>
      <w:lvlJc w:val="left"/>
      <w:pPr>
        <w:ind w:left="2160" w:hanging="360"/>
      </w:pPr>
      <w:rPr>
        <w:rFonts w:ascii="Wingdings" w:hAnsi="Wingdings" w:hint="default"/>
      </w:rPr>
    </w:lvl>
    <w:lvl w:ilvl="3" w:tplc="9A80CFE2">
      <w:start w:val="1"/>
      <w:numFmt w:val="bullet"/>
      <w:lvlText w:val=""/>
      <w:lvlJc w:val="left"/>
      <w:pPr>
        <w:ind w:left="2880" w:hanging="360"/>
      </w:pPr>
      <w:rPr>
        <w:rFonts w:ascii="Symbol" w:hAnsi="Symbol" w:hint="default"/>
      </w:rPr>
    </w:lvl>
    <w:lvl w:ilvl="4" w:tplc="CB983B8A">
      <w:start w:val="1"/>
      <w:numFmt w:val="bullet"/>
      <w:lvlText w:val="o"/>
      <w:lvlJc w:val="left"/>
      <w:pPr>
        <w:ind w:left="3600" w:hanging="360"/>
      </w:pPr>
      <w:rPr>
        <w:rFonts w:ascii="Courier New" w:hAnsi="Courier New" w:hint="default"/>
      </w:rPr>
    </w:lvl>
    <w:lvl w:ilvl="5" w:tplc="7C3A297C">
      <w:start w:val="1"/>
      <w:numFmt w:val="bullet"/>
      <w:lvlText w:val=""/>
      <w:lvlJc w:val="left"/>
      <w:pPr>
        <w:ind w:left="4320" w:hanging="360"/>
      </w:pPr>
      <w:rPr>
        <w:rFonts w:ascii="Wingdings" w:hAnsi="Wingdings" w:hint="default"/>
      </w:rPr>
    </w:lvl>
    <w:lvl w:ilvl="6" w:tplc="CA804ED0">
      <w:start w:val="1"/>
      <w:numFmt w:val="bullet"/>
      <w:lvlText w:val=""/>
      <w:lvlJc w:val="left"/>
      <w:pPr>
        <w:ind w:left="5040" w:hanging="360"/>
      </w:pPr>
      <w:rPr>
        <w:rFonts w:ascii="Symbol" w:hAnsi="Symbol" w:hint="default"/>
      </w:rPr>
    </w:lvl>
    <w:lvl w:ilvl="7" w:tplc="F2762A04">
      <w:start w:val="1"/>
      <w:numFmt w:val="bullet"/>
      <w:lvlText w:val="o"/>
      <w:lvlJc w:val="left"/>
      <w:pPr>
        <w:ind w:left="5760" w:hanging="360"/>
      </w:pPr>
      <w:rPr>
        <w:rFonts w:ascii="Courier New" w:hAnsi="Courier New" w:hint="default"/>
      </w:rPr>
    </w:lvl>
    <w:lvl w:ilvl="8" w:tplc="35EAA85C">
      <w:start w:val="1"/>
      <w:numFmt w:val="bullet"/>
      <w:lvlText w:val=""/>
      <w:lvlJc w:val="left"/>
      <w:pPr>
        <w:ind w:left="6480" w:hanging="360"/>
      </w:pPr>
      <w:rPr>
        <w:rFonts w:ascii="Wingdings" w:hAnsi="Wingdings" w:hint="default"/>
      </w:rPr>
    </w:lvl>
  </w:abstractNum>
  <w:abstractNum w:abstractNumId="55" w15:restartNumberingAfterBreak="0">
    <w:nsid w:val="2AAA6B98"/>
    <w:multiLevelType w:val="multilevel"/>
    <w:tmpl w:val="5CDAAE0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B436764"/>
    <w:multiLevelType w:val="hybridMultilevel"/>
    <w:tmpl w:val="8DE88880"/>
    <w:lvl w:ilvl="0" w:tplc="D83292C0">
      <w:start w:val="1"/>
      <w:numFmt w:val="bullet"/>
      <w:lvlText w:val="-"/>
      <w:lvlJc w:val="left"/>
      <w:pPr>
        <w:ind w:left="360" w:hanging="360"/>
      </w:pPr>
      <w:rPr>
        <w:rFonts w:ascii="Times" w:hAnsi="Times" w:hint="default"/>
      </w:rPr>
    </w:lvl>
    <w:lvl w:ilvl="1" w:tplc="7E78348C">
      <w:start w:val="1"/>
      <w:numFmt w:val="bullet"/>
      <w:lvlText w:val="o"/>
      <w:lvlJc w:val="left"/>
      <w:pPr>
        <w:ind w:left="2149" w:hanging="360"/>
      </w:pPr>
      <w:rPr>
        <w:rFonts w:ascii="Courier New" w:hAnsi="Courier New" w:hint="default"/>
      </w:rPr>
    </w:lvl>
    <w:lvl w:ilvl="2" w:tplc="432AF8A6">
      <w:start w:val="1"/>
      <w:numFmt w:val="bullet"/>
      <w:lvlText w:val=""/>
      <w:lvlJc w:val="left"/>
      <w:pPr>
        <w:ind w:left="2869" w:hanging="360"/>
      </w:pPr>
      <w:rPr>
        <w:rFonts w:ascii="Wingdings" w:hAnsi="Wingdings" w:hint="default"/>
      </w:rPr>
    </w:lvl>
    <w:lvl w:ilvl="3" w:tplc="82CE792C">
      <w:start w:val="1"/>
      <w:numFmt w:val="bullet"/>
      <w:lvlText w:val=""/>
      <w:lvlJc w:val="left"/>
      <w:pPr>
        <w:ind w:left="3589" w:hanging="360"/>
      </w:pPr>
      <w:rPr>
        <w:rFonts w:ascii="Symbol" w:hAnsi="Symbol" w:hint="default"/>
      </w:rPr>
    </w:lvl>
    <w:lvl w:ilvl="4" w:tplc="21E0FDFE">
      <w:start w:val="1"/>
      <w:numFmt w:val="bullet"/>
      <w:lvlText w:val="o"/>
      <w:lvlJc w:val="left"/>
      <w:pPr>
        <w:ind w:left="4309" w:hanging="360"/>
      </w:pPr>
      <w:rPr>
        <w:rFonts w:ascii="Courier New" w:hAnsi="Courier New" w:hint="default"/>
      </w:rPr>
    </w:lvl>
    <w:lvl w:ilvl="5" w:tplc="9E0E093A">
      <w:start w:val="1"/>
      <w:numFmt w:val="bullet"/>
      <w:lvlText w:val=""/>
      <w:lvlJc w:val="left"/>
      <w:pPr>
        <w:ind w:left="5029" w:hanging="360"/>
      </w:pPr>
      <w:rPr>
        <w:rFonts w:ascii="Wingdings" w:hAnsi="Wingdings" w:hint="default"/>
      </w:rPr>
    </w:lvl>
    <w:lvl w:ilvl="6" w:tplc="72E07D7A">
      <w:start w:val="1"/>
      <w:numFmt w:val="bullet"/>
      <w:lvlText w:val=""/>
      <w:lvlJc w:val="left"/>
      <w:pPr>
        <w:ind w:left="5749" w:hanging="360"/>
      </w:pPr>
      <w:rPr>
        <w:rFonts w:ascii="Symbol" w:hAnsi="Symbol" w:hint="default"/>
      </w:rPr>
    </w:lvl>
    <w:lvl w:ilvl="7" w:tplc="2288421C">
      <w:start w:val="1"/>
      <w:numFmt w:val="bullet"/>
      <w:lvlText w:val="o"/>
      <w:lvlJc w:val="left"/>
      <w:pPr>
        <w:ind w:left="6469" w:hanging="360"/>
      </w:pPr>
      <w:rPr>
        <w:rFonts w:ascii="Courier New" w:hAnsi="Courier New" w:hint="default"/>
      </w:rPr>
    </w:lvl>
    <w:lvl w:ilvl="8" w:tplc="9F3082AC">
      <w:start w:val="1"/>
      <w:numFmt w:val="bullet"/>
      <w:lvlText w:val=""/>
      <w:lvlJc w:val="left"/>
      <w:pPr>
        <w:ind w:left="7189" w:hanging="360"/>
      </w:pPr>
      <w:rPr>
        <w:rFonts w:ascii="Wingdings" w:hAnsi="Wingdings" w:hint="default"/>
      </w:rPr>
    </w:lvl>
  </w:abstractNum>
  <w:abstractNum w:abstractNumId="57" w15:restartNumberingAfterBreak="0">
    <w:nsid w:val="2CE9221F"/>
    <w:multiLevelType w:val="singleLevel"/>
    <w:tmpl w:val="9B4AFB48"/>
    <w:name w:val="Tiret 3"/>
    <w:lvl w:ilvl="0">
      <w:start w:val="1"/>
      <w:numFmt w:val="bullet"/>
      <w:pStyle w:val="Tiret3"/>
      <w:lvlText w:val="–"/>
      <w:lvlJc w:val="left"/>
      <w:pPr>
        <w:tabs>
          <w:tab w:val="num" w:pos="2551"/>
        </w:tabs>
        <w:ind w:left="2551" w:hanging="567"/>
      </w:pPr>
    </w:lvl>
  </w:abstractNum>
  <w:abstractNum w:abstractNumId="58" w15:restartNumberingAfterBreak="0">
    <w:nsid w:val="2D7B7DD8"/>
    <w:multiLevelType w:val="hybridMultilevel"/>
    <w:tmpl w:val="B1C8EDC6"/>
    <w:lvl w:ilvl="0" w:tplc="A7A05992">
      <w:start w:val="1"/>
      <w:numFmt w:val="lowerRoman"/>
      <w:lvlText w:val="%1."/>
      <w:lvlJc w:val="right"/>
      <w:pPr>
        <w:ind w:left="1200" w:hanging="360"/>
      </w:pPr>
    </w:lvl>
    <w:lvl w:ilvl="1" w:tplc="AB5209EE">
      <w:start w:val="1"/>
      <w:numFmt w:val="bullet"/>
      <w:lvlText w:val="o"/>
      <w:lvlJc w:val="left"/>
      <w:pPr>
        <w:ind w:left="1920" w:hanging="360"/>
      </w:pPr>
      <w:rPr>
        <w:rFonts w:ascii="Courier New" w:hAnsi="Courier New" w:hint="default"/>
      </w:rPr>
    </w:lvl>
    <w:lvl w:ilvl="2" w:tplc="5BB4A0EA">
      <w:start w:val="1"/>
      <w:numFmt w:val="bullet"/>
      <w:lvlText w:val=""/>
      <w:lvlJc w:val="left"/>
      <w:pPr>
        <w:ind w:left="2640" w:hanging="360"/>
      </w:pPr>
      <w:rPr>
        <w:rFonts w:ascii="Wingdings" w:hAnsi="Wingdings" w:hint="default"/>
      </w:rPr>
    </w:lvl>
    <w:lvl w:ilvl="3" w:tplc="E3DC026C">
      <w:start w:val="1"/>
      <w:numFmt w:val="bullet"/>
      <w:lvlText w:val=""/>
      <w:lvlJc w:val="left"/>
      <w:pPr>
        <w:ind w:left="3360" w:hanging="360"/>
      </w:pPr>
      <w:rPr>
        <w:rFonts w:ascii="Symbol" w:hAnsi="Symbol" w:hint="default"/>
      </w:rPr>
    </w:lvl>
    <w:lvl w:ilvl="4" w:tplc="67B87DA6">
      <w:start w:val="1"/>
      <w:numFmt w:val="bullet"/>
      <w:lvlText w:val="o"/>
      <w:lvlJc w:val="left"/>
      <w:pPr>
        <w:ind w:left="4080" w:hanging="360"/>
      </w:pPr>
      <w:rPr>
        <w:rFonts w:ascii="Courier New" w:hAnsi="Courier New" w:hint="default"/>
      </w:rPr>
    </w:lvl>
    <w:lvl w:ilvl="5" w:tplc="E79866D6">
      <w:start w:val="1"/>
      <w:numFmt w:val="bullet"/>
      <w:lvlText w:val=""/>
      <w:lvlJc w:val="left"/>
      <w:pPr>
        <w:ind w:left="4800" w:hanging="360"/>
      </w:pPr>
      <w:rPr>
        <w:rFonts w:ascii="Wingdings" w:hAnsi="Wingdings" w:hint="default"/>
      </w:rPr>
    </w:lvl>
    <w:lvl w:ilvl="6" w:tplc="8BFE256E">
      <w:start w:val="1"/>
      <w:numFmt w:val="bullet"/>
      <w:lvlText w:val=""/>
      <w:lvlJc w:val="left"/>
      <w:pPr>
        <w:ind w:left="5520" w:hanging="360"/>
      </w:pPr>
      <w:rPr>
        <w:rFonts w:ascii="Symbol" w:hAnsi="Symbol" w:hint="default"/>
      </w:rPr>
    </w:lvl>
    <w:lvl w:ilvl="7" w:tplc="75CC83D6">
      <w:start w:val="1"/>
      <w:numFmt w:val="bullet"/>
      <w:lvlText w:val="o"/>
      <w:lvlJc w:val="left"/>
      <w:pPr>
        <w:ind w:left="6240" w:hanging="360"/>
      </w:pPr>
      <w:rPr>
        <w:rFonts w:ascii="Courier New" w:hAnsi="Courier New" w:hint="default"/>
      </w:rPr>
    </w:lvl>
    <w:lvl w:ilvl="8" w:tplc="3F04D57E">
      <w:start w:val="1"/>
      <w:numFmt w:val="bullet"/>
      <w:lvlText w:val=""/>
      <w:lvlJc w:val="left"/>
      <w:pPr>
        <w:ind w:left="6960" w:hanging="360"/>
      </w:pPr>
      <w:rPr>
        <w:rFonts w:ascii="Wingdings" w:hAnsi="Wingdings" w:hint="default"/>
      </w:rPr>
    </w:lvl>
  </w:abstractNum>
  <w:abstractNum w:abstractNumId="59" w15:restartNumberingAfterBreak="0">
    <w:nsid w:val="2DD20726"/>
    <w:multiLevelType w:val="multilevel"/>
    <w:tmpl w:val="4E9AF61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ECB60E5"/>
    <w:multiLevelType w:val="hybridMultilevel"/>
    <w:tmpl w:val="CCCE8B74"/>
    <w:lvl w:ilvl="0" w:tplc="04100011">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300562D1"/>
    <w:multiLevelType w:val="hybridMultilevel"/>
    <w:tmpl w:val="59FC8DF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2" w15:restartNumberingAfterBreak="0">
    <w:nsid w:val="30A44BF3"/>
    <w:multiLevelType w:val="multilevel"/>
    <w:tmpl w:val="282C6B7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1FA11EB"/>
    <w:multiLevelType w:val="singleLevel"/>
    <w:tmpl w:val="3E140CA2"/>
    <w:styleLink w:val="Stileimportato9"/>
    <w:lvl w:ilvl="0">
      <w:start w:val="1"/>
      <w:numFmt w:val="decimal"/>
      <w:lvlText w:val="%1."/>
      <w:lvlJc w:val="left"/>
      <w:pPr>
        <w:tabs>
          <w:tab w:val="num" w:pos="1209"/>
        </w:tabs>
        <w:ind w:left="1209" w:hanging="360"/>
      </w:pPr>
    </w:lvl>
  </w:abstractNum>
  <w:abstractNum w:abstractNumId="64" w15:restartNumberingAfterBreak="0">
    <w:nsid w:val="3362703C"/>
    <w:multiLevelType w:val="multilevel"/>
    <w:tmpl w:val="01C407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34B4179E"/>
    <w:multiLevelType w:val="hybridMultilevel"/>
    <w:tmpl w:val="B08A5420"/>
    <w:lvl w:ilvl="0" w:tplc="D4123CE4">
      <w:numFmt w:val="bullet"/>
      <w:lvlText w:val="-"/>
      <w:lvlJc w:val="left"/>
      <w:pPr>
        <w:ind w:left="720" w:hanging="360"/>
      </w:pPr>
      <w:rPr>
        <w:rFonts w:ascii="Times New Roman" w:hAnsi="Times New Roman" w:hint="default"/>
      </w:rPr>
    </w:lvl>
    <w:lvl w:ilvl="1" w:tplc="7D1E4522">
      <w:start w:val="1"/>
      <w:numFmt w:val="bullet"/>
      <w:lvlText w:val="o"/>
      <w:lvlJc w:val="left"/>
      <w:pPr>
        <w:ind w:left="1440" w:hanging="360"/>
      </w:pPr>
      <w:rPr>
        <w:rFonts w:ascii="Courier New" w:hAnsi="Courier New" w:hint="default"/>
      </w:rPr>
    </w:lvl>
    <w:lvl w:ilvl="2" w:tplc="7B922D4E">
      <w:start w:val="1"/>
      <w:numFmt w:val="bullet"/>
      <w:lvlText w:val=""/>
      <w:lvlJc w:val="left"/>
      <w:pPr>
        <w:ind w:left="2160" w:hanging="360"/>
      </w:pPr>
      <w:rPr>
        <w:rFonts w:ascii="Wingdings" w:hAnsi="Wingdings" w:hint="default"/>
      </w:rPr>
    </w:lvl>
    <w:lvl w:ilvl="3" w:tplc="60CE2C1A">
      <w:start w:val="1"/>
      <w:numFmt w:val="bullet"/>
      <w:lvlText w:val=""/>
      <w:lvlJc w:val="left"/>
      <w:pPr>
        <w:ind w:left="720" w:hanging="360"/>
      </w:pPr>
      <w:rPr>
        <w:rFonts w:ascii="Symbol" w:hAnsi="Symbol" w:hint="default"/>
      </w:rPr>
    </w:lvl>
    <w:lvl w:ilvl="4" w:tplc="35EAD8CA">
      <w:start w:val="1"/>
      <w:numFmt w:val="bullet"/>
      <w:lvlText w:val="o"/>
      <w:lvlJc w:val="left"/>
      <w:pPr>
        <w:ind w:left="3600" w:hanging="360"/>
      </w:pPr>
      <w:rPr>
        <w:rFonts w:ascii="Courier New" w:hAnsi="Courier New" w:hint="default"/>
      </w:rPr>
    </w:lvl>
    <w:lvl w:ilvl="5" w:tplc="5B5C5EE0">
      <w:start w:val="1"/>
      <w:numFmt w:val="bullet"/>
      <w:lvlText w:val=""/>
      <w:lvlJc w:val="left"/>
      <w:pPr>
        <w:ind w:left="4320" w:hanging="360"/>
      </w:pPr>
      <w:rPr>
        <w:rFonts w:ascii="Wingdings" w:hAnsi="Wingdings" w:hint="default"/>
      </w:rPr>
    </w:lvl>
    <w:lvl w:ilvl="6" w:tplc="4B36AAD2">
      <w:start w:val="1"/>
      <w:numFmt w:val="bullet"/>
      <w:lvlText w:val=""/>
      <w:lvlJc w:val="left"/>
      <w:pPr>
        <w:ind w:left="5040" w:hanging="360"/>
      </w:pPr>
      <w:rPr>
        <w:rFonts w:ascii="Symbol" w:hAnsi="Symbol" w:hint="default"/>
      </w:rPr>
    </w:lvl>
    <w:lvl w:ilvl="7" w:tplc="AF340274">
      <w:start w:val="1"/>
      <w:numFmt w:val="bullet"/>
      <w:lvlText w:val="o"/>
      <w:lvlJc w:val="left"/>
      <w:pPr>
        <w:ind w:left="5760" w:hanging="360"/>
      </w:pPr>
      <w:rPr>
        <w:rFonts w:ascii="Courier New" w:hAnsi="Courier New" w:hint="default"/>
      </w:rPr>
    </w:lvl>
    <w:lvl w:ilvl="8" w:tplc="65780F62">
      <w:start w:val="1"/>
      <w:numFmt w:val="bullet"/>
      <w:lvlText w:val=""/>
      <w:lvlJc w:val="left"/>
      <w:pPr>
        <w:ind w:left="6480" w:hanging="360"/>
      </w:pPr>
      <w:rPr>
        <w:rFonts w:ascii="Wingdings" w:hAnsi="Wingdings" w:hint="default"/>
      </w:rPr>
    </w:lvl>
  </w:abstractNum>
  <w:abstractNum w:abstractNumId="66" w15:restartNumberingAfterBreak="0">
    <w:nsid w:val="35052DDB"/>
    <w:multiLevelType w:val="multilevel"/>
    <w:tmpl w:val="7E08834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56518DC"/>
    <w:multiLevelType w:val="multilevel"/>
    <w:tmpl w:val="C5A040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5F535D1"/>
    <w:multiLevelType w:val="multilevel"/>
    <w:tmpl w:val="C11E24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72537F3"/>
    <w:multiLevelType w:val="hybridMultilevel"/>
    <w:tmpl w:val="3E14E07E"/>
    <w:lvl w:ilvl="0" w:tplc="8EBEB170">
      <w:start w:val="1"/>
      <w:numFmt w:val="decimal"/>
      <w:lvlText w:val="%1."/>
      <w:lvlJc w:val="left"/>
      <w:pPr>
        <w:ind w:left="720" w:hanging="360"/>
      </w:pPr>
    </w:lvl>
    <w:lvl w:ilvl="1" w:tplc="18090019">
      <w:start w:val="1"/>
      <w:numFmt w:val="lowerLetter"/>
      <w:lvlText w:val="%2."/>
      <w:lvlJc w:val="left"/>
      <w:pPr>
        <w:ind w:left="-720" w:hanging="360"/>
      </w:pPr>
    </w:lvl>
    <w:lvl w:ilvl="2" w:tplc="1809001B">
      <w:start w:val="1"/>
      <w:numFmt w:val="lowerRoman"/>
      <w:lvlText w:val="%3."/>
      <w:lvlJc w:val="right"/>
      <w:pPr>
        <w:ind w:left="0" w:hanging="180"/>
      </w:pPr>
    </w:lvl>
    <w:lvl w:ilvl="3" w:tplc="1809000F">
      <w:start w:val="1"/>
      <w:numFmt w:val="decimal"/>
      <w:lvlText w:val="%4."/>
      <w:lvlJc w:val="left"/>
      <w:pPr>
        <w:ind w:left="720" w:hanging="360"/>
      </w:pPr>
    </w:lvl>
    <w:lvl w:ilvl="4" w:tplc="18090019">
      <w:start w:val="1"/>
      <w:numFmt w:val="lowerLetter"/>
      <w:lvlText w:val="%5."/>
      <w:lvlJc w:val="left"/>
      <w:pPr>
        <w:ind w:left="1440" w:hanging="360"/>
      </w:pPr>
    </w:lvl>
    <w:lvl w:ilvl="5" w:tplc="1809001B">
      <w:start w:val="1"/>
      <w:numFmt w:val="lowerRoman"/>
      <w:lvlText w:val="%6."/>
      <w:lvlJc w:val="right"/>
      <w:pPr>
        <w:ind w:left="2160" w:hanging="180"/>
      </w:pPr>
    </w:lvl>
    <w:lvl w:ilvl="6" w:tplc="1809000F">
      <w:start w:val="1"/>
      <w:numFmt w:val="decimal"/>
      <w:lvlText w:val="%7."/>
      <w:lvlJc w:val="left"/>
      <w:pPr>
        <w:ind w:left="2880" w:hanging="360"/>
      </w:pPr>
    </w:lvl>
    <w:lvl w:ilvl="7" w:tplc="18090019">
      <w:start w:val="1"/>
      <w:numFmt w:val="lowerLetter"/>
      <w:lvlText w:val="%8."/>
      <w:lvlJc w:val="left"/>
      <w:pPr>
        <w:ind w:left="3600" w:hanging="360"/>
      </w:pPr>
    </w:lvl>
    <w:lvl w:ilvl="8" w:tplc="1809001B">
      <w:start w:val="1"/>
      <w:numFmt w:val="lowerRoman"/>
      <w:lvlText w:val="%9."/>
      <w:lvlJc w:val="right"/>
      <w:pPr>
        <w:ind w:left="4320" w:hanging="180"/>
      </w:pPr>
    </w:lvl>
  </w:abstractNum>
  <w:abstractNum w:abstractNumId="70" w15:restartNumberingAfterBreak="0">
    <w:nsid w:val="3758C3CB"/>
    <w:multiLevelType w:val="hybridMultilevel"/>
    <w:tmpl w:val="4DFC13A4"/>
    <w:lvl w:ilvl="0" w:tplc="BA84E760">
      <w:start w:val="1"/>
      <w:numFmt w:val="bullet"/>
      <w:lvlText w:val=""/>
      <w:lvlJc w:val="left"/>
      <w:pPr>
        <w:ind w:left="720" w:hanging="360"/>
      </w:pPr>
      <w:rPr>
        <w:rFonts w:ascii="Symbol" w:hAnsi="Symbol" w:hint="default"/>
      </w:rPr>
    </w:lvl>
    <w:lvl w:ilvl="1" w:tplc="ED1A8E8E">
      <w:start w:val="1"/>
      <w:numFmt w:val="bullet"/>
      <w:lvlText w:val="o"/>
      <w:lvlJc w:val="left"/>
      <w:pPr>
        <w:ind w:left="1440" w:hanging="360"/>
      </w:pPr>
      <w:rPr>
        <w:rFonts w:ascii="Courier New" w:hAnsi="Courier New" w:hint="default"/>
      </w:rPr>
    </w:lvl>
    <w:lvl w:ilvl="2" w:tplc="67B85CAA">
      <w:start w:val="1"/>
      <w:numFmt w:val="bullet"/>
      <w:lvlText w:val=""/>
      <w:lvlJc w:val="left"/>
      <w:pPr>
        <w:ind w:left="2160" w:hanging="360"/>
      </w:pPr>
      <w:rPr>
        <w:rFonts w:ascii="Wingdings" w:hAnsi="Wingdings" w:hint="default"/>
      </w:rPr>
    </w:lvl>
    <w:lvl w:ilvl="3" w:tplc="39DE89E6">
      <w:start w:val="1"/>
      <w:numFmt w:val="bullet"/>
      <w:lvlText w:val=""/>
      <w:lvlJc w:val="left"/>
      <w:pPr>
        <w:ind w:left="2880" w:hanging="360"/>
      </w:pPr>
      <w:rPr>
        <w:rFonts w:ascii="Symbol" w:hAnsi="Symbol" w:hint="default"/>
      </w:rPr>
    </w:lvl>
    <w:lvl w:ilvl="4" w:tplc="D560473C">
      <w:start w:val="1"/>
      <w:numFmt w:val="bullet"/>
      <w:lvlText w:val="o"/>
      <w:lvlJc w:val="left"/>
      <w:pPr>
        <w:ind w:left="3600" w:hanging="360"/>
      </w:pPr>
      <w:rPr>
        <w:rFonts w:ascii="Courier New" w:hAnsi="Courier New" w:hint="default"/>
      </w:rPr>
    </w:lvl>
    <w:lvl w:ilvl="5" w:tplc="5ACE0484">
      <w:start w:val="1"/>
      <w:numFmt w:val="bullet"/>
      <w:lvlText w:val=""/>
      <w:lvlJc w:val="left"/>
      <w:pPr>
        <w:ind w:left="4320" w:hanging="360"/>
      </w:pPr>
      <w:rPr>
        <w:rFonts w:ascii="Wingdings" w:hAnsi="Wingdings" w:hint="default"/>
      </w:rPr>
    </w:lvl>
    <w:lvl w:ilvl="6" w:tplc="8E560066">
      <w:start w:val="1"/>
      <w:numFmt w:val="bullet"/>
      <w:lvlText w:val=""/>
      <w:lvlJc w:val="left"/>
      <w:pPr>
        <w:ind w:left="5040" w:hanging="360"/>
      </w:pPr>
      <w:rPr>
        <w:rFonts w:ascii="Symbol" w:hAnsi="Symbol" w:hint="default"/>
      </w:rPr>
    </w:lvl>
    <w:lvl w:ilvl="7" w:tplc="8D743554">
      <w:start w:val="1"/>
      <w:numFmt w:val="bullet"/>
      <w:lvlText w:val="o"/>
      <w:lvlJc w:val="left"/>
      <w:pPr>
        <w:ind w:left="5760" w:hanging="360"/>
      </w:pPr>
      <w:rPr>
        <w:rFonts w:ascii="Courier New" w:hAnsi="Courier New" w:hint="default"/>
      </w:rPr>
    </w:lvl>
    <w:lvl w:ilvl="8" w:tplc="40A0AD42">
      <w:start w:val="1"/>
      <w:numFmt w:val="bullet"/>
      <w:lvlText w:val=""/>
      <w:lvlJc w:val="left"/>
      <w:pPr>
        <w:ind w:left="6480" w:hanging="360"/>
      </w:pPr>
      <w:rPr>
        <w:rFonts w:ascii="Wingdings" w:hAnsi="Wingdings" w:hint="default"/>
      </w:rPr>
    </w:lvl>
  </w:abstractNum>
  <w:abstractNum w:abstractNumId="71" w15:restartNumberingAfterBreak="0">
    <w:nsid w:val="388A35A8"/>
    <w:multiLevelType w:val="multilevel"/>
    <w:tmpl w:val="367477D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39135ED7"/>
    <w:multiLevelType w:val="multilevel"/>
    <w:tmpl w:val="9DAAF18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B0034E6"/>
    <w:multiLevelType w:val="hybridMultilevel"/>
    <w:tmpl w:val="27508D34"/>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74" w15:restartNumberingAfterBreak="0">
    <w:nsid w:val="3CDC02B7"/>
    <w:multiLevelType w:val="multilevel"/>
    <w:tmpl w:val="A41AE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CEA2929"/>
    <w:multiLevelType w:val="multilevel"/>
    <w:tmpl w:val="ACAEFF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DF2400B"/>
    <w:multiLevelType w:val="hybridMultilevel"/>
    <w:tmpl w:val="6AE078CE"/>
    <w:lvl w:ilvl="0" w:tplc="EFFAF4EA">
      <w:start w:val="1"/>
      <w:numFmt w:val="decimal"/>
      <w:lvlText w:val="%1."/>
      <w:lvlJc w:val="left"/>
      <w:pPr>
        <w:ind w:left="720" w:hanging="360"/>
      </w:pPr>
    </w:lvl>
    <w:lvl w:ilvl="1" w:tplc="51EC3BF0">
      <w:start w:val="1"/>
      <w:numFmt w:val="lowerLetter"/>
      <w:lvlText w:val="%2."/>
      <w:lvlJc w:val="left"/>
      <w:pPr>
        <w:ind w:left="1440" w:hanging="360"/>
      </w:pPr>
    </w:lvl>
    <w:lvl w:ilvl="2" w:tplc="E40890F6">
      <w:start w:val="1"/>
      <w:numFmt w:val="lowerRoman"/>
      <w:lvlText w:val="%3."/>
      <w:lvlJc w:val="right"/>
      <w:pPr>
        <w:ind w:left="2160" w:hanging="180"/>
      </w:pPr>
    </w:lvl>
    <w:lvl w:ilvl="3" w:tplc="9FA276BA">
      <w:start w:val="1"/>
      <w:numFmt w:val="decimal"/>
      <w:lvlText w:val="%4."/>
      <w:lvlJc w:val="left"/>
      <w:pPr>
        <w:ind w:left="2880" w:hanging="360"/>
      </w:pPr>
    </w:lvl>
    <w:lvl w:ilvl="4" w:tplc="3FAC320E">
      <w:start w:val="1"/>
      <w:numFmt w:val="lowerLetter"/>
      <w:lvlText w:val="%5."/>
      <w:lvlJc w:val="left"/>
      <w:pPr>
        <w:ind w:left="3600" w:hanging="360"/>
      </w:pPr>
    </w:lvl>
    <w:lvl w:ilvl="5" w:tplc="A17A4636">
      <w:start w:val="1"/>
      <w:numFmt w:val="lowerRoman"/>
      <w:lvlText w:val="%6."/>
      <w:lvlJc w:val="right"/>
      <w:pPr>
        <w:ind w:left="4320" w:hanging="180"/>
      </w:pPr>
    </w:lvl>
    <w:lvl w:ilvl="6" w:tplc="06542920">
      <w:start w:val="1"/>
      <w:numFmt w:val="decimal"/>
      <w:lvlText w:val="%7."/>
      <w:lvlJc w:val="left"/>
      <w:pPr>
        <w:ind w:left="5040" w:hanging="360"/>
      </w:pPr>
    </w:lvl>
    <w:lvl w:ilvl="7" w:tplc="38265764">
      <w:start w:val="1"/>
      <w:numFmt w:val="lowerLetter"/>
      <w:lvlText w:val="%8."/>
      <w:lvlJc w:val="left"/>
      <w:pPr>
        <w:ind w:left="5760" w:hanging="360"/>
      </w:pPr>
    </w:lvl>
    <w:lvl w:ilvl="8" w:tplc="E85E00CC">
      <w:start w:val="1"/>
      <w:numFmt w:val="lowerRoman"/>
      <w:lvlText w:val="%9."/>
      <w:lvlJc w:val="right"/>
      <w:pPr>
        <w:ind w:left="6480" w:hanging="180"/>
      </w:pPr>
    </w:lvl>
  </w:abstractNum>
  <w:abstractNum w:abstractNumId="77" w15:restartNumberingAfterBreak="0">
    <w:nsid w:val="3F974E87"/>
    <w:multiLevelType w:val="hybridMultilevel"/>
    <w:tmpl w:val="C9B23A4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8" w15:restartNumberingAfterBreak="0">
    <w:nsid w:val="3FF67517"/>
    <w:multiLevelType w:val="multilevel"/>
    <w:tmpl w:val="636A55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40B53049"/>
    <w:multiLevelType w:val="multilevel"/>
    <w:tmpl w:val="79169D2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1227CF3"/>
    <w:multiLevelType w:val="hybridMultilevel"/>
    <w:tmpl w:val="399A2470"/>
    <w:lvl w:ilvl="0" w:tplc="8250AAD8">
      <w:numFmt w:val="bullet"/>
      <w:lvlText w:val="-"/>
      <w:lvlJc w:val="left"/>
      <w:pPr>
        <w:ind w:left="1069" w:hanging="360"/>
      </w:pPr>
      <w:rPr>
        <w:rFonts w:ascii="Times New Roman" w:hAnsi="Times New Roman" w:hint="default"/>
      </w:rPr>
    </w:lvl>
    <w:lvl w:ilvl="1" w:tplc="94248EB8">
      <w:start w:val="1"/>
      <w:numFmt w:val="bullet"/>
      <w:lvlText w:val="o"/>
      <w:lvlJc w:val="left"/>
      <w:pPr>
        <w:ind w:left="1789" w:hanging="360"/>
      </w:pPr>
      <w:rPr>
        <w:rFonts w:ascii="Courier New" w:hAnsi="Courier New" w:hint="default"/>
      </w:rPr>
    </w:lvl>
    <w:lvl w:ilvl="2" w:tplc="BCDCFBF2">
      <w:start w:val="1"/>
      <w:numFmt w:val="bullet"/>
      <w:lvlText w:val=""/>
      <w:lvlJc w:val="left"/>
      <w:pPr>
        <w:ind w:left="2509" w:hanging="360"/>
      </w:pPr>
      <w:rPr>
        <w:rFonts w:ascii="Wingdings" w:hAnsi="Wingdings" w:hint="default"/>
      </w:rPr>
    </w:lvl>
    <w:lvl w:ilvl="3" w:tplc="1C20484A">
      <w:start w:val="1"/>
      <w:numFmt w:val="bullet"/>
      <w:lvlText w:val=""/>
      <w:lvlJc w:val="left"/>
      <w:pPr>
        <w:ind w:left="3229" w:hanging="360"/>
      </w:pPr>
      <w:rPr>
        <w:rFonts w:ascii="Symbol" w:hAnsi="Symbol" w:hint="default"/>
      </w:rPr>
    </w:lvl>
    <w:lvl w:ilvl="4" w:tplc="BDE8E3B0">
      <w:start w:val="1"/>
      <w:numFmt w:val="bullet"/>
      <w:lvlText w:val="o"/>
      <w:lvlJc w:val="left"/>
      <w:pPr>
        <w:ind w:left="3949" w:hanging="360"/>
      </w:pPr>
      <w:rPr>
        <w:rFonts w:ascii="Courier New" w:hAnsi="Courier New" w:hint="default"/>
      </w:rPr>
    </w:lvl>
    <w:lvl w:ilvl="5" w:tplc="87DA4706">
      <w:start w:val="1"/>
      <w:numFmt w:val="bullet"/>
      <w:lvlText w:val=""/>
      <w:lvlJc w:val="left"/>
      <w:pPr>
        <w:ind w:left="4669" w:hanging="360"/>
      </w:pPr>
      <w:rPr>
        <w:rFonts w:ascii="Wingdings" w:hAnsi="Wingdings" w:hint="default"/>
      </w:rPr>
    </w:lvl>
    <w:lvl w:ilvl="6" w:tplc="11900514">
      <w:start w:val="1"/>
      <w:numFmt w:val="bullet"/>
      <w:lvlText w:val=""/>
      <w:lvlJc w:val="left"/>
      <w:pPr>
        <w:ind w:left="5389" w:hanging="360"/>
      </w:pPr>
      <w:rPr>
        <w:rFonts w:ascii="Symbol" w:hAnsi="Symbol" w:hint="default"/>
      </w:rPr>
    </w:lvl>
    <w:lvl w:ilvl="7" w:tplc="20BE75C4">
      <w:start w:val="1"/>
      <w:numFmt w:val="bullet"/>
      <w:lvlText w:val="o"/>
      <w:lvlJc w:val="left"/>
      <w:pPr>
        <w:ind w:left="6109" w:hanging="360"/>
      </w:pPr>
      <w:rPr>
        <w:rFonts w:ascii="Courier New" w:hAnsi="Courier New" w:hint="default"/>
      </w:rPr>
    </w:lvl>
    <w:lvl w:ilvl="8" w:tplc="48D0C68C">
      <w:start w:val="1"/>
      <w:numFmt w:val="bullet"/>
      <w:lvlText w:val=""/>
      <w:lvlJc w:val="left"/>
      <w:pPr>
        <w:ind w:left="6829" w:hanging="360"/>
      </w:pPr>
      <w:rPr>
        <w:rFonts w:ascii="Wingdings" w:hAnsi="Wingdings" w:hint="default"/>
      </w:rPr>
    </w:lvl>
  </w:abstractNum>
  <w:abstractNum w:abstractNumId="81" w15:restartNumberingAfterBreak="0">
    <w:nsid w:val="414F4186"/>
    <w:multiLevelType w:val="hybridMultilevel"/>
    <w:tmpl w:val="CE1E0CBC"/>
    <w:name w:val="Heading222"/>
    <w:lvl w:ilvl="0" w:tplc="672EB766">
      <w:start w:val="1"/>
      <w:numFmt w:val="bullet"/>
      <w:lvlText w:val=""/>
      <w:lvlJc w:val="left"/>
      <w:pPr>
        <w:ind w:left="360" w:hanging="360"/>
      </w:pPr>
      <w:rPr>
        <w:rFonts w:ascii="Symbol" w:hAnsi="Symbol" w:hint="default"/>
      </w:rPr>
    </w:lvl>
    <w:lvl w:ilvl="1" w:tplc="72D035A2">
      <w:start w:val="1"/>
      <w:numFmt w:val="bullet"/>
      <w:lvlText w:val="o"/>
      <w:lvlJc w:val="left"/>
      <w:pPr>
        <w:ind w:left="1080" w:hanging="360"/>
      </w:pPr>
      <w:rPr>
        <w:rFonts w:ascii="Courier New" w:hAnsi="Courier New" w:hint="default"/>
      </w:rPr>
    </w:lvl>
    <w:lvl w:ilvl="2" w:tplc="E1089CC6">
      <w:start w:val="1"/>
      <w:numFmt w:val="bullet"/>
      <w:lvlText w:val=""/>
      <w:lvlJc w:val="left"/>
      <w:pPr>
        <w:ind w:left="1800" w:hanging="360"/>
      </w:pPr>
      <w:rPr>
        <w:rFonts w:ascii="Wingdings" w:hAnsi="Wingdings" w:hint="default"/>
      </w:rPr>
    </w:lvl>
    <w:lvl w:ilvl="3" w:tplc="FEF6C24E">
      <w:start w:val="1"/>
      <w:numFmt w:val="bullet"/>
      <w:lvlText w:val=""/>
      <w:lvlJc w:val="left"/>
      <w:pPr>
        <w:ind w:left="2520" w:hanging="360"/>
      </w:pPr>
      <w:rPr>
        <w:rFonts w:ascii="Symbol" w:hAnsi="Symbol" w:hint="default"/>
      </w:rPr>
    </w:lvl>
    <w:lvl w:ilvl="4" w:tplc="AC8C17FC">
      <w:start w:val="1"/>
      <w:numFmt w:val="bullet"/>
      <w:lvlText w:val="o"/>
      <w:lvlJc w:val="left"/>
      <w:pPr>
        <w:ind w:left="3240" w:hanging="360"/>
      </w:pPr>
      <w:rPr>
        <w:rFonts w:ascii="Courier New" w:hAnsi="Courier New" w:hint="default"/>
      </w:rPr>
    </w:lvl>
    <w:lvl w:ilvl="5" w:tplc="A5E02B9A">
      <w:start w:val="1"/>
      <w:numFmt w:val="bullet"/>
      <w:lvlText w:val=""/>
      <w:lvlJc w:val="left"/>
      <w:pPr>
        <w:ind w:left="3960" w:hanging="360"/>
      </w:pPr>
      <w:rPr>
        <w:rFonts w:ascii="Wingdings" w:hAnsi="Wingdings" w:hint="default"/>
      </w:rPr>
    </w:lvl>
    <w:lvl w:ilvl="6" w:tplc="3D6A5A62">
      <w:start w:val="1"/>
      <w:numFmt w:val="bullet"/>
      <w:lvlText w:val=""/>
      <w:lvlJc w:val="left"/>
      <w:pPr>
        <w:ind w:left="4680" w:hanging="360"/>
      </w:pPr>
      <w:rPr>
        <w:rFonts w:ascii="Symbol" w:hAnsi="Symbol" w:hint="default"/>
      </w:rPr>
    </w:lvl>
    <w:lvl w:ilvl="7" w:tplc="E6E0BB2C">
      <w:start w:val="1"/>
      <w:numFmt w:val="bullet"/>
      <w:lvlText w:val="o"/>
      <w:lvlJc w:val="left"/>
      <w:pPr>
        <w:ind w:left="5400" w:hanging="360"/>
      </w:pPr>
      <w:rPr>
        <w:rFonts w:ascii="Courier New" w:hAnsi="Courier New" w:hint="default"/>
      </w:rPr>
    </w:lvl>
    <w:lvl w:ilvl="8" w:tplc="FD6A623E">
      <w:start w:val="1"/>
      <w:numFmt w:val="bullet"/>
      <w:lvlText w:val=""/>
      <w:lvlJc w:val="left"/>
      <w:pPr>
        <w:ind w:left="6120" w:hanging="360"/>
      </w:pPr>
      <w:rPr>
        <w:rFonts w:ascii="Wingdings" w:hAnsi="Wingdings" w:hint="default"/>
      </w:rPr>
    </w:lvl>
  </w:abstractNum>
  <w:abstractNum w:abstractNumId="82" w15:restartNumberingAfterBreak="0">
    <w:nsid w:val="41A17B31"/>
    <w:multiLevelType w:val="hybridMultilevel"/>
    <w:tmpl w:val="9816FA8C"/>
    <w:lvl w:ilvl="0" w:tplc="1809000F">
      <w:start w:val="1"/>
      <w:numFmt w:val="decimal"/>
      <w:lvlText w:val="%1."/>
      <w:lvlJc w:val="left"/>
      <w:pPr>
        <w:ind w:left="1080" w:hanging="360"/>
      </w:pPr>
    </w:lvl>
    <w:lvl w:ilvl="1" w:tplc="FFFFFFFF">
      <w:start w:val="1"/>
      <w:numFmt w:val="decimal"/>
      <w:lvlText w:val="%2."/>
      <w:lvlJc w:val="left"/>
      <w:pPr>
        <w:ind w:left="1800" w:hanging="360"/>
      </w:p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83"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84" w15:restartNumberingAfterBreak="0">
    <w:nsid w:val="42737F5F"/>
    <w:multiLevelType w:val="hybridMultilevel"/>
    <w:tmpl w:val="30D47F12"/>
    <w:lvl w:ilvl="0" w:tplc="18090011">
      <w:start w:val="1"/>
      <w:numFmt w:val="decimal"/>
      <w:lvlText w:val="%1)"/>
      <w:lvlJc w:val="left"/>
      <w:pPr>
        <w:ind w:left="1211" w:hanging="360"/>
      </w:pPr>
    </w:lvl>
    <w:lvl w:ilvl="1" w:tplc="7AACA2A8">
      <w:start w:val="1"/>
      <w:numFmt w:val="lowerRoman"/>
      <w:lvlText w:val="%2)"/>
      <w:lvlJc w:val="left"/>
      <w:pPr>
        <w:ind w:left="1931" w:hanging="360"/>
      </w:pPr>
    </w:lvl>
    <w:lvl w:ilvl="2" w:tplc="135C1798">
      <w:start w:val="1"/>
      <w:numFmt w:val="lowerRoman"/>
      <w:lvlText w:val="%3."/>
      <w:lvlJc w:val="right"/>
      <w:pPr>
        <w:ind w:left="2651" w:hanging="180"/>
      </w:pPr>
    </w:lvl>
    <w:lvl w:ilvl="3" w:tplc="8EBEB170">
      <w:start w:val="1"/>
      <w:numFmt w:val="decimal"/>
      <w:lvlText w:val="%4."/>
      <w:lvlJc w:val="left"/>
      <w:pPr>
        <w:ind w:left="3371" w:hanging="360"/>
      </w:pPr>
    </w:lvl>
    <w:lvl w:ilvl="4" w:tplc="C03A1DA6">
      <w:start w:val="1"/>
      <w:numFmt w:val="lowerLetter"/>
      <w:lvlText w:val="%5."/>
      <w:lvlJc w:val="left"/>
      <w:pPr>
        <w:ind w:left="4091" w:hanging="360"/>
      </w:pPr>
    </w:lvl>
    <w:lvl w:ilvl="5" w:tplc="F2E60BEE">
      <w:start w:val="1"/>
      <w:numFmt w:val="lowerRoman"/>
      <w:lvlText w:val="%6."/>
      <w:lvlJc w:val="right"/>
      <w:pPr>
        <w:ind w:left="4811" w:hanging="180"/>
      </w:pPr>
    </w:lvl>
    <w:lvl w:ilvl="6" w:tplc="FF086586">
      <w:start w:val="1"/>
      <w:numFmt w:val="decimal"/>
      <w:lvlText w:val="%7."/>
      <w:lvlJc w:val="left"/>
      <w:pPr>
        <w:ind w:left="5531" w:hanging="360"/>
      </w:pPr>
    </w:lvl>
    <w:lvl w:ilvl="7" w:tplc="4B904216">
      <w:start w:val="1"/>
      <w:numFmt w:val="lowerLetter"/>
      <w:lvlText w:val="%8."/>
      <w:lvlJc w:val="left"/>
      <w:pPr>
        <w:ind w:left="6251" w:hanging="360"/>
      </w:pPr>
    </w:lvl>
    <w:lvl w:ilvl="8" w:tplc="C6CAEAEE">
      <w:start w:val="1"/>
      <w:numFmt w:val="lowerRoman"/>
      <w:lvlText w:val="%9."/>
      <w:lvlJc w:val="right"/>
      <w:pPr>
        <w:ind w:left="6971" w:hanging="180"/>
      </w:pPr>
    </w:lvl>
  </w:abstractNum>
  <w:abstractNum w:abstractNumId="85" w15:restartNumberingAfterBreak="0">
    <w:nsid w:val="42FC0772"/>
    <w:multiLevelType w:val="singleLevel"/>
    <w:tmpl w:val="4128FCF8"/>
    <w:name w:val="Tiret 4"/>
    <w:lvl w:ilvl="0">
      <w:start w:val="1"/>
      <w:numFmt w:val="bullet"/>
      <w:pStyle w:val="Tiret4"/>
      <w:lvlText w:val="–"/>
      <w:lvlJc w:val="left"/>
      <w:pPr>
        <w:tabs>
          <w:tab w:val="num" w:pos="3118"/>
        </w:tabs>
        <w:ind w:left="3118" w:hanging="567"/>
      </w:pPr>
    </w:lvl>
  </w:abstractNum>
  <w:abstractNum w:abstractNumId="86" w15:restartNumberingAfterBreak="0">
    <w:nsid w:val="4380438C"/>
    <w:multiLevelType w:val="hybridMultilevel"/>
    <w:tmpl w:val="37540650"/>
    <w:lvl w:ilvl="0" w:tplc="10C6D14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7" w15:restartNumberingAfterBreak="0">
    <w:nsid w:val="44757EB7"/>
    <w:multiLevelType w:val="multilevel"/>
    <w:tmpl w:val="FD3C8F8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4953B9D"/>
    <w:multiLevelType w:val="multilevel"/>
    <w:tmpl w:val="739498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44A52E3A"/>
    <w:multiLevelType w:val="hybridMultilevel"/>
    <w:tmpl w:val="A5FAE91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0" w15:restartNumberingAfterBreak="0">
    <w:nsid w:val="4552127F"/>
    <w:multiLevelType w:val="singleLevel"/>
    <w:tmpl w:val="057A5296"/>
    <w:name w:val="Bullet 0"/>
    <w:lvl w:ilvl="0">
      <w:start w:val="1"/>
      <w:numFmt w:val="bullet"/>
      <w:pStyle w:val="Bullet0"/>
      <w:lvlText w:val=""/>
      <w:lvlJc w:val="left"/>
      <w:pPr>
        <w:tabs>
          <w:tab w:val="num" w:pos="850"/>
        </w:tabs>
        <w:ind w:left="850" w:hanging="850"/>
      </w:pPr>
      <w:rPr>
        <w:rFonts w:ascii="Symbol" w:hAnsi="Symbol" w:hint="default"/>
      </w:rPr>
    </w:lvl>
  </w:abstractNum>
  <w:abstractNum w:abstractNumId="91" w15:restartNumberingAfterBreak="0">
    <w:nsid w:val="455631AC"/>
    <w:multiLevelType w:val="hybridMultilevel"/>
    <w:tmpl w:val="84FA0DAE"/>
    <w:lvl w:ilvl="0" w:tplc="218C80C4">
      <w:start w:val="1"/>
      <w:numFmt w:val="bullet"/>
      <w:lvlText w:val="-"/>
      <w:lvlJc w:val="left"/>
      <w:pPr>
        <w:ind w:left="720" w:hanging="360"/>
      </w:pPr>
      <w:rPr>
        <w:rFonts w:ascii="Calibri" w:hAnsi="Calibri" w:cs="Times New Roman" w:hint="default"/>
      </w:rPr>
    </w:lvl>
    <w:lvl w:ilvl="1" w:tplc="43023A84">
      <w:start w:val="1"/>
      <w:numFmt w:val="bullet"/>
      <w:lvlText w:val="o"/>
      <w:lvlJc w:val="left"/>
      <w:pPr>
        <w:ind w:left="1440" w:hanging="360"/>
      </w:pPr>
      <w:rPr>
        <w:rFonts w:ascii="Courier New" w:hAnsi="Courier New" w:cs="Times New Roman" w:hint="default"/>
      </w:rPr>
    </w:lvl>
    <w:lvl w:ilvl="2" w:tplc="35A8F86E">
      <w:start w:val="1"/>
      <w:numFmt w:val="bullet"/>
      <w:lvlText w:val=""/>
      <w:lvlJc w:val="left"/>
      <w:pPr>
        <w:ind w:left="2160" w:hanging="360"/>
      </w:pPr>
      <w:rPr>
        <w:rFonts w:ascii="Wingdings" w:hAnsi="Wingdings" w:hint="default"/>
      </w:rPr>
    </w:lvl>
    <w:lvl w:ilvl="3" w:tplc="33A0F0A8">
      <w:start w:val="1"/>
      <w:numFmt w:val="bullet"/>
      <w:lvlText w:val=""/>
      <w:lvlJc w:val="left"/>
      <w:pPr>
        <w:ind w:left="2880" w:hanging="360"/>
      </w:pPr>
      <w:rPr>
        <w:rFonts w:ascii="Symbol" w:hAnsi="Symbol" w:hint="default"/>
      </w:rPr>
    </w:lvl>
    <w:lvl w:ilvl="4" w:tplc="F6B04706">
      <w:start w:val="1"/>
      <w:numFmt w:val="bullet"/>
      <w:lvlText w:val="o"/>
      <w:lvlJc w:val="left"/>
      <w:pPr>
        <w:ind w:left="3600" w:hanging="360"/>
      </w:pPr>
      <w:rPr>
        <w:rFonts w:ascii="Courier New" w:hAnsi="Courier New" w:cs="Times New Roman" w:hint="default"/>
      </w:rPr>
    </w:lvl>
    <w:lvl w:ilvl="5" w:tplc="0EAAD594">
      <w:start w:val="1"/>
      <w:numFmt w:val="bullet"/>
      <w:lvlText w:val=""/>
      <w:lvlJc w:val="left"/>
      <w:pPr>
        <w:ind w:left="4320" w:hanging="360"/>
      </w:pPr>
      <w:rPr>
        <w:rFonts w:ascii="Wingdings" w:hAnsi="Wingdings" w:hint="default"/>
      </w:rPr>
    </w:lvl>
    <w:lvl w:ilvl="6" w:tplc="12E066FC">
      <w:start w:val="1"/>
      <w:numFmt w:val="bullet"/>
      <w:lvlText w:val=""/>
      <w:lvlJc w:val="left"/>
      <w:pPr>
        <w:ind w:left="5040" w:hanging="360"/>
      </w:pPr>
      <w:rPr>
        <w:rFonts w:ascii="Symbol" w:hAnsi="Symbol" w:hint="default"/>
      </w:rPr>
    </w:lvl>
    <w:lvl w:ilvl="7" w:tplc="6C9CF37E">
      <w:start w:val="1"/>
      <w:numFmt w:val="bullet"/>
      <w:lvlText w:val="o"/>
      <w:lvlJc w:val="left"/>
      <w:pPr>
        <w:ind w:left="5760" w:hanging="360"/>
      </w:pPr>
      <w:rPr>
        <w:rFonts w:ascii="Courier New" w:hAnsi="Courier New" w:cs="Times New Roman" w:hint="default"/>
      </w:rPr>
    </w:lvl>
    <w:lvl w:ilvl="8" w:tplc="BC06DF1C">
      <w:start w:val="1"/>
      <w:numFmt w:val="bullet"/>
      <w:lvlText w:val=""/>
      <w:lvlJc w:val="left"/>
      <w:pPr>
        <w:ind w:left="6480" w:hanging="360"/>
      </w:pPr>
      <w:rPr>
        <w:rFonts w:ascii="Wingdings" w:hAnsi="Wingdings" w:hint="default"/>
      </w:rPr>
    </w:lvl>
  </w:abstractNum>
  <w:abstractNum w:abstractNumId="92" w15:restartNumberingAfterBreak="0">
    <w:nsid w:val="456F6F11"/>
    <w:multiLevelType w:val="hybridMultilevel"/>
    <w:tmpl w:val="3C90E3F6"/>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3" w15:restartNumberingAfterBreak="0">
    <w:nsid w:val="460568B1"/>
    <w:multiLevelType w:val="hybridMultilevel"/>
    <w:tmpl w:val="54887C0C"/>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4" w15:restartNumberingAfterBreak="0">
    <w:nsid w:val="461C7180"/>
    <w:multiLevelType w:val="multilevel"/>
    <w:tmpl w:val="026A17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67A0105"/>
    <w:multiLevelType w:val="hybridMultilevel"/>
    <w:tmpl w:val="F94A11DC"/>
    <w:lvl w:ilvl="0" w:tplc="FFFFFFFF">
      <w:start w:val="1"/>
      <w:numFmt w:val="upp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6" w15:restartNumberingAfterBreak="0">
    <w:nsid w:val="468F2093"/>
    <w:multiLevelType w:val="multilevel"/>
    <w:tmpl w:val="C99AB46E"/>
    <w:name w:val="NumPar2"/>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472E682F"/>
    <w:multiLevelType w:val="hybridMultilevel"/>
    <w:tmpl w:val="F46A2E5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8" w15:restartNumberingAfterBreak="0">
    <w:nsid w:val="47542ACE"/>
    <w:multiLevelType w:val="hybridMultilevel"/>
    <w:tmpl w:val="DCE6E23E"/>
    <w:lvl w:ilvl="0" w:tplc="73C0F010">
      <w:start w:val="1"/>
      <w:numFmt w:val="lowerRoman"/>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99" w15:restartNumberingAfterBreak="0">
    <w:nsid w:val="49A175F1"/>
    <w:multiLevelType w:val="multilevel"/>
    <w:tmpl w:val="9AB0CD1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9D773DC"/>
    <w:multiLevelType w:val="hybridMultilevel"/>
    <w:tmpl w:val="E1EE12C2"/>
    <w:lvl w:ilvl="0" w:tplc="1FDA5148">
      <w:numFmt w:val="bullet"/>
      <w:lvlText w:val="-"/>
      <w:lvlJc w:val="left"/>
      <w:pPr>
        <w:ind w:left="720" w:hanging="360"/>
      </w:pPr>
      <w:rPr>
        <w:rFonts w:ascii="Times New Roman" w:hAnsi="Times New Roman" w:hint="default"/>
      </w:rPr>
    </w:lvl>
    <w:lvl w:ilvl="1" w:tplc="899CADC6">
      <w:start w:val="1"/>
      <w:numFmt w:val="bullet"/>
      <w:lvlText w:val="o"/>
      <w:lvlJc w:val="left"/>
      <w:pPr>
        <w:ind w:left="1440" w:hanging="360"/>
      </w:pPr>
      <w:rPr>
        <w:rFonts w:ascii="Courier New" w:hAnsi="Courier New" w:hint="default"/>
      </w:rPr>
    </w:lvl>
    <w:lvl w:ilvl="2" w:tplc="382A1C90">
      <w:start w:val="1"/>
      <w:numFmt w:val="bullet"/>
      <w:lvlText w:val=""/>
      <w:lvlJc w:val="left"/>
      <w:pPr>
        <w:ind w:left="2160" w:hanging="360"/>
      </w:pPr>
      <w:rPr>
        <w:rFonts w:ascii="Wingdings" w:hAnsi="Wingdings" w:hint="default"/>
      </w:rPr>
    </w:lvl>
    <w:lvl w:ilvl="3" w:tplc="4994174E">
      <w:start w:val="1"/>
      <w:numFmt w:val="bullet"/>
      <w:lvlText w:val=""/>
      <w:lvlJc w:val="left"/>
      <w:pPr>
        <w:ind w:left="2880" w:hanging="360"/>
      </w:pPr>
      <w:rPr>
        <w:rFonts w:ascii="Symbol" w:hAnsi="Symbol" w:hint="default"/>
      </w:rPr>
    </w:lvl>
    <w:lvl w:ilvl="4" w:tplc="5C221FCE">
      <w:start w:val="1"/>
      <w:numFmt w:val="bullet"/>
      <w:lvlText w:val="o"/>
      <w:lvlJc w:val="left"/>
      <w:pPr>
        <w:ind w:left="3600" w:hanging="360"/>
      </w:pPr>
      <w:rPr>
        <w:rFonts w:ascii="Courier New" w:hAnsi="Courier New" w:hint="default"/>
      </w:rPr>
    </w:lvl>
    <w:lvl w:ilvl="5" w:tplc="7350498C">
      <w:start w:val="1"/>
      <w:numFmt w:val="bullet"/>
      <w:lvlText w:val=""/>
      <w:lvlJc w:val="left"/>
      <w:pPr>
        <w:ind w:left="4320" w:hanging="360"/>
      </w:pPr>
      <w:rPr>
        <w:rFonts w:ascii="Wingdings" w:hAnsi="Wingdings" w:hint="default"/>
      </w:rPr>
    </w:lvl>
    <w:lvl w:ilvl="6" w:tplc="D7AC6F1E">
      <w:start w:val="1"/>
      <w:numFmt w:val="bullet"/>
      <w:lvlText w:val=""/>
      <w:lvlJc w:val="left"/>
      <w:pPr>
        <w:ind w:left="5040" w:hanging="360"/>
      </w:pPr>
      <w:rPr>
        <w:rFonts w:ascii="Symbol" w:hAnsi="Symbol" w:hint="default"/>
      </w:rPr>
    </w:lvl>
    <w:lvl w:ilvl="7" w:tplc="65E47782">
      <w:start w:val="1"/>
      <w:numFmt w:val="bullet"/>
      <w:lvlText w:val="o"/>
      <w:lvlJc w:val="left"/>
      <w:pPr>
        <w:ind w:left="5760" w:hanging="360"/>
      </w:pPr>
      <w:rPr>
        <w:rFonts w:ascii="Courier New" w:hAnsi="Courier New" w:hint="default"/>
      </w:rPr>
    </w:lvl>
    <w:lvl w:ilvl="8" w:tplc="514AE622">
      <w:start w:val="1"/>
      <w:numFmt w:val="bullet"/>
      <w:lvlText w:val=""/>
      <w:lvlJc w:val="left"/>
      <w:pPr>
        <w:ind w:left="6480" w:hanging="360"/>
      </w:pPr>
      <w:rPr>
        <w:rFonts w:ascii="Wingdings" w:hAnsi="Wingdings" w:hint="default"/>
      </w:rPr>
    </w:lvl>
  </w:abstractNum>
  <w:abstractNum w:abstractNumId="101" w15:restartNumberingAfterBreak="0">
    <w:nsid w:val="4B8D2975"/>
    <w:multiLevelType w:val="hybridMultilevel"/>
    <w:tmpl w:val="424EF87C"/>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2" w15:restartNumberingAfterBreak="0">
    <w:nsid w:val="4BE97960"/>
    <w:multiLevelType w:val="hybridMultilevel"/>
    <w:tmpl w:val="6D724774"/>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03" w15:restartNumberingAfterBreak="0">
    <w:nsid w:val="4D8F1A52"/>
    <w:multiLevelType w:val="hybridMultilevel"/>
    <w:tmpl w:val="BAA2915A"/>
    <w:lvl w:ilvl="0" w:tplc="0410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04" w15:restartNumberingAfterBreak="0">
    <w:nsid w:val="4DD650F9"/>
    <w:multiLevelType w:val="multilevel"/>
    <w:tmpl w:val="31864E6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E7234F7"/>
    <w:multiLevelType w:val="multilevel"/>
    <w:tmpl w:val="F208DA6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03604BF"/>
    <w:multiLevelType w:val="hybridMultilevel"/>
    <w:tmpl w:val="CA3E3C90"/>
    <w:lvl w:ilvl="0" w:tplc="E036F444">
      <w:start w:val="1"/>
      <w:numFmt w:val="bullet"/>
      <w:lvlText w:val="·"/>
      <w:lvlJc w:val="left"/>
      <w:pPr>
        <w:ind w:left="720" w:hanging="360"/>
      </w:pPr>
      <w:rPr>
        <w:rFonts w:ascii="Symbol" w:hAnsi="Symbol" w:hint="default"/>
      </w:rPr>
    </w:lvl>
    <w:lvl w:ilvl="1" w:tplc="595EC648">
      <w:start w:val="1"/>
      <w:numFmt w:val="bullet"/>
      <w:lvlText w:val="o"/>
      <w:lvlJc w:val="left"/>
      <w:pPr>
        <w:ind w:left="1440" w:hanging="360"/>
      </w:pPr>
      <w:rPr>
        <w:rFonts w:ascii="Courier New" w:hAnsi="Courier New" w:hint="default"/>
      </w:rPr>
    </w:lvl>
    <w:lvl w:ilvl="2" w:tplc="6E76022C">
      <w:start w:val="1"/>
      <w:numFmt w:val="bullet"/>
      <w:lvlText w:val=""/>
      <w:lvlJc w:val="left"/>
      <w:pPr>
        <w:ind w:left="2160" w:hanging="360"/>
      </w:pPr>
      <w:rPr>
        <w:rFonts w:ascii="Wingdings" w:hAnsi="Wingdings" w:hint="default"/>
      </w:rPr>
    </w:lvl>
    <w:lvl w:ilvl="3" w:tplc="C35E6ECC">
      <w:start w:val="1"/>
      <w:numFmt w:val="bullet"/>
      <w:lvlText w:val=""/>
      <w:lvlJc w:val="left"/>
      <w:pPr>
        <w:ind w:left="2880" w:hanging="360"/>
      </w:pPr>
      <w:rPr>
        <w:rFonts w:ascii="Symbol" w:hAnsi="Symbol" w:hint="default"/>
      </w:rPr>
    </w:lvl>
    <w:lvl w:ilvl="4" w:tplc="DFA6687A">
      <w:start w:val="1"/>
      <w:numFmt w:val="bullet"/>
      <w:lvlText w:val="o"/>
      <w:lvlJc w:val="left"/>
      <w:pPr>
        <w:ind w:left="3600" w:hanging="360"/>
      </w:pPr>
      <w:rPr>
        <w:rFonts w:ascii="Courier New" w:hAnsi="Courier New" w:hint="default"/>
      </w:rPr>
    </w:lvl>
    <w:lvl w:ilvl="5" w:tplc="7278BE22">
      <w:start w:val="1"/>
      <w:numFmt w:val="bullet"/>
      <w:lvlText w:val=""/>
      <w:lvlJc w:val="left"/>
      <w:pPr>
        <w:ind w:left="4320" w:hanging="360"/>
      </w:pPr>
      <w:rPr>
        <w:rFonts w:ascii="Wingdings" w:hAnsi="Wingdings" w:hint="default"/>
      </w:rPr>
    </w:lvl>
    <w:lvl w:ilvl="6" w:tplc="AEB4DA1C">
      <w:start w:val="1"/>
      <w:numFmt w:val="bullet"/>
      <w:lvlText w:val=""/>
      <w:lvlJc w:val="left"/>
      <w:pPr>
        <w:ind w:left="5040" w:hanging="360"/>
      </w:pPr>
      <w:rPr>
        <w:rFonts w:ascii="Symbol" w:hAnsi="Symbol" w:hint="default"/>
      </w:rPr>
    </w:lvl>
    <w:lvl w:ilvl="7" w:tplc="1088AC34">
      <w:start w:val="1"/>
      <w:numFmt w:val="bullet"/>
      <w:lvlText w:val="o"/>
      <w:lvlJc w:val="left"/>
      <w:pPr>
        <w:ind w:left="5760" w:hanging="360"/>
      </w:pPr>
      <w:rPr>
        <w:rFonts w:ascii="Courier New" w:hAnsi="Courier New" w:hint="default"/>
      </w:rPr>
    </w:lvl>
    <w:lvl w:ilvl="8" w:tplc="B0E6FEF4">
      <w:start w:val="1"/>
      <w:numFmt w:val="bullet"/>
      <w:lvlText w:val=""/>
      <w:lvlJc w:val="left"/>
      <w:pPr>
        <w:ind w:left="6480" w:hanging="360"/>
      </w:pPr>
      <w:rPr>
        <w:rFonts w:ascii="Wingdings" w:hAnsi="Wingdings" w:hint="default"/>
      </w:rPr>
    </w:lvl>
  </w:abstractNum>
  <w:abstractNum w:abstractNumId="107" w15:restartNumberingAfterBreak="0">
    <w:nsid w:val="52EC6ECC"/>
    <w:multiLevelType w:val="hybridMultilevel"/>
    <w:tmpl w:val="A5067268"/>
    <w:lvl w:ilvl="0" w:tplc="D4A2D3F0">
      <w:start w:val="1"/>
      <w:numFmt w:val="bullet"/>
      <w:lvlText w:val=""/>
      <w:lvlJc w:val="left"/>
      <w:pPr>
        <w:ind w:left="720" w:hanging="360"/>
      </w:pPr>
      <w:rPr>
        <w:rFonts w:ascii="Symbol" w:hAnsi="Symbol" w:hint="default"/>
      </w:rPr>
    </w:lvl>
    <w:lvl w:ilvl="1" w:tplc="3B6C190A">
      <w:start w:val="1"/>
      <w:numFmt w:val="bullet"/>
      <w:lvlText w:val="o"/>
      <w:lvlJc w:val="left"/>
      <w:pPr>
        <w:ind w:left="1440" w:hanging="360"/>
      </w:pPr>
      <w:rPr>
        <w:rFonts w:ascii="Courier New" w:hAnsi="Courier New" w:hint="default"/>
      </w:rPr>
    </w:lvl>
    <w:lvl w:ilvl="2" w:tplc="ED7E94D6">
      <w:start w:val="1"/>
      <w:numFmt w:val="bullet"/>
      <w:lvlText w:val=""/>
      <w:lvlJc w:val="left"/>
      <w:pPr>
        <w:ind w:left="2160" w:hanging="360"/>
      </w:pPr>
      <w:rPr>
        <w:rFonts w:ascii="Wingdings" w:hAnsi="Wingdings" w:hint="default"/>
      </w:rPr>
    </w:lvl>
    <w:lvl w:ilvl="3" w:tplc="78164F48">
      <w:start w:val="1"/>
      <w:numFmt w:val="bullet"/>
      <w:lvlText w:val=""/>
      <w:lvlJc w:val="left"/>
      <w:pPr>
        <w:ind w:left="2880" w:hanging="360"/>
      </w:pPr>
      <w:rPr>
        <w:rFonts w:ascii="Symbol" w:hAnsi="Symbol" w:hint="default"/>
      </w:rPr>
    </w:lvl>
    <w:lvl w:ilvl="4" w:tplc="133EB486">
      <w:start w:val="1"/>
      <w:numFmt w:val="bullet"/>
      <w:lvlText w:val="o"/>
      <w:lvlJc w:val="left"/>
      <w:pPr>
        <w:ind w:left="3600" w:hanging="360"/>
      </w:pPr>
      <w:rPr>
        <w:rFonts w:ascii="Courier New" w:hAnsi="Courier New" w:hint="default"/>
      </w:rPr>
    </w:lvl>
    <w:lvl w:ilvl="5" w:tplc="260876F0">
      <w:start w:val="1"/>
      <w:numFmt w:val="bullet"/>
      <w:lvlText w:val=""/>
      <w:lvlJc w:val="left"/>
      <w:pPr>
        <w:ind w:left="4320" w:hanging="360"/>
      </w:pPr>
      <w:rPr>
        <w:rFonts w:ascii="Wingdings" w:hAnsi="Wingdings" w:hint="default"/>
      </w:rPr>
    </w:lvl>
    <w:lvl w:ilvl="6" w:tplc="37F4E174">
      <w:start w:val="1"/>
      <w:numFmt w:val="bullet"/>
      <w:lvlText w:val=""/>
      <w:lvlJc w:val="left"/>
      <w:pPr>
        <w:ind w:left="5040" w:hanging="360"/>
      </w:pPr>
      <w:rPr>
        <w:rFonts w:ascii="Symbol" w:hAnsi="Symbol" w:hint="default"/>
      </w:rPr>
    </w:lvl>
    <w:lvl w:ilvl="7" w:tplc="AC40A698">
      <w:start w:val="1"/>
      <w:numFmt w:val="bullet"/>
      <w:lvlText w:val="o"/>
      <w:lvlJc w:val="left"/>
      <w:pPr>
        <w:ind w:left="5760" w:hanging="360"/>
      </w:pPr>
      <w:rPr>
        <w:rFonts w:ascii="Courier New" w:hAnsi="Courier New" w:hint="default"/>
      </w:rPr>
    </w:lvl>
    <w:lvl w:ilvl="8" w:tplc="C680A60A">
      <w:start w:val="1"/>
      <w:numFmt w:val="bullet"/>
      <w:lvlText w:val=""/>
      <w:lvlJc w:val="left"/>
      <w:pPr>
        <w:ind w:left="6480" w:hanging="360"/>
      </w:pPr>
      <w:rPr>
        <w:rFonts w:ascii="Wingdings" w:hAnsi="Wingdings" w:hint="default"/>
      </w:rPr>
    </w:lvl>
  </w:abstractNum>
  <w:abstractNum w:abstractNumId="108" w15:restartNumberingAfterBreak="0">
    <w:nsid w:val="5320465F"/>
    <w:multiLevelType w:val="hybridMultilevel"/>
    <w:tmpl w:val="CDAE407A"/>
    <w:lvl w:ilvl="0" w:tplc="819E0320">
      <w:start w:val="1"/>
      <w:numFmt w:val="bullet"/>
      <w:lvlText w:val=""/>
      <w:lvlJc w:val="left"/>
      <w:pPr>
        <w:ind w:left="720" w:hanging="360"/>
      </w:pPr>
      <w:rPr>
        <w:rFonts w:ascii="Symbol" w:hAnsi="Symbol" w:hint="default"/>
      </w:rPr>
    </w:lvl>
    <w:lvl w:ilvl="1" w:tplc="380C8A0A" w:tentative="1">
      <w:start w:val="1"/>
      <w:numFmt w:val="bullet"/>
      <w:lvlText w:val="o"/>
      <w:lvlJc w:val="left"/>
      <w:pPr>
        <w:ind w:left="1440" w:hanging="360"/>
      </w:pPr>
      <w:rPr>
        <w:rFonts w:ascii="Courier New" w:hAnsi="Courier New" w:hint="default"/>
      </w:rPr>
    </w:lvl>
    <w:lvl w:ilvl="2" w:tplc="09C6717E" w:tentative="1">
      <w:start w:val="1"/>
      <w:numFmt w:val="bullet"/>
      <w:lvlText w:val=""/>
      <w:lvlJc w:val="left"/>
      <w:pPr>
        <w:ind w:left="2160" w:hanging="360"/>
      </w:pPr>
      <w:rPr>
        <w:rFonts w:ascii="Wingdings" w:hAnsi="Wingdings" w:hint="default"/>
      </w:rPr>
    </w:lvl>
    <w:lvl w:ilvl="3" w:tplc="54D4DAFE" w:tentative="1">
      <w:start w:val="1"/>
      <w:numFmt w:val="bullet"/>
      <w:lvlText w:val=""/>
      <w:lvlJc w:val="left"/>
      <w:pPr>
        <w:ind w:left="2880" w:hanging="360"/>
      </w:pPr>
      <w:rPr>
        <w:rFonts w:ascii="Symbol" w:hAnsi="Symbol" w:hint="default"/>
      </w:rPr>
    </w:lvl>
    <w:lvl w:ilvl="4" w:tplc="F5EE77CE" w:tentative="1">
      <w:start w:val="1"/>
      <w:numFmt w:val="bullet"/>
      <w:lvlText w:val="o"/>
      <w:lvlJc w:val="left"/>
      <w:pPr>
        <w:ind w:left="3600" w:hanging="360"/>
      </w:pPr>
      <w:rPr>
        <w:rFonts w:ascii="Courier New" w:hAnsi="Courier New" w:hint="default"/>
      </w:rPr>
    </w:lvl>
    <w:lvl w:ilvl="5" w:tplc="8A707B66" w:tentative="1">
      <w:start w:val="1"/>
      <w:numFmt w:val="bullet"/>
      <w:lvlText w:val=""/>
      <w:lvlJc w:val="left"/>
      <w:pPr>
        <w:ind w:left="4320" w:hanging="360"/>
      </w:pPr>
      <w:rPr>
        <w:rFonts w:ascii="Wingdings" w:hAnsi="Wingdings" w:hint="default"/>
      </w:rPr>
    </w:lvl>
    <w:lvl w:ilvl="6" w:tplc="938A8D7A" w:tentative="1">
      <w:start w:val="1"/>
      <w:numFmt w:val="bullet"/>
      <w:lvlText w:val=""/>
      <w:lvlJc w:val="left"/>
      <w:pPr>
        <w:ind w:left="5040" w:hanging="360"/>
      </w:pPr>
      <w:rPr>
        <w:rFonts w:ascii="Symbol" w:hAnsi="Symbol" w:hint="default"/>
      </w:rPr>
    </w:lvl>
    <w:lvl w:ilvl="7" w:tplc="E7DC73D8" w:tentative="1">
      <w:start w:val="1"/>
      <w:numFmt w:val="bullet"/>
      <w:lvlText w:val="o"/>
      <w:lvlJc w:val="left"/>
      <w:pPr>
        <w:ind w:left="5760" w:hanging="360"/>
      </w:pPr>
      <w:rPr>
        <w:rFonts w:ascii="Courier New" w:hAnsi="Courier New" w:hint="default"/>
      </w:rPr>
    </w:lvl>
    <w:lvl w:ilvl="8" w:tplc="A0849080" w:tentative="1">
      <w:start w:val="1"/>
      <w:numFmt w:val="bullet"/>
      <w:lvlText w:val=""/>
      <w:lvlJc w:val="left"/>
      <w:pPr>
        <w:ind w:left="6480" w:hanging="360"/>
      </w:pPr>
      <w:rPr>
        <w:rFonts w:ascii="Wingdings" w:hAnsi="Wingdings" w:hint="default"/>
      </w:rPr>
    </w:lvl>
  </w:abstractNum>
  <w:abstractNum w:abstractNumId="109" w15:restartNumberingAfterBreak="0">
    <w:nsid w:val="536F1E81"/>
    <w:multiLevelType w:val="multilevel"/>
    <w:tmpl w:val="C45EFDBA"/>
    <w:lvl w:ilvl="0">
      <w:start w:val="6"/>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0" w15:restartNumberingAfterBreak="0">
    <w:nsid w:val="540174FD"/>
    <w:multiLevelType w:val="hybridMultilevel"/>
    <w:tmpl w:val="3836CA74"/>
    <w:lvl w:ilvl="0" w:tplc="43EAD3D8">
      <w:start w:val="1"/>
      <w:numFmt w:val="bullet"/>
      <w:lvlText w:val="-"/>
      <w:lvlJc w:val="left"/>
      <w:pPr>
        <w:ind w:left="720" w:hanging="360"/>
      </w:pPr>
      <w:rPr>
        <w:rFonts w:ascii="Symbol" w:hAnsi="Symbol" w:hint="default"/>
      </w:rPr>
    </w:lvl>
    <w:lvl w:ilvl="1" w:tplc="C33687BC">
      <w:start w:val="1"/>
      <w:numFmt w:val="bullet"/>
      <w:lvlText w:val="o"/>
      <w:lvlJc w:val="left"/>
      <w:pPr>
        <w:ind w:left="1440" w:hanging="360"/>
      </w:pPr>
      <w:rPr>
        <w:rFonts w:ascii="Courier New" w:hAnsi="Courier New" w:cs="Times New Roman" w:hint="default"/>
      </w:rPr>
    </w:lvl>
    <w:lvl w:ilvl="2" w:tplc="B2CCF1B4">
      <w:start w:val="1"/>
      <w:numFmt w:val="bullet"/>
      <w:lvlText w:val=""/>
      <w:lvlJc w:val="left"/>
      <w:pPr>
        <w:ind w:left="2160" w:hanging="360"/>
      </w:pPr>
      <w:rPr>
        <w:rFonts w:ascii="Wingdings" w:hAnsi="Wingdings" w:hint="default"/>
      </w:rPr>
    </w:lvl>
    <w:lvl w:ilvl="3" w:tplc="411657AC">
      <w:start w:val="1"/>
      <w:numFmt w:val="bullet"/>
      <w:lvlText w:val=""/>
      <w:lvlJc w:val="left"/>
      <w:pPr>
        <w:ind w:left="2880" w:hanging="360"/>
      </w:pPr>
      <w:rPr>
        <w:rFonts w:ascii="Symbol" w:hAnsi="Symbol" w:hint="default"/>
      </w:rPr>
    </w:lvl>
    <w:lvl w:ilvl="4" w:tplc="BDC6F242">
      <w:start w:val="1"/>
      <w:numFmt w:val="bullet"/>
      <w:lvlText w:val="o"/>
      <w:lvlJc w:val="left"/>
      <w:pPr>
        <w:ind w:left="3600" w:hanging="360"/>
      </w:pPr>
      <w:rPr>
        <w:rFonts w:ascii="Courier New" w:hAnsi="Courier New" w:cs="Times New Roman" w:hint="default"/>
      </w:rPr>
    </w:lvl>
    <w:lvl w:ilvl="5" w:tplc="77301190">
      <w:start w:val="1"/>
      <w:numFmt w:val="bullet"/>
      <w:lvlText w:val=""/>
      <w:lvlJc w:val="left"/>
      <w:pPr>
        <w:ind w:left="4320" w:hanging="360"/>
      </w:pPr>
      <w:rPr>
        <w:rFonts w:ascii="Wingdings" w:hAnsi="Wingdings" w:hint="default"/>
      </w:rPr>
    </w:lvl>
    <w:lvl w:ilvl="6" w:tplc="3E72EFDA">
      <w:start w:val="1"/>
      <w:numFmt w:val="bullet"/>
      <w:lvlText w:val=""/>
      <w:lvlJc w:val="left"/>
      <w:pPr>
        <w:ind w:left="5040" w:hanging="360"/>
      </w:pPr>
      <w:rPr>
        <w:rFonts w:ascii="Symbol" w:hAnsi="Symbol" w:hint="default"/>
      </w:rPr>
    </w:lvl>
    <w:lvl w:ilvl="7" w:tplc="187CAED0">
      <w:start w:val="1"/>
      <w:numFmt w:val="bullet"/>
      <w:lvlText w:val="o"/>
      <w:lvlJc w:val="left"/>
      <w:pPr>
        <w:ind w:left="5760" w:hanging="360"/>
      </w:pPr>
      <w:rPr>
        <w:rFonts w:ascii="Courier New" w:hAnsi="Courier New" w:cs="Times New Roman" w:hint="default"/>
      </w:rPr>
    </w:lvl>
    <w:lvl w:ilvl="8" w:tplc="FE942D0A">
      <w:start w:val="1"/>
      <w:numFmt w:val="bullet"/>
      <w:lvlText w:val=""/>
      <w:lvlJc w:val="left"/>
      <w:pPr>
        <w:ind w:left="6480" w:hanging="360"/>
      </w:pPr>
      <w:rPr>
        <w:rFonts w:ascii="Wingdings" w:hAnsi="Wingdings" w:hint="default"/>
      </w:rPr>
    </w:lvl>
  </w:abstractNum>
  <w:abstractNum w:abstractNumId="111" w15:restartNumberingAfterBreak="0">
    <w:nsid w:val="546190BD"/>
    <w:multiLevelType w:val="hybridMultilevel"/>
    <w:tmpl w:val="A1E075CA"/>
    <w:lvl w:ilvl="0" w:tplc="2D546194">
      <w:start w:val="1"/>
      <w:numFmt w:val="decimal"/>
      <w:lvlText w:val="%1."/>
      <w:lvlJc w:val="left"/>
      <w:pPr>
        <w:ind w:left="720" w:hanging="360"/>
      </w:pPr>
    </w:lvl>
    <w:lvl w:ilvl="1" w:tplc="D7D0BED8">
      <w:start w:val="1"/>
      <w:numFmt w:val="lowerLetter"/>
      <w:lvlText w:val="%2."/>
      <w:lvlJc w:val="left"/>
      <w:pPr>
        <w:ind w:left="1440" w:hanging="360"/>
      </w:pPr>
    </w:lvl>
    <w:lvl w:ilvl="2" w:tplc="0024CEB8">
      <w:start w:val="1"/>
      <w:numFmt w:val="lowerRoman"/>
      <w:lvlText w:val="%3."/>
      <w:lvlJc w:val="right"/>
      <w:pPr>
        <w:ind w:left="2160" w:hanging="180"/>
      </w:pPr>
    </w:lvl>
    <w:lvl w:ilvl="3" w:tplc="14F45304">
      <w:start w:val="1"/>
      <w:numFmt w:val="decimal"/>
      <w:lvlText w:val="%4."/>
      <w:lvlJc w:val="left"/>
      <w:pPr>
        <w:ind w:left="2880" w:hanging="360"/>
      </w:pPr>
    </w:lvl>
    <w:lvl w:ilvl="4" w:tplc="13CA6DCC">
      <w:start w:val="1"/>
      <w:numFmt w:val="lowerLetter"/>
      <w:lvlText w:val="%5."/>
      <w:lvlJc w:val="left"/>
      <w:pPr>
        <w:ind w:left="3600" w:hanging="360"/>
      </w:pPr>
    </w:lvl>
    <w:lvl w:ilvl="5" w:tplc="BC06D7CC">
      <w:start w:val="1"/>
      <w:numFmt w:val="lowerRoman"/>
      <w:lvlText w:val="%6."/>
      <w:lvlJc w:val="right"/>
      <w:pPr>
        <w:ind w:left="4320" w:hanging="180"/>
      </w:pPr>
    </w:lvl>
    <w:lvl w:ilvl="6" w:tplc="4D6E0A48">
      <w:start w:val="1"/>
      <w:numFmt w:val="decimal"/>
      <w:lvlText w:val="%7."/>
      <w:lvlJc w:val="left"/>
      <w:pPr>
        <w:ind w:left="5040" w:hanging="360"/>
      </w:pPr>
    </w:lvl>
    <w:lvl w:ilvl="7" w:tplc="E29AC2BE">
      <w:start w:val="1"/>
      <w:numFmt w:val="lowerLetter"/>
      <w:lvlText w:val="%8."/>
      <w:lvlJc w:val="left"/>
      <w:pPr>
        <w:ind w:left="5760" w:hanging="360"/>
      </w:pPr>
    </w:lvl>
    <w:lvl w:ilvl="8" w:tplc="8DA2F450">
      <w:start w:val="1"/>
      <w:numFmt w:val="lowerRoman"/>
      <w:lvlText w:val="%9."/>
      <w:lvlJc w:val="right"/>
      <w:pPr>
        <w:ind w:left="6480" w:hanging="180"/>
      </w:pPr>
    </w:lvl>
  </w:abstractNum>
  <w:abstractNum w:abstractNumId="112" w15:restartNumberingAfterBreak="0">
    <w:nsid w:val="5517B409"/>
    <w:multiLevelType w:val="hybridMultilevel"/>
    <w:tmpl w:val="0BD07EFE"/>
    <w:lvl w:ilvl="0" w:tplc="79A05C2E">
      <w:start w:val="1"/>
      <w:numFmt w:val="decimal"/>
      <w:lvlText w:val="%1."/>
      <w:lvlJc w:val="left"/>
      <w:pPr>
        <w:ind w:left="720" w:hanging="360"/>
      </w:pPr>
    </w:lvl>
    <w:lvl w:ilvl="1" w:tplc="D7FA4F02">
      <w:start w:val="1"/>
      <w:numFmt w:val="lowerLetter"/>
      <w:lvlText w:val="%2."/>
      <w:lvlJc w:val="left"/>
      <w:pPr>
        <w:ind w:left="1440" w:hanging="360"/>
      </w:pPr>
    </w:lvl>
    <w:lvl w:ilvl="2" w:tplc="7F5EC75A">
      <w:start w:val="1"/>
      <w:numFmt w:val="lowerRoman"/>
      <w:lvlText w:val="%3."/>
      <w:lvlJc w:val="right"/>
      <w:pPr>
        <w:ind w:left="2160" w:hanging="180"/>
      </w:pPr>
    </w:lvl>
    <w:lvl w:ilvl="3" w:tplc="645CBD7E">
      <w:start w:val="1"/>
      <w:numFmt w:val="decimal"/>
      <w:lvlText w:val="%4."/>
      <w:lvlJc w:val="left"/>
      <w:pPr>
        <w:ind w:left="2880" w:hanging="360"/>
      </w:pPr>
    </w:lvl>
    <w:lvl w:ilvl="4" w:tplc="3C94473C">
      <w:start w:val="1"/>
      <w:numFmt w:val="lowerLetter"/>
      <w:lvlText w:val="%5."/>
      <w:lvlJc w:val="left"/>
      <w:pPr>
        <w:ind w:left="3600" w:hanging="360"/>
      </w:pPr>
    </w:lvl>
    <w:lvl w:ilvl="5" w:tplc="32DC875A">
      <w:start w:val="1"/>
      <w:numFmt w:val="lowerRoman"/>
      <w:lvlText w:val="%6."/>
      <w:lvlJc w:val="right"/>
      <w:pPr>
        <w:ind w:left="4320" w:hanging="180"/>
      </w:pPr>
    </w:lvl>
    <w:lvl w:ilvl="6" w:tplc="F3BE7820">
      <w:start w:val="1"/>
      <w:numFmt w:val="decimal"/>
      <w:lvlText w:val="%7."/>
      <w:lvlJc w:val="left"/>
      <w:pPr>
        <w:ind w:left="5040" w:hanging="360"/>
      </w:pPr>
    </w:lvl>
    <w:lvl w:ilvl="7" w:tplc="F5123FAE">
      <w:start w:val="1"/>
      <w:numFmt w:val="lowerLetter"/>
      <w:lvlText w:val="%8."/>
      <w:lvlJc w:val="left"/>
      <w:pPr>
        <w:ind w:left="5760" w:hanging="360"/>
      </w:pPr>
    </w:lvl>
    <w:lvl w:ilvl="8" w:tplc="46664E36">
      <w:start w:val="1"/>
      <w:numFmt w:val="lowerRoman"/>
      <w:lvlText w:val="%9."/>
      <w:lvlJc w:val="right"/>
      <w:pPr>
        <w:ind w:left="6480" w:hanging="180"/>
      </w:pPr>
    </w:lvl>
  </w:abstractNum>
  <w:abstractNum w:abstractNumId="113" w15:restartNumberingAfterBreak="0">
    <w:nsid w:val="556E1D63"/>
    <w:multiLevelType w:val="singleLevel"/>
    <w:tmpl w:val="493AAFF0"/>
    <w:name w:val="Bullet 4"/>
    <w:lvl w:ilvl="0">
      <w:start w:val="1"/>
      <w:numFmt w:val="bullet"/>
      <w:pStyle w:val="Bullet4"/>
      <w:lvlText w:val=""/>
      <w:lvlJc w:val="left"/>
      <w:pPr>
        <w:tabs>
          <w:tab w:val="num" w:pos="3118"/>
        </w:tabs>
        <w:ind w:left="3118" w:hanging="567"/>
      </w:pPr>
      <w:rPr>
        <w:rFonts w:ascii="Symbol" w:hAnsi="Symbol" w:hint="default"/>
      </w:rPr>
    </w:lvl>
  </w:abstractNum>
  <w:abstractNum w:abstractNumId="114" w15:restartNumberingAfterBreak="0">
    <w:nsid w:val="55C10E65"/>
    <w:multiLevelType w:val="multilevel"/>
    <w:tmpl w:val="0C0A3368"/>
    <w:lvl w:ilvl="0">
      <w:start w:val="1"/>
      <w:numFmt w:val="decimal"/>
      <w:pStyle w:val="LegalNumPar"/>
      <w:lvlText w:val="%1."/>
      <w:lvlJc w:val="left"/>
      <w:pPr>
        <w:ind w:left="901" w:hanging="476"/>
      </w:pPr>
      <w:rPr>
        <w:b w:val="0"/>
        <w:bCs w:val="0"/>
      </w:rPr>
    </w:lvl>
    <w:lvl w:ilvl="1">
      <w:start w:val="1"/>
      <w:numFmt w:val="lowerLetter"/>
      <w:pStyle w:val="LegalNumPar2"/>
      <w:lvlText w:val="%2."/>
      <w:lvlJc w:val="left"/>
      <w:pPr>
        <w:ind w:left="953" w:hanging="477"/>
      </w:pPr>
    </w:lvl>
    <w:lvl w:ilvl="2">
      <w:start w:val="1"/>
      <w:numFmt w:val="lowerRoman"/>
      <w:pStyle w:val="LegalNumPar3"/>
      <w:lvlText w:val="%3."/>
      <w:lvlJc w:val="left"/>
      <w:pPr>
        <w:ind w:left="1429" w:hanging="476"/>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55FE2C69"/>
    <w:multiLevelType w:val="multilevel"/>
    <w:tmpl w:val="5BEA902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6A3B146"/>
    <w:multiLevelType w:val="hybridMultilevel"/>
    <w:tmpl w:val="47A27D4A"/>
    <w:lvl w:ilvl="0" w:tplc="F7869708">
      <w:start w:val="1"/>
      <w:numFmt w:val="bullet"/>
      <w:lvlText w:val=""/>
      <w:lvlJc w:val="left"/>
      <w:pPr>
        <w:ind w:left="720" w:hanging="360"/>
      </w:pPr>
      <w:rPr>
        <w:rFonts w:ascii="Symbol" w:hAnsi="Symbol" w:hint="default"/>
        <w:color w:val="006600"/>
      </w:rPr>
    </w:lvl>
    <w:lvl w:ilvl="1" w:tplc="AEB619B0">
      <w:start w:val="1"/>
      <w:numFmt w:val="bullet"/>
      <w:lvlText w:val="o"/>
      <w:lvlJc w:val="left"/>
      <w:pPr>
        <w:ind w:left="1440" w:hanging="360"/>
      </w:pPr>
      <w:rPr>
        <w:rFonts w:ascii="Courier New" w:hAnsi="Courier New" w:cs="Times New Roman" w:hint="default"/>
      </w:rPr>
    </w:lvl>
    <w:lvl w:ilvl="2" w:tplc="FCB2E71E">
      <w:start w:val="1"/>
      <w:numFmt w:val="bullet"/>
      <w:lvlText w:val=""/>
      <w:lvlJc w:val="left"/>
      <w:pPr>
        <w:ind w:left="2160" w:hanging="360"/>
      </w:pPr>
      <w:rPr>
        <w:rFonts w:ascii="Wingdings" w:hAnsi="Wingdings" w:hint="default"/>
      </w:rPr>
    </w:lvl>
    <w:lvl w:ilvl="3" w:tplc="2A460294">
      <w:start w:val="1"/>
      <w:numFmt w:val="bullet"/>
      <w:lvlText w:val=""/>
      <w:lvlJc w:val="left"/>
      <w:pPr>
        <w:ind w:left="2880" w:hanging="360"/>
      </w:pPr>
      <w:rPr>
        <w:rFonts w:ascii="Symbol" w:hAnsi="Symbol" w:hint="default"/>
      </w:rPr>
    </w:lvl>
    <w:lvl w:ilvl="4" w:tplc="3EBE5880">
      <w:start w:val="1"/>
      <w:numFmt w:val="bullet"/>
      <w:lvlText w:val="o"/>
      <w:lvlJc w:val="left"/>
      <w:pPr>
        <w:ind w:left="3600" w:hanging="360"/>
      </w:pPr>
      <w:rPr>
        <w:rFonts w:ascii="Courier New" w:hAnsi="Courier New" w:cs="Times New Roman" w:hint="default"/>
      </w:rPr>
    </w:lvl>
    <w:lvl w:ilvl="5" w:tplc="7F6853FE">
      <w:start w:val="1"/>
      <w:numFmt w:val="bullet"/>
      <w:lvlText w:val=""/>
      <w:lvlJc w:val="left"/>
      <w:pPr>
        <w:ind w:left="4320" w:hanging="360"/>
      </w:pPr>
      <w:rPr>
        <w:rFonts w:ascii="Wingdings" w:hAnsi="Wingdings" w:hint="default"/>
      </w:rPr>
    </w:lvl>
    <w:lvl w:ilvl="6" w:tplc="A45A9BBE">
      <w:start w:val="1"/>
      <w:numFmt w:val="bullet"/>
      <w:lvlText w:val=""/>
      <w:lvlJc w:val="left"/>
      <w:pPr>
        <w:ind w:left="5040" w:hanging="360"/>
      </w:pPr>
      <w:rPr>
        <w:rFonts w:ascii="Symbol" w:hAnsi="Symbol" w:hint="default"/>
      </w:rPr>
    </w:lvl>
    <w:lvl w:ilvl="7" w:tplc="5DDA074C">
      <w:start w:val="1"/>
      <w:numFmt w:val="bullet"/>
      <w:lvlText w:val="o"/>
      <w:lvlJc w:val="left"/>
      <w:pPr>
        <w:ind w:left="5760" w:hanging="360"/>
      </w:pPr>
      <w:rPr>
        <w:rFonts w:ascii="Courier New" w:hAnsi="Courier New" w:cs="Times New Roman" w:hint="default"/>
      </w:rPr>
    </w:lvl>
    <w:lvl w:ilvl="8" w:tplc="735ABAA8">
      <w:start w:val="1"/>
      <w:numFmt w:val="bullet"/>
      <w:lvlText w:val=""/>
      <w:lvlJc w:val="left"/>
      <w:pPr>
        <w:ind w:left="6480" w:hanging="360"/>
      </w:pPr>
      <w:rPr>
        <w:rFonts w:ascii="Wingdings" w:hAnsi="Wingdings" w:hint="default"/>
      </w:rPr>
    </w:lvl>
  </w:abstractNum>
  <w:abstractNum w:abstractNumId="117" w15:restartNumberingAfterBreak="0">
    <w:nsid w:val="572F6C41"/>
    <w:multiLevelType w:val="multilevel"/>
    <w:tmpl w:val="478E8EEA"/>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72FD515"/>
    <w:multiLevelType w:val="hybridMultilevel"/>
    <w:tmpl w:val="ECD429AE"/>
    <w:lvl w:ilvl="0" w:tplc="4C9087F6">
      <w:start w:val="1"/>
      <w:numFmt w:val="decimal"/>
      <w:lvlText w:val="%1."/>
      <w:lvlJc w:val="left"/>
      <w:pPr>
        <w:ind w:left="720" w:hanging="360"/>
      </w:pPr>
    </w:lvl>
    <w:lvl w:ilvl="1" w:tplc="5C2C5AC2">
      <w:start w:val="1"/>
      <w:numFmt w:val="lowerLetter"/>
      <w:lvlText w:val="%2."/>
      <w:lvlJc w:val="left"/>
      <w:pPr>
        <w:ind w:left="1440" w:hanging="360"/>
      </w:pPr>
    </w:lvl>
    <w:lvl w:ilvl="2" w:tplc="3192151C">
      <w:start w:val="1"/>
      <w:numFmt w:val="lowerRoman"/>
      <w:lvlText w:val="%3."/>
      <w:lvlJc w:val="right"/>
      <w:pPr>
        <w:ind w:left="2160" w:hanging="180"/>
      </w:pPr>
    </w:lvl>
    <w:lvl w:ilvl="3" w:tplc="414A3206">
      <w:start w:val="1"/>
      <w:numFmt w:val="decimal"/>
      <w:lvlText w:val="%4."/>
      <w:lvlJc w:val="left"/>
      <w:pPr>
        <w:ind w:left="2880" w:hanging="360"/>
      </w:pPr>
    </w:lvl>
    <w:lvl w:ilvl="4" w:tplc="87F066EE">
      <w:start w:val="1"/>
      <w:numFmt w:val="lowerLetter"/>
      <w:lvlText w:val="%5."/>
      <w:lvlJc w:val="left"/>
      <w:pPr>
        <w:ind w:left="3600" w:hanging="360"/>
      </w:pPr>
    </w:lvl>
    <w:lvl w:ilvl="5" w:tplc="52365568">
      <w:start w:val="1"/>
      <w:numFmt w:val="lowerRoman"/>
      <w:lvlText w:val="%6."/>
      <w:lvlJc w:val="right"/>
      <w:pPr>
        <w:ind w:left="4320" w:hanging="180"/>
      </w:pPr>
    </w:lvl>
    <w:lvl w:ilvl="6" w:tplc="F24CCDEA">
      <w:start w:val="1"/>
      <w:numFmt w:val="decimal"/>
      <w:lvlText w:val="%7."/>
      <w:lvlJc w:val="left"/>
      <w:pPr>
        <w:ind w:left="5040" w:hanging="360"/>
      </w:pPr>
    </w:lvl>
    <w:lvl w:ilvl="7" w:tplc="0AEC602E">
      <w:start w:val="1"/>
      <w:numFmt w:val="lowerLetter"/>
      <w:lvlText w:val="%8."/>
      <w:lvlJc w:val="left"/>
      <w:pPr>
        <w:ind w:left="5760" w:hanging="360"/>
      </w:pPr>
    </w:lvl>
    <w:lvl w:ilvl="8" w:tplc="2368A3DE">
      <w:start w:val="1"/>
      <w:numFmt w:val="lowerRoman"/>
      <w:lvlText w:val="%9."/>
      <w:lvlJc w:val="right"/>
      <w:pPr>
        <w:ind w:left="6480" w:hanging="180"/>
      </w:pPr>
    </w:lvl>
  </w:abstractNum>
  <w:abstractNum w:abstractNumId="119" w15:restartNumberingAfterBreak="0">
    <w:nsid w:val="57BD2A10"/>
    <w:multiLevelType w:val="multilevel"/>
    <w:tmpl w:val="DAEAED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B395AAA"/>
    <w:multiLevelType w:val="singleLevel"/>
    <w:tmpl w:val="96D02E8A"/>
    <w:name w:val="Bullet 1"/>
    <w:lvl w:ilvl="0">
      <w:start w:val="1"/>
      <w:numFmt w:val="bullet"/>
      <w:pStyle w:val="Bullet1"/>
      <w:lvlText w:val=""/>
      <w:lvlJc w:val="left"/>
      <w:pPr>
        <w:tabs>
          <w:tab w:val="num" w:pos="1417"/>
        </w:tabs>
        <w:ind w:left="1417" w:hanging="567"/>
      </w:pPr>
      <w:rPr>
        <w:rFonts w:ascii="Symbol" w:hAnsi="Symbol" w:hint="default"/>
      </w:rPr>
    </w:lvl>
  </w:abstractNum>
  <w:abstractNum w:abstractNumId="121" w15:restartNumberingAfterBreak="0">
    <w:nsid w:val="5BCE277F"/>
    <w:multiLevelType w:val="multilevel"/>
    <w:tmpl w:val="87FEB42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C056EE5"/>
    <w:multiLevelType w:val="singleLevel"/>
    <w:tmpl w:val="3378D27C"/>
    <w:name w:val="Bullet 2"/>
    <w:lvl w:ilvl="0">
      <w:start w:val="1"/>
      <w:numFmt w:val="bullet"/>
      <w:pStyle w:val="Bullet2"/>
      <w:lvlText w:val=""/>
      <w:lvlJc w:val="left"/>
      <w:pPr>
        <w:tabs>
          <w:tab w:val="num" w:pos="1984"/>
        </w:tabs>
        <w:ind w:left="1984" w:hanging="567"/>
      </w:pPr>
      <w:rPr>
        <w:rFonts w:ascii="Symbol" w:hAnsi="Symbol" w:hint="default"/>
      </w:rPr>
    </w:lvl>
  </w:abstractNum>
  <w:abstractNum w:abstractNumId="123"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24" w15:restartNumberingAfterBreak="0">
    <w:nsid w:val="5D0A1416"/>
    <w:multiLevelType w:val="multilevel"/>
    <w:tmpl w:val="A2867A0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E2E53FD"/>
    <w:multiLevelType w:val="hybridMultilevel"/>
    <w:tmpl w:val="CCCE8B74"/>
    <w:lvl w:ilvl="0" w:tplc="04100011">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6" w15:restartNumberingAfterBreak="0">
    <w:nsid w:val="5E8C59F9"/>
    <w:multiLevelType w:val="multilevel"/>
    <w:tmpl w:val="D73CCF0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F0D4639"/>
    <w:multiLevelType w:val="hybridMultilevel"/>
    <w:tmpl w:val="7A1CF0CE"/>
    <w:lvl w:ilvl="0" w:tplc="8EBEB170">
      <w:start w:val="1"/>
      <w:numFmt w:val="decimal"/>
      <w:lvlText w:val="%1."/>
      <w:lvlJc w:val="left"/>
      <w:pPr>
        <w:ind w:left="288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28" w15:restartNumberingAfterBreak="0">
    <w:nsid w:val="5F91117A"/>
    <w:multiLevelType w:val="multilevel"/>
    <w:tmpl w:val="399ED48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FB56B1D"/>
    <w:multiLevelType w:val="multilevel"/>
    <w:tmpl w:val="F65E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FD00279"/>
    <w:multiLevelType w:val="multilevel"/>
    <w:tmpl w:val="034247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15:restartNumberingAfterBreak="0">
    <w:nsid w:val="5FF63949"/>
    <w:multiLevelType w:val="hybridMultilevel"/>
    <w:tmpl w:val="C94E34EA"/>
    <w:lvl w:ilvl="0" w:tplc="18090011">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32" w15:restartNumberingAfterBreak="0">
    <w:nsid w:val="63A15AD3"/>
    <w:multiLevelType w:val="hybridMultilevel"/>
    <w:tmpl w:val="13087CA4"/>
    <w:lvl w:ilvl="0" w:tplc="BDD06172">
      <w:start w:val="1"/>
      <w:numFmt w:val="bullet"/>
      <w:pStyle w:val="TOC1"/>
      <w:lvlText w:val=""/>
      <w:lvlJc w:val="left"/>
      <w:pPr>
        <w:ind w:left="1440" w:hanging="360"/>
      </w:pPr>
      <w:rPr>
        <w:rFonts w:ascii="Symbol" w:hAnsi="Symbol" w:hint="default"/>
      </w:rPr>
    </w:lvl>
    <w:lvl w:ilvl="1" w:tplc="A8CC45A2">
      <w:start w:val="1"/>
      <w:numFmt w:val="bullet"/>
      <w:lvlText w:val="o"/>
      <w:lvlJc w:val="left"/>
      <w:pPr>
        <w:ind w:left="2160" w:hanging="360"/>
      </w:pPr>
      <w:rPr>
        <w:rFonts w:ascii="Courier New" w:hAnsi="Courier New" w:hint="default"/>
      </w:rPr>
    </w:lvl>
    <w:lvl w:ilvl="2" w:tplc="CA12AE6E">
      <w:start w:val="1"/>
      <w:numFmt w:val="bullet"/>
      <w:lvlText w:val=""/>
      <w:lvlJc w:val="left"/>
      <w:pPr>
        <w:ind w:left="2880" w:hanging="360"/>
      </w:pPr>
      <w:rPr>
        <w:rFonts w:ascii="Wingdings" w:hAnsi="Wingdings" w:hint="default"/>
      </w:rPr>
    </w:lvl>
    <w:lvl w:ilvl="3" w:tplc="44D059CC">
      <w:start w:val="1"/>
      <w:numFmt w:val="bullet"/>
      <w:lvlText w:val=""/>
      <w:lvlJc w:val="left"/>
      <w:pPr>
        <w:ind w:left="3600" w:hanging="360"/>
      </w:pPr>
      <w:rPr>
        <w:rFonts w:ascii="Symbol" w:hAnsi="Symbol" w:hint="default"/>
      </w:rPr>
    </w:lvl>
    <w:lvl w:ilvl="4" w:tplc="7866830A">
      <w:start w:val="1"/>
      <w:numFmt w:val="bullet"/>
      <w:lvlText w:val="o"/>
      <w:lvlJc w:val="left"/>
      <w:pPr>
        <w:ind w:left="4320" w:hanging="360"/>
      </w:pPr>
      <w:rPr>
        <w:rFonts w:ascii="Courier New" w:hAnsi="Courier New" w:hint="default"/>
      </w:rPr>
    </w:lvl>
    <w:lvl w:ilvl="5" w:tplc="AC222650">
      <w:start w:val="1"/>
      <w:numFmt w:val="bullet"/>
      <w:lvlText w:val=""/>
      <w:lvlJc w:val="left"/>
      <w:pPr>
        <w:ind w:left="5040" w:hanging="360"/>
      </w:pPr>
      <w:rPr>
        <w:rFonts w:ascii="Wingdings" w:hAnsi="Wingdings" w:hint="default"/>
      </w:rPr>
    </w:lvl>
    <w:lvl w:ilvl="6" w:tplc="51246CBC">
      <w:start w:val="1"/>
      <w:numFmt w:val="bullet"/>
      <w:lvlText w:val=""/>
      <w:lvlJc w:val="left"/>
      <w:pPr>
        <w:ind w:left="5760" w:hanging="360"/>
      </w:pPr>
      <w:rPr>
        <w:rFonts w:ascii="Symbol" w:hAnsi="Symbol" w:hint="default"/>
      </w:rPr>
    </w:lvl>
    <w:lvl w:ilvl="7" w:tplc="D4FEC508">
      <w:start w:val="1"/>
      <w:numFmt w:val="bullet"/>
      <w:lvlText w:val="o"/>
      <w:lvlJc w:val="left"/>
      <w:pPr>
        <w:ind w:left="6480" w:hanging="360"/>
      </w:pPr>
      <w:rPr>
        <w:rFonts w:ascii="Courier New" w:hAnsi="Courier New" w:hint="default"/>
      </w:rPr>
    </w:lvl>
    <w:lvl w:ilvl="8" w:tplc="7E364E34">
      <w:start w:val="1"/>
      <w:numFmt w:val="bullet"/>
      <w:lvlText w:val=""/>
      <w:lvlJc w:val="left"/>
      <w:pPr>
        <w:ind w:left="7200" w:hanging="360"/>
      </w:pPr>
      <w:rPr>
        <w:rFonts w:ascii="Wingdings" w:hAnsi="Wingdings" w:hint="default"/>
      </w:rPr>
    </w:lvl>
  </w:abstractNum>
  <w:abstractNum w:abstractNumId="133" w15:restartNumberingAfterBreak="0">
    <w:nsid w:val="64166D02"/>
    <w:multiLevelType w:val="multilevel"/>
    <w:tmpl w:val="C99AB46E"/>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4" w15:restartNumberingAfterBreak="0">
    <w:nsid w:val="64E73F92"/>
    <w:multiLevelType w:val="multilevel"/>
    <w:tmpl w:val="1D968A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4EC091A"/>
    <w:multiLevelType w:val="hybridMultilevel"/>
    <w:tmpl w:val="A5402258"/>
    <w:lvl w:ilvl="0" w:tplc="4EC0B3BA">
      <w:numFmt w:val="bullet"/>
      <w:lvlText w:val="-"/>
      <w:lvlJc w:val="left"/>
      <w:pPr>
        <w:ind w:left="360" w:hanging="360"/>
      </w:pPr>
      <w:rPr>
        <w:rFonts w:ascii="Calibri" w:hAnsi="Calibri" w:hint="default"/>
      </w:rPr>
    </w:lvl>
    <w:lvl w:ilvl="1" w:tplc="6FBE6014">
      <w:start w:val="1"/>
      <w:numFmt w:val="bullet"/>
      <w:lvlText w:val="o"/>
      <w:lvlJc w:val="left"/>
      <w:pPr>
        <w:ind w:left="1080" w:hanging="360"/>
      </w:pPr>
      <w:rPr>
        <w:rFonts w:ascii="Courier New" w:hAnsi="Courier New" w:hint="default"/>
      </w:rPr>
    </w:lvl>
    <w:lvl w:ilvl="2" w:tplc="7E2A8F24">
      <w:start w:val="1"/>
      <w:numFmt w:val="bullet"/>
      <w:lvlText w:val=""/>
      <w:lvlJc w:val="left"/>
      <w:pPr>
        <w:ind w:left="1800" w:hanging="360"/>
      </w:pPr>
      <w:rPr>
        <w:rFonts w:ascii="Wingdings" w:hAnsi="Wingdings" w:hint="default"/>
      </w:rPr>
    </w:lvl>
    <w:lvl w:ilvl="3" w:tplc="BDE2245E">
      <w:start w:val="1"/>
      <w:numFmt w:val="bullet"/>
      <w:lvlText w:val=""/>
      <w:lvlJc w:val="left"/>
      <w:pPr>
        <w:ind w:left="2520" w:hanging="360"/>
      </w:pPr>
      <w:rPr>
        <w:rFonts w:ascii="Symbol" w:hAnsi="Symbol" w:hint="default"/>
      </w:rPr>
    </w:lvl>
    <w:lvl w:ilvl="4" w:tplc="72A254BE">
      <w:start w:val="1"/>
      <w:numFmt w:val="bullet"/>
      <w:lvlText w:val="o"/>
      <w:lvlJc w:val="left"/>
      <w:pPr>
        <w:ind w:left="3240" w:hanging="360"/>
      </w:pPr>
      <w:rPr>
        <w:rFonts w:ascii="Courier New" w:hAnsi="Courier New" w:hint="default"/>
      </w:rPr>
    </w:lvl>
    <w:lvl w:ilvl="5" w:tplc="599072B8">
      <w:start w:val="1"/>
      <w:numFmt w:val="bullet"/>
      <w:lvlText w:val=""/>
      <w:lvlJc w:val="left"/>
      <w:pPr>
        <w:ind w:left="3960" w:hanging="360"/>
      </w:pPr>
      <w:rPr>
        <w:rFonts w:ascii="Wingdings" w:hAnsi="Wingdings" w:hint="default"/>
      </w:rPr>
    </w:lvl>
    <w:lvl w:ilvl="6" w:tplc="904C2150">
      <w:start w:val="1"/>
      <w:numFmt w:val="bullet"/>
      <w:lvlText w:val=""/>
      <w:lvlJc w:val="left"/>
      <w:pPr>
        <w:ind w:left="4680" w:hanging="360"/>
      </w:pPr>
      <w:rPr>
        <w:rFonts w:ascii="Symbol" w:hAnsi="Symbol" w:hint="default"/>
      </w:rPr>
    </w:lvl>
    <w:lvl w:ilvl="7" w:tplc="5BD0BB3E">
      <w:start w:val="1"/>
      <w:numFmt w:val="bullet"/>
      <w:lvlText w:val="o"/>
      <w:lvlJc w:val="left"/>
      <w:pPr>
        <w:ind w:left="5400" w:hanging="360"/>
      </w:pPr>
      <w:rPr>
        <w:rFonts w:ascii="Courier New" w:hAnsi="Courier New" w:hint="default"/>
      </w:rPr>
    </w:lvl>
    <w:lvl w:ilvl="8" w:tplc="F0103530">
      <w:start w:val="1"/>
      <w:numFmt w:val="bullet"/>
      <w:lvlText w:val=""/>
      <w:lvlJc w:val="left"/>
      <w:pPr>
        <w:ind w:left="6120" w:hanging="360"/>
      </w:pPr>
      <w:rPr>
        <w:rFonts w:ascii="Wingdings" w:hAnsi="Wingdings" w:hint="default"/>
      </w:rPr>
    </w:lvl>
  </w:abstractNum>
  <w:abstractNum w:abstractNumId="136" w15:restartNumberingAfterBreak="0">
    <w:nsid w:val="65344C90"/>
    <w:multiLevelType w:val="hybridMultilevel"/>
    <w:tmpl w:val="475E3F6E"/>
    <w:lvl w:ilvl="0" w:tplc="1809000F">
      <w:start w:val="1"/>
      <w:numFmt w:val="decimal"/>
      <w:lvlText w:val="%1."/>
      <w:lvlJc w:val="left"/>
      <w:pPr>
        <w:ind w:left="1080" w:hanging="360"/>
      </w:p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start w:val="1"/>
      <w:numFmt w:val="decimal"/>
      <w:lvlText w:val="%4."/>
      <w:lvlJc w:val="left"/>
      <w:pPr>
        <w:ind w:left="3240" w:hanging="360"/>
      </w:pPr>
    </w:lvl>
    <w:lvl w:ilvl="4" w:tplc="18090019">
      <w:start w:val="1"/>
      <w:numFmt w:val="lowerLetter"/>
      <w:lvlText w:val="%5."/>
      <w:lvlJc w:val="left"/>
      <w:pPr>
        <w:ind w:left="3960" w:hanging="360"/>
      </w:pPr>
    </w:lvl>
    <w:lvl w:ilvl="5" w:tplc="1809001B">
      <w:start w:val="1"/>
      <w:numFmt w:val="lowerRoman"/>
      <w:lvlText w:val="%6."/>
      <w:lvlJc w:val="right"/>
      <w:pPr>
        <w:ind w:left="4680" w:hanging="180"/>
      </w:pPr>
    </w:lvl>
    <w:lvl w:ilvl="6" w:tplc="1809000F">
      <w:start w:val="1"/>
      <w:numFmt w:val="decimal"/>
      <w:lvlText w:val="%7."/>
      <w:lvlJc w:val="left"/>
      <w:pPr>
        <w:ind w:left="5400" w:hanging="360"/>
      </w:pPr>
    </w:lvl>
    <w:lvl w:ilvl="7" w:tplc="18090019">
      <w:start w:val="1"/>
      <w:numFmt w:val="lowerLetter"/>
      <w:lvlText w:val="%8."/>
      <w:lvlJc w:val="left"/>
      <w:pPr>
        <w:ind w:left="6120" w:hanging="360"/>
      </w:pPr>
    </w:lvl>
    <w:lvl w:ilvl="8" w:tplc="1809001B">
      <w:start w:val="1"/>
      <w:numFmt w:val="lowerRoman"/>
      <w:lvlText w:val="%9."/>
      <w:lvlJc w:val="right"/>
      <w:pPr>
        <w:ind w:left="6840" w:hanging="180"/>
      </w:pPr>
    </w:lvl>
  </w:abstractNum>
  <w:abstractNum w:abstractNumId="137" w15:restartNumberingAfterBreak="0">
    <w:nsid w:val="670D2CB2"/>
    <w:multiLevelType w:val="multilevel"/>
    <w:tmpl w:val="D010AB18"/>
    <w:lvl w:ilvl="0">
      <w:start w:val="8"/>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8" w15:restartNumberingAfterBreak="0">
    <w:nsid w:val="67B856F6"/>
    <w:multiLevelType w:val="singleLevel"/>
    <w:tmpl w:val="0AB28E9C"/>
    <w:name w:val="Tiret 2"/>
    <w:lvl w:ilvl="0">
      <w:start w:val="1"/>
      <w:numFmt w:val="bullet"/>
      <w:pStyle w:val="Tiret2"/>
      <w:lvlText w:val="–"/>
      <w:lvlJc w:val="left"/>
      <w:pPr>
        <w:tabs>
          <w:tab w:val="num" w:pos="1984"/>
        </w:tabs>
        <w:ind w:left="1984" w:hanging="567"/>
      </w:pPr>
    </w:lvl>
  </w:abstractNum>
  <w:abstractNum w:abstractNumId="139" w15:restartNumberingAfterBreak="0">
    <w:nsid w:val="68B5403C"/>
    <w:multiLevelType w:val="hybridMultilevel"/>
    <w:tmpl w:val="029C7FA2"/>
    <w:lvl w:ilvl="0" w:tplc="23C2407A">
      <w:start w:val="2"/>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0" w15:restartNumberingAfterBreak="0">
    <w:nsid w:val="69936A2E"/>
    <w:multiLevelType w:val="hybridMultilevel"/>
    <w:tmpl w:val="7DFCC346"/>
    <w:lvl w:ilvl="0" w:tplc="5380BE8C">
      <w:start w:val="1"/>
      <w:numFmt w:val="lowerRoman"/>
      <w:lvlText w:val="%1)"/>
      <w:lvlJc w:val="righ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41" w15:restartNumberingAfterBreak="0">
    <w:nsid w:val="69C5E854"/>
    <w:multiLevelType w:val="hybridMultilevel"/>
    <w:tmpl w:val="FFFFFFFF"/>
    <w:lvl w:ilvl="0" w:tplc="56E28C82">
      <w:start w:val="1"/>
      <w:numFmt w:val="upperRoman"/>
      <w:lvlText w:val="%1)"/>
      <w:lvlJc w:val="left"/>
      <w:pPr>
        <w:ind w:left="720" w:hanging="360"/>
      </w:pPr>
    </w:lvl>
    <w:lvl w:ilvl="1" w:tplc="B838C29A">
      <w:start w:val="1"/>
      <w:numFmt w:val="lowerLetter"/>
      <w:lvlText w:val="%2."/>
      <w:lvlJc w:val="left"/>
      <w:pPr>
        <w:ind w:left="1440" w:hanging="360"/>
      </w:pPr>
    </w:lvl>
    <w:lvl w:ilvl="2" w:tplc="21AAFD04">
      <w:start w:val="1"/>
      <w:numFmt w:val="lowerRoman"/>
      <w:lvlText w:val="%3."/>
      <w:lvlJc w:val="right"/>
      <w:pPr>
        <w:ind w:left="2160" w:hanging="180"/>
      </w:pPr>
    </w:lvl>
    <w:lvl w:ilvl="3" w:tplc="0B9E31B2">
      <w:start w:val="1"/>
      <w:numFmt w:val="decimal"/>
      <w:lvlText w:val="%4."/>
      <w:lvlJc w:val="left"/>
      <w:pPr>
        <w:ind w:left="2880" w:hanging="360"/>
      </w:pPr>
    </w:lvl>
    <w:lvl w:ilvl="4" w:tplc="E384EABE">
      <w:start w:val="1"/>
      <w:numFmt w:val="lowerLetter"/>
      <w:lvlText w:val="%5."/>
      <w:lvlJc w:val="left"/>
      <w:pPr>
        <w:ind w:left="3600" w:hanging="360"/>
      </w:pPr>
    </w:lvl>
    <w:lvl w:ilvl="5" w:tplc="05503056">
      <w:start w:val="1"/>
      <w:numFmt w:val="lowerRoman"/>
      <w:lvlText w:val="%6."/>
      <w:lvlJc w:val="right"/>
      <w:pPr>
        <w:ind w:left="4320" w:hanging="180"/>
      </w:pPr>
    </w:lvl>
    <w:lvl w:ilvl="6" w:tplc="D96C9CD4">
      <w:start w:val="1"/>
      <w:numFmt w:val="decimal"/>
      <w:lvlText w:val="%7."/>
      <w:lvlJc w:val="left"/>
      <w:pPr>
        <w:ind w:left="5040" w:hanging="360"/>
      </w:pPr>
    </w:lvl>
    <w:lvl w:ilvl="7" w:tplc="ECEEECB8">
      <w:start w:val="1"/>
      <w:numFmt w:val="lowerLetter"/>
      <w:lvlText w:val="%8."/>
      <w:lvlJc w:val="left"/>
      <w:pPr>
        <w:ind w:left="5760" w:hanging="360"/>
      </w:pPr>
    </w:lvl>
    <w:lvl w:ilvl="8" w:tplc="1038AEFC">
      <w:start w:val="1"/>
      <w:numFmt w:val="lowerRoman"/>
      <w:lvlText w:val="%9."/>
      <w:lvlJc w:val="right"/>
      <w:pPr>
        <w:ind w:left="6480" w:hanging="180"/>
      </w:pPr>
    </w:lvl>
  </w:abstractNum>
  <w:abstractNum w:abstractNumId="142" w15:restartNumberingAfterBreak="0">
    <w:nsid w:val="6A587128"/>
    <w:multiLevelType w:val="multilevel"/>
    <w:tmpl w:val="5EBCA84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6A5F1BA5"/>
    <w:multiLevelType w:val="multilevel"/>
    <w:tmpl w:val="5EE02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AFE6E83"/>
    <w:multiLevelType w:val="multilevel"/>
    <w:tmpl w:val="3FDA054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B0E38AD"/>
    <w:multiLevelType w:val="hybridMultilevel"/>
    <w:tmpl w:val="046E43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6" w15:restartNumberingAfterBreak="0">
    <w:nsid w:val="6C37385B"/>
    <w:multiLevelType w:val="hybridMultilevel"/>
    <w:tmpl w:val="57805CB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7" w15:restartNumberingAfterBreak="0">
    <w:nsid w:val="6C3B6935"/>
    <w:multiLevelType w:val="hybridMultilevel"/>
    <w:tmpl w:val="BB86849A"/>
    <w:lvl w:ilvl="0" w:tplc="18090017">
      <w:start w:val="1"/>
      <w:numFmt w:val="lowerLetter"/>
      <w:lvlText w:val="%1)"/>
      <w:lvlJc w:val="left"/>
      <w:pPr>
        <w:ind w:left="1196" w:hanging="360"/>
      </w:pPr>
    </w:lvl>
    <w:lvl w:ilvl="1" w:tplc="18090019" w:tentative="1">
      <w:start w:val="1"/>
      <w:numFmt w:val="lowerLetter"/>
      <w:lvlText w:val="%2."/>
      <w:lvlJc w:val="left"/>
      <w:pPr>
        <w:ind w:left="1916" w:hanging="360"/>
      </w:pPr>
    </w:lvl>
    <w:lvl w:ilvl="2" w:tplc="1809001B" w:tentative="1">
      <w:start w:val="1"/>
      <w:numFmt w:val="lowerRoman"/>
      <w:lvlText w:val="%3."/>
      <w:lvlJc w:val="right"/>
      <w:pPr>
        <w:ind w:left="2636" w:hanging="180"/>
      </w:pPr>
    </w:lvl>
    <w:lvl w:ilvl="3" w:tplc="1809000F" w:tentative="1">
      <w:start w:val="1"/>
      <w:numFmt w:val="decimal"/>
      <w:lvlText w:val="%4."/>
      <w:lvlJc w:val="left"/>
      <w:pPr>
        <w:ind w:left="3356" w:hanging="360"/>
      </w:pPr>
    </w:lvl>
    <w:lvl w:ilvl="4" w:tplc="18090019" w:tentative="1">
      <w:start w:val="1"/>
      <w:numFmt w:val="lowerLetter"/>
      <w:lvlText w:val="%5."/>
      <w:lvlJc w:val="left"/>
      <w:pPr>
        <w:ind w:left="4076" w:hanging="360"/>
      </w:pPr>
    </w:lvl>
    <w:lvl w:ilvl="5" w:tplc="1809001B" w:tentative="1">
      <w:start w:val="1"/>
      <w:numFmt w:val="lowerRoman"/>
      <w:lvlText w:val="%6."/>
      <w:lvlJc w:val="right"/>
      <w:pPr>
        <w:ind w:left="4796" w:hanging="180"/>
      </w:pPr>
    </w:lvl>
    <w:lvl w:ilvl="6" w:tplc="1809000F" w:tentative="1">
      <w:start w:val="1"/>
      <w:numFmt w:val="decimal"/>
      <w:lvlText w:val="%7."/>
      <w:lvlJc w:val="left"/>
      <w:pPr>
        <w:ind w:left="5516" w:hanging="360"/>
      </w:pPr>
    </w:lvl>
    <w:lvl w:ilvl="7" w:tplc="18090019" w:tentative="1">
      <w:start w:val="1"/>
      <w:numFmt w:val="lowerLetter"/>
      <w:lvlText w:val="%8."/>
      <w:lvlJc w:val="left"/>
      <w:pPr>
        <w:ind w:left="6236" w:hanging="360"/>
      </w:pPr>
    </w:lvl>
    <w:lvl w:ilvl="8" w:tplc="1809001B" w:tentative="1">
      <w:start w:val="1"/>
      <w:numFmt w:val="lowerRoman"/>
      <w:lvlText w:val="%9."/>
      <w:lvlJc w:val="right"/>
      <w:pPr>
        <w:ind w:left="6956" w:hanging="180"/>
      </w:pPr>
    </w:lvl>
  </w:abstractNum>
  <w:abstractNum w:abstractNumId="148" w15:restartNumberingAfterBreak="0">
    <w:nsid w:val="6CED03CC"/>
    <w:multiLevelType w:val="multilevel"/>
    <w:tmpl w:val="B25056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6DEA7483"/>
    <w:multiLevelType w:val="hybridMultilevel"/>
    <w:tmpl w:val="189A45C8"/>
    <w:lvl w:ilvl="0" w:tplc="DBB8B8C6">
      <w:start w:val="1"/>
      <w:numFmt w:val="bullet"/>
      <w:lvlText w:val=""/>
      <w:lvlJc w:val="left"/>
      <w:pPr>
        <w:ind w:left="720" w:hanging="360"/>
      </w:pPr>
      <w:rPr>
        <w:rFonts w:ascii="Symbol" w:hAnsi="Symbol" w:hint="default"/>
      </w:rPr>
    </w:lvl>
    <w:lvl w:ilvl="1" w:tplc="109EFACA">
      <w:start w:val="1"/>
      <w:numFmt w:val="bullet"/>
      <w:lvlText w:val="o"/>
      <w:lvlJc w:val="left"/>
      <w:pPr>
        <w:ind w:left="1440" w:hanging="360"/>
      </w:pPr>
      <w:rPr>
        <w:rFonts w:ascii="Courier New" w:hAnsi="Courier New" w:hint="default"/>
      </w:rPr>
    </w:lvl>
    <w:lvl w:ilvl="2" w:tplc="C49E924A">
      <w:start w:val="1"/>
      <w:numFmt w:val="bullet"/>
      <w:lvlText w:val=""/>
      <w:lvlJc w:val="left"/>
      <w:pPr>
        <w:ind w:left="2160" w:hanging="360"/>
      </w:pPr>
      <w:rPr>
        <w:rFonts w:ascii="Wingdings" w:hAnsi="Wingdings" w:hint="default"/>
      </w:rPr>
    </w:lvl>
    <w:lvl w:ilvl="3" w:tplc="88B87FA0">
      <w:start w:val="1"/>
      <w:numFmt w:val="bullet"/>
      <w:lvlText w:val=""/>
      <w:lvlJc w:val="left"/>
      <w:pPr>
        <w:ind w:left="2880" w:hanging="360"/>
      </w:pPr>
      <w:rPr>
        <w:rFonts w:ascii="Symbol" w:hAnsi="Symbol" w:hint="default"/>
      </w:rPr>
    </w:lvl>
    <w:lvl w:ilvl="4" w:tplc="8F30CEC4">
      <w:start w:val="1"/>
      <w:numFmt w:val="bullet"/>
      <w:lvlText w:val="o"/>
      <w:lvlJc w:val="left"/>
      <w:pPr>
        <w:ind w:left="3600" w:hanging="360"/>
      </w:pPr>
      <w:rPr>
        <w:rFonts w:ascii="Courier New" w:hAnsi="Courier New" w:hint="default"/>
      </w:rPr>
    </w:lvl>
    <w:lvl w:ilvl="5" w:tplc="D3921536">
      <w:start w:val="1"/>
      <w:numFmt w:val="bullet"/>
      <w:lvlText w:val=""/>
      <w:lvlJc w:val="left"/>
      <w:pPr>
        <w:ind w:left="4320" w:hanging="360"/>
      </w:pPr>
      <w:rPr>
        <w:rFonts w:ascii="Wingdings" w:hAnsi="Wingdings" w:hint="default"/>
      </w:rPr>
    </w:lvl>
    <w:lvl w:ilvl="6" w:tplc="20409612">
      <w:start w:val="1"/>
      <w:numFmt w:val="bullet"/>
      <w:lvlText w:val=""/>
      <w:lvlJc w:val="left"/>
      <w:pPr>
        <w:ind w:left="5040" w:hanging="360"/>
      </w:pPr>
      <w:rPr>
        <w:rFonts w:ascii="Symbol" w:hAnsi="Symbol" w:hint="default"/>
      </w:rPr>
    </w:lvl>
    <w:lvl w:ilvl="7" w:tplc="A10E3872">
      <w:start w:val="1"/>
      <w:numFmt w:val="bullet"/>
      <w:lvlText w:val="o"/>
      <w:lvlJc w:val="left"/>
      <w:pPr>
        <w:ind w:left="5760" w:hanging="360"/>
      </w:pPr>
      <w:rPr>
        <w:rFonts w:ascii="Courier New" w:hAnsi="Courier New" w:hint="default"/>
      </w:rPr>
    </w:lvl>
    <w:lvl w:ilvl="8" w:tplc="CC987EB4">
      <w:start w:val="1"/>
      <w:numFmt w:val="bullet"/>
      <w:lvlText w:val=""/>
      <w:lvlJc w:val="left"/>
      <w:pPr>
        <w:ind w:left="6480" w:hanging="360"/>
      </w:pPr>
      <w:rPr>
        <w:rFonts w:ascii="Wingdings" w:hAnsi="Wingdings" w:hint="default"/>
      </w:rPr>
    </w:lvl>
  </w:abstractNum>
  <w:abstractNum w:abstractNumId="150" w15:restartNumberingAfterBreak="0">
    <w:nsid w:val="6DED619B"/>
    <w:multiLevelType w:val="hybridMultilevel"/>
    <w:tmpl w:val="FD30E5B0"/>
    <w:lvl w:ilvl="0" w:tplc="ADE0F75A">
      <w:start w:val="1"/>
      <w:numFmt w:val="lowerRoman"/>
      <w:lvlText w:val="%1)"/>
      <w:lvlJc w:val="left"/>
      <w:pPr>
        <w:ind w:left="1080" w:hanging="72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51" w15:restartNumberingAfterBreak="0">
    <w:nsid w:val="6E103457"/>
    <w:multiLevelType w:val="multilevel"/>
    <w:tmpl w:val="EF74D13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E5DD6B0"/>
    <w:multiLevelType w:val="hybridMultilevel"/>
    <w:tmpl w:val="FFFFFFFF"/>
    <w:lvl w:ilvl="0" w:tplc="15B0542E">
      <w:start w:val="1"/>
      <w:numFmt w:val="decimal"/>
      <w:lvlText w:val="%1."/>
      <w:lvlJc w:val="left"/>
      <w:pPr>
        <w:ind w:left="720" w:hanging="360"/>
      </w:pPr>
    </w:lvl>
    <w:lvl w:ilvl="1" w:tplc="CB52A0A0">
      <w:start w:val="1"/>
      <w:numFmt w:val="lowerLetter"/>
      <w:lvlText w:val="%2."/>
      <w:lvlJc w:val="left"/>
      <w:pPr>
        <w:ind w:left="1440" w:hanging="360"/>
      </w:pPr>
    </w:lvl>
    <w:lvl w:ilvl="2" w:tplc="A9E64DAA">
      <w:start w:val="1"/>
      <w:numFmt w:val="lowerRoman"/>
      <w:lvlText w:val="%3."/>
      <w:lvlJc w:val="right"/>
      <w:pPr>
        <w:ind w:left="2160" w:hanging="180"/>
      </w:pPr>
    </w:lvl>
    <w:lvl w:ilvl="3" w:tplc="E714B1C8">
      <w:start w:val="1"/>
      <w:numFmt w:val="decimal"/>
      <w:lvlText w:val="%4."/>
      <w:lvlJc w:val="left"/>
      <w:pPr>
        <w:ind w:left="2880" w:hanging="360"/>
      </w:pPr>
    </w:lvl>
    <w:lvl w:ilvl="4" w:tplc="B6707A26">
      <w:start w:val="1"/>
      <w:numFmt w:val="lowerLetter"/>
      <w:lvlText w:val="%5."/>
      <w:lvlJc w:val="left"/>
      <w:pPr>
        <w:ind w:left="3600" w:hanging="360"/>
      </w:pPr>
    </w:lvl>
    <w:lvl w:ilvl="5" w:tplc="650263B6">
      <w:start w:val="1"/>
      <w:numFmt w:val="lowerRoman"/>
      <w:lvlText w:val="%6."/>
      <w:lvlJc w:val="right"/>
      <w:pPr>
        <w:ind w:left="4320" w:hanging="180"/>
      </w:pPr>
    </w:lvl>
    <w:lvl w:ilvl="6" w:tplc="BD96DB34">
      <w:start w:val="1"/>
      <w:numFmt w:val="decimal"/>
      <w:lvlText w:val="%7."/>
      <w:lvlJc w:val="left"/>
      <w:pPr>
        <w:ind w:left="5040" w:hanging="360"/>
      </w:pPr>
    </w:lvl>
    <w:lvl w:ilvl="7" w:tplc="FF0C3D26">
      <w:start w:val="1"/>
      <w:numFmt w:val="lowerLetter"/>
      <w:lvlText w:val="%8."/>
      <w:lvlJc w:val="left"/>
      <w:pPr>
        <w:ind w:left="5760" w:hanging="360"/>
      </w:pPr>
    </w:lvl>
    <w:lvl w:ilvl="8" w:tplc="31B2E57E">
      <w:start w:val="1"/>
      <w:numFmt w:val="lowerRoman"/>
      <w:lvlText w:val="%9."/>
      <w:lvlJc w:val="right"/>
      <w:pPr>
        <w:ind w:left="6480" w:hanging="180"/>
      </w:pPr>
    </w:lvl>
  </w:abstractNum>
  <w:abstractNum w:abstractNumId="153" w15:restartNumberingAfterBreak="0">
    <w:nsid w:val="6ED65A49"/>
    <w:multiLevelType w:val="hybridMultilevel"/>
    <w:tmpl w:val="0182460E"/>
    <w:lvl w:ilvl="0" w:tplc="9820B010">
      <w:start w:val="1"/>
      <w:numFmt w:val="bullet"/>
      <w:lvlText w:val="o"/>
      <w:lvlJc w:val="left"/>
      <w:pPr>
        <w:ind w:left="720" w:hanging="360"/>
      </w:pPr>
      <w:rPr>
        <w:rFonts w:ascii="Courier New" w:hAnsi="Courier New" w:hint="default"/>
      </w:rPr>
    </w:lvl>
    <w:lvl w:ilvl="1" w:tplc="FDFE7DAA">
      <w:start w:val="1"/>
      <w:numFmt w:val="lowerLetter"/>
      <w:lvlText w:val="%2."/>
      <w:lvlJc w:val="left"/>
      <w:pPr>
        <w:ind w:left="1440" w:hanging="360"/>
      </w:pPr>
    </w:lvl>
    <w:lvl w:ilvl="2" w:tplc="484612EE">
      <w:start w:val="1"/>
      <w:numFmt w:val="lowerRoman"/>
      <w:lvlText w:val="%3."/>
      <w:lvlJc w:val="right"/>
      <w:pPr>
        <w:ind w:left="2160" w:hanging="180"/>
      </w:pPr>
    </w:lvl>
    <w:lvl w:ilvl="3" w:tplc="A802F04C">
      <w:start w:val="1"/>
      <w:numFmt w:val="decimal"/>
      <w:lvlText w:val="%4."/>
      <w:lvlJc w:val="left"/>
      <w:pPr>
        <w:ind w:left="2880" w:hanging="360"/>
      </w:pPr>
    </w:lvl>
    <w:lvl w:ilvl="4" w:tplc="4688283E">
      <w:start w:val="1"/>
      <w:numFmt w:val="lowerLetter"/>
      <w:lvlText w:val="%5."/>
      <w:lvlJc w:val="left"/>
      <w:pPr>
        <w:ind w:left="3600" w:hanging="360"/>
      </w:pPr>
    </w:lvl>
    <w:lvl w:ilvl="5" w:tplc="37029466">
      <w:start w:val="1"/>
      <w:numFmt w:val="lowerRoman"/>
      <w:lvlText w:val="%6."/>
      <w:lvlJc w:val="right"/>
      <w:pPr>
        <w:ind w:left="4320" w:hanging="180"/>
      </w:pPr>
    </w:lvl>
    <w:lvl w:ilvl="6" w:tplc="8F8EA9BE">
      <w:start w:val="1"/>
      <w:numFmt w:val="decimal"/>
      <w:lvlText w:val="%7."/>
      <w:lvlJc w:val="left"/>
      <w:pPr>
        <w:ind w:left="5040" w:hanging="360"/>
      </w:pPr>
    </w:lvl>
    <w:lvl w:ilvl="7" w:tplc="49884062">
      <w:start w:val="1"/>
      <w:numFmt w:val="lowerLetter"/>
      <w:lvlText w:val="%8."/>
      <w:lvlJc w:val="left"/>
      <w:pPr>
        <w:ind w:left="5760" w:hanging="360"/>
      </w:pPr>
    </w:lvl>
    <w:lvl w:ilvl="8" w:tplc="4E1E3F68">
      <w:start w:val="1"/>
      <w:numFmt w:val="lowerRoman"/>
      <w:lvlText w:val="%9."/>
      <w:lvlJc w:val="right"/>
      <w:pPr>
        <w:ind w:left="6480" w:hanging="180"/>
      </w:pPr>
    </w:lvl>
  </w:abstractNum>
  <w:abstractNum w:abstractNumId="154" w15:restartNumberingAfterBreak="0">
    <w:nsid w:val="6FF14727"/>
    <w:multiLevelType w:val="multilevel"/>
    <w:tmpl w:val="A8F8C3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00D7AC7"/>
    <w:multiLevelType w:val="multilevel"/>
    <w:tmpl w:val="E9C600A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15:restartNumberingAfterBreak="0">
    <w:nsid w:val="70257864"/>
    <w:multiLevelType w:val="hybridMultilevel"/>
    <w:tmpl w:val="B2D04A18"/>
    <w:lvl w:ilvl="0" w:tplc="56E64AA8">
      <w:start w:val="1"/>
      <w:numFmt w:val="lowerRoman"/>
      <w:lvlText w:val="%1)"/>
      <w:lvlJc w:val="left"/>
      <w:pPr>
        <w:ind w:left="720" w:hanging="360"/>
      </w:pPr>
    </w:lvl>
    <w:lvl w:ilvl="1" w:tplc="84DEC14A">
      <w:start w:val="1"/>
      <w:numFmt w:val="bullet"/>
      <w:lvlText w:val="o"/>
      <w:lvlJc w:val="left"/>
      <w:pPr>
        <w:ind w:left="1440" w:hanging="360"/>
      </w:pPr>
      <w:rPr>
        <w:rFonts w:ascii="Courier New" w:hAnsi="Courier New" w:hint="default"/>
      </w:rPr>
    </w:lvl>
    <w:lvl w:ilvl="2" w:tplc="ED429472">
      <w:start w:val="1"/>
      <w:numFmt w:val="bullet"/>
      <w:lvlText w:val=""/>
      <w:lvlJc w:val="left"/>
      <w:pPr>
        <w:ind w:left="2160" w:hanging="360"/>
      </w:pPr>
      <w:rPr>
        <w:rFonts w:ascii="Wingdings" w:hAnsi="Wingdings" w:hint="default"/>
      </w:rPr>
    </w:lvl>
    <w:lvl w:ilvl="3" w:tplc="546C0E6C">
      <w:start w:val="1"/>
      <w:numFmt w:val="bullet"/>
      <w:lvlText w:val=""/>
      <w:lvlJc w:val="left"/>
      <w:pPr>
        <w:ind w:left="2880" w:hanging="360"/>
      </w:pPr>
      <w:rPr>
        <w:rFonts w:ascii="Symbol" w:hAnsi="Symbol" w:hint="default"/>
      </w:rPr>
    </w:lvl>
    <w:lvl w:ilvl="4" w:tplc="A1AE18D2">
      <w:start w:val="1"/>
      <w:numFmt w:val="bullet"/>
      <w:lvlText w:val="o"/>
      <w:lvlJc w:val="left"/>
      <w:pPr>
        <w:ind w:left="3600" w:hanging="360"/>
      </w:pPr>
      <w:rPr>
        <w:rFonts w:ascii="Courier New" w:hAnsi="Courier New" w:hint="default"/>
      </w:rPr>
    </w:lvl>
    <w:lvl w:ilvl="5" w:tplc="7F126766">
      <w:start w:val="1"/>
      <w:numFmt w:val="bullet"/>
      <w:lvlText w:val=""/>
      <w:lvlJc w:val="left"/>
      <w:pPr>
        <w:ind w:left="4320" w:hanging="360"/>
      </w:pPr>
      <w:rPr>
        <w:rFonts w:ascii="Wingdings" w:hAnsi="Wingdings" w:hint="default"/>
      </w:rPr>
    </w:lvl>
    <w:lvl w:ilvl="6" w:tplc="1A72FDB0">
      <w:start w:val="1"/>
      <w:numFmt w:val="bullet"/>
      <w:lvlText w:val=""/>
      <w:lvlJc w:val="left"/>
      <w:pPr>
        <w:ind w:left="5040" w:hanging="360"/>
      </w:pPr>
      <w:rPr>
        <w:rFonts w:ascii="Symbol" w:hAnsi="Symbol" w:hint="default"/>
      </w:rPr>
    </w:lvl>
    <w:lvl w:ilvl="7" w:tplc="CEFC3846">
      <w:start w:val="1"/>
      <w:numFmt w:val="bullet"/>
      <w:lvlText w:val="o"/>
      <w:lvlJc w:val="left"/>
      <w:pPr>
        <w:ind w:left="5760" w:hanging="360"/>
      </w:pPr>
      <w:rPr>
        <w:rFonts w:ascii="Courier New" w:hAnsi="Courier New" w:hint="default"/>
      </w:rPr>
    </w:lvl>
    <w:lvl w:ilvl="8" w:tplc="63B6A13C">
      <w:start w:val="1"/>
      <w:numFmt w:val="bullet"/>
      <w:lvlText w:val=""/>
      <w:lvlJc w:val="left"/>
      <w:pPr>
        <w:ind w:left="6480" w:hanging="360"/>
      </w:pPr>
      <w:rPr>
        <w:rFonts w:ascii="Wingdings" w:hAnsi="Wingdings" w:hint="default"/>
      </w:rPr>
    </w:lvl>
  </w:abstractNum>
  <w:abstractNum w:abstractNumId="157" w15:restartNumberingAfterBreak="0">
    <w:nsid w:val="7027604A"/>
    <w:multiLevelType w:val="hybridMultilevel"/>
    <w:tmpl w:val="6894551A"/>
    <w:lvl w:ilvl="0" w:tplc="60C4BCA6">
      <w:start w:val="1"/>
      <w:numFmt w:val="lowerRoman"/>
      <w:lvlText w:val="%1."/>
      <w:lvlJc w:val="right"/>
      <w:pPr>
        <w:ind w:left="720" w:hanging="360"/>
      </w:pPr>
    </w:lvl>
    <w:lvl w:ilvl="1" w:tplc="D0DE7B0A">
      <w:start w:val="1"/>
      <w:numFmt w:val="lowerLetter"/>
      <w:lvlText w:val="%2."/>
      <w:lvlJc w:val="left"/>
      <w:pPr>
        <w:ind w:left="1440" w:hanging="360"/>
      </w:pPr>
    </w:lvl>
    <w:lvl w:ilvl="2" w:tplc="8A403568">
      <w:start w:val="1"/>
      <w:numFmt w:val="lowerRoman"/>
      <w:lvlText w:val="%3."/>
      <w:lvlJc w:val="right"/>
      <w:pPr>
        <w:ind w:left="2160" w:hanging="180"/>
      </w:pPr>
    </w:lvl>
    <w:lvl w:ilvl="3" w:tplc="4AD2D12C">
      <w:start w:val="1"/>
      <w:numFmt w:val="decimal"/>
      <w:lvlText w:val="%4."/>
      <w:lvlJc w:val="left"/>
      <w:pPr>
        <w:ind w:left="2880" w:hanging="360"/>
      </w:pPr>
    </w:lvl>
    <w:lvl w:ilvl="4" w:tplc="184466CE">
      <w:start w:val="1"/>
      <w:numFmt w:val="lowerLetter"/>
      <w:lvlText w:val="%5."/>
      <w:lvlJc w:val="left"/>
      <w:pPr>
        <w:ind w:left="3600" w:hanging="360"/>
      </w:pPr>
    </w:lvl>
    <w:lvl w:ilvl="5" w:tplc="4CE697FC">
      <w:start w:val="1"/>
      <w:numFmt w:val="lowerRoman"/>
      <w:lvlText w:val="%6."/>
      <w:lvlJc w:val="right"/>
      <w:pPr>
        <w:ind w:left="4320" w:hanging="180"/>
      </w:pPr>
    </w:lvl>
    <w:lvl w:ilvl="6" w:tplc="107CB322">
      <w:start w:val="1"/>
      <w:numFmt w:val="decimal"/>
      <w:lvlText w:val="%7."/>
      <w:lvlJc w:val="left"/>
      <w:pPr>
        <w:ind w:left="5040" w:hanging="360"/>
      </w:pPr>
    </w:lvl>
    <w:lvl w:ilvl="7" w:tplc="D5F49DFE">
      <w:start w:val="1"/>
      <w:numFmt w:val="lowerLetter"/>
      <w:lvlText w:val="%8."/>
      <w:lvlJc w:val="left"/>
      <w:pPr>
        <w:ind w:left="5760" w:hanging="360"/>
      </w:pPr>
    </w:lvl>
    <w:lvl w:ilvl="8" w:tplc="C4E07C50">
      <w:start w:val="1"/>
      <w:numFmt w:val="lowerRoman"/>
      <w:lvlText w:val="%9."/>
      <w:lvlJc w:val="right"/>
      <w:pPr>
        <w:ind w:left="6480" w:hanging="180"/>
      </w:pPr>
    </w:lvl>
  </w:abstractNum>
  <w:abstractNum w:abstractNumId="158" w15:restartNumberingAfterBreak="0">
    <w:nsid w:val="70500DE9"/>
    <w:multiLevelType w:val="hybridMultilevel"/>
    <w:tmpl w:val="C332FCB4"/>
    <w:lvl w:ilvl="0" w:tplc="7AACA2A8">
      <w:start w:val="1"/>
      <w:numFmt w:val="lowerRoman"/>
      <w:lvlText w:val="%1)"/>
      <w:lvlJc w:val="left"/>
      <w:pPr>
        <w:ind w:left="1080" w:hanging="360"/>
      </w:pPr>
    </w:lvl>
    <w:lvl w:ilvl="1" w:tplc="FFFFFFFF">
      <w:start w:val="1"/>
      <w:numFmt w:val="lowerRoman"/>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Roman"/>
      <w:lvlText w:val="%5."/>
      <w:lvlJc w:val="righ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59" w15:restartNumberingAfterBreak="0">
    <w:nsid w:val="70EC6B5A"/>
    <w:multiLevelType w:val="multilevel"/>
    <w:tmpl w:val="74184A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0" w15:restartNumberingAfterBreak="0">
    <w:nsid w:val="7147794F"/>
    <w:multiLevelType w:val="multilevel"/>
    <w:tmpl w:val="5BFC6C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1" w15:restartNumberingAfterBreak="0">
    <w:nsid w:val="726E3DB0"/>
    <w:multiLevelType w:val="hybridMultilevel"/>
    <w:tmpl w:val="A7B0B03C"/>
    <w:lvl w:ilvl="0" w:tplc="2772B242">
      <w:start w:val="1"/>
      <w:numFmt w:val="bullet"/>
      <w:lvlText w:val="-"/>
      <w:lvlJc w:val="left"/>
      <w:pPr>
        <w:ind w:left="720" w:hanging="360"/>
      </w:pPr>
      <w:rPr>
        <w:rFonts w:ascii="Times New Roman" w:hAnsi="Times New Roman" w:hint="default"/>
      </w:rPr>
    </w:lvl>
    <w:lvl w:ilvl="1" w:tplc="2C5C2814">
      <w:start w:val="1"/>
      <w:numFmt w:val="bullet"/>
      <w:lvlText w:val="o"/>
      <w:lvlJc w:val="left"/>
      <w:pPr>
        <w:ind w:left="1440" w:hanging="360"/>
      </w:pPr>
      <w:rPr>
        <w:rFonts w:ascii="Courier New" w:hAnsi="Courier New" w:hint="default"/>
      </w:rPr>
    </w:lvl>
    <w:lvl w:ilvl="2" w:tplc="EF3A4B28">
      <w:start w:val="1"/>
      <w:numFmt w:val="bullet"/>
      <w:lvlText w:val=""/>
      <w:lvlJc w:val="left"/>
      <w:pPr>
        <w:ind w:left="2160" w:hanging="360"/>
      </w:pPr>
      <w:rPr>
        <w:rFonts w:ascii="Wingdings" w:hAnsi="Wingdings" w:hint="default"/>
      </w:rPr>
    </w:lvl>
    <w:lvl w:ilvl="3" w:tplc="942CFA6A">
      <w:start w:val="1"/>
      <w:numFmt w:val="bullet"/>
      <w:lvlText w:val=""/>
      <w:lvlJc w:val="left"/>
      <w:pPr>
        <w:ind w:left="2880" w:hanging="360"/>
      </w:pPr>
      <w:rPr>
        <w:rFonts w:ascii="Symbol" w:hAnsi="Symbol" w:hint="default"/>
      </w:rPr>
    </w:lvl>
    <w:lvl w:ilvl="4" w:tplc="5D54CC84">
      <w:start w:val="1"/>
      <w:numFmt w:val="bullet"/>
      <w:lvlText w:val="o"/>
      <w:lvlJc w:val="left"/>
      <w:pPr>
        <w:ind w:left="3600" w:hanging="360"/>
      </w:pPr>
      <w:rPr>
        <w:rFonts w:ascii="Courier New" w:hAnsi="Courier New" w:hint="default"/>
      </w:rPr>
    </w:lvl>
    <w:lvl w:ilvl="5" w:tplc="95C8C3A0">
      <w:start w:val="1"/>
      <w:numFmt w:val="bullet"/>
      <w:lvlText w:val=""/>
      <w:lvlJc w:val="left"/>
      <w:pPr>
        <w:ind w:left="4320" w:hanging="360"/>
      </w:pPr>
      <w:rPr>
        <w:rFonts w:ascii="Wingdings" w:hAnsi="Wingdings" w:hint="default"/>
      </w:rPr>
    </w:lvl>
    <w:lvl w:ilvl="6" w:tplc="6A747202">
      <w:start w:val="1"/>
      <w:numFmt w:val="bullet"/>
      <w:lvlText w:val=""/>
      <w:lvlJc w:val="left"/>
      <w:pPr>
        <w:ind w:left="5040" w:hanging="360"/>
      </w:pPr>
      <w:rPr>
        <w:rFonts w:ascii="Symbol" w:hAnsi="Symbol" w:hint="default"/>
      </w:rPr>
    </w:lvl>
    <w:lvl w:ilvl="7" w:tplc="57FE375A">
      <w:start w:val="1"/>
      <w:numFmt w:val="bullet"/>
      <w:lvlText w:val="o"/>
      <w:lvlJc w:val="left"/>
      <w:pPr>
        <w:ind w:left="5760" w:hanging="360"/>
      </w:pPr>
      <w:rPr>
        <w:rFonts w:ascii="Courier New" w:hAnsi="Courier New" w:hint="default"/>
      </w:rPr>
    </w:lvl>
    <w:lvl w:ilvl="8" w:tplc="D9FAF818">
      <w:start w:val="1"/>
      <w:numFmt w:val="bullet"/>
      <w:lvlText w:val=""/>
      <w:lvlJc w:val="left"/>
      <w:pPr>
        <w:ind w:left="6480" w:hanging="360"/>
      </w:pPr>
      <w:rPr>
        <w:rFonts w:ascii="Wingdings" w:hAnsi="Wingdings" w:hint="default"/>
      </w:rPr>
    </w:lvl>
  </w:abstractNum>
  <w:abstractNum w:abstractNumId="162" w15:restartNumberingAfterBreak="0">
    <w:nsid w:val="73C1CF8D"/>
    <w:multiLevelType w:val="hybridMultilevel"/>
    <w:tmpl w:val="64CC4E1E"/>
    <w:lvl w:ilvl="0" w:tplc="52261034">
      <w:start w:val="1"/>
      <w:numFmt w:val="decimal"/>
      <w:lvlText w:val="%1."/>
      <w:lvlJc w:val="left"/>
      <w:pPr>
        <w:ind w:left="720" w:hanging="360"/>
      </w:pPr>
      <w:rPr>
        <w:rFonts w:asciiTheme="minorHAnsi" w:eastAsiaTheme="minorEastAsia" w:hAnsiTheme="minorHAnsi" w:cstheme="minorBidi"/>
      </w:rPr>
    </w:lvl>
    <w:lvl w:ilvl="1" w:tplc="FBEE5E8E">
      <w:start w:val="1"/>
      <w:numFmt w:val="lowerLetter"/>
      <w:lvlText w:val="%2."/>
      <w:lvlJc w:val="left"/>
      <w:pPr>
        <w:ind w:left="1440" w:hanging="360"/>
      </w:pPr>
    </w:lvl>
    <w:lvl w:ilvl="2" w:tplc="0CC07B38">
      <w:start w:val="1"/>
      <w:numFmt w:val="lowerRoman"/>
      <w:lvlText w:val="%3."/>
      <w:lvlJc w:val="right"/>
      <w:pPr>
        <w:ind w:left="2160" w:hanging="180"/>
      </w:pPr>
    </w:lvl>
    <w:lvl w:ilvl="3" w:tplc="8D1E583A">
      <w:start w:val="1"/>
      <w:numFmt w:val="decimal"/>
      <w:lvlText w:val="%4."/>
      <w:lvlJc w:val="left"/>
      <w:pPr>
        <w:ind w:left="2880" w:hanging="360"/>
      </w:pPr>
    </w:lvl>
    <w:lvl w:ilvl="4" w:tplc="112C34FC">
      <w:start w:val="1"/>
      <w:numFmt w:val="lowerLetter"/>
      <w:lvlText w:val="%5."/>
      <w:lvlJc w:val="left"/>
      <w:pPr>
        <w:ind w:left="3600" w:hanging="360"/>
      </w:pPr>
    </w:lvl>
    <w:lvl w:ilvl="5" w:tplc="129C42EC">
      <w:start w:val="1"/>
      <w:numFmt w:val="lowerRoman"/>
      <w:lvlText w:val="%6."/>
      <w:lvlJc w:val="right"/>
      <w:pPr>
        <w:ind w:left="4320" w:hanging="180"/>
      </w:pPr>
    </w:lvl>
    <w:lvl w:ilvl="6" w:tplc="CCECFC04">
      <w:start w:val="1"/>
      <w:numFmt w:val="decimal"/>
      <w:lvlText w:val="%7."/>
      <w:lvlJc w:val="left"/>
      <w:pPr>
        <w:ind w:left="5040" w:hanging="360"/>
      </w:pPr>
    </w:lvl>
    <w:lvl w:ilvl="7" w:tplc="E0CC8CB6">
      <w:start w:val="1"/>
      <w:numFmt w:val="lowerLetter"/>
      <w:lvlText w:val="%8."/>
      <w:lvlJc w:val="left"/>
      <w:pPr>
        <w:ind w:left="5760" w:hanging="360"/>
      </w:pPr>
    </w:lvl>
    <w:lvl w:ilvl="8" w:tplc="CB74BC48">
      <w:start w:val="1"/>
      <w:numFmt w:val="lowerRoman"/>
      <w:lvlText w:val="%9."/>
      <w:lvlJc w:val="right"/>
      <w:pPr>
        <w:ind w:left="6480" w:hanging="180"/>
      </w:pPr>
    </w:lvl>
  </w:abstractNum>
  <w:abstractNum w:abstractNumId="163" w15:restartNumberingAfterBreak="0">
    <w:nsid w:val="749962A2"/>
    <w:multiLevelType w:val="multilevel"/>
    <w:tmpl w:val="2A64BEB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4DB51AE"/>
    <w:multiLevelType w:val="multilevel"/>
    <w:tmpl w:val="3D8EE4A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75B42F6"/>
    <w:multiLevelType w:val="multilevel"/>
    <w:tmpl w:val="4108276A"/>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7B4096C"/>
    <w:multiLevelType w:val="multilevel"/>
    <w:tmpl w:val="3AAC5D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8035C2B"/>
    <w:multiLevelType w:val="multilevel"/>
    <w:tmpl w:val="8DD0E414"/>
    <w:lvl w:ilvl="0">
      <w:start w:val="1"/>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8" w15:restartNumberingAfterBreak="0">
    <w:nsid w:val="78F52CEA"/>
    <w:multiLevelType w:val="multilevel"/>
    <w:tmpl w:val="B0AE74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9" w15:restartNumberingAfterBreak="0">
    <w:nsid w:val="7A433833"/>
    <w:multiLevelType w:val="multilevel"/>
    <w:tmpl w:val="07861A5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A7B1B60"/>
    <w:multiLevelType w:val="multilevel"/>
    <w:tmpl w:val="171A81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BAF443A"/>
    <w:multiLevelType w:val="multilevel"/>
    <w:tmpl w:val="50D0A7EE"/>
    <w:lvl w:ilvl="0">
      <w:start w:val="2"/>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2" w15:restartNumberingAfterBreak="0">
    <w:nsid w:val="7CC32008"/>
    <w:multiLevelType w:val="multilevel"/>
    <w:tmpl w:val="C504C8D4"/>
    <w:lvl w:ilvl="0">
      <w:start w:val="3"/>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3" w15:restartNumberingAfterBreak="0">
    <w:nsid w:val="7D074BBF"/>
    <w:multiLevelType w:val="hybridMultilevel"/>
    <w:tmpl w:val="2D7ECAD6"/>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4" w15:restartNumberingAfterBreak="0">
    <w:nsid w:val="7DD80C13"/>
    <w:multiLevelType w:val="multilevel"/>
    <w:tmpl w:val="ACC0AC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E305806"/>
    <w:multiLevelType w:val="multilevel"/>
    <w:tmpl w:val="FC8870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E4B4F6F"/>
    <w:multiLevelType w:val="multilevel"/>
    <w:tmpl w:val="2786CA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ED343C7"/>
    <w:multiLevelType w:val="multilevel"/>
    <w:tmpl w:val="D930C450"/>
    <w:lvl w:ilvl="0">
      <w:start w:val="7"/>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8" w15:restartNumberingAfterBreak="0">
    <w:nsid w:val="7FBA5B10"/>
    <w:multiLevelType w:val="hybridMultilevel"/>
    <w:tmpl w:val="9D6EFCA6"/>
    <w:lvl w:ilvl="0" w:tplc="AF74AC66">
      <w:start w:val="1"/>
      <w:numFmt w:val="bullet"/>
      <w:lvlText w:val="-"/>
      <w:lvlJc w:val="left"/>
      <w:pPr>
        <w:ind w:left="360" w:hanging="360"/>
      </w:pPr>
      <w:rPr>
        <w:rFonts w:ascii="Times New Roman" w:hAnsi="Times New Roman" w:cs="Times New Roman"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9" w15:restartNumberingAfterBreak="0">
    <w:nsid w:val="7FDB5525"/>
    <w:multiLevelType w:val="multilevel"/>
    <w:tmpl w:val="0088D46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2"/>
  </w:num>
  <w:num w:numId="2">
    <w:abstractNumId w:val="4"/>
  </w:num>
  <w:num w:numId="3">
    <w:abstractNumId w:val="3"/>
    <w:lvlOverride w:ilvl="0">
      <w:startOverride w:val="1"/>
    </w:lvlOverride>
  </w:num>
  <w:num w:numId="4">
    <w:abstractNumId w:val="2"/>
    <w:lvlOverride w:ilvl="0">
      <w:startOverride w:val="1"/>
    </w:lvlOverride>
  </w:num>
  <w:num w:numId="5">
    <w:abstractNumId w:val="1"/>
    <w:lvlOverride w:ilvl="0">
      <w:startOverride w:val="1"/>
    </w:lvlOverride>
  </w:num>
  <w:num w:numId="6">
    <w:abstractNumId w:val="0"/>
    <w:lvlOverride w:ilvl="0">
      <w:startOverride w:val="1"/>
    </w:lvlOverride>
  </w:num>
  <w:num w:numId="7">
    <w:abstractNumId w:val="123"/>
  </w:num>
  <w:num w:numId="8">
    <w:abstractNumId w:val="83"/>
  </w:num>
  <w:num w:numId="9">
    <w:abstractNumId w:val="138"/>
  </w:num>
  <w:num w:numId="10">
    <w:abstractNumId w:val="57"/>
  </w:num>
  <w:num w:numId="11">
    <w:abstractNumId w:val="85"/>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0"/>
  </w:num>
  <w:num w:numId="15">
    <w:abstractNumId w:val="120"/>
  </w:num>
  <w:num w:numId="16">
    <w:abstractNumId w:val="122"/>
  </w:num>
  <w:num w:numId="17">
    <w:abstractNumId w:val="113"/>
  </w:num>
  <w:num w:numId="1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1"/>
  </w:num>
  <w:num w:numId="20">
    <w:abstractNumId w:val="54"/>
  </w:num>
  <w:num w:numId="21">
    <w:abstractNumId w:val="135"/>
  </w:num>
  <w:num w:numId="22">
    <w:abstractNumId w:val="91"/>
  </w:num>
  <w:num w:numId="23">
    <w:abstractNumId w:val="149"/>
  </w:num>
  <w:num w:numId="24">
    <w:abstractNumId w:val="43"/>
  </w:num>
  <w:num w:numId="25">
    <w:abstractNumId w:val="47"/>
  </w:num>
  <w:num w:numId="26">
    <w:abstractNumId w:val="80"/>
  </w:num>
  <w:num w:numId="27">
    <w:abstractNumId w:val="31"/>
  </w:num>
  <w:num w:numId="28">
    <w:abstractNumId w:val="26"/>
  </w:num>
  <w:num w:numId="29">
    <w:abstractNumId w:val="107"/>
  </w:num>
  <w:num w:numId="30">
    <w:abstractNumId w:val="17"/>
  </w:num>
  <w:num w:numId="31">
    <w:abstractNumId w:val="20"/>
  </w:num>
  <w:num w:numId="32">
    <w:abstractNumId w:val="116"/>
  </w:num>
  <w:num w:numId="33">
    <w:abstractNumId w:val="15"/>
  </w:num>
  <w:num w:numId="34">
    <w:abstractNumId w:val="7"/>
  </w:num>
  <w:num w:numId="35">
    <w:abstractNumId w:val="110"/>
  </w:num>
  <w:num w:numId="36">
    <w:abstractNumId w:val="56"/>
  </w:num>
  <w:num w:numId="37">
    <w:abstractNumId w:val="65"/>
  </w:num>
  <w:num w:numId="38">
    <w:abstractNumId w:val="100"/>
  </w:num>
  <w:num w:numId="39">
    <w:abstractNumId w:val="81"/>
  </w:num>
  <w:num w:numId="40">
    <w:abstractNumId w:val="44"/>
  </w:num>
  <w:num w:numId="41">
    <w:abstractNumId w:val="63"/>
  </w:num>
  <w:num w:numId="42">
    <w:abstractNumId w:val="84"/>
  </w:num>
  <w:num w:numId="43">
    <w:abstractNumId w:val="127"/>
  </w:num>
  <w:num w:numId="44">
    <w:abstractNumId w:val="140"/>
  </w:num>
  <w:num w:numId="45">
    <w:abstractNumId w:val="150"/>
  </w:num>
  <w:num w:numId="46">
    <w:abstractNumId w:val="24"/>
  </w:num>
  <w:num w:numId="47">
    <w:abstractNumId w:val="35"/>
  </w:num>
  <w:num w:numId="48">
    <w:abstractNumId w:val="41"/>
  </w:num>
  <w:num w:numId="49">
    <w:abstractNumId w:val="50"/>
  </w:num>
  <w:num w:numId="50">
    <w:abstractNumId w:val="76"/>
  </w:num>
  <w:num w:numId="51">
    <w:abstractNumId w:val="157"/>
  </w:num>
  <w:num w:numId="52">
    <w:abstractNumId w:val="34"/>
  </w:num>
  <w:num w:numId="53">
    <w:abstractNumId w:val="58"/>
  </w:num>
  <w:num w:numId="54">
    <w:abstractNumId w:val="125"/>
  </w:num>
  <w:num w:numId="55">
    <w:abstractNumId w:val="60"/>
  </w:num>
  <w:num w:numId="56">
    <w:abstractNumId w:val="98"/>
  </w:num>
  <w:num w:numId="57">
    <w:abstractNumId w:val="11"/>
  </w:num>
  <w:num w:numId="58">
    <w:abstractNumId w:val="136"/>
  </w:num>
  <w:num w:numId="59">
    <w:abstractNumId w:val="12"/>
  </w:num>
  <w:num w:numId="60">
    <w:abstractNumId w:val="69"/>
  </w:num>
  <w:num w:numId="61">
    <w:abstractNumId w:val="158"/>
  </w:num>
  <w:num w:numId="62">
    <w:abstractNumId w:val="28"/>
  </w:num>
  <w:num w:numId="63">
    <w:abstractNumId w:val="156"/>
  </w:num>
  <w:num w:numId="64">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1"/>
  </w:num>
  <w:num w:numId="66">
    <w:abstractNumId w:val="36"/>
  </w:num>
  <w:num w:numId="67">
    <w:abstractNumId w:val="108"/>
  </w:num>
  <w:num w:numId="68">
    <w:abstractNumId w:val="95"/>
  </w:num>
  <w:num w:numId="69">
    <w:abstractNumId w:val="101"/>
  </w:num>
  <w:num w:numId="70">
    <w:abstractNumId w:val="173"/>
  </w:num>
  <w:num w:numId="71">
    <w:abstractNumId w:val="93"/>
  </w:num>
  <w:num w:numId="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0"/>
  </w:num>
  <w:num w:numId="74">
    <w:abstractNumId w:val="102"/>
  </w:num>
  <w:num w:numId="75">
    <w:abstractNumId w:val="86"/>
  </w:num>
  <w:num w:numId="76">
    <w:abstractNumId w:val="145"/>
  </w:num>
  <w:num w:numId="77">
    <w:abstractNumId w:val="152"/>
  </w:num>
  <w:num w:numId="78">
    <w:abstractNumId w:val="162"/>
  </w:num>
  <w:num w:numId="79">
    <w:abstractNumId w:val="8"/>
  </w:num>
  <w:num w:numId="80">
    <w:abstractNumId w:val="111"/>
  </w:num>
  <w:num w:numId="81">
    <w:abstractNumId w:val="118"/>
  </w:num>
  <w:num w:numId="82">
    <w:abstractNumId w:val="112"/>
  </w:num>
  <w:num w:numId="83">
    <w:abstractNumId w:val="106"/>
  </w:num>
  <w:num w:numId="84">
    <w:abstractNumId w:val="52"/>
  </w:num>
  <w:num w:numId="85">
    <w:abstractNumId w:val="114"/>
  </w:num>
  <w:num w:numId="86">
    <w:abstractNumId w:val="178"/>
  </w:num>
  <w:num w:numId="87">
    <w:abstractNumId w:val="92"/>
  </w:num>
  <w:num w:numId="88">
    <w:abstractNumId w:val="10"/>
  </w:num>
  <w:num w:numId="89">
    <w:abstractNumId w:val="53"/>
  </w:num>
  <w:num w:numId="90">
    <w:abstractNumId w:val="131"/>
  </w:num>
  <w:num w:numId="91">
    <w:abstractNumId w:val="82"/>
    <w:lvlOverride w:ilvl="0">
      <w:startOverride w:val="1"/>
    </w:lvlOverride>
    <w:lvlOverride w:ilvl="1">
      <w:startOverride w:val="1"/>
    </w:lvlOverride>
    <w:lvlOverride w:ilvl="2"/>
    <w:lvlOverride w:ilvl="3"/>
    <w:lvlOverride w:ilvl="4"/>
    <w:lvlOverride w:ilvl="5"/>
    <w:lvlOverride w:ilvl="6"/>
    <w:lvlOverride w:ilvl="7"/>
    <w:lvlOverride w:ilvl="8"/>
  </w:num>
  <w:num w:numId="92">
    <w:abstractNumId w:val="97"/>
  </w:num>
  <w:num w:numId="93">
    <w:abstractNumId w:val="103"/>
  </w:num>
  <w:num w:numId="9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7"/>
  </w:num>
  <w:num w:numId="96">
    <w:abstractNumId w:val="139"/>
  </w:num>
  <w:num w:numId="97">
    <w:abstractNumId w:val="51"/>
  </w:num>
  <w:num w:numId="98">
    <w:abstractNumId w:val="129"/>
  </w:num>
  <w:num w:numId="99">
    <w:abstractNumId w:val="134"/>
  </w:num>
  <w:num w:numId="100">
    <w:abstractNumId w:val="78"/>
  </w:num>
  <w:num w:numId="101">
    <w:abstractNumId w:val="64"/>
  </w:num>
  <w:num w:numId="102">
    <w:abstractNumId w:val="130"/>
  </w:num>
  <w:num w:numId="103">
    <w:abstractNumId w:val="88"/>
  </w:num>
  <w:num w:numId="104">
    <w:abstractNumId w:val="21"/>
  </w:num>
  <w:num w:numId="105">
    <w:abstractNumId w:val="154"/>
  </w:num>
  <w:num w:numId="106">
    <w:abstractNumId w:val="143"/>
  </w:num>
  <w:num w:numId="107">
    <w:abstractNumId w:val="119"/>
  </w:num>
  <w:num w:numId="108">
    <w:abstractNumId w:val="67"/>
  </w:num>
  <w:num w:numId="109">
    <w:abstractNumId w:val="5"/>
  </w:num>
  <w:num w:numId="110">
    <w:abstractNumId w:val="68"/>
  </w:num>
  <w:num w:numId="111">
    <w:abstractNumId w:val="30"/>
  </w:num>
  <w:num w:numId="112">
    <w:abstractNumId w:val="159"/>
  </w:num>
  <w:num w:numId="113">
    <w:abstractNumId w:val="27"/>
  </w:num>
  <w:num w:numId="114">
    <w:abstractNumId w:val="22"/>
  </w:num>
  <w:num w:numId="115">
    <w:abstractNumId w:val="45"/>
  </w:num>
  <w:num w:numId="116">
    <w:abstractNumId w:val="74"/>
  </w:num>
  <w:num w:numId="117">
    <w:abstractNumId w:val="75"/>
  </w:num>
  <w:num w:numId="118">
    <w:abstractNumId w:val="148"/>
  </w:num>
  <w:num w:numId="119">
    <w:abstractNumId w:val="155"/>
  </w:num>
  <w:num w:numId="120">
    <w:abstractNumId w:val="160"/>
  </w:num>
  <w:num w:numId="121">
    <w:abstractNumId w:val="71"/>
  </w:num>
  <w:num w:numId="122">
    <w:abstractNumId w:val="166"/>
  </w:num>
  <w:num w:numId="123">
    <w:abstractNumId w:val="176"/>
  </w:num>
  <w:num w:numId="124">
    <w:abstractNumId w:val="29"/>
  </w:num>
  <w:num w:numId="125">
    <w:abstractNumId w:val="19"/>
  </w:num>
  <w:num w:numId="126">
    <w:abstractNumId w:val="168"/>
  </w:num>
  <w:num w:numId="127">
    <w:abstractNumId w:val="38"/>
  </w:num>
  <w:num w:numId="128">
    <w:abstractNumId w:val="42"/>
  </w:num>
  <w:num w:numId="129">
    <w:abstractNumId w:val="167"/>
  </w:num>
  <w:num w:numId="130">
    <w:abstractNumId w:val="171"/>
  </w:num>
  <w:num w:numId="131">
    <w:abstractNumId w:val="172"/>
  </w:num>
  <w:num w:numId="132">
    <w:abstractNumId w:val="14"/>
  </w:num>
  <w:num w:numId="133">
    <w:abstractNumId w:val="32"/>
  </w:num>
  <w:num w:numId="134">
    <w:abstractNumId w:val="109"/>
  </w:num>
  <w:num w:numId="135">
    <w:abstractNumId w:val="177"/>
  </w:num>
  <w:num w:numId="136">
    <w:abstractNumId w:val="137"/>
  </w:num>
  <w:num w:numId="137">
    <w:abstractNumId w:val="121"/>
  </w:num>
  <w:num w:numId="138">
    <w:abstractNumId w:val="105"/>
  </w:num>
  <w:num w:numId="139">
    <w:abstractNumId w:val="128"/>
  </w:num>
  <w:num w:numId="140">
    <w:abstractNumId w:val="46"/>
  </w:num>
  <w:num w:numId="141">
    <w:abstractNumId w:val="164"/>
  </w:num>
  <w:num w:numId="142">
    <w:abstractNumId w:val="55"/>
  </w:num>
  <w:num w:numId="143">
    <w:abstractNumId w:val="144"/>
  </w:num>
  <w:num w:numId="144">
    <w:abstractNumId w:val="175"/>
  </w:num>
  <w:num w:numId="145">
    <w:abstractNumId w:val="124"/>
  </w:num>
  <w:num w:numId="146">
    <w:abstractNumId w:val="179"/>
  </w:num>
  <w:num w:numId="147">
    <w:abstractNumId w:val="49"/>
  </w:num>
  <w:num w:numId="148">
    <w:abstractNumId w:val="99"/>
  </w:num>
  <w:num w:numId="149">
    <w:abstractNumId w:val="165"/>
  </w:num>
  <w:num w:numId="150">
    <w:abstractNumId w:val="37"/>
  </w:num>
  <w:num w:numId="151">
    <w:abstractNumId w:val="94"/>
  </w:num>
  <w:num w:numId="152">
    <w:abstractNumId w:val="104"/>
  </w:num>
  <w:num w:numId="153">
    <w:abstractNumId w:val="170"/>
  </w:num>
  <w:num w:numId="154">
    <w:abstractNumId w:val="13"/>
  </w:num>
  <w:num w:numId="155">
    <w:abstractNumId w:val="115"/>
  </w:num>
  <w:num w:numId="156">
    <w:abstractNumId w:val="151"/>
  </w:num>
  <w:num w:numId="157">
    <w:abstractNumId w:val="16"/>
  </w:num>
  <w:num w:numId="158">
    <w:abstractNumId w:val="66"/>
  </w:num>
  <w:num w:numId="159">
    <w:abstractNumId w:val="62"/>
  </w:num>
  <w:num w:numId="160">
    <w:abstractNumId w:val="117"/>
  </w:num>
  <w:num w:numId="161">
    <w:abstractNumId w:val="87"/>
  </w:num>
  <w:num w:numId="162">
    <w:abstractNumId w:val="48"/>
  </w:num>
  <w:num w:numId="163">
    <w:abstractNumId w:val="59"/>
  </w:num>
  <w:num w:numId="164">
    <w:abstractNumId w:val="163"/>
  </w:num>
  <w:num w:numId="165">
    <w:abstractNumId w:val="169"/>
  </w:num>
  <w:num w:numId="166">
    <w:abstractNumId w:val="126"/>
  </w:num>
  <w:num w:numId="167">
    <w:abstractNumId w:val="9"/>
  </w:num>
  <w:num w:numId="168">
    <w:abstractNumId w:val="79"/>
  </w:num>
  <w:num w:numId="169">
    <w:abstractNumId w:val="142"/>
  </w:num>
  <w:num w:numId="170">
    <w:abstractNumId w:val="72"/>
  </w:num>
  <w:num w:numId="171">
    <w:abstractNumId w:val="146"/>
  </w:num>
  <w:num w:numId="17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
  </w:num>
  <w:num w:numId="174">
    <w:abstractNumId w:val="174"/>
  </w:num>
  <w:num w:numId="175">
    <w:abstractNumId w:val="6"/>
  </w:num>
  <w:num w:numId="176">
    <w:abstractNumId w:val="25"/>
  </w:num>
  <w:num w:numId="17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96"/>
  </w:num>
  <w:num w:numId="179">
    <w:abstractNumId w:val="133"/>
  </w:num>
  <w:num w:numId="180">
    <w:abstractNumId w:val="39"/>
  </w:num>
  <w:num w:numId="181">
    <w:abstractNumId w:val="89"/>
  </w:num>
  <w:num w:numId="182">
    <w:abstractNumId w:val="61"/>
  </w:num>
  <w:num w:numId="183">
    <w:abstractNumId w:val="147"/>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docVars>
    <w:docVar w:name="DocStatus" w:val="Green"/>
    <w:docVar w:name="LW_ACCOMPAGNANT.CP" w:val="k"/>
    <w:docVar w:name="LW_ANNEX_NBR_FIRST" w:val="1"/>
    <w:docVar w:name="LW_ANNEX_NBR_LAST" w:val="1"/>
    <w:docVar w:name="LW_ANNEX_UNIQUE" w:val="1"/>
    <w:docVar w:name="LW_CORRIGENDUM" w:val="&lt;UNUSED&gt;"/>
    <w:docVar w:name="LW_COVERPAGE_EXISTS" w:val="True"/>
    <w:docVar w:name="LW_COVERPAGE_GUID" w:val="59C50CD7-A0A2-4F61-BB37-6512A3FBBF17"/>
    <w:docVar w:name="LW_COVERPAGE_TYPE" w:val="1"/>
    <w:docVar w:name="LW_CROSSREFERENCE" w:val="{SWD(2025) 348 final}"/>
    <w:docVar w:name="LW_DocType" w:val="NORMAL"/>
    <w:docVar w:name="LW_EMISSION" w:val="4. 11. 2025"/>
    <w:docVar w:name="LW_EMISSION_ISODATE" w:val="2025-11-04"/>
    <w:docVar w:name="LW_EMISSION_LOCATION" w:val="BRX"/>
    <w:docVar w:name="LW_EMISSION_PREFIX" w:val="V Bruseli"/>
    <w:docVar w:name="LW_EMISSION_SUFFIX" w:val=" "/>
    <w:docVar w:name="LW_ID_DOCTYPE_NONLW" w:val="CP-036"/>
    <w:docVar w:name="LW_LANGUE" w:val="SK"/>
    <w:docVar w:name="LW_LEVEL_OF_SENSITIVITY" w:val="Standard treatment"/>
    <w:docVar w:name="LW_NOM.INST" w:val="EURÓPSKA KOMISIA"/>
    <w:docVar w:name="LW_NOM.INST_JOINTDOC" w:val="&lt;EMPTY&gt;"/>
    <w:docVar w:name="LW_OBJETACTEPRINCIPAL.CP" w:val="ktorým sa mení vykonávacie rozhodnutie (EÚ) (ST 10160/21 INIT; ST 10160/21 ADD 1 REV 2) z 13. júla 2021 o schválení posúdenia plánu obnovy a odolnosti Talianska"/>
    <w:docVar w:name="LW_PART_NBR" w:val="1"/>
    <w:docVar w:name="LW_PART_NBR_TOTAL" w:val="1"/>
    <w:docVar w:name="LW_REF.INST.NEW" w:val="COM"/>
    <w:docVar w:name="LW_REF.INST.NEW_ADOPTED" w:val="final"/>
    <w:docVar w:name="LW_REF.INST.NEW_TEXT" w:val="(2025) 6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PRÍLOHA_x000b_"/>
    <w:docVar w:name="LW_TYPEACTEPRINCIPAL.CP" w:val="Návrhu VYKONÁVACIEHO ROZHODNUTIA RADY,"/>
    <w:docVar w:name="LwApiVersions" w:val="LW4CoDe 1.24.5.0; LW 9.0, Build 20240221"/>
  </w:docVars>
  <w:rsids>
    <w:rsidRoot w:val="005F11B9"/>
    <w:rsid w:val="00002D35"/>
    <w:rsid w:val="00003331"/>
    <w:rsid w:val="000045F8"/>
    <w:rsid w:val="000046D1"/>
    <w:rsid w:val="0000520F"/>
    <w:rsid w:val="00005B4E"/>
    <w:rsid w:val="00005CFC"/>
    <w:rsid w:val="00005D93"/>
    <w:rsid w:val="00006F68"/>
    <w:rsid w:val="00007428"/>
    <w:rsid w:val="00010049"/>
    <w:rsid w:val="0001086F"/>
    <w:rsid w:val="00010AAB"/>
    <w:rsid w:val="00011BBC"/>
    <w:rsid w:val="000127E4"/>
    <w:rsid w:val="00012AD5"/>
    <w:rsid w:val="00012AE0"/>
    <w:rsid w:val="000139C1"/>
    <w:rsid w:val="00013B43"/>
    <w:rsid w:val="00013FF7"/>
    <w:rsid w:val="0001501B"/>
    <w:rsid w:val="000151F3"/>
    <w:rsid w:val="00015BE9"/>
    <w:rsid w:val="000160FB"/>
    <w:rsid w:val="00016772"/>
    <w:rsid w:val="00016814"/>
    <w:rsid w:val="00016B85"/>
    <w:rsid w:val="00020304"/>
    <w:rsid w:val="0002168D"/>
    <w:rsid w:val="0002188F"/>
    <w:rsid w:val="000227E5"/>
    <w:rsid w:val="000231F5"/>
    <w:rsid w:val="00023F01"/>
    <w:rsid w:val="00023F6C"/>
    <w:rsid w:val="00024486"/>
    <w:rsid w:val="00024CD7"/>
    <w:rsid w:val="00027C2E"/>
    <w:rsid w:val="00031762"/>
    <w:rsid w:val="00033401"/>
    <w:rsid w:val="00033488"/>
    <w:rsid w:val="00033A8F"/>
    <w:rsid w:val="00033F99"/>
    <w:rsid w:val="00040B0B"/>
    <w:rsid w:val="0004231D"/>
    <w:rsid w:val="000441DF"/>
    <w:rsid w:val="00044906"/>
    <w:rsid w:val="00045D59"/>
    <w:rsid w:val="0004650C"/>
    <w:rsid w:val="00046BB5"/>
    <w:rsid w:val="00046FB7"/>
    <w:rsid w:val="00047AC0"/>
    <w:rsid w:val="0005099B"/>
    <w:rsid w:val="000535D8"/>
    <w:rsid w:val="00054FE6"/>
    <w:rsid w:val="00055022"/>
    <w:rsid w:val="000575C8"/>
    <w:rsid w:val="00062607"/>
    <w:rsid w:val="00063D6B"/>
    <w:rsid w:val="00063F38"/>
    <w:rsid w:val="00064171"/>
    <w:rsid w:val="00064C51"/>
    <w:rsid w:val="00065232"/>
    <w:rsid w:val="000652FA"/>
    <w:rsid w:val="00066684"/>
    <w:rsid w:val="00070F81"/>
    <w:rsid w:val="00071CBC"/>
    <w:rsid w:val="000731AB"/>
    <w:rsid w:val="00073D25"/>
    <w:rsid w:val="00075BC6"/>
    <w:rsid w:val="0007763B"/>
    <w:rsid w:val="00077C92"/>
    <w:rsid w:val="00077FC0"/>
    <w:rsid w:val="00081DBF"/>
    <w:rsid w:val="00083214"/>
    <w:rsid w:val="000836CB"/>
    <w:rsid w:val="00084355"/>
    <w:rsid w:val="00084B52"/>
    <w:rsid w:val="00084CF1"/>
    <w:rsid w:val="00084E39"/>
    <w:rsid w:val="000863B7"/>
    <w:rsid w:val="0008660A"/>
    <w:rsid w:val="00086C32"/>
    <w:rsid w:val="00087106"/>
    <w:rsid w:val="000875B6"/>
    <w:rsid w:val="0008772F"/>
    <w:rsid w:val="00090047"/>
    <w:rsid w:val="00090356"/>
    <w:rsid w:val="00091037"/>
    <w:rsid w:val="000910A5"/>
    <w:rsid w:val="000924AE"/>
    <w:rsid w:val="0009390A"/>
    <w:rsid w:val="00093A7D"/>
    <w:rsid w:val="00093BAE"/>
    <w:rsid w:val="00093FAD"/>
    <w:rsid w:val="00095862"/>
    <w:rsid w:val="00095FD4"/>
    <w:rsid w:val="000960BC"/>
    <w:rsid w:val="00096333"/>
    <w:rsid w:val="0009642D"/>
    <w:rsid w:val="00096A44"/>
    <w:rsid w:val="000A063D"/>
    <w:rsid w:val="000A0C94"/>
    <w:rsid w:val="000A2BFE"/>
    <w:rsid w:val="000A3592"/>
    <w:rsid w:val="000A4766"/>
    <w:rsid w:val="000A49F1"/>
    <w:rsid w:val="000A4B43"/>
    <w:rsid w:val="000A4F4B"/>
    <w:rsid w:val="000A505A"/>
    <w:rsid w:val="000B0B71"/>
    <w:rsid w:val="000B26DD"/>
    <w:rsid w:val="000B29DF"/>
    <w:rsid w:val="000B2B63"/>
    <w:rsid w:val="000B5792"/>
    <w:rsid w:val="000B5C3E"/>
    <w:rsid w:val="000B69B9"/>
    <w:rsid w:val="000B6AFB"/>
    <w:rsid w:val="000B6C74"/>
    <w:rsid w:val="000C0482"/>
    <w:rsid w:val="000C0B5B"/>
    <w:rsid w:val="000C15EE"/>
    <w:rsid w:val="000C5647"/>
    <w:rsid w:val="000C57E1"/>
    <w:rsid w:val="000C6BF2"/>
    <w:rsid w:val="000D0775"/>
    <w:rsid w:val="000D123B"/>
    <w:rsid w:val="000D31C4"/>
    <w:rsid w:val="000D58C5"/>
    <w:rsid w:val="000D5B60"/>
    <w:rsid w:val="000D64EA"/>
    <w:rsid w:val="000E047C"/>
    <w:rsid w:val="000E0A46"/>
    <w:rsid w:val="000E14AE"/>
    <w:rsid w:val="000E1A50"/>
    <w:rsid w:val="000E1F13"/>
    <w:rsid w:val="000E24AD"/>
    <w:rsid w:val="000E280E"/>
    <w:rsid w:val="000E29A8"/>
    <w:rsid w:val="000E36ED"/>
    <w:rsid w:val="000E3B49"/>
    <w:rsid w:val="000E3D0C"/>
    <w:rsid w:val="000E3F50"/>
    <w:rsid w:val="000E4F62"/>
    <w:rsid w:val="000E517B"/>
    <w:rsid w:val="000E646A"/>
    <w:rsid w:val="000E7522"/>
    <w:rsid w:val="000E7981"/>
    <w:rsid w:val="000F1317"/>
    <w:rsid w:val="000F1658"/>
    <w:rsid w:val="000F2603"/>
    <w:rsid w:val="000F45EC"/>
    <w:rsid w:val="000F59CE"/>
    <w:rsid w:val="000F6C23"/>
    <w:rsid w:val="00100536"/>
    <w:rsid w:val="0010071F"/>
    <w:rsid w:val="00100F21"/>
    <w:rsid w:val="00102CD2"/>
    <w:rsid w:val="00103E3B"/>
    <w:rsid w:val="0010432E"/>
    <w:rsid w:val="00105381"/>
    <w:rsid w:val="00106348"/>
    <w:rsid w:val="00106D30"/>
    <w:rsid w:val="00107201"/>
    <w:rsid w:val="00107D28"/>
    <w:rsid w:val="001127F8"/>
    <w:rsid w:val="00112875"/>
    <w:rsid w:val="00112D96"/>
    <w:rsid w:val="001132AD"/>
    <w:rsid w:val="001137FA"/>
    <w:rsid w:val="001142BA"/>
    <w:rsid w:val="00114AC4"/>
    <w:rsid w:val="00115D56"/>
    <w:rsid w:val="00115D6F"/>
    <w:rsid w:val="0011702B"/>
    <w:rsid w:val="00120477"/>
    <w:rsid w:val="00120D3D"/>
    <w:rsid w:val="0012133A"/>
    <w:rsid w:val="00121A7E"/>
    <w:rsid w:val="001233EA"/>
    <w:rsid w:val="00124734"/>
    <w:rsid w:val="00126861"/>
    <w:rsid w:val="00126D06"/>
    <w:rsid w:val="0013049A"/>
    <w:rsid w:val="00131129"/>
    <w:rsid w:val="0013360B"/>
    <w:rsid w:val="001336D1"/>
    <w:rsid w:val="001351F7"/>
    <w:rsid w:val="0013598D"/>
    <w:rsid w:val="00136A98"/>
    <w:rsid w:val="00137C7F"/>
    <w:rsid w:val="00137FD7"/>
    <w:rsid w:val="00142BC2"/>
    <w:rsid w:val="00143AA6"/>
    <w:rsid w:val="00145250"/>
    <w:rsid w:val="00145DF7"/>
    <w:rsid w:val="001474E7"/>
    <w:rsid w:val="001475DD"/>
    <w:rsid w:val="00150409"/>
    <w:rsid w:val="00150A34"/>
    <w:rsid w:val="00151895"/>
    <w:rsid w:val="00151B74"/>
    <w:rsid w:val="001535E9"/>
    <w:rsid w:val="00153C05"/>
    <w:rsid w:val="00156904"/>
    <w:rsid w:val="0015741A"/>
    <w:rsid w:val="00157861"/>
    <w:rsid w:val="00157D86"/>
    <w:rsid w:val="00160360"/>
    <w:rsid w:val="00163076"/>
    <w:rsid w:val="00163A65"/>
    <w:rsid w:val="00163F99"/>
    <w:rsid w:val="00164199"/>
    <w:rsid w:val="0016424D"/>
    <w:rsid w:val="001644F5"/>
    <w:rsid w:val="001646FF"/>
    <w:rsid w:val="001659D2"/>
    <w:rsid w:val="00166C55"/>
    <w:rsid w:val="00166EB0"/>
    <w:rsid w:val="001717FF"/>
    <w:rsid w:val="00171B17"/>
    <w:rsid w:val="001738FC"/>
    <w:rsid w:val="00173A7A"/>
    <w:rsid w:val="00174934"/>
    <w:rsid w:val="001760BA"/>
    <w:rsid w:val="00176EBF"/>
    <w:rsid w:val="0018115A"/>
    <w:rsid w:val="001814F5"/>
    <w:rsid w:val="0018184F"/>
    <w:rsid w:val="001824FD"/>
    <w:rsid w:val="001828E5"/>
    <w:rsid w:val="00184683"/>
    <w:rsid w:val="001852DE"/>
    <w:rsid w:val="0018594F"/>
    <w:rsid w:val="00186E8C"/>
    <w:rsid w:val="001877E5"/>
    <w:rsid w:val="00187CC7"/>
    <w:rsid w:val="001903F7"/>
    <w:rsid w:val="001910B4"/>
    <w:rsid w:val="0019140D"/>
    <w:rsid w:val="00192D67"/>
    <w:rsid w:val="0019419F"/>
    <w:rsid w:val="0019450F"/>
    <w:rsid w:val="00196CA8"/>
    <w:rsid w:val="00196FD9"/>
    <w:rsid w:val="001976F0"/>
    <w:rsid w:val="00197BBC"/>
    <w:rsid w:val="001A014E"/>
    <w:rsid w:val="001A017D"/>
    <w:rsid w:val="001A13D6"/>
    <w:rsid w:val="001A490D"/>
    <w:rsid w:val="001B05A6"/>
    <w:rsid w:val="001B21A1"/>
    <w:rsid w:val="001B3229"/>
    <w:rsid w:val="001B45C4"/>
    <w:rsid w:val="001B5319"/>
    <w:rsid w:val="001B56C7"/>
    <w:rsid w:val="001B58E2"/>
    <w:rsid w:val="001B610F"/>
    <w:rsid w:val="001B67AE"/>
    <w:rsid w:val="001B6D01"/>
    <w:rsid w:val="001B7936"/>
    <w:rsid w:val="001C302A"/>
    <w:rsid w:val="001C339C"/>
    <w:rsid w:val="001C3688"/>
    <w:rsid w:val="001C3978"/>
    <w:rsid w:val="001C41A7"/>
    <w:rsid w:val="001C4E1E"/>
    <w:rsid w:val="001C4F7D"/>
    <w:rsid w:val="001C5943"/>
    <w:rsid w:val="001C670D"/>
    <w:rsid w:val="001D15C8"/>
    <w:rsid w:val="001D2561"/>
    <w:rsid w:val="001D3216"/>
    <w:rsid w:val="001D57BD"/>
    <w:rsid w:val="001D6F1E"/>
    <w:rsid w:val="001D7C68"/>
    <w:rsid w:val="001E09B8"/>
    <w:rsid w:val="001E1651"/>
    <w:rsid w:val="001E24B7"/>
    <w:rsid w:val="001F0BF8"/>
    <w:rsid w:val="001F2509"/>
    <w:rsid w:val="001F2769"/>
    <w:rsid w:val="001F30B3"/>
    <w:rsid w:val="001F4A11"/>
    <w:rsid w:val="001F585F"/>
    <w:rsid w:val="001F5D7D"/>
    <w:rsid w:val="001F6913"/>
    <w:rsid w:val="001F6DA2"/>
    <w:rsid w:val="001F6FF8"/>
    <w:rsid w:val="002023F7"/>
    <w:rsid w:val="00202BB6"/>
    <w:rsid w:val="002054B2"/>
    <w:rsid w:val="00205538"/>
    <w:rsid w:val="00206F8A"/>
    <w:rsid w:val="0021084A"/>
    <w:rsid w:val="0021198A"/>
    <w:rsid w:val="002164C3"/>
    <w:rsid w:val="002208CF"/>
    <w:rsid w:val="0022140A"/>
    <w:rsid w:val="002219C0"/>
    <w:rsid w:val="00221A96"/>
    <w:rsid w:val="002231BB"/>
    <w:rsid w:val="00223353"/>
    <w:rsid w:val="002239F6"/>
    <w:rsid w:val="0022587E"/>
    <w:rsid w:val="00226185"/>
    <w:rsid w:val="00227385"/>
    <w:rsid w:val="00227B54"/>
    <w:rsid w:val="002305E4"/>
    <w:rsid w:val="0023135B"/>
    <w:rsid w:val="00231E6D"/>
    <w:rsid w:val="002348D4"/>
    <w:rsid w:val="00234B18"/>
    <w:rsid w:val="0023515E"/>
    <w:rsid w:val="00235F7F"/>
    <w:rsid w:val="002363FE"/>
    <w:rsid w:val="002365D5"/>
    <w:rsid w:val="0023683B"/>
    <w:rsid w:val="002375C9"/>
    <w:rsid w:val="002420E2"/>
    <w:rsid w:val="002440A1"/>
    <w:rsid w:val="00247EBF"/>
    <w:rsid w:val="002507F9"/>
    <w:rsid w:val="00250D12"/>
    <w:rsid w:val="00252BAD"/>
    <w:rsid w:val="002551E4"/>
    <w:rsid w:val="00260F2B"/>
    <w:rsid w:val="00261240"/>
    <w:rsid w:val="00261BBA"/>
    <w:rsid w:val="00261FDF"/>
    <w:rsid w:val="00262B29"/>
    <w:rsid w:val="0026327D"/>
    <w:rsid w:val="002640B4"/>
    <w:rsid w:val="00265562"/>
    <w:rsid w:val="00266168"/>
    <w:rsid w:val="002663EA"/>
    <w:rsid w:val="0026655F"/>
    <w:rsid w:val="00270F5A"/>
    <w:rsid w:val="00271AA4"/>
    <w:rsid w:val="00272440"/>
    <w:rsid w:val="00272785"/>
    <w:rsid w:val="00274C70"/>
    <w:rsid w:val="002756BB"/>
    <w:rsid w:val="00276D63"/>
    <w:rsid w:val="00276E4C"/>
    <w:rsid w:val="0027742B"/>
    <w:rsid w:val="00280572"/>
    <w:rsid w:val="00281D1E"/>
    <w:rsid w:val="002829BE"/>
    <w:rsid w:val="00283FF6"/>
    <w:rsid w:val="0028492A"/>
    <w:rsid w:val="002856F8"/>
    <w:rsid w:val="00286C65"/>
    <w:rsid w:val="00286E73"/>
    <w:rsid w:val="002905BA"/>
    <w:rsid w:val="00290892"/>
    <w:rsid w:val="002923C9"/>
    <w:rsid w:val="002923D5"/>
    <w:rsid w:val="00292C68"/>
    <w:rsid w:val="002933F9"/>
    <w:rsid w:val="00293EDD"/>
    <w:rsid w:val="002943A3"/>
    <w:rsid w:val="00295931"/>
    <w:rsid w:val="0029593A"/>
    <w:rsid w:val="00296505"/>
    <w:rsid w:val="0029746E"/>
    <w:rsid w:val="002A0036"/>
    <w:rsid w:val="002A0B27"/>
    <w:rsid w:val="002A515B"/>
    <w:rsid w:val="002A566D"/>
    <w:rsid w:val="002A6595"/>
    <w:rsid w:val="002A67F1"/>
    <w:rsid w:val="002B2462"/>
    <w:rsid w:val="002B383C"/>
    <w:rsid w:val="002B5220"/>
    <w:rsid w:val="002B612E"/>
    <w:rsid w:val="002B6AE6"/>
    <w:rsid w:val="002B6C44"/>
    <w:rsid w:val="002B7E6C"/>
    <w:rsid w:val="002C1450"/>
    <w:rsid w:val="002C20FC"/>
    <w:rsid w:val="002C400C"/>
    <w:rsid w:val="002C47DD"/>
    <w:rsid w:val="002D105D"/>
    <w:rsid w:val="002D25F5"/>
    <w:rsid w:val="002D2A36"/>
    <w:rsid w:val="002D2B12"/>
    <w:rsid w:val="002D2C3D"/>
    <w:rsid w:val="002D3551"/>
    <w:rsid w:val="002D3CAD"/>
    <w:rsid w:val="002D489E"/>
    <w:rsid w:val="002D49E0"/>
    <w:rsid w:val="002D5E45"/>
    <w:rsid w:val="002D5E4E"/>
    <w:rsid w:val="002D635E"/>
    <w:rsid w:val="002D6D90"/>
    <w:rsid w:val="002D7B37"/>
    <w:rsid w:val="002E0105"/>
    <w:rsid w:val="002E0DA9"/>
    <w:rsid w:val="002E105A"/>
    <w:rsid w:val="002E245F"/>
    <w:rsid w:val="002E2916"/>
    <w:rsid w:val="002E4205"/>
    <w:rsid w:val="002E59F7"/>
    <w:rsid w:val="002E7E64"/>
    <w:rsid w:val="002F07C2"/>
    <w:rsid w:val="002F0FEB"/>
    <w:rsid w:val="002F11E8"/>
    <w:rsid w:val="002F1A04"/>
    <w:rsid w:val="002F1C67"/>
    <w:rsid w:val="002F28E4"/>
    <w:rsid w:val="002F29EC"/>
    <w:rsid w:val="002F4345"/>
    <w:rsid w:val="002F7990"/>
    <w:rsid w:val="00300D1B"/>
    <w:rsid w:val="003021E8"/>
    <w:rsid w:val="003039EA"/>
    <w:rsid w:val="00310C92"/>
    <w:rsid w:val="00310FAF"/>
    <w:rsid w:val="00311CD2"/>
    <w:rsid w:val="003132FE"/>
    <w:rsid w:val="003135C2"/>
    <w:rsid w:val="003152BD"/>
    <w:rsid w:val="00315336"/>
    <w:rsid w:val="00315958"/>
    <w:rsid w:val="00316DDD"/>
    <w:rsid w:val="00317595"/>
    <w:rsid w:val="00317CDD"/>
    <w:rsid w:val="00320010"/>
    <w:rsid w:val="0032199A"/>
    <w:rsid w:val="003224D8"/>
    <w:rsid w:val="00323B6F"/>
    <w:rsid w:val="00323E62"/>
    <w:rsid w:val="00325B11"/>
    <w:rsid w:val="00326318"/>
    <w:rsid w:val="00326E55"/>
    <w:rsid w:val="0033055D"/>
    <w:rsid w:val="00331ACD"/>
    <w:rsid w:val="00331F20"/>
    <w:rsid w:val="003321FD"/>
    <w:rsid w:val="00333CDA"/>
    <w:rsid w:val="00336773"/>
    <w:rsid w:val="00337B2C"/>
    <w:rsid w:val="00337FBC"/>
    <w:rsid w:val="00340A0A"/>
    <w:rsid w:val="00340F17"/>
    <w:rsid w:val="00341045"/>
    <w:rsid w:val="00342827"/>
    <w:rsid w:val="00342D38"/>
    <w:rsid w:val="00343542"/>
    <w:rsid w:val="00345207"/>
    <w:rsid w:val="00350CF0"/>
    <w:rsid w:val="0035330F"/>
    <w:rsid w:val="00353728"/>
    <w:rsid w:val="00355532"/>
    <w:rsid w:val="00355804"/>
    <w:rsid w:val="003612C9"/>
    <w:rsid w:val="0036234D"/>
    <w:rsid w:val="00362473"/>
    <w:rsid w:val="00364B97"/>
    <w:rsid w:val="00365A74"/>
    <w:rsid w:val="003672B9"/>
    <w:rsid w:val="00370833"/>
    <w:rsid w:val="0037197A"/>
    <w:rsid w:val="00372892"/>
    <w:rsid w:val="00372F43"/>
    <w:rsid w:val="003735AD"/>
    <w:rsid w:val="00373A40"/>
    <w:rsid w:val="00374249"/>
    <w:rsid w:val="00374E0E"/>
    <w:rsid w:val="00375D0D"/>
    <w:rsid w:val="00376197"/>
    <w:rsid w:val="003764D4"/>
    <w:rsid w:val="00376A43"/>
    <w:rsid w:val="00380853"/>
    <w:rsid w:val="003814AC"/>
    <w:rsid w:val="00382BC8"/>
    <w:rsid w:val="00383040"/>
    <w:rsid w:val="003832DD"/>
    <w:rsid w:val="003839AE"/>
    <w:rsid w:val="0038491D"/>
    <w:rsid w:val="00384A79"/>
    <w:rsid w:val="003870F8"/>
    <w:rsid w:val="003874AE"/>
    <w:rsid w:val="0038772F"/>
    <w:rsid w:val="0038788A"/>
    <w:rsid w:val="0039073F"/>
    <w:rsid w:val="00390D8B"/>
    <w:rsid w:val="003917F7"/>
    <w:rsid w:val="00391F75"/>
    <w:rsid w:val="00392644"/>
    <w:rsid w:val="00392941"/>
    <w:rsid w:val="00392C19"/>
    <w:rsid w:val="003937BC"/>
    <w:rsid w:val="00394459"/>
    <w:rsid w:val="00395DBE"/>
    <w:rsid w:val="00396786"/>
    <w:rsid w:val="00396E0F"/>
    <w:rsid w:val="003971D7"/>
    <w:rsid w:val="003972ED"/>
    <w:rsid w:val="00397F3D"/>
    <w:rsid w:val="003A0728"/>
    <w:rsid w:val="003A07CE"/>
    <w:rsid w:val="003A1B21"/>
    <w:rsid w:val="003A2A23"/>
    <w:rsid w:val="003A2F0B"/>
    <w:rsid w:val="003A32F0"/>
    <w:rsid w:val="003A48A4"/>
    <w:rsid w:val="003A5519"/>
    <w:rsid w:val="003A5A0B"/>
    <w:rsid w:val="003A5C8B"/>
    <w:rsid w:val="003A61F5"/>
    <w:rsid w:val="003A66B0"/>
    <w:rsid w:val="003A7882"/>
    <w:rsid w:val="003B0AA0"/>
    <w:rsid w:val="003B11C5"/>
    <w:rsid w:val="003B18D2"/>
    <w:rsid w:val="003B295A"/>
    <w:rsid w:val="003B2E78"/>
    <w:rsid w:val="003B30BE"/>
    <w:rsid w:val="003B4078"/>
    <w:rsid w:val="003B5207"/>
    <w:rsid w:val="003B5D01"/>
    <w:rsid w:val="003B6F06"/>
    <w:rsid w:val="003C1AF2"/>
    <w:rsid w:val="003C1E6A"/>
    <w:rsid w:val="003C2176"/>
    <w:rsid w:val="003C3A0B"/>
    <w:rsid w:val="003C42B5"/>
    <w:rsid w:val="003C55E1"/>
    <w:rsid w:val="003C67BE"/>
    <w:rsid w:val="003C6C1A"/>
    <w:rsid w:val="003C76A7"/>
    <w:rsid w:val="003D04FF"/>
    <w:rsid w:val="003D0AC2"/>
    <w:rsid w:val="003D1E3B"/>
    <w:rsid w:val="003D2288"/>
    <w:rsid w:val="003D283C"/>
    <w:rsid w:val="003D2C21"/>
    <w:rsid w:val="003D2F53"/>
    <w:rsid w:val="003D3672"/>
    <w:rsid w:val="003D3968"/>
    <w:rsid w:val="003D5234"/>
    <w:rsid w:val="003D693F"/>
    <w:rsid w:val="003D6FBF"/>
    <w:rsid w:val="003D712C"/>
    <w:rsid w:val="003D7289"/>
    <w:rsid w:val="003D7864"/>
    <w:rsid w:val="003D7A40"/>
    <w:rsid w:val="003E0603"/>
    <w:rsid w:val="003E13D4"/>
    <w:rsid w:val="003E3DE4"/>
    <w:rsid w:val="003E4A03"/>
    <w:rsid w:val="003E5041"/>
    <w:rsid w:val="003E5339"/>
    <w:rsid w:val="003E58B4"/>
    <w:rsid w:val="003E645A"/>
    <w:rsid w:val="003E646D"/>
    <w:rsid w:val="003F253E"/>
    <w:rsid w:val="003F29B7"/>
    <w:rsid w:val="003F5205"/>
    <w:rsid w:val="003F605D"/>
    <w:rsid w:val="003F618D"/>
    <w:rsid w:val="003F6A2B"/>
    <w:rsid w:val="003F763B"/>
    <w:rsid w:val="003F7894"/>
    <w:rsid w:val="00400429"/>
    <w:rsid w:val="00401182"/>
    <w:rsid w:val="00401824"/>
    <w:rsid w:val="004029A3"/>
    <w:rsid w:val="004034EC"/>
    <w:rsid w:val="00405E05"/>
    <w:rsid w:val="00406EBE"/>
    <w:rsid w:val="00411C88"/>
    <w:rsid w:val="0041328F"/>
    <w:rsid w:val="00413994"/>
    <w:rsid w:val="004147D6"/>
    <w:rsid w:val="00414849"/>
    <w:rsid w:val="0041499B"/>
    <w:rsid w:val="00414A47"/>
    <w:rsid w:val="00414CA2"/>
    <w:rsid w:val="004153D1"/>
    <w:rsid w:val="004157F2"/>
    <w:rsid w:val="00415845"/>
    <w:rsid w:val="00416CAA"/>
    <w:rsid w:val="00421BA6"/>
    <w:rsid w:val="00423BFE"/>
    <w:rsid w:val="00424458"/>
    <w:rsid w:val="00424577"/>
    <w:rsid w:val="00425A08"/>
    <w:rsid w:val="00425E13"/>
    <w:rsid w:val="00425FD9"/>
    <w:rsid w:val="00426923"/>
    <w:rsid w:val="00426E0B"/>
    <w:rsid w:val="0042763B"/>
    <w:rsid w:val="0043267B"/>
    <w:rsid w:val="00433DEA"/>
    <w:rsid w:val="00433FE0"/>
    <w:rsid w:val="004345FA"/>
    <w:rsid w:val="004348AE"/>
    <w:rsid w:val="00434EE2"/>
    <w:rsid w:val="004365FF"/>
    <w:rsid w:val="004374C0"/>
    <w:rsid w:val="00440C8B"/>
    <w:rsid w:val="00442124"/>
    <w:rsid w:val="00442311"/>
    <w:rsid w:val="004426E4"/>
    <w:rsid w:val="00443141"/>
    <w:rsid w:val="0044331B"/>
    <w:rsid w:val="00443963"/>
    <w:rsid w:val="00443FA6"/>
    <w:rsid w:val="004447E9"/>
    <w:rsid w:val="004454EE"/>
    <w:rsid w:val="004463CC"/>
    <w:rsid w:val="00446B7A"/>
    <w:rsid w:val="00446F6F"/>
    <w:rsid w:val="00447980"/>
    <w:rsid w:val="00450E94"/>
    <w:rsid w:val="004521AA"/>
    <w:rsid w:val="00452C15"/>
    <w:rsid w:val="00453F09"/>
    <w:rsid w:val="00453F67"/>
    <w:rsid w:val="00454F35"/>
    <w:rsid w:val="00455EEF"/>
    <w:rsid w:val="0045609E"/>
    <w:rsid w:val="00456435"/>
    <w:rsid w:val="0045687A"/>
    <w:rsid w:val="00461A22"/>
    <w:rsid w:val="004646DB"/>
    <w:rsid w:val="00464A1C"/>
    <w:rsid w:val="00464D0E"/>
    <w:rsid w:val="00465561"/>
    <w:rsid w:val="00465A22"/>
    <w:rsid w:val="00467925"/>
    <w:rsid w:val="0047147C"/>
    <w:rsid w:val="00471849"/>
    <w:rsid w:val="00471F1C"/>
    <w:rsid w:val="0047224C"/>
    <w:rsid w:val="00473A6A"/>
    <w:rsid w:val="00474997"/>
    <w:rsid w:val="00474DDE"/>
    <w:rsid w:val="00477D98"/>
    <w:rsid w:val="0048008D"/>
    <w:rsid w:val="0048247B"/>
    <w:rsid w:val="00483656"/>
    <w:rsid w:val="0048476F"/>
    <w:rsid w:val="00484B1B"/>
    <w:rsid w:val="00485B03"/>
    <w:rsid w:val="00485B78"/>
    <w:rsid w:val="00485D3D"/>
    <w:rsid w:val="00486C94"/>
    <w:rsid w:val="0048701D"/>
    <w:rsid w:val="004905C4"/>
    <w:rsid w:val="00490813"/>
    <w:rsid w:val="00490D47"/>
    <w:rsid w:val="00490E6E"/>
    <w:rsid w:val="00490F62"/>
    <w:rsid w:val="00491A55"/>
    <w:rsid w:val="00491F0F"/>
    <w:rsid w:val="0049249A"/>
    <w:rsid w:val="004925E5"/>
    <w:rsid w:val="0049282A"/>
    <w:rsid w:val="004947D9"/>
    <w:rsid w:val="00497F25"/>
    <w:rsid w:val="004A00EA"/>
    <w:rsid w:val="004A0169"/>
    <w:rsid w:val="004A117E"/>
    <w:rsid w:val="004A12CC"/>
    <w:rsid w:val="004A1F9B"/>
    <w:rsid w:val="004A2CD4"/>
    <w:rsid w:val="004A32AC"/>
    <w:rsid w:val="004A3E8F"/>
    <w:rsid w:val="004A5725"/>
    <w:rsid w:val="004A5FDF"/>
    <w:rsid w:val="004A7865"/>
    <w:rsid w:val="004B0C7C"/>
    <w:rsid w:val="004B0D63"/>
    <w:rsid w:val="004B1116"/>
    <w:rsid w:val="004B124A"/>
    <w:rsid w:val="004B1565"/>
    <w:rsid w:val="004B17AC"/>
    <w:rsid w:val="004B1CC6"/>
    <w:rsid w:val="004B36EE"/>
    <w:rsid w:val="004B3B0D"/>
    <w:rsid w:val="004B48CA"/>
    <w:rsid w:val="004C0200"/>
    <w:rsid w:val="004C0D26"/>
    <w:rsid w:val="004C1716"/>
    <w:rsid w:val="004C1B25"/>
    <w:rsid w:val="004C3002"/>
    <w:rsid w:val="004C4587"/>
    <w:rsid w:val="004C49CA"/>
    <w:rsid w:val="004C5CD8"/>
    <w:rsid w:val="004D0482"/>
    <w:rsid w:val="004D1F23"/>
    <w:rsid w:val="004D3CF8"/>
    <w:rsid w:val="004D64FC"/>
    <w:rsid w:val="004D78B9"/>
    <w:rsid w:val="004E142E"/>
    <w:rsid w:val="004E1C1A"/>
    <w:rsid w:val="004E1DC6"/>
    <w:rsid w:val="004E2491"/>
    <w:rsid w:val="004E2601"/>
    <w:rsid w:val="004E60B8"/>
    <w:rsid w:val="004E64E1"/>
    <w:rsid w:val="004E6D34"/>
    <w:rsid w:val="004E6FA7"/>
    <w:rsid w:val="004E75AF"/>
    <w:rsid w:val="004F06FF"/>
    <w:rsid w:val="004F0CEF"/>
    <w:rsid w:val="004F269F"/>
    <w:rsid w:val="004F5EAA"/>
    <w:rsid w:val="004F6FF6"/>
    <w:rsid w:val="004F7915"/>
    <w:rsid w:val="004F7DDE"/>
    <w:rsid w:val="004F7E68"/>
    <w:rsid w:val="00500505"/>
    <w:rsid w:val="005012DE"/>
    <w:rsid w:val="00501562"/>
    <w:rsid w:val="00501F69"/>
    <w:rsid w:val="00502013"/>
    <w:rsid w:val="00503858"/>
    <w:rsid w:val="005038BA"/>
    <w:rsid w:val="00506596"/>
    <w:rsid w:val="00511881"/>
    <w:rsid w:val="00511B9A"/>
    <w:rsid w:val="005128DF"/>
    <w:rsid w:val="0051316C"/>
    <w:rsid w:val="00515050"/>
    <w:rsid w:val="005151A8"/>
    <w:rsid w:val="0051533F"/>
    <w:rsid w:val="00516209"/>
    <w:rsid w:val="00516737"/>
    <w:rsid w:val="00517606"/>
    <w:rsid w:val="00517D42"/>
    <w:rsid w:val="0052074F"/>
    <w:rsid w:val="00520F05"/>
    <w:rsid w:val="005221C1"/>
    <w:rsid w:val="00523FAD"/>
    <w:rsid w:val="00524214"/>
    <w:rsid w:val="00524EBE"/>
    <w:rsid w:val="005262DD"/>
    <w:rsid w:val="00527970"/>
    <w:rsid w:val="00527C64"/>
    <w:rsid w:val="00527D95"/>
    <w:rsid w:val="0053228D"/>
    <w:rsid w:val="00534277"/>
    <w:rsid w:val="00534A7E"/>
    <w:rsid w:val="005358D7"/>
    <w:rsid w:val="00535B30"/>
    <w:rsid w:val="00537264"/>
    <w:rsid w:val="005377C3"/>
    <w:rsid w:val="005416FC"/>
    <w:rsid w:val="0054261E"/>
    <w:rsid w:val="00542ABD"/>
    <w:rsid w:val="00542C06"/>
    <w:rsid w:val="0054439E"/>
    <w:rsid w:val="005463B6"/>
    <w:rsid w:val="00547A27"/>
    <w:rsid w:val="00550938"/>
    <w:rsid w:val="00552078"/>
    <w:rsid w:val="005526C5"/>
    <w:rsid w:val="00552DBB"/>
    <w:rsid w:val="005530C1"/>
    <w:rsid w:val="005533A7"/>
    <w:rsid w:val="0055345F"/>
    <w:rsid w:val="00554CFC"/>
    <w:rsid w:val="00555A97"/>
    <w:rsid w:val="00562627"/>
    <w:rsid w:val="0056373E"/>
    <w:rsid w:val="00564077"/>
    <w:rsid w:val="00565C19"/>
    <w:rsid w:val="00567567"/>
    <w:rsid w:val="00571354"/>
    <w:rsid w:val="00572103"/>
    <w:rsid w:val="0057239A"/>
    <w:rsid w:val="00572E30"/>
    <w:rsid w:val="00573E79"/>
    <w:rsid w:val="00573F5E"/>
    <w:rsid w:val="00575B01"/>
    <w:rsid w:val="00576117"/>
    <w:rsid w:val="00576582"/>
    <w:rsid w:val="00576B2D"/>
    <w:rsid w:val="00577A1D"/>
    <w:rsid w:val="00581E7F"/>
    <w:rsid w:val="00583B3C"/>
    <w:rsid w:val="00584308"/>
    <w:rsid w:val="005846ED"/>
    <w:rsid w:val="00584FE3"/>
    <w:rsid w:val="00585514"/>
    <w:rsid w:val="00585C6D"/>
    <w:rsid w:val="00586774"/>
    <w:rsid w:val="005870B9"/>
    <w:rsid w:val="00591BA4"/>
    <w:rsid w:val="00591EBD"/>
    <w:rsid w:val="00592954"/>
    <w:rsid w:val="00592A17"/>
    <w:rsid w:val="0059477B"/>
    <w:rsid w:val="005956D8"/>
    <w:rsid w:val="00596634"/>
    <w:rsid w:val="0059667F"/>
    <w:rsid w:val="00596E6D"/>
    <w:rsid w:val="0059703C"/>
    <w:rsid w:val="00597A7F"/>
    <w:rsid w:val="00597F29"/>
    <w:rsid w:val="005A0D34"/>
    <w:rsid w:val="005A10F2"/>
    <w:rsid w:val="005A211E"/>
    <w:rsid w:val="005A3685"/>
    <w:rsid w:val="005A368E"/>
    <w:rsid w:val="005A3D9D"/>
    <w:rsid w:val="005A558B"/>
    <w:rsid w:val="005A5D3F"/>
    <w:rsid w:val="005A623F"/>
    <w:rsid w:val="005A755A"/>
    <w:rsid w:val="005B1D20"/>
    <w:rsid w:val="005B3958"/>
    <w:rsid w:val="005B3B88"/>
    <w:rsid w:val="005B4886"/>
    <w:rsid w:val="005B6924"/>
    <w:rsid w:val="005B7104"/>
    <w:rsid w:val="005C2E1D"/>
    <w:rsid w:val="005C31EA"/>
    <w:rsid w:val="005C31EE"/>
    <w:rsid w:val="005C37B0"/>
    <w:rsid w:val="005C3E1A"/>
    <w:rsid w:val="005C42F4"/>
    <w:rsid w:val="005C5945"/>
    <w:rsid w:val="005C5DED"/>
    <w:rsid w:val="005C6ADC"/>
    <w:rsid w:val="005C7143"/>
    <w:rsid w:val="005C7E40"/>
    <w:rsid w:val="005C7F6E"/>
    <w:rsid w:val="005D0085"/>
    <w:rsid w:val="005D0116"/>
    <w:rsid w:val="005D093A"/>
    <w:rsid w:val="005D0D10"/>
    <w:rsid w:val="005D38E2"/>
    <w:rsid w:val="005D3C61"/>
    <w:rsid w:val="005D3F56"/>
    <w:rsid w:val="005D4410"/>
    <w:rsid w:val="005D52FE"/>
    <w:rsid w:val="005D57A1"/>
    <w:rsid w:val="005E0C3C"/>
    <w:rsid w:val="005E120E"/>
    <w:rsid w:val="005E1EAE"/>
    <w:rsid w:val="005E202C"/>
    <w:rsid w:val="005E4F0B"/>
    <w:rsid w:val="005E64EC"/>
    <w:rsid w:val="005E7BFC"/>
    <w:rsid w:val="005E7D3A"/>
    <w:rsid w:val="005F11B9"/>
    <w:rsid w:val="005F1333"/>
    <w:rsid w:val="005F170B"/>
    <w:rsid w:val="005F2923"/>
    <w:rsid w:val="005F3872"/>
    <w:rsid w:val="005F3E00"/>
    <w:rsid w:val="005F4329"/>
    <w:rsid w:val="005F4B1F"/>
    <w:rsid w:val="005F4C3B"/>
    <w:rsid w:val="005F4F4E"/>
    <w:rsid w:val="005F5684"/>
    <w:rsid w:val="005F60DE"/>
    <w:rsid w:val="005F7341"/>
    <w:rsid w:val="005F7AC3"/>
    <w:rsid w:val="0060026B"/>
    <w:rsid w:val="0060048C"/>
    <w:rsid w:val="00600EEA"/>
    <w:rsid w:val="00601075"/>
    <w:rsid w:val="00601B54"/>
    <w:rsid w:val="00606230"/>
    <w:rsid w:val="006073F9"/>
    <w:rsid w:val="0061080B"/>
    <w:rsid w:val="00611518"/>
    <w:rsid w:val="00612EED"/>
    <w:rsid w:val="00612F34"/>
    <w:rsid w:val="006133F0"/>
    <w:rsid w:val="0061502C"/>
    <w:rsid w:val="006156D1"/>
    <w:rsid w:val="006203D9"/>
    <w:rsid w:val="00622EFF"/>
    <w:rsid w:val="00625FD6"/>
    <w:rsid w:val="00627411"/>
    <w:rsid w:val="006274BA"/>
    <w:rsid w:val="00630B34"/>
    <w:rsid w:val="006323F3"/>
    <w:rsid w:val="00632E45"/>
    <w:rsid w:val="00632F2B"/>
    <w:rsid w:val="006335C5"/>
    <w:rsid w:val="00633762"/>
    <w:rsid w:val="00634192"/>
    <w:rsid w:val="00634AAF"/>
    <w:rsid w:val="0063624C"/>
    <w:rsid w:val="00640BEC"/>
    <w:rsid w:val="00641580"/>
    <w:rsid w:val="00641C0B"/>
    <w:rsid w:val="00642068"/>
    <w:rsid w:val="006421F0"/>
    <w:rsid w:val="0064279C"/>
    <w:rsid w:val="00646CA4"/>
    <w:rsid w:val="00646CCC"/>
    <w:rsid w:val="00647572"/>
    <w:rsid w:val="00650E2E"/>
    <w:rsid w:val="00650FC1"/>
    <w:rsid w:val="00650FFF"/>
    <w:rsid w:val="006524B3"/>
    <w:rsid w:val="00652E42"/>
    <w:rsid w:val="006531E2"/>
    <w:rsid w:val="0065369F"/>
    <w:rsid w:val="00653DCA"/>
    <w:rsid w:val="006558FB"/>
    <w:rsid w:val="00655CD3"/>
    <w:rsid w:val="00656244"/>
    <w:rsid w:val="00656618"/>
    <w:rsid w:val="00656B0B"/>
    <w:rsid w:val="00656B11"/>
    <w:rsid w:val="00656DE9"/>
    <w:rsid w:val="00665492"/>
    <w:rsid w:val="0066599A"/>
    <w:rsid w:val="00665AF6"/>
    <w:rsid w:val="00665E1E"/>
    <w:rsid w:val="006667C4"/>
    <w:rsid w:val="00667913"/>
    <w:rsid w:val="00672DCF"/>
    <w:rsid w:val="0067370B"/>
    <w:rsid w:val="00674453"/>
    <w:rsid w:val="006754AC"/>
    <w:rsid w:val="0067663A"/>
    <w:rsid w:val="006773BA"/>
    <w:rsid w:val="00680225"/>
    <w:rsid w:val="0068193F"/>
    <w:rsid w:val="0068199E"/>
    <w:rsid w:val="00681CDA"/>
    <w:rsid w:val="00684621"/>
    <w:rsid w:val="00684E24"/>
    <w:rsid w:val="00684F16"/>
    <w:rsid w:val="006869D7"/>
    <w:rsid w:val="00687286"/>
    <w:rsid w:val="00690231"/>
    <w:rsid w:val="00690DA7"/>
    <w:rsid w:val="00694F8B"/>
    <w:rsid w:val="00695BAE"/>
    <w:rsid w:val="00695BF6"/>
    <w:rsid w:val="0069614D"/>
    <w:rsid w:val="006979CB"/>
    <w:rsid w:val="006A17DB"/>
    <w:rsid w:val="006A2E6D"/>
    <w:rsid w:val="006A3600"/>
    <w:rsid w:val="006A566B"/>
    <w:rsid w:val="006A59D8"/>
    <w:rsid w:val="006B164B"/>
    <w:rsid w:val="006B1CE0"/>
    <w:rsid w:val="006B4CED"/>
    <w:rsid w:val="006B4DEC"/>
    <w:rsid w:val="006B6095"/>
    <w:rsid w:val="006B694B"/>
    <w:rsid w:val="006B6B51"/>
    <w:rsid w:val="006B6E9B"/>
    <w:rsid w:val="006B7401"/>
    <w:rsid w:val="006C05F3"/>
    <w:rsid w:val="006C06C1"/>
    <w:rsid w:val="006C0A81"/>
    <w:rsid w:val="006C0AB2"/>
    <w:rsid w:val="006C14B2"/>
    <w:rsid w:val="006C2517"/>
    <w:rsid w:val="006C4CAC"/>
    <w:rsid w:val="006C4FDA"/>
    <w:rsid w:val="006D0F70"/>
    <w:rsid w:val="006D1546"/>
    <w:rsid w:val="006D6082"/>
    <w:rsid w:val="006D7259"/>
    <w:rsid w:val="006D727B"/>
    <w:rsid w:val="006D7301"/>
    <w:rsid w:val="006D7442"/>
    <w:rsid w:val="006D7E5D"/>
    <w:rsid w:val="006E062E"/>
    <w:rsid w:val="006E09AA"/>
    <w:rsid w:val="006E0C17"/>
    <w:rsid w:val="006E100C"/>
    <w:rsid w:val="006E1F42"/>
    <w:rsid w:val="006E38CD"/>
    <w:rsid w:val="006E4A4F"/>
    <w:rsid w:val="006E59F8"/>
    <w:rsid w:val="006E6BE9"/>
    <w:rsid w:val="006F0D75"/>
    <w:rsid w:val="006F18A6"/>
    <w:rsid w:val="006F2927"/>
    <w:rsid w:val="006F3A01"/>
    <w:rsid w:val="006F5B3D"/>
    <w:rsid w:val="006F5F82"/>
    <w:rsid w:val="006F7082"/>
    <w:rsid w:val="006F7E22"/>
    <w:rsid w:val="00700354"/>
    <w:rsid w:val="00700687"/>
    <w:rsid w:val="00700748"/>
    <w:rsid w:val="00704F83"/>
    <w:rsid w:val="0070505D"/>
    <w:rsid w:val="00705537"/>
    <w:rsid w:val="00705DDB"/>
    <w:rsid w:val="007074FE"/>
    <w:rsid w:val="007100BA"/>
    <w:rsid w:val="00710167"/>
    <w:rsid w:val="00712832"/>
    <w:rsid w:val="00712E15"/>
    <w:rsid w:val="007130ED"/>
    <w:rsid w:val="00714419"/>
    <w:rsid w:val="00714CED"/>
    <w:rsid w:val="007204B6"/>
    <w:rsid w:val="00721E62"/>
    <w:rsid w:val="007238E4"/>
    <w:rsid w:val="007243F3"/>
    <w:rsid w:val="00724A44"/>
    <w:rsid w:val="00726960"/>
    <w:rsid w:val="00726AA7"/>
    <w:rsid w:val="00726CF9"/>
    <w:rsid w:val="00726D4E"/>
    <w:rsid w:val="0073051C"/>
    <w:rsid w:val="007319A1"/>
    <w:rsid w:val="00731D5D"/>
    <w:rsid w:val="007328BA"/>
    <w:rsid w:val="007329DF"/>
    <w:rsid w:val="00735166"/>
    <w:rsid w:val="00736A7F"/>
    <w:rsid w:val="007377EB"/>
    <w:rsid w:val="007404ED"/>
    <w:rsid w:val="00741814"/>
    <w:rsid w:val="00742AC5"/>
    <w:rsid w:val="00743336"/>
    <w:rsid w:val="00743927"/>
    <w:rsid w:val="0074512C"/>
    <w:rsid w:val="00745D29"/>
    <w:rsid w:val="0074643C"/>
    <w:rsid w:val="0074691F"/>
    <w:rsid w:val="00746F37"/>
    <w:rsid w:val="0074705C"/>
    <w:rsid w:val="007502BD"/>
    <w:rsid w:val="00750E1D"/>
    <w:rsid w:val="00751E39"/>
    <w:rsid w:val="0075265D"/>
    <w:rsid w:val="0075328E"/>
    <w:rsid w:val="00754138"/>
    <w:rsid w:val="00754D22"/>
    <w:rsid w:val="00754EBF"/>
    <w:rsid w:val="00755459"/>
    <w:rsid w:val="00755BAA"/>
    <w:rsid w:val="007567E9"/>
    <w:rsid w:val="00756EF9"/>
    <w:rsid w:val="007570FF"/>
    <w:rsid w:val="00757371"/>
    <w:rsid w:val="00760A6B"/>
    <w:rsid w:val="0076192A"/>
    <w:rsid w:val="0076265B"/>
    <w:rsid w:val="0076297A"/>
    <w:rsid w:val="007629CE"/>
    <w:rsid w:val="00763372"/>
    <w:rsid w:val="0076426F"/>
    <w:rsid w:val="00764BDB"/>
    <w:rsid w:val="00765267"/>
    <w:rsid w:val="00765C83"/>
    <w:rsid w:val="00767D89"/>
    <w:rsid w:val="00771418"/>
    <w:rsid w:val="00771711"/>
    <w:rsid w:val="00772122"/>
    <w:rsid w:val="007730DC"/>
    <w:rsid w:val="0077431A"/>
    <w:rsid w:val="00774575"/>
    <w:rsid w:val="00774D71"/>
    <w:rsid w:val="00776189"/>
    <w:rsid w:val="007806CB"/>
    <w:rsid w:val="00783684"/>
    <w:rsid w:val="00784A6D"/>
    <w:rsid w:val="00787944"/>
    <w:rsid w:val="00787951"/>
    <w:rsid w:val="00790FB4"/>
    <w:rsid w:val="00792AC1"/>
    <w:rsid w:val="0079352F"/>
    <w:rsid w:val="007A16A2"/>
    <w:rsid w:val="007A1FA1"/>
    <w:rsid w:val="007A337E"/>
    <w:rsid w:val="007A651F"/>
    <w:rsid w:val="007A73DD"/>
    <w:rsid w:val="007B1B45"/>
    <w:rsid w:val="007B1F0E"/>
    <w:rsid w:val="007B353F"/>
    <w:rsid w:val="007B531B"/>
    <w:rsid w:val="007B6AAF"/>
    <w:rsid w:val="007B73E1"/>
    <w:rsid w:val="007B73F9"/>
    <w:rsid w:val="007B79A5"/>
    <w:rsid w:val="007B7B12"/>
    <w:rsid w:val="007C04EB"/>
    <w:rsid w:val="007C1A2F"/>
    <w:rsid w:val="007C2BFF"/>
    <w:rsid w:val="007C36C7"/>
    <w:rsid w:val="007C3B46"/>
    <w:rsid w:val="007C3D7D"/>
    <w:rsid w:val="007C4527"/>
    <w:rsid w:val="007C4A23"/>
    <w:rsid w:val="007C4E7B"/>
    <w:rsid w:val="007C694E"/>
    <w:rsid w:val="007C6C16"/>
    <w:rsid w:val="007C7789"/>
    <w:rsid w:val="007C7F91"/>
    <w:rsid w:val="007D1159"/>
    <w:rsid w:val="007D1598"/>
    <w:rsid w:val="007D2604"/>
    <w:rsid w:val="007D3E5B"/>
    <w:rsid w:val="007D4491"/>
    <w:rsid w:val="007D4DB8"/>
    <w:rsid w:val="007D5023"/>
    <w:rsid w:val="007D51F3"/>
    <w:rsid w:val="007D54A9"/>
    <w:rsid w:val="007D58D8"/>
    <w:rsid w:val="007D5F00"/>
    <w:rsid w:val="007D6214"/>
    <w:rsid w:val="007D6233"/>
    <w:rsid w:val="007D6A0C"/>
    <w:rsid w:val="007D6ADC"/>
    <w:rsid w:val="007D76E4"/>
    <w:rsid w:val="007D7B21"/>
    <w:rsid w:val="007E15F9"/>
    <w:rsid w:val="007E181D"/>
    <w:rsid w:val="007E39FA"/>
    <w:rsid w:val="007E3CAA"/>
    <w:rsid w:val="007E42F6"/>
    <w:rsid w:val="007E5151"/>
    <w:rsid w:val="007E5D5C"/>
    <w:rsid w:val="007E627A"/>
    <w:rsid w:val="007E7E30"/>
    <w:rsid w:val="007F0305"/>
    <w:rsid w:val="007F0AB5"/>
    <w:rsid w:val="007F170A"/>
    <w:rsid w:val="007F3033"/>
    <w:rsid w:val="007F3850"/>
    <w:rsid w:val="007F3C40"/>
    <w:rsid w:val="007F41B8"/>
    <w:rsid w:val="007F46AC"/>
    <w:rsid w:val="007F75FB"/>
    <w:rsid w:val="007F7B6E"/>
    <w:rsid w:val="008003B9"/>
    <w:rsid w:val="00800D52"/>
    <w:rsid w:val="00800FD8"/>
    <w:rsid w:val="0080173A"/>
    <w:rsid w:val="00801E54"/>
    <w:rsid w:val="008033FB"/>
    <w:rsid w:val="008043EC"/>
    <w:rsid w:val="008045BC"/>
    <w:rsid w:val="00804C5D"/>
    <w:rsid w:val="0080502B"/>
    <w:rsid w:val="0080612F"/>
    <w:rsid w:val="00806D49"/>
    <w:rsid w:val="00810055"/>
    <w:rsid w:val="00810D0C"/>
    <w:rsid w:val="00812FF7"/>
    <w:rsid w:val="0081404D"/>
    <w:rsid w:val="00817253"/>
    <w:rsid w:val="00820906"/>
    <w:rsid w:val="008213CA"/>
    <w:rsid w:val="00821763"/>
    <w:rsid w:val="00823246"/>
    <w:rsid w:val="00823F59"/>
    <w:rsid w:val="00824B48"/>
    <w:rsid w:val="008264B1"/>
    <w:rsid w:val="008265A2"/>
    <w:rsid w:val="008267C8"/>
    <w:rsid w:val="00831309"/>
    <w:rsid w:val="00832832"/>
    <w:rsid w:val="00832A22"/>
    <w:rsid w:val="0083341F"/>
    <w:rsid w:val="0083433A"/>
    <w:rsid w:val="0083683E"/>
    <w:rsid w:val="008378A8"/>
    <w:rsid w:val="00837B32"/>
    <w:rsid w:val="00843041"/>
    <w:rsid w:val="00843249"/>
    <w:rsid w:val="008438BC"/>
    <w:rsid w:val="00843C39"/>
    <w:rsid w:val="00844E18"/>
    <w:rsid w:val="008452FA"/>
    <w:rsid w:val="0084558D"/>
    <w:rsid w:val="00845D57"/>
    <w:rsid w:val="00845F25"/>
    <w:rsid w:val="00846748"/>
    <w:rsid w:val="00846918"/>
    <w:rsid w:val="00846E0F"/>
    <w:rsid w:val="008501ED"/>
    <w:rsid w:val="00851357"/>
    <w:rsid w:val="00851992"/>
    <w:rsid w:val="00852B22"/>
    <w:rsid w:val="0085350E"/>
    <w:rsid w:val="008538D0"/>
    <w:rsid w:val="0085415D"/>
    <w:rsid w:val="00854950"/>
    <w:rsid w:val="00854F34"/>
    <w:rsid w:val="00855C60"/>
    <w:rsid w:val="00855FBF"/>
    <w:rsid w:val="00856F1F"/>
    <w:rsid w:val="0085701D"/>
    <w:rsid w:val="00857276"/>
    <w:rsid w:val="00861DF8"/>
    <w:rsid w:val="00862B8D"/>
    <w:rsid w:val="00863D96"/>
    <w:rsid w:val="00865BD9"/>
    <w:rsid w:val="008661FD"/>
    <w:rsid w:val="008663BE"/>
    <w:rsid w:val="00866C14"/>
    <w:rsid w:val="00870194"/>
    <w:rsid w:val="00870231"/>
    <w:rsid w:val="00872BA3"/>
    <w:rsid w:val="0087392A"/>
    <w:rsid w:val="00874B03"/>
    <w:rsid w:val="00874CB1"/>
    <w:rsid w:val="00874FEF"/>
    <w:rsid w:val="008751A9"/>
    <w:rsid w:val="008771B3"/>
    <w:rsid w:val="00880695"/>
    <w:rsid w:val="008818D9"/>
    <w:rsid w:val="00881B31"/>
    <w:rsid w:val="00882121"/>
    <w:rsid w:val="00882168"/>
    <w:rsid w:val="008822BD"/>
    <w:rsid w:val="00884B7B"/>
    <w:rsid w:val="0088531A"/>
    <w:rsid w:val="008863A4"/>
    <w:rsid w:val="00886576"/>
    <w:rsid w:val="00886D90"/>
    <w:rsid w:val="00887725"/>
    <w:rsid w:val="008879A2"/>
    <w:rsid w:val="00887C37"/>
    <w:rsid w:val="00890F08"/>
    <w:rsid w:val="0089114D"/>
    <w:rsid w:val="00891B2F"/>
    <w:rsid w:val="00893413"/>
    <w:rsid w:val="00893F33"/>
    <w:rsid w:val="008958EC"/>
    <w:rsid w:val="0089675E"/>
    <w:rsid w:val="008A1FF5"/>
    <w:rsid w:val="008A2E9D"/>
    <w:rsid w:val="008A3368"/>
    <w:rsid w:val="008A551D"/>
    <w:rsid w:val="008A5532"/>
    <w:rsid w:val="008A61BA"/>
    <w:rsid w:val="008A67FC"/>
    <w:rsid w:val="008A78F0"/>
    <w:rsid w:val="008B0F3D"/>
    <w:rsid w:val="008B170E"/>
    <w:rsid w:val="008B248F"/>
    <w:rsid w:val="008B378C"/>
    <w:rsid w:val="008B4F67"/>
    <w:rsid w:val="008B53D9"/>
    <w:rsid w:val="008B64D5"/>
    <w:rsid w:val="008B666F"/>
    <w:rsid w:val="008B7266"/>
    <w:rsid w:val="008B78A9"/>
    <w:rsid w:val="008B7FE2"/>
    <w:rsid w:val="008C01BE"/>
    <w:rsid w:val="008C12F6"/>
    <w:rsid w:val="008C133E"/>
    <w:rsid w:val="008C2625"/>
    <w:rsid w:val="008C385B"/>
    <w:rsid w:val="008C52B6"/>
    <w:rsid w:val="008C721E"/>
    <w:rsid w:val="008D03A1"/>
    <w:rsid w:val="008D1132"/>
    <w:rsid w:val="008D1FAB"/>
    <w:rsid w:val="008D5799"/>
    <w:rsid w:val="008D67EA"/>
    <w:rsid w:val="008D71C5"/>
    <w:rsid w:val="008D7408"/>
    <w:rsid w:val="008D76F6"/>
    <w:rsid w:val="008E1F5D"/>
    <w:rsid w:val="008E25A2"/>
    <w:rsid w:val="008E3BF4"/>
    <w:rsid w:val="008E3E1F"/>
    <w:rsid w:val="008E4383"/>
    <w:rsid w:val="008E4983"/>
    <w:rsid w:val="008E6DF9"/>
    <w:rsid w:val="008F028D"/>
    <w:rsid w:val="008F0315"/>
    <w:rsid w:val="008F04B5"/>
    <w:rsid w:val="008F121C"/>
    <w:rsid w:val="008F12A3"/>
    <w:rsid w:val="008F12D9"/>
    <w:rsid w:val="008F2549"/>
    <w:rsid w:val="008F4930"/>
    <w:rsid w:val="008F57FE"/>
    <w:rsid w:val="008F5DFD"/>
    <w:rsid w:val="008F747E"/>
    <w:rsid w:val="009002BD"/>
    <w:rsid w:val="0090104C"/>
    <w:rsid w:val="00901701"/>
    <w:rsid w:val="00901B9A"/>
    <w:rsid w:val="009024E7"/>
    <w:rsid w:val="00902957"/>
    <w:rsid w:val="00903066"/>
    <w:rsid w:val="00904334"/>
    <w:rsid w:val="00905C2E"/>
    <w:rsid w:val="009064CC"/>
    <w:rsid w:val="0090785B"/>
    <w:rsid w:val="0091129C"/>
    <w:rsid w:val="009124F1"/>
    <w:rsid w:val="0091522A"/>
    <w:rsid w:val="00920F45"/>
    <w:rsid w:val="00921964"/>
    <w:rsid w:val="009226D2"/>
    <w:rsid w:val="00922B2F"/>
    <w:rsid w:val="00922BB4"/>
    <w:rsid w:val="00923D46"/>
    <w:rsid w:val="009241C3"/>
    <w:rsid w:val="0092486D"/>
    <w:rsid w:val="00924DB2"/>
    <w:rsid w:val="009254FA"/>
    <w:rsid w:val="00927839"/>
    <w:rsid w:val="009279F7"/>
    <w:rsid w:val="009302B5"/>
    <w:rsid w:val="00933A8C"/>
    <w:rsid w:val="00934107"/>
    <w:rsid w:val="009357A6"/>
    <w:rsid w:val="0093626F"/>
    <w:rsid w:val="00936610"/>
    <w:rsid w:val="0093770E"/>
    <w:rsid w:val="00940968"/>
    <w:rsid w:val="009421C4"/>
    <w:rsid w:val="0094316B"/>
    <w:rsid w:val="00943D71"/>
    <w:rsid w:val="00943DAB"/>
    <w:rsid w:val="009459BF"/>
    <w:rsid w:val="009471DA"/>
    <w:rsid w:val="00947D86"/>
    <w:rsid w:val="00950D6D"/>
    <w:rsid w:val="009521A0"/>
    <w:rsid w:val="00952EA7"/>
    <w:rsid w:val="009534A5"/>
    <w:rsid w:val="009537D0"/>
    <w:rsid w:val="00954706"/>
    <w:rsid w:val="0095774B"/>
    <w:rsid w:val="00960CD3"/>
    <w:rsid w:val="009619D3"/>
    <w:rsid w:val="00961C63"/>
    <w:rsid w:val="00962809"/>
    <w:rsid w:val="00964AB0"/>
    <w:rsid w:val="00966553"/>
    <w:rsid w:val="00967925"/>
    <w:rsid w:val="009729E1"/>
    <w:rsid w:val="00974847"/>
    <w:rsid w:val="00975A0E"/>
    <w:rsid w:val="00975E42"/>
    <w:rsid w:val="00976064"/>
    <w:rsid w:val="00976544"/>
    <w:rsid w:val="00977267"/>
    <w:rsid w:val="009776CD"/>
    <w:rsid w:val="00980EA8"/>
    <w:rsid w:val="009814E8"/>
    <w:rsid w:val="009823AA"/>
    <w:rsid w:val="00982591"/>
    <w:rsid w:val="009841B6"/>
    <w:rsid w:val="00984935"/>
    <w:rsid w:val="00984C28"/>
    <w:rsid w:val="009853C3"/>
    <w:rsid w:val="00987240"/>
    <w:rsid w:val="00987E3F"/>
    <w:rsid w:val="00990228"/>
    <w:rsid w:val="00990D52"/>
    <w:rsid w:val="00991623"/>
    <w:rsid w:val="00995CB5"/>
    <w:rsid w:val="00996113"/>
    <w:rsid w:val="009966CB"/>
    <w:rsid w:val="00996DC2"/>
    <w:rsid w:val="00996FB7"/>
    <w:rsid w:val="009974B8"/>
    <w:rsid w:val="009A087B"/>
    <w:rsid w:val="009A1610"/>
    <w:rsid w:val="009A1798"/>
    <w:rsid w:val="009A1D5D"/>
    <w:rsid w:val="009A25F5"/>
    <w:rsid w:val="009A3A85"/>
    <w:rsid w:val="009A4BE2"/>
    <w:rsid w:val="009A5488"/>
    <w:rsid w:val="009A5CD8"/>
    <w:rsid w:val="009A7278"/>
    <w:rsid w:val="009B01A2"/>
    <w:rsid w:val="009B023D"/>
    <w:rsid w:val="009B05D9"/>
    <w:rsid w:val="009B0D19"/>
    <w:rsid w:val="009B1D0D"/>
    <w:rsid w:val="009B2CD5"/>
    <w:rsid w:val="009B3B99"/>
    <w:rsid w:val="009B51BF"/>
    <w:rsid w:val="009B656A"/>
    <w:rsid w:val="009C0EC7"/>
    <w:rsid w:val="009C2593"/>
    <w:rsid w:val="009C41B5"/>
    <w:rsid w:val="009C4744"/>
    <w:rsid w:val="009C5A24"/>
    <w:rsid w:val="009D057C"/>
    <w:rsid w:val="009D1506"/>
    <w:rsid w:val="009D22CD"/>
    <w:rsid w:val="009D27F3"/>
    <w:rsid w:val="009D2D37"/>
    <w:rsid w:val="009D3E7B"/>
    <w:rsid w:val="009D43F3"/>
    <w:rsid w:val="009D5CE0"/>
    <w:rsid w:val="009D687E"/>
    <w:rsid w:val="009D6C31"/>
    <w:rsid w:val="009D747A"/>
    <w:rsid w:val="009E0794"/>
    <w:rsid w:val="009E08A4"/>
    <w:rsid w:val="009E29A9"/>
    <w:rsid w:val="009E35EB"/>
    <w:rsid w:val="009E3651"/>
    <w:rsid w:val="009E4013"/>
    <w:rsid w:val="009E4180"/>
    <w:rsid w:val="009E53D7"/>
    <w:rsid w:val="009E5BD8"/>
    <w:rsid w:val="009E66E7"/>
    <w:rsid w:val="009E6D68"/>
    <w:rsid w:val="009E78D3"/>
    <w:rsid w:val="009F1A8E"/>
    <w:rsid w:val="009F1E69"/>
    <w:rsid w:val="009F2549"/>
    <w:rsid w:val="009F2864"/>
    <w:rsid w:val="009F3781"/>
    <w:rsid w:val="009F3A86"/>
    <w:rsid w:val="009F405E"/>
    <w:rsid w:val="009F4F0D"/>
    <w:rsid w:val="009F5194"/>
    <w:rsid w:val="009F5574"/>
    <w:rsid w:val="009F5AED"/>
    <w:rsid w:val="009F71B7"/>
    <w:rsid w:val="009F73B2"/>
    <w:rsid w:val="009F7510"/>
    <w:rsid w:val="00A00749"/>
    <w:rsid w:val="00A00C71"/>
    <w:rsid w:val="00A049ED"/>
    <w:rsid w:val="00A0549D"/>
    <w:rsid w:val="00A06522"/>
    <w:rsid w:val="00A07548"/>
    <w:rsid w:val="00A07770"/>
    <w:rsid w:val="00A100EA"/>
    <w:rsid w:val="00A1149F"/>
    <w:rsid w:val="00A12998"/>
    <w:rsid w:val="00A13B8A"/>
    <w:rsid w:val="00A13BC5"/>
    <w:rsid w:val="00A13C29"/>
    <w:rsid w:val="00A1430A"/>
    <w:rsid w:val="00A15C1A"/>
    <w:rsid w:val="00A16AD7"/>
    <w:rsid w:val="00A1791B"/>
    <w:rsid w:val="00A20109"/>
    <w:rsid w:val="00A22321"/>
    <w:rsid w:val="00A22E34"/>
    <w:rsid w:val="00A23616"/>
    <w:rsid w:val="00A2385D"/>
    <w:rsid w:val="00A24BC4"/>
    <w:rsid w:val="00A250A1"/>
    <w:rsid w:val="00A262D5"/>
    <w:rsid w:val="00A26497"/>
    <w:rsid w:val="00A27314"/>
    <w:rsid w:val="00A276BA"/>
    <w:rsid w:val="00A27908"/>
    <w:rsid w:val="00A27EC5"/>
    <w:rsid w:val="00A31351"/>
    <w:rsid w:val="00A316EA"/>
    <w:rsid w:val="00A317F1"/>
    <w:rsid w:val="00A31E5F"/>
    <w:rsid w:val="00A31E74"/>
    <w:rsid w:val="00A32056"/>
    <w:rsid w:val="00A3381A"/>
    <w:rsid w:val="00A33850"/>
    <w:rsid w:val="00A34F26"/>
    <w:rsid w:val="00A35B24"/>
    <w:rsid w:val="00A36E89"/>
    <w:rsid w:val="00A3731C"/>
    <w:rsid w:val="00A373B7"/>
    <w:rsid w:val="00A373C3"/>
    <w:rsid w:val="00A37E3B"/>
    <w:rsid w:val="00A40287"/>
    <w:rsid w:val="00A40A1C"/>
    <w:rsid w:val="00A426C1"/>
    <w:rsid w:val="00A434DE"/>
    <w:rsid w:val="00A44EC5"/>
    <w:rsid w:val="00A45339"/>
    <w:rsid w:val="00A463D2"/>
    <w:rsid w:val="00A50445"/>
    <w:rsid w:val="00A5249D"/>
    <w:rsid w:val="00A52A5A"/>
    <w:rsid w:val="00A53D8E"/>
    <w:rsid w:val="00A54149"/>
    <w:rsid w:val="00A54511"/>
    <w:rsid w:val="00A5481D"/>
    <w:rsid w:val="00A5491D"/>
    <w:rsid w:val="00A5533C"/>
    <w:rsid w:val="00A555AA"/>
    <w:rsid w:val="00A5568B"/>
    <w:rsid w:val="00A57318"/>
    <w:rsid w:val="00A6013E"/>
    <w:rsid w:val="00A602D6"/>
    <w:rsid w:val="00A60C47"/>
    <w:rsid w:val="00A61FD2"/>
    <w:rsid w:val="00A629C5"/>
    <w:rsid w:val="00A670EC"/>
    <w:rsid w:val="00A70436"/>
    <w:rsid w:val="00A70AE2"/>
    <w:rsid w:val="00A7127F"/>
    <w:rsid w:val="00A71B43"/>
    <w:rsid w:val="00A71E99"/>
    <w:rsid w:val="00A745CB"/>
    <w:rsid w:val="00A7499B"/>
    <w:rsid w:val="00A75041"/>
    <w:rsid w:val="00A75402"/>
    <w:rsid w:val="00A76D4A"/>
    <w:rsid w:val="00A80B55"/>
    <w:rsid w:val="00A80C00"/>
    <w:rsid w:val="00A81E2B"/>
    <w:rsid w:val="00A831E4"/>
    <w:rsid w:val="00A86892"/>
    <w:rsid w:val="00A90983"/>
    <w:rsid w:val="00A90CE8"/>
    <w:rsid w:val="00A91C5C"/>
    <w:rsid w:val="00A92072"/>
    <w:rsid w:val="00A93AF7"/>
    <w:rsid w:val="00A94203"/>
    <w:rsid w:val="00A962A5"/>
    <w:rsid w:val="00A966AA"/>
    <w:rsid w:val="00A9761D"/>
    <w:rsid w:val="00AA067C"/>
    <w:rsid w:val="00AA1210"/>
    <w:rsid w:val="00AA13A4"/>
    <w:rsid w:val="00AA1CAE"/>
    <w:rsid w:val="00AA35B3"/>
    <w:rsid w:val="00AA5FD3"/>
    <w:rsid w:val="00AA7520"/>
    <w:rsid w:val="00AA7BF4"/>
    <w:rsid w:val="00AB089D"/>
    <w:rsid w:val="00AB0C60"/>
    <w:rsid w:val="00AB1718"/>
    <w:rsid w:val="00AB17B4"/>
    <w:rsid w:val="00AB2C96"/>
    <w:rsid w:val="00AB54F8"/>
    <w:rsid w:val="00AB6053"/>
    <w:rsid w:val="00AC420A"/>
    <w:rsid w:val="00AC5E0D"/>
    <w:rsid w:val="00AC5FE2"/>
    <w:rsid w:val="00AC7106"/>
    <w:rsid w:val="00AC7820"/>
    <w:rsid w:val="00AD33FC"/>
    <w:rsid w:val="00AD42FF"/>
    <w:rsid w:val="00AD5107"/>
    <w:rsid w:val="00AD58D2"/>
    <w:rsid w:val="00AD65EA"/>
    <w:rsid w:val="00AD6719"/>
    <w:rsid w:val="00AD6A15"/>
    <w:rsid w:val="00AD7B23"/>
    <w:rsid w:val="00AE02A1"/>
    <w:rsid w:val="00AE4A07"/>
    <w:rsid w:val="00AE4C39"/>
    <w:rsid w:val="00AE5D60"/>
    <w:rsid w:val="00AE7438"/>
    <w:rsid w:val="00AF1023"/>
    <w:rsid w:val="00AF1766"/>
    <w:rsid w:val="00AF1865"/>
    <w:rsid w:val="00AF27E2"/>
    <w:rsid w:val="00AF34A7"/>
    <w:rsid w:val="00AF4376"/>
    <w:rsid w:val="00AF4AF8"/>
    <w:rsid w:val="00AF4DBF"/>
    <w:rsid w:val="00AF4E44"/>
    <w:rsid w:val="00AF4FBA"/>
    <w:rsid w:val="00AF69BE"/>
    <w:rsid w:val="00B00D06"/>
    <w:rsid w:val="00B01142"/>
    <w:rsid w:val="00B01629"/>
    <w:rsid w:val="00B017F9"/>
    <w:rsid w:val="00B0232F"/>
    <w:rsid w:val="00B02D60"/>
    <w:rsid w:val="00B04A16"/>
    <w:rsid w:val="00B064EF"/>
    <w:rsid w:val="00B10E5D"/>
    <w:rsid w:val="00B10F23"/>
    <w:rsid w:val="00B11893"/>
    <w:rsid w:val="00B11AAD"/>
    <w:rsid w:val="00B12188"/>
    <w:rsid w:val="00B1450D"/>
    <w:rsid w:val="00B15BC7"/>
    <w:rsid w:val="00B168BB"/>
    <w:rsid w:val="00B20C7E"/>
    <w:rsid w:val="00B2270F"/>
    <w:rsid w:val="00B23990"/>
    <w:rsid w:val="00B24495"/>
    <w:rsid w:val="00B254CD"/>
    <w:rsid w:val="00B2626D"/>
    <w:rsid w:val="00B275A8"/>
    <w:rsid w:val="00B30A68"/>
    <w:rsid w:val="00B32380"/>
    <w:rsid w:val="00B33948"/>
    <w:rsid w:val="00B34086"/>
    <w:rsid w:val="00B351EC"/>
    <w:rsid w:val="00B3582D"/>
    <w:rsid w:val="00B40A59"/>
    <w:rsid w:val="00B40AB3"/>
    <w:rsid w:val="00B410A1"/>
    <w:rsid w:val="00B4166A"/>
    <w:rsid w:val="00B41703"/>
    <w:rsid w:val="00B423C6"/>
    <w:rsid w:val="00B44216"/>
    <w:rsid w:val="00B4481F"/>
    <w:rsid w:val="00B44E10"/>
    <w:rsid w:val="00B450D6"/>
    <w:rsid w:val="00B45D1A"/>
    <w:rsid w:val="00B46D3B"/>
    <w:rsid w:val="00B47289"/>
    <w:rsid w:val="00B505DC"/>
    <w:rsid w:val="00B52134"/>
    <w:rsid w:val="00B5230F"/>
    <w:rsid w:val="00B524F2"/>
    <w:rsid w:val="00B527E1"/>
    <w:rsid w:val="00B535EB"/>
    <w:rsid w:val="00B53853"/>
    <w:rsid w:val="00B53901"/>
    <w:rsid w:val="00B53E94"/>
    <w:rsid w:val="00B546C4"/>
    <w:rsid w:val="00B549B3"/>
    <w:rsid w:val="00B55628"/>
    <w:rsid w:val="00B55C95"/>
    <w:rsid w:val="00B60791"/>
    <w:rsid w:val="00B61636"/>
    <w:rsid w:val="00B6171D"/>
    <w:rsid w:val="00B62F23"/>
    <w:rsid w:val="00B62FC7"/>
    <w:rsid w:val="00B6391A"/>
    <w:rsid w:val="00B63C58"/>
    <w:rsid w:val="00B63F3A"/>
    <w:rsid w:val="00B644F6"/>
    <w:rsid w:val="00B6492B"/>
    <w:rsid w:val="00B653AD"/>
    <w:rsid w:val="00B664A3"/>
    <w:rsid w:val="00B71EB2"/>
    <w:rsid w:val="00B72A55"/>
    <w:rsid w:val="00B72D94"/>
    <w:rsid w:val="00B75D5B"/>
    <w:rsid w:val="00B7612D"/>
    <w:rsid w:val="00B80F97"/>
    <w:rsid w:val="00B8105A"/>
    <w:rsid w:val="00B814EF"/>
    <w:rsid w:val="00B822E9"/>
    <w:rsid w:val="00B82F88"/>
    <w:rsid w:val="00B84E49"/>
    <w:rsid w:val="00B8621D"/>
    <w:rsid w:val="00B876AC"/>
    <w:rsid w:val="00B87849"/>
    <w:rsid w:val="00B90B3A"/>
    <w:rsid w:val="00B92DB8"/>
    <w:rsid w:val="00B930A2"/>
    <w:rsid w:val="00B93A47"/>
    <w:rsid w:val="00B93BE2"/>
    <w:rsid w:val="00B93CCC"/>
    <w:rsid w:val="00B94A3D"/>
    <w:rsid w:val="00BA03E5"/>
    <w:rsid w:val="00BA1003"/>
    <w:rsid w:val="00BA2D5B"/>
    <w:rsid w:val="00BA3323"/>
    <w:rsid w:val="00BA4124"/>
    <w:rsid w:val="00BA51AC"/>
    <w:rsid w:val="00BA5802"/>
    <w:rsid w:val="00BA5D6D"/>
    <w:rsid w:val="00BA6D11"/>
    <w:rsid w:val="00BA7015"/>
    <w:rsid w:val="00BB260C"/>
    <w:rsid w:val="00BB36A0"/>
    <w:rsid w:val="00BB4757"/>
    <w:rsid w:val="00BB4EC9"/>
    <w:rsid w:val="00BC18CB"/>
    <w:rsid w:val="00BC2377"/>
    <w:rsid w:val="00BC2DC7"/>
    <w:rsid w:val="00BC30C1"/>
    <w:rsid w:val="00BC35D4"/>
    <w:rsid w:val="00BC3A18"/>
    <w:rsid w:val="00BC4C0E"/>
    <w:rsid w:val="00BC77B8"/>
    <w:rsid w:val="00BD2985"/>
    <w:rsid w:val="00BD2ADF"/>
    <w:rsid w:val="00BD2CBA"/>
    <w:rsid w:val="00BD3499"/>
    <w:rsid w:val="00BD5963"/>
    <w:rsid w:val="00BD7DAA"/>
    <w:rsid w:val="00BE0FEC"/>
    <w:rsid w:val="00BE1E80"/>
    <w:rsid w:val="00BE2274"/>
    <w:rsid w:val="00BE2E6B"/>
    <w:rsid w:val="00BE2F56"/>
    <w:rsid w:val="00BE3290"/>
    <w:rsid w:val="00BE49E5"/>
    <w:rsid w:val="00BE5184"/>
    <w:rsid w:val="00BE674D"/>
    <w:rsid w:val="00BE679D"/>
    <w:rsid w:val="00BE6B10"/>
    <w:rsid w:val="00BE7093"/>
    <w:rsid w:val="00BE7EBA"/>
    <w:rsid w:val="00BF03AA"/>
    <w:rsid w:val="00BF0EA5"/>
    <w:rsid w:val="00BF0F66"/>
    <w:rsid w:val="00BF1DFC"/>
    <w:rsid w:val="00BF32F7"/>
    <w:rsid w:val="00BF417A"/>
    <w:rsid w:val="00BF4F9C"/>
    <w:rsid w:val="00BF5DA2"/>
    <w:rsid w:val="00BF67D3"/>
    <w:rsid w:val="00BF7F27"/>
    <w:rsid w:val="00C01ABB"/>
    <w:rsid w:val="00C01D97"/>
    <w:rsid w:val="00C031AC"/>
    <w:rsid w:val="00C03EE0"/>
    <w:rsid w:val="00C03F26"/>
    <w:rsid w:val="00C03F72"/>
    <w:rsid w:val="00C04493"/>
    <w:rsid w:val="00C0541F"/>
    <w:rsid w:val="00C06311"/>
    <w:rsid w:val="00C0691D"/>
    <w:rsid w:val="00C11368"/>
    <w:rsid w:val="00C124DA"/>
    <w:rsid w:val="00C12A81"/>
    <w:rsid w:val="00C14E08"/>
    <w:rsid w:val="00C14EA0"/>
    <w:rsid w:val="00C159AA"/>
    <w:rsid w:val="00C1664A"/>
    <w:rsid w:val="00C16B74"/>
    <w:rsid w:val="00C16C6C"/>
    <w:rsid w:val="00C1709A"/>
    <w:rsid w:val="00C215B9"/>
    <w:rsid w:val="00C23473"/>
    <w:rsid w:val="00C27AD6"/>
    <w:rsid w:val="00C27D8A"/>
    <w:rsid w:val="00C306EF"/>
    <w:rsid w:val="00C30C28"/>
    <w:rsid w:val="00C322F5"/>
    <w:rsid w:val="00C33300"/>
    <w:rsid w:val="00C33A12"/>
    <w:rsid w:val="00C343D5"/>
    <w:rsid w:val="00C348DF"/>
    <w:rsid w:val="00C34A9D"/>
    <w:rsid w:val="00C35E13"/>
    <w:rsid w:val="00C36052"/>
    <w:rsid w:val="00C368EB"/>
    <w:rsid w:val="00C370F8"/>
    <w:rsid w:val="00C4092E"/>
    <w:rsid w:val="00C42200"/>
    <w:rsid w:val="00C42D72"/>
    <w:rsid w:val="00C43277"/>
    <w:rsid w:val="00C43441"/>
    <w:rsid w:val="00C44608"/>
    <w:rsid w:val="00C47E47"/>
    <w:rsid w:val="00C51C4E"/>
    <w:rsid w:val="00C520DC"/>
    <w:rsid w:val="00C523F6"/>
    <w:rsid w:val="00C5378A"/>
    <w:rsid w:val="00C5394B"/>
    <w:rsid w:val="00C549B6"/>
    <w:rsid w:val="00C55D57"/>
    <w:rsid w:val="00C55F33"/>
    <w:rsid w:val="00C568F9"/>
    <w:rsid w:val="00C56AE7"/>
    <w:rsid w:val="00C57B5A"/>
    <w:rsid w:val="00C60CCA"/>
    <w:rsid w:val="00C626B7"/>
    <w:rsid w:val="00C636DE"/>
    <w:rsid w:val="00C64DF4"/>
    <w:rsid w:val="00C66F1A"/>
    <w:rsid w:val="00C701BF"/>
    <w:rsid w:val="00C713DE"/>
    <w:rsid w:val="00C71B07"/>
    <w:rsid w:val="00C736D7"/>
    <w:rsid w:val="00C736E2"/>
    <w:rsid w:val="00C745F3"/>
    <w:rsid w:val="00C748A4"/>
    <w:rsid w:val="00C74D70"/>
    <w:rsid w:val="00C80679"/>
    <w:rsid w:val="00C8219F"/>
    <w:rsid w:val="00C821DF"/>
    <w:rsid w:val="00C82DC3"/>
    <w:rsid w:val="00C831D5"/>
    <w:rsid w:val="00C83C15"/>
    <w:rsid w:val="00C84163"/>
    <w:rsid w:val="00C848A1"/>
    <w:rsid w:val="00C84EBC"/>
    <w:rsid w:val="00C8641A"/>
    <w:rsid w:val="00C87266"/>
    <w:rsid w:val="00C87731"/>
    <w:rsid w:val="00C9064A"/>
    <w:rsid w:val="00C906E4"/>
    <w:rsid w:val="00C92853"/>
    <w:rsid w:val="00C92E7D"/>
    <w:rsid w:val="00C92F9D"/>
    <w:rsid w:val="00C946A2"/>
    <w:rsid w:val="00C94927"/>
    <w:rsid w:val="00C969A9"/>
    <w:rsid w:val="00C96A20"/>
    <w:rsid w:val="00C97062"/>
    <w:rsid w:val="00C97147"/>
    <w:rsid w:val="00CA134D"/>
    <w:rsid w:val="00CA20B7"/>
    <w:rsid w:val="00CA3F40"/>
    <w:rsid w:val="00CA42E7"/>
    <w:rsid w:val="00CA4735"/>
    <w:rsid w:val="00CA4EB0"/>
    <w:rsid w:val="00CA60AE"/>
    <w:rsid w:val="00CA62DB"/>
    <w:rsid w:val="00CA65AA"/>
    <w:rsid w:val="00CA6693"/>
    <w:rsid w:val="00CB05DA"/>
    <w:rsid w:val="00CB0B20"/>
    <w:rsid w:val="00CB17DD"/>
    <w:rsid w:val="00CB2F11"/>
    <w:rsid w:val="00CB495F"/>
    <w:rsid w:val="00CB62DD"/>
    <w:rsid w:val="00CB76FF"/>
    <w:rsid w:val="00CC01DE"/>
    <w:rsid w:val="00CC146D"/>
    <w:rsid w:val="00CC2540"/>
    <w:rsid w:val="00CC364C"/>
    <w:rsid w:val="00CC42F9"/>
    <w:rsid w:val="00CC4EA9"/>
    <w:rsid w:val="00CC4F74"/>
    <w:rsid w:val="00CC4FCE"/>
    <w:rsid w:val="00CC5607"/>
    <w:rsid w:val="00CC5FE3"/>
    <w:rsid w:val="00CC655B"/>
    <w:rsid w:val="00CC6A9C"/>
    <w:rsid w:val="00CD0B0B"/>
    <w:rsid w:val="00CD129E"/>
    <w:rsid w:val="00CD42D2"/>
    <w:rsid w:val="00CD604A"/>
    <w:rsid w:val="00CD7228"/>
    <w:rsid w:val="00CE10CD"/>
    <w:rsid w:val="00CE370D"/>
    <w:rsid w:val="00CE4579"/>
    <w:rsid w:val="00CE4E8F"/>
    <w:rsid w:val="00CE5582"/>
    <w:rsid w:val="00CE5AC0"/>
    <w:rsid w:val="00CE7565"/>
    <w:rsid w:val="00CF125B"/>
    <w:rsid w:val="00CF1B47"/>
    <w:rsid w:val="00CF2994"/>
    <w:rsid w:val="00CF2CB7"/>
    <w:rsid w:val="00CF6D9F"/>
    <w:rsid w:val="00CF71A7"/>
    <w:rsid w:val="00CF7827"/>
    <w:rsid w:val="00CF7E64"/>
    <w:rsid w:val="00D01DA0"/>
    <w:rsid w:val="00D020D0"/>
    <w:rsid w:val="00D02C71"/>
    <w:rsid w:val="00D02EAC"/>
    <w:rsid w:val="00D04219"/>
    <w:rsid w:val="00D043DA"/>
    <w:rsid w:val="00D04929"/>
    <w:rsid w:val="00D05A60"/>
    <w:rsid w:val="00D05EEA"/>
    <w:rsid w:val="00D06477"/>
    <w:rsid w:val="00D0659B"/>
    <w:rsid w:val="00D06B29"/>
    <w:rsid w:val="00D06DE5"/>
    <w:rsid w:val="00D07B6B"/>
    <w:rsid w:val="00D07DF9"/>
    <w:rsid w:val="00D10BC0"/>
    <w:rsid w:val="00D114F2"/>
    <w:rsid w:val="00D11729"/>
    <w:rsid w:val="00D11E19"/>
    <w:rsid w:val="00D11F32"/>
    <w:rsid w:val="00D11FD4"/>
    <w:rsid w:val="00D12EB8"/>
    <w:rsid w:val="00D1342B"/>
    <w:rsid w:val="00D13F32"/>
    <w:rsid w:val="00D14040"/>
    <w:rsid w:val="00D16AB8"/>
    <w:rsid w:val="00D16FCF"/>
    <w:rsid w:val="00D1720F"/>
    <w:rsid w:val="00D207B7"/>
    <w:rsid w:val="00D2245E"/>
    <w:rsid w:val="00D22928"/>
    <w:rsid w:val="00D22D67"/>
    <w:rsid w:val="00D24495"/>
    <w:rsid w:val="00D2524A"/>
    <w:rsid w:val="00D26DC9"/>
    <w:rsid w:val="00D27553"/>
    <w:rsid w:val="00D27A43"/>
    <w:rsid w:val="00D325B8"/>
    <w:rsid w:val="00D329D4"/>
    <w:rsid w:val="00D32DF3"/>
    <w:rsid w:val="00D32F46"/>
    <w:rsid w:val="00D33055"/>
    <w:rsid w:val="00D333BB"/>
    <w:rsid w:val="00D35488"/>
    <w:rsid w:val="00D354D6"/>
    <w:rsid w:val="00D355A3"/>
    <w:rsid w:val="00D35EA0"/>
    <w:rsid w:val="00D36C85"/>
    <w:rsid w:val="00D370BD"/>
    <w:rsid w:val="00D373C5"/>
    <w:rsid w:val="00D3781C"/>
    <w:rsid w:val="00D37991"/>
    <w:rsid w:val="00D40821"/>
    <w:rsid w:val="00D42A9A"/>
    <w:rsid w:val="00D445BC"/>
    <w:rsid w:val="00D45A11"/>
    <w:rsid w:val="00D45F13"/>
    <w:rsid w:val="00D46CA3"/>
    <w:rsid w:val="00D47F7F"/>
    <w:rsid w:val="00D514FF"/>
    <w:rsid w:val="00D533A6"/>
    <w:rsid w:val="00D53AB3"/>
    <w:rsid w:val="00D53D99"/>
    <w:rsid w:val="00D53D9D"/>
    <w:rsid w:val="00D545DC"/>
    <w:rsid w:val="00D55AF2"/>
    <w:rsid w:val="00D55F11"/>
    <w:rsid w:val="00D564B6"/>
    <w:rsid w:val="00D56DFB"/>
    <w:rsid w:val="00D57434"/>
    <w:rsid w:val="00D60806"/>
    <w:rsid w:val="00D60BCD"/>
    <w:rsid w:val="00D617F5"/>
    <w:rsid w:val="00D6257C"/>
    <w:rsid w:val="00D6280A"/>
    <w:rsid w:val="00D63764"/>
    <w:rsid w:val="00D64890"/>
    <w:rsid w:val="00D65096"/>
    <w:rsid w:val="00D67359"/>
    <w:rsid w:val="00D70D98"/>
    <w:rsid w:val="00D71EFA"/>
    <w:rsid w:val="00D720BD"/>
    <w:rsid w:val="00D72DB3"/>
    <w:rsid w:val="00D73E41"/>
    <w:rsid w:val="00D740D0"/>
    <w:rsid w:val="00D758D9"/>
    <w:rsid w:val="00D77A3F"/>
    <w:rsid w:val="00D80587"/>
    <w:rsid w:val="00D8107E"/>
    <w:rsid w:val="00D825CF"/>
    <w:rsid w:val="00D83A0B"/>
    <w:rsid w:val="00D8418B"/>
    <w:rsid w:val="00D84466"/>
    <w:rsid w:val="00D85BD6"/>
    <w:rsid w:val="00D86DC5"/>
    <w:rsid w:val="00D90CD4"/>
    <w:rsid w:val="00D91E9F"/>
    <w:rsid w:val="00D96520"/>
    <w:rsid w:val="00DA1ACC"/>
    <w:rsid w:val="00DA2BA3"/>
    <w:rsid w:val="00DA36A2"/>
    <w:rsid w:val="00DA4310"/>
    <w:rsid w:val="00DA44DB"/>
    <w:rsid w:val="00DA4C2A"/>
    <w:rsid w:val="00DA627D"/>
    <w:rsid w:val="00DA6ABD"/>
    <w:rsid w:val="00DA715D"/>
    <w:rsid w:val="00DA7D92"/>
    <w:rsid w:val="00DB08EE"/>
    <w:rsid w:val="00DB2BC1"/>
    <w:rsid w:val="00DB45B4"/>
    <w:rsid w:val="00DB4701"/>
    <w:rsid w:val="00DC2D59"/>
    <w:rsid w:val="00DC4E19"/>
    <w:rsid w:val="00DC61B0"/>
    <w:rsid w:val="00DC6440"/>
    <w:rsid w:val="00DD0DCF"/>
    <w:rsid w:val="00DD14F8"/>
    <w:rsid w:val="00DD175B"/>
    <w:rsid w:val="00DD2011"/>
    <w:rsid w:val="00DD29EE"/>
    <w:rsid w:val="00DD38C9"/>
    <w:rsid w:val="00DD3BBB"/>
    <w:rsid w:val="00DD3C7A"/>
    <w:rsid w:val="00DD4BF0"/>
    <w:rsid w:val="00DD4C47"/>
    <w:rsid w:val="00DD6B81"/>
    <w:rsid w:val="00DD7043"/>
    <w:rsid w:val="00DD790C"/>
    <w:rsid w:val="00DE0B6C"/>
    <w:rsid w:val="00DE173E"/>
    <w:rsid w:val="00DE18B1"/>
    <w:rsid w:val="00DE465A"/>
    <w:rsid w:val="00DE5670"/>
    <w:rsid w:val="00DE56E0"/>
    <w:rsid w:val="00DE5CD6"/>
    <w:rsid w:val="00DE5E49"/>
    <w:rsid w:val="00DE6318"/>
    <w:rsid w:val="00DE63E3"/>
    <w:rsid w:val="00DE7809"/>
    <w:rsid w:val="00DF0DE7"/>
    <w:rsid w:val="00DF100A"/>
    <w:rsid w:val="00DF25E1"/>
    <w:rsid w:val="00DF2730"/>
    <w:rsid w:val="00DF48EB"/>
    <w:rsid w:val="00DF4C0F"/>
    <w:rsid w:val="00DF4D34"/>
    <w:rsid w:val="00E00AAB"/>
    <w:rsid w:val="00E00E3D"/>
    <w:rsid w:val="00E02018"/>
    <w:rsid w:val="00E0374A"/>
    <w:rsid w:val="00E03E49"/>
    <w:rsid w:val="00E04E50"/>
    <w:rsid w:val="00E0511B"/>
    <w:rsid w:val="00E062F2"/>
    <w:rsid w:val="00E1036C"/>
    <w:rsid w:val="00E1121D"/>
    <w:rsid w:val="00E11E3D"/>
    <w:rsid w:val="00E142B5"/>
    <w:rsid w:val="00E14354"/>
    <w:rsid w:val="00E153A9"/>
    <w:rsid w:val="00E15449"/>
    <w:rsid w:val="00E15656"/>
    <w:rsid w:val="00E16644"/>
    <w:rsid w:val="00E17B85"/>
    <w:rsid w:val="00E2080C"/>
    <w:rsid w:val="00E214E8"/>
    <w:rsid w:val="00E21DB5"/>
    <w:rsid w:val="00E2281C"/>
    <w:rsid w:val="00E2293A"/>
    <w:rsid w:val="00E22981"/>
    <w:rsid w:val="00E238CB"/>
    <w:rsid w:val="00E243B4"/>
    <w:rsid w:val="00E2450C"/>
    <w:rsid w:val="00E24A9C"/>
    <w:rsid w:val="00E2515C"/>
    <w:rsid w:val="00E25DEF"/>
    <w:rsid w:val="00E25EF9"/>
    <w:rsid w:val="00E260E2"/>
    <w:rsid w:val="00E2646B"/>
    <w:rsid w:val="00E26509"/>
    <w:rsid w:val="00E26B88"/>
    <w:rsid w:val="00E26D56"/>
    <w:rsid w:val="00E27E04"/>
    <w:rsid w:val="00E30A80"/>
    <w:rsid w:val="00E312FC"/>
    <w:rsid w:val="00E35452"/>
    <w:rsid w:val="00E35FCB"/>
    <w:rsid w:val="00E36EA7"/>
    <w:rsid w:val="00E40BBC"/>
    <w:rsid w:val="00E41531"/>
    <w:rsid w:val="00E41901"/>
    <w:rsid w:val="00E42BBC"/>
    <w:rsid w:val="00E43164"/>
    <w:rsid w:val="00E43CCF"/>
    <w:rsid w:val="00E44AF8"/>
    <w:rsid w:val="00E44E81"/>
    <w:rsid w:val="00E45C67"/>
    <w:rsid w:val="00E46B90"/>
    <w:rsid w:val="00E53096"/>
    <w:rsid w:val="00E537C8"/>
    <w:rsid w:val="00E53D73"/>
    <w:rsid w:val="00E55663"/>
    <w:rsid w:val="00E56925"/>
    <w:rsid w:val="00E6009D"/>
    <w:rsid w:val="00E60346"/>
    <w:rsid w:val="00E6142B"/>
    <w:rsid w:val="00E62B42"/>
    <w:rsid w:val="00E636A0"/>
    <w:rsid w:val="00E63D08"/>
    <w:rsid w:val="00E63E69"/>
    <w:rsid w:val="00E64513"/>
    <w:rsid w:val="00E6481F"/>
    <w:rsid w:val="00E64F51"/>
    <w:rsid w:val="00E651CD"/>
    <w:rsid w:val="00E6724B"/>
    <w:rsid w:val="00E67443"/>
    <w:rsid w:val="00E70308"/>
    <w:rsid w:val="00E7100F"/>
    <w:rsid w:val="00E72465"/>
    <w:rsid w:val="00E726AD"/>
    <w:rsid w:val="00E72A18"/>
    <w:rsid w:val="00E72F08"/>
    <w:rsid w:val="00E7327A"/>
    <w:rsid w:val="00E73923"/>
    <w:rsid w:val="00E74AEA"/>
    <w:rsid w:val="00E74F72"/>
    <w:rsid w:val="00E7527B"/>
    <w:rsid w:val="00E769F8"/>
    <w:rsid w:val="00E774D9"/>
    <w:rsid w:val="00E81AEA"/>
    <w:rsid w:val="00E82BE6"/>
    <w:rsid w:val="00E83A49"/>
    <w:rsid w:val="00E83D3C"/>
    <w:rsid w:val="00E9259D"/>
    <w:rsid w:val="00E935B9"/>
    <w:rsid w:val="00E944E5"/>
    <w:rsid w:val="00E946F0"/>
    <w:rsid w:val="00E94862"/>
    <w:rsid w:val="00E95CBC"/>
    <w:rsid w:val="00EA0460"/>
    <w:rsid w:val="00EA0778"/>
    <w:rsid w:val="00EA1815"/>
    <w:rsid w:val="00EA1D91"/>
    <w:rsid w:val="00EA38A7"/>
    <w:rsid w:val="00EA6486"/>
    <w:rsid w:val="00EA6B66"/>
    <w:rsid w:val="00EA770B"/>
    <w:rsid w:val="00EA7C1A"/>
    <w:rsid w:val="00EB0649"/>
    <w:rsid w:val="00EB0B28"/>
    <w:rsid w:val="00EB1CBD"/>
    <w:rsid w:val="00EB1F18"/>
    <w:rsid w:val="00EB2FEF"/>
    <w:rsid w:val="00EB4165"/>
    <w:rsid w:val="00EB4603"/>
    <w:rsid w:val="00EB6A94"/>
    <w:rsid w:val="00EB72A2"/>
    <w:rsid w:val="00EB77ED"/>
    <w:rsid w:val="00EC0298"/>
    <w:rsid w:val="00EC1D95"/>
    <w:rsid w:val="00EC4402"/>
    <w:rsid w:val="00EC5204"/>
    <w:rsid w:val="00EC5472"/>
    <w:rsid w:val="00EC641C"/>
    <w:rsid w:val="00EC6F86"/>
    <w:rsid w:val="00EC70FC"/>
    <w:rsid w:val="00EC719F"/>
    <w:rsid w:val="00ED17BC"/>
    <w:rsid w:val="00ED255F"/>
    <w:rsid w:val="00ED25C6"/>
    <w:rsid w:val="00ED5AC1"/>
    <w:rsid w:val="00ED6259"/>
    <w:rsid w:val="00ED643E"/>
    <w:rsid w:val="00ED6EA2"/>
    <w:rsid w:val="00EE0A6E"/>
    <w:rsid w:val="00EE2695"/>
    <w:rsid w:val="00EE2C7A"/>
    <w:rsid w:val="00EE2D96"/>
    <w:rsid w:val="00EE3E6A"/>
    <w:rsid w:val="00EE4A4E"/>
    <w:rsid w:val="00EE5587"/>
    <w:rsid w:val="00EE6BDC"/>
    <w:rsid w:val="00EF2F0A"/>
    <w:rsid w:val="00EF430E"/>
    <w:rsid w:val="00EF5245"/>
    <w:rsid w:val="00EF56D0"/>
    <w:rsid w:val="00EF5E48"/>
    <w:rsid w:val="00EF5FEA"/>
    <w:rsid w:val="00EF6DDC"/>
    <w:rsid w:val="00EF6E97"/>
    <w:rsid w:val="00EF741F"/>
    <w:rsid w:val="00F0091C"/>
    <w:rsid w:val="00F01876"/>
    <w:rsid w:val="00F018D7"/>
    <w:rsid w:val="00F018D9"/>
    <w:rsid w:val="00F01D82"/>
    <w:rsid w:val="00F0365D"/>
    <w:rsid w:val="00F0398B"/>
    <w:rsid w:val="00F03BC2"/>
    <w:rsid w:val="00F04250"/>
    <w:rsid w:val="00F04F32"/>
    <w:rsid w:val="00F04FBF"/>
    <w:rsid w:val="00F055E6"/>
    <w:rsid w:val="00F0756B"/>
    <w:rsid w:val="00F075D1"/>
    <w:rsid w:val="00F100AA"/>
    <w:rsid w:val="00F10BEF"/>
    <w:rsid w:val="00F11290"/>
    <w:rsid w:val="00F14053"/>
    <w:rsid w:val="00F16D6D"/>
    <w:rsid w:val="00F16F72"/>
    <w:rsid w:val="00F16FA2"/>
    <w:rsid w:val="00F1754C"/>
    <w:rsid w:val="00F21BD4"/>
    <w:rsid w:val="00F230D5"/>
    <w:rsid w:val="00F2313F"/>
    <w:rsid w:val="00F237D4"/>
    <w:rsid w:val="00F25E48"/>
    <w:rsid w:val="00F27D12"/>
    <w:rsid w:val="00F30429"/>
    <w:rsid w:val="00F30A5B"/>
    <w:rsid w:val="00F32502"/>
    <w:rsid w:val="00F32E43"/>
    <w:rsid w:val="00F331E3"/>
    <w:rsid w:val="00F33480"/>
    <w:rsid w:val="00F33632"/>
    <w:rsid w:val="00F368F9"/>
    <w:rsid w:val="00F3729D"/>
    <w:rsid w:val="00F3742D"/>
    <w:rsid w:val="00F3796A"/>
    <w:rsid w:val="00F37C3B"/>
    <w:rsid w:val="00F37E06"/>
    <w:rsid w:val="00F406B7"/>
    <w:rsid w:val="00F4120B"/>
    <w:rsid w:val="00F41A16"/>
    <w:rsid w:val="00F42046"/>
    <w:rsid w:val="00F42B56"/>
    <w:rsid w:val="00F43134"/>
    <w:rsid w:val="00F43CAE"/>
    <w:rsid w:val="00F444B7"/>
    <w:rsid w:val="00F44896"/>
    <w:rsid w:val="00F459A2"/>
    <w:rsid w:val="00F4657B"/>
    <w:rsid w:val="00F465B3"/>
    <w:rsid w:val="00F467E4"/>
    <w:rsid w:val="00F4755F"/>
    <w:rsid w:val="00F47B49"/>
    <w:rsid w:val="00F500EB"/>
    <w:rsid w:val="00F50317"/>
    <w:rsid w:val="00F50532"/>
    <w:rsid w:val="00F51817"/>
    <w:rsid w:val="00F53B29"/>
    <w:rsid w:val="00F53D7E"/>
    <w:rsid w:val="00F53E3D"/>
    <w:rsid w:val="00F53EF7"/>
    <w:rsid w:val="00F540C3"/>
    <w:rsid w:val="00F5460F"/>
    <w:rsid w:val="00F56456"/>
    <w:rsid w:val="00F575B2"/>
    <w:rsid w:val="00F57F26"/>
    <w:rsid w:val="00F60088"/>
    <w:rsid w:val="00F6331E"/>
    <w:rsid w:val="00F653D1"/>
    <w:rsid w:val="00F65AF2"/>
    <w:rsid w:val="00F65D84"/>
    <w:rsid w:val="00F6611E"/>
    <w:rsid w:val="00F66DD0"/>
    <w:rsid w:val="00F67791"/>
    <w:rsid w:val="00F67B40"/>
    <w:rsid w:val="00F67DB2"/>
    <w:rsid w:val="00F717B7"/>
    <w:rsid w:val="00F719E2"/>
    <w:rsid w:val="00F737A0"/>
    <w:rsid w:val="00F749B9"/>
    <w:rsid w:val="00F74FAA"/>
    <w:rsid w:val="00F750B7"/>
    <w:rsid w:val="00F75237"/>
    <w:rsid w:val="00F75E70"/>
    <w:rsid w:val="00F76232"/>
    <w:rsid w:val="00F77277"/>
    <w:rsid w:val="00F77D05"/>
    <w:rsid w:val="00F80BE1"/>
    <w:rsid w:val="00F80DCE"/>
    <w:rsid w:val="00F81E94"/>
    <w:rsid w:val="00F83DF7"/>
    <w:rsid w:val="00F84910"/>
    <w:rsid w:val="00F85D0C"/>
    <w:rsid w:val="00F8622B"/>
    <w:rsid w:val="00F8650A"/>
    <w:rsid w:val="00F87686"/>
    <w:rsid w:val="00F8771F"/>
    <w:rsid w:val="00F903A6"/>
    <w:rsid w:val="00F90EBD"/>
    <w:rsid w:val="00F91BB0"/>
    <w:rsid w:val="00F91C44"/>
    <w:rsid w:val="00F934BB"/>
    <w:rsid w:val="00F93D38"/>
    <w:rsid w:val="00F95298"/>
    <w:rsid w:val="00F964AA"/>
    <w:rsid w:val="00F9745D"/>
    <w:rsid w:val="00FA1660"/>
    <w:rsid w:val="00FA26E4"/>
    <w:rsid w:val="00FA2F83"/>
    <w:rsid w:val="00FA4140"/>
    <w:rsid w:val="00FA4701"/>
    <w:rsid w:val="00FA5638"/>
    <w:rsid w:val="00FA60BB"/>
    <w:rsid w:val="00FA7071"/>
    <w:rsid w:val="00FB029D"/>
    <w:rsid w:val="00FB0F7C"/>
    <w:rsid w:val="00FB1728"/>
    <w:rsid w:val="00FB1EF5"/>
    <w:rsid w:val="00FB2F4A"/>
    <w:rsid w:val="00FB3093"/>
    <w:rsid w:val="00FB41E4"/>
    <w:rsid w:val="00FB452D"/>
    <w:rsid w:val="00FB4900"/>
    <w:rsid w:val="00FB5508"/>
    <w:rsid w:val="00FB5D70"/>
    <w:rsid w:val="00FB650D"/>
    <w:rsid w:val="00FB68BB"/>
    <w:rsid w:val="00FB7205"/>
    <w:rsid w:val="00FC07BE"/>
    <w:rsid w:val="00FC07DA"/>
    <w:rsid w:val="00FC0BAF"/>
    <w:rsid w:val="00FC0CAF"/>
    <w:rsid w:val="00FC0DF6"/>
    <w:rsid w:val="00FC102A"/>
    <w:rsid w:val="00FC18B4"/>
    <w:rsid w:val="00FC1D2F"/>
    <w:rsid w:val="00FC3713"/>
    <w:rsid w:val="00FC6EE9"/>
    <w:rsid w:val="00FC7404"/>
    <w:rsid w:val="00FC7944"/>
    <w:rsid w:val="00FC7EF7"/>
    <w:rsid w:val="00FD0EA5"/>
    <w:rsid w:val="00FD231D"/>
    <w:rsid w:val="00FD2394"/>
    <w:rsid w:val="00FD2B90"/>
    <w:rsid w:val="00FD5A1F"/>
    <w:rsid w:val="00FE0558"/>
    <w:rsid w:val="00FE067D"/>
    <w:rsid w:val="00FE192E"/>
    <w:rsid w:val="00FE283D"/>
    <w:rsid w:val="00FE2BA5"/>
    <w:rsid w:val="00FE3930"/>
    <w:rsid w:val="00FE4587"/>
    <w:rsid w:val="00FE5667"/>
    <w:rsid w:val="00FE682C"/>
    <w:rsid w:val="00FE7658"/>
    <w:rsid w:val="00FF0062"/>
    <w:rsid w:val="00FF0C8B"/>
    <w:rsid w:val="00FF2E5F"/>
    <w:rsid w:val="00FF2FC6"/>
    <w:rsid w:val="00FF3105"/>
    <w:rsid w:val="00FF3B0B"/>
    <w:rsid w:val="00FF451B"/>
    <w:rsid w:val="00FF6792"/>
    <w:rsid w:val="00FF71EF"/>
    <w:rsid w:val="00FF7EA5"/>
    <w:rsid w:val="05D80B14"/>
    <w:rsid w:val="08D66996"/>
    <w:rsid w:val="096CC448"/>
    <w:rsid w:val="14E8465C"/>
    <w:rsid w:val="1A5CA2D8"/>
    <w:rsid w:val="24BF3716"/>
    <w:rsid w:val="29737FBB"/>
    <w:rsid w:val="3C69CC66"/>
    <w:rsid w:val="409AF603"/>
    <w:rsid w:val="520D1AC3"/>
    <w:rsid w:val="581844E6"/>
    <w:rsid w:val="5BD4DE0B"/>
    <w:rsid w:val="651F082A"/>
    <w:rsid w:val="674BA16B"/>
    <w:rsid w:val="69A893E2"/>
    <w:rsid w:val="6B47F44D"/>
    <w:rsid w:val="6BF366FF"/>
    <w:rsid w:val="7290C1A6"/>
    <w:rsid w:val="7E8F83FC"/>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09A24C"/>
  <w15:chartTrackingRefBased/>
  <w15:docId w15:val="{24A2904C-5D0E-4117-ACE6-DAA3CD188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sk" w:eastAsia="sk-SK"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11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1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11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11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F11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F1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F1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F1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F1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1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1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11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F11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F11B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F1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F11B9"/>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F1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F11B9"/>
    <w:rPr>
      <w:rFonts w:eastAsiaTheme="majorEastAsia" w:cstheme="majorBidi"/>
      <w:color w:val="272727" w:themeColor="text1" w:themeTint="D8"/>
    </w:rPr>
  </w:style>
  <w:style w:type="paragraph" w:styleId="Title">
    <w:name w:val="Title"/>
    <w:basedOn w:val="Normal"/>
    <w:next w:val="Normal"/>
    <w:link w:val="TitleChar"/>
    <w:uiPriority w:val="10"/>
    <w:qFormat/>
    <w:rsid w:val="005F11B9"/>
    <w:pPr>
      <w:spacing w:after="8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rsid w:val="005F11B9"/>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qFormat/>
    <w:rsid w:val="005F11B9"/>
    <w:pPr>
      <w:numPr>
        <w:ilvl w:val="1"/>
      </w:numPr>
    </w:pPr>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5F11B9"/>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005F11B9"/>
    <w:pPr>
      <w:spacing w:before="160"/>
      <w:jc w:val="center"/>
    </w:pPr>
    <w:rPr>
      <w:i/>
      <w:iCs/>
      <w:color w:val="404040" w:themeColor="text1" w:themeTint="BF"/>
    </w:rPr>
  </w:style>
  <w:style w:type="character" w:customStyle="1" w:styleId="QuoteChar">
    <w:name w:val="Quote Char"/>
    <w:basedOn w:val="DefaultParagraphFont"/>
    <w:link w:val="Quote"/>
    <w:uiPriority w:val="29"/>
    <w:rsid w:val="005F11B9"/>
    <w:rPr>
      <w:i/>
      <w:iCs/>
      <w:color w:val="404040" w:themeColor="text1" w:themeTint="BF"/>
    </w:rPr>
  </w:style>
  <w:style w:type="paragraph" w:styleId="ListParagraph">
    <w:name w:val="List Paragraph"/>
    <w:aliases w:val="numbered list,2,OBC Bullet,Normal 1,Task Body,Viñetas (Inicio Parrafo),3 Txt tabla,Zerrenda-paragrafoa,Fiche List Paragraph,Dot pt,F5 List Paragraph,List Paragraph1,No Spacing1,List Paragraph Char Char Char,Indicator Text,Bullets,L,EC"/>
    <w:basedOn w:val="Normal"/>
    <w:link w:val="ListParagraphChar"/>
    <w:uiPriority w:val="34"/>
    <w:qFormat/>
    <w:rsid w:val="005F11B9"/>
    <w:pPr>
      <w:ind w:left="720"/>
      <w:contextualSpacing/>
    </w:pPr>
  </w:style>
  <w:style w:type="character" w:styleId="IntenseEmphasis">
    <w:name w:val="Intense Emphasis"/>
    <w:basedOn w:val="DefaultParagraphFont"/>
    <w:uiPriority w:val="21"/>
    <w:qFormat/>
    <w:rsid w:val="005F11B9"/>
    <w:rPr>
      <w:i/>
      <w:iCs/>
      <w:color w:val="0F4761" w:themeColor="accent1" w:themeShade="BF"/>
    </w:rPr>
  </w:style>
  <w:style w:type="paragraph" w:styleId="IntenseQuote">
    <w:name w:val="Intense Quote"/>
    <w:basedOn w:val="Normal"/>
    <w:next w:val="Normal"/>
    <w:link w:val="IntenseQuoteChar"/>
    <w:uiPriority w:val="30"/>
    <w:qFormat/>
    <w:rsid w:val="005F11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1B9"/>
    <w:rPr>
      <w:i/>
      <w:iCs/>
      <w:color w:val="0F4761" w:themeColor="accent1" w:themeShade="BF"/>
    </w:rPr>
  </w:style>
  <w:style w:type="character" w:styleId="IntenseReference">
    <w:name w:val="Intense Reference"/>
    <w:basedOn w:val="DefaultParagraphFont"/>
    <w:uiPriority w:val="32"/>
    <w:qFormat/>
    <w:rsid w:val="005F11B9"/>
    <w:rPr>
      <w:b/>
      <w:bCs/>
      <w:smallCaps/>
      <w:color w:val="0F4761" w:themeColor="accent1" w:themeShade="BF"/>
    </w:rPr>
  </w:style>
  <w:style w:type="character" w:styleId="Hyperlink">
    <w:name w:val="Hyperlink"/>
    <w:basedOn w:val="DefaultParagraphFont"/>
    <w:uiPriority w:val="99"/>
    <w:unhideWhenUsed/>
    <w:rsid w:val="005F11B9"/>
    <w:rPr>
      <w:color w:val="467886" w:themeColor="hyperlink"/>
      <w:u w:val="single"/>
    </w:rPr>
  </w:style>
  <w:style w:type="character" w:styleId="FollowedHyperlink">
    <w:name w:val="FollowedHyperlink"/>
    <w:basedOn w:val="DefaultParagraphFont"/>
    <w:uiPriority w:val="99"/>
    <w:semiHidden/>
    <w:unhideWhenUsed/>
    <w:rsid w:val="005F11B9"/>
    <w:rPr>
      <w:color w:val="96607D" w:themeColor="followedHyperlink"/>
      <w:u w:val="single"/>
    </w:rPr>
  </w:style>
  <w:style w:type="paragraph" w:customStyle="1" w:styleId="Text1">
    <w:name w:val="Text 1"/>
    <w:basedOn w:val="Normal"/>
    <w:rsid w:val="005F11B9"/>
    <w:pPr>
      <w:spacing w:before="120" w:after="120" w:line="240" w:lineRule="auto"/>
      <w:ind w:left="850"/>
      <w:jc w:val="both"/>
    </w:pPr>
    <w:rPr>
      <w:rFonts w:ascii="Times New Roman" w:eastAsia="Times New Roman" w:hAnsi="Times New Roman" w:cs="Times New Roman"/>
      <w:kern w:val="0"/>
      <w:sz w:val="24"/>
      <w:szCs w:val="24"/>
    </w:rPr>
  </w:style>
  <w:style w:type="paragraph" w:customStyle="1" w:styleId="msonormal0">
    <w:name w:val="msonormal"/>
    <w:basedOn w:val="Normal"/>
    <w:uiPriority w:val="99"/>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NormalWeb">
    <w:name w:val="Normal (Web)"/>
    <w:basedOn w:val="Normal"/>
    <w:uiPriority w:val="99"/>
    <w:unhideWhenUsed/>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TOC1">
    <w:name w:val="toc 1"/>
    <w:basedOn w:val="Normal"/>
    <w:next w:val="Normal"/>
    <w:autoRedefine/>
    <w:uiPriority w:val="39"/>
    <w:semiHidden/>
    <w:unhideWhenUsed/>
    <w:rsid w:val="005F11B9"/>
    <w:pPr>
      <w:numPr>
        <w:numId w:val="1"/>
      </w:numPr>
      <w:tabs>
        <w:tab w:val="right" w:leader="dot" w:pos="9071"/>
      </w:tabs>
      <w:spacing w:before="60" w:after="120" w:line="240" w:lineRule="auto"/>
    </w:pPr>
    <w:rPr>
      <w:rFonts w:ascii="Times New Roman" w:eastAsia="Times New Roman" w:hAnsi="Times New Roman" w:cs="Times New Roman"/>
      <w:kern w:val="0"/>
      <w:sz w:val="24"/>
      <w:szCs w:val="24"/>
    </w:rPr>
  </w:style>
  <w:style w:type="paragraph" w:styleId="TOC2">
    <w:name w:val="toc 2"/>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3">
    <w:name w:val="toc 3"/>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4">
    <w:name w:val="toc 4"/>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5">
    <w:name w:val="toc 5"/>
    <w:basedOn w:val="Normal"/>
    <w:next w:val="Normal"/>
    <w:autoRedefine/>
    <w:uiPriority w:val="39"/>
    <w:semiHidden/>
    <w:unhideWhenUsed/>
    <w:rsid w:val="005F11B9"/>
    <w:pPr>
      <w:tabs>
        <w:tab w:val="right" w:leader="dot" w:pos="9071"/>
      </w:tabs>
      <w:spacing w:before="300" w:after="120" w:line="240" w:lineRule="auto"/>
    </w:pPr>
    <w:rPr>
      <w:rFonts w:ascii="Times New Roman" w:eastAsia="Times New Roman" w:hAnsi="Times New Roman" w:cs="Times New Roman"/>
      <w:kern w:val="0"/>
      <w:sz w:val="24"/>
      <w:szCs w:val="24"/>
    </w:rPr>
  </w:style>
  <w:style w:type="paragraph" w:styleId="TOC6">
    <w:name w:val="toc 6"/>
    <w:basedOn w:val="Normal"/>
    <w:next w:val="Normal"/>
    <w:autoRedefine/>
    <w:uiPriority w:val="39"/>
    <w:semiHidden/>
    <w:unhideWhenUsed/>
    <w:rsid w:val="005F11B9"/>
    <w:pPr>
      <w:tabs>
        <w:tab w:val="right" w:leader="dot" w:pos="9071"/>
      </w:tabs>
      <w:spacing w:before="240" w:after="120" w:line="240" w:lineRule="auto"/>
    </w:pPr>
    <w:rPr>
      <w:rFonts w:ascii="Times New Roman" w:eastAsia="Times New Roman" w:hAnsi="Times New Roman" w:cs="Times New Roman"/>
      <w:kern w:val="0"/>
      <w:sz w:val="24"/>
      <w:szCs w:val="24"/>
    </w:rPr>
  </w:style>
  <w:style w:type="paragraph" w:styleId="TOC7">
    <w:name w:val="toc 7"/>
    <w:basedOn w:val="Normal"/>
    <w:next w:val="Normal"/>
    <w:autoRedefine/>
    <w:uiPriority w:val="39"/>
    <w:semiHidden/>
    <w:unhideWhenUsed/>
    <w:rsid w:val="005F11B9"/>
    <w:pPr>
      <w:tabs>
        <w:tab w:val="right" w:leader="dot" w:pos="9071"/>
      </w:tabs>
      <w:spacing w:before="180" w:after="120" w:line="240" w:lineRule="auto"/>
    </w:pPr>
    <w:rPr>
      <w:rFonts w:ascii="Times New Roman" w:eastAsia="Times New Roman" w:hAnsi="Times New Roman" w:cs="Times New Roman"/>
      <w:kern w:val="0"/>
      <w:sz w:val="24"/>
      <w:szCs w:val="24"/>
    </w:rPr>
  </w:style>
  <w:style w:type="paragraph" w:styleId="TOC8">
    <w:name w:val="toc 8"/>
    <w:basedOn w:val="Normal"/>
    <w:next w:val="Normal"/>
    <w:autoRedefine/>
    <w:uiPriority w:val="39"/>
    <w:semiHidden/>
    <w:unhideWhenUsed/>
    <w:rsid w:val="005F11B9"/>
    <w:pPr>
      <w:tabs>
        <w:tab w:val="right" w:leader="dot" w:pos="9071"/>
      </w:tabs>
      <w:spacing w:before="120" w:after="120" w:line="240" w:lineRule="auto"/>
    </w:pPr>
    <w:rPr>
      <w:rFonts w:ascii="Times New Roman" w:eastAsia="Times New Roman" w:hAnsi="Times New Roman" w:cs="Times New Roman"/>
      <w:kern w:val="0"/>
      <w:sz w:val="24"/>
      <w:szCs w:val="24"/>
    </w:rPr>
  </w:style>
  <w:style w:type="paragraph" w:styleId="TOC9">
    <w:name w:val="toc 9"/>
    <w:basedOn w:val="Normal"/>
    <w:next w:val="Normal"/>
    <w:autoRedefine/>
    <w:uiPriority w:val="39"/>
    <w:semiHidden/>
    <w:unhideWhenUsed/>
    <w:rsid w:val="005F11B9"/>
    <w:pPr>
      <w:tabs>
        <w:tab w:val="right" w:leader="dot" w:pos="9071"/>
      </w:tabs>
      <w:spacing w:before="120" w:after="120" w:line="240" w:lineRule="auto"/>
      <w:jc w:val="both"/>
    </w:pPr>
    <w:rPr>
      <w:rFonts w:ascii="Times New Roman" w:eastAsia="Times New Roman" w:hAnsi="Times New Roman" w:cs="Times New Roman"/>
      <w:kern w:val="0"/>
      <w:sz w:val="24"/>
      <w:szCs w:val="24"/>
    </w:rPr>
  </w:style>
  <w:style w:type="character" w:customStyle="1" w:styleId="FootnoteTextChar">
    <w:name w:val="Footnote Text Char"/>
    <w:aliases w:val="Schriftart: 9 pt Char,Schriftart: 10 pt Char,Schriftart: 8 pt Char,WB-Fußnotentext Char,FoodNote Char,ft Char,Footnote text Char,Footnote Char,Footnote Text Char Char Char,Footnote Text Char1 Char Char Char,fn Char1,f Char1,Char Char1"/>
    <w:basedOn w:val="DefaultParagraphFont"/>
    <w:link w:val="FootnoteText"/>
    <w:uiPriority w:val="99"/>
    <w:locked/>
    <w:rsid w:val="005F11B9"/>
    <w:rPr>
      <w:rFonts w:ascii="Times New Roman" w:eastAsia="Times New Roman" w:hAnsi="Times New Roman" w:cs="Times New Roman"/>
      <w:sz w:val="20"/>
      <w:szCs w:val="20"/>
    </w:rPr>
  </w:style>
  <w:style w:type="paragraph" w:styleId="FootnoteText">
    <w:name w:val="footnote text"/>
    <w:aliases w:val="Schriftart: 9 pt,Schriftart: 10 pt,Schriftart: 8 pt,WB-Fußnotentext,FoodNote,ft,Footnote text,Footnote,Footnote Text Char Char,Footnote Text Char1 Char Char,Footnote Text Char Char Char Char,fn,f,Char,Voetnoottekst Char"/>
    <w:basedOn w:val="Normal"/>
    <w:link w:val="FootnoteTextChar"/>
    <w:uiPriority w:val="99"/>
    <w:unhideWhenUsed/>
    <w:rsid w:val="005F11B9"/>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1">
    <w:name w:val="Footnote Text Char1"/>
    <w:basedOn w:val="DefaultParagraphFont"/>
    <w:uiPriority w:val="99"/>
    <w:semiHidden/>
    <w:rsid w:val="005F11B9"/>
    <w:rPr>
      <w:sz w:val="20"/>
      <w:szCs w:val="20"/>
    </w:rPr>
  </w:style>
  <w:style w:type="character" w:customStyle="1" w:styleId="FootnoteTextChar2">
    <w:name w:val="Footnote Text Char2"/>
    <w:aliases w:val="Schriftart: 9 pt Char1,Schriftart: 10 pt Char1,Schriftart: 8 pt Char1,WB-Fußnotentext Char1,FoodNote Char1,ft Char1,Footnote text Char1,Footnote Char1,Footnote Text Char1 Char1,Footnote Text Char Char Char1,fn Char,f Char,Char Char"/>
    <w:basedOn w:val="DefaultParagraphFont"/>
    <w:uiPriority w:val="99"/>
    <w:semiHidden/>
    <w:rsid w:val="005F11B9"/>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5F11B9"/>
    <w:pPr>
      <w:spacing w:before="120" w:after="120" w:line="240" w:lineRule="auto"/>
      <w:jc w:val="both"/>
    </w:pPr>
    <w:rPr>
      <w:rFonts w:ascii="Times New Roman" w:eastAsia="Times New Roman" w:hAnsi="Times New Roman" w:cs="Times New Roman"/>
      <w:kern w:val="0"/>
      <w:sz w:val="20"/>
      <w:szCs w:val="20"/>
    </w:rPr>
  </w:style>
  <w:style w:type="character" w:customStyle="1" w:styleId="CommentTextChar">
    <w:name w:val="Comment Text Char"/>
    <w:basedOn w:val="DefaultParagraphFont"/>
    <w:link w:val="CommentText"/>
    <w:uiPriority w:val="99"/>
    <w:rsid w:val="005F11B9"/>
    <w:rPr>
      <w:rFonts w:ascii="Times New Roman" w:eastAsia="Times New Roman" w:hAnsi="Times New Roman" w:cs="Times New Roman"/>
      <w:kern w:val="0"/>
      <w:sz w:val="20"/>
      <w:szCs w:val="20"/>
    </w:rPr>
  </w:style>
  <w:style w:type="paragraph" w:styleId="Header">
    <w:name w:val="header"/>
    <w:basedOn w:val="Normal"/>
    <w:link w:val="HeaderChar"/>
    <w:uiPriority w:val="99"/>
    <w:unhideWhenUsed/>
    <w:rsid w:val="005F11B9"/>
    <w:pPr>
      <w:tabs>
        <w:tab w:val="center" w:pos="4535"/>
        <w:tab w:val="right" w:pos="9071"/>
      </w:tabs>
      <w:spacing w:after="120" w:line="240" w:lineRule="auto"/>
      <w:jc w:val="both"/>
    </w:pPr>
    <w:rPr>
      <w:rFonts w:ascii="Times New Roman" w:eastAsia="Times New Roman" w:hAnsi="Times New Roman" w:cs="Times New Roman"/>
      <w:kern w:val="0"/>
      <w:sz w:val="24"/>
      <w:szCs w:val="24"/>
    </w:rPr>
  </w:style>
  <w:style w:type="character" w:customStyle="1" w:styleId="HeaderChar">
    <w:name w:val="Header Char"/>
    <w:basedOn w:val="DefaultParagraphFont"/>
    <w:link w:val="Header"/>
    <w:uiPriority w:val="99"/>
    <w:rsid w:val="005F11B9"/>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5F11B9"/>
    <w:pPr>
      <w:tabs>
        <w:tab w:val="center" w:pos="4535"/>
        <w:tab w:val="right" w:pos="9071"/>
        <w:tab w:val="right" w:pos="9921"/>
      </w:tabs>
      <w:spacing w:before="360" w:after="0" w:line="240" w:lineRule="auto"/>
      <w:ind w:left="-850" w:right="-850"/>
    </w:pPr>
    <w:rPr>
      <w:rFonts w:ascii="Times New Roman" w:eastAsia="Times New Roman" w:hAnsi="Times New Roman" w:cs="Times New Roman"/>
      <w:kern w:val="0"/>
      <w:sz w:val="24"/>
      <w:szCs w:val="24"/>
    </w:rPr>
  </w:style>
  <w:style w:type="character" w:customStyle="1" w:styleId="FooterChar">
    <w:name w:val="Footer Char"/>
    <w:basedOn w:val="DefaultParagraphFont"/>
    <w:link w:val="Footer"/>
    <w:uiPriority w:val="99"/>
    <w:rsid w:val="005F11B9"/>
    <w:rPr>
      <w:rFonts w:ascii="Times New Roman" w:eastAsia="Times New Roman" w:hAnsi="Times New Roman" w:cs="Times New Roman"/>
      <w:kern w:val="0"/>
      <w:sz w:val="24"/>
      <w:szCs w:val="24"/>
    </w:rPr>
  </w:style>
  <w:style w:type="paragraph" w:styleId="Caption">
    <w:name w:val="caption"/>
    <w:basedOn w:val="Normal"/>
    <w:next w:val="Normal"/>
    <w:uiPriority w:val="35"/>
    <w:semiHidden/>
    <w:unhideWhenUsed/>
    <w:qFormat/>
    <w:rsid w:val="005F11B9"/>
    <w:pPr>
      <w:spacing w:after="200" w:line="240" w:lineRule="auto"/>
      <w:jc w:val="both"/>
    </w:pPr>
    <w:rPr>
      <w:rFonts w:ascii="Times New Roman" w:hAnsi="Times New Roman" w:cs="Times New Roman"/>
      <w:i/>
      <w:iCs/>
      <w:color w:val="0E2841" w:themeColor="text2"/>
      <w:kern w:val="0"/>
      <w:sz w:val="18"/>
      <w:szCs w:val="18"/>
    </w:rPr>
  </w:style>
  <w:style w:type="paragraph" w:styleId="TableofFigures">
    <w:name w:val="table of figures"/>
    <w:basedOn w:val="Normal"/>
    <w:next w:val="Normal"/>
    <w:uiPriority w:val="99"/>
    <w:semiHidden/>
    <w:unhideWhenUsed/>
    <w:rsid w:val="005F11B9"/>
    <w:pPr>
      <w:spacing w:before="120" w:after="0" w:line="240" w:lineRule="auto"/>
      <w:jc w:val="both"/>
    </w:pPr>
    <w:rPr>
      <w:rFonts w:ascii="Times New Roman" w:hAnsi="Times New Roman" w:cs="Times New Roman"/>
      <w:kern w:val="0"/>
      <w:sz w:val="24"/>
    </w:rPr>
  </w:style>
  <w:style w:type="paragraph" w:styleId="ListBullet">
    <w:name w:val="List Bullet"/>
    <w:basedOn w:val="Normal"/>
    <w:uiPriority w:val="99"/>
    <w:semiHidden/>
    <w:unhideWhenUsed/>
    <w:rsid w:val="005F11B9"/>
    <w:pPr>
      <w:numPr>
        <w:numId w:val="2"/>
      </w:numPr>
      <w:tabs>
        <w:tab w:val="num" w:pos="850"/>
      </w:tabs>
      <w:spacing w:before="120" w:after="120" w:line="240" w:lineRule="auto"/>
      <w:ind w:left="720"/>
      <w:contextualSpacing/>
      <w:jc w:val="both"/>
    </w:pPr>
    <w:rPr>
      <w:rFonts w:ascii="Times New Roman" w:eastAsia="Times New Roman" w:hAnsi="Times New Roman" w:cs="Times New Roman"/>
      <w:kern w:val="0"/>
      <w:sz w:val="24"/>
      <w:szCs w:val="24"/>
    </w:rPr>
  </w:style>
  <w:style w:type="paragraph" w:styleId="ListNumber">
    <w:name w:val="List Number"/>
    <w:basedOn w:val="Normal"/>
    <w:uiPriority w:val="99"/>
    <w:semiHidden/>
    <w:unhideWhenUsed/>
    <w:rsid w:val="005F11B9"/>
    <w:pPr>
      <w:numPr>
        <w:numId w:val="3"/>
      </w:numPr>
      <w:spacing w:before="120" w:after="120" w:line="240" w:lineRule="auto"/>
      <w:ind w:left="0" w:firstLine="0"/>
      <w:contextualSpacing/>
      <w:jc w:val="both"/>
    </w:pPr>
    <w:rPr>
      <w:rFonts w:ascii="Times New Roman" w:hAnsi="Times New Roman" w:cs="Times New Roman"/>
      <w:kern w:val="0"/>
      <w:sz w:val="24"/>
    </w:rPr>
  </w:style>
  <w:style w:type="paragraph" w:styleId="ListBullet2">
    <w:name w:val="List Bullet 2"/>
    <w:basedOn w:val="Normal"/>
    <w:uiPriority w:val="99"/>
    <w:semiHidden/>
    <w:unhideWhenUsed/>
    <w:rsid w:val="005F11B9"/>
    <w:pPr>
      <w:tabs>
        <w:tab w:val="num" w:pos="643"/>
      </w:tabs>
      <w:spacing w:before="120" w:after="120" w:line="240" w:lineRule="auto"/>
      <w:ind w:left="643" w:hanging="360"/>
      <w:contextualSpacing/>
      <w:jc w:val="both"/>
    </w:pPr>
    <w:rPr>
      <w:rFonts w:ascii="Times New Roman" w:eastAsia="Times New Roman" w:hAnsi="Times New Roman" w:cs="Times New Roman"/>
      <w:kern w:val="0"/>
      <w:sz w:val="24"/>
      <w:szCs w:val="24"/>
    </w:rPr>
  </w:style>
  <w:style w:type="paragraph" w:styleId="ListBullet3">
    <w:name w:val="List Bullet 3"/>
    <w:basedOn w:val="Normal"/>
    <w:uiPriority w:val="99"/>
    <w:semiHidden/>
    <w:unhideWhenUsed/>
    <w:rsid w:val="005F11B9"/>
    <w:pPr>
      <w:tabs>
        <w:tab w:val="num" w:pos="926"/>
      </w:tabs>
      <w:spacing w:before="120" w:after="120" w:line="240" w:lineRule="auto"/>
      <w:ind w:left="926" w:hanging="360"/>
      <w:contextualSpacing/>
      <w:jc w:val="both"/>
    </w:pPr>
    <w:rPr>
      <w:rFonts w:ascii="Times New Roman" w:eastAsia="Times New Roman" w:hAnsi="Times New Roman" w:cs="Times New Roman"/>
      <w:kern w:val="0"/>
      <w:sz w:val="24"/>
      <w:szCs w:val="24"/>
    </w:rPr>
  </w:style>
  <w:style w:type="paragraph" w:styleId="ListBullet4">
    <w:name w:val="List Bullet 4"/>
    <w:basedOn w:val="Normal"/>
    <w:uiPriority w:val="99"/>
    <w:semiHidden/>
    <w:unhideWhenUsed/>
    <w:rsid w:val="005F11B9"/>
    <w:pPr>
      <w:tabs>
        <w:tab w:val="num" w:pos="3118"/>
      </w:tabs>
      <w:spacing w:before="120" w:after="120" w:line="240" w:lineRule="auto"/>
      <w:ind w:left="3118" w:hanging="567"/>
      <w:contextualSpacing/>
      <w:jc w:val="both"/>
    </w:pPr>
    <w:rPr>
      <w:rFonts w:ascii="Times New Roman" w:eastAsia="Times New Roman" w:hAnsi="Times New Roman" w:cs="Times New Roman"/>
      <w:kern w:val="0"/>
      <w:sz w:val="24"/>
      <w:szCs w:val="24"/>
    </w:rPr>
  </w:style>
  <w:style w:type="paragraph" w:styleId="ListNumber2">
    <w:name w:val="List Number 2"/>
    <w:basedOn w:val="Normal"/>
    <w:uiPriority w:val="99"/>
    <w:semiHidden/>
    <w:unhideWhenUsed/>
    <w:rsid w:val="005F11B9"/>
    <w:pPr>
      <w:numPr>
        <w:numId w:val="4"/>
      </w:numPr>
      <w:tabs>
        <w:tab w:val="num" w:pos="360"/>
      </w:tabs>
      <w:spacing w:before="120" w:after="120" w:line="240" w:lineRule="auto"/>
      <w:ind w:left="0" w:firstLine="0"/>
      <w:contextualSpacing/>
      <w:jc w:val="both"/>
    </w:pPr>
    <w:rPr>
      <w:rFonts w:ascii="Times New Roman" w:hAnsi="Times New Roman" w:cs="Times New Roman"/>
      <w:kern w:val="0"/>
      <w:sz w:val="24"/>
    </w:rPr>
  </w:style>
  <w:style w:type="paragraph" w:styleId="ListNumber3">
    <w:name w:val="List Number 3"/>
    <w:basedOn w:val="Normal"/>
    <w:uiPriority w:val="99"/>
    <w:semiHidden/>
    <w:unhideWhenUsed/>
    <w:rsid w:val="005F11B9"/>
    <w:pPr>
      <w:numPr>
        <w:numId w:val="5"/>
      </w:numPr>
      <w:spacing w:before="120" w:after="120" w:line="240" w:lineRule="auto"/>
      <w:ind w:left="0" w:firstLine="0"/>
      <w:contextualSpacing/>
      <w:jc w:val="both"/>
    </w:pPr>
    <w:rPr>
      <w:rFonts w:ascii="Times New Roman" w:hAnsi="Times New Roman" w:cs="Times New Roman"/>
      <w:kern w:val="0"/>
      <w:sz w:val="24"/>
    </w:rPr>
  </w:style>
  <w:style w:type="paragraph" w:styleId="ListNumber4">
    <w:name w:val="List Number 4"/>
    <w:basedOn w:val="Normal"/>
    <w:uiPriority w:val="99"/>
    <w:semiHidden/>
    <w:unhideWhenUsed/>
    <w:rsid w:val="005F11B9"/>
    <w:pPr>
      <w:numPr>
        <w:numId w:val="6"/>
      </w:numPr>
      <w:tabs>
        <w:tab w:val="num" w:pos="360"/>
      </w:tabs>
      <w:spacing w:before="120" w:after="120" w:line="240" w:lineRule="auto"/>
      <w:contextualSpacing/>
      <w:jc w:val="both"/>
    </w:pPr>
    <w:rPr>
      <w:rFonts w:ascii="Times New Roman" w:hAnsi="Times New Roman" w:cs="Times New Roman"/>
      <w:kern w:val="0"/>
      <w:sz w:val="24"/>
    </w:rPr>
  </w:style>
  <w:style w:type="paragraph" w:styleId="CommentSubject">
    <w:name w:val="annotation subject"/>
    <w:basedOn w:val="CommentText"/>
    <w:next w:val="CommentText"/>
    <w:link w:val="CommentSubjectChar"/>
    <w:uiPriority w:val="99"/>
    <w:semiHidden/>
    <w:unhideWhenUsed/>
    <w:rsid w:val="005F11B9"/>
    <w:rPr>
      <w:b/>
      <w:bCs/>
    </w:rPr>
  </w:style>
  <w:style w:type="character" w:customStyle="1" w:styleId="CommentSubjectChar">
    <w:name w:val="Comment Subject Char"/>
    <w:basedOn w:val="CommentTextChar"/>
    <w:link w:val="CommentSubject"/>
    <w:uiPriority w:val="99"/>
    <w:semiHidden/>
    <w:rsid w:val="005F11B9"/>
    <w:rPr>
      <w:rFonts w:ascii="Times New Roman" w:eastAsia="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5F11B9"/>
    <w:pPr>
      <w:spacing w:after="0" w:line="240" w:lineRule="auto"/>
      <w:jc w:val="both"/>
    </w:pPr>
    <w:rPr>
      <w:rFonts w:ascii="Segoe UI" w:eastAsia="Times New Roman" w:hAnsi="Segoe UI" w:cs="Segoe UI"/>
      <w:kern w:val="0"/>
      <w:sz w:val="18"/>
      <w:szCs w:val="18"/>
    </w:rPr>
  </w:style>
  <w:style w:type="character" w:customStyle="1" w:styleId="BalloonTextChar">
    <w:name w:val="Balloon Text Char"/>
    <w:basedOn w:val="DefaultParagraphFont"/>
    <w:link w:val="BalloonText"/>
    <w:uiPriority w:val="99"/>
    <w:semiHidden/>
    <w:rsid w:val="005F11B9"/>
    <w:rPr>
      <w:rFonts w:ascii="Segoe UI" w:eastAsia="Times New Roman" w:hAnsi="Segoe UI" w:cs="Segoe UI"/>
      <w:kern w:val="0"/>
      <w:sz w:val="18"/>
      <w:szCs w:val="18"/>
    </w:rPr>
  </w:style>
  <w:style w:type="paragraph" w:styleId="Revision">
    <w:name w:val="Revision"/>
    <w:uiPriority w:val="99"/>
    <w:semiHidden/>
    <w:rsid w:val="005F11B9"/>
    <w:pPr>
      <w:spacing w:after="0" w:line="240" w:lineRule="auto"/>
    </w:pPr>
    <w:rPr>
      <w:rFonts w:ascii="Times New Roman" w:hAnsi="Times New Roman" w:cs="Times New Roman"/>
      <w:kern w:val="0"/>
      <w:sz w:val="24"/>
    </w:rPr>
  </w:style>
  <w:style w:type="character" w:customStyle="1" w:styleId="ListParagraphChar">
    <w:name w:val="List Paragraph Char"/>
    <w:aliases w:val="numbered list Char,2 Char,OBC Bullet Char,Normal 1 Char,Task Body Char,Viñetas (Inicio Parrafo) Char,3 Txt tabla Char,Zerrenda-paragrafoa Char,Fiche List Paragraph Char,Dot pt Char,F5 List Paragraph Char,List Paragraph1 Char,L Char"/>
    <w:basedOn w:val="DefaultParagraphFont"/>
    <w:link w:val="ListParagraph"/>
    <w:uiPriority w:val="34"/>
    <w:qFormat/>
    <w:locked/>
    <w:rsid w:val="005F11B9"/>
  </w:style>
  <w:style w:type="paragraph" w:styleId="TOCHeading">
    <w:name w:val="TOC Heading"/>
    <w:basedOn w:val="Normal"/>
    <w:next w:val="Normal"/>
    <w:uiPriority w:val="39"/>
    <w:semiHidden/>
    <w:unhideWhenUsed/>
    <w:qFormat/>
    <w:rsid w:val="005F11B9"/>
    <w:pPr>
      <w:spacing w:before="120" w:after="240" w:line="240" w:lineRule="auto"/>
      <w:jc w:val="center"/>
    </w:pPr>
    <w:rPr>
      <w:rFonts w:ascii="Times New Roman" w:eastAsia="Times New Roman" w:hAnsi="Times New Roman" w:cs="Times New Roman"/>
      <w:b/>
      <w:kern w:val="0"/>
      <w:sz w:val="28"/>
      <w:szCs w:val="24"/>
    </w:rPr>
  </w:style>
  <w:style w:type="paragraph" w:customStyle="1" w:styleId="HeaderLandscape">
    <w:name w:val="HeaderLandscape"/>
    <w:basedOn w:val="Normal"/>
    <w:rsid w:val="005F11B9"/>
    <w:pPr>
      <w:tabs>
        <w:tab w:val="center" w:pos="7285"/>
        <w:tab w:val="right" w:pos="14003"/>
      </w:tabs>
      <w:spacing w:after="120" w:line="240" w:lineRule="auto"/>
      <w:jc w:val="both"/>
    </w:pPr>
    <w:rPr>
      <w:rFonts w:ascii="Times New Roman" w:eastAsia="Times New Roman" w:hAnsi="Times New Roman" w:cs="Times New Roman"/>
      <w:kern w:val="0"/>
      <w:sz w:val="24"/>
      <w:szCs w:val="24"/>
    </w:rPr>
  </w:style>
  <w:style w:type="paragraph" w:customStyle="1" w:styleId="FooterLandscape">
    <w:name w:val="FooterLandscape"/>
    <w:basedOn w:val="Normal"/>
    <w:rsid w:val="005F11B9"/>
    <w:pPr>
      <w:tabs>
        <w:tab w:val="center" w:pos="7285"/>
        <w:tab w:val="center" w:pos="10913"/>
        <w:tab w:val="right" w:pos="15137"/>
      </w:tabs>
      <w:spacing w:before="360" w:after="0" w:line="240" w:lineRule="auto"/>
      <w:ind w:left="-567" w:right="-567"/>
    </w:pPr>
    <w:rPr>
      <w:rFonts w:ascii="Times New Roman" w:eastAsia="Times New Roman" w:hAnsi="Times New Roman" w:cs="Times New Roman"/>
      <w:kern w:val="0"/>
      <w:sz w:val="24"/>
      <w:szCs w:val="24"/>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T"/>
    <w:basedOn w:val="DefaultParagraphFont"/>
    <w:link w:val="1"/>
    <w:uiPriority w:val="99"/>
    <w:unhideWhenUsed/>
    <w:qFormat/>
    <w:rsid w:val="005F11B9"/>
    <w:rPr>
      <w:vertAlign w:val="superscript"/>
    </w:rPr>
  </w:style>
  <w:style w:type="paragraph" w:customStyle="1" w:styleId="1">
    <w:name w:val="1"/>
    <w:basedOn w:val="Normal"/>
    <w:link w:val="FootnoteReference"/>
    <w:uiPriority w:val="99"/>
    <w:rsid w:val="005F11B9"/>
    <w:pPr>
      <w:spacing w:line="240" w:lineRule="exact"/>
      <w:jc w:val="both"/>
    </w:pPr>
    <w:rPr>
      <w:vertAlign w:val="superscript"/>
    </w:rPr>
  </w:style>
  <w:style w:type="paragraph" w:customStyle="1" w:styleId="HeaderSensitivity">
    <w:name w:val="Header Sensitivity"/>
    <w:basedOn w:val="Normal"/>
    <w:rsid w:val="005F11B9"/>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HeaderSensitivityRight">
    <w:name w:val="Header Sensitivity Right"/>
    <w:basedOn w:val="Normal"/>
    <w:rsid w:val="005F11B9"/>
    <w:pPr>
      <w:spacing w:after="120" w:line="240" w:lineRule="auto"/>
      <w:jc w:val="right"/>
    </w:pPr>
    <w:rPr>
      <w:rFonts w:ascii="Times New Roman" w:hAnsi="Times New Roman" w:cs="Times New Roman"/>
      <w:sz w:val="28"/>
    </w:rPr>
  </w:style>
  <w:style w:type="paragraph" w:customStyle="1" w:styleId="FooterSensitivity">
    <w:name w:val="Footer Sensitivity"/>
    <w:basedOn w:val="Normal"/>
    <w:rsid w:val="005F11B9"/>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Text2">
    <w:name w:val="Text 2"/>
    <w:basedOn w:val="Normal"/>
    <w:rsid w:val="005F11B9"/>
    <w:pPr>
      <w:spacing w:before="120" w:after="120" w:line="240" w:lineRule="auto"/>
      <w:ind w:left="1417"/>
      <w:jc w:val="both"/>
    </w:pPr>
    <w:rPr>
      <w:rFonts w:ascii="Times New Roman" w:eastAsia="Times New Roman" w:hAnsi="Times New Roman" w:cs="Times New Roman"/>
      <w:kern w:val="0"/>
      <w:sz w:val="24"/>
      <w:szCs w:val="24"/>
    </w:rPr>
  </w:style>
  <w:style w:type="paragraph" w:customStyle="1" w:styleId="Text3">
    <w:name w:val="Text 3"/>
    <w:basedOn w:val="Normal"/>
    <w:rsid w:val="005F11B9"/>
    <w:pPr>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Text4">
    <w:name w:val="Text 4"/>
    <w:basedOn w:val="Normal"/>
    <w:rsid w:val="005F11B9"/>
    <w:pPr>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NormalCentered">
    <w:name w:val="Normal Centered"/>
    <w:basedOn w:val="Normal"/>
    <w:rsid w:val="005F11B9"/>
    <w:pPr>
      <w:spacing w:before="120" w:after="120" w:line="240" w:lineRule="auto"/>
      <w:jc w:val="center"/>
    </w:pPr>
    <w:rPr>
      <w:rFonts w:ascii="Times New Roman" w:eastAsia="Times New Roman" w:hAnsi="Times New Roman" w:cs="Times New Roman"/>
      <w:kern w:val="0"/>
      <w:sz w:val="24"/>
      <w:szCs w:val="24"/>
    </w:rPr>
  </w:style>
  <w:style w:type="paragraph" w:customStyle="1" w:styleId="NormalLeft">
    <w:name w:val="Normal Left"/>
    <w:basedOn w:val="Normal"/>
    <w:rsid w:val="005F11B9"/>
    <w:pPr>
      <w:spacing w:before="120" w:after="120" w:line="240" w:lineRule="auto"/>
    </w:pPr>
    <w:rPr>
      <w:rFonts w:ascii="Times New Roman" w:eastAsia="Times New Roman" w:hAnsi="Times New Roman" w:cs="Times New Roman"/>
      <w:kern w:val="0"/>
      <w:sz w:val="24"/>
      <w:szCs w:val="24"/>
    </w:rPr>
  </w:style>
  <w:style w:type="paragraph" w:customStyle="1" w:styleId="NormalRight">
    <w:name w:val="Normal Right"/>
    <w:basedOn w:val="Normal"/>
    <w:rsid w:val="005F11B9"/>
    <w:pPr>
      <w:spacing w:before="120" w:after="120" w:line="240" w:lineRule="auto"/>
      <w:jc w:val="right"/>
    </w:pPr>
    <w:rPr>
      <w:rFonts w:ascii="Times New Roman" w:eastAsia="Times New Roman" w:hAnsi="Times New Roman" w:cs="Times New Roman"/>
      <w:kern w:val="0"/>
      <w:sz w:val="24"/>
      <w:szCs w:val="24"/>
    </w:rPr>
  </w:style>
  <w:style w:type="paragraph" w:customStyle="1" w:styleId="QuotedText">
    <w:name w:val="Quoted Text"/>
    <w:basedOn w:val="Normal"/>
    <w:rsid w:val="005F11B9"/>
    <w:pPr>
      <w:spacing w:before="120" w:after="120" w:line="240" w:lineRule="auto"/>
      <w:ind w:left="1417"/>
      <w:jc w:val="both"/>
    </w:pPr>
    <w:rPr>
      <w:rFonts w:ascii="Times New Roman" w:eastAsia="Times New Roman" w:hAnsi="Times New Roman" w:cs="Times New Roman"/>
      <w:kern w:val="0"/>
      <w:sz w:val="24"/>
      <w:szCs w:val="24"/>
    </w:rPr>
  </w:style>
  <w:style w:type="paragraph" w:customStyle="1" w:styleId="Point0">
    <w:name w:val="Point 0"/>
    <w:basedOn w:val="Normal"/>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Point1">
    <w:name w:val="Point 1"/>
    <w:basedOn w:val="Normal"/>
    <w:rsid w:val="005F11B9"/>
    <w:pPr>
      <w:spacing w:before="120" w:after="120" w:line="240" w:lineRule="auto"/>
      <w:ind w:left="1417" w:hanging="567"/>
      <w:jc w:val="both"/>
    </w:pPr>
    <w:rPr>
      <w:rFonts w:ascii="Times New Roman" w:eastAsia="Times New Roman" w:hAnsi="Times New Roman" w:cs="Times New Roman"/>
      <w:kern w:val="0"/>
      <w:sz w:val="24"/>
      <w:szCs w:val="24"/>
    </w:rPr>
  </w:style>
  <w:style w:type="paragraph" w:customStyle="1" w:styleId="Point2">
    <w:name w:val="Point 2"/>
    <w:basedOn w:val="Normal"/>
    <w:rsid w:val="005F11B9"/>
    <w:pPr>
      <w:spacing w:before="120" w:after="120" w:line="240" w:lineRule="auto"/>
      <w:ind w:left="1984" w:hanging="567"/>
      <w:jc w:val="both"/>
    </w:pPr>
    <w:rPr>
      <w:rFonts w:ascii="Times New Roman" w:eastAsia="Times New Roman" w:hAnsi="Times New Roman" w:cs="Times New Roman"/>
      <w:kern w:val="0"/>
      <w:sz w:val="24"/>
      <w:szCs w:val="24"/>
    </w:rPr>
  </w:style>
  <w:style w:type="paragraph" w:customStyle="1" w:styleId="Point3">
    <w:name w:val="Point 3"/>
    <w:basedOn w:val="Normal"/>
    <w:rsid w:val="005F11B9"/>
    <w:pPr>
      <w:spacing w:before="120" w:after="120" w:line="240" w:lineRule="auto"/>
      <w:ind w:left="2551" w:hanging="567"/>
      <w:jc w:val="both"/>
    </w:pPr>
    <w:rPr>
      <w:rFonts w:ascii="Times New Roman" w:eastAsia="Times New Roman" w:hAnsi="Times New Roman" w:cs="Times New Roman"/>
      <w:kern w:val="0"/>
      <w:sz w:val="24"/>
      <w:szCs w:val="24"/>
    </w:rPr>
  </w:style>
  <w:style w:type="paragraph" w:customStyle="1" w:styleId="Point4">
    <w:name w:val="Point 4"/>
    <w:basedOn w:val="Normal"/>
    <w:rsid w:val="005F11B9"/>
    <w:pPr>
      <w:spacing w:before="120" w:after="120" w:line="240" w:lineRule="auto"/>
      <w:ind w:left="3118" w:hanging="567"/>
      <w:jc w:val="both"/>
    </w:pPr>
    <w:rPr>
      <w:rFonts w:ascii="Times New Roman" w:eastAsia="Times New Roman" w:hAnsi="Times New Roman" w:cs="Times New Roman"/>
      <w:kern w:val="0"/>
      <w:sz w:val="24"/>
      <w:szCs w:val="24"/>
    </w:rPr>
  </w:style>
  <w:style w:type="paragraph" w:customStyle="1" w:styleId="Tiret0">
    <w:name w:val="Tiret 0"/>
    <w:basedOn w:val="Point0"/>
    <w:rsid w:val="005F11B9"/>
    <w:pPr>
      <w:numPr>
        <w:numId w:val="7"/>
      </w:numPr>
    </w:pPr>
  </w:style>
  <w:style w:type="paragraph" w:customStyle="1" w:styleId="Tiret1">
    <w:name w:val="Tiret 1"/>
    <w:basedOn w:val="Point1"/>
    <w:rsid w:val="005F11B9"/>
    <w:pPr>
      <w:numPr>
        <w:numId w:val="8"/>
      </w:numPr>
      <w:tabs>
        <w:tab w:val="num" w:pos="3118"/>
      </w:tabs>
      <w:ind w:left="3118"/>
    </w:pPr>
  </w:style>
  <w:style w:type="paragraph" w:customStyle="1" w:styleId="Tiret2">
    <w:name w:val="Tiret 2"/>
    <w:basedOn w:val="Point2"/>
    <w:rsid w:val="005F11B9"/>
    <w:pPr>
      <w:numPr>
        <w:numId w:val="9"/>
      </w:numPr>
      <w:tabs>
        <w:tab w:val="num" w:pos="360"/>
      </w:tabs>
      <w:ind w:left="360" w:hanging="360"/>
    </w:pPr>
  </w:style>
  <w:style w:type="paragraph" w:customStyle="1" w:styleId="Tiret3">
    <w:name w:val="Tiret 3"/>
    <w:basedOn w:val="Point3"/>
    <w:rsid w:val="005F11B9"/>
    <w:pPr>
      <w:numPr>
        <w:numId w:val="10"/>
      </w:numPr>
      <w:tabs>
        <w:tab w:val="num" w:pos="360"/>
      </w:tabs>
      <w:ind w:left="360" w:hanging="360"/>
    </w:pPr>
  </w:style>
  <w:style w:type="paragraph" w:customStyle="1" w:styleId="Tiret4">
    <w:name w:val="Tiret 4"/>
    <w:basedOn w:val="Point4"/>
    <w:rsid w:val="005F11B9"/>
    <w:pPr>
      <w:numPr>
        <w:numId w:val="11"/>
      </w:numPr>
      <w:ind w:left="1440" w:hanging="360"/>
    </w:pPr>
  </w:style>
  <w:style w:type="paragraph" w:customStyle="1" w:styleId="PointDouble0">
    <w:name w:val="PointDouble 0"/>
    <w:basedOn w:val="Normal"/>
    <w:rsid w:val="005F11B9"/>
    <w:pPr>
      <w:tabs>
        <w:tab w:val="left" w:pos="850"/>
      </w:tabs>
      <w:spacing w:before="120" w:after="120" w:line="240" w:lineRule="auto"/>
      <w:ind w:left="1417" w:hanging="1417"/>
      <w:jc w:val="both"/>
    </w:pPr>
    <w:rPr>
      <w:rFonts w:ascii="Times New Roman" w:eastAsia="Times New Roman" w:hAnsi="Times New Roman" w:cs="Times New Roman"/>
      <w:kern w:val="0"/>
      <w:sz w:val="24"/>
      <w:szCs w:val="24"/>
    </w:rPr>
  </w:style>
  <w:style w:type="paragraph" w:customStyle="1" w:styleId="PointDouble1">
    <w:name w:val="PointDouble 1"/>
    <w:basedOn w:val="Normal"/>
    <w:rsid w:val="005F11B9"/>
    <w:pPr>
      <w:tabs>
        <w:tab w:val="left" w:pos="1417"/>
      </w:tabs>
      <w:spacing w:before="120" w:after="120" w:line="240" w:lineRule="auto"/>
      <w:ind w:left="1984" w:hanging="1134"/>
      <w:jc w:val="both"/>
    </w:pPr>
    <w:rPr>
      <w:rFonts w:ascii="Times New Roman" w:eastAsia="Times New Roman" w:hAnsi="Times New Roman" w:cs="Times New Roman"/>
      <w:kern w:val="0"/>
      <w:sz w:val="24"/>
      <w:szCs w:val="24"/>
    </w:rPr>
  </w:style>
  <w:style w:type="paragraph" w:customStyle="1" w:styleId="PointDouble2">
    <w:name w:val="PointDouble 2"/>
    <w:basedOn w:val="Normal"/>
    <w:rsid w:val="005F11B9"/>
    <w:pPr>
      <w:tabs>
        <w:tab w:val="left" w:pos="1984"/>
      </w:tabs>
      <w:spacing w:before="120" w:after="120" w:line="240" w:lineRule="auto"/>
      <w:ind w:left="2551" w:hanging="1134"/>
      <w:jc w:val="both"/>
    </w:pPr>
    <w:rPr>
      <w:rFonts w:ascii="Times New Roman" w:eastAsia="Times New Roman" w:hAnsi="Times New Roman" w:cs="Times New Roman"/>
      <w:kern w:val="0"/>
      <w:sz w:val="24"/>
      <w:szCs w:val="24"/>
    </w:rPr>
  </w:style>
  <w:style w:type="paragraph" w:customStyle="1" w:styleId="PointDouble3">
    <w:name w:val="PointDouble 3"/>
    <w:basedOn w:val="Normal"/>
    <w:rsid w:val="005F11B9"/>
    <w:pPr>
      <w:tabs>
        <w:tab w:val="left" w:pos="2551"/>
      </w:tabs>
      <w:spacing w:before="120" w:after="120" w:line="240" w:lineRule="auto"/>
      <w:ind w:left="3118" w:hanging="1134"/>
      <w:jc w:val="both"/>
    </w:pPr>
    <w:rPr>
      <w:rFonts w:ascii="Times New Roman" w:eastAsia="Times New Roman" w:hAnsi="Times New Roman" w:cs="Times New Roman"/>
      <w:kern w:val="0"/>
      <w:sz w:val="24"/>
      <w:szCs w:val="24"/>
    </w:rPr>
  </w:style>
  <w:style w:type="paragraph" w:customStyle="1" w:styleId="PointDouble4">
    <w:name w:val="PointDouble 4"/>
    <w:basedOn w:val="Normal"/>
    <w:rsid w:val="005F11B9"/>
    <w:pPr>
      <w:tabs>
        <w:tab w:val="left" w:pos="3118"/>
      </w:tabs>
      <w:spacing w:before="120" w:after="120" w:line="240" w:lineRule="auto"/>
      <w:ind w:left="3685" w:hanging="1134"/>
      <w:jc w:val="both"/>
    </w:pPr>
    <w:rPr>
      <w:rFonts w:ascii="Times New Roman" w:eastAsia="Times New Roman" w:hAnsi="Times New Roman" w:cs="Times New Roman"/>
      <w:kern w:val="0"/>
      <w:sz w:val="24"/>
      <w:szCs w:val="24"/>
    </w:rPr>
  </w:style>
  <w:style w:type="paragraph" w:customStyle="1" w:styleId="PointTriple0">
    <w:name w:val="PointTriple 0"/>
    <w:basedOn w:val="Normal"/>
    <w:rsid w:val="005F11B9"/>
    <w:pPr>
      <w:tabs>
        <w:tab w:val="left" w:pos="850"/>
        <w:tab w:val="left" w:pos="1417"/>
      </w:tabs>
      <w:spacing w:before="120" w:after="120" w:line="240" w:lineRule="auto"/>
      <w:ind w:left="1984" w:hanging="1984"/>
      <w:jc w:val="both"/>
    </w:pPr>
    <w:rPr>
      <w:rFonts w:ascii="Times New Roman" w:eastAsia="Times New Roman" w:hAnsi="Times New Roman" w:cs="Times New Roman"/>
      <w:kern w:val="0"/>
      <w:sz w:val="24"/>
      <w:szCs w:val="24"/>
    </w:rPr>
  </w:style>
  <w:style w:type="paragraph" w:customStyle="1" w:styleId="PointTriple1">
    <w:name w:val="PointTriple 1"/>
    <w:basedOn w:val="Normal"/>
    <w:rsid w:val="005F11B9"/>
    <w:pPr>
      <w:tabs>
        <w:tab w:val="left" w:pos="1417"/>
        <w:tab w:val="left" w:pos="1984"/>
      </w:tabs>
      <w:spacing w:before="120" w:after="120" w:line="240" w:lineRule="auto"/>
      <w:ind w:left="2551" w:hanging="1701"/>
      <w:jc w:val="both"/>
    </w:pPr>
    <w:rPr>
      <w:rFonts w:ascii="Times New Roman" w:eastAsia="Times New Roman" w:hAnsi="Times New Roman" w:cs="Times New Roman"/>
      <w:kern w:val="0"/>
      <w:sz w:val="24"/>
      <w:szCs w:val="24"/>
    </w:rPr>
  </w:style>
  <w:style w:type="paragraph" w:customStyle="1" w:styleId="PointTriple2">
    <w:name w:val="PointTriple 2"/>
    <w:basedOn w:val="Normal"/>
    <w:rsid w:val="005F11B9"/>
    <w:pPr>
      <w:tabs>
        <w:tab w:val="left" w:pos="1984"/>
        <w:tab w:val="left" w:pos="2551"/>
      </w:tabs>
      <w:spacing w:before="120" w:after="120" w:line="240" w:lineRule="auto"/>
      <w:ind w:left="3118" w:hanging="1701"/>
      <w:jc w:val="both"/>
    </w:pPr>
    <w:rPr>
      <w:rFonts w:ascii="Times New Roman" w:eastAsia="Times New Roman" w:hAnsi="Times New Roman" w:cs="Times New Roman"/>
      <w:kern w:val="0"/>
      <w:sz w:val="24"/>
      <w:szCs w:val="24"/>
    </w:rPr>
  </w:style>
  <w:style w:type="paragraph" w:customStyle="1" w:styleId="PointTriple3">
    <w:name w:val="PointTriple 3"/>
    <w:basedOn w:val="Normal"/>
    <w:rsid w:val="005F11B9"/>
    <w:pPr>
      <w:tabs>
        <w:tab w:val="left" w:pos="2551"/>
        <w:tab w:val="left" w:pos="3118"/>
      </w:tabs>
      <w:spacing w:before="120" w:after="120" w:line="240" w:lineRule="auto"/>
      <w:ind w:left="3685" w:hanging="1701"/>
      <w:jc w:val="both"/>
    </w:pPr>
    <w:rPr>
      <w:rFonts w:ascii="Times New Roman" w:eastAsia="Times New Roman" w:hAnsi="Times New Roman" w:cs="Times New Roman"/>
      <w:kern w:val="0"/>
      <w:sz w:val="24"/>
      <w:szCs w:val="24"/>
    </w:rPr>
  </w:style>
  <w:style w:type="paragraph" w:customStyle="1" w:styleId="PointTriple4">
    <w:name w:val="PointTriple 4"/>
    <w:basedOn w:val="Normal"/>
    <w:rsid w:val="005F11B9"/>
    <w:pPr>
      <w:tabs>
        <w:tab w:val="left" w:pos="3118"/>
        <w:tab w:val="left" w:pos="3685"/>
      </w:tabs>
      <w:spacing w:before="120" w:after="120" w:line="240" w:lineRule="auto"/>
      <w:ind w:left="4252" w:hanging="1701"/>
      <w:jc w:val="both"/>
    </w:pPr>
    <w:rPr>
      <w:rFonts w:ascii="Times New Roman" w:eastAsia="Times New Roman" w:hAnsi="Times New Roman" w:cs="Times New Roman"/>
      <w:kern w:val="0"/>
      <w:sz w:val="24"/>
      <w:szCs w:val="24"/>
    </w:rPr>
  </w:style>
  <w:style w:type="paragraph" w:customStyle="1" w:styleId="NumPar1">
    <w:name w:val="NumPar 1"/>
    <w:basedOn w:val="Normal"/>
    <w:next w:val="Text1"/>
    <w:rsid w:val="005F11B9"/>
    <w:pPr>
      <w:numPr>
        <w:ilvl w:val="1"/>
        <w:numId w:val="12"/>
      </w:numPr>
      <w:spacing w:before="120" w:after="120" w:line="240" w:lineRule="auto"/>
      <w:jc w:val="both"/>
    </w:pPr>
    <w:rPr>
      <w:rFonts w:ascii="Times New Roman" w:eastAsia="Times New Roman" w:hAnsi="Times New Roman" w:cs="Times New Roman"/>
      <w:kern w:val="0"/>
      <w:sz w:val="24"/>
      <w:szCs w:val="24"/>
    </w:rPr>
  </w:style>
  <w:style w:type="paragraph" w:customStyle="1" w:styleId="NumPar2">
    <w:name w:val="NumPar 2"/>
    <w:basedOn w:val="Normal"/>
    <w:next w:val="Text1"/>
    <w:rsid w:val="005F11B9"/>
    <w:pPr>
      <w:numPr>
        <w:ilvl w:val="2"/>
        <w:numId w:val="12"/>
      </w:numPr>
      <w:tabs>
        <w:tab w:val="num" w:pos="1209"/>
      </w:tabs>
      <w:spacing w:before="120" w:after="120" w:line="240" w:lineRule="auto"/>
      <w:ind w:left="1209" w:hanging="360"/>
      <w:jc w:val="both"/>
    </w:pPr>
    <w:rPr>
      <w:rFonts w:ascii="Times New Roman" w:eastAsia="Times New Roman" w:hAnsi="Times New Roman" w:cs="Times New Roman"/>
      <w:kern w:val="0"/>
      <w:sz w:val="24"/>
      <w:szCs w:val="24"/>
    </w:rPr>
  </w:style>
  <w:style w:type="paragraph" w:customStyle="1" w:styleId="NumPar3">
    <w:name w:val="NumPar 3"/>
    <w:basedOn w:val="Normal"/>
    <w:next w:val="Text1"/>
    <w:rsid w:val="005F11B9"/>
    <w:pPr>
      <w:numPr>
        <w:ilvl w:val="3"/>
        <w:numId w:val="12"/>
      </w:numPr>
      <w:tabs>
        <w:tab w:val="num" w:pos="1209"/>
      </w:tabs>
      <w:spacing w:before="120" w:after="120" w:line="240" w:lineRule="auto"/>
      <w:ind w:left="1209" w:hanging="360"/>
      <w:jc w:val="both"/>
    </w:pPr>
    <w:rPr>
      <w:rFonts w:ascii="Times New Roman" w:eastAsia="Times New Roman" w:hAnsi="Times New Roman" w:cs="Times New Roman"/>
      <w:kern w:val="0"/>
      <w:sz w:val="24"/>
      <w:szCs w:val="24"/>
    </w:rPr>
  </w:style>
  <w:style w:type="paragraph" w:customStyle="1" w:styleId="NumPar4">
    <w:name w:val="NumPar 4"/>
    <w:basedOn w:val="Normal"/>
    <w:next w:val="Text1"/>
    <w:rsid w:val="005F11B9"/>
    <w:pPr>
      <w:tabs>
        <w:tab w:val="num" w:pos="850"/>
      </w:tabs>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1">
    <w:name w:val="Manual NumPar 1"/>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2">
    <w:name w:val="Manual NumPar 2"/>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3">
    <w:name w:val="Manual NumPar 3"/>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4">
    <w:name w:val="Manual NumPar 4"/>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QuotedNumPar">
    <w:name w:val="Quoted NumPar"/>
    <w:basedOn w:val="Normal"/>
    <w:rsid w:val="005F11B9"/>
    <w:pPr>
      <w:spacing w:before="120" w:after="120" w:line="240" w:lineRule="auto"/>
      <w:ind w:left="1417" w:hanging="567"/>
      <w:jc w:val="both"/>
    </w:pPr>
    <w:rPr>
      <w:rFonts w:ascii="Times New Roman" w:eastAsia="Times New Roman" w:hAnsi="Times New Roman" w:cs="Times New Roman"/>
      <w:kern w:val="0"/>
      <w:sz w:val="24"/>
      <w:szCs w:val="24"/>
    </w:rPr>
  </w:style>
  <w:style w:type="paragraph" w:customStyle="1" w:styleId="ManualHeading1">
    <w:name w:val="Manual Heading 1"/>
    <w:basedOn w:val="Normal"/>
    <w:next w:val="Text1"/>
    <w:rsid w:val="005F11B9"/>
    <w:pPr>
      <w:keepNext/>
      <w:tabs>
        <w:tab w:val="left" w:pos="850"/>
      </w:tabs>
      <w:spacing w:before="360" w:after="120" w:line="240" w:lineRule="auto"/>
      <w:ind w:left="850" w:hanging="850"/>
      <w:jc w:val="both"/>
      <w:outlineLvl w:val="0"/>
    </w:pPr>
    <w:rPr>
      <w:rFonts w:ascii="Times New Roman" w:eastAsia="Times New Roman" w:hAnsi="Times New Roman" w:cs="Times New Roman"/>
      <w:b/>
      <w:smallCaps/>
      <w:kern w:val="0"/>
      <w:sz w:val="24"/>
      <w:szCs w:val="24"/>
    </w:rPr>
  </w:style>
  <w:style w:type="paragraph" w:customStyle="1" w:styleId="ManualHeading2">
    <w:name w:val="Manual Heading 2"/>
    <w:basedOn w:val="Normal"/>
    <w:next w:val="Text1"/>
    <w:rsid w:val="005F11B9"/>
    <w:pPr>
      <w:keepNext/>
      <w:tabs>
        <w:tab w:val="left" w:pos="850"/>
      </w:tabs>
      <w:spacing w:before="120" w:after="120" w:line="240" w:lineRule="auto"/>
      <w:ind w:left="850" w:hanging="850"/>
      <w:jc w:val="both"/>
      <w:outlineLvl w:val="1"/>
    </w:pPr>
    <w:rPr>
      <w:rFonts w:ascii="Times New Roman" w:eastAsia="Times New Roman" w:hAnsi="Times New Roman" w:cs="Times New Roman"/>
      <w:b/>
      <w:kern w:val="0"/>
      <w:sz w:val="24"/>
      <w:szCs w:val="24"/>
    </w:rPr>
  </w:style>
  <w:style w:type="paragraph" w:customStyle="1" w:styleId="ManualHeading3">
    <w:name w:val="Manual Heading 3"/>
    <w:basedOn w:val="Normal"/>
    <w:next w:val="Text1"/>
    <w:rsid w:val="005F11B9"/>
    <w:pPr>
      <w:keepNext/>
      <w:tabs>
        <w:tab w:val="left" w:pos="850"/>
      </w:tabs>
      <w:spacing w:before="120" w:after="120" w:line="240" w:lineRule="auto"/>
      <w:ind w:left="850" w:hanging="850"/>
      <w:jc w:val="both"/>
      <w:outlineLvl w:val="2"/>
    </w:pPr>
    <w:rPr>
      <w:rFonts w:ascii="Times New Roman" w:eastAsia="Times New Roman" w:hAnsi="Times New Roman" w:cs="Times New Roman"/>
      <w:i/>
      <w:kern w:val="0"/>
      <w:sz w:val="24"/>
      <w:szCs w:val="24"/>
    </w:rPr>
  </w:style>
  <w:style w:type="paragraph" w:customStyle="1" w:styleId="ManualHeading4">
    <w:name w:val="Manual Heading 4"/>
    <w:basedOn w:val="Normal"/>
    <w:next w:val="Text1"/>
    <w:rsid w:val="005F11B9"/>
    <w:pPr>
      <w:keepNext/>
      <w:tabs>
        <w:tab w:val="left" w:pos="850"/>
      </w:tabs>
      <w:spacing w:before="120" w:after="120" w:line="240" w:lineRule="auto"/>
      <w:ind w:left="850" w:hanging="850"/>
      <w:jc w:val="both"/>
      <w:outlineLvl w:val="3"/>
    </w:pPr>
    <w:rPr>
      <w:rFonts w:ascii="Times New Roman" w:eastAsia="Times New Roman" w:hAnsi="Times New Roman" w:cs="Times New Roman"/>
      <w:kern w:val="0"/>
      <w:sz w:val="24"/>
      <w:szCs w:val="24"/>
    </w:rPr>
  </w:style>
  <w:style w:type="paragraph" w:customStyle="1" w:styleId="ChapterTitle">
    <w:name w:val="ChapterTitle"/>
    <w:basedOn w:val="Normal"/>
    <w:next w:val="Normal"/>
    <w:rsid w:val="005F11B9"/>
    <w:pPr>
      <w:keepNext/>
      <w:spacing w:before="120" w:after="360" w:line="240" w:lineRule="auto"/>
      <w:jc w:val="center"/>
    </w:pPr>
    <w:rPr>
      <w:rFonts w:ascii="Times New Roman" w:eastAsia="Times New Roman" w:hAnsi="Times New Roman" w:cs="Times New Roman"/>
      <w:b/>
      <w:kern w:val="0"/>
      <w:sz w:val="32"/>
      <w:szCs w:val="24"/>
    </w:rPr>
  </w:style>
  <w:style w:type="paragraph" w:customStyle="1" w:styleId="PartTitle">
    <w:name w:val="PartTitle"/>
    <w:basedOn w:val="Normal"/>
    <w:next w:val="ChapterTitle"/>
    <w:rsid w:val="005F11B9"/>
    <w:pPr>
      <w:keepNext/>
      <w:pageBreakBefore/>
      <w:spacing w:before="120" w:after="360" w:line="240" w:lineRule="auto"/>
      <w:jc w:val="center"/>
    </w:pPr>
    <w:rPr>
      <w:rFonts w:ascii="Times New Roman" w:eastAsia="Times New Roman" w:hAnsi="Times New Roman" w:cs="Times New Roman"/>
      <w:b/>
      <w:kern w:val="0"/>
      <w:sz w:val="36"/>
      <w:szCs w:val="24"/>
    </w:rPr>
  </w:style>
  <w:style w:type="paragraph" w:customStyle="1" w:styleId="SectionTitle">
    <w:name w:val="SectionTitle"/>
    <w:basedOn w:val="Normal"/>
    <w:next w:val="Heading1"/>
    <w:rsid w:val="005F11B9"/>
    <w:pPr>
      <w:keepNext/>
      <w:spacing w:before="120" w:after="360" w:line="240" w:lineRule="auto"/>
      <w:jc w:val="center"/>
    </w:pPr>
    <w:rPr>
      <w:rFonts w:ascii="Times New Roman" w:eastAsia="Times New Roman" w:hAnsi="Times New Roman" w:cs="Times New Roman"/>
      <w:b/>
      <w:smallCaps/>
      <w:kern w:val="0"/>
      <w:sz w:val="28"/>
      <w:szCs w:val="24"/>
    </w:rPr>
  </w:style>
  <w:style w:type="paragraph" w:customStyle="1" w:styleId="TableTitle">
    <w:name w:val="Table Title"/>
    <w:basedOn w:val="Normal"/>
    <w:next w:val="Normal"/>
    <w:rsid w:val="005F11B9"/>
    <w:pPr>
      <w:spacing w:before="120" w:after="120" w:line="240" w:lineRule="auto"/>
      <w:jc w:val="center"/>
    </w:pPr>
    <w:rPr>
      <w:rFonts w:ascii="Times New Roman" w:eastAsia="Times New Roman" w:hAnsi="Times New Roman" w:cs="Times New Roman"/>
      <w:b/>
      <w:kern w:val="0"/>
      <w:sz w:val="24"/>
      <w:szCs w:val="24"/>
    </w:rPr>
  </w:style>
  <w:style w:type="paragraph" w:customStyle="1" w:styleId="Point0number">
    <w:name w:val="Point 0 (number)"/>
    <w:basedOn w:val="Normal"/>
    <w:rsid w:val="005F11B9"/>
    <w:pPr>
      <w:numPr>
        <w:ilvl w:val="2"/>
        <w:numId w:val="13"/>
      </w:numPr>
      <w:tabs>
        <w:tab w:val="num" w:pos="360"/>
      </w:tabs>
      <w:spacing w:before="120" w:after="120" w:line="240" w:lineRule="auto"/>
      <w:ind w:left="360" w:hanging="360"/>
      <w:jc w:val="both"/>
    </w:pPr>
    <w:rPr>
      <w:rFonts w:ascii="Times New Roman" w:eastAsia="Times New Roman" w:hAnsi="Times New Roman" w:cs="Times New Roman"/>
      <w:kern w:val="0"/>
      <w:sz w:val="24"/>
      <w:szCs w:val="24"/>
    </w:rPr>
  </w:style>
  <w:style w:type="paragraph" w:customStyle="1" w:styleId="Point1number">
    <w:name w:val="Point 1 (number)"/>
    <w:basedOn w:val="Normal"/>
    <w:rsid w:val="005F11B9"/>
    <w:pPr>
      <w:numPr>
        <w:ilvl w:val="4"/>
        <w:numId w:val="13"/>
      </w:numPr>
      <w:tabs>
        <w:tab w:val="num" w:pos="360"/>
      </w:tabs>
      <w:spacing w:before="120" w:after="120" w:line="240" w:lineRule="auto"/>
      <w:ind w:left="360"/>
      <w:jc w:val="both"/>
    </w:pPr>
    <w:rPr>
      <w:rFonts w:ascii="Times New Roman" w:eastAsia="Times New Roman" w:hAnsi="Times New Roman" w:cs="Times New Roman"/>
      <w:kern w:val="0"/>
      <w:sz w:val="24"/>
      <w:szCs w:val="24"/>
    </w:rPr>
  </w:style>
  <w:style w:type="paragraph" w:customStyle="1" w:styleId="Point2number">
    <w:name w:val="Point 2 (number)"/>
    <w:basedOn w:val="Normal"/>
    <w:rsid w:val="005F11B9"/>
    <w:pPr>
      <w:numPr>
        <w:ilvl w:val="6"/>
        <w:numId w:val="13"/>
      </w:numPr>
      <w:tabs>
        <w:tab w:val="num" w:pos="360"/>
        <w:tab w:val="num" w:pos="1984"/>
      </w:tabs>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Point3number">
    <w:name w:val="Point 3 (number)"/>
    <w:basedOn w:val="Normal"/>
    <w:rsid w:val="005F11B9"/>
    <w:pPr>
      <w:numPr>
        <w:ilvl w:val="1"/>
        <w:numId w:val="13"/>
      </w:numPr>
      <w:tabs>
        <w:tab w:val="num" w:pos="360"/>
        <w:tab w:val="num" w:pos="2551"/>
      </w:tabs>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Point0letter">
    <w:name w:val="Point 0 (letter)"/>
    <w:basedOn w:val="Normal"/>
    <w:rsid w:val="005F11B9"/>
    <w:pPr>
      <w:numPr>
        <w:ilvl w:val="3"/>
        <w:numId w:val="13"/>
      </w:numPr>
      <w:tabs>
        <w:tab w:val="num" w:pos="360"/>
      </w:tabs>
      <w:spacing w:before="120" w:after="120" w:line="240" w:lineRule="auto"/>
      <w:ind w:left="360" w:hanging="360"/>
      <w:jc w:val="both"/>
    </w:pPr>
    <w:rPr>
      <w:rFonts w:ascii="Times New Roman" w:eastAsia="Times New Roman" w:hAnsi="Times New Roman" w:cs="Times New Roman"/>
      <w:kern w:val="0"/>
      <w:sz w:val="24"/>
      <w:szCs w:val="24"/>
    </w:rPr>
  </w:style>
  <w:style w:type="paragraph" w:customStyle="1" w:styleId="Point1letter">
    <w:name w:val="Point 1 (letter)"/>
    <w:basedOn w:val="Normal"/>
    <w:rsid w:val="005F11B9"/>
    <w:pPr>
      <w:numPr>
        <w:ilvl w:val="5"/>
        <w:numId w:val="13"/>
      </w:numPr>
      <w:tabs>
        <w:tab w:val="num" w:pos="360"/>
      </w:tabs>
      <w:spacing w:before="120" w:after="120" w:line="240" w:lineRule="auto"/>
      <w:ind w:left="360"/>
      <w:jc w:val="both"/>
    </w:pPr>
    <w:rPr>
      <w:rFonts w:ascii="Times New Roman" w:eastAsia="Times New Roman" w:hAnsi="Times New Roman" w:cs="Times New Roman"/>
      <w:kern w:val="0"/>
      <w:sz w:val="24"/>
      <w:szCs w:val="24"/>
    </w:rPr>
  </w:style>
  <w:style w:type="paragraph" w:customStyle="1" w:styleId="Point2letter">
    <w:name w:val="Point 2 (letter)"/>
    <w:basedOn w:val="Normal"/>
    <w:rsid w:val="005F11B9"/>
    <w:pPr>
      <w:numPr>
        <w:ilvl w:val="7"/>
        <w:numId w:val="13"/>
      </w:numPr>
      <w:tabs>
        <w:tab w:val="num" w:pos="360"/>
        <w:tab w:val="num" w:pos="1984"/>
      </w:tabs>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Point3letter">
    <w:name w:val="Point 3 (letter)"/>
    <w:basedOn w:val="Normal"/>
    <w:rsid w:val="005F11B9"/>
    <w:pPr>
      <w:numPr>
        <w:ilvl w:val="8"/>
        <w:numId w:val="13"/>
      </w:numPr>
      <w:tabs>
        <w:tab w:val="num" w:pos="360"/>
        <w:tab w:val="num" w:pos="2551"/>
      </w:tabs>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Point4letter">
    <w:name w:val="Point 4 (letter)"/>
    <w:basedOn w:val="Normal"/>
    <w:rsid w:val="005F11B9"/>
    <w:pPr>
      <w:tabs>
        <w:tab w:val="num" w:pos="3118"/>
      </w:tabs>
      <w:spacing w:before="120" w:after="120" w:line="240" w:lineRule="auto"/>
      <w:ind w:left="3118" w:hanging="567"/>
      <w:jc w:val="both"/>
    </w:pPr>
    <w:rPr>
      <w:rFonts w:ascii="Times New Roman" w:eastAsia="Times New Roman" w:hAnsi="Times New Roman" w:cs="Times New Roman"/>
      <w:kern w:val="0"/>
      <w:sz w:val="24"/>
      <w:szCs w:val="24"/>
    </w:rPr>
  </w:style>
  <w:style w:type="paragraph" w:customStyle="1" w:styleId="Bullet0">
    <w:name w:val="Bullet 0"/>
    <w:basedOn w:val="Normal"/>
    <w:rsid w:val="005F11B9"/>
    <w:pPr>
      <w:numPr>
        <w:numId w:val="14"/>
      </w:numPr>
      <w:tabs>
        <w:tab w:val="num" w:pos="643"/>
      </w:tabs>
      <w:spacing w:before="120" w:after="120" w:line="240" w:lineRule="auto"/>
      <w:ind w:left="643" w:hanging="360"/>
      <w:jc w:val="both"/>
    </w:pPr>
    <w:rPr>
      <w:rFonts w:ascii="Times New Roman" w:eastAsia="Times New Roman" w:hAnsi="Times New Roman" w:cs="Times New Roman"/>
      <w:kern w:val="0"/>
      <w:sz w:val="24"/>
      <w:szCs w:val="24"/>
    </w:rPr>
  </w:style>
  <w:style w:type="paragraph" w:customStyle="1" w:styleId="Bullet1">
    <w:name w:val="Bullet 1"/>
    <w:basedOn w:val="Normal"/>
    <w:rsid w:val="005F11B9"/>
    <w:pPr>
      <w:numPr>
        <w:numId w:val="15"/>
      </w:numPr>
      <w:tabs>
        <w:tab w:val="num" w:pos="926"/>
      </w:tabs>
      <w:spacing w:before="120" w:after="120" w:line="240" w:lineRule="auto"/>
      <w:ind w:left="926" w:hanging="360"/>
      <w:jc w:val="both"/>
    </w:pPr>
    <w:rPr>
      <w:rFonts w:ascii="Times New Roman" w:eastAsia="Times New Roman" w:hAnsi="Times New Roman" w:cs="Times New Roman"/>
      <w:kern w:val="0"/>
      <w:sz w:val="24"/>
      <w:szCs w:val="24"/>
    </w:rPr>
  </w:style>
  <w:style w:type="paragraph" w:customStyle="1" w:styleId="Bullet2">
    <w:name w:val="Bullet 2"/>
    <w:basedOn w:val="Normal"/>
    <w:rsid w:val="005F11B9"/>
    <w:pPr>
      <w:numPr>
        <w:numId w:val="16"/>
      </w:numPr>
      <w:spacing w:before="120" w:after="120" w:line="240" w:lineRule="auto"/>
      <w:jc w:val="both"/>
    </w:pPr>
    <w:rPr>
      <w:rFonts w:ascii="Times New Roman" w:eastAsia="Times New Roman" w:hAnsi="Times New Roman" w:cs="Times New Roman"/>
      <w:kern w:val="0"/>
      <w:sz w:val="24"/>
      <w:szCs w:val="24"/>
    </w:rPr>
  </w:style>
  <w:style w:type="paragraph" w:customStyle="1" w:styleId="Bullet3">
    <w:name w:val="Bullet 3"/>
    <w:basedOn w:val="Normal"/>
    <w:rsid w:val="005F11B9"/>
    <w:pPr>
      <w:tabs>
        <w:tab w:val="num" w:pos="2551"/>
      </w:tabs>
      <w:spacing w:before="120" w:after="120" w:line="240" w:lineRule="auto"/>
      <w:ind w:left="2551" w:hanging="567"/>
      <w:jc w:val="both"/>
    </w:pPr>
    <w:rPr>
      <w:rFonts w:ascii="Times New Roman" w:eastAsia="Times New Roman" w:hAnsi="Times New Roman" w:cs="Times New Roman"/>
      <w:kern w:val="0"/>
      <w:sz w:val="24"/>
      <w:szCs w:val="24"/>
    </w:rPr>
  </w:style>
  <w:style w:type="paragraph" w:customStyle="1" w:styleId="Bullet4">
    <w:name w:val="Bullet 4"/>
    <w:basedOn w:val="Normal"/>
    <w:rsid w:val="005F11B9"/>
    <w:pPr>
      <w:numPr>
        <w:numId w:val="17"/>
      </w:numPr>
      <w:spacing w:before="120" w:after="120" w:line="240" w:lineRule="auto"/>
      <w:jc w:val="both"/>
    </w:pPr>
    <w:rPr>
      <w:rFonts w:ascii="Times New Roman" w:eastAsia="Times New Roman" w:hAnsi="Times New Roman" w:cs="Times New Roman"/>
      <w:kern w:val="0"/>
      <w:sz w:val="24"/>
      <w:szCs w:val="24"/>
    </w:rPr>
  </w:style>
  <w:style w:type="paragraph" w:customStyle="1" w:styleId="Rfrenceinterne">
    <w:name w:val="Référence interne"/>
    <w:basedOn w:val="Normal"/>
    <w:next w:val="Rfrenceinterinstitutionnelle"/>
    <w:rsid w:val="005F11B9"/>
    <w:pPr>
      <w:spacing w:after="0" w:line="240" w:lineRule="auto"/>
      <w:ind w:left="5103"/>
    </w:pPr>
    <w:rPr>
      <w:rFonts w:ascii="Times New Roman" w:eastAsia="Times New Roman" w:hAnsi="Times New Roman" w:cs="Times New Roman"/>
      <w:kern w:val="0"/>
      <w:sz w:val="24"/>
      <w:szCs w:val="24"/>
    </w:rPr>
  </w:style>
  <w:style w:type="paragraph" w:customStyle="1" w:styleId="Langue">
    <w:name w:val="Langue"/>
    <w:basedOn w:val="Normal"/>
    <w:next w:val="Rfrenceinterne"/>
    <w:rsid w:val="005F11B9"/>
    <w:pPr>
      <w:framePr w:wrap="around" w:vAnchor="page" w:hAnchor="text" w:xAlign="center" w:y="14741"/>
      <w:spacing w:after="600" w:line="240" w:lineRule="auto"/>
      <w:jc w:val="center"/>
    </w:pPr>
    <w:rPr>
      <w:rFonts w:ascii="Times New Roman" w:eastAsia="Times New Roman" w:hAnsi="Times New Roman" w:cs="Times New Roman"/>
      <w:b/>
      <w:caps/>
      <w:kern w:val="0"/>
      <w:sz w:val="24"/>
      <w:szCs w:val="24"/>
    </w:rPr>
  </w:style>
  <w:style w:type="paragraph" w:customStyle="1" w:styleId="Rfrenceinterinstitutionnelle">
    <w:name w:val="Référence interinstitutionnelle"/>
    <w:basedOn w:val="Normal"/>
    <w:next w:val="Statut"/>
    <w:rsid w:val="005F11B9"/>
    <w:pPr>
      <w:spacing w:after="0" w:line="240" w:lineRule="auto"/>
      <w:ind w:left="5103"/>
    </w:pPr>
    <w:rPr>
      <w:rFonts w:ascii="Times New Roman" w:eastAsia="Times New Roman" w:hAnsi="Times New Roman" w:cs="Times New Roman"/>
      <w:kern w:val="0"/>
      <w:sz w:val="24"/>
      <w:szCs w:val="24"/>
    </w:rPr>
  </w:style>
  <w:style w:type="paragraph" w:customStyle="1" w:styleId="Statut">
    <w:name w:val="Statut"/>
    <w:basedOn w:val="Normal"/>
    <w:next w:val="Typedudocument"/>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Typedudocument">
    <w:name w:val="Type du document"/>
    <w:basedOn w:val="Normal"/>
    <w:next w:val="Titreobjet"/>
    <w:rsid w:val="005F11B9"/>
    <w:pPr>
      <w:spacing w:before="360" w:after="0" w:line="240" w:lineRule="auto"/>
      <w:jc w:val="center"/>
    </w:pPr>
    <w:rPr>
      <w:rFonts w:ascii="Times New Roman" w:eastAsia="Times New Roman" w:hAnsi="Times New Roman" w:cs="Times New Roman"/>
      <w:b/>
      <w:kern w:val="0"/>
      <w:sz w:val="24"/>
      <w:szCs w:val="24"/>
    </w:rPr>
  </w:style>
  <w:style w:type="paragraph" w:customStyle="1" w:styleId="Titreobjet">
    <w:name w:val="Titre objet"/>
    <w:basedOn w:val="Normal"/>
    <w:next w:val="IntrtEEE"/>
    <w:rsid w:val="005F11B9"/>
    <w:pPr>
      <w:spacing w:before="360" w:after="360" w:line="240" w:lineRule="auto"/>
      <w:jc w:val="center"/>
    </w:pPr>
    <w:rPr>
      <w:rFonts w:ascii="Times New Roman" w:eastAsia="Times New Roman" w:hAnsi="Times New Roman" w:cs="Times New Roman"/>
      <w:b/>
      <w:kern w:val="0"/>
      <w:sz w:val="24"/>
      <w:szCs w:val="24"/>
    </w:rPr>
  </w:style>
  <w:style w:type="paragraph" w:customStyle="1" w:styleId="IntrtEEE">
    <w:name w:val="Intérêt EEE"/>
    <w:basedOn w:val="Languesfaisantfoi"/>
    <w:next w:val="Normal"/>
    <w:rsid w:val="005F11B9"/>
    <w:pPr>
      <w:spacing w:after="240"/>
    </w:pPr>
  </w:style>
  <w:style w:type="paragraph" w:customStyle="1" w:styleId="Languesfaisantfoi">
    <w:name w:val="Langues faisant foi"/>
    <w:basedOn w:val="Normal"/>
    <w:next w:val="Normal"/>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Emission">
    <w:name w:val="Emission"/>
    <w:basedOn w:val="Normal"/>
    <w:next w:val="Rfrenceinstitutionnelle"/>
    <w:rsid w:val="005F11B9"/>
    <w:pPr>
      <w:spacing w:after="0" w:line="240" w:lineRule="auto"/>
      <w:ind w:left="5103"/>
    </w:pPr>
    <w:rPr>
      <w:rFonts w:ascii="Times New Roman" w:eastAsia="Times New Roman" w:hAnsi="Times New Roman" w:cs="Times New Roman"/>
      <w:kern w:val="0"/>
      <w:sz w:val="24"/>
      <w:szCs w:val="24"/>
    </w:rPr>
  </w:style>
  <w:style w:type="paragraph" w:customStyle="1" w:styleId="Nomdelinstitution">
    <w:name w:val="Nom de l'institution"/>
    <w:basedOn w:val="Normal"/>
    <w:next w:val="Emission"/>
    <w:rsid w:val="005F11B9"/>
    <w:pPr>
      <w:spacing w:after="0" w:line="240" w:lineRule="auto"/>
    </w:pPr>
    <w:rPr>
      <w:rFonts w:ascii="Arial" w:eastAsia="Times New Roman" w:hAnsi="Arial" w:cs="Arial"/>
      <w:kern w:val="0"/>
      <w:sz w:val="24"/>
      <w:szCs w:val="24"/>
    </w:rPr>
  </w:style>
  <w:style w:type="paragraph" w:customStyle="1" w:styleId="Rfrenceinstitutionnelle">
    <w:name w:val="Référence institutionnelle"/>
    <w:basedOn w:val="Normal"/>
    <w:next w:val="Confidentialit"/>
    <w:rsid w:val="005F11B9"/>
    <w:pPr>
      <w:spacing w:after="240" w:line="240" w:lineRule="auto"/>
      <w:ind w:left="5103"/>
    </w:pPr>
    <w:rPr>
      <w:rFonts w:ascii="Times New Roman" w:eastAsia="Times New Roman" w:hAnsi="Times New Roman" w:cs="Times New Roman"/>
      <w:kern w:val="0"/>
      <w:sz w:val="24"/>
      <w:szCs w:val="24"/>
    </w:rPr>
  </w:style>
  <w:style w:type="paragraph" w:customStyle="1" w:styleId="Confidentialit">
    <w:name w:val="Confidentialité"/>
    <w:basedOn w:val="Normal"/>
    <w:next w:val="TypedudocumentPagedecouverture"/>
    <w:rsid w:val="005F11B9"/>
    <w:pPr>
      <w:spacing w:before="240" w:after="240" w:line="240" w:lineRule="auto"/>
      <w:ind w:left="5103"/>
    </w:pPr>
    <w:rPr>
      <w:rFonts w:ascii="Times New Roman" w:eastAsia="Times New Roman" w:hAnsi="Times New Roman" w:cs="Times New Roman"/>
      <w:i/>
      <w:kern w:val="0"/>
      <w:sz w:val="32"/>
      <w:szCs w:val="24"/>
    </w:rPr>
  </w:style>
  <w:style w:type="paragraph" w:customStyle="1" w:styleId="TypedudocumentPagedecouverture">
    <w:name w:val="Type du document (Page de couverture)"/>
    <w:basedOn w:val="Typedudocument"/>
    <w:next w:val="TitreobjetPagedecouverture"/>
    <w:rsid w:val="005F11B9"/>
  </w:style>
  <w:style w:type="paragraph" w:customStyle="1" w:styleId="TitreobjetPagedecouverture">
    <w:name w:val="Titre objet (Page de couverture)"/>
    <w:basedOn w:val="Titreobjet"/>
    <w:next w:val="IntrtEEEPagedecouverture"/>
    <w:rsid w:val="005F11B9"/>
  </w:style>
  <w:style w:type="paragraph" w:customStyle="1" w:styleId="IntrtEEEPagedecouverture">
    <w:name w:val="Intérêt EEE (Page de couverture)"/>
    <w:basedOn w:val="IntrtEEE"/>
    <w:next w:val="Rfrencecroise"/>
    <w:rsid w:val="005F11B9"/>
  </w:style>
  <w:style w:type="paragraph" w:customStyle="1" w:styleId="Rfrencecroise">
    <w:name w:val="Référence croisée"/>
    <w:basedOn w:val="Normal"/>
    <w:rsid w:val="005F11B9"/>
    <w:pPr>
      <w:spacing w:after="0" w:line="240" w:lineRule="auto"/>
      <w:jc w:val="center"/>
    </w:pPr>
    <w:rPr>
      <w:rFonts w:ascii="Times New Roman" w:eastAsia="Times New Roman" w:hAnsi="Times New Roman" w:cs="Times New Roman"/>
      <w:kern w:val="0"/>
      <w:sz w:val="24"/>
      <w:szCs w:val="24"/>
    </w:rPr>
  </w:style>
  <w:style w:type="paragraph" w:customStyle="1" w:styleId="Pagedecouverture">
    <w:name w:val="Page de couverture"/>
    <w:basedOn w:val="Normal"/>
    <w:next w:val="Normal"/>
    <w:rsid w:val="005F11B9"/>
    <w:pPr>
      <w:spacing w:after="0" w:line="240" w:lineRule="auto"/>
      <w:jc w:val="both"/>
    </w:pPr>
    <w:rPr>
      <w:rFonts w:ascii="Times New Roman" w:eastAsia="Times New Roman" w:hAnsi="Times New Roman" w:cs="Times New Roman"/>
      <w:kern w:val="0"/>
      <w:sz w:val="24"/>
      <w:szCs w:val="24"/>
    </w:rPr>
  </w:style>
  <w:style w:type="paragraph" w:customStyle="1" w:styleId="Declassification">
    <w:name w:val="Declassification"/>
    <w:basedOn w:val="Normal"/>
    <w:next w:val="Normal"/>
    <w:rsid w:val="005F11B9"/>
    <w:pPr>
      <w:spacing w:after="0" w:line="240" w:lineRule="auto"/>
      <w:jc w:val="both"/>
    </w:pPr>
    <w:rPr>
      <w:rFonts w:ascii="Times New Roman" w:eastAsia="Times New Roman" w:hAnsi="Times New Roman" w:cs="Times New Roman"/>
      <w:kern w:val="0"/>
      <w:sz w:val="24"/>
      <w:szCs w:val="24"/>
    </w:rPr>
  </w:style>
  <w:style w:type="paragraph" w:customStyle="1" w:styleId="Disclaimer">
    <w:name w:val="Disclaimer"/>
    <w:basedOn w:val="Normal"/>
    <w:rsid w:val="005F11B9"/>
    <w:pPr>
      <w:framePr w:w="8220" w:wrap="notBeside" w:hAnchor="margin" w:xAlign="center" w:y="10401"/>
      <w:pBdr>
        <w:top w:val="single" w:sz="6" w:space="4" w:color="auto"/>
        <w:left w:val="single" w:sz="6" w:space="7" w:color="auto"/>
        <w:bottom w:val="single" w:sz="6" w:space="4" w:color="auto"/>
        <w:right w:val="single" w:sz="6" w:space="7" w:color="auto"/>
      </w:pBdr>
      <w:spacing w:before="120" w:after="120" w:line="240" w:lineRule="auto"/>
      <w:jc w:val="both"/>
    </w:pPr>
    <w:rPr>
      <w:rFonts w:ascii="Times New Roman" w:eastAsia="Times New Roman" w:hAnsi="Times New Roman" w:cs="Times New Roman"/>
      <w:kern w:val="0"/>
      <w:sz w:val="24"/>
      <w:szCs w:val="24"/>
    </w:rPr>
  </w:style>
  <w:style w:type="paragraph" w:customStyle="1" w:styleId="SecurityMarking">
    <w:name w:val="SecurityMarking"/>
    <w:basedOn w:val="Normal"/>
    <w:rsid w:val="005F11B9"/>
    <w:pPr>
      <w:spacing w:after="0" w:line="240" w:lineRule="auto"/>
      <w:ind w:left="5103"/>
    </w:pPr>
    <w:rPr>
      <w:rFonts w:ascii="Times New Roman" w:eastAsia="Times New Roman" w:hAnsi="Times New Roman" w:cs="Times New Roman"/>
      <w:kern w:val="0"/>
      <w:sz w:val="28"/>
      <w:szCs w:val="24"/>
    </w:rPr>
  </w:style>
  <w:style w:type="paragraph" w:customStyle="1" w:styleId="DateMarking">
    <w:name w:val="DateMarking"/>
    <w:basedOn w:val="Normal"/>
    <w:rsid w:val="005F11B9"/>
    <w:pPr>
      <w:spacing w:after="0" w:line="240" w:lineRule="auto"/>
      <w:ind w:left="5103"/>
    </w:pPr>
    <w:rPr>
      <w:rFonts w:ascii="Times New Roman" w:eastAsia="Times New Roman" w:hAnsi="Times New Roman" w:cs="Times New Roman"/>
      <w:i/>
      <w:kern w:val="0"/>
      <w:sz w:val="28"/>
      <w:szCs w:val="24"/>
    </w:rPr>
  </w:style>
  <w:style w:type="paragraph" w:customStyle="1" w:styleId="ReleasableTo">
    <w:name w:val="ReleasableTo"/>
    <w:basedOn w:val="Normal"/>
    <w:rsid w:val="005F11B9"/>
    <w:pPr>
      <w:spacing w:after="0" w:line="240" w:lineRule="auto"/>
      <w:ind w:left="5103"/>
    </w:pPr>
    <w:rPr>
      <w:rFonts w:ascii="Times New Roman" w:eastAsia="Times New Roman" w:hAnsi="Times New Roman" w:cs="Times New Roman"/>
      <w:i/>
      <w:kern w:val="0"/>
      <w:sz w:val="28"/>
      <w:szCs w:val="24"/>
    </w:rPr>
  </w:style>
  <w:style w:type="paragraph" w:customStyle="1" w:styleId="Annexetitreexpos">
    <w:name w:val="Annexe titre (exposé)"/>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Annexetitre">
    <w:name w:val="Annexe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Annexetitrefichefinancire">
    <w:name w:val="Annexe titre (fiche financiè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Fait">
    <w:name w:val="Fait à"/>
    <w:basedOn w:val="Normal"/>
    <w:next w:val="Institutionquisigne"/>
    <w:rsid w:val="005F11B9"/>
    <w:pPr>
      <w:keepNext/>
      <w:spacing w:before="120" w:after="0" w:line="240" w:lineRule="auto"/>
      <w:jc w:val="both"/>
    </w:pPr>
    <w:rPr>
      <w:rFonts w:ascii="Times New Roman" w:eastAsia="Times New Roman" w:hAnsi="Times New Roman" w:cs="Times New Roman"/>
      <w:kern w:val="0"/>
      <w:sz w:val="24"/>
      <w:szCs w:val="24"/>
    </w:rPr>
  </w:style>
  <w:style w:type="paragraph" w:customStyle="1" w:styleId="Applicationdirecte">
    <w:name w:val="Application directe"/>
    <w:basedOn w:val="Normal"/>
    <w:next w:val="Fait"/>
    <w:rsid w:val="005F11B9"/>
    <w:pPr>
      <w:spacing w:before="480" w:after="120" w:line="240" w:lineRule="auto"/>
      <w:jc w:val="both"/>
    </w:pPr>
    <w:rPr>
      <w:rFonts w:ascii="Times New Roman" w:eastAsia="Times New Roman" w:hAnsi="Times New Roman" w:cs="Times New Roman"/>
      <w:kern w:val="0"/>
      <w:sz w:val="24"/>
      <w:szCs w:val="24"/>
    </w:rPr>
  </w:style>
  <w:style w:type="paragraph" w:customStyle="1" w:styleId="Institutionquisigne">
    <w:name w:val="Institution qui signe"/>
    <w:basedOn w:val="Normal"/>
    <w:next w:val="Personnequisigne"/>
    <w:rsid w:val="005F11B9"/>
    <w:pPr>
      <w:keepNext/>
      <w:tabs>
        <w:tab w:val="left" w:pos="4252"/>
      </w:tabs>
      <w:spacing w:before="720" w:after="0" w:line="240" w:lineRule="auto"/>
      <w:jc w:val="both"/>
    </w:pPr>
    <w:rPr>
      <w:rFonts w:ascii="Times New Roman" w:eastAsia="Times New Roman" w:hAnsi="Times New Roman" w:cs="Times New Roman"/>
      <w:i/>
      <w:kern w:val="0"/>
      <w:sz w:val="24"/>
      <w:szCs w:val="24"/>
    </w:rPr>
  </w:style>
  <w:style w:type="paragraph" w:customStyle="1" w:styleId="Personnequisigne">
    <w:name w:val="Personne qui signe"/>
    <w:basedOn w:val="Normal"/>
    <w:next w:val="Institutionquisigne"/>
    <w:rsid w:val="005F11B9"/>
    <w:pPr>
      <w:tabs>
        <w:tab w:val="left" w:pos="4252"/>
      </w:tabs>
      <w:spacing w:after="0" w:line="240" w:lineRule="auto"/>
    </w:pPr>
    <w:rPr>
      <w:rFonts w:ascii="Times New Roman" w:eastAsia="Times New Roman" w:hAnsi="Times New Roman" w:cs="Times New Roman"/>
      <w:i/>
      <w:kern w:val="0"/>
      <w:sz w:val="24"/>
      <w:szCs w:val="24"/>
    </w:rPr>
  </w:style>
  <w:style w:type="paragraph" w:customStyle="1" w:styleId="Avertissementtitre">
    <w:name w:val="Avertissement titre"/>
    <w:basedOn w:val="Normal"/>
    <w:next w:val="Normal"/>
    <w:rsid w:val="005F11B9"/>
    <w:pPr>
      <w:keepNext/>
      <w:spacing w:before="480" w:after="120" w:line="240" w:lineRule="auto"/>
      <w:jc w:val="both"/>
    </w:pPr>
    <w:rPr>
      <w:rFonts w:ascii="Times New Roman" w:eastAsia="Times New Roman" w:hAnsi="Times New Roman" w:cs="Times New Roman"/>
      <w:kern w:val="0"/>
      <w:sz w:val="24"/>
      <w:szCs w:val="24"/>
      <w:u w:val="single"/>
    </w:rPr>
  </w:style>
  <w:style w:type="paragraph" w:customStyle="1" w:styleId="Confidence">
    <w:name w:val="Confidence"/>
    <w:basedOn w:val="Normal"/>
    <w:next w:val="Normal"/>
    <w:rsid w:val="005F11B9"/>
    <w:pPr>
      <w:spacing w:before="360" w:after="120" w:line="240" w:lineRule="auto"/>
      <w:jc w:val="center"/>
    </w:pPr>
    <w:rPr>
      <w:rFonts w:ascii="Times New Roman" w:eastAsia="Times New Roman" w:hAnsi="Times New Roman" w:cs="Times New Roman"/>
      <w:kern w:val="0"/>
      <w:sz w:val="24"/>
      <w:szCs w:val="24"/>
    </w:rPr>
  </w:style>
  <w:style w:type="paragraph" w:customStyle="1" w:styleId="Considrant">
    <w:name w:val="Considérant"/>
    <w:basedOn w:val="Normal"/>
    <w:rsid w:val="005F11B9"/>
    <w:pPr>
      <w:tabs>
        <w:tab w:val="num" w:pos="709"/>
      </w:tabs>
      <w:spacing w:before="120" w:after="120" w:line="240" w:lineRule="auto"/>
      <w:ind w:left="709" w:hanging="709"/>
      <w:jc w:val="both"/>
    </w:pPr>
    <w:rPr>
      <w:rFonts w:ascii="Times New Roman" w:eastAsia="Times New Roman" w:hAnsi="Times New Roman" w:cs="Times New Roman"/>
      <w:kern w:val="0"/>
      <w:sz w:val="24"/>
      <w:szCs w:val="24"/>
    </w:rPr>
  </w:style>
  <w:style w:type="paragraph" w:customStyle="1" w:styleId="Corrigendum">
    <w:name w:val="Corrigendum"/>
    <w:basedOn w:val="Normal"/>
    <w:next w:val="Normal"/>
    <w:rsid w:val="005F11B9"/>
    <w:pPr>
      <w:spacing w:after="240" w:line="240" w:lineRule="auto"/>
    </w:pPr>
    <w:rPr>
      <w:rFonts w:ascii="Times New Roman" w:eastAsia="Times New Roman" w:hAnsi="Times New Roman" w:cs="Times New Roman"/>
      <w:kern w:val="0"/>
      <w:sz w:val="24"/>
      <w:szCs w:val="24"/>
    </w:rPr>
  </w:style>
  <w:style w:type="paragraph" w:customStyle="1" w:styleId="Datedadoption">
    <w:name w:val="Date d'adoption"/>
    <w:basedOn w:val="Normal"/>
    <w:next w:val="Titreobjet"/>
    <w:rsid w:val="005F11B9"/>
    <w:pPr>
      <w:spacing w:before="360" w:after="0" w:line="240" w:lineRule="auto"/>
      <w:jc w:val="center"/>
    </w:pPr>
    <w:rPr>
      <w:rFonts w:ascii="Times New Roman" w:eastAsia="Times New Roman" w:hAnsi="Times New Roman" w:cs="Times New Roman"/>
      <w:b/>
      <w:kern w:val="0"/>
      <w:sz w:val="24"/>
      <w:szCs w:val="24"/>
    </w:rPr>
  </w:style>
  <w:style w:type="paragraph" w:customStyle="1" w:styleId="Exposdesmotifstitre">
    <w:name w:val="Exposé des motifs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Titrearticle">
    <w:name w:val="Titre article"/>
    <w:basedOn w:val="Normal"/>
    <w:next w:val="Normal"/>
    <w:rsid w:val="005F11B9"/>
    <w:pPr>
      <w:keepNext/>
      <w:spacing w:before="360" w:after="120" w:line="240" w:lineRule="auto"/>
      <w:jc w:val="center"/>
    </w:pPr>
    <w:rPr>
      <w:rFonts w:ascii="Times New Roman" w:eastAsia="Times New Roman" w:hAnsi="Times New Roman" w:cs="Times New Roman"/>
      <w:i/>
      <w:kern w:val="0"/>
      <w:sz w:val="24"/>
      <w:szCs w:val="24"/>
    </w:rPr>
  </w:style>
  <w:style w:type="paragraph" w:customStyle="1" w:styleId="Formuledadoption">
    <w:name w:val="Formule d'adoption"/>
    <w:basedOn w:val="Normal"/>
    <w:next w:val="Titrearticle"/>
    <w:rsid w:val="005F11B9"/>
    <w:pPr>
      <w:keepNext/>
      <w:spacing w:before="120" w:after="120" w:line="240" w:lineRule="auto"/>
      <w:jc w:val="both"/>
    </w:pPr>
    <w:rPr>
      <w:rFonts w:ascii="Times New Roman" w:eastAsia="Times New Roman" w:hAnsi="Times New Roman" w:cs="Times New Roman"/>
      <w:kern w:val="0"/>
      <w:sz w:val="24"/>
      <w:szCs w:val="24"/>
    </w:rPr>
  </w:style>
  <w:style w:type="paragraph" w:customStyle="1" w:styleId="Institutionquiagit">
    <w:name w:val="Institution qui agit"/>
    <w:basedOn w:val="Normal"/>
    <w:next w:val="Normal"/>
    <w:rsid w:val="005F11B9"/>
    <w:pPr>
      <w:keepNext/>
      <w:spacing w:before="600" w:after="120" w:line="240" w:lineRule="auto"/>
      <w:jc w:val="both"/>
    </w:pPr>
    <w:rPr>
      <w:rFonts w:ascii="Times New Roman" w:eastAsia="Times New Roman" w:hAnsi="Times New Roman" w:cs="Times New Roman"/>
      <w:kern w:val="0"/>
      <w:sz w:val="24"/>
      <w:szCs w:val="24"/>
    </w:rPr>
  </w:style>
  <w:style w:type="paragraph" w:customStyle="1" w:styleId="ManualConsidrant">
    <w:name w:val="Manual Considérant"/>
    <w:basedOn w:val="Normal"/>
    <w:rsid w:val="005F11B9"/>
    <w:pPr>
      <w:spacing w:before="120" w:after="120" w:line="240" w:lineRule="auto"/>
      <w:ind w:left="709" w:hanging="709"/>
      <w:jc w:val="both"/>
    </w:pPr>
    <w:rPr>
      <w:rFonts w:ascii="Times New Roman" w:eastAsia="Times New Roman" w:hAnsi="Times New Roman" w:cs="Times New Roman"/>
      <w:kern w:val="0"/>
      <w:sz w:val="24"/>
      <w:szCs w:val="24"/>
    </w:rPr>
  </w:style>
  <w:style w:type="paragraph" w:customStyle="1" w:styleId="Address">
    <w:name w:val="Address"/>
    <w:basedOn w:val="Normal"/>
    <w:next w:val="Normal"/>
    <w:rsid w:val="005F11B9"/>
    <w:pPr>
      <w:keepLines/>
      <w:spacing w:before="120" w:after="120" w:line="360" w:lineRule="auto"/>
      <w:ind w:left="3402"/>
    </w:pPr>
    <w:rPr>
      <w:rFonts w:ascii="Times New Roman" w:eastAsia="Times New Roman" w:hAnsi="Times New Roman" w:cs="Times New Roman"/>
      <w:kern w:val="0"/>
      <w:sz w:val="24"/>
      <w:szCs w:val="24"/>
    </w:rPr>
  </w:style>
  <w:style w:type="paragraph" w:customStyle="1" w:styleId="Objetexterne">
    <w:name w:val="Objet externe"/>
    <w:basedOn w:val="Normal"/>
    <w:next w:val="Normal"/>
    <w:rsid w:val="005F11B9"/>
    <w:pPr>
      <w:spacing w:before="120" w:after="120" w:line="240" w:lineRule="auto"/>
      <w:jc w:val="both"/>
    </w:pPr>
    <w:rPr>
      <w:rFonts w:ascii="Times New Roman" w:eastAsia="Times New Roman" w:hAnsi="Times New Roman" w:cs="Times New Roman"/>
      <w:i/>
      <w:caps/>
      <w:kern w:val="0"/>
      <w:sz w:val="24"/>
      <w:szCs w:val="24"/>
    </w:rPr>
  </w:style>
  <w:style w:type="paragraph" w:customStyle="1" w:styleId="Supertitre">
    <w:name w:val="Supertitre"/>
    <w:basedOn w:val="Normal"/>
    <w:next w:val="Normal"/>
    <w:rsid w:val="005F11B9"/>
    <w:pPr>
      <w:spacing w:after="600" w:line="240" w:lineRule="auto"/>
      <w:jc w:val="center"/>
    </w:pPr>
    <w:rPr>
      <w:rFonts w:ascii="Times New Roman" w:eastAsia="Times New Roman" w:hAnsi="Times New Roman" w:cs="Times New Roman"/>
      <w:b/>
      <w:kern w:val="0"/>
      <w:sz w:val="24"/>
      <w:szCs w:val="24"/>
    </w:rPr>
  </w:style>
  <w:style w:type="paragraph" w:customStyle="1" w:styleId="Fichefinanciretitre">
    <w:name w:val="Fiche financière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DatedadoptionPagedecouverture">
    <w:name w:val="Date d'adoption (Page de couverture)"/>
    <w:basedOn w:val="Datedadoption"/>
    <w:next w:val="TitreobjetPagedecouverture"/>
    <w:rsid w:val="005F11B9"/>
  </w:style>
  <w:style w:type="paragraph" w:customStyle="1" w:styleId="RfrenceinterinstitutionnellePagedecouverture">
    <w:name w:val="Référence interinstitutionnelle (Page de couverture)"/>
    <w:basedOn w:val="Rfrenceinterinstitutionnelle"/>
    <w:next w:val="Confidentialit"/>
    <w:rsid w:val="005F11B9"/>
  </w:style>
  <w:style w:type="paragraph" w:customStyle="1" w:styleId="StatutPagedecouverture">
    <w:name w:val="Statut (Page de couverture)"/>
    <w:basedOn w:val="Statut"/>
    <w:next w:val="TypedudocumentPagedecouverture"/>
    <w:rsid w:val="005F11B9"/>
  </w:style>
  <w:style w:type="paragraph" w:customStyle="1" w:styleId="Volume">
    <w:name w:val="Volume"/>
    <w:basedOn w:val="Normal"/>
    <w:next w:val="Confidentialit"/>
    <w:rsid w:val="005F11B9"/>
    <w:pPr>
      <w:spacing w:after="240" w:line="240" w:lineRule="auto"/>
      <w:ind w:left="5103"/>
    </w:pPr>
    <w:rPr>
      <w:rFonts w:ascii="Times New Roman" w:eastAsia="Times New Roman" w:hAnsi="Times New Roman" w:cs="Times New Roman"/>
      <w:kern w:val="0"/>
      <w:sz w:val="24"/>
      <w:szCs w:val="24"/>
    </w:rPr>
  </w:style>
  <w:style w:type="paragraph" w:customStyle="1" w:styleId="Typeacteprincipal">
    <w:name w:val="Type acte principal"/>
    <w:basedOn w:val="Normal"/>
    <w:next w:val="Objetacteprincipal"/>
    <w:rsid w:val="005F11B9"/>
    <w:pPr>
      <w:spacing w:after="240" w:line="240" w:lineRule="auto"/>
      <w:jc w:val="center"/>
    </w:pPr>
    <w:rPr>
      <w:rFonts w:ascii="Times New Roman" w:eastAsia="Times New Roman" w:hAnsi="Times New Roman" w:cs="Times New Roman"/>
      <w:b/>
      <w:kern w:val="0"/>
      <w:sz w:val="24"/>
      <w:szCs w:val="24"/>
    </w:rPr>
  </w:style>
  <w:style w:type="paragraph" w:customStyle="1" w:styleId="Accompagnant">
    <w:name w:val="Accompagnant"/>
    <w:basedOn w:val="Normal"/>
    <w:next w:val="Typeacteprincipal"/>
    <w:rsid w:val="005F11B9"/>
    <w:pPr>
      <w:spacing w:after="240" w:line="240" w:lineRule="auto"/>
      <w:jc w:val="center"/>
    </w:pPr>
    <w:rPr>
      <w:rFonts w:ascii="Times New Roman" w:eastAsia="Times New Roman" w:hAnsi="Times New Roman" w:cs="Times New Roman"/>
      <w:b/>
      <w:i/>
      <w:kern w:val="0"/>
      <w:sz w:val="24"/>
      <w:szCs w:val="24"/>
    </w:rPr>
  </w:style>
  <w:style w:type="paragraph" w:customStyle="1" w:styleId="Objetacteprincipal">
    <w:name w:val="Objet acte principal"/>
    <w:basedOn w:val="Normal"/>
    <w:next w:val="Titrearticle"/>
    <w:rsid w:val="005F11B9"/>
    <w:pPr>
      <w:spacing w:after="360" w:line="240" w:lineRule="auto"/>
      <w:jc w:val="center"/>
    </w:pPr>
    <w:rPr>
      <w:rFonts w:ascii="Times New Roman" w:eastAsia="Times New Roman" w:hAnsi="Times New Roman" w:cs="Times New Roman"/>
      <w:b/>
      <w:kern w:val="0"/>
      <w:sz w:val="24"/>
      <w:szCs w:val="24"/>
    </w:rPr>
  </w:style>
  <w:style w:type="paragraph" w:customStyle="1" w:styleId="TypeacteprincipalPagedecouverture">
    <w:name w:val="Type acte principal (Page de couverture)"/>
    <w:basedOn w:val="Typeacteprincipal"/>
    <w:next w:val="ObjetacteprincipalPagedecouverture"/>
    <w:rsid w:val="005F11B9"/>
  </w:style>
  <w:style w:type="paragraph" w:customStyle="1" w:styleId="AccompagnantPagedecouverture">
    <w:name w:val="Accompagnant (Page de couverture)"/>
    <w:basedOn w:val="Accompagnant"/>
    <w:next w:val="TypeacteprincipalPagedecouverture"/>
    <w:rsid w:val="005F11B9"/>
  </w:style>
  <w:style w:type="paragraph" w:customStyle="1" w:styleId="ObjetacteprincipalPagedecouverture">
    <w:name w:val="Objet acte principal (Page de couverture)"/>
    <w:basedOn w:val="Objetacteprincipal"/>
    <w:next w:val="Rfrencecroise"/>
    <w:rsid w:val="005F11B9"/>
  </w:style>
  <w:style w:type="paragraph" w:customStyle="1" w:styleId="LanguesfaisantfoiPagedecouverture">
    <w:name w:val="Langues faisant foi (Page de couverture)"/>
    <w:basedOn w:val="Normal"/>
    <w:next w:val="Normal"/>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Times12">
    <w:name w:val="Times12"/>
    <w:basedOn w:val="Normal"/>
    <w:rsid w:val="005F11B9"/>
    <w:pPr>
      <w:suppressAutoHyphens/>
      <w:spacing w:after="140" w:line="240" w:lineRule="auto"/>
      <w:jc w:val="both"/>
    </w:pPr>
    <w:rPr>
      <w:rFonts w:ascii="Times" w:eastAsia="SimSun" w:hAnsi="Times" w:cs="Times"/>
      <w:color w:val="00000A"/>
      <w:sz w:val="24"/>
      <w:szCs w:val="24"/>
    </w:rPr>
  </w:style>
  <w:style w:type="paragraph" w:customStyle="1" w:styleId="paragraph">
    <w:name w:val="paragraph"/>
    <w:basedOn w:val="Normal"/>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FooterCoverPageChar">
    <w:name w:val="Footer Cover Page Char"/>
    <w:basedOn w:val="DefaultParagraphFont"/>
    <w:link w:val="FooterCoverPage"/>
    <w:locked/>
    <w:rsid w:val="005F11B9"/>
    <w:rPr>
      <w:rFonts w:ascii="Times New Roman" w:hAnsi="Times New Roman" w:cs="Times New Roman"/>
      <w:sz w:val="24"/>
    </w:rPr>
  </w:style>
  <w:style w:type="paragraph" w:customStyle="1" w:styleId="FooterCoverPage">
    <w:name w:val="Footer Cover Page"/>
    <w:basedOn w:val="Normal"/>
    <w:link w:val="FooterCoverPageChar"/>
    <w:rsid w:val="005F11B9"/>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HeaderCoverPageChar">
    <w:name w:val="Header Cover Page Char"/>
    <w:basedOn w:val="DefaultParagraphFont"/>
    <w:link w:val="HeaderCoverPage"/>
    <w:locked/>
    <w:rsid w:val="005F11B9"/>
    <w:rPr>
      <w:rFonts w:ascii="Times New Roman" w:hAnsi="Times New Roman" w:cs="Times New Roman"/>
      <w:sz w:val="24"/>
    </w:rPr>
  </w:style>
  <w:style w:type="paragraph" w:customStyle="1" w:styleId="HeaderCoverPage">
    <w:name w:val="Header Cover Page"/>
    <w:basedOn w:val="Normal"/>
    <w:link w:val="HeaderCoverPageChar"/>
    <w:rsid w:val="005F11B9"/>
    <w:pPr>
      <w:tabs>
        <w:tab w:val="center" w:pos="4535"/>
        <w:tab w:val="right" w:pos="9071"/>
      </w:tabs>
      <w:spacing w:after="120" w:line="240" w:lineRule="auto"/>
      <w:jc w:val="both"/>
    </w:pPr>
    <w:rPr>
      <w:rFonts w:ascii="Times New Roman" w:hAnsi="Times New Roman" w:cs="Times New Roman"/>
      <w:sz w:val="24"/>
    </w:rPr>
  </w:style>
  <w:style w:type="paragraph" w:customStyle="1" w:styleId="Paragrafoelenco1">
    <w:name w:val="Paragrafo elenco1"/>
    <w:basedOn w:val="Normal"/>
    <w:rsid w:val="005F11B9"/>
    <w:pPr>
      <w:spacing w:line="252" w:lineRule="auto"/>
      <w:ind w:left="720"/>
      <w:contextualSpacing/>
    </w:pPr>
    <w:rPr>
      <w:rFonts w:ascii="Times New Roman" w:eastAsia="Times New Roman" w:hAnsi="Times New Roman" w:cs="Times New Roman"/>
      <w:color w:val="00000A"/>
      <w:sz w:val="20"/>
      <w:szCs w:val="20"/>
    </w:rPr>
  </w:style>
  <w:style w:type="character" w:customStyle="1" w:styleId="DescriptiontextChar">
    <w:name w:val="Description text Char"/>
    <w:basedOn w:val="DefaultParagraphFont"/>
    <w:link w:val="Descriptiontext"/>
    <w:locked/>
    <w:rsid w:val="005F11B9"/>
    <w:rPr>
      <w:rFonts w:ascii="Times New Roman" w:eastAsia="Times New Roman" w:hAnsi="Times New Roman" w:cs="Times New Roman"/>
    </w:rPr>
  </w:style>
  <w:style w:type="paragraph" w:customStyle="1" w:styleId="Descriptiontext">
    <w:name w:val="Description text"/>
    <w:basedOn w:val="Normal"/>
    <w:link w:val="DescriptiontextChar"/>
    <w:qFormat/>
    <w:rsid w:val="005F11B9"/>
    <w:pPr>
      <w:spacing w:before="120" w:after="120" w:line="240" w:lineRule="auto"/>
      <w:ind w:left="709"/>
      <w:jc w:val="both"/>
    </w:pPr>
    <w:rPr>
      <w:rFonts w:ascii="Times New Roman" w:eastAsia="Times New Roman" w:hAnsi="Times New Roman" w:cs="Times New Roman"/>
    </w:rPr>
  </w:style>
  <w:style w:type="character" w:customStyle="1" w:styleId="DescriptiontitleChar">
    <w:name w:val="Description title Char"/>
    <w:basedOn w:val="DescriptiontextChar"/>
    <w:link w:val="Descriptiontitle"/>
    <w:locked/>
    <w:rsid w:val="005F11B9"/>
    <w:rPr>
      <w:rFonts w:ascii="Times New Roman" w:eastAsia="Times New Roman" w:hAnsi="Times New Roman" w:cs="Times New Roman"/>
    </w:rPr>
  </w:style>
  <w:style w:type="paragraph" w:customStyle="1" w:styleId="Descriptiontitle">
    <w:name w:val="Description title"/>
    <w:basedOn w:val="Descriptiontext"/>
    <w:link w:val="DescriptiontitleChar"/>
    <w:rsid w:val="005F11B9"/>
  </w:style>
  <w:style w:type="character" w:customStyle="1" w:styleId="AxistitleChar">
    <w:name w:val="Axis title Char"/>
    <w:basedOn w:val="DefaultParagraphFont"/>
    <w:link w:val="Axistitle"/>
    <w:locked/>
    <w:rsid w:val="005F11B9"/>
    <w:rPr>
      <w:rFonts w:ascii="Times New Roman" w:eastAsia="Times New Roman" w:hAnsi="Times New Roman" w:cs="Times New Roman"/>
      <w:i/>
    </w:rPr>
  </w:style>
  <w:style w:type="paragraph" w:customStyle="1" w:styleId="Axistitle">
    <w:name w:val="Axis title"/>
    <w:basedOn w:val="Normal"/>
    <w:link w:val="AxistitleChar"/>
    <w:qFormat/>
    <w:rsid w:val="005F11B9"/>
    <w:pPr>
      <w:spacing w:before="320" w:after="240" w:line="240" w:lineRule="auto"/>
      <w:ind w:left="709"/>
      <w:jc w:val="both"/>
    </w:pPr>
    <w:rPr>
      <w:rFonts w:ascii="Times New Roman" w:eastAsia="Times New Roman" w:hAnsi="Times New Roman" w:cs="Times New Roman"/>
      <w:i/>
    </w:rPr>
  </w:style>
  <w:style w:type="character" w:customStyle="1" w:styleId="TechnicalBlockChar">
    <w:name w:val="Technical Block Char"/>
    <w:basedOn w:val="DefaultParagraphFont"/>
    <w:link w:val="TechnicalBlock"/>
    <w:locked/>
    <w:rsid w:val="005F11B9"/>
    <w:rPr>
      <w:rFonts w:ascii="Times New Roman" w:eastAsia="Times New Roman" w:hAnsi="Times New Roman" w:cs="Times New Roman"/>
    </w:rPr>
  </w:style>
  <w:style w:type="paragraph" w:customStyle="1" w:styleId="TechnicalBlock">
    <w:name w:val="Technical Block"/>
    <w:basedOn w:val="Normal"/>
    <w:link w:val="TechnicalBlockChar"/>
    <w:rsid w:val="005F11B9"/>
    <w:pPr>
      <w:spacing w:after="240" w:line="240" w:lineRule="auto"/>
      <w:jc w:val="center"/>
    </w:pPr>
    <w:rPr>
      <w:rFonts w:ascii="Times New Roman" w:eastAsia="Times New Roman" w:hAnsi="Times New Roman" w:cs="Times New Roman"/>
    </w:rPr>
  </w:style>
  <w:style w:type="paragraph" w:customStyle="1" w:styleId="EntText">
    <w:name w:val="EntText"/>
    <w:basedOn w:val="Normal"/>
    <w:rsid w:val="005F11B9"/>
    <w:pPr>
      <w:spacing w:before="120" w:after="120" w:line="360" w:lineRule="auto"/>
    </w:pPr>
    <w:rPr>
      <w:rFonts w:ascii="Times New Roman" w:hAnsi="Times New Roman" w:cs="Times New Roman"/>
      <w:kern w:val="0"/>
      <w:sz w:val="24"/>
    </w:rPr>
  </w:style>
  <w:style w:type="paragraph" w:customStyle="1" w:styleId="Lignefinal">
    <w:name w:val="Ligne final"/>
    <w:basedOn w:val="Normal"/>
    <w:next w:val="Normal"/>
    <w:rsid w:val="005F11B9"/>
    <w:pPr>
      <w:pBdr>
        <w:bottom w:val="single" w:sz="4" w:space="0" w:color="000000"/>
      </w:pBdr>
      <w:spacing w:before="360" w:after="120" w:line="360" w:lineRule="auto"/>
      <w:ind w:left="3400" w:right="3400"/>
      <w:jc w:val="center"/>
    </w:pPr>
    <w:rPr>
      <w:rFonts w:ascii="Times New Roman" w:hAnsi="Times New Roman" w:cs="Times New Roman"/>
      <w:b/>
      <w:kern w:val="0"/>
      <w:sz w:val="24"/>
    </w:rPr>
  </w:style>
  <w:style w:type="character" w:customStyle="1" w:styleId="pjChar">
    <w:name w:val="p.j. Char"/>
    <w:basedOn w:val="DefaultParagraphFont"/>
    <w:link w:val="pj"/>
    <w:locked/>
    <w:rsid w:val="005F11B9"/>
    <w:rPr>
      <w:rFonts w:ascii="Times New Roman" w:eastAsia="Times New Roman" w:hAnsi="Times New Roman" w:cs="Times New Roman"/>
    </w:rPr>
  </w:style>
  <w:style w:type="paragraph" w:customStyle="1" w:styleId="pj">
    <w:name w:val="p.j."/>
    <w:basedOn w:val="Normal"/>
    <w:link w:val="pjChar"/>
    <w:rsid w:val="005F11B9"/>
    <w:pPr>
      <w:spacing w:before="1200" w:after="120" w:line="240" w:lineRule="auto"/>
      <w:ind w:left="1440" w:hanging="1440"/>
    </w:pPr>
    <w:rPr>
      <w:rFonts w:ascii="Times New Roman" w:eastAsia="Times New Roman" w:hAnsi="Times New Roman" w:cs="Times New Roman"/>
    </w:rPr>
  </w:style>
  <w:style w:type="character" w:customStyle="1" w:styleId="nbborderedChar">
    <w:name w:val="nb bordered Char"/>
    <w:basedOn w:val="DefaultParagraphFont"/>
    <w:link w:val="nbbordered"/>
    <w:locked/>
    <w:rsid w:val="005F11B9"/>
    <w:rPr>
      <w:rFonts w:ascii="Times New Roman" w:eastAsia="Times New Roman" w:hAnsi="Times New Roman" w:cs="Times New Roman"/>
      <w:b/>
    </w:rPr>
  </w:style>
  <w:style w:type="paragraph" w:customStyle="1" w:styleId="nbbordered">
    <w:name w:val="nb bordered"/>
    <w:basedOn w:val="Normal"/>
    <w:link w:val="nbborderedChar"/>
    <w:rsid w:val="005F11B9"/>
    <w:pPr>
      <w:pBdr>
        <w:top w:val="single" w:sz="4" w:space="1" w:color="auto"/>
        <w:left w:val="single" w:sz="4" w:space="4" w:color="auto"/>
        <w:bottom w:val="single" w:sz="4" w:space="1" w:color="auto"/>
        <w:right w:val="single" w:sz="4" w:space="4" w:color="auto"/>
      </w:pBdr>
      <w:spacing w:line="240" w:lineRule="auto"/>
      <w:ind w:left="480" w:hanging="480"/>
    </w:pPr>
    <w:rPr>
      <w:rFonts w:ascii="Times New Roman" w:eastAsia="Times New Roman" w:hAnsi="Times New Roman" w:cs="Times New Roman"/>
      <w:b/>
    </w:rPr>
  </w:style>
  <w:style w:type="character" w:customStyle="1" w:styleId="HeaderCouncilChar">
    <w:name w:val="Header Council Char"/>
    <w:basedOn w:val="DefaultParagraphFont"/>
    <w:link w:val="HeaderCouncil"/>
    <w:locked/>
    <w:rsid w:val="005F11B9"/>
    <w:rPr>
      <w:rFonts w:ascii="Times New Roman" w:eastAsia="Times New Roman" w:hAnsi="Times New Roman" w:cs="Times New Roman"/>
      <w:sz w:val="2"/>
    </w:rPr>
  </w:style>
  <w:style w:type="paragraph" w:customStyle="1" w:styleId="HeaderCouncil">
    <w:name w:val="Header Council"/>
    <w:basedOn w:val="Normal"/>
    <w:link w:val="HeaderCouncilChar"/>
    <w:rsid w:val="005F11B9"/>
    <w:pPr>
      <w:spacing w:after="0" w:line="240" w:lineRule="auto"/>
    </w:pPr>
    <w:rPr>
      <w:rFonts w:ascii="Times New Roman" w:eastAsia="Times New Roman" w:hAnsi="Times New Roman" w:cs="Times New Roman"/>
      <w:sz w:val="2"/>
    </w:rPr>
  </w:style>
  <w:style w:type="character" w:customStyle="1" w:styleId="HeaderCouncilLargeChar">
    <w:name w:val="Header Council Large Char"/>
    <w:basedOn w:val="DefaultParagraphFont"/>
    <w:link w:val="HeaderCouncilLarge"/>
    <w:locked/>
    <w:rsid w:val="005F11B9"/>
    <w:rPr>
      <w:rFonts w:ascii="Times New Roman" w:eastAsia="Times New Roman" w:hAnsi="Times New Roman" w:cs="Times New Roman"/>
      <w:sz w:val="2"/>
    </w:rPr>
  </w:style>
  <w:style w:type="paragraph" w:customStyle="1" w:styleId="HeaderCouncilLarge">
    <w:name w:val="Header Council Large"/>
    <w:basedOn w:val="Normal"/>
    <w:link w:val="HeaderCouncilLargeChar"/>
    <w:rsid w:val="005F11B9"/>
    <w:pPr>
      <w:spacing w:after="440" w:line="240" w:lineRule="auto"/>
    </w:pPr>
    <w:rPr>
      <w:rFonts w:ascii="Times New Roman" w:eastAsia="Times New Roman" w:hAnsi="Times New Roman" w:cs="Times New Roman"/>
      <w:sz w:val="2"/>
    </w:rPr>
  </w:style>
  <w:style w:type="character" w:customStyle="1" w:styleId="FooterCouncilChar">
    <w:name w:val="Footer Council Char"/>
    <w:basedOn w:val="DefaultParagraphFont"/>
    <w:link w:val="FooterCouncil"/>
    <w:locked/>
    <w:rsid w:val="005F11B9"/>
    <w:rPr>
      <w:rFonts w:ascii="Times New Roman" w:eastAsia="Times New Roman" w:hAnsi="Times New Roman" w:cs="Times New Roman"/>
      <w:sz w:val="2"/>
    </w:rPr>
  </w:style>
  <w:style w:type="paragraph" w:customStyle="1" w:styleId="FooterCouncil">
    <w:name w:val="Footer Council"/>
    <w:basedOn w:val="Normal"/>
    <w:link w:val="FooterCouncilChar"/>
    <w:rsid w:val="005F11B9"/>
    <w:pPr>
      <w:spacing w:after="0" w:line="240" w:lineRule="auto"/>
    </w:pPr>
    <w:rPr>
      <w:rFonts w:ascii="Times New Roman" w:eastAsia="Times New Roman" w:hAnsi="Times New Roman" w:cs="Times New Roman"/>
      <w:sz w:val="2"/>
    </w:rPr>
  </w:style>
  <w:style w:type="paragraph" w:customStyle="1" w:styleId="FooterText">
    <w:name w:val="Footer Text"/>
    <w:basedOn w:val="Normal"/>
    <w:rsid w:val="005F11B9"/>
    <w:pPr>
      <w:spacing w:after="0" w:line="240" w:lineRule="auto"/>
    </w:pPr>
    <w:rPr>
      <w:rFonts w:ascii="Times New Roman" w:eastAsia="Times New Roman" w:hAnsi="Times New Roman" w:cs="Times New Roman"/>
      <w:kern w:val="0"/>
      <w:sz w:val="24"/>
      <w:szCs w:val="24"/>
    </w:rPr>
  </w:style>
  <w:style w:type="paragraph" w:customStyle="1" w:styleId="pf0">
    <w:name w:val="pf0"/>
    <w:basedOn w:val="Normal"/>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customStyle="1" w:styleId="LegalNumPar">
    <w:name w:val="LegalNumPar"/>
    <w:basedOn w:val="Normal"/>
    <w:rsid w:val="005F11B9"/>
    <w:pPr>
      <w:numPr>
        <w:numId w:val="18"/>
      </w:numPr>
      <w:spacing w:line="256" w:lineRule="auto"/>
    </w:pPr>
    <w:rPr>
      <w:kern w:val="0"/>
    </w:rPr>
  </w:style>
  <w:style w:type="paragraph" w:customStyle="1" w:styleId="LegalNumPar2">
    <w:name w:val="LegalNumPar2"/>
    <w:basedOn w:val="Normal"/>
    <w:rsid w:val="005F11B9"/>
    <w:pPr>
      <w:numPr>
        <w:ilvl w:val="1"/>
        <w:numId w:val="18"/>
      </w:numPr>
      <w:spacing w:line="256" w:lineRule="auto"/>
    </w:pPr>
    <w:rPr>
      <w:kern w:val="0"/>
    </w:rPr>
  </w:style>
  <w:style w:type="paragraph" w:customStyle="1" w:styleId="LegalNumPar3">
    <w:name w:val="LegalNumPar3"/>
    <w:basedOn w:val="Normal"/>
    <w:rsid w:val="005F11B9"/>
    <w:pPr>
      <w:numPr>
        <w:ilvl w:val="2"/>
        <w:numId w:val="18"/>
      </w:numPr>
      <w:spacing w:line="256" w:lineRule="auto"/>
    </w:pPr>
    <w:rPr>
      <w:kern w:val="0"/>
    </w:rPr>
  </w:style>
  <w:style w:type="paragraph" w:customStyle="1" w:styleId="P68B1DB1-Normale1">
    <w:name w:val="P68B1DB1-Normale1"/>
    <w:basedOn w:val="Normal"/>
    <w:rsid w:val="005F11B9"/>
    <w:pPr>
      <w:spacing w:line="256" w:lineRule="auto"/>
    </w:pPr>
    <w:rPr>
      <w:rFonts w:ascii="Calibri" w:eastAsia="Calibri" w:hAnsi="Calibri" w:cs="Calibri"/>
      <w:b/>
      <w:kern w:val="0"/>
      <w:szCs w:val="20"/>
    </w:rPr>
  </w:style>
  <w:style w:type="paragraph" w:customStyle="1" w:styleId="P68B1DB1-Normale6">
    <w:name w:val="P68B1DB1-Normale6"/>
    <w:basedOn w:val="Normal"/>
    <w:rsid w:val="005F11B9"/>
    <w:pPr>
      <w:spacing w:line="256" w:lineRule="auto"/>
    </w:pPr>
    <w:rPr>
      <w:rFonts w:ascii="Times New Roman" w:eastAsia="Calibri" w:hAnsi="Times New Roman" w:cs="Times New Roman"/>
      <w:kern w:val="0"/>
      <w:sz w:val="20"/>
      <w:szCs w:val="20"/>
    </w:rPr>
  </w:style>
  <w:style w:type="paragraph" w:customStyle="1" w:styleId="Default">
    <w:name w:val="Default"/>
    <w:rsid w:val="005F11B9"/>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CommentReference">
    <w:name w:val="annotation reference"/>
    <w:basedOn w:val="DefaultParagraphFont"/>
    <w:uiPriority w:val="99"/>
    <w:unhideWhenUsed/>
    <w:rsid w:val="005F11B9"/>
    <w:rPr>
      <w:sz w:val="16"/>
      <w:szCs w:val="16"/>
    </w:rPr>
  </w:style>
  <w:style w:type="character" w:styleId="PlaceholderText">
    <w:name w:val="Placeholder Text"/>
    <w:basedOn w:val="DefaultParagraphFont"/>
    <w:uiPriority w:val="99"/>
    <w:semiHidden/>
    <w:rsid w:val="005F11B9"/>
    <w:rPr>
      <w:color w:val="808080"/>
    </w:rPr>
  </w:style>
  <w:style w:type="character" w:styleId="SubtleEmphasis">
    <w:name w:val="Subtle Emphasis"/>
    <w:basedOn w:val="DefaultParagraphFont"/>
    <w:uiPriority w:val="19"/>
    <w:qFormat/>
    <w:rsid w:val="005F11B9"/>
    <w:rPr>
      <w:i/>
      <w:iCs/>
      <w:color w:val="404040" w:themeColor="text1" w:themeTint="BF"/>
    </w:rPr>
  </w:style>
  <w:style w:type="character" w:customStyle="1" w:styleId="Marker">
    <w:name w:val="Marker"/>
    <w:basedOn w:val="DefaultParagraphFont"/>
    <w:rsid w:val="005F11B9"/>
    <w:rPr>
      <w:color w:val="0000FF"/>
    </w:rPr>
  </w:style>
  <w:style w:type="character" w:customStyle="1" w:styleId="Marker1">
    <w:name w:val="Marker1"/>
    <w:basedOn w:val="DefaultParagraphFont"/>
    <w:rsid w:val="005F11B9"/>
    <w:rPr>
      <w:color w:val="008000"/>
    </w:rPr>
  </w:style>
  <w:style w:type="character" w:customStyle="1" w:styleId="Marker2">
    <w:name w:val="Marker2"/>
    <w:basedOn w:val="DefaultParagraphFont"/>
    <w:rsid w:val="005F11B9"/>
    <w:rPr>
      <w:color w:val="FF0000"/>
    </w:rPr>
  </w:style>
  <w:style w:type="character" w:customStyle="1" w:styleId="Added">
    <w:name w:val="Added"/>
    <w:basedOn w:val="DefaultParagraphFont"/>
    <w:rsid w:val="005F11B9"/>
    <w:rPr>
      <w:b/>
      <w:bCs w:val="0"/>
      <w:u w:val="single"/>
    </w:rPr>
  </w:style>
  <w:style w:type="character" w:customStyle="1" w:styleId="Deleted">
    <w:name w:val="Deleted"/>
    <w:basedOn w:val="DefaultParagraphFont"/>
    <w:rsid w:val="005F11B9"/>
    <w:rPr>
      <w:strike/>
    </w:rPr>
  </w:style>
  <w:style w:type="character" w:customStyle="1" w:styleId="normaltextrun">
    <w:name w:val="normaltextrun"/>
    <w:basedOn w:val="DefaultParagraphFont"/>
    <w:rsid w:val="005F11B9"/>
  </w:style>
  <w:style w:type="character" w:customStyle="1" w:styleId="eop">
    <w:name w:val="eop"/>
    <w:basedOn w:val="DefaultParagraphFont"/>
    <w:rsid w:val="005F11B9"/>
  </w:style>
  <w:style w:type="character" w:customStyle="1" w:styleId="y2iqfc">
    <w:name w:val="y2iqfc"/>
    <w:basedOn w:val="DefaultParagraphFont"/>
    <w:rsid w:val="005F11B9"/>
  </w:style>
  <w:style w:type="character" w:customStyle="1" w:styleId="FootnoteCharacters">
    <w:name w:val="Footnote Characters"/>
    <w:rsid w:val="005F11B9"/>
    <w:rPr>
      <w:vertAlign w:val="superscript"/>
    </w:rPr>
  </w:style>
  <w:style w:type="character" w:customStyle="1" w:styleId="normaltextrun1">
    <w:name w:val="normaltextrun1"/>
    <w:basedOn w:val="DefaultParagraphFont"/>
    <w:rsid w:val="005F11B9"/>
  </w:style>
  <w:style w:type="character" w:customStyle="1" w:styleId="Hyperlink0">
    <w:name w:val="Hyperlink.0"/>
    <w:rsid w:val="005F11B9"/>
  </w:style>
  <w:style w:type="character" w:customStyle="1" w:styleId="Mention1">
    <w:name w:val="Mention1"/>
    <w:basedOn w:val="DefaultParagraphFont"/>
    <w:uiPriority w:val="99"/>
    <w:rsid w:val="005F11B9"/>
    <w:rPr>
      <w:color w:val="2B579A"/>
      <w:shd w:val="clear" w:color="auto" w:fill="E6E6E6"/>
    </w:rPr>
  </w:style>
  <w:style w:type="character" w:customStyle="1" w:styleId="superscript">
    <w:name w:val="superscript"/>
    <w:basedOn w:val="DefaultParagraphFont"/>
    <w:rsid w:val="005F11B9"/>
  </w:style>
  <w:style w:type="character" w:customStyle="1" w:styleId="Mention2">
    <w:name w:val="Mention2"/>
    <w:basedOn w:val="DefaultParagraphFont"/>
    <w:uiPriority w:val="99"/>
    <w:rsid w:val="005F11B9"/>
    <w:rPr>
      <w:color w:val="2B579A"/>
      <w:shd w:val="clear" w:color="auto" w:fill="E6E6E6"/>
    </w:rPr>
  </w:style>
  <w:style w:type="character" w:customStyle="1" w:styleId="findhit">
    <w:name w:val="findhit"/>
    <w:basedOn w:val="DefaultParagraphFont"/>
    <w:rsid w:val="005F11B9"/>
  </w:style>
  <w:style w:type="character" w:customStyle="1" w:styleId="tabchar">
    <w:name w:val="tabchar"/>
    <w:basedOn w:val="DefaultParagraphFont"/>
    <w:rsid w:val="005F11B9"/>
  </w:style>
  <w:style w:type="character" w:customStyle="1" w:styleId="cf01">
    <w:name w:val="cf01"/>
    <w:basedOn w:val="DefaultParagraphFont"/>
    <w:rsid w:val="005F11B9"/>
    <w:rPr>
      <w:rFonts w:ascii="Segoe UI" w:hAnsi="Segoe UI" w:cs="Segoe UI" w:hint="default"/>
      <w:b/>
      <w:bCs/>
      <w:sz w:val="18"/>
      <w:szCs w:val="18"/>
    </w:rPr>
  </w:style>
  <w:style w:type="character" w:customStyle="1" w:styleId="cf11">
    <w:name w:val="cf11"/>
    <w:basedOn w:val="DefaultParagraphFont"/>
    <w:rsid w:val="005F11B9"/>
    <w:rPr>
      <w:rFonts w:ascii="Segoe UI" w:hAnsi="Segoe UI" w:cs="Segoe UI" w:hint="default"/>
      <w:sz w:val="18"/>
      <w:szCs w:val="18"/>
    </w:rPr>
  </w:style>
  <w:style w:type="character" w:customStyle="1" w:styleId="Mention3">
    <w:name w:val="Mention3"/>
    <w:basedOn w:val="DefaultParagraphFont"/>
    <w:uiPriority w:val="99"/>
    <w:rsid w:val="005F11B9"/>
    <w:rPr>
      <w:color w:val="2B579A"/>
      <w:shd w:val="clear" w:color="auto" w:fill="E6E6E6"/>
    </w:rPr>
  </w:style>
  <w:style w:type="character" w:customStyle="1" w:styleId="Mention4">
    <w:name w:val="Mention4"/>
    <w:basedOn w:val="DefaultParagraphFont"/>
    <w:uiPriority w:val="99"/>
    <w:rsid w:val="005F11B9"/>
    <w:rPr>
      <w:color w:val="2B579A"/>
      <w:shd w:val="clear" w:color="auto" w:fill="E6E6E6"/>
    </w:rPr>
  </w:style>
  <w:style w:type="character" w:customStyle="1" w:styleId="ui-provider">
    <w:name w:val="ui-provider"/>
    <w:basedOn w:val="DefaultParagraphFont"/>
    <w:uiPriority w:val="1"/>
    <w:rsid w:val="005F11B9"/>
  </w:style>
  <w:style w:type="character" w:customStyle="1" w:styleId="UnresolvedMention1">
    <w:name w:val="Unresolved Mention1"/>
    <w:basedOn w:val="DefaultParagraphFont"/>
    <w:uiPriority w:val="99"/>
    <w:semiHidden/>
    <w:rsid w:val="005F11B9"/>
    <w:rPr>
      <w:color w:val="605E5C"/>
      <w:shd w:val="clear" w:color="auto" w:fill="E1DFDD"/>
    </w:rPr>
  </w:style>
  <w:style w:type="character" w:customStyle="1" w:styleId="s10">
    <w:name w:val="s10"/>
    <w:basedOn w:val="DefaultParagraphFont"/>
    <w:rsid w:val="005F11B9"/>
  </w:style>
  <w:style w:type="character" w:customStyle="1" w:styleId="Mention5">
    <w:name w:val="Mention5"/>
    <w:basedOn w:val="DefaultParagraphFont"/>
    <w:uiPriority w:val="99"/>
    <w:rsid w:val="005F11B9"/>
    <w:rPr>
      <w:color w:val="2B579A"/>
      <w:shd w:val="clear" w:color="auto" w:fill="E1DFDD"/>
    </w:rPr>
  </w:style>
  <w:style w:type="character" w:customStyle="1" w:styleId="UnresolvedMention2">
    <w:name w:val="Unresolved Mention2"/>
    <w:basedOn w:val="DefaultParagraphFont"/>
    <w:uiPriority w:val="99"/>
    <w:semiHidden/>
    <w:rsid w:val="005F11B9"/>
    <w:rPr>
      <w:color w:val="605E5C"/>
      <w:shd w:val="clear" w:color="auto" w:fill="E1DFDD"/>
    </w:rPr>
  </w:style>
  <w:style w:type="character" w:customStyle="1" w:styleId="font71">
    <w:name w:val="font71"/>
    <w:basedOn w:val="DefaultParagraphFont"/>
    <w:rsid w:val="005F11B9"/>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font81">
    <w:name w:val="font81"/>
    <w:basedOn w:val="DefaultParagraphFont"/>
    <w:rsid w:val="005F11B9"/>
    <w:rPr>
      <w:rFonts w:ascii="Times New Roman" w:hAnsi="Times New Roman" w:cs="Times New Roman" w:hint="default"/>
      <w:b w:val="0"/>
      <w:bCs w:val="0"/>
      <w:i w:val="0"/>
      <w:iCs w:val="0"/>
      <w:strike w:val="0"/>
      <w:dstrike w:val="0"/>
      <w:color w:val="006100"/>
      <w:sz w:val="20"/>
      <w:szCs w:val="20"/>
      <w:u w:val="none"/>
      <w:effect w:val="none"/>
    </w:rPr>
  </w:style>
  <w:style w:type="character" w:customStyle="1" w:styleId="font111">
    <w:name w:val="font111"/>
    <w:basedOn w:val="DefaultParagraphFont"/>
    <w:rsid w:val="005F11B9"/>
    <w:rPr>
      <w:rFonts w:ascii="Times New Roman" w:hAnsi="Times New Roman" w:cs="Times New Roman" w:hint="default"/>
      <w:b w:val="0"/>
      <w:bCs w:val="0"/>
      <w:i w:val="0"/>
      <w:iCs w:val="0"/>
      <w:strike w:val="0"/>
      <w:dstrike w:val="0"/>
      <w:color w:val="006100"/>
      <w:sz w:val="20"/>
      <w:szCs w:val="20"/>
      <w:u w:val="none"/>
      <w:effect w:val="none"/>
    </w:rPr>
  </w:style>
  <w:style w:type="character" w:customStyle="1" w:styleId="Mention6">
    <w:name w:val="Mention6"/>
    <w:basedOn w:val="DefaultParagraphFont"/>
    <w:uiPriority w:val="99"/>
    <w:rsid w:val="005F11B9"/>
    <w:rPr>
      <w:color w:val="2B579A"/>
      <w:shd w:val="clear" w:color="auto" w:fill="E6E6E6"/>
    </w:rPr>
  </w:style>
  <w:style w:type="character" w:customStyle="1" w:styleId="Mention7">
    <w:name w:val="Mention7"/>
    <w:basedOn w:val="DefaultParagraphFont"/>
    <w:uiPriority w:val="99"/>
    <w:rsid w:val="005F11B9"/>
    <w:rPr>
      <w:color w:val="2B579A"/>
      <w:shd w:val="clear" w:color="auto" w:fill="E6E6E6"/>
    </w:rPr>
  </w:style>
  <w:style w:type="character" w:customStyle="1" w:styleId="Mention8">
    <w:name w:val="Mention8"/>
    <w:basedOn w:val="DefaultParagraphFont"/>
    <w:uiPriority w:val="99"/>
    <w:rsid w:val="005F11B9"/>
    <w:rPr>
      <w:color w:val="2B579A"/>
      <w:shd w:val="clear" w:color="auto" w:fill="E1DFDD"/>
    </w:rPr>
  </w:style>
  <w:style w:type="character" w:customStyle="1" w:styleId="Mention9">
    <w:name w:val="Mention9"/>
    <w:basedOn w:val="DefaultParagraphFont"/>
    <w:uiPriority w:val="99"/>
    <w:rsid w:val="005F11B9"/>
    <w:rPr>
      <w:color w:val="2B579A"/>
      <w:shd w:val="clear" w:color="auto" w:fill="E1DFDD"/>
    </w:rPr>
  </w:style>
  <w:style w:type="character" w:customStyle="1" w:styleId="UnresolvedMention3">
    <w:name w:val="Unresolved Mention3"/>
    <w:basedOn w:val="DefaultParagraphFont"/>
    <w:uiPriority w:val="99"/>
    <w:semiHidden/>
    <w:rsid w:val="005F11B9"/>
    <w:rPr>
      <w:color w:val="605E5C"/>
      <w:shd w:val="clear" w:color="auto" w:fill="E1DFDD"/>
    </w:rPr>
  </w:style>
  <w:style w:type="character" w:customStyle="1" w:styleId="TitleChar1">
    <w:name w:val="Title Char1"/>
    <w:basedOn w:val="DefaultParagraphFont"/>
    <w:uiPriority w:val="10"/>
    <w:rsid w:val="005F11B9"/>
    <w:rPr>
      <w:rFonts w:asciiTheme="majorHAnsi" w:eastAsiaTheme="majorEastAsia" w:hAnsiTheme="majorHAnsi" w:cstheme="majorBidi" w:hint="default"/>
      <w:kern w:val="28"/>
      <w:sz w:val="56"/>
      <w:szCs w:val="56"/>
    </w:rPr>
  </w:style>
  <w:style w:type="character" w:customStyle="1" w:styleId="SubtitleChar1">
    <w:name w:val="Subtitle Char1"/>
    <w:basedOn w:val="DefaultParagraphFont"/>
    <w:uiPriority w:val="11"/>
    <w:rsid w:val="005F11B9"/>
    <w:rPr>
      <w:rFonts w:ascii="Yu Gothic Light" w:eastAsiaTheme="majorEastAsia" w:hAnsi="Yu Gothic Light" w:cstheme="majorBidi" w:hint="eastAsia"/>
      <w:color w:val="595959" w:themeColor="text1" w:themeTint="A6"/>
      <w:kern w:val="0"/>
      <w:sz w:val="28"/>
      <w:szCs w:val="28"/>
    </w:rPr>
  </w:style>
  <w:style w:type="character" w:customStyle="1" w:styleId="QuoteChar1">
    <w:name w:val="Quote Char1"/>
    <w:basedOn w:val="DefaultParagraphFont"/>
    <w:uiPriority w:val="29"/>
    <w:rsid w:val="005F11B9"/>
    <w:rPr>
      <w:rFonts w:ascii="Times New Roman" w:eastAsia="Times New Roman" w:hAnsi="Times New Roman" w:cs="Times New Roman" w:hint="default"/>
      <w:i/>
      <w:iCs/>
      <w:color w:val="404040" w:themeColor="text1" w:themeTint="BF"/>
      <w:kern w:val="0"/>
      <w:sz w:val="24"/>
      <w:szCs w:val="24"/>
    </w:rPr>
  </w:style>
  <w:style w:type="character" w:customStyle="1" w:styleId="Mention10">
    <w:name w:val="Mention10"/>
    <w:basedOn w:val="DefaultParagraphFont"/>
    <w:uiPriority w:val="99"/>
    <w:rsid w:val="005F11B9"/>
    <w:rPr>
      <w:color w:val="2B579A"/>
      <w:shd w:val="clear" w:color="auto" w:fill="E1DFDD"/>
    </w:rPr>
  </w:style>
  <w:style w:type="character" w:customStyle="1" w:styleId="Mention11">
    <w:name w:val="Mention11"/>
    <w:basedOn w:val="DefaultParagraphFont"/>
    <w:uiPriority w:val="99"/>
    <w:rsid w:val="005F11B9"/>
    <w:rPr>
      <w:color w:val="2B579A"/>
      <w:shd w:val="clear" w:color="auto" w:fill="E1DFDD"/>
    </w:rPr>
  </w:style>
  <w:style w:type="table" w:styleId="TableGrid">
    <w:name w:val="Table Grid"/>
    <w:basedOn w:val="TableNormal"/>
    <w:uiPriority w:val="39"/>
    <w:rsid w:val="005F11B9"/>
    <w:pPr>
      <w:spacing w:after="0" w:line="240" w:lineRule="auto"/>
    </w:pPr>
    <w:rPr>
      <w:kern w:val="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Puntielenco0">
    <w:name w:val="Punti elenco.0"/>
    <w:rsid w:val="005F11B9"/>
    <w:pPr>
      <w:numPr>
        <w:numId w:val="40"/>
      </w:numPr>
    </w:pPr>
  </w:style>
  <w:style w:type="numbering" w:customStyle="1" w:styleId="Stileimportato9">
    <w:name w:val="Stile importato 9"/>
    <w:rsid w:val="005F11B9"/>
    <w:pPr>
      <w:numPr>
        <w:numId w:val="41"/>
      </w:numPr>
    </w:pPr>
  </w:style>
  <w:style w:type="character" w:customStyle="1" w:styleId="Mention12">
    <w:name w:val="Mention12"/>
    <w:basedOn w:val="DefaultParagraphFont"/>
    <w:uiPriority w:val="99"/>
    <w:unhideWhenUsed/>
    <w:rsid w:val="005F11B9"/>
    <w:rPr>
      <w:color w:val="2B579A"/>
      <w:shd w:val="clear" w:color="auto" w:fill="E1DFDD"/>
    </w:rPr>
  </w:style>
  <w:style w:type="numbering" w:customStyle="1" w:styleId="NoList1">
    <w:name w:val="No List1"/>
    <w:next w:val="NoList"/>
    <w:uiPriority w:val="99"/>
    <w:semiHidden/>
    <w:unhideWhenUsed/>
    <w:rsid w:val="005F11B9"/>
  </w:style>
  <w:style w:type="table" w:customStyle="1" w:styleId="TableGrid1">
    <w:name w:val="Table Grid1"/>
    <w:basedOn w:val="TableNormal"/>
    <w:next w:val="TableGrid"/>
    <w:uiPriority w:val="59"/>
    <w:rsid w:val="005F11B9"/>
    <w:pPr>
      <w:spacing w:after="0" w:line="240" w:lineRule="auto"/>
    </w:pPr>
    <w:rPr>
      <w:rFonts w:ascii="Calibri" w:eastAsia="Calibri" w:hAnsi="Calibri" w:cs="Arial"/>
      <w:kern w:val="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Puntielenco01">
    <w:name w:val="Punti elenco.01"/>
    <w:rsid w:val="005F11B9"/>
  </w:style>
  <w:style w:type="numbering" w:customStyle="1" w:styleId="Stileimportato91">
    <w:name w:val="Stile importato 91"/>
    <w:rsid w:val="005F11B9"/>
  </w:style>
  <w:style w:type="numbering" w:customStyle="1" w:styleId="NoList2">
    <w:name w:val="No List2"/>
    <w:next w:val="NoList"/>
    <w:uiPriority w:val="99"/>
    <w:semiHidden/>
    <w:unhideWhenUsed/>
    <w:rsid w:val="005F11B9"/>
  </w:style>
  <w:style w:type="character" w:customStyle="1" w:styleId="UnresolvedMention4">
    <w:name w:val="Unresolved Mention4"/>
    <w:basedOn w:val="DefaultParagraphFont"/>
    <w:uiPriority w:val="99"/>
    <w:semiHidden/>
    <w:unhideWhenUsed/>
    <w:rsid w:val="005F11B9"/>
    <w:rPr>
      <w:color w:val="605E5C"/>
      <w:shd w:val="clear" w:color="auto" w:fill="E1DFDD"/>
    </w:rPr>
  </w:style>
  <w:style w:type="character" w:customStyle="1" w:styleId="UnresolvedMention5">
    <w:name w:val="Unresolved Mention5"/>
    <w:basedOn w:val="DefaultParagraphFont"/>
    <w:uiPriority w:val="99"/>
    <w:semiHidden/>
    <w:unhideWhenUsed/>
    <w:rsid w:val="005F11B9"/>
    <w:rPr>
      <w:color w:val="605E5C"/>
      <w:shd w:val="clear" w:color="auto" w:fill="E1DFDD"/>
    </w:rPr>
  </w:style>
  <w:style w:type="paragraph" w:customStyle="1" w:styleId="TableParagraph">
    <w:name w:val="Table Paragraph"/>
    <w:basedOn w:val="Normal"/>
    <w:uiPriority w:val="1"/>
    <w:qFormat/>
    <w:rsid w:val="005F11B9"/>
    <w:pPr>
      <w:widowControl w:val="0"/>
      <w:autoSpaceDE w:val="0"/>
      <w:autoSpaceDN w:val="0"/>
      <w:spacing w:after="0" w:line="240" w:lineRule="auto"/>
    </w:pPr>
    <w:rPr>
      <w:rFonts w:ascii="Calibri" w:eastAsia="Calibri" w:hAnsi="Calibri" w:cs="Calibri"/>
      <w:kern w:val="0"/>
    </w:rPr>
  </w:style>
  <w:style w:type="paragraph" w:styleId="EndnoteText">
    <w:name w:val="endnote text"/>
    <w:basedOn w:val="Normal"/>
    <w:link w:val="EndnoteTextChar"/>
    <w:uiPriority w:val="99"/>
    <w:semiHidden/>
    <w:unhideWhenUsed/>
    <w:rsid w:val="005F11B9"/>
    <w:pPr>
      <w:spacing w:after="0" w:line="240" w:lineRule="auto"/>
    </w:pPr>
    <w:rPr>
      <w:rFonts w:eastAsiaTheme="minorEastAsia"/>
      <w:kern w:val="0"/>
      <w:sz w:val="20"/>
      <w:szCs w:val="20"/>
    </w:rPr>
  </w:style>
  <w:style w:type="character" w:customStyle="1" w:styleId="EndnoteTextChar">
    <w:name w:val="Endnote Text Char"/>
    <w:basedOn w:val="DefaultParagraphFont"/>
    <w:link w:val="EndnoteText"/>
    <w:uiPriority w:val="99"/>
    <w:semiHidden/>
    <w:rsid w:val="005F11B9"/>
    <w:rPr>
      <w:rFonts w:eastAsiaTheme="minorEastAsia"/>
      <w:kern w:val="0"/>
      <w:sz w:val="20"/>
      <w:szCs w:val="20"/>
    </w:rPr>
  </w:style>
  <w:style w:type="character" w:styleId="EndnoteReference">
    <w:name w:val="endnote reference"/>
    <w:basedOn w:val="DefaultParagraphFont"/>
    <w:uiPriority w:val="99"/>
    <w:semiHidden/>
    <w:unhideWhenUsed/>
    <w:rsid w:val="005F11B9"/>
    <w:rPr>
      <w:vertAlign w:val="superscript"/>
    </w:rPr>
  </w:style>
  <w:style w:type="numbering" w:customStyle="1" w:styleId="NoList11">
    <w:name w:val="No List11"/>
    <w:next w:val="NoList"/>
    <w:uiPriority w:val="99"/>
    <w:semiHidden/>
    <w:unhideWhenUsed/>
    <w:rsid w:val="005F11B9"/>
  </w:style>
  <w:style w:type="character" w:customStyle="1" w:styleId="Hyperlink1">
    <w:name w:val="Hyperlink1"/>
    <w:basedOn w:val="DefaultParagraphFont"/>
    <w:uiPriority w:val="99"/>
    <w:unhideWhenUsed/>
    <w:rsid w:val="005F11B9"/>
    <w:rPr>
      <w:color w:val="0563C1"/>
      <w:u w:val="single"/>
    </w:rPr>
  </w:style>
  <w:style w:type="paragraph" w:customStyle="1" w:styleId="ListNumber41">
    <w:name w:val="List Number 41"/>
    <w:basedOn w:val="Normal"/>
    <w:next w:val="ListNumber4"/>
    <w:uiPriority w:val="99"/>
    <w:semiHidden/>
    <w:unhideWhenUsed/>
    <w:rsid w:val="005F11B9"/>
    <w:pPr>
      <w:tabs>
        <w:tab w:val="num" w:pos="360"/>
      </w:tabs>
      <w:spacing w:before="120" w:after="120" w:line="240" w:lineRule="auto"/>
      <w:ind w:left="720"/>
      <w:contextualSpacing/>
      <w:jc w:val="both"/>
    </w:pPr>
    <w:rPr>
      <w:rFonts w:ascii="Times New Roman" w:eastAsia="Calibri" w:hAnsi="Times New Roman" w:cs="Times New Roman"/>
      <w:kern w:val="0"/>
      <w:sz w:val="24"/>
    </w:rPr>
  </w:style>
  <w:style w:type="paragraph" w:customStyle="1" w:styleId="Caption1">
    <w:name w:val="Caption1"/>
    <w:basedOn w:val="Normal"/>
    <w:next w:val="Normal"/>
    <w:uiPriority w:val="35"/>
    <w:semiHidden/>
    <w:unhideWhenUsed/>
    <w:qFormat/>
    <w:rsid w:val="005F11B9"/>
    <w:pPr>
      <w:spacing w:after="200" w:line="240" w:lineRule="auto"/>
      <w:jc w:val="both"/>
    </w:pPr>
    <w:rPr>
      <w:rFonts w:ascii="Times New Roman" w:eastAsia="Calibri" w:hAnsi="Times New Roman" w:cs="Times New Roman"/>
      <w:i/>
      <w:iCs/>
      <w:color w:val="44546A"/>
      <w:kern w:val="0"/>
      <w:sz w:val="18"/>
      <w:szCs w:val="18"/>
    </w:rPr>
  </w:style>
  <w:style w:type="paragraph" w:customStyle="1" w:styleId="TableofFigures1">
    <w:name w:val="Table of Figures1"/>
    <w:basedOn w:val="Normal"/>
    <w:next w:val="Normal"/>
    <w:uiPriority w:val="99"/>
    <w:semiHidden/>
    <w:unhideWhenUsed/>
    <w:rsid w:val="005F11B9"/>
    <w:pPr>
      <w:spacing w:before="120" w:after="0" w:line="240" w:lineRule="auto"/>
      <w:jc w:val="both"/>
    </w:pPr>
    <w:rPr>
      <w:rFonts w:ascii="Times New Roman" w:eastAsia="Calibri" w:hAnsi="Times New Roman" w:cs="Times New Roman"/>
      <w:kern w:val="0"/>
      <w:sz w:val="24"/>
    </w:rPr>
  </w:style>
  <w:style w:type="paragraph" w:customStyle="1" w:styleId="ListNumber1">
    <w:name w:val="List Number1"/>
    <w:basedOn w:val="Normal"/>
    <w:next w:val="ListNumber"/>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paragraph" w:customStyle="1" w:styleId="ListNumber21">
    <w:name w:val="List Number 21"/>
    <w:basedOn w:val="Normal"/>
    <w:next w:val="ListNumber2"/>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paragraph" w:customStyle="1" w:styleId="ListNumber31">
    <w:name w:val="List Number 31"/>
    <w:basedOn w:val="Normal"/>
    <w:next w:val="ListNumber3"/>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character" w:customStyle="1" w:styleId="SubtleEmphasis1">
    <w:name w:val="Subtle Emphasis1"/>
    <w:basedOn w:val="DefaultParagraphFont"/>
    <w:uiPriority w:val="19"/>
    <w:qFormat/>
    <w:rsid w:val="005F11B9"/>
    <w:rPr>
      <w:i/>
      <w:iCs/>
      <w:color w:val="404040"/>
    </w:rPr>
  </w:style>
  <w:style w:type="character" w:customStyle="1" w:styleId="FollowedHyperlink1">
    <w:name w:val="FollowedHyperlink1"/>
    <w:basedOn w:val="DefaultParagraphFont"/>
    <w:uiPriority w:val="99"/>
    <w:semiHidden/>
    <w:unhideWhenUsed/>
    <w:rsid w:val="005F11B9"/>
    <w:rPr>
      <w:color w:val="954F72"/>
      <w:u w:val="single"/>
    </w:rPr>
  </w:style>
  <w:style w:type="character" w:customStyle="1" w:styleId="Mention120">
    <w:name w:val="Mention120"/>
    <w:basedOn w:val="DefaultParagraphFont"/>
    <w:uiPriority w:val="99"/>
    <w:unhideWhenUsed/>
    <w:rsid w:val="005F11B9"/>
    <w:rPr>
      <w:color w:val="2B579A"/>
      <w:shd w:val="clear" w:color="auto" w:fill="E1DFDD"/>
    </w:rPr>
  </w:style>
  <w:style w:type="character" w:customStyle="1" w:styleId="Mention">
    <w:name w:val="Mention"/>
    <w:basedOn w:val="DefaultParagraphFont"/>
    <w:uiPriority w:val="99"/>
    <w:unhideWhenUsed/>
    <w:rsid w:val="005F11B9"/>
    <w:rPr>
      <w:color w:val="2B579A"/>
      <w:shd w:val="clear" w:color="auto" w:fill="E1DFDD"/>
    </w:rPr>
  </w:style>
  <w:style w:type="character" w:customStyle="1" w:styleId="UnresolvedMention">
    <w:name w:val="Unresolved Mention"/>
    <w:basedOn w:val="DefaultParagraphFont"/>
    <w:uiPriority w:val="99"/>
    <w:semiHidden/>
    <w:unhideWhenUsed/>
    <w:rsid w:val="005F11B9"/>
    <w:rPr>
      <w:color w:val="605E5C"/>
      <w:shd w:val="clear" w:color="auto" w:fill="E1DFDD"/>
    </w:rPr>
  </w:style>
  <w:style w:type="character" w:customStyle="1" w:styleId="Other1">
    <w:name w:val="Other|1_"/>
    <w:basedOn w:val="DefaultParagraphFont"/>
    <w:link w:val="Other10"/>
    <w:rsid w:val="001814F5"/>
    <w:rPr>
      <w:color w:val="006100"/>
    </w:rPr>
  </w:style>
  <w:style w:type="paragraph" w:customStyle="1" w:styleId="Other10">
    <w:name w:val="Other|1"/>
    <w:basedOn w:val="Normal"/>
    <w:link w:val="Other1"/>
    <w:rsid w:val="001814F5"/>
    <w:pPr>
      <w:widowControl w:val="0"/>
      <w:spacing w:after="0" w:line="240" w:lineRule="auto"/>
    </w:pPr>
    <w:rPr>
      <w:color w:val="006100"/>
    </w:rPr>
  </w:style>
  <w:style w:type="paragraph" w:customStyle="1" w:styleId="P68B1DB1-Heading11">
    <w:name w:val="P68B1DB1-Heading11"/>
    <w:basedOn w:val="Heading1"/>
    <w:rPr>
      <w:rFonts w:ascii="Times New Roman" w:eastAsia="Times New Roman" w:hAnsi="Times New Roman" w:cs="Times New Roman"/>
      <w:b/>
      <w:color w:val="auto"/>
      <w:sz w:val="24"/>
      <w:szCs w:val="24"/>
      <w:u w:val="single"/>
    </w:rPr>
  </w:style>
  <w:style w:type="paragraph" w:customStyle="1" w:styleId="P68B1DB1-Heading12">
    <w:name w:val="P68B1DB1-Heading12"/>
    <w:basedOn w:val="Heading1"/>
    <w:rPr>
      <w:rFonts w:ascii="Times New Roman" w:eastAsia="Times New Roman" w:hAnsi="Times New Roman" w:cs="Times New Roman"/>
      <w:b/>
      <w:color w:val="auto"/>
      <w:sz w:val="24"/>
      <w:szCs w:val="24"/>
    </w:rPr>
  </w:style>
  <w:style w:type="paragraph" w:customStyle="1" w:styleId="P68B1DB1-Heading23">
    <w:name w:val="P68B1DB1-Heading23"/>
    <w:basedOn w:val="Heading2"/>
    <w:rPr>
      <w:rFonts w:ascii="Times New Roman" w:eastAsia="Times New Roman" w:hAnsi="Times New Roman" w:cs="Times New Roman"/>
      <w:b/>
      <w:color w:val="auto"/>
      <w:sz w:val="24"/>
      <w:szCs w:val="24"/>
    </w:rPr>
  </w:style>
  <w:style w:type="paragraph" w:customStyle="1" w:styleId="P68B1DB1-Heading34">
    <w:name w:val="P68B1DB1-Heading34"/>
    <w:basedOn w:val="Heading3"/>
    <w:rPr>
      <w:rFonts w:ascii="Times New Roman" w:hAnsi="Times New Roman" w:cs="Times New Roman"/>
      <w:color w:val="auto"/>
      <w:sz w:val="24"/>
      <w:szCs w:val="24"/>
    </w:rPr>
  </w:style>
  <w:style w:type="paragraph" w:customStyle="1" w:styleId="P68B1DB1-Normal5">
    <w:name w:val="P68B1DB1-Normal5"/>
    <w:basedOn w:val="Normal"/>
    <w:rPr>
      <w:rFonts w:ascii="Times New Roman" w:hAnsi="Times New Roman" w:cs="Times New Roman"/>
      <w:b/>
    </w:rPr>
  </w:style>
  <w:style w:type="paragraph" w:customStyle="1" w:styleId="P68B1DB1-Descriptiontitle6">
    <w:name w:val="P68B1DB1-Descriptiontitle6"/>
    <w:basedOn w:val="Descriptiontitle"/>
    <w:rPr>
      <w:b/>
    </w:rPr>
  </w:style>
  <w:style w:type="paragraph" w:customStyle="1" w:styleId="P68B1DB1-Normal7">
    <w:name w:val="P68B1DB1-Normal7"/>
    <w:basedOn w:val="Normal"/>
    <w:rPr>
      <w:rFonts w:ascii="Times New Roman" w:hAnsi="Times New Roman" w:cs="Times New Roman"/>
    </w:rPr>
  </w:style>
  <w:style w:type="paragraph" w:customStyle="1" w:styleId="P68B1DB1-Normal8">
    <w:name w:val="P68B1DB1-Normal8"/>
    <w:basedOn w:val="Normal"/>
    <w:rPr>
      <w:rFonts w:ascii="Times New Roman" w:eastAsia="Times New Roman" w:hAnsi="Times New Roman" w:cs="Times New Roman"/>
    </w:rPr>
  </w:style>
  <w:style w:type="paragraph" w:customStyle="1" w:styleId="P68B1DB1-Heading39">
    <w:name w:val="P68B1DB1-Heading39"/>
    <w:basedOn w:val="Heading3"/>
    <w:rPr>
      <w:rFonts w:ascii="Times New Roman" w:hAnsi="Times New Roman" w:cs="Times New Roman"/>
      <w:sz w:val="24"/>
      <w:szCs w:val="24"/>
    </w:rPr>
  </w:style>
  <w:style w:type="paragraph" w:customStyle="1" w:styleId="P68B1DB1-Normal10">
    <w:name w:val="P68B1DB1-Normal10"/>
    <w:basedOn w:val="Normal"/>
    <w:rPr>
      <w:rFonts w:ascii="Arial Narrow" w:hAnsi="Arial Narrow"/>
      <w:b/>
      <w:sz w:val="20"/>
    </w:rPr>
  </w:style>
  <w:style w:type="paragraph" w:customStyle="1" w:styleId="P68B1DB1-Normal11">
    <w:name w:val="P68B1DB1-Normal11"/>
    <w:basedOn w:val="Normal"/>
    <w:rPr>
      <w:rFonts w:ascii="Arial Narrow" w:hAnsi="Arial Narrow"/>
      <w:color w:val="006100"/>
      <w:sz w:val="20"/>
    </w:rPr>
  </w:style>
  <w:style w:type="paragraph" w:customStyle="1" w:styleId="P68B1DB1-Normal12">
    <w:name w:val="P68B1DB1-Normal12"/>
    <w:basedOn w:val="Normal"/>
    <w:rPr>
      <w:rFonts w:ascii="Arial Narrow" w:hAnsi="Arial Narrow"/>
      <w:color w:val="006100"/>
      <w:sz w:val="20"/>
      <w:szCs w:val="20"/>
    </w:rPr>
  </w:style>
  <w:style w:type="paragraph" w:customStyle="1" w:styleId="P68B1DB1-ListParagraph13">
    <w:name w:val="P68B1DB1-ListParagraph13"/>
    <w:basedOn w:val="ListParagraph"/>
    <w:rPr>
      <w:rFonts w:ascii="Arial Narrow" w:hAnsi="Arial Narrow"/>
      <w:color w:val="006100"/>
      <w:sz w:val="20"/>
      <w:szCs w:val="20"/>
    </w:rPr>
  </w:style>
  <w:style w:type="paragraph" w:customStyle="1" w:styleId="P68B1DB1-Normal14">
    <w:name w:val="P68B1DB1-Normal14"/>
    <w:basedOn w:val="Normal"/>
    <w:rPr>
      <w:rFonts w:ascii="Arial Narrow" w:hAnsi="Arial Narrow"/>
      <w:sz w:val="20"/>
    </w:rPr>
  </w:style>
  <w:style w:type="paragraph" w:customStyle="1" w:styleId="P68B1DB1-ListParagraph15">
    <w:name w:val="P68B1DB1-ListParagraph15"/>
    <w:basedOn w:val="ListParagraph"/>
    <w:rPr>
      <w:rFonts w:ascii="Arial Narrow" w:hAnsi="Arial Narrow"/>
      <w:color w:val="006100"/>
      <w:sz w:val="20"/>
    </w:rPr>
  </w:style>
  <w:style w:type="paragraph" w:customStyle="1" w:styleId="P68B1DB1-Normal16">
    <w:name w:val="P68B1DB1-Normal16"/>
    <w:basedOn w:val="Normal"/>
    <w:rPr>
      <w:rFonts w:ascii="Arial Narrow" w:hAnsi="Arial Narrow"/>
      <w:sz w:val="20"/>
      <w:szCs w:val="20"/>
    </w:rPr>
  </w:style>
  <w:style w:type="paragraph" w:customStyle="1" w:styleId="P68B1DB1-Normal17">
    <w:name w:val="P68B1DB1-Normal17"/>
    <w:basedOn w:val="Normal"/>
    <w:rPr>
      <w:rFonts w:ascii="Arial Narrow" w:hAnsi="Arial Narrow" w:cs="Arial"/>
      <w:color w:val="006100"/>
      <w:sz w:val="20"/>
      <w:szCs w:val="20"/>
    </w:rPr>
  </w:style>
  <w:style w:type="paragraph" w:customStyle="1" w:styleId="P68B1DB1-ListParagraph18">
    <w:name w:val="P68B1DB1-ListParagraph18"/>
    <w:basedOn w:val="ListParagraph"/>
    <w:rPr>
      <w:color w:val="006100"/>
      <w:sz w:val="20"/>
    </w:rPr>
  </w:style>
  <w:style w:type="paragraph" w:customStyle="1" w:styleId="P68B1DB1-Normal19">
    <w:name w:val="P68B1DB1-Normal19"/>
    <w:basedOn w:val="Normal"/>
    <w:rPr>
      <w:color w:val="006100"/>
      <w:sz w:val="20"/>
      <w:szCs w:val="20"/>
    </w:rPr>
  </w:style>
  <w:style w:type="paragraph" w:customStyle="1" w:styleId="P68B1DB1-Normal20">
    <w:name w:val="P68B1DB1-Normal20"/>
    <w:basedOn w:val="Normal"/>
    <w:rPr>
      <w:rFonts w:ascii="Arial Narrow" w:hAnsi="Arial Narrow" w:hint="eastAsia"/>
      <w:color w:val="006100"/>
      <w:sz w:val="20"/>
    </w:rPr>
  </w:style>
  <w:style w:type="paragraph" w:customStyle="1" w:styleId="P68B1DB1-Normal21">
    <w:name w:val="P68B1DB1-Normal21"/>
    <w:basedOn w:val="Normal"/>
    <w:rPr>
      <w:color w:val="006100"/>
      <w:sz w:val="20"/>
    </w:rPr>
  </w:style>
  <w:style w:type="paragraph" w:customStyle="1" w:styleId="P68B1DB1-Normal22">
    <w:name w:val="P68B1DB1-Normal22"/>
    <w:basedOn w:val="Normal"/>
    <w:rPr>
      <w:rFonts w:ascii="Arial Narrow" w:hint="eastAsia"/>
      <w:color w:val="006100"/>
      <w:sz w:val="20"/>
      <w:szCs w:val="20"/>
    </w:rPr>
  </w:style>
  <w:style w:type="paragraph" w:customStyle="1" w:styleId="P68B1DB1-ListParagraph23">
    <w:name w:val="P68B1DB1-ListParagraph23"/>
    <w:basedOn w:val="ListParagraph"/>
    <w:rPr>
      <w:rFonts w:ascii="Arial Narrow" w:eastAsiaTheme="minorEastAsia" w:hAnsi="Arial Narrow"/>
      <w:color w:val="006100"/>
      <w:sz w:val="20"/>
      <w:szCs w:val="20"/>
    </w:rPr>
  </w:style>
  <w:style w:type="paragraph" w:customStyle="1" w:styleId="P68B1DB1-Normal24">
    <w:name w:val="P68B1DB1-Normal24"/>
    <w:basedOn w:val="Normal"/>
    <w:rPr>
      <w:rFonts w:ascii="Arial Narrow" w:hint="eastAsia"/>
      <w:color w:val="006100"/>
      <w:sz w:val="20"/>
    </w:rPr>
  </w:style>
  <w:style w:type="paragraph" w:customStyle="1" w:styleId="P68B1DB1-Normal25">
    <w:name w:val="P68B1DB1-Normal25"/>
    <w:basedOn w:val="Normal"/>
    <w:rPr>
      <w:rFonts w:ascii="Times New Roman" w:hAnsi="Times New Roman" w:cs="Times New Roman"/>
      <w:b/>
      <w:u w:val="single"/>
    </w:rPr>
  </w:style>
  <w:style w:type="paragraph" w:customStyle="1" w:styleId="P68B1DB1-Normal26">
    <w:name w:val="P68B1DB1-Normal26"/>
    <w:basedOn w:val="Normal"/>
    <w:rPr>
      <w:rFonts w:ascii="Times New Roman" w:hAnsi="Times New Roman" w:cs="Times New Roman"/>
      <w:i/>
    </w:rPr>
  </w:style>
  <w:style w:type="paragraph" w:customStyle="1" w:styleId="P68B1DB1-Normal27">
    <w:name w:val="P68B1DB1-Normal27"/>
    <w:basedOn w:val="Normal"/>
    <w:rPr>
      <w:rFonts w:ascii="Times New Roman" w:hAnsi="Times New Roman" w:cs="Times New Roman"/>
      <w:color w:val="000000" w:themeColor="text1"/>
    </w:rPr>
  </w:style>
  <w:style w:type="paragraph" w:customStyle="1" w:styleId="P68B1DB1-Normal28">
    <w:name w:val="P68B1DB1-Normal28"/>
    <w:basedOn w:val="Normal"/>
    <w:rPr>
      <w:rFonts w:ascii="Times New Roman" w:hAnsi="Times New Roman" w:cs="Times New Roman"/>
      <w:i/>
      <w:u w:val="single"/>
    </w:rPr>
  </w:style>
  <w:style w:type="paragraph" w:customStyle="1" w:styleId="P68B1DB1-Normal29">
    <w:name w:val="P68B1DB1-Normal29"/>
    <w:basedOn w:val="Normal"/>
    <w:rPr>
      <w:rFonts w:ascii="Times New Roman" w:eastAsia="Times New Roman" w:hAnsi="Times New Roman" w:cs="Times New Roman"/>
      <w:b/>
    </w:rPr>
  </w:style>
  <w:style w:type="paragraph" w:customStyle="1" w:styleId="P68B1DB1-Normal30">
    <w:name w:val="P68B1DB1-Normal30"/>
    <w:basedOn w:val="Normal"/>
    <w:rPr>
      <w:rFonts w:ascii="Arial Narrow" w:hAnsi="Arial Narrow"/>
    </w:rPr>
  </w:style>
  <w:style w:type="paragraph" w:customStyle="1" w:styleId="P68B1DB1-Normal31">
    <w:name w:val="P68B1DB1-Normal31"/>
    <w:basedOn w:val="Normal"/>
    <w:rPr>
      <w:rFonts w:ascii="Arial Narrow" w:hAnsi="Arial Narrow"/>
      <w:b/>
      <w:color w:val="006100"/>
      <w:sz w:val="20"/>
    </w:rPr>
  </w:style>
  <w:style w:type="paragraph" w:customStyle="1" w:styleId="P68B1DB1-Normal32">
    <w:name w:val="P68B1DB1-Normal32"/>
    <w:basedOn w:val="Normal"/>
    <w:rPr>
      <w:rFonts w:ascii="Arial Narrow" w:hAnsi="Arial Narrow"/>
      <w:b/>
      <w:color w:val="006100"/>
      <w:sz w:val="20"/>
      <w:szCs w:val="20"/>
    </w:rPr>
  </w:style>
  <w:style w:type="paragraph" w:customStyle="1" w:styleId="P68B1DB1-Normal33">
    <w:name w:val="P68B1DB1-Normal33"/>
    <w:basedOn w:val="Normal"/>
    <w:rPr>
      <w:rFonts w:ascii="Arial Narrow" w:eastAsia="Times New Roman" w:hAnsi="Arial Narrow" w:cs="Segoe UI"/>
      <w:color w:val="006100"/>
      <w:sz w:val="20"/>
      <w:szCs w:val="20"/>
    </w:rPr>
  </w:style>
  <w:style w:type="paragraph" w:customStyle="1" w:styleId="P68B1DB1-Normal34">
    <w:name w:val="P68B1DB1-Normal34"/>
    <w:basedOn w:val="Normal"/>
    <w:rPr>
      <w:rFonts w:ascii="Arial Narrow" w:eastAsia="Times New Roman" w:hAnsi="Arial Narrow" w:cs="Segoe UI"/>
      <w:b/>
      <w:color w:val="006100"/>
      <w:sz w:val="20"/>
      <w:szCs w:val="20"/>
    </w:rPr>
  </w:style>
  <w:style w:type="paragraph" w:customStyle="1" w:styleId="P68B1DB1-ListParagraph35">
    <w:name w:val="P68B1DB1-ListParagraph35"/>
    <w:basedOn w:val="ListParagraph"/>
    <w:rPr>
      <w:rFonts w:ascii="Arial Narrow" w:hAnsi="Arial Narrow" w:cs="Segoe UI"/>
      <w:color w:val="006100"/>
      <w:sz w:val="20"/>
      <w:szCs w:val="20"/>
    </w:rPr>
  </w:style>
  <w:style w:type="paragraph" w:customStyle="1" w:styleId="P68B1DB1-ListParagraph36">
    <w:name w:val="P68B1DB1-ListParagraph36"/>
    <w:basedOn w:val="ListParagraph"/>
    <w:rPr>
      <w:rFonts w:ascii="Times New Roman" w:hAnsi="Times New Roman" w:cs="Times New Roman" w:hint="eastAsia"/>
    </w:rPr>
  </w:style>
  <w:style w:type="paragraph" w:customStyle="1" w:styleId="P68B1DB1-ListParagraph37">
    <w:name w:val="P68B1DB1-ListParagraph37"/>
    <w:basedOn w:val="ListParagraph"/>
    <w:rPr>
      <w:rFonts w:ascii="Times New Roman" w:hAnsi="Times New Roman" w:cs="Times New Roman"/>
    </w:rPr>
  </w:style>
  <w:style w:type="paragraph" w:customStyle="1" w:styleId="P68B1DB1-Normal38">
    <w:name w:val="P68B1DB1-Normal38"/>
    <w:basedOn w:val="Normal"/>
    <w:rPr>
      <w:rFonts w:ascii="Times New Roman" w:eastAsia="Calibri" w:hAnsi="Times New Roman" w:cs="Times New Roman"/>
    </w:rPr>
  </w:style>
  <w:style w:type="paragraph" w:customStyle="1" w:styleId="P68B1DB1-ListParagraph39">
    <w:name w:val="P68B1DB1-ListParagraph39"/>
    <w:basedOn w:val="ListParagraph"/>
    <w:rPr>
      <w:rFonts w:ascii="Times New Roman" w:eastAsia="Calibri" w:hAnsi="Times New Roman" w:cs="Times New Roman"/>
    </w:rPr>
  </w:style>
  <w:style w:type="paragraph" w:customStyle="1" w:styleId="P68B1DB1-ListParagraph40">
    <w:name w:val="P68B1DB1-ListParagraph40"/>
    <w:basedOn w:val="ListParagraph"/>
    <w:rPr>
      <w:rFonts w:ascii="Times New Roman" w:hAnsi="Times New Roman"/>
    </w:rPr>
  </w:style>
  <w:style w:type="paragraph" w:customStyle="1" w:styleId="P68B1DB1-Heading341">
    <w:name w:val="P68B1DB1-Heading341"/>
    <w:basedOn w:val="Heading3"/>
    <w:rPr>
      <w:sz w:val="24"/>
      <w:szCs w:val="24"/>
    </w:rPr>
  </w:style>
  <w:style w:type="paragraph" w:customStyle="1" w:styleId="P68B1DB1-Normal42">
    <w:name w:val="P68B1DB1-Normal42"/>
    <w:basedOn w:val="Normal"/>
    <w:rPr>
      <w:rFonts w:ascii="Times New Roman" w:eastAsia="Times New Roman" w:hAnsi="Times New Roman" w:cs="Times New Roman"/>
      <w:b/>
      <w:color w:val="000000" w:themeColor="text1"/>
    </w:rPr>
  </w:style>
  <w:style w:type="paragraph" w:customStyle="1" w:styleId="P68B1DB1-Text143">
    <w:name w:val="P68B1DB1-Text143"/>
    <w:basedOn w:val="Text1"/>
    <w:rPr>
      <w:sz w:val="22"/>
      <w:szCs w:val="22"/>
    </w:rPr>
  </w:style>
  <w:style w:type="paragraph" w:customStyle="1" w:styleId="P68B1DB1-Normal44">
    <w:name w:val="P68B1DB1-Normal44"/>
    <w:basedOn w:val="Normal"/>
    <w:rPr>
      <w:rFonts w:ascii="Arial Narrow"/>
      <w:color w:val="006100"/>
      <w:sz w:val="20"/>
    </w:rPr>
  </w:style>
  <w:style w:type="paragraph" w:customStyle="1" w:styleId="P68B1DB1-Normal45">
    <w:name w:val="P68B1DB1-Normal45"/>
    <w:basedOn w:val="Normal"/>
    <w:rPr>
      <w:rFonts w:ascii="Times New Roman" w:eastAsia="Times New Roman" w:hAnsi="Times New Roman" w:cs="Times New Roman"/>
      <w:kern w:val="0"/>
      <w14:ligatures w14:val="none"/>
    </w:rPr>
  </w:style>
  <w:style w:type="paragraph" w:customStyle="1" w:styleId="P68B1DB1-Normal46">
    <w:name w:val="P68B1DB1-Normal46"/>
    <w:basedOn w:val="Normal"/>
    <w:rPr>
      <w:rFonts w:ascii="Times New Roman" w:eastAsia="Times New Roman" w:hAnsi="Times New Roman" w:cs="Times New Roman"/>
      <w:kern w:val="0"/>
      <w:sz w:val="24"/>
      <w:szCs w:val="24"/>
      <w14:ligatures w14:val="none"/>
    </w:rPr>
  </w:style>
  <w:style w:type="paragraph" w:customStyle="1" w:styleId="P68B1DB1-Heading347">
    <w:name w:val="P68B1DB1-Heading347"/>
    <w:basedOn w:val="Heading3"/>
    <w:rPr>
      <w:rFonts w:ascii="Times New Roman" w:eastAsia="Times New Roman" w:hAnsi="Times New Roman" w:cs="Times New Roman"/>
      <w:b/>
      <w:sz w:val="24"/>
      <w:szCs w:val="24"/>
      <w:u w:val="single"/>
    </w:rPr>
  </w:style>
  <w:style w:type="paragraph" w:customStyle="1" w:styleId="P68B1DB1-Normal48">
    <w:name w:val="P68B1DB1-Normal48"/>
    <w:basedOn w:val="Normal"/>
    <w:rPr>
      <w:rFonts w:ascii="Times New Roman" w:eastAsia="Times New Roman" w:hAnsi="Times New Roman" w:cs="Times New Roman"/>
      <w:i/>
      <w:kern w:val="0"/>
      <w:sz w:val="24"/>
      <w:szCs w:val="24"/>
      <w14:ligatures w14:val="none"/>
    </w:rPr>
  </w:style>
  <w:style w:type="paragraph" w:customStyle="1" w:styleId="P68B1DB1-Normal49">
    <w:name w:val="P68B1DB1-Normal49"/>
    <w:basedOn w:val="Normal"/>
    <w:rPr>
      <w:rFonts w:ascii="Arial Narrow" w:eastAsia="Times New Roman" w:hAnsi="Arial Narrow" w:cs="Times New Roman"/>
      <w:kern w:val="0"/>
      <w:sz w:val="20"/>
      <w:szCs w:val="20"/>
      <w14:ligatures w14:val="none"/>
    </w:rPr>
  </w:style>
  <w:style w:type="paragraph" w:customStyle="1" w:styleId="P68B1DB1-Normal50">
    <w:name w:val="P68B1DB1-Normal50"/>
    <w:basedOn w:val="Normal"/>
    <w:rPr>
      <w:rFonts w:ascii="Arial Narrow" w:eastAsia="Times New Roman" w:hAnsi="Arial Narrow" w:cs="Times New Roman"/>
      <w:color w:val="006100"/>
      <w:kern w:val="0"/>
      <w:sz w:val="20"/>
      <w:szCs w:val="20"/>
      <w14:ligatures w14:val="none"/>
    </w:rPr>
  </w:style>
  <w:style w:type="paragraph" w:customStyle="1" w:styleId="P68B1DB1-ListParagraph51">
    <w:name w:val="P68B1DB1-ListParagraph51"/>
    <w:basedOn w:val="ListParagraph"/>
    <w:rPr>
      <w:rFonts w:ascii="Arial Narrow" w:eastAsia="Times New Roman" w:hAnsi="Arial Narrow" w:cs="Times New Roman"/>
      <w:color w:val="006100"/>
      <w:kern w:val="0"/>
      <w:sz w:val="20"/>
      <w:szCs w:val="20"/>
      <w14:ligatures w14:val="none"/>
    </w:rPr>
  </w:style>
  <w:style w:type="paragraph" w:customStyle="1" w:styleId="P68B1DB1-ListParagraph52">
    <w:name w:val="P68B1DB1-ListParagraph52"/>
    <w:basedOn w:val="ListParagraph"/>
    <w:rPr>
      <w:rFonts w:ascii="Arial Narrow" w:eastAsia="Times New Roman" w:hAnsi="Arial Narrow" w:cs="Arial"/>
      <w:color w:val="006100"/>
      <w:kern w:val="0"/>
      <w:sz w:val="20"/>
      <w:szCs w:val="20"/>
      <w14:ligatures w14:val="none"/>
    </w:rPr>
  </w:style>
  <w:style w:type="paragraph" w:customStyle="1" w:styleId="P68B1DB1-Normal53">
    <w:name w:val="P68B1DB1-Normal53"/>
    <w:basedOn w:val="Normal"/>
    <w:rPr>
      <w:rFonts w:ascii="Arial Narrow" w:eastAsia="Times New Roman" w:hAnsi="Arial Narrow" w:cs="Arial"/>
      <w:color w:val="006100"/>
      <w:kern w:val="0"/>
      <w:sz w:val="20"/>
      <w:szCs w:val="20"/>
      <w14:ligatures w14:val="none"/>
    </w:rPr>
  </w:style>
  <w:style w:type="paragraph" w:customStyle="1" w:styleId="P68B1DB1-Normal54">
    <w:name w:val="P68B1DB1-Normal54"/>
    <w:basedOn w:val="Normal"/>
    <w:rPr>
      <w:color w:val="006100"/>
      <w:kern w:val="0"/>
      <w:sz w:val="20"/>
      <w:szCs w:val="20"/>
      <w14:ligatures w14:val="none"/>
    </w:rPr>
  </w:style>
  <w:style w:type="paragraph" w:customStyle="1" w:styleId="P68B1DB1-Normal55">
    <w:name w:val="P68B1DB1-Normal55"/>
    <w:basedOn w:val="Normal"/>
    <w:rPr>
      <w:rFonts w:ascii="Arial Narrow" w:eastAsia="Times New Roman" w:hAnsi="Arial Narrow" w:cs="Times New Roman"/>
      <w:kern w:val="0"/>
      <w14:ligatures w14:val="none"/>
    </w:rPr>
  </w:style>
  <w:style w:type="paragraph" w:customStyle="1" w:styleId="P68B1DB1-Normal56">
    <w:name w:val="P68B1DB1-Normal56"/>
    <w:basedOn w:val="Normal"/>
    <w:rPr>
      <w:rFonts w:ascii="Times New Roman" w:eastAsia="Times New Roman" w:hAnsi="Times New Roman" w:cs="Times New Roman"/>
      <w:b/>
      <w:kern w:val="0"/>
      <w:sz w:val="24"/>
      <w:szCs w:val="24"/>
      <w14:ligatures w14:val="none"/>
    </w:rPr>
  </w:style>
  <w:style w:type="paragraph" w:customStyle="1" w:styleId="P68B1DB1-Normal57">
    <w:name w:val="P68B1DB1-Normal57"/>
    <w:basedOn w:val="Normal"/>
    <w:rPr>
      <w:rFonts w:ascii="Arial Narrow" w:eastAsia="Times New Roman" w:hAnsi="Arial"/>
      <w:color w:val="006100"/>
      <w:kern w:val="0"/>
      <w:sz w:val="20"/>
      <w:szCs w:val="20"/>
      <w14:ligatures w14:val="none"/>
    </w:rPr>
  </w:style>
  <w:style w:type="paragraph" w:customStyle="1" w:styleId="P68B1DB1-Normal58">
    <w:name w:val="P68B1DB1-Normal58"/>
    <w:basedOn w:val="Normal"/>
    <w:rPr>
      <w:rFonts w:ascii="Aptos" w:eastAsia="Times New Roman" w:hAnsi="Aptos" w:cs="Segoe UI"/>
      <w:kern w:val="0"/>
      <w:sz w:val="24"/>
      <w:szCs w:val="24"/>
      <w14:ligatures w14:val="none"/>
    </w:rPr>
  </w:style>
  <w:style w:type="paragraph" w:customStyle="1" w:styleId="P68B1DB1-Heading359">
    <w:name w:val="P68B1DB1-Heading359"/>
    <w:basedOn w:val="Heading3"/>
    <w:rPr>
      <w:rFonts w:ascii="Times New Roman" w:hAnsi="Times New Roman" w:cs="Times New Roman"/>
    </w:rPr>
  </w:style>
  <w:style w:type="paragraph" w:customStyle="1" w:styleId="P68B1DB1-LegalNumPar260">
    <w:name w:val="P68B1DB1-LegalNumPar260"/>
    <w:basedOn w:val="LegalNumPar2"/>
    <w:rPr>
      <w:rFonts w:ascii="Times New Roman" w:eastAsia="Times New Roman" w:hAnsi="Times New Roman" w:cs="Times New Roman"/>
    </w:rPr>
  </w:style>
  <w:style w:type="paragraph" w:customStyle="1" w:styleId="P68B1DB1-Normal61">
    <w:name w:val="P68B1DB1-Normal61"/>
    <w:basedOn w:val="Normal"/>
    <w:rPr>
      <w:rFonts w:ascii="Arial Narrow"/>
      <w:color w:val="006100"/>
      <w:sz w:val="20"/>
      <w:szCs w:val="20"/>
    </w:rPr>
  </w:style>
  <w:style w:type="paragraph" w:customStyle="1" w:styleId="P68B1DB1-LegalNumPar62">
    <w:name w:val="P68B1DB1-LegalNumPar62"/>
    <w:basedOn w:val="LegalNumPar"/>
    <w:rPr>
      <w:rFonts w:ascii="Times New Roman" w:eastAsia="Calibri" w:hAnsi="Times New Roman" w:cs="Times New Roman"/>
    </w:rPr>
  </w:style>
  <w:style w:type="paragraph" w:customStyle="1" w:styleId="P68B1DB1-LegalNumPar263">
    <w:name w:val="P68B1DB1-LegalNumPar263"/>
    <w:basedOn w:val="LegalNumPar2"/>
    <w:rPr>
      <w:rFonts w:ascii="Times New Roman" w:eastAsia="Calibri" w:hAnsi="Times New Roman" w:cs="Times New Roman"/>
    </w:rPr>
  </w:style>
  <w:style w:type="paragraph" w:customStyle="1" w:styleId="P68B1DB1-LegalNumPar264">
    <w:name w:val="P68B1DB1-LegalNumPar264"/>
    <w:basedOn w:val="LegalNumPar2"/>
    <w:rPr>
      <w:rFonts w:ascii="Times New Roman" w:hAnsi="Times New Roman"/>
    </w:rPr>
  </w:style>
  <w:style w:type="paragraph" w:customStyle="1" w:styleId="P68B1DB1-Normal65">
    <w:name w:val="P68B1DB1-Normal65"/>
    <w:basedOn w:val="Normal"/>
    <w:rPr>
      <w:rFonts w:ascii="Times New Roman" w:eastAsia="MS Mincho" w:hAnsi="Times New Roman" w:cs="Times New Roman"/>
    </w:rPr>
  </w:style>
  <w:style w:type="paragraph" w:customStyle="1" w:styleId="P68B1DB1-Normal66">
    <w:name w:val="P68B1DB1-Normal66"/>
    <w:basedOn w:val="Normal"/>
    <w:rPr>
      <w:rFonts w:ascii="Times New Roman" w:eastAsia="Times New Roman" w:hAnsi="Times New Roman" w:cs="Times New Roman"/>
      <w:color w:val="000000" w:themeColor="text1"/>
    </w:rPr>
  </w:style>
  <w:style w:type="paragraph" w:customStyle="1" w:styleId="P68B1DB1-Normal67">
    <w:name w:val="P68B1DB1-Normal67"/>
    <w:basedOn w:val="Normal"/>
    <w:rPr>
      <w:rFonts w:ascii="Arial Narrow" w:eastAsia="Calibri" w:hAnsi="Arial Narrow"/>
      <w:color w:val="006100"/>
      <w:sz w:val="20"/>
      <w:szCs w:val="20"/>
    </w:rPr>
  </w:style>
  <w:style w:type="paragraph" w:customStyle="1" w:styleId="P68B1DB1-Heading368">
    <w:name w:val="P68B1DB1-Heading368"/>
    <w:basedOn w:val="Heading3"/>
    <w:rPr>
      <w:rFonts w:ascii="Times New Roman" w:hAnsi="Times New Roman" w:cs="Times New Roman"/>
      <w:b/>
      <w:sz w:val="24"/>
      <w:szCs w:val="24"/>
      <w:u w:val="single"/>
    </w:rPr>
  </w:style>
  <w:style w:type="paragraph" w:customStyle="1" w:styleId="P68B1DB1-Other1069">
    <w:name w:val="P68B1DB1-Other1069"/>
    <w:basedOn w:val="Other10"/>
    <w:rPr>
      <w:rFonts w:ascii="Arial Narrow" w:hAnsi="Arial Narrow"/>
      <w:sz w:val="20"/>
      <w:szCs w:val="20"/>
    </w:rPr>
  </w:style>
  <w:style w:type="paragraph" w:customStyle="1" w:styleId="P68B1DB1-Normal70">
    <w:name w:val="P68B1DB1-Normal70"/>
    <w:basedOn w:val="Normal"/>
    <w:rPr>
      <w:rFonts w:ascii="Times New Roman" w:hAnsi="Times New Roman" w:cs="Times New Roman"/>
      <w:b/>
      <w:color w:val="000000"/>
      <w:shd w:val="clear" w:color="auto" w:fill="FFFFFF"/>
    </w:rPr>
  </w:style>
  <w:style w:type="paragraph" w:customStyle="1" w:styleId="P68B1DB1-Other1071">
    <w:name w:val="P68B1DB1-Other1071"/>
    <w:basedOn w:val="Other10"/>
    <w:rPr>
      <w:rFonts w:ascii="Arial Narrow" w:hAnsi="Arial Narrow"/>
      <w:sz w:val="20"/>
    </w:rPr>
  </w:style>
  <w:style w:type="paragraph" w:customStyle="1" w:styleId="P68B1DB1-Times1272">
    <w:name w:val="P68B1DB1-Times1272"/>
    <w:basedOn w:val="Times12"/>
    <w:rPr>
      <w:rFonts w:ascii="Times New Roman" w:hAnsi="Times New Roman" w:cs="Times New Roman"/>
      <w:sz w:val="22"/>
      <w:szCs w:val="22"/>
    </w:rPr>
  </w:style>
  <w:style w:type="paragraph" w:customStyle="1" w:styleId="P68B1DB1-Times1273">
    <w:name w:val="P68B1DB1-Times1273"/>
    <w:basedOn w:val="Times12"/>
    <w:rPr>
      <w:sz w:val="22"/>
      <w:szCs w:val="22"/>
    </w:rPr>
  </w:style>
  <w:style w:type="paragraph" w:customStyle="1" w:styleId="P68B1DB1-Times1274">
    <w:name w:val="P68B1DB1-Times1274"/>
    <w:basedOn w:val="Times12"/>
    <w:rPr>
      <w:rFonts w:ascii="Times New Roman" w:hAnsi="Times New Roman" w:cs="Times New Roman"/>
      <w:b/>
      <w:sz w:val="22"/>
      <w:szCs w:val="22"/>
    </w:rPr>
  </w:style>
  <w:style w:type="paragraph" w:customStyle="1" w:styleId="P68B1DB1-Times1275">
    <w:name w:val="P68B1DB1-Times1275"/>
    <w:basedOn w:val="Times12"/>
    <w:rPr>
      <w:rFonts w:ascii="Times New Roman" w:hAnsi="Times New Roman" w:cs="Times New Roman"/>
    </w:rPr>
  </w:style>
  <w:style w:type="paragraph" w:customStyle="1" w:styleId="P68B1DB1-Times1276">
    <w:name w:val="P68B1DB1-Times1276"/>
    <w:basedOn w:val="Times12"/>
    <w:rPr>
      <w:rFonts w:ascii="Times New Roman" w:eastAsia="Times New Roman" w:hAnsi="Times New Roman" w:cs="Times New Roman"/>
      <w:b/>
    </w:rPr>
  </w:style>
  <w:style w:type="paragraph" w:customStyle="1" w:styleId="P68B1DB1-Times1277">
    <w:name w:val="P68B1DB1-Times1277"/>
    <w:basedOn w:val="Times12"/>
    <w:rPr>
      <w:rFonts w:ascii="Times New Roman" w:eastAsia="Times New Roman" w:hAnsi="Times New Roman" w:cs="Times New Roman"/>
    </w:rPr>
  </w:style>
  <w:style w:type="paragraph" w:customStyle="1" w:styleId="P68B1DB1-Paragrafoelenco178">
    <w:name w:val="P68B1DB1-Paragrafoelenco178"/>
    <w:basedOn w:val="Paragrafoelenco1"/>
    <w:rPr>
      <w:color w:val="auto"/>
      <w:sz w:val="22"/>
      <w:szCs w:val="22"/>
    </w:rPr>
  </w:style>
  <w:style w:type="paragraph" w:customStyle="1" w:styleId="P68B1DB1-LegalNumPar79">
    <w:name w:val="P68B1DB1-LegalNumPar79"/>
    <w:basedOn w:val="LegalNumPar"/>
    <w:rPr>
      <w:rFonts w:ascii="Times New Roman" w:hAnsi="Times New Roman" w:cs="Times New Roman"/>
    </w:rPr>
  </w:style>
  <w:style w:type="paragraph" w:customStyle="1" w:styleId="P68B1DB1-LegalNumPar280">
    <w:name w:val="P68B1DB1-LegalNumPar280"/>
    <w:basedOn w:val="LegalNumPar2"/>
    <w:rPr>
      <w:rFonts w:ascii="Times New Roman" w:hAnsi="Times New Roman" w:cs="Times New Roman"/>
    </w:rPr>
  </w:style>
  <w:style w:type="paragraph" w:customStyle="1" w:styleId="P68B1DB1-Normal81">
    <w:name w:val="P68B1DB1-Normal81"/>
    <w:basedOn w:val="Normal"/>
    <w:rPr>
      <w:rFonts w:ascii="Arial Narrow" w:hAnsi="Arial Narrow"/>
      <w:color w:val="006100"/>
      <w:sz w:val="18"/>
      <w:szCs w:val="18"/>
    </w:rPr>
  </w:style>
  <w:style w:type="paragraph" w:customStyle="1" w:styleId="P68B1DB1-ListParagraph82">
    <w:name w:val="P68B1DB1-ListParagraph82"/>
    <w:basedOn w:val="ListParagraph"/>
    <w:rPr>
      <w:rFonts w:ascii="Arial Narrow" w:hAnsi="Arial Narrow"/>
      <w:sz w:val="20"/>
    </w:rPr>
  </w:style>
  <w:style w:type="paragraph" w:customStyle="1" w:styleId="P68B1DB1-Normal83">
    <w:name w:val="P68B1DB1-Normal83"/>
    <w:basedOn w:val="Normal"/>
    <w:rPr>
      <w:color w:val="006100"/>
    </w:rPr>
  </w:style>
  <w:style w:type="paragraph" w:customStyle="1" w:styleId="P68B1DB1-Normal84">
    <w:name w:val="P68B1DB1-Normal84"/>
    <w:basedOn w:val="Normal"/>
    <w:rPr>
      <w:rFonts w:ascii="Arial Narrow" w:eastAsia="Arial Narrow" w:hAnsi="Arial Narrow" w:cs="Arial Narrow"/>
      <w:color w:val="006100"/>
      <w:sz w:val="20"/>
      <w:szCs w:val="20"/>
    </w:rPr>
  </w:style>
  <w:style w:type="paragraph" w:customStyle="1" w:styleId="P68B1DB1-Normal85">
    <w:name w:val="P68B1DB1-Normal85"/>
    <w:basedOn w:val="Normal"/>
    <w:rPr>
      <w:rFonts w:ascii="Arial Narrow" w:eastAsia="Arial Narrow" w:hAnsi="Arial Narrow" w:cs="Arial Narrow"/>
      <w:sz w:val="20"/>
      <w:szCs w:val="20"/>
    </w:rPr>
  </w:style>
  <w:style w:type="paragraph" w:customStyle="1" w:styleId="P68B1DB1-ListParagraph86">
    <w:name w:val="P68B1DB1-ListParagraph86"/>
    <w:basedOn w:val="ListParagraph"/>
    <w:rPr>
      <w:rFonts w:ascii="Arial Narrow" w:hAnsi="Arial Narrow"/>
      <w:color w:val="196B24" w:themeColor="accent3"/>
      <w:sz w:val="20"/>
      <w:szCs w:val="20"/>
    </w:rPr>
  </w:style>
  <w:style w:type="paragraph" w:customStyle="1" w:styleId="P68B1DB1-Normal87">
    <w:name w:val="P68B1DB1-Normal87"/>
    <w:basedOn w:val="Normal"/>
    <w:rPr>
      <w:rFonts w:ascii="Arial Narrow" w:hAnsi="Arial Narrow"/>
      <w:color w:val="196B24" w:themeColor="accent3"/>
      <w:sz w:val="20"/>
      <w:szCs w:val="20"/>
    </w:rPr>
  </w:style>
  <w:style w:type="paragraph" w:customStyle="1" w:styleId="P68B1DB1-Normal88">
    <w:name w:val="P68B1DB1-Normal88"/>
    <w:basedOn w:val="Normal"/>
    <w:rPr>
      <w:rFonts w:ascii="Arial Narrow" w:eastAsia="Arial Narrow" w:hAnsi="Arial Narrow" w:cs="Arial Narrow"/>
      <w:color w:val="196B24" w:themeColor="accent3"/>
      <w:sz w:val="20"/>
      <w:szCs w:val="20"/>
    </w:rPr>
  </w:style>
  <w:style w:type="paragraph" w:customStyle="1" w:styleId="P68B1DB1-paragraph89">
    <w:name w:val="P68B1DB1-paragraph89"/>
    <w:basedOn w:val="paragraph"/>
    <w:rPr>
      <w:rFonts w:ascii="Arial Narrow" w:hAnsi="Arial Narrow"/>
      <w:color w:val="006100"/>
      <w:sz w:val="20"/>
    </w:rPr>
  </w:style>
  <w:style w:type="paragraph" w:customStyle="1" w:styleId="P68B1DB1-Normal90">
    <w:name w:val="P68B1DB1-Normal90"/>
    <w:basedOn w:val="Normal"/>
    <w:rPr>
      <w:rFonts w:ascii="Arial Narrow" w:hAnsi="Arial Narrow"/>
      <w:color w:val="006100"/>
    </w:rPr>
  </w:style>
  <w:style w:type="paragraph" w:customStyle="1" w:styleId="P68B1DB1-Heading291">
    <w:name w:val="P68B1DB1-Heading291"/>
    <w:basedOn w:val="Heading2"/>
    <w:rPr>
      <w:sz w:val="24"/>
      <w:szCs w:val="24"/>
    </w:rPr>
  </w:style>
  <w:style w:type="paragraph" w:customStyle="1" w:styleId="P68B1DB1-LegalNumPar392">
    <w:name w:val="P68B1DB1-LegalNumPar392"/>
    <w:basedOn w:val="LegalNumPar3"/>
    <w:rPr>
      <w:rFonts w:ascii="Times New Roman" w:hAnsi="Times New Roman" w:cs="Times New Roman"/>
    </w:rPr>
  </w:style>
  <w:style w:type="paragraph" w:customStyle="1" w:styleId="P68B1DB1-Normal93">
    <w:name w:val="P68B1DB1-Normal93"/>
    <w:basedOn w:val="Normal"/>
    <w:rPr>
      <w:rFonts w:ascii="Arial Narrow" w:hAnsi="Arial Narrow"/>
      <w:b/>
      <w:sz w:val="20"/>
      <w:szCs w:val="20"/>
    </w:rPr>
  </w:style>
  <w:style w:type="paragraph" w:customStyle="1" w:styleId="P68B1DB1-Normal94">
    <w:name w:val="P68B1DB1-Normal94"/>
    <w:basedOn w:val="Normal"/>
    <w:rPr>
      <w:rFonts w:ascii="Arial Narrow" w:hAnsi="Arial Narrow" w:hint="eastAsia"/>
      <w:color w:val="006100"/>
      <w:sz w:val="20"/>
      <w:szCs w:val="20"/>
    </w:rPr>
  </w:style>
  <w:style w:type="paragraph" w:customStyle="1" w:styleId="P68B1DB1-paragraph95">
    <w:name w:val="P68B1DB1-paragraph95"/>
    <w:basedOn w:val="paragraph"/>
    <w:rPr>
      <w:rFonts w:ascii="Arial Narrow" w:eastAsiaTheme="minorHAnsi" w:hAnsi="Arial Narrow" w:cstheme="minorBidi"/>
      <w:color w:val="006100"/>
      <w:kern w:val="2"/>
      <w:sz w:val="20"/>
      <w:szCs w:val="20"/>
    </w:rPr>
  </w:style>
  <w:style w:type="paragraph" w:customStyle="1" w:styleId="P68B1DB1-Normal96">
    <w:name w:val="P68B1DB1-Normal96"/>
    <w:basedOn w:val="Normal"/>
    <w:rPr>
      <w:rFonts w:ascii="Times New Roman" w:hAnsi="Times New Roman" w:cs="Times New Roman" w:hint="eastAsia"/>
    </w:rPr>
  </w:style>
  <w:style w:type="paragraph" w:customStyle="1" w:styleId="P68B1DB1-Heading397">
    <w:name w:val="P68B1DB1-Heading397"/>
    <w:basedOn w:val="Heading3"/>
    <w:rPr>
      <w:rFonts w:ascii="Times New Roman" w:hAnsi="Times New Roman" w:cs="Times New Roman" w:hint="eastAsia"/>
      <w:b/>
      <w:sz w:val="24"/>
      <w:szCs w:val="24"/>
      <w:u w:val="single"/>
    </w:rPr>
  </w:style>
  <w:style w:type="paragraph" w:customStyle="1" w:styleId="P68B1DB1-paragraph98">
    <w:name w:val="P68B1DB1-paragraph98"/>
    <w:basedOn w:val="paragraph"/>
    <w:rPr>
      <w:rFonts w:ascii="Arial Narrow" w:hAnsi="Arial Narrow"/>
      <w:color w:val="006100"/>
      <w:sz w:val="20"/>
      <w:szCs w:val="20"/>
    </w:rPr>
  </w:style>
  <w:style w:type="paragraph" w:customStyle="1" w:styleId="P68B1DB1-Normal99">
    <w:name w:val="P68B1DB1-Normal99"/>
    <w:basedOn w:val="Normal"/>
    <w:rPr>
      <w:rFonts w:ascii="Times New Roman" w:hAnsi="Times New Roman" w:cs="Times New Roman"/>
      <w:b/>
      <w:color w:val="000000" w:themeColor="text1"/>
    </w:rPr>
  </w:style>
  <w:style w:type="paragraph" w:customStyle="1" w:styleId="P68B1DB1-ListParagraph100">
    <w:name w:val="P68B1DB1-ListParagraph100"/>
    <w:basedOn w:val="ListParagraph"/>
    <w:rPr>
      <w:rFonts w:ascii="Times New Roman" w:eastAsiaTheme="minorEastAsia" w:hAnsi="Times New Roman" w:cs="Times New Roman"/>
    </w:rPr>
  </w:style>
  <w:style w:type="paragraph" w:customStyle="1" w:styleId="P68B1DB1-Normal101">
    <w:name w:val="P68B1DB1-Normal101"/>
    <w:basedOn w:val="Normal"/>
    <w:rPr>
      <w:rFonts w:ascii="Times New Roman" w:hAnsi="Times New Roman" w:cs="Times New Roman"/>
      <w:u w:val="single"/>
    </w:rPr>
  </w:style>
  <w:style w:type="paragraph" w:customStyle="1" w:styleId="P68B1DB1-Normal102">
    <w:name w:val="P68B1DB1-Normal102"/>
    <w:basedOn w:val="Normal"/>
    <w:rPr>
      <w:rFonts w:ascii="Arial Narrow" w:hAnsi="Arial Narrow"/>
      <w:b/>
      <w:color w:val="000000"/>
      <w:sz w:val="20"/>
    </w:rPr>
  </w:style>
  <w:style w:type="paragraph" w:customStyle="1" w:styleId="P68B1DB1-Normal103">
    <w:name w:val="P68B1DB1-Normal103"/>
    <w:basedOn w:val="Normal"/>
    <w:rPr>
      <w:rFonts w:ascii="Arial Narrow" w:hAnsi="Arial Narrow"/>
      <w:color w:val="006600"/>
      <w:sz w:val="20"/>
    </w:rPr>
  </w:style>
  <w:style w:type="paragraph" w:customStyle="1" w:styleId="P68B1DB1-Normal104">
    <w:name w:val="P68B1DB1-Normal104"/>
    <w:basedOn w:val="Normal"/>
    <w:rPr>
      <w:rFonts w:ascii="Arial Narrow" w:hAnsi="Arial Narrow"/>
      <w:color w:val="006600"/>
      <w:sz w:val="20"/>
      <w:szCs w:val="20"/>
    </w:rPr>
  </w:style>
  <w:style w:type="paragraph" w:customStyle="1" w:styleId="P68B1DB1-paragraph105">
    <w:name w:val="P68B1DB1-paragraph105"/>
    <w:basedOn w:val="paragraph"/>
    <w:rPr>
      <w:sz w:val="22"/>
      <w:szCs w:val="22"/>
    </w:rPr>
  </w:style>
  <w:style w:type="paragraph" w:customStyle="1" w:styleId="P68B1DB1-Text1106">
    <w:name w:val="P68B1DB1-Text1106"/>
    <w:basedOn w:val="Text1"/>
    <w:rPr>
      <w:color w:val="000000" w:themeColor="text1"/>
      <w:sz w:val="22"/>
      <w:szCs w:val="22"/>
    </w:rPr>
  </w:style>
  <w:style w:type="paragraph" w:customStyle="1" w:styleId="P68B1DB1-Heading4107">
    <w:name w:val="P68B1DB1-Heading4107"/>
    <w:basedOn w:val="Heading4"/>
    <w:rPr>
      <w:rFonts w:ascii="Times New Roman" w:hAnsi="Times New Roman" w:cs="Times New Roman"/>
      <w:b/>
      <w:i w:val="0"/>
      <w:color w:val="000000" w:themeColor="text1"/>
    </w:rPr>
  </w:style>
  <w:style w:type="paragraph" w:customStyle="1" w:styleId="P68B1DB1-Heading4108">
    <w:name w:val="P68B1DB1-Heading4108"/>
    <w:basedOn w:val="Heading4"/>
    <w:rPr>
      <w:rFonts w:ascii="Times New Roman" w:hAnsi="Times New Roman" w:cs="Times New Roman"/>
      <w:b/>
      <w:i w:val="0"/>
      <w:color w:val="auto"/>
    </w:rPr>
  </w:style>
  <w:style w:type="paragraph" w:customStyle="1" w:styleId="P68B1DB1-Heading4109">
    <w:name w:val="P68B1DB1-Heading4109"/>
    <w:basedOn w:val="Heading4"/>
    <w:rPr>
      <w:rFonts w:ascii="Times New Roman" w:hAnsi="Times New Roman" w:cs="Times New Roman"/>
    </w:rPr>
  </w:style>
  <w:style w:type="paragraph" w:customStyle="1" w:styleId="P68B1DB1-Heading4110">
    <w:name w:val="P68B1DB1-Heading4110"/>
    <w:basedOn w:val="Heading4"/>
    <w:rPr>
      <w:rFonts w:ascii="Times New Roman" w:hAnsi="Times New Roman" w:cs="Times New Roman"/>
      <w:b/>
      <w:i w:val="0"/>
      <w:iCs w:val="0"/>
      <w:color w:val="000000" w:themeColor="text1"/>
    </w:rPr>
  </w:style>
  <w:style w:type="paragraph" w:customStyle="1" w:styleId="P68B1DB1-ListParagraph111">
    <w:name w:val="P68B1DB1-ListParagraph111"/>
    <w:basedOn w:val="ListParagraph"/>
    <w:rPr>
      <w:rFonts w:ascii="Arial Narrow" w:eastAsiaTheme="minorEastAsia" w:hAnsi="Arial Narrow"/>
      <w:color w:val="006100"/>
      <w:sz w:val="20"/>
    </w:rPr>
  </w:style>
  <w:style w:type="paragraph" w:customStyle="1" w:styleId="P68B1DB1-LegalNumPar112">
    <w:name w:val="P68B1DB1-LegalNumPar112"/>
    <w:basedOn w:val="LegalNumPar"/>
    <w:rPr>
      <w:rFonts w:ascii="Times New Roman" w:hAnsi="Times New Roman"/>
    </w:rPr>
  </w:style>
  <w:style w:type="paragraph" w:customStyle="1" w:styleId="P68B1DB1-Normal113">
    <w:name w:val="P68B1DB1-Normal113"/>
    <w:basedOn w:val="Normal"/>
    <w:rPr>
      <w:sz w:val="20"/>
    </w:rPr>
  </w:style>
  <w:style w:type="paragraph" w:customStyle="1" w:styleId="P68B1DB1-Normal114">
    <w:name w:val="P68B1DB1-Normal114"/>
    <w:basedOn w:val="Normal"/>
    <w:rPr>
      <w:rFonts w:ascii="Arial Narrow" w:hAnsi="Arial"/>
      <w:color w:val="006100"/>
      <w:sz w:val="20"/>
      <w:szCs w:val="20"/>
    </w:rPr>
  </w:style>
  <w:style w:type="paragraph" w:customStyle="1" w:styleId="P68B1DB1-ListParagraph115">
    <w:name w:val="P68B1DB1-ListParagraph115"/>
    <w:basedOn w:val="ListParagraph"/>
    <w:rPr>
      <w:rFonts w:ascii="Times New Roman" w:hAnsi="Times New Roman" w:cs="Times New Roman"/>
      <w:b/>
      <w:smallCaps/>
    </w:rPr>
  </w:style>
  <w:style w:type="paragraph" w:customStyle="1" w:styleId="P68B1DB1-Normal116">
    <w:name w:val="P68B1DB1-Normal116"/>
    <w:basedOn w:val="Normal"/>
    <w:rPr>
      <w:rFonts w:ascii="Times New Roman" w:eastAsia="Times New Roman" w:hAnsi="Times New Roman" w:cs="Times New Roman"/>
      <w:sz w:val="23"/>
      <w:szCs w:val="23"/>
    </w:rPr>
  </w:style>
  <w:style w:type="paragraph" w:customStyle="1" w:styleId="P68B1DB1-Heading2117">
    <w:name w:val="P68B1DB1-Heading2117"/>
    <w:basedOn w:val="Heading2"/>
    <w:rPr>
      <w:rFonts w:ascii="Times New Roman" w:hAnsi="Times New Roman" w:cs="Times New Roman"/>
      <w:b/>
      <w:color w:val="auto"/>
      <w:sz w:val="24"/>
      <w:szCs w:val="24"/>
    </w:rPr>
  </w:style>
  <w:style w:type="paragraph" w:customStyle="1" w:styleId="P68B1DB1-Heading3118">
    <w:name w:val="P68B1DB1-Heading3118"/>
    <w:basedOn w:val="Heading3"/>
    <w:rPr>
      <w:rFonts w:ascii="Times New Roman" w:hAnsi="Times New Roman" w:cs="Times New Roman"/>
      <w:b/>
      <w:color w:val="auto"/>
      <w:sz w:val="24"/>
      <w:szCs w:val="24"/>
    </w:rPr>
  </w:style>
  <w:style w:type="paragraph" w:customStyle="1" w:styleId="P68B1DB1-Heading4119">
    <w:name w:val="P68B1DB1-Heading4119"/>
    <w:basedOn w:val="Heading4"/>
    <w:rPr>
      <w:rFonts w:ascii="Times New Roman" w:hAnsi="Times New Roman" w:cs="Times New Roman"/>
      <w:i w:val="0"/>
      <w:iCs w:val="0"/>
      <w:color w:val="auto"/>
    </w:rPr>
  </w:style>
  <w:style w:type="paragraph" w:customStyle="1" w:styleId="P68B1DB1-Normal120">
    <w:name w:val="P68B1DB1-Normal120"/>
    <w:basedOn w:val="Normal"/>
    <w:rPr>
      <w:rFonts w:ascii="Times New Roman" w:eastAsia="Times New Roman" w:hAnsi="Times New Roman" w:cs="Times New Roman"/>
      <w:b/>
      <w:color w:val="000000"/>
      <w:sz w:val="20"/>
      <w:szCs w:val="20"/>
    </w:rPr>
  </w:style>
  <w:style w:type="paragraph" w:customStyle="1" w:styleId="P68B1DB1-Normal121">
    <w:name w:val="P68B1DB1-Normal121"/>
    <w:basedOn w:val="Normal"/>
    <w:rPr>
      <w:rFonts w:ascii="Times New Roman" w:eastAsia="Times New Roman" w:hAnsi="Times New Roman" w:cs="Times New Roman"/>
      <w:color w:val="006100"/>
      <w:sz w:val="20"/>
      <w:szCs w:val="20"/>
    </w:rPr>
  </w:style>
  <w:style w:type="paragraph" w:customStyle="1" w:styleId="P68B1DB1-Normal122">
    <w:name w:val="P68B1DB1-Normal122"/>
    <w:basedOn w:val="Normal"/>
    <w:rPr>
      <w:rFonts w:ascii="Times New Roman" w:eastAsia="Times New Roman" w:hAnsi="Times New Roman" w:cs="Times New Roman"/>
      <w:sz w:val="20"/>
      <w:szCs w:val="20"/>
    </w:rPr>
  </w:style>
  <w:style w:type="paragraph" w:customStyle="1" w:styleId="P68B1DB1-Normal123">
    <w:name w:val="P68B1DB1-Normal123"/>
    <w:basedOn w:val="Normal"/>
    <w:rPr>
      <w:rFonts w:ascii="Times New Roman" w:eastAsia="Times New Roman" w:hAnsi="Times New Roman" w:cs="Times New Roman"/>
      <w:color w:val="006600"/>
      <w:sz w:val="20"/>
      <w:szCs w:val="20"/>
    </w:rPr>
  </w:style>
  <w:style w:type="paragraph" w:customStyle="1" w:styleId="P68B1DB1-Normal124">
    <w:name w:val="P68B1DB1-Normal124"/>
    <w:basedOn w:val="Normal"/>
    <w:rPr>
      <w:rFonts w:ascii="Times New Roman" w:hAnsi="Arial Narrow"/>
      <w:color w:val="006100"/>
      <w:sz w:val="20"/>
      <w:szCs w:val="20"/>
    </w:rPr>
  </w:style>
  <w:style w:type="paragraph" w:customStyle="1" w:styleId="P68B1DB1-Normal125">
    <w:name w:val="P68B1DB1-Normal125"/>
    <w:basedOn w:val="Normal"/>
    <w:rPr>
      <w:rFonts w:ascii="Times New Roman" w:eastAsia="Calibri" w:hAnsi="Times New Roman" w:cs="Times New Roman"/>
      <w:b/>
    </w:rPr>
  </w:style>
  <w:style w:type="paragraph" w:customStyle="1" w:styleId="P68B1DB1-Normal126">
    <w:name w:val="P68B1DB1-Normal126"/>
    <w:basedOn w:val="Normal"/>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446">
      <w:bodyDiv w:val="1"/>
      <w:marLeft w:val="0"/>
      <w:marRight w:val="0"/>
      <w:marTop w:val="0"/>
      <w:marBottom w:val="0"/>
      <w:divBdr>
        <w:top w:val="none" w:sz="0" w:space="0" w:color="auto"/>
        <w:left w:val="none" w:sz="0" w:space="0" w:color="auto"/>
        <w:bottom w:val="none" w:sz="0" w:space="0" w:color="auto"/>
        <w:right w:val="none" w:sz="0" w:space="0" w:color="auto"/>
      </w:divBdr>
      <w:divsChild>
        <w:div w:id="925920791">
          <w:marLeft w:val="0"/>
          <w:marRight w:val="0"/>
          <w:marTop w:val="0"/>
          <w:marBottom w:val="0"/>
          <w:divBdr>
            <w:top w:val="none" w:sz="0" w:space="0" w:color="auto"/>
            <w:left w:val="none" w:sz="0" w:space="0" w:color="auto"/>
            <w:bottom w:val="none" w:sz="0" w:space="0" w:color="auto"/>
            <w:right w:val="none" w:sz="0" w:space="0" w:color="auto"/>
          </w:divBdr>
        </w:div>
        <w:div w:id="1093087414">
          <w:marLeft w:val="0"/>
          <w:marRight w:val="0"/>
          <w:marTop w:val="0"/>
          <w:marBottom w:val="0"/>
          <w:divBdr>
            <w:top w:val="none" w:sz="0" w:space="0" w:color="auto"/>
            <w:left w:val="none" w:sz="0" w:space="0" w:color="auto"/>
            <w:bottom w:val="none" w:sz="0" w:space="0" w:color="auto"/>
            <w:right w:val="none" w:sz="0" w:space="0" w:color="auto"/>
          </w:divBdr>
        </w:div>
        <w:div w:id="2034458499">
          <w:marLeft w:val="0"/>
          <w:marRight w:val="0"/>
          <w:marTop w:val="0"/>
          <w:marBottom w:val="0"/>
          <w:divBdr>
            <w:top w:val="none" w:sz="0" w:space="0" w:color="auto"/>
            <w:left w:val="none" w:sz="0" w:space="0" w:color="auto"/>
            <w:bottom w:val="none" w:sz="0" w:space="0" w:color="auto"/>
            <w:right w:val="none" w:sz="0" w:space="0" w:color="auto"/>
          </w:divBdr>
          <w:divsChild>
            <w:div w:id="633566753">
              <w:marLeft w:val="-75"/>
              <w:marRight w:val="0"/>
              <w:marTop w:val="30"/>
              <w:marBottom w:val="30"/>
              <w:divBdr>
                <w:top w:val="none" w:sz="0" w:space="0" w:color="auto"/>
                <w:left w:val="none" w:sz="0" w:space="0" w:color="auto"/>
                <w:bottom w:val="none" w:sz="0" w:space="0" w:color="auto"/>
                <w:right w:val="none" w:sz="0" w:space="0" w:color="auto"/>
              </w:divBdr>
              <w:divsChild>
                <w:div w:id="4673684">
                  <w:marLeft w:val="0"/>
                  <w:marRight w:val="0"/>
                  <w:marTop w:val="0"/>
                  <w:marBottom w:val="0"/>
                  <w:divBdr>
                    <w:top w:val="none" w:sz="0" w:space="0" w:color="auto"/>
                    <w:left w:val="none" w:sz="0" w:space="0" w:color="auto"/>
                    <w:bottom w:val="none" w:sz="0" w:space="0" w:color="auto"/>
                    <w:right w:val="none" w:sz="0" w:space="0" w:color="auto"/>
                  </w:divBdr>
                  <w:divsChild>
                    <w:div w:id="1957131879">
                      <w:marLeft w:val="0"/>
                      <w:marRight w:val="0"/>
                      <w:marTop w:val="0"/>
                      <w:marBottom w:val="0"/>
                      <w:divBdr>
                        <w:top w:val="none" w:sz="0" w:space="0" w:color="auto"/>
                        <w:left w:val="none" w:sz="0" w:space="0" w:color="auto"/>
                        <w:bottom w:val="none" w:sz="0" w:space="0" w:color="auto"/>
                        <w:right w:val="none" w:sz="0" w:space="0" w:color="auto"/>
                      </w:divBdr>
                    </w:div>
                  </w:divsChild>
                </w:div>
                <w:div w:id="5641446">
                  <w:marLeft w:val="0"/>
                  <w:marRight w:val="0"/>
                  <w:marTop w:val="0"/>
                  <w:marBottom w:val="0"/>
                  <w:divBdr>
                    <w:top w:val="none" w:sz="0" w:space="0" w:color="auto"/>
                    <w:left w:val="none" w:sz="0" w:space="0" w:color="auto"/>
                    <w:bottom w:val="none" w:sz="0" w:space="0" w:color="auto"/>
                    <w:right w:val="none" w:sz="0" w:space="0" w:color="auto"/>
                  </w:divBdr>
                  <w:divsChild>
                    <w:div w:id="846215786">
                      <w:marLeft w:val="0"/>
                      <w:marRight w:val="0"/>
                      <w:marTop w:val="0"/>
                      <w:marBottom w:val="0"/>
                      <w:divBdr>
                        <w:top w:val="none" w:sz="0" w:space="0" w:color="auto"/>
                        <w:left w:val="none" w:sz="0" w:space="0" w:color="auto"/>
                        <w:bottom w:val="none" w:sz="0" w:space="0" w:color="auto"/>
                        <w:right w:val="none" w:sz="0" w:space="0" w:color="auto"/>
                      </w:divBdr>
                    </w:div>
                  </w:divsChild>
                </w:div>
                <w:div w:id="8677606">
                  <w:marLeft w:val="0"/>
                  <w:marRight w:val="0"/>
                  <w:marTop w:val="0"/>
                  <w:marBottom w:val="0"/>
                  <w:divBdr>
                    <w:top w:val="none" w:sz="0" w:space="0" w:color="auto"/>
                    <w:left w:val="none" w:sz="0" w:space="0" w:color="auto"/>
                    <w:bottom w:val="none" w:sz="0" w:space="0" w:color="auto"/>
                    <w:right w:val="none" w:sz="0" w:space="0" w:color="auto"/>
                  </w:divBdr>
                  <w:divsChild>
                    <w:div w:id="238951052">
                      <w:marLeft w:val="0"/>
                      <w:marRight w:val="0"/>
                      <w:marTop w:val="0"/>
                      <w:marBottom w:val="0"/>
                      <w:divBdr>
                        <w:top w:val="none" w:sz="0" w:space="0" w:color="auto"/>
                        <w:left w:val="none" w:sz="0" w:space="0" w:color="auto"/>
                        <w:bottom w:val="none" w:sz="0" w:space="0" w:color="auto"/>
                        <w:right w:val="none" w:sz="0" w:space="0" w:color="auto"/>
                      </w:divBdr>
                    </w:div>
                  </w:divsChild>
                </w:div>
                <w:div w:id="18744407">
                  <w:marLeft w:val="0"/>
                  <w:marRight w:val="0"/>
                  <w:marTop w:val="0"/>
                  <w:marBottom w:val="0"/>
                  <w:divBdr>
                    <w:top w:val="none" w:sz="0" w:space="0" w:color="auto"/>
                    <w:left w:val="none" w:sz="0" w:space="0" w:color="auto"/>
                    <w:bottom w:val="none" w:sz="0" w:space="0" w:color="auto"/>
                    <w:right w:val="none" w:sz="0" w:space="0" w:color="auto"/>
                  </w:divBdr>
                  <w:divsChild>
                    <w:div w:id="118573161">
                      <w:marLeft w:val="0"/>
                      <w:marRight w:val="0"/>
                      <w:marTop w:val="0"/>
                      <w:marBottom w:val="0"/>
                      <w:divBdr>
                        <w:top w:val="none" w:sz="0" w:space="0" w:color="auto"/>
                        <w:left w:val="none" w:sz="0" w:space="0" w:color="auto"/>
                        <w:bottom w:val="none" w:sz="0" w:space="0" w:color="auto"/>
                        <w:right w:val="none" w:sz="0" w:space="0" w:color="auto"/>
                      </w:divBdr>
                    </w:div>
                  </w:divsChild>
                </w:div>
                <w:div w:id="22099228">
                  <w:marLeft w:val="0"/>
                  <w:marRight w:val="0"/>
                  <w:marTop w:val="0"/>
                  <w:marBottom w:val="0"/>
                  <w:divBdr>
                    <w:top w:val="none" w:sz="0" w:space="0" w:color="auto"/>
                    <w:left w:val="none" w:sz="0" w:space="0" w:color="auto"/>
                    <w:bottom w:val="none" w:sz="0" w:space="0" w:color="auto"/>
                    <w:right w:val="none" w:sz="0" w:space="0" w:color="auto"/>
                  </w:divBdr>
                  <w:divsChild>
                    <w:div w:id="1773356721">
                      <w:marLeft w:val="0"/>
                      <w:marRight w:val="0"/>
                      <w:marTop w:val="0"/>
                      <w:marBottom w:val="0"/>
                      <w:divBdr>
                        <w:top w:val="none" w:sz="0" w:space="0" w:color="auto"/>
                        <w:left w:val="none" w:sz="0" w:space="0" w:color="auto"/>
                        <w:bottom w:val="none" w:sz="0" w:space="0" w:color="auto"/>
                        <w:right w:val="none" w:sz="0" w:space="0" w:color="auto"/>
                      </w:divBdr>
                    </w:div>
                  </w:divsChild>
                </w:div>
                <w:div w:id="23942954">
                  <w:marLeft w:val="0"/>
                  <w:marRight w:val="0"/>
                  <w:marTop w:val="0"/>
                  <w:marBottom w:val="0"/>
                  <w:divBdr>
                    <w:top w:val="none" w:sz="0" w:space="0" w:color="auto"/>
                    <w:left w:val="none" w:sz="0" w:space="0" w:color="auto"/>
                    <w:bottom w:val="none" w:sz="0" w:space="0" w:color="auto"/>
                    <w:right w:val="none" w:sz="0" w:space="0" w:color="auto"/>
                  </w:divBdr>
                  <w:divsChild>
                    <w:div w:id="138116385">
                      <w:marLeft w:val="0"/>
                      <w:marRight w:val="0"/>
                      <w:marTop w:val="0"/>
                      <w:marBottom w:val="0"/>
                      <w:divBdr>
                        <w:top w:val="none" w:sz="0" w:space="0" w:color="auto"/>
                        <w:left w:val="none" w:sz="0" w:space="0" w:color="auto"/>
                        <w:bottom w:val="none" w:sz="0" w:space="0" w:color="auto"/>
                        <w:right w:val="none" w:sz="0" w:space="0" w:color="auto"/>
                      </w:divBdr>
                    </w:div>
                  </w:divsChild>
                </w:div>
                <w:div w:id="28460580">
                  <w:marLeft w:val="0"/>
                  <w:marRight w:val="0"/>
                  <w:marTop w:val="0"/>
                  <w:marBottom w:val="0"/>
                  <w:divBdr>
                    <w:top w:val="none" w:sz="0" w:space="0" w:color="auto"/>
                    <w:left w:val="none" w:sz="0" w:space="0" w:color="auto"/>
                    <w:bottom w:val="none" w:sz="0" w:space="0" w:color="auto"/>
                    <w:right w:val="none" w:sz="0" w:space="0" w:color="auto"/>
                  </w:divBdr>
                  <w:divsChild>
                    <w:div w:id="1500729867">
                      <w:marLeft w:val="0"/>
                      <w:marRight w:val="0"/>
                      <w:marTop w:val="0"/>
                      <w:marBottom w:val="0"/>
                      <w:divBdr>
                        <w:top w:val="none" w:sz="0" w:space="0" w:color="auto"/>
                        <w:left w:val="none" w:sz="0" w:space="0" w:color="auto"/>
                        <w:bottom w:val="none" w:sz="0" w:space="0" w:color="auto"/>
                        <w:right w:val="none" w:sz="0" w:space="0" w:color="auto"/>
                      </w:divBdr>
                    </w:div>
                  </w:divsChild>
                </w:div>
                <w:div w:id="31227380">
                  <w:marLeft w:val="0"/>
                  <w:marRight w:val="0"/>
                  <w:marTop w:val="0"/>
                  <w:marBottom w:val="0"/>
                  <w:divBdr>
                    <w:top w:val="none" w:sz="0" w:space="0" w:color="auto"/>
                    <w:left w:val="none" w:sz="0" w:space="0" w:color="auto"/>
                    <w:bottom w:val="none" w:sz="0" w:space="0" w:color="auto"/>
                    <w:right w:val="none" w:sz="0" w:space="0" w:color="auto"/>
                  </w:divBdr>
                  <w:divsChild>
                    <w:div w:id="234702579">
                      <w:marLeft w:val="0"/>
                      <w:marRight w:val="0"/>
                      <w:marTop w:val="0"/>
                      <w:marBottom w:val="0"/>
                      <w:divBdr>
                        <w:top w:val="none" w:sz="0" w:space="0" w:color="auto"/>
                        <w:left w:val="none" w:sz="0" w:space="0" w:color="auto"/>
                        <w:bottom w:val="none" w:sz="0" w:space="0" w:color="auto"/>
                        <w:right w:val="none" w:sz="0" w:space="0" w:color="auto"/>
                      </w:divBdr>
                    </w:div>
                    <w:div w:id="262618687">
                      <w:marLeft w:val="0"/>
                      <w:marRight w:val="0"/>
                      <w:marTop w:val="0"/>
                      <w:marBottom w:val="0"/>
                      <w:divBdr>
                        <w:top w:val="none" w:sz="0" w:space="0" w:color="auto"/>
                        <w:left w:val="none" w:sz="0" w:space="0" w:color="auto"/>
                        <w:bottom w:val="none" w:sz="0" w:space="0" w:color="auto"/>
                        <w:right w:val="none" w:sz="0" w:space="0" w:color="auto"/>
                      </w:divBdr>
                    </w:div>
                    <w:div w:id="294599594">
                      <w:marLeft w:val="0"/>
                      <w:marRight w:val="0"/>
                      <w:marTop w:val="0"/>
                      <w:marBottom w:val="0"/>
                      <w:divBdr>
                        <w:top w:val="none" w:sz="0" w:space="0" w:color="auto"/>
                        <w:left w:val="none" w:sz="0" w:space="0" w:color="auto"/>
                        <w:bottom w:val="none" w:sz="0" w:space="0" w:color="auto"/>
                        <w:right w:val="none" w:sz="0" w:space="0" w:color="auto"/>
                      </w:divBdr>
                    </w:div>
                    <w:div w:id="342246322">
                      <w:marLeft w:val="0"/>
                      <w:marRight w:val="0"/>
                      <w:marTop w:val="0"/>
                      <w:marBottom w:val="0"/>
                      <w:divBdr>
                        <w:top w:val="none" w:sz="0" w:space="0" w:color="auto"/>
                        <w:left w:val="none" w:sz="0" w:space="0" w:color="auto"/>
                        <w:bottom w:val="none" w:sz="0" w:space="0" w:color="auto"/>
                        <w:right w:val="none" w:sz="0" w:space="0" w:color="auto"/>
                      </w:divBdr>
                    </w:div>
                    <w:div w:id="365981996">
                      <w:marLeft w:val="0"/>
                      <w:marRight w:val="0"/>
                      <w:marTop w:val="0"/>
                      <w:marBottom w:val="0"/>
                      <w:divBdr>
                        <w:top w:val="none" w:sz="0" w:space="0" w:color="auto"/>
                        <w:left w:val="none" w:sz="0" w:space="0" w:color="auto"/>
                        <w:bottom w:val="none" w:sz="0" w:space="0" w:color="auto"/>
                        <w:right w:val="none" w:sz="0" w:space="0" w:color="auto"/>
                      </w:divBdr>
                    </w:div>
                    <w:div w:id="488137147">
                      <w:marLeft w:val="0"/>
                      <w:marRight w:val="0"/>
                      <w:marTop w:val="0"/>
                      <w:marBottom w:val="0"/>
                      <w:divBdr>
                        <w:top w:val="none" w:sz="0" w:space="0" w:color="auto"/>
                        <w:left w:val="none" w:sz="0" w:space="0" w:color="auto"/>
                        <w:bottom w:val="none" w:sz="0" w:space="0" w:color="auto"/>
                        <w:right w:val="none" w:sz="0" w:space="0" w:color="auto"/>
                      </w:divBdr>
                    </w:div>
                    <w:div w:id="709183806">
                      <w:marLeft w:val="0"/>
                      <w:marRight w:val="0"/>
                      <w:marTop w:val="0"/>
                      <w:marBottom w:val="0"/>
                      <w:divBdr>
                        <w:top w:val="none" w:sz="0" w:space="0" w:color="auto"/>
                        <w:left w:val="none" w:sz="0" w:space="0" w:color="auto"/>
                        <w:bottom w:val="none" w:sz="0" w:space="0" w:color="auto"/>
                        <w:right w:val="none" w:sz="0" w:space="0" w:color="auto"/>
                      </w:divBdr>
                    </w:div>
                    <w:div w:id="783890280">
                      <w:marLeft w:val="0"/>
                      <w:marRight w:val="0"/>
                      <w:marTop w:val="0"/>
                      <w:marBottom w:val="0"/>
                      <w:divBdr>
                        <w:top w:val="none" w:sz="0" w:space="0" w:color="auto"/>
                        <w:left w:val="none" w:sz="0" w:space="0" w:color="auto"/>
                        <w:bottom w:val="none" w:sz="0" w:space="0" w:color="auto"/>
                        <w:right w:val="none" w:sz="0" w:space="0" w:color="auto"/>
                      </w:divBdr>
                    </w:div>
                    <w:div w:id="966352569">
                      <w:marLeft w:val="0"/>
                      <w:marRight w:val="0"/>
                      <w:marTop w:val="0"/>
                      <w:marBottom w:val="0"/>
                      <w:divBdr>
                        <w:top w:val="none" w:sz="0" w:space="0" w:color="auto"/>
                        <w:left w:val="none" w:sz="0" w:space="0" w:color="auto"/>
                        <w:bottom w:val="none" w:sz="0" w:space="0" w:color="auto"/>
                        <w:right w:val="none" w:sz="0" w:space="0" w:color="auto"/>
                      </w:divBdr>
                    </w:div>
                    <w:div w:id="1096905088">
                      <w:marLeft w:val="0"/>
                      <w:marRight w:val="0"/>
                      <w:marTop w:val="0"/>
                      <w:marBottom w:val="0"/>
                      <w:divBdr>
                        <w:top w:val="none" w:sz="0" w:space="0" w:color="auto"/>
                        <w:left w:val="none" w:sz="0" w:space="0" w:color="auto"/>
                        <w:bottom w:val="none" w:sz="0" w:space="0" w:color="auto"/>
                        <w:right w:val="none" w:sz="0" w:space="0" w:color="auto"/>
                      </w:divBdr>
                    </w:div>
                    <w:div w:id="2125997701">
                      <w:marLeft w:val="0"/>
                      <w:marRight w:val="0"/>
                      <w:marTop w:val="0"/>
                      <w:marBottom w:val="0"/>
                      <w:divBdr>
                        <w:top w:val="none" w:sz="0" w:space="0" w:color="auto"/>
                        <w:left w:val="none" w:sz="0" w:space="0" w:color="auto"/>
                        <w:bottom w:val="none" w:sz="0" w:space="0" w:color="auto"/>
                        <w:right w:val="none" w:sz="0" w:space="0" w:color="auto"/>
                      </w:divBdr>
                    </w:div>
                  </w:divsChild>
                </w:div>
                <w:div w:id="33239163">
                  <w:marLeft w:val="0"/>
                  <w:marRight w:val="0"/>
                  <w:marTop w:val="0"/>
                  <w:marBottom w:val="0"/>
                  <w:divBdr>
                    <w:top w:val="none" w:sz="0" w:space="0" w:color="auto"/>
                    <w:left w:val="none" w:sz="0" w:space="0" w:color="auto"/>
                    <w:bottom w:val="none" w:sz="0" w:space="0" w:color="auto"/>
                    <w:right w:val="none" w:sz="0" w:space="0" w:color="auto"/>
                  </w:divBdr>
                  <w:divsChild>
                    <w:div w:id="625428819">
                      <w:marLeft w:val="0"/>
                      <w:marRight w:val="0"/>
                      <w:marTop w:val="0"/>
                      <w:marBottom w:val="0"/>
                      <w:divBdr>
                        <w:top w:val="none" w:sz="0" w:space="0" w:color="auto"/>
                        <w:left w:val="none" w:sz="0" w:space="0" w:color="auto"/>
                        <w:bottom w:val="none" w:sz="0" w:space="0" w:color="auto"/>
                        <w:right w:val="none" w:sz="0" w:space="0" w:color="auto"/>
                      </w:divBdr>
                    </w:div>
                  </w:divsChild>
                </w:div>
                <w:div w:id="44572490">
                  <w:marLeft w:val="0"/>
                  <w:marRight w:val="0"/>
                  <w:marTop w:val="0"/>
                  <w:marBottom w:val="0"/>
                  <w:divBdr>
                    <w:top w:val="none" w:sz="0" w:space="0" w:color="auto"/>
                    <w:left w:val="none" w:sz="0" w:space="0" w:color="auto"/>
                    <w:bottom w:val="none" w:sz="0" w:space="0" w:color="auto"/>
                    <w:right w:val="none" w:sz="0" w:space="0" w:color="auto"/>
                  </w:divBdr>
                  <w:divsChild>
                    <w:div w:id="1933665103">
                      <w:marLeft w:val="0"/>
                      <w:marRight w:val="0"/>
                      <w:marTop w:val="0"/>
                      <w:marBottom w:val="0"/>
                      <w:divBdr>
                        <w:top w:val="none" w:sz="0" w:space="0" w:color="auto"/>
                        <w:left w:val="none" w:sz="0" w:space="0" w:color="auto"/>
                        <w:bottom w:val="none" w:sz="0" w:space="0" w:color="auto"/>
                        <w:right w:val="none" w:sz="0" w:space="0" w:color="auto"/>
                      </w:divBdr>
                    </w:div>
                  </w:divsChild>
                </w:div>
                <w:div w:id="55279268">
                  <w:marLeft w:val="0"/>
                  <w:marRight w:val="0"/>
                  <w:marTop w:val="0"/>
                  <w:marBottom w:val="0"/>
                  <w:divBdr>
                    <w:top w:val="none" w:sz="0" w:space="0" w:color="auto"/>
                    <w:left w:val="none" w:sz="0" w:space="0" w:color="auto"/>
                    <w:bottom w:val="none" w:sz="0" w:space="0" w:color="auto"/>
                    <w:right w:val="none" w:sz="0" w:space="0" w:color="auto"/>
                  </w:divBdr>
                  <w:divsChild>
                    <w:div w:id="1682854497">
                      <w:marLeft w:val="0"/>
                      <w:marRight w:val="0"/>
                      <w:marTop w:val="0"/>
                      <w:marBottom w:val="0"/>
                      <w:divBdr>
                        <w:top w:val="none" w:sz="0" w:space="0" w:color="auto"/>
                        <w:left w:val="none" w:sz="0" w:space="0" w:color="auto"/>
                        <w:bottom w:val="none" w:sz="0" w:space="0" w:color="auto"/>
                        <w:right w:val="none" w:sz="0" w:space="0" w:color="auto"/>
                      </w:divBdr>
                    </w:div>
                  </w:divsChild>
                </w:div>
                <w:div w:id="58673812">
                  <w:marLeft w:val="0"/>
                  <w:marRight w:val="0"/>
                  <w:marTop w:val="0"/>
                  <w:marBottom w:val="0"/>
                  <w:divBdr>
                    <w:top w:val="none" w:sz="0" w:space="0" w:color="auto"/>
                    <w:left w:val="none" w:sz="0" w:space="0" w:color="auto"/>
                    <w:bottom w:val="none" w:sz="0" w:space="0" w:color="auto"/>
                    <w:right w:val="none" w:sz="0" w:space="0" w:color="auto"/>
                  </w:divBdr>
                  <w:divsChild>
                    <w:div w:id="127629207">
                      <w:marLeft w:val="0"/>
                      <w:marRight w:val="0"/>
                      <w:marTop w:val="0"/>
                      <w:marBottom w:val="0"/>
                      <w:divBdr>
                        <w:top w:val="none" w:sz="0" w:space="0" w:color="auto"/>
                        <w:left w:val="none" w:sz="0" w:space="0" w:color="auto"/>
                        <w:bottom w:val="none" w:sz="0" w:space="0" w:color="auto"/>
                        <w:right w:val="none" w:sz="0" w:space="0" w:color="auto"/>
                      </w:divBdr>
                    </w:div>
                  </w:divsChild>
                </w:div>
                <w:div w:id="71051320">
                  <w:marLeft w:val="0"/>
                  <w:marRight w:val="0"/>
                  <w:marTop w:val="0"/>
                  <w:marBottom w:val="0"/>
                  <w:divBdr>
                    <w:top w:val="none" w:sz="0" w:space="0" w:color="auto"/>
                    <w:left w:val="none" w:sz="0" w:space="0" w:color="auto"/>
                    <w:bottom w:val="none" w:sz="0" w:space="0" w:color="auto"/>
                    <w:right w:val="none" w:sz="0" w:space="0" w:color="auto"/>
                  </w:divBdr>
                  <w:divsChild>
                    <w:div w:id="1025522015">
                      <w:marLeft w:val="0"/>
                      <w:marRight w:val="0"/>
                      <w:marTop w:val="0"/>
                      <w:marBottom w:val="0"/>
                      <w:divBdr>
                        <w:top w:val="none" w:sz="0" w:space="0" w:color="auto"/>
                        <w:left w:val="none" w:sz="0" w:space="0" w:color="auto"/>
                        <w:bottom w:val="none" w:sz="0" w:space="0" w:color="auto"/>
                        <w:right w:val="none" w:sz="0" w:space="0" w:color="auto"/>
                      </w:divBdr>
                    </w:div>
                  </w:divsChild>
                </w:div>
                <w:div w:id="71125536">
                  <w:marLeft w:val="0"/>
                  <w:marRight w:val="0"/>
                  <w:marTop w:val="0"/>
                  <w:marBottom w:val="0"/>
                  <w:divBdr>
                    <w:top w:val="none" w:sz="0" w:space="0" w:color="auto"/>
                    <w:left w:val="none" w:sz="0" w:space="0" w:color="auto"/>
                    <w:bottom w:val="none" w:sz="0" w:space="0" w:color="auto"/>
                    <w:right w:val="none" w:sz="0" w:space="0" w:color="auto"/>
                  </w:divBdr>
                  <w:divsChild>
                    <w:div w:id="1896236807">
                      <w:marLeft w:val="0"/>
                      <w:marRight w:val="0"/>
                      <w:marTop w:val="0"/>
                      <w:marBottom w:val="0"/>
                      <w:divBdr>
                        <w:top w:val="none" w:sz="0" w:space="0" w:color="auto"/>
                        <w:left w:val="none" w:sz="0" w:space="0" w:color="auto"/>
                        <w:bottom w:val="none" w:sz="0" w:space="0" w:color="auto"/>
                        <w:right w:val="none" w:sz="0" w:space="0" w:color="auto"/>
                      </w:divBdr>
                    </w:div>
                  </w:divsChild>
                </w:div>
                <w:div w:id="71895557">
                  <w:marLeft w:val="0"/>
                  <w:marRight w:val="0"/>
                  <w:marTop w:val="0"/>
                  <w:marBottom w:val="0"/>
                  <w:divBdr>
                    <w:top w:val="none" w:sz="0" w:space="0" w:color="auto"/>
                    <w:left w:val="none" w:sz="0" w:space="0" w:color="auto"/>
                    <w:bottom w:val="none" w:sz="0" w:space="0" w:color="auto"/>
                    <w:right w:val="none" w:sz="0" w:space="0" w:color="auto"/>
                  </w:divBdr>
                  <w:divsChild>
                    <w:div w:id="1439988995">
                      <w:marLeft w:val="0"/>
                      <w:marRight w:val="0"/>
                      <w:marTop w:val="0"/>
                      <w:marBottom w:val="0"/>
                      <w:divBdr>
                        <w:top w:val="none" w:sz="0" w:space="0" w:color="auto"/>
                        <w:left w:val="none" w:sz="0" w:space="0" w:color="auto"/>
                        <w:bottom w:val="none" w:sz="0" w:space="0" w:color="auto"/>
                        <w:right w:val="none" w:sz="0" w:space="0" w:color="auto"/>
                      </w:divBdr>
                    </w:div>
                  </w:divsChild>
                </w:div>
                <w:div w:id="74130291">
                  <w:marLeft w:val="0"/>
                  <w:marRight w:val="0"/>
                  <w:marTop w:val="0"/>
                  <w:marBottom w:val="0"/>
                  <w:divBdr>
                    <w:top w:val="none" w:sz="0" w:space="0" w:color="auto"/>
                    <w:left w:val="none" w:sz="0" w:space="0" w:color="auto"/>
                    <w:bottom w:val="none" w:sz="0" w:space="0" w:color="auto"/>
                    <w:right w:val="none" w:sz="0" w:space="0" w:color="auto"/>
                  </w:divBdr>
                  <w:divsChild>
                    <w:div w:id="1324624242">
                      <w:marLeft w:val="0"/>
                      <w:marRight w:val="0"/>
                      <w:marTop w:val="0"/>
                      <w:marBottom w:val="0"/>
                      <w:divBdr>
                        <w:top w:val="none" w:sz="0" w:space="0" w:color="auto"/>
                        <w:left w:val="none" w:sz="0" w:space="0" w:color="auto"/>
                        <w:bottom w:val="none" w:sz="0" w:space="0" w:color="auto"/>
                        <w:right w:val="none" w:sz="0" w:space="0" w:color="auto"/>
                      </w:divBdr>
                    </w:div>
                  </w:divsChild>
                </w:div>
                <w:div w:id="81489462">
                  <w:marLeft w:val="0"/>
                  <w:marRight w:val="0"/>
                  <w:marTop w:val="0"/>
                  <w:marBottom w:val="0"/>
                  <w:divBdr>
                    <w:top w:val="none" w:sz="0" w:space="0" w:color="auto"/>
                    <w:left w:val="none" w:sz="0" w:space="0" w:color="auto"/>
                    <w:bottom w:val="none" w:sz="0" w:space="0" w:color="auto"/>
                    <w:right w:val="none" w:sz="0" w:space="0" w:color="auto"/>
                  </w:divBdr>
                  <w:divsChild>
                    <w:div w:id="1782648259">
                      <w:marLeft w:val="0"/>
                      <w:marRight w:val="0"/>
                      <w:marTop w:val="0"/>
                      <w:marBottom w:val="0"/>
                      <w:divBdr>
                        <w:top w:val="none" w:sz="0" w:space="0" w:color="auto"/>
                        <w:left w:val="none" w:sz="0" w:space="0" w:color="auto"/>
                        <w:bottom w:val="none" w:sz="0" w:space="0" w:color="auto"/>
                        <w:right w:val="none" w:sz="0" w:space="0" w:color="auto"/>
                      </w:divBdr>
                    </w:div>
                  </w:divsChild>
                </w:div>
                <w:div w:id="84693188">
                  <w:marLeft w:val="0"/>
                  <w:marRight w:val="0"/>
                  <w:marTop w:val="0"/>
                  <w:marBottom w:val="0"/>
                  <w:divBdr>
                    <w:top w:val="none" w:sz="0" w:space="0" w:color="auto"/>
                    <w:left w:val="none" w:sz="0" w:space="0" w:color="auto"/>
                    <w:bottom w:val="none" w:sz="0" w:space="0" w:color="auto"/>
                    <w:right w:val="none" w:sz="0" w:space="0" w:color="auto"/>
                  </w:divBdr>
                  <w:divsChild>
                    <w:div w:id="868228131">
                      <w:marLeft w:val="0"/>
                      <w:marRight w:val="0"/>
                      <w:marTop w:val="0"/>
                      <w:marBottom w:val="0"/>
                      <w:divBdr>
                        <w:top w:val="none" w:sz="0" w:space="0" w:color="auto"/>
                        <w:left w:val="none" w:sz="0" w:space="0" w:color="auto"/>
                        <w:bottom w:val="none" w:sz="0" w:space="0" w:color="auto"/>
                        <w:right w:val="none" w:sz="0" w:space="0" w:color="auto"/>
                      </w:divBdr>
                    </w:div>
                  </w:divsChild>
                </w:div>
                <w:div w:id="86776475">
                  <w:marLeft w:val="0"/>
                  <w:marRight w:val="0"/>
                  <w:marTop w:val="0"/>
                  <w:marBottom w:val="0"/>
                  <w:divBdr>
                    <w:top w:val="none" w:sz="0" w:space="0" w:color="auto"/>
                    <w:left w:val="none" w:sz="0" w:space="0" w:color="auto"/>
                    <w:bottom w:val="none" w:sz="0" w:space="0" w:color="auto"/>
                    <w:right w:val="none" w:sz="0" w:space="0" w:color="auto"/>
                  </w:divBdr>
                  <w:divsChild>
                    <w:div w:id="1584602931">
                      <w:marLeft w:val="0"/>
                      <w:marRight w:val="0"/>
                      <w:marTop w:val="0"/>
                      <w:marBottom w:val="0"/>
                      <w:divBdr>
                        <w:top w:val="none" w:sz="0" w:space="0" w:color="auto"/>
                        <w:left w:val="none" w:sz="0" w:space="0" w:color="auto"/>
                        <w:bottom w:val="none" w:sz="0" w:space="0" w:color="auto"/>
                        <w:right w:val="none" w:sz="0" w:space="0" w:color="auto"/>
                      </w:divBdr>
                    </w:div>
                  </w:divsChild>
                </w:div>
                <w:div w:id="90007801">
                  <w:marLeft w:val="0"/>
                  <w:marRight w:val="0"/>
                  <w:marTop w:val="0"/>
                  <w:marBottom w:val="0"/>
                  <w:divBdr>
                    <w:top w:val="none" w:sz="0" w:space="0" w:color="auto"/>
                    <w:left w:val="none" w:sz="0" w:space="0" w:color="auto"/>
                    <w:bottom w:val="none" w:sz="0" w:space="0" w:color="auto"/>
                    <w:right w:val="none" w:sz="0" w:space="0" w:color="auto"/>
                  </w:divBdr>
                  <w:divsChild>
                    <w:div w:id="1985088072">
                      <w:marLeft w:val="0"/>
                      <w:marRight w:val="0"/>
                      <w:marTop w:val="0"/>
                      <w:marBottom w:val="0"/>
                      <w:divBdr>
                        <w:top w:val="none" w:sz="0" w:space="0" w:color="auto"/>
                        <w:left w:val="none" w:sz="0" w:space="0" w:color="auto"/>
                        <w:bottom w:val="none" w:sz="0" w:space="0" w:color="auto"/>
                        <w:right w:val="none" w:sz="0" w:space="0" w:color="auto"/>
                      </w:divBdr>
                    </w:div>
                  </w:divsChild>
                </w:div>
                <w:div w:id="95756880">
                  <w:marLeft w:val="0"/>
                  <w:marRight w:val="0"/>
                  <w:marTop w:val="0"/>
                  <w:marBottom w:val="0"/>
                  <w:divBdr>
                    <w:top w:val="none" w:sz="0" w:space="0" w:color="auto"/>
                    <w:left w:val="none" w:sz="0" w:space="0" w:color="auto"/>
                    <w:bottom w:val="none" w:sz="0" w:space="0" w:color="auto"/>
                    <w:right w:val="none" w:sz="0" w:space="0" w:color="auto"/>
                  </w:divBdr>
                  <w:divsChild>
                    <w:div w:id="306084536">
                      <w:marLeft w:val="0"/>
                      <w:marRight w:val="0"/>
                      <w:marTop w:val="0"/>
                      <w:marBottom w:val="0"/>
                      <w:divBdr>
                        <w:top w:val="none" w:sz="0" w:space="0" w:color="auto"/>
                        <w:left w:val="none" w:sz="0" w:space="0" w:color="auto"/>
                        <w:bottom w:val="none" w:sz="0" w:space="0" w:color="auto"/>
                        <w:right w:val="none" w:sz="0" w:space="0" w:color="auto"/>
                      </w:divBdr>
                    </w:div>
                  </w:divsChild>
                </w:div>
                <w:div w:id="109009023">
                  <w:marLeft w:val="0"/>
                  <w:marRight w:val="0"/>
                  <w:marTop w:val="0"/>
                  <w:marBottom w:val="0"/>
                  <w:divBdr>
                    <w:top w:val="none" w:sz="0" w:space="0" w:color="auto"/>
                    <w:left w:val="none" w:sz="0" w:space="0" w:color="auto"/>
                    <w:bottom w:val="none" w:sz="0" w:space="0" w:color="auto"/>
                    <w:right w:val="none" w:sz="0" w:space="0" w:color="auto"/>
                  </w:divBdr>
                  <w:divsChild>
                    <w:div w:id="983968998">
                      <w:marLeft w:val="0"/>
                      <w:marRight w:val="0"/>
                      <w:marTop w:val="0"/>
                      <w:marBottom w:val="0"/>
                      <w:divBdr>
                        <w:top w:val="none" w:sz="0" w:space="0" w:color="auto"/>
                        <w:left w:val="none" w:sz="0" w:space="0" w:color="auto"/>
                        <w:bottom w:val="none" w:sz="0" w:space="0" w:color="auto"/>
                        <w:right w:val="none" w:sz="0" w:space="0" w:color="auto"/>
                      </w:divBdr>
                    </w:div>
                  </w:divsChild>
                </w:div>
                <w:div w:id="111746964">
                  <w:marLeft w:val="0"/>
                  <w:marRight w:val="0"/>
                  <w:marTop w:val="0"/>
                  <w:marBottom w:val="0"/>
                  <w:divBdr>
                    <w:top w:val="none" w:sz="0" w:space="0" w:color="auto"/>
                    <w:left w:val="none" w:sz="0" w:space="0" w:color="auto"/>
                    <w:bottom w:val="none" w:sz="0" w:space="0" w:color="auto"/>
                    <w:right w:val="none" w:sz="0" w:space="0" w:color="auto"/>
                  </w:divBdr>
                  <w:divsChild>
                    <w:div w:id="94205280">
                      <w:marLeft w:val="0"/>
                      <w:marRight w:val="0"/>
                      <w:marTop w:val="0"/>
                      <w:marBottom w:val="0"/>
                      <w:divBdr>
                        <w:top w:val="none" w:sz="0" w:space="0" w:color="auto"/>
                        <w:left w:val="none" w:sz="0" w:space="0" w:color="auto"/>
                        <w:bottom w:val="none" w:sz="0" w:space="0" w:color="auto"/>
                        <w:right w:val="none" w:sz="0" w:space="0" w:color="auto"/>
                      </w:divBdr>
                    </w:div>
                  </w:divsChild>
                </w:div>
                <w:div w:id="117070725">
                  <w:marLeft w:val="0"/>
                  <w:marRight w:val="0"/>
                  <w:marTop w:val="0"/>
                  <w:marBottom w:val="0"/>
                  <w:divBdr>
                    <w:top w:val="none" w:sz="0" w:space="0" w:color="auto"/>
                    <w:left w:val="none" w:sz="0" w:space="0" w:color="auto"/>
                    <w:bottom w:val="none" w:sz="0" w:space="0" w:color="auto"/>
                    <w:right w:val="none" w:sz="0" w:space="0" w:color="auto"/>
                  </w:divBdr>
                  <w:divsChild>
                    <w:div w:id="786703736">
                      <w:marLeft w:val="0"/>
                      <w:marRight w:val="0"/>
                      <w:marTop w:val="0"/>
                      <w:marBottom w:val="0"/>
                      <w:divBdr>
                        <w:top w:val="none" w:sz="0" w:space="0" w:color="auto"/>
                        <w:left w:val="none" w:sz="0" w:space="0" w:color="auto"/>
                        <w:bottom w:val="none" w:sz="0" w:space="0" w:color="auto"/>
                        <w:right w:val="none" w:sz="0" w:space="0" w:color="auto"/>
                      </w:divBdr>
                    </w:div>
                  </w:divsChild>
                </w:div>
                <w:div w:id="123430962">
                  <w:marLeft w:val="0"/>
                  <w:marRight w:val="0"/>
                  <w:marTop w:val="0"/>
                  <w:marBottom w:val="0"/>
                  <w:divBdr>
                    <w:top w:val="none" w:sz="0" w:space="0" w:color="auto"/>
                    <w:left w:val="none" w:sz="0" w:space="0" w:color="auto"/>
                    <w:bottom w:val="none" w:sz="0" w:space="0" w:color="auto"/>
                    <w:right w:val="none" w:sz="0" w:space="0" w:color="auto"/>
                  </w:divBdr>
                  <w:divsChild>
                    <w:div w:id="1266574373">
                      <w:marLeft w:val="0"/>
                      <w:marRight w:val="0"/>
                      <w:marTop w:val="0"/>
                      <w:marBottom w:val="0"/>
                      <w:divBdr>
                        <w:top w:val="none" w:sz="0" w:space="0" w:color="auto"/>
                        <w:left w:val="none" w:sz="0" w:space="0" w:color="auto"/>
                        <w:bottom w:val="none" w:sz="0" w:space="0" w:color="auto"/>
                        <w:right w:val="none" w:sz="0" w:space="0" w:color="auto"/>
                      </w:divBdr>
                    </w:div>
                  </w:divsChild>
                </w:div>
                <w:div w:id="151260716">
                  <w:marLeft w:val="0"/>
                  <w:marRight w:val="0"/>
                  <w:marTop w:val="0"/>
                  <w:marBottom w:val="0"/>
                  <w:divBdr>
                    <w:top w:val="none" w:sz="0" w:space="0" w:color="auto"/>
                    <w:left w:val="none" w:sz="0" w:space="0" w:color="auto"/>
                    <w:bottom w:val="none" w:sz="0" w:space="0" w:color="auto"/>
                    <w:right w:val="none" w:sz="0" w:space="0" w:color="auto"/>
                  </w:divBdr>
                  <w:divsChild>
                    <w:div w:id="769086383">
                      <w:marLeft w:val="0"/>
                      <w:marRight w:val="0"/>
                      <w:marTop w:val="0"/>
                      <w:marBottom w:val="0"/>
                      <w:divBdr>
                        <w:top w:val="none" w:sz="0" w:space="0" w:color="auto"/>
                        <w:left w:val="none" w:sz="0" w:space="0" w:color="auto"/>
                        <w:bottom w:val="none" w:sz="0" w:space="0" w:color="auto"/>
                        <w:right w:val="none" w:sz="0" w:space="0" w:color="auto"/>
                      </w:divBdr>
                    </w:div>
                  </w:divsChild>
                </w:div>
                <w:div w:id="152915210">
                  <w:marLeft w:val="0"/>
                  <w:marRight w:val="0"/>
                  <w:marTop w:val="0"/>
                  <w:marBottom w:val="0"/>
                  <w:divBdr>
                    <w:top w:val="none" w:sz="0" w:space="0" w:color="auto"/>
                    <w:left w:val="none" w:sz="0" w:space="0" w:color="auto"/>
                    <w:bottom w:val="none" w:sz="0" w:space="0" w:color="auto"/>
                    <w:right w:val="none" w:sz="0" w:space="0" w:color="auto"/>
                  </w:divBdr>
                  <w:divsChild>
                    <w:div w:id="190732755">
                      <w:marLeft w:val="0"/>
                      <w:marRight w:val="0"/>
                      <w:marTop w:val="0"/>
                      <w:marBottom w:val="0"/>
                      <w:divBdr>
                        <w:top w:val="none" w:sz="0" w:space="0" w:color="auto"/>
                        <w:left w:val="none" w:sz="0" w:space="0" w:color="auto"/>
                        <w:bottom w:val="none" w:sz="0" w:space="0" w:color="auto"/>
                        <w:right w:val="none" w:sz="0" w:space="0" w:color="auto"/>
                      </w:divBdr>
                    </w:div>
                  </w:divsChild>
                </w:div>
                <w:div w:id="157157280">
                  <w:marLeft w:val="0"/>
                  <w:marRight w:val="0"/>
                  <w:marTop w:val="0"/>
                  <w:marBottom w:val="0"/>
                  <w:divBdr>
                    <w:top w:val="none" w:sz="0" w:space="0" w:color="auto"/>
                    <w:left w:val="none" w:sz="0" w:space="0" w:color="auto"/>
                    <w:bottom w:val="none" w:sz="0" w:space="0" w:color="auto"/>
                    <w:right w:val="none" w:sz="0" w:space="0" w:color="auto"/>
                  </w:divBdr>
                  <w:divsChild>
                    <w:div w:id="866215753">
                      <w:marLeft w:val="0"/>
                      <w:marRight w:val="0"/>
                      <w:marTop w:val="0"/>
                      <w:marBottom w:val="0"/>
                      <w:divBdr>
                        <w:top w:val="none" w:sz="0" w:space="0" w:color="auto"/>
                        <w:left w:val="none" w:sz="0" w:space="0" w:color="auto"/>
                        <w:bottom w:val="none" w:sz="0" w:space="0" w:color="auto"/>
                        <w:right w:val="none" w:sz="0" w:space="0" w:color="auto"/>
                      </w:divBdr>
                    </w:div>
                  </w:divsChild>
                </w:div>
                <w:div w:id="168831599">
                  <w:marLeft w:val="0"/>
                  <w:marRight w:val="0"/>
                  <w:marTop w:val="0"/>
                  <w:marBottom w:val="0"/>
                  <w:divBdr>
                    <w:top w:val="none" w:sz="0" w:space="0" w:color="auto"/>
                    <w:left w:val="none" w:sz="0" w:space="0" w:color="auto"/>
                    <w:bottom w:val="none" w:sz="0" w:space="0" w:color="auto"/>
                    <w:right w:val="none" w:sz="0" w:space="0" w:color="auto"/>
                  </w:divBdr>
                  <w:divsChild>
                    <w:div w:id="887108195">
                      <w:marLeft w:val="0"/>
                      <w:marRight w:val="0"/>
                      <w:marTop w:val="0"/>
                      <w:marBottom w:val="0"/>
                      <w:divBdr>
                        <w:top w:val="none" w:sz="0" w:space="0" w:color="auto"/>
                        <w:left w:val="none" w:sz="0" w:space="0" w:color="auto"/>
                        <w:bottom w:val="none" w:sz="0" w:space="0" w:color="auto"/>
                        <w:right w:val="none" w:sz="0" w:space="0" w:color="auto"/>
                      </w:divBdr>
                    </w:div>
                  </w:divsChild>
                </w:div>
                <w:div w:id="176501022">
                  <w:marLeft w:val="0"/>
                  <w:marRight w:val="0"/>
                  <w:marTop w:val="0"/>
                  <w:marBottom w:val="0"/>
                  <w:divBdr>
                    <w:top w:val="none" w:sz="0" w:space="0" w:color="auto"/>
                    <w:left w:val="none" w:sz="0" w:space="0" w:color="auto"/>
                    <w:bottom w:val="none" w:sz="0" w:space="0" w:color="auto"/>
                    <w:right w:val="none" w:sz="0" w:space="0" w:color="auto"/>
                  </w:divBdr>
                  <w:divsChild>
                    <w:div w:id="2114813474">
                      <w:marLeft w:val="0"/>
                      <w:marRight w:val="0"/>
                      <w:marTop w:val="0"/>
                      <w:marBottom w:val="0"/>
                      <w:divBdr>
                        <w:top w:val="none" w:sz="0" w:space="0" w:color="auto"/>
                        <w:left w:val="none" w:sz="0" w:space="0" w:color="auto"/>
                        <w:bottom w:val="none" w:sz="0" w:space="0" w:color="auto"/>
                        <w:right w:val="none" w:sz="0" w:space="0" w:color="auto"/>
                      </w:divBdr>
                    </w:div>
                  </w:divsChild>
                </w:div>
                <w:div w:id="178156308">
                  <w:marLeft w:val="0"/>
                  <w:marRight w:val="0"/>
                  <w:marTop w:val="0"/>
                  <w:marBottom w:val="0"/>
                  <w:divBdr>
                    <w:top w:val="none" w:sz="0" w:space="0" w:color="auto"/>
                    <w:left w:val="none" w:sz="0" w:space="0" w:color="auto"/>
                    <w:bottom w:val="none" w:sz="0" w:space="0" w:color="auto"/>
                    <w:right w:val="none" w:sz="0" w:space="0" w:color="auto"/>
                  </w:divBdr>
                  <w:divsChild>
                    <w:div w:id="1689866833">
                      <w:marLeft w:val="0"/>
                      <w:marRight w:val="0"/>
                      <w:marTop w:val="0"/>
                      <w:marBottom w:val="0"/>
                      <w:divBdr>
                        <w:top w:val="none" w:sz="0" w:space="0" w:color="auto"/>
                        <w:left w:val="none" w:sz="0" w:space="0" w:color="auto"/>
                        <w:bottom w:val="none" w:sz="0" w:space="0" w:color="auto"/>
                        <w:right w:val="none" w:sz="0" w:space="0" w:color="auto"/>
                      </w:divBdr>
                    </w:div>
                  </w:divsChild>
                </w:div>
                <w:div w:id="182324568">
                  <w:marLeft w:val="0"/>
                  <w:marRight w:val="0"/>
                  <w:marTop w:val="0"/>
                  <w:marBottom w:val="0"/>
                  <w:divBdr>
                    <w:top w:val="none" w:sz="0" w:space="0" w:color="auto"/>
                    <w:left w:val="none" w:sz="0" w:space="0" w:color="auto"/>
                    <w:bottom w:val="none" w:sz="0" w:space="0" w:color="auto"/>
                    <w:right w:val="none" w:sz="0" w:space="0" w:color="auto"/>
                  </w:divBdr>
                  <w:divsChild>
                    <w:div w:id="1743403876">
                      <w:marLeft w:val="0"/>
                      <w:marRight w:val="0"/>
                      <w:marTop w:val="0"/>
                      <w:marBottom w:val="0"/>
                      <w:divBdr>
                        <w:top w:val="none" w:sz="0" w:space="0" w:color="auto"/>
                        <w:left w:val="none" w:sz="0" w:space="0" w:color="auto"/>
                        <w:bottom w:val="none" w:sz="0" w:space="0" w:color="auto"/>
                        <w:right w:val="none" w:sz="0" w:space="0" w:color="auto"/>
                      </w:divBdr>
                    </w:div>
                  </w:divsChild>
                </w:div>
                <w:div w:id="202451252">
                  <w:marLeft w:val="0"/>
                  <w:marRight w:val="0"/>
                  <w:marTop w:val="0"/>
                  <w:marBottom w:val="0"/>
                  <w:divBdr>
                    <w:top w:val="none" w:sz="0" w:space="0" w:color="auto"/>
                    <w:left w:val="none" w:sz="0" w:space="0" w:color="auto"/>
                    <w:bottom w:val="none" w:sz="0" w:space="0" w:color="auto"/>
                    <w:right w:val="none" w:sz="0" w:space="0" w:color="auto"/>
                  </w:divBdr>
                  <w:divsChild>
                    <w:div w:id="1888954394">
                      <w:marLeft w:val="0"/>
                      <w:marRight w:val="0"/>
                      <w:marTop w:val="0"/>
                      <w:marBottom w:val="0"/>
                      <w:divBdr>
                        <w:top w:val="none" w:sz="0" w:space="0" w:color="auto"/>
                        <w:left w:val="none" w:sz="0" w:space="0" w:color="auto"/>
                        <w:bottom w:val="none" w:sz="0" w:space="0" w:color="auto"/>
                        <w:right w:val="none" w:sz="0" w:space="0" w:color="auto"/>
                      </w:divBdr>
                    </w:div>
                  </w:divsChild>
                </w:div>
                <w:div w:id="204759468">
                  <w:marLeft w:val="0"/>
                  <w:marRight w:val="0"/>
                  <w:marTop w:val="0"/>
                  <w:marBottom w:val="0"/>
                  <w:divBdr>
                    <w:top w:val="none" w:sz="0" w:space="0" w:color="auto"/>
                    <w:left w:val="none" w:sz="0" w:space="0" w:color="auto"/>
                    <w:bottom w:val="none" w:sz="0" w:space="0" w:color="auto"/>
                    <w:right w:val="none" w:sz="0" w:space="0" w:color="auto"/>
                  </w:divBdr>
                  <w:divsChild>
                    <w:div w:id="1134064301">
                      <w:marLeft w:val="0"/>
                      <w:marRight w:val="0"/>
                      <w:marTop w:val="0"/>
                      <w:marBottom w:val="0"/>
                      <w:divBdr>
                        <w:top w:val="none" w:sz="0" w:space="0" w:color="auto"/>
                        <w:left w:val="none" w:sz="0" w:space="0" w:color="auto"/>
                        <w:bottom w:val="none" w:sz="0" w:space="0" w:color="auto"/>
                        <w:right w:val="none" w:sz="0" w:space="0" w:color="auto"/>
                      </w:divBdr>
                    </w:div>
                  </w:divsChild>
                </w:div>
                <w:div w:id="210652433">
                  <w:marLeft w:val="0"/>
                  <w:marRight w:val="0"/>
                  <w:marTop w:val="0"/>
                  <w:marBottom w:val="0"/>
                  <w:divBdr>
                    <w:top w:val="none" w:sz="0" w:space="0" w:color="auto"/>
                    <w:left w:val="none" w:sz="0" w:space="0" w:color="auto"/>
                    <w:bottom w:val="none" w:sz="0" w:space="0" w:color="auto"/>
                    <w:right w:val="none" w:sz="0" w:space="0" w:color="auto"/>
                  </w:divBdr>
                  <w:divsChild>
                    <w:div w:id="1007907308">
                      <w:marLeft w:val="0"/>
                      <w:marRight w:val="0"/>
                      <w:marTop w:val="0"/>
                      <w:marBottom w:val="0"/>
                      <w:divBdr>
                        <w:top w:val="none" w:sz="0" w:space="0" w:color="auto"/>
                        <w:left w:val="none" w:sz="0" w:space="0" w:color="auto"/>
                        <w:bottom w:val="none" w:sz="0" w:space="0" w:color="auto"/>
                        <w:right w:val="none" w:sz="0" w:space="0" w:color="auto"/>
                      </w:divBdr>
                    </w:div>
                  </w:divsChild>
                </w:div>
                <w:div w:id="223026464">
                  <w:marLeft w:val="0"/>
                  <w:marRight w:val="0"/>
                  <w:marTop w:val="0"/>
                  <w:marBottom w:val="0"/>
                  <w:divBdr>
                    <w:top w:val="none" w:sz="0" w:space="0" w:color="auto"/>
                    <w:left w:val="none" w:sz="0" w:space="0" w:color="auto"/>
                    <w:bottom w:val="none" w:sz="0" w:space="0" w:color="auto"/>
                    <w:right w:val="none" w:sz="0" w:space="0" w:color="auto"/>
                  </w:divBdr>
                  <w:divsChild>
                    <w:div w:id="1309284748">
                      <w:marLeft w:val="0"/>
                      <w:marRight w:val="0"/>
                      <w:marTop w:val="0"/>
                      <w:marBottom w:val="0"/>
                      <w:divBdr>
                        <w:top w:val="none" w:sz="0" w:space="0" w:color="auto"/>
                        <w:left w:val="none" w:sz="0" w:space="0" w:color="auto"/>
                        <w:bottom w:val="none" w:sz="0" w:space="0" w:color="auto"/>
                        <w:right w:val="none" w:sz="0" w:space="0" w:color="auto"/>
                      </w:divBdr>
                    </w:div>
                  </w:divsChild>
                </w:div>
                <w:div w:id="224413774">
                  <w:marLeft w:val="0"/>
                  <w:marRight w:val="0"/>
                  <w:marTop w:val="0"/>
                  <w:marBottom w:val="0"/>
                  <w:divBdr>
                    <w:top w:val="none" w:sz="0" w:space="0" w:color="auto"/>
                    <w:left w:val="none" w:sz="0" w:space="0" w:color="auto"/>
                    <w:bottom w:val="none" w:sz="0" w:space="0" w:color="auto"/>
                    <w:right w:val="none" w:sz="0" w:space="0" w:color="auto"/>
                  </w:divBdr>
                  <w:divsChild>
                    <w:div w:id="1520004744">
                      <w:marLeft w:val="0"/>
                      <w:marRight w:val="0"/>
                      <w:marTop w:val="0"/>
                      <w:marBottom w:val="0"/>
                      <w:divBdr>
                        <w:top w:val="none" w:sz="0" w:space="0" w:color="auto"/>
                        <w:left w:val="none" w:sz="0" w:space="0" w:color="auto"/>
                        <w:bottom w:val="none" w:sz="0" w:space="0" w:color="auto"/>
                        <w:right w:val="none" w:sz="0" w:space="0" w:color="auto"/>
                      </w:divBdr>
                    </w:div>
                  </w:divsChild>
                </w:div>
                <w:div w:id="229850158">
                  <w:marLeft w:val="0"/>
                  <w:marRight w:val="0"/>
                  <w:marTop w:val="0"/>
                  <w:marBottom w:val="0"/>
                  <w:divBdr>
                    <w:top w:val="none" w:sz="0" w:space="0" w:color="auto"/>
                    <w:left w:val="none" w:sz="0" w:space="0" w:color="auto"/>
                    <w:bottom w:val="none" w:sz="0" w:space="0" w:color="auto"/>
                    <w:right w:val="none" w:sz="0" w:space="0" w:color="auto"/>
                  </w:divBdr>
                  <w:divsChild>
                    <w:div w:id="1757827522">
                      <w:marLeft w:val="0"/>
                      <w:marRight w:val="0"/>
                      <w:marTop w:val="0"/>
                      <w:marBottom w:val="0"/>
                      <w:divBdr>
                        <w:top w:val="none" w:sz="0" w:space="0" w:color="auto"/>
                        <w:left w:val="none" w:sz="0" w:space="0" w:color="auto"/>
                        <w:bottom w:val="none" w:sz="0" w:space="0" w:color="auto"/>
                        <w:right w:val="none" w:sz="0" w:space="0" w:color="auto"/>
                      </w:divBdr>
                    </w:div>
                  </w:divsChild>
                </w:div>
                <w:div w:id="244536856">
                  <w:marLeft w:val="0"/>
                  <w:marRight w:val="0"/>
                  <w:marTop w:val="0"/>
                  <w:marBottom w:val="0"/>
                  <w:divBdr>
                    <w:top w:val="none" w:sz="0" w:space="0" w:color="auto"/>
                    <w:left w:val="none" w:sz="0" w:space="0" w:color="auto"/>
                    <w:bottom w:val="none" w:sz="0" w:space="0" w:color="auto"/>
                    <w:right w:val="none" w:sz="0" w:space="0" w:color="auto"/>
                  </w:divBdr>
                  <w:divsChild>
                    <w:div w:id="1356149187">
                      <w:marLeft w:val="0"/>
                      <w:marRight w:val="0"/>
                      <w:marTop w:val="0"/>
                      <w:marBottom w:val="0"/>
                      <w:divBdr>
                        <w:top w:val="none" w:sz="0" w:space="0" w:color="auto"/>
                        <w:left w:val="none" w:sz="0" w:space="0" w:color="auto"/>
                        <w:bottom w:val="none" w:sz="0" w:space="0" w:color="auto"/>
                        <w:right w:val="none" w:sz="0" w:space="0" w:color="auto"/>
                      </w:divBdr>
                    </w:div>
                  </w:divsChild>
                </w:div>
                <w:div w:id="252981584">
                  <w:marLeft w:val="0"/>
                  <w:marRight w:val="0"/>
                  <w:marTop w:val="0"/>
                  <w:marBottom w:val="0"/>
                  <w:divBdr>
                    <w:top w:val="none" w:sz="0" w:space="0" w:color="auto"/>
                    <w:left w:val="none" w:sz="0" w:space="0" w:color="auto"/>
                    <w:bottom w:val="none" w:sz="0" w:space="0" w:color="auto"/>
                    <w:right w:val="none" w:sz="0" w:space="0" w:color="auto"/>
                  </w:divBdr>
                  <w:divsChild>
                    <w:div w:id="201673477">
                      <w:marLeft w:val="0"/>
                      <w:marRight w:val="0"/>
                      <w:marTop w:val="0"/>
                      <w:marBottom w:val="0"/>
                      <w:divBdr>
                        <w:top w:val="none" w:sz="0" w:space="0" w:color="auto"/>
                        <w:left w:val="none" w:sz="0" w:space="0" w:color="auto"/>
                        <w:bottom w:val="none" w:sz="0" w:space="0" w:color="auto"/>
                        <w:right w:val="none" w:sz="0" w:space="0" w:color="auto"/>
                      </w:divBdr>
                    </w:div>
                  </w:divsChild>
                </w:div>
                <w:div w:id="256792130">
                  <w:marLeft w:val="0"/>
                  <w:marRight w:val="0"/>
                  <w:marTop w:val="0"/>
                  <w:marBottom w:val="0"/>
                  <w:divBdr>
                    <w:top w:val="none" w:sz="0" w:space="0" w:color="auto"/>
                    <w:left w:val="none" w:sz="0" w:space="0" w:color="auto"/>
                    <w:bottom w:val="none" w:sz="0" w:space="0" w:color="auto"/>
                    <w:right w:val="none" w:sz="0" w:space="0" w:color="auto"/>
                  </w:divBdr>
                  <w:divsChild>
                    <w:div w:id="642468332">
                      <w:marLeft w:val="0"/>
                      <w:marRight w:val="0"/>
                      <w:marTop w:val="0"/>
                      <w:marBottom w:val="0"/>
                      <w:divBdr>
                        <w:top w:val="none" w:sz="0" w:space="0" w:color="auto"/>
                        <w:left w:val="none" w:sz="0" w:space="0" w:color="auto"/>
                        <w:bottom w:val="none" w:sz="0" w:space="0" w:color="auto"/>
                        <w:right w:val="none" w:sz="0" w:space="0" w:color="auto"/>
                      </w:divBdr>
                    </w:div>
                  </w:divsChild>
                </w:div>
                <w:div w:id="277298879">
                  <w:marLeft w:val="0"/>
                  <w:marRight w:val="0"/>
                  <w:marTop w:val="0"/>
                  <w:marBottom w:val="0"/>
                  <w:divBdr>
                    <w:top w:val="none" w:sz="0" w:space="0" w:color="auto"/>
                    <w:left w:val="none" w:sz="0" w:space="0" w:color="auto"/>
                    <w:bottom w:val="none" w:sz="0" w:space="0" w:color="auto"/>
                    <w:right w:val="none" w:sz="0" w:space="0" w:color="auto"/>
                  </w:divBdr>
                  <w:divsChild>
                    <w:div w:id="558249521">
                      <w:marLeft w:val="0"/>
                      <w:marRight w:val="0"/>
                      <w:marTop w:val="0"/>
                      <w:marBottom w:val="0"/>
                      <w:divBdr>
                        <w:top w:val="none" w:sz="0" w:space="0" w:color="auto"/>
                        <w:left w:val="none" w:sz="0" w:space="0" w:color="auto"/>
                        <w:bottom w:val="none" w:sz="0" w:space="0" w:color="auto"/>
                        <w:right w:val="none" w:sz="0" w:space="0" w:color="auto"/>
                      </w:divBdr>
                    </w:div>
                  </w:divsChild>
                </w:div>
                <w:div w:id="277371037">
                  <w:marLeft w:val="0"/>
                  <w:marRight w:val="0"/>
                  <w:marTop w:val="0"/>
                  <w:marBottom w:val="0"/>
                  <w:divBdr>
                    <w:top w:val="none" w:sz="0" w:space="0" w:color="auto"/>
                    <w:left w:val="none" w:sz="0" w:space="0" w:color="auto"/>
                    <w:bottom w:val="none" w:sz="0" w:space="0" w:color="auto"/>
                    <w:right w:val="none" w:sz="0" w:space="0" w:color="auto"/>
                  </w:divBdr>
                  <w:divsChild>
                    <w:div w:id="870605304">
                      <w:marLeft w:val="0"/>
                      <w:marRight w:val="0"/>
                      <w:marTop w:val="0"/>
                      <w:marBottom w:val="0"/>
                      <w:divBdr>
                        <w:top w:val="none" w:sz="0" w:space="0" w:color="auto"/>
                        <w:left w:val="none" w:sz="0" w:space="0" w:color="auto"/>
                        <w:bottom w:val="none" w:sz="0" w:space="0" w:color="auto"/>
                        <w:right w:val="none" w:sz="0" w:space="0" w:color="auto"/>
                      </w:divBdr>
                    </w:div>
                  </w:divsChild>
                </w:div>
                <w:div w:id="288753101">
                  <w:marLeft w:val="0"/>
                  <w:marRight w:val="0"/>
                  <w:marTop w:val="0"/>
                  <w:marBottom w:val="0"/>
                  <w:divBdr>
                    <w:top w:val="none" w:sz="0" w:space="0" w:color="auto"/>
                    <w:left w:val="none" w:sz="0" w:space="0" w:color="auto"/>
                    <w:bottom w:val="none" w:sz="0" w:space="0" w:color="auto"/>
                    <w:right w:val="none" w:sz="0" w:space="0" w:color="auto"/>
                  </w:divBdr>
                  <w:divsChild>
                    <w:div w:id="1521509760">
                      <w:marLeft w:val="0"/>
                      <w:marRight w:val="0"/>
                      <w:marTop w:val="0"/>
                      <w:marBottom w:val="0"/>
                      <w:divBdr>
                        <w:top w:val="none" w:sz="0" w:space="0" w:color="auto"/>
                        <w:left w:val="none" w:sz="0" w:space="0" w:color="auto"/>
                        <w:bottom w:val="none" w:sz="0" w:space="0" w:color="auto"/>
                        <w:right w:val="none" w:sz="0" w:space="0" w:color="auto"/>
                      </w:divBdr>
                    </w:div>
                  </w:divsChild>
                </w:div>
                <w:div w:id="293365586">
                  <w:marLeft w:val="0"/>
                  <w:marRight w:val="0"/>
                  <w:marTop w:val="0"/>
                  <w:marBottom w:val="0"/>
                  <w:divBdr>
                    <w:top w:val="none" w:sz="0" w:space="0" w:color="auto"/>
                    <w:left w:val="none" w:sz="0" w:space="0" w:color="auto"/>
                    <w:bottom w:val="none" w:sz="0" w:space="0" w:color="auto"/>
                    <w:right w:val="none" w:sz="0" w:space="0" w:color="auto"/>
                  </w:divBdr>
                  <w:divsChild>
                    <w:div w:id="1090079963">
                      <w:marLeft w:val="0"/>
                      <w:marRight w:val="0"/>
                      <w:marTop w:val="0"/>
                      <w:marBottom w:val="0"/>
                      <w:divBdr>
                        <w:top w:val="none" w:sz="0" w:space="0" w:color="auto"/>
                        <w:left w:val="none" w:sz="0" w:space="0" w:color="auto"/>
                        <w:bottom w:val="none" w:sz="0" w:space="0" w:color="auto"/>
                        <w:right w:val="none" w:sz="0" w:space="0" w:color="auto"/>
                      </w:divBdr>
                    </w:div>
                  </w:divsChild>
                </w:div>
                <w:div w:id="296841197">
                  <w:marLeft w:val="0"/>
                  <w:marRight w:val="0"/>
                  <w:marTop w:val="0"/>
                  <w:marBottom w:val="0"/>
                  <w:divBdr>
                    <w:top w:val="none" w:sz="0" w:space="0" w:color="auto"/>
                    <w:left w:val="none" w:sz="0" w:space="0" w:color="auto"/>
                    <w:bottom w:val="none" w:sz="0" w:space="0" w:color="auto"/>
                    <w:right w:val="none" w:sz="0" w:space="0" w:color="auto"/>
                  </w:divBdr>
                  <w:divsChild>
                    <w:div w:id="1325402373">
                      <w:marLeft w:val="0"/>
                      <w:marRight w:val="0"/>
                      <w:marTop w:val="0"/>
                      <w:marBottom w:val="0"/>
                      <w:divBdr>
                        <w:top w:val="none" w:sz="0" w:space="0" w:color="auto"/>
                        <w:left w:val="none" w:sz="0" w:space="0" w:color="auto"/>
                        <w:bottom w:val="none" w:sz="0" w:space="0" w:color="auto"/>
                        <w:right w:val="none" w:sz="0" w:space="0" w:color="auto"/>
                      </w:divBdr>
                    </w:div>
                  </w:divsChild>
                </w:div>
                <w:div w:id="299530986">
                  <w:marLeft w:val="0"/>
                  <w:marRight w:val="0"/>
                  <w:marTop w:val="0"/>
                  <w:marBottom w:val="0"/>
                  <w:divBdr>
                    <w:top w:val="none" w:sz="0" w:space="0" w:color="auto"/>
                    <w:left w:val="none" w:sz="0" w:space="0" w:color="auto"/>
                    <w:bottom w:val="none" w:sz="0" w:space="0" w:color="auto"/>
                    <w:right w:val="none" w:sz="0" w:space="0" w:color="auto"/>
                  </w:divBdr>
                  <w:divsChild>
                    <w:div w:id="1197697252">
                      <w:marLeft w:val="0"/>
                      <w:marRight w:val="0"/>
                      <w:marTop w:val="0"/>
                      <w:marBottom w:val="0"/>
                      <w:divBdr>
                        <w:top w:val="none" w:sz="0" w:space="0" w:color="auto"/>
                        <w:left w:val="none" w:sz="0" w:space="0" w:color="auto"/>
                        <w:bottom w:val="none" w:sz="0" w:space="0" w:color="auto"/>
                        <w:right w:val="none" w:sz="0" w:space="0" w:color="auto"/>
                      </w:divBdr>
                    </w:div>
                  </w:divsChild>
                </w:div>
                <w:div w:id="301813293">
                  <w:marLeft w:val="0"/>
                  <w:marRight w:val="0"/>
                  <w:marTop w:val="0"/>
                  <w:marBottom w:val="0"/>
                  <w:divBdr>
                    <w:top w:val="none" w:sz="0" w:space="0" w:color="auto"/>
                    <w:left w:val="none" w:sz="0" w:space="0" w:color="auto"/>
                    <w:bottom w:val="none" w:sz="0" w:space="0" w:color="auto"/>
                    <w:right w:val="none" w:sz="0" w:space="0" w:color="auto"/>
                  </w:divBdr>
                  <w:divsChild>
                    <w:div w:id="1313365476">
                      <w:marLeft w:val="0"/>
                      <w:marRight w:val="0"/>
                      <w:marTop w:val="0"/>
                      <w:marBottom w:val="0"/>
                      <w:divBdr>
                        <w:top w:val="none" w:sz="0" w:space="0" w:color="auto"/>
                        <w:left w:val="none" w:sz="0" w:space="0" w:color="auto"/>
                        <w:bottom w:val="none" w:sz="0" w:space="0" w:color="auto"/>
                        <w:right w:val="none" w:sz="0" w:space="0" w:color="auto"/>
                      </w:divBdr>
                    </w:div>
                  </w:divsChild>
                </w:div>
                <w:div w:id="304553278">
                  <w:marLeft w:val="0"/>
                  <w:marRight w:val="0"/>
                  <w:marTop w:val="0"/>
                  <w:marBottom w:val="0"/>
                  <w:divBdr>
                    <w:top w:val="none" w:sz="0" w:space="0" w:color="auto"/>
                    <w:left w:val="none" w:sz="0" w:space="0" w:color="auto"/>
                    <w:bottom w:val="none" w:sz="0" w:space="0" w:color="auto"/>
                    <w:right w:val="none" w:sz="0" w:space="0" w:color="auto"/>
                  </w:divBdr>
                  <w:divsChild>
                    <w:div w:id="869494352">
                      <w:marLeft w:val="0"/>
                      <w:marRight w:val="0"/>
                      <w:marTop w:val="0"/>
                      <w:marBottom w:val="0"/>
                      <w:divBdr>
                        <w:top w:val="none" w:sz="0" w:space="0" w:color="auto"/>
                        <w:left w:val="none" w:sz="0" w:space="0" w:color="auto"/>
                        <w:bottom w:val="none" w:sz="0" w:space="0" w:color="auto"/>
                        <w:right w:val="none" w:sz="0" w:space="0" w:color="auto"/>
                      </w:divBdr>
                    </w:div>
                  </w:divsChild>
                </w:div>
                <w:div w:id="311447132">
                  <w:marLeft w:val="0"/>
                  <w:marRight w:val="0"/>
                  <w:marTop w:val="0"/>
                  <w:marBottom w:val="0"/>
                  <w:divBdr>
                    <w:top w:val="none" w:sz="0" w:space="0" w:color="auto"/>
                    <w:left w:val="none" w:sz="0" w:space="0" w:color="auto"/>
                    <w:bottom w:val="none" w:sz="0" w:space="0" w:color="auto"/>
                    <w:right w:val="none" w:sz="0" w:space="0" w:color="auto"/>
                  </w:divBdr>
                  <w:divsChild>
                    <w:div w:id="294527095">
                      <w:marLeft w:val="0"/>
                      <w:marRight w:val="0"/>
                      <w:marTop w:val="0"/>
                      <w:marBottom w:val="0"/>
                      <w:divBdr>
                        <w:top w:val="none" w:sz="0" w:space="0" w:color="auto"/>
                        <w:left w:val="none" w:sz="0" w:space="0" w:color="auto"/>
                        <w:bottom w:val="none" w:sz="0" w:space="0" w:color="auto"/>
                        <w:right w:val="none" w:sz="0" w:space="0" w:color="auto"/>
                      </w:divBdr>
                    </w:div>
                  </w:divsChild>
                </w:div>
                <w:div w:id="312032831">
                  <w:marLeft w:val="0"/>
                  <w:marRight w:val="0"/>
                  <w:marTop w:val="0"/>
                  <w:marBottom w:val="0"/>
                  <w:divBdr>
                    <w:top w:val="none" w:sz="0" w:space="0" w:color="auto"/>
                    <w:left w:val="none" w:sz="0" w:space="0" w:color="auto"/>
                    <w:bottom w:val="none" w:sz="0" w:space="0" w:color="auto"/>
                    <w:right w:val="none" w:sz="0" w:space="0" w:color="auto"/>
                  </w:divBdr>
                  <w:divsChild>
                    <w:div w:id="2043481383">
                      <w:marLeft w:val="0"/>
                      <w:marRight w:val="0"/>
                      <w:marTop w:val="0"/>
                      <w:marBottom w:val="0"/>
                      <w:divBdr>
                        <w:top w:val="none" w:sz="0" w:space="0" w:color="auto"/>
                        <w:left w:val="none" w:sz="0" w:space="0" w:color="auto"/>
                        <w:bottom w:val="none" w:sz="0" w:space="0" w:color="auto"/>
                        <w:right w:val="none" w:sz="0" w:space="0" w:color="auto"/>
                      </w:divBdr>
                    </w:div>
                  </w:divsChild>
                </w:div>
                <w:div w:id="317348914">
                  <w:marLeft w:val="0"/>
                  <w:marRight w:val="0"/>
                  <w:marTop w:val="0"/>
                  <w:marBottom w:val="0"/>
                  <w:divBdr>
                    <w:top w:val="none" w:sz="0" w:space="0" w:color="auto"/>
                    <w:left w:val="none" w:sz="0" w:space="0" w:color="auto"/>
                    <w:bottom w:val="none" w:sz="0" w:space="0" w:color="auto"/>
                    <w:right w:val="none" w:sz="0" w:space="0" w:color="auto"/>
                  </w:divBdr>
                  <w:divsChild>
                    <w:div w:id="318005405">
                      <w:marLeft w:val="0"/>
                      <w:marRight w:val="0"/>
                      <w:marTop w:val="0"/>
                      <w:marBottom w:val="0"/>
                      <w:divBdr>
                        <w:top w:val="none" w:sz="0" w:space="0" w:color="auto"/>
                        <w:left w:val="none" w:sz="0" w:space="0" w:color="auto"/>
                        <w:bottom w:val="none" w:sz="0" w:space="0" w:color="auto"/>
                        <w:right w:val="none" w:sz="0" w:space="0" w:color="auto"/>
                      </w:divBdr>
                    </w:div>
                  </w:divsChild>
                </w:div>
                <w:div w:id="318459716">
                  <w:marLeft w:val="0"/>
                  <w:marRight w:val="0"/>
                  <w:marTop w:val="0"/>
                  <w:marBottom w:val="0"/>
                  <w:divBdr>
                    <w:top w:val="none" w:sz="0" w:space="0" w:color="auto"/>
                    <w:left w:val="none" w:sz="0" w:space="0" w:color="auto"/>
                    <w:bottom w:val="none" w:sz="0" w:space="0" w:color="auto"/>
                    <w:right w:val="none" w:sz="0" w:space="0" w:color="auto"/>
                  </w:divBdr>
                  <w:divsChild>
                    <w:div w:id="779372376">
                      <w:marLeft w:val="0"/>
                      <w:marRight w:val="0"/>
                      <w:marTop w:val="0"/>
                      <w:marBottom w:val="0"/>
                      <w:divBdr>
                        <w:top w:val="none" w:sz="0" w:space="0" w:color="auto"/>
                        <w:left w:val="none" w:sz="0" w:space="0" w:color="auto"/>
                        <w:bottom w:val="none" w:sz="0" w:space="0" w:color="auto"/>
                        <w:right w:val="none" w:sz="0" w:space="0" w:color="auto"/>
                      </w:divBdr>
                    </w:div>
                    <w:div w:id="1086073770">
                      <w:marLeft w:val="0"/>
                      <w:marRight w:val="0"/>
                      <w:marTop w:val="0"/>
                      <w:marBottom w:val="0"/>
                      <w:divBdr>
                        <w:top w:val="none" w:sz="0" w:space="0" w:color="auto"/>
                        <w:left w:val="none" w:sz="0" w:space="0" w:color="auto"/>
                        <w:bottom w:val="none" w:sz="0" w:space="0" w:color="auto"/>
                        <w:right w:val="none" w:sz="0" w:space="0" w:color="auto"/>
                      </w:divBdr>
                    </w:div>
                  </w:divsChild>
                </w:div>
                <w:div w:id="319777707">
                  <w:marLeft w:val="0"/>
                  <w:marRight w:val="0"/>
                  <w:marTop w:val="0"/>
                  <w:marBottom w:val="0"/>
                  <w:divBdr>
                    <w:top w:val="none" w:sz="0" w:space="0" w:color="auto"/>
                    <w:left w:val="none" w:sz="0" w:space="0" w:color="auto"/>
                    <w:bottom w:val="none" w:sz="0" w:space="0" w:color="auto"/>
                    <w:right w:val="none" w:sz="0" w:space="0" w:color="auto"/>
                  </w:divBdr>
                  <w:divsChild>
                    <w:div w:id="142234654">
                      <w:marLeft w:val="0"/>
                      <w:marRight w:val="0"/>
                      <w:marTop w:val="0"/>
                      <w:marBottom w:val="0"/>
                      <w:divBdr>
                        <w:top w:val="none" w:sz="0" w:space="0" w:color="auto"/>
                        <w:left w:val="none" w:sz="0" w:space="0" w:color="auto"/>
                        <w:bottom w:val="none" w:sz="0" w:space="0" w:color="auto"/>
                        <w:right w:val="none" w:sz="0" w:space="0" w:color="auto"/>
                      </w:divBdr>
                    </w:div>
                  </w:divsChild>
                </w:div>
                <w:div w:id="322709254">
                  <w:marLeft w:val="0"/>
                  <w:marRight w:val="0"/>
                  <w:marTop w:val="0"/>
                  <w:marBottom w:val="0"/>
                  <w:divBdr>
                    <w:top w:val="none" w:sz="0" w:space="0" w:color="auto"/>
                    <w:left w:val="none" w:sz="0" w:space="0" w:color="auto"/>
                    <w:bottom w:val="none" w:sz="0" w:space="0" w:color="auto"/>
                    <w:right w:val="none" w:sz="0" w:space="0" w:color="auto"/>
                  </w:divBdr>
                  <w:divsChild>
                    <w:div w:id="320694029">
                      <w:marLeft w:val="0"/>
                      <w:marRight w:val="0"/>
                      <w:marTop w:val="0"/>
                      <w:marBottom w:val="0"/>
                      <w:divBdr>
                        <w:top w:val="none" w:sz="0" w:space="0" w:color="auto"/>
                        <w:left w:val="none" w:sz="0" w:space="0" w:color="auto"/>
                        <w:bottom w:val="none" w:sz="0" w:space="0" w:color="auto"/>
                        <w:right w:val="none" w:sz="0" w:space="0" w:color="auto"/>
                      </w:divBdr>
                    </w:div>
                  </w:divsChild>
                </w:div>
                <w:div w:id="355235986">
                  <w:marLeft w:val="0"/>
                  <w:marRight w:val="0"/>
                  <w:marTop w:val="0"/>
                  <w:marBottom w:val="0"/>
                  <w:divBdr>
                    <w:top w:val="none" w:sz="0" w:space="0" w:color="auto"/>
                    <w:left w:val="none" w:sz="0" w:space="0" w:color="auto"/>
                    <w:bottom w:val="none" w:sz="0" w:space="0" w:color="auto"/>
                    <w:right w:val="none" w:sz="0" w:space="0" w:color="auto"/>
                  </w:divBdr>
                  <w:divsChild>
                    <w:div w:id="913857913">
                      <w:marLeft w:val="0"/>
                      <w:marRight w:val="0"/>
                      <w:marTop w:val="0"/>
                      <w:marBottom w:val="0"/>
                      <w:divBdr>
                        <w:top w:val="none" w:sz="0" w:space="0" w:color="auto"/>
                        <w:left w:val="none" w:sz="0" w:space="0" w:color="auto"/>
                        <w:bottom w:val="none" w:sz="0" w:space="0" w:color="auto"/>
                        <w:right w:val="none" w:sz="0" w:space="0" w:color="auto"/>
                      </w:divBdr>
                    </w:div>
                  </w:divsChild>
                </w:div>
                <w:div w:id="360126628">
                  <w:marLeft w:val="0"/>
                  <w:marRight w:val="0"/>
                  <w:marTop w:val="0"/>
                  <w:marBottom w:val="0"/>
                  <w:divBdr>
                    <w:top w:val="none" w:sz="0" w:space="0" w:color="auto"/>
                    <w:left w:val="none" w:sz="0" w:space="0" w:color="auto"/>
                    <w:bottom w:val="none" w:sz="0" w:space="0" w:color="auto"/>
                    <w:right w:val="none" w:sz="0" w:space="0" w:color="auto"/>
                  </w:divBdr>
                  <w:divsChild>
                    <w:div w:id="1064330718">
                      <w:marLeft w:val="0"/>
                      <w:marRight w:val="0"/>
                      <w:marTop w:val="0"/>
                      <w:marBottom w:val="0"/>
                      <w:divBdr>
                        <w:top w:val="none" w:sz="0" w:space="0" w:color="auto"/>
                        <w:left w:val="none" w:sz="0" w:space="0" w:color="auto"/>
                        <w:bottom w:val="none" w:sz="0" w:space="0" w:color="auto"/>
                        <w:right w:val="none" w:sz="0" w:space="0" w:color="auto"/>
                      </w:divBdr>
                    </w:div>
                  </w:divsChild>
                </w:div>
                <w:div w:id="365065710">
                  <w:marLeft w:val="0"/>
                  <w:marRight w:val="0"/>
                  <w:marTop w:val="0"/>
                  <w:marBottom w:val="0"/>
                  <w:divBdr>
                    <w:top w:val="none" w:sz="0" w:space="0" w:color="auto"/>
                    <w:left w:val="none" w:sz="0" w:space="0" w:color="auto"/>
                    <w:bottom w:val="none" w:sz="0" w:space="0" w:color="auto"/>
                    <w:right w:val="none" w:sz="0" w:space="0" w:color="auto"/>
                  </w:divBdr>
                  <w:divsChild>
                    <w:div w:id="522323075">
                      <w:marLeft w:val="0"/>
                      <w:marRight w:val="0"/>
                      <w:marTop w:val="0"/>
                      <w:marBottom w:val="0"/>
                      <w:divBdr>
                        <w:top w:val="none" w:sz="0" w:space="0" w:color="auto"/>
                        <w:left w:val="none" w:sz="0" w:space="0" w:color="auto"/>
                        <w:bottom w:val="none" w:sz="0" w:space="0" w:color="auto"/>
                        <w:right w:val="none" w:sz="0" w:space="0" w:color="auto"/>
                      </w:divBdr>
                    </w:div>
                  </w:divsChild>
                </w:div>
                <w:div w:id="366638845">
                  <w:marLeft w:val="0"/>
                  <w:marRight w:val="0"/>
                  <w:marTop w:val="0"/>
                  <w:marBottom w:val="0"/>
                  <w:divBdr>
                    <w:top w:val="none" w:sz="0" w:space="0" w:color="auto"/>
                    <w:left w:val="none" w:sz="0" w:space="0" w:color="auto"/>
                    <w:bottom w:val="none" w:sz="0" w:space="0" w:color="auto"/>
                    <w:right w:val="none" w:sz="0" w:space="0" w:color="auto"/>
                  </w:divBdr>
                  <w:divsChild>
                    <w:div w:id="16394827">
                      <w:marLeft w:val="0"/>
                      <w:marRight w:val="0"/>
                      <w:marTop w:val="0"/>
                      <w:marBottom w:val="0"/>
                      <w:divBdr>
                        <w:top w:val="none" w:sz="0" w:space="0" w:color="auto"/>
                        <w:left w:val="none" w:sz="0" w:space="0" w:color="auto"/>
                        <w:bottom w:val="none" w:sz="0" w:space="0" w:color="auto"/>
                        <w:right w:val="none" w:sz="0" w:space="0" w:color="auto"/>
                      </w:divBdr>
                    </w:div>
                    <w:div w:id="24184879">
                      <w:marLeft w:val="0"/>
                      <w:marRight w:val="0"/>
                      <w:marTop w:val="0"/>
                      <w:marBottom w:val="0"/>
                      <w:divBdr>
                        <w:top w:val="none" w:sz="0" w:space="0" w:color="auto"/>
                        <w:left w:val="none" w:sz="0" w:space="0" w:color="auto"/>
                        <w:bottom w:val="none" w:sz="0" w:space="0" w:color="auto"/>
                        <w:right w:val="none" w:sz="0" w:space="0" w:color="auto"/>
                      </w:divBdr>
                    </w:div>
                    <w:div w:id="76366515">
                      <w:marLeft w:val="0"/>
                      <w:marRight w:val="0"/>
                      <w:marTop w:val="0"/>
                      <w:marBottom w:val="0"/>
                      <w:divBdr>
                        <w:top w:val="none" w:sz="0" w:space="0" w:color="auto"/>
                        <w:left w:val="none" w:sz="0" w:space="0" w:color="auto"/>
                        <w:bottom w:val="none" w:sz="0" w:space="0" w:color="auto"/>
                        <w:right w:val="none" w:sz="0" w:space="0" w:color="auto"/>
                      </w:divBdr>
                    </w:div>
                    <w:div w:id="177501117">
                      <w:marLeft w:val="0"/>
                      <w:marRight w:val="0"/>
                      <w:marTop w:val="0"/>
                      <w:marBottom w:val="0"/>
                      <w:divBdr>
                        <w:top w:val="none" w:sz="0" w:space="0" w:color="auto"/>
                        <w:left w:val="none" w:sz="0" w:space="0" w:color="auto"/>
                        <w:bottom w:val="none" w:sz="0" w:space="0" w:color="auto"/>
                        <w:right w:val="none" w:sz="0" w:space="0" w:color="auto"/>
                      </w:divBdr>
                    </w:div>
                    <w:div w:id="239024011">
                      <w:marLeft w:val="0"/>
                      <w:marRight w:val="0"/>
                      <w:marTop w:val="0"/>
                      <w:marBottom w:val="0"/>
                      <w:divBdr>
                        <w:top w:val="none" w:sz="0" w:space="0" w:color="auto"/>
                        <w:left w:val="none" w:sz="0" w:space="0" w:color="auto"/>
                        <w:bottom w:val="none" w:sz="0" w:space="0" w:color="auto"/>
                        <w:right w:val="none" w:sz="0" w:space="0" w:color="auto"/>
                      </w:divBdr>
                    </w:div>
                    <w:div w:id="242298233">
                      <w:marLeft w:val="0"/>
                      <w:marRight w:val="0"/>
                      <w:marTop w:val="0"/>
                      <w:marBottom w:val="0"/>
                      <w:divBdr>
                        <w:top w:val="none" w:sz="0" w:space="0" w:color="auto"/>
                        <w:left w:val="none" w:sz="0" w:space="0" w:color="auto"/>
                        <w:bottom w:val="none" w:sz="0" w:space="0" w:color="auto"/>
                        <w:right w:val="none" w:sz="0" w:space="0" w:color="auto"/>
                      </w:divBdr>
                    </w:div>
                    <w:div w:id="262307816">
                      <w:marLeft w:val="0"/>
                      <w:marRight w:val="0"/>
                      <w:marTop w:val="0"/>
                      <w:marBottom w:val="0"/>
                      <w:divBdr>
                        <w:top w:val="none" w:sz="0" w:space="0" w:color="auto"/>
                        <w:left w:val="none" w:sz="0" w:space="0" w:color="auto"/>
                        <w:bottom w:val="none" w:sz="0" w:space="0" w:color="auto"/>
                        <w:right w:val="none" w:sz="0" w:space="0" w:color="auto"/>
                      </w:divBdr>
                    </w:div>
                    <w:div w:id="452360585">
                      <w:marLeft w:val="0"/>
                      <w:marRight w:val="0"/>
                      <w:marTop w:val="0"/>
                      <w:marBottom w:val="0"/>
                      <w:divBdr>
                        <w:top w:val="none" w:sz="0" w:space="0" w:color="auto"/>
                        <w:left w:val="none" w:sz="0" w:space="0" w:color="auto"/>
                        <w:bottom w:val="none" w:sz="0" w:space="0" w:color="auto"/>
                        <w:right w:val="none" w:sz="0" w:space="0" w:color="auto"/>
                      </w:divBdr>
                    </w:div>
                    <w:div w:id="678429515">
                      <w:marLeft w:val="0"/>
                      <w:marRight w:val="0"/>
                      <w:marTop w:val="0"/>
                      <w:marBottom w:val="0"/>
                      <w:divBdr>
                        <w:top w:val="none" w:sz="0" w:space="0" w:color="auto"/>
                        <w:left w:val="none" w:sz="0" w:space="0" w:color="auto"/>
                        <w:bottom w:val="none" w:sz="0" w:space="0" w:color="auto"/>
                        <w:right w:val="none" w:sz="0" w:space="0" w:color="auto"/>
                      </w:divBdr>
                    </w:div>
                    <w:div w:id="937952090">
                      <w:marLeft w:val="0"/>
                      <w:marRight w:val="0"/>
                      <w:marTop w:val="0"/>
                      <w:marBottom w:val="0"/>
                      <w:divBdr>
                        <w:top w:val="none" w:sz="0" w:space="0" w:color="auto"/>
                        <w:left w:val="none" w:sz="0" w:space="0" w:color="auto"/>
                        <w:bottom w:val="none" w:sz="0" w:space="0" w:color="auto"/>
                        <w:right w:val="none" w:sz="0" w:space="0" w:color="auto"/>
                      </w:divBdr>
                    </w:div>
                    <w:div w:id="979650695">
                      <w:marLeft w:val="0"/>
                      <w:marRight w:val="0"/>
                      <w:marTop w:val="0"/>
                      <w:marBottom w:val="0"/>
                      <w:divBdr>
                        <w:top w:val="none" w:sz="0" w:space="0" w:color="auto"/>
                        <w:left w:val="none" w:sz="0" w:space="0" w:color="auto"/>
                        <w:bottom w:val="none" w:sz="0" w:space="0" w:color="auto"/>
                        <w:right w:val="none" w:sz="0" w:space="0" w:color="auto"/>
                      </w:divBdr>
                    </w:div>
                    <w:div w:id="1229416538">
                      <w:marLeft w:val="0"/>
                      <w:marRight w:val="0"/>
                      <w:marTop w:val="0"/>
                      <w:marBottom w:val="0"/>
                      <w:divBdr>
                        <w:top w:val="none" w:sz="0" w:space="0" w:color="auto"/>
                        <w:left w:val="none" w:sz="0" w:space="0" w:color="auto"/>
                        <w:bottom w:val="none" w:sz="0" w:space="0" w:color="auto"/>
                        <w:right w:val="none" w:sz="0" w:space="0" w:color="auto"/>
                      </w:divBdr>
                    </w:div>
                    <w:div w:id="1251543764">
                      <w:marLeft w:val="0"/>
                      <w:marRight w:val="0"/>
                      <w:marTop w:val="0"/>
                      <w:marBottom w:val="0"/>
                      <w:divBdr>
                        <w:top w:val="none" w:sz="0" w:space="0" w:color="auto"/>
                        <w:left w:val="none" w:sz="0" w:space="0" w:color="auto"/>
                        <w:bottom w:val="none" w:sz="0" w:space="0" w:color="auto"/>
                        <w:right w:val="none" w:sz="0" w:space="0" w:color="auto"/>
                      </w:divBdr>
                    </w:div>
                    <w:div w:id="1784493977">
                      <w:marLeft w:val="0"/>
                      <w:marRight w:val="0"/>
                      <w:marTop w:val="0"/>
                      <w:marBottom w:val="0"/>
                      <w:divBdr>
                        <w:top w:val="none" w:sz="0" w:space="0" w:color="auto"/>
                        <w:left w:val="none" w:sz="0" w:space="0" w:color="auto"/>
                        <w:bottom w:val="none" w:sz="0" w:space="0" w:color="auto"/>
                        <w:right w:val="none" w:sz="0" w:space="0" w:color="auto"/>
                      </w:divBdr>
                    </w:div>
                    <w:div w:id="2029406651">
                      <w:marLeft w:val="0"/>
                      <w:marRight w:val="0"/>
                      <w:marTop w:val="0"/>
                      <w:marBottom w:val="0"/>
                      <w:divBdr>
                        <w:top w:val="none" w:sz="0" w:space="0" w:color="auto"/>
                        <w:left w:val="none" w:sz="0" w:space="0" w:color="auto"/>
                        <w:bottom w:val="none" w:sz="0" w:space="0" w:color="auto"/>
                        <w:right w:val="none" w:sz="0" w:space="0" w:color="auto"/>
                      </w:divBdr>
                    </w:div>
                  </w:divsChild>
                </w:div>
                <w:div w:id="370544584">
                  <w:marLeft w:val="0"/>
                  <w:marRight w:val="0"/>
                  <w:marTop w:val="0"/>
                  <w:marBottom w:val="0"/>
                  <w:divBdr>
                    <w:top w:val="none" w:sz="0" w:space="0" w:color="auto"/>
                    <w:left w:val="none" w:sz="0" w:space="0" w:color="auto"/>
                    <w:bottom w:val="none" w:sz="0" w:space="0" w:color="auto"/>
                    <w:right w:val="none" w:sz="0" w:space="0" w:color="auto"/>
                  </w:divBdr>
                  <w:divsChild>
                    <w:div w:id="141118763">
                      <w:marLeft w:val="0"/>
                      <w:marRight w:val="0"/>
                      <w:marTop w:val="0"/>
                      <w:marBottom w:val="0"/>
                      <w:divBdr>
                        <w:top w:val="none" w:sz="0" w:space="0" w:color="auto"/>
                        <w:left w:val="none" w:sz="0" w:space="0" w:color="auto"/>
                        <w:bottom w:val="none" w:sz="0" w:space="0" w:color="auto"/>
                        <w:right w:val="none" w:sz="0" w:space="0" w:color="auto"/>
                      </w:divBdr>
                    </w:div>
                  </w:divsChild>
                </w:div>
                <w:div w:id="373892134">
                  <w:marLeft w:val="0"/>
                  <w:marRight w:val="0"/>
                  <w:marTop w:val="0"/>
                  <w:marBottom w:val="0"/>
                  <w:divBdr>
                    <w:top w:val="none" w:sz="0" w:space="0" w:color="auto"/>
                    <w:left w:val="none" w:sz="0" w:space="0" w:color="auto"/>
                    <w:bottom w:val="none" w:sz="0" w:space="0" w:color="auto"/>
                    <w:right w:val="none" w:sz="0" w:space="0" w:color="auto"/>
                  </w:divBdr>
                  <w:divsChild>
                    <w:div w:id="985625362">
                      <w:marLeft w:val="0"/>
                      <w:marRight w:val="0"/>
                      <w:marTop w:val="0"/>
                      <w:marBottom w:val="0"/>
                      <w:divBdr>
                        <w:top w:val="none" w:sz="0" w:space="0" w:color="auto"/>
                        <w:left w:val="none" w:sz="0" w:space="0" w:color="auto"/>
                        <w:bottom w:val="none" w:sz="0" w:space="0" w:color="auto"/>
                        <w:right w:val="none" w:sz="0" w:space="0" w:color="auto"/>
                      </w:divBdr>
                    </w:div>
                  </w:divsChild>
                </w:div>
                <w:div w:id="375013704">
                  <w:marLeft w:val="0"/>
                  <w:marRight w:val="0"/>
                  <w:marTop w:val="0"/>
                  <w:marBottom w:val="0"/>
                  <w:divBdr>
                    <w:top w:val="none" w:sz="0" w:space="0" w:color="auto"/>
                    <w:left w:val="none" w:sz="0" w:space="0" w:color="auto"/>
                    <w:bottom w:val="none" w:sz="0" w:space="0" w:color="auto"/>
                    <w:right w:val="none" w:sz="0" w:space="0" w:color="auto"/>
                  </w:divBdr>
                  <w:divsChild>
                    <w:div w:id="1108113157">
                      <w:marLeft w:val="0"/>
                      <w:marRight w:val="0"/>
                      <w:marTop w:val="0"/>
                      <w:marBottom w:val="0"/>
                      <w:divBdr>
                        <w:top w:val="none" w:sz="0" w:space="0" w:color="auto"/>
                        <w:left w:val="none" w:sz="0" w:space="0" w:color="auto"/>
                        <w:bottom w:val="none" w:sz="0" w:space="0" w:color="auto"/>
                        <w:right w:val="none" w:sz="0" w:space="0" w:color="auto"/>
                      </w:divBdr>
                    </w:div>
                  </w:divsChild>
                </w:div>
                <w:div w:id="377440644">
                  <w:marLeft w:val="0"/>
                  <w:marRight w:val="0"/>
                  <w:marTop w:val="0"/>
                  <w:marBottom w:val="0"/>
                  <w:divBdr>
                    <w:top w:val="none" w:sz="0" w:space="0" w:color="auto"/>
                    <w:left w:val="none" w:sz="0" w:space="0" w:color="auto"/>
                    <w:bottom w:val="none" w:sz="0" w:space="0" w:color="auto"/>
                    <w:right w:val="none" w:sz="0" w:space="0" w:color="auto"/>
                  </w:divBdr>
                  <w:divsChild>
                    <w:div w:id="1297758706">
                      <w:marLeft w:val="0"/>
                      <w:marRight w:val="0"/>
                      <w:marTop w:val="0"/>
                      <w:marBottom w:val="0"/>
                      <w:divBdr>
                        <w:top w:val="none" w:sz="0" w:space="0" w:color="auto"/>
                        <w:left w:val="none" w:sz="0" w:space="0" w:color="auto"/>
                        <w:bottom w:val="none" w:sz="0" w:space="0" w:color="auto"/>
                        <w:right w:val="none" w:sz="0" w:space="0" w:color="auto"/>
                      </w:divBdr>
                    </w:div>
                  </w:divsChild>
                </w:div>
                <w:div w:id="378364078">
                  <w:marLeft w:val="0"/>
                  <w:marRight w:val="0"/>
                  <w:marTop w:val="0"/>
                  <w:marBottom w:val="0"/>
                  <w:divBdr>
                    <w:top w:val="none" w:sz="0" w:space="0" w:color="auto"/>
                    <w:left w:val="none" w:sz="0" w:space="0" w:color="auto"/>
                    <w:bottom w:val="none" w:sz="0" w:space="0" w:color="auto"/>
                    <w:right w:val="none" w:sz="0" w:space="0" w:color="auto"/>
                  </w:divBdr>
                  <w:divsChild>
                    <w:div w:id="1676953649">
                      <w:marLeft w:val="0"/>
                      <w:marRight w:val="0"/>
                      <w:marTop w:val="0"/>
                      <w:marBottom w:val="0"/>
                      <w:divBdr>
                        <w:top w:val="none" w:sz="0" w:space="0" w:color="auto"/>
                        <w:left w:val="none" w:sz="0" w:space="0" w:color="auto"/>
                        <w:bottom w:val="none" w:sz="0" w:space="0" w:color="auto"/>
                        <w:right w:val="none" w:sz="0" w:space="0" w:color="auto"/>
                      </w:divBdr>
                    </w:div>
                  </w:divsChild>
                </w:div>
                <w:div w:id="390353095">
                  <w:marLeft w:val="0"/>
                  <w:marRight w:val="0"/>
                  <w:marTop w:val="0"/>
                  <w:marBottom w:val="0"/>
                  <w:divBdr>
                    <w:top w:val="none" w:sz="0" w:space="0" w:color="auto"/>
                    <w:left w:val="none" w:sz="0" w:space="0" w:color="auto"/>
                    <w:bottom w:val="none" w:sz="0" w:space="0" w:color="auto"/>
                    <w:right w:val="none" w:sz="0" w:space="0" w:color="auto"/>
                  </w:divBdr>
                  <w:divsChild>
                    <w:div w:id="1564438820">
                      <w:marLeft w:val="0"/>
                      <w:marRight w:val="0"/>
                      <w:marTop w:val="0"/>
                      <w:marBottom w:val="0"/>
                      <w:divBdr>
                        <w:top w:val="none" w:sz="0" w:space="0" w:color="auto"/>
                        <w:left w:val="none" w:sz="0" w:space="0" w:color="auto"/>
                        <w:bottom w:val="none" w:sz="0" w:space="0" w:color="auto"/>
                        <w:right w:val="none" w:sz="0" w:space="0" w:color="auto"/>
                      </w:divBdr>
                    </w:div>
                  </w:divsChild>
                </w:div>
                <w:div w:id="397899535">
                  <w:marLeft w:val="0"/>
                  <w:marRight w:val="0"/>
                  <w:marTop w:val="0"/>
                  <w:marBottom w:val="0"/>
                  <w:divBdr>
                    <w:top w:val="none" w:sz="0" w:space="0" w:color="auto"/>
                    <w:left w:val="none" w:sz="0" w:space="0" w:color="auto"/>
                    <w:bottom w:val="none" w:sz="0" w:space="0" w:color="auto"/>
                    <w:right w:val="none" w:sz="0" w:space="0" w:color="auto"/>
                  </w:divBdr>
                  <w:divsChild>
                    <w:div w:id="465584894">
                      <w:marLeft w:val="0"/>
                      <w:marRight w:val="0"/>
                      <w:marTop w:val="0"/>
                      <w:marBottom w:val="0"/>
                      <w:divBdr>
                        <w:top w:val="none" w:sz="0" w:space="0" w:color="auto"/>
                        <w:left w:val="none" w:sz="0" w:space="0" w:color="auto"/>
                        <w:bottom w:val="none" w:sz="0" w:space="0" w:color="auto"/>
                        <w:right w:val="none" w:sz="0" w:space="0" w:color="auto"/>
                      </w:divBdr>
                    </w:div>
                  </w:divsChild>
                </w:div>
                <w:div w:id="399644280">
                  <w:marLeft w:val="0"/>
                  <w:marRight w:val="0"/>
                  <w:marTop w:val="0"/>
                  <w:marBottom w:val="0"/>
                  <w:divBdr>
                    <w:top w:val="none" w:sz="0" w:space="0" w:color="auto"/>
                    <w:left w:val="none" w:sz="0" w:space="0" w:color="auto"/>
                    <w:bottom w:val="none" w:sz="0" w:space="0" w:color="auto"/>
                    <w:right w:val="none" w:sz="0" w:space="0" w:color="auto"/>
                  </w:divBdr>
                  <w:divsChild>
                    <w:div w:id="1781144658">
                      <w:marLeft w:val="0"/>
                      <w:marRight w:val="0"/>
                      <w:marTop w:val="0"/>
                      <w:marBottom w:val="0"/>
                      <w:divBdr>
                        <w:top w:val="none" w:sz="0" w:space="0" w:color="auto"/>
                        <w:left w:val="none" w:sz="0" w:space="0" w:color="auto"/>
                        <w:bottom w:val="none" w:sz="0" w:space="0" w:color="auto"/>
                        <w:right w:val="none" w:sz="0" w:space="0" w:color="auto"/>
                      </w:divBdr>
                    </w:div>
                  </w:divsChild>
                </w:div>
                <w:div w:id="403144404">
                  <w:marLeft w:val="0"/>
                  <w:marRight w:val="0"/>
                  <w:marTop w:val="0"/>
                  <w:marBottom w:val="0"/>
                  <w:divBdr>
                    <w:top w:val="none" w:sz="0" w:space="0" w:color="auto"/>
                    <w:left w:val="none" w:sz="0" w:space="0" w:color="auto"/>
                    <w:bottom w:val="none" w:sz="0" w:space="0" w:color="auto"/>
                    <w:right w:val="none" w:sz="0" w:space="0" w:color="auto"/>
                  </w:divBdr>
                  <w:divsChild>
                    <w:div w:id="1858422339">
                      <w:marLeft w:val="0"/>
                      <w:marRight w:val="0"/>
                      <w:marTop w:val="0"/>
                      <w:marBottom w:val="0"/>
                      <w:divBdr>
                        <w:top w:val="none" w:sz="0" w:space="0" w:color="auto"/>
                        <w:left w:val="none" w:sz="0" w:space="0" w:color="auto"/>
                        <w:bottom w:val="none" w:sz="0" w:space="0" w:color="auto"/>
                        <w:right w:val="none" w:sz="0" w:space="0" w:color="auto"/>
                      </w:divBdr>
                    </w:div>
                  </w:divsChild>
                </w:div>
                <w:div w:id="408040520">
                  <w:marLeft w:val="0"/>
                  <w:marRight w:val="0"/>
                  <w:marTop w:val="0"/>
                  <w:marBottom w:val="0"/>
                  <w:divBdr>
                    <w:top w:val="none" w:sz="0" w:space="0" w:color="auto"/>
                    <w:left w:val="none" w:sz="0" w:space="0" w:color="auto"/>
                    <w:bottom w:val="none" w:sz="0" w:space="0" w:color="auto"/>
                    <w:right w:val="none" w:sz="0" w:space="0" w:color="auto"/>
                  </w:divBdr>
                  <w:divsChild>
                    <w:div w:id="329215228">
                      <w:marLeft w:val="0"/>
                      <w:marRight w:val="0"/>
                      <w:marTop w:val="0"/>
                      <w:marBottom w:val="0"/>
                      <w:divBdr>
                        <w:top w:val="none" w:sz="0" w:space="0" w:color="auto"/>
                        <w:left w:val="none" w:sz="0" w:space="0" w:color="auto"/>
                        <w:bottom w:val="none" w:sz="0" w:space="0" w:color="auto"/>
                        <w:right w:val="none" w:sz="0" w:space="0" w:color="auto"/>
                      </w:divBdr>
                    </w:div>
                  </w:divsChild>
                </w:div>
                <w:div w:id="414088051">
                  <w:marLeft w:val="0"/>
                  <w:marRight w:val="0"/>
                  <w:marTop w:val="0"/>
                  <w:marBottom w:val="0"/>
                  <w:divBdr>
                    <w:top w:val="none" w:sz="0" w:space="0" w:color="auto"/>
                    <w:left w:val="none" w:sz="0" w:space="0" w:color="auto"/>
                    <w:bottom w:val="none" w:sz="0" w:space="0" w:color="auto"/>
                    <w:right w:val="none" w:sz="0" w:space="0" w:color="auto"/>
                  </w:divBdr>
                  <w:divsChild>
                    <w:div w:id="731193624">
                      <w:marLeft w:val="0"/>
                      <w:marRight w:val="0"/>
                      <w:marTop w:val="0"/>
                      <w:marBottom w:val="0"/>
                      <w:divBdr>
                        <w:top w:val="none" w:sz="0" w:space="0" w:color="auto"/>
                        <w:left w:val="none" w:sz="0" w:space="0" w:color="auto"/>
                        <w:bottom w:val="none" w:sz="0" w:space="0" w:color="auto"/>
                        <w:right w:val="none" w:sz="0" w:space="0" w:color="auto"/>
                      </w:divBdr>
                    </w:div>
                  </w:divsChild>
                </w:div>
                <w:div w:id="424963539">
                  <w:marLeft w:val="0"/>
                  <w:marRight w:val="0"/>
                  <w:marTop w:val="0"/>
                  <w:marBottom w:val="0"/>
                  <w:divBdr>
                    <w:top w:val="none" w:sz="0" w:space="0" w:color="auto"/>
                    <w:left w:val="none" w:sz="0" w:space="0" w:color="auto"/>
                    <w:bottom w:val="none" w:sz="0" w:space="0" w:color="auto"/>
                    <w:right w:val="none" w:sz="0" w:space="0" w:color="auto"/>
                  </w:divBdr>
                  <w:divsChild>
                    <w:div w:id="854686449">
                      <w:marLeft w:val="0"/>
                      <w:marRight w:val="0"/>
                      <w:marTop w:val="0"/>
                      <w:marBottom w:val="0"/>
                      <w:divBdr>
                        <w:top w:val="none" w:sz="0" w:space="0" w:color="auto"/>
                        <w:left w:val="none" w:sz="0" w:space="0" w:color="auto"/>
                        <w:bottom w:val="none" w:sz="0" w:space="0" w:color="auto"/>
                        <w:right w:val="none" w:sz="0" w:space="0" w:color="auto"/>
                      </w:divBdr>
                    </w:div>
                  </w:divsChild>
                </w:div>
                <w:div w:id="427623385">
                  <w:marLeft w:val="0"/>
                  <w:marRight w:val="0"/>
                  <w:marTop w:val="0"/>
                  <w:marBottom w:val="0"/>
                  <w:divBdr>
                    <w:top w:val="none" w:sz="0" w:space="0" w:color="auto"/>
                    <w:left w:val="none" w:sz="0" w:space="0" w:color="auto"/>
                    <w:bottom w:val="none" w:sz="0" w:space="0" w:color="auto"/>
                    <w:right w:val="none" w:sz="0" w:space="0" w:color="auto"/>
                  </w:divBdr>
                  <w:divsChild>
                    <w:div w:id="1557161928">
                      <w:marLeft w:val="0"/>
                      <w:marRight w:val="0"/>
                      <w:marTop w:val="0"/>
                      <w:marBottom w:val="0"/>
                      <w:divBdr>
                        <w:top w:val="none" w:sz="0" w:space="0" w:color="auto"/>
                        <w:left w:val="none" w:sz="0" w:space="0" w:color="auto"/>
                        <w:bottom w:val="none" w:sz="0" w:space="0" w:color="auto"/>
                        <w:right w:val="none" w:sz="0" w:space="0" w:color="auto"/>
                      </w:divBdr>
                    </w:div>
                  </w:divsChild>
                </w:div>
                <w:div w:id="429811629">
                  <w:marLeft w:val="0"/>
                  <w:marRight w:val="0"/>
                  <w:marTop w:val="0"/>
                  <w:marBottom w:val="0"/>
                  <w:divBdr>
                    <w:top w:val="none" w:sz="0" w:space="0" w:color="auto"/>
                    <w:left w:val="none" w:sz="0" w:space="0" w:color="auto"/>
                    <w:bottom w:val="none" w:sz="0" w:space="0" w:color="auto"/>
                    <w:right w:val="none" w:sz="0" w:space="0" w:color="auto"/>
                  </w:divBdr>
                  <w:divsChild>
                    <w:div w:id="1677878266">
                      <w:marLeft w:val="0"/>
                      <w:marRight w:val="0"/>
                      <w:marTop w:val="0"/>
                      <w:marBottom w:val="0"/>
                      <w:divBdr>
                        <w:top w:val="none" w:sz="0" w:space="0" w:color="auto"/>
                        <w:left w:val="none" w:sz="0" w:space="0" w:color="auto"/>
                        <w:bottom w:val="none" w:sz="0" w:space="0" w:color="auto"/>
                        <w:right w:val="none" w:sz="0" w:space="0" w:color="auto"/>
                      </w:divBdr>
                    </w:div>
                  </w:divsChild>
                </w:div>
                <w:div w:id="442110792">
                  <w:marLeft w:val="0"/>
                  <w:marRight w:val="0"/>
                  <w:marTop w:val="0"/>
                  <w:marBottom w:val="0"/>
                  <w:divBdr>
                    <w:top w:val="none" w:sz="0" w:space="0" w:color="auto"/>
                    <w:left w:val="none" w:sz="0" w:space="0" w:color="auto"/>
                    <w:bottom w:val="none" w:sz="0" w:space="0" w:color="auto"/>
                    <w:right w:val="none" w:sz="0" w:space="0" w:color="auto"/>
                  </w:divBdr>
                  <w:divsChild>
                    <w:div w:id="1194535596">
                      <w:marLeft w:val="0"/>
                      <w:marRight w:val="0"/>
                      <w:marTop w:val="0"/>
                      <w:marBottom w:val="0"/>
                      <w:divBdr>
                        <w:top w:val="none" w:sz="0" w:space="0" w:color="auto"/>
                        <w:left w:val="none" w:sz="0" w:space="0" w:color="auto"/>
                        <w:bottom w:val="none" w:sz="0" w:space="0" w:color="auto"/>
                        <w:right w:val="none" w:sz="0" w:space="0" w:color="auto"/>
                      </w:divBdr>
                    </w:div>
                  </w:divsChild>
                </w:div>
                <w:div w:id="445739622">
                  <w:marLeft w:val="0"/>
                  <w:marRight w:val="0"/>
                  <w:marTop w:val="0"/>
                  <w:marBottom w:val="0"/>
                  <w:divBdr>
                    <w:top w:val="none" w:sz="0" w:space="0" w:color="auto"/>
                    <w:left w:val="none" w:sz="0" w:space="0" w:color="auto"/>
                    <w:bottom w:val="none" w:sz="0" w:space="0" w:color="auto"/>
                    <w:right w:val="none" w:sz="0" w:space="0" w:color="auto"/>
                  </w:divBdr>
                  <w:divsChild>
                    <w:div w:id="1011181382">
                      <w:marLeft w:val="0"/>
                      <w:marRight w:val="0"/>
                      <w:marTop w:val="0"/>
                      <w:marBottom w:val="0"/>
                      <w:divBdr>
                        <w:top w:val="none" w:sz="0" w:space="0" w:color="auto"/>
                        <w:left w:val="none" w:sz="0" w:space="0" w:color="auto"/>
                        <w:bottom w:val="none" w:sz="0" w:space="0" w:color="auto"/>
                        <w:right w:val="none" w:sz="0" w:space="0" w:color="auto"/>
                      </w:divBdr>
                    </w:div>
                  </w:divsChild>
                </w:div>
                <w:div w:id="451830294">
                  <w:marLeft w:val="0"/>
                  <w:marRight w:val="0"/>
                  <w:marTop w:val="0"/>
                  <w:marBottom w:val="0"/>
                  <w:divBdr>
                    <w:top w:val="none" w:sz="0" w:space="0" w:color="auto"/>
                    <w:left w:val="none" w:sz="0" w:space="0" w:color="auto"/>
                    <w:bottom w:val="none" w:sz="0" w:space="0" w:color="auto"/>
                    <w:right w:val="none" w:sz="0" w:space="0" w:color="auto"/>
                  </w:divBdr>
                  <w:divsChild>
                    <w:div w:id="1634166275">
                      <w:marLeft w:val="0"/>
                      <w:marRight w:val="0"/>
                      <w:marTop w:val="0"/>
                      <w:marBottom w:val="0"/>
                      <w:divBdr>
                        <w:top w:val="none" w:sz="0" w:space="0" w:color="auto"/>
                        <w:left w:val="none" w:sz="0" w:space="0" w:color="auto"/>
                        <w:bottom w:val="none" w:sz="0" w:space="0" w:color="auto"/>
                        <w:right w:val="none" w:sz="0" w:space="0" w:color="auto"/>
                      </w:divBdr>
                    </w:div>
                  </w:divsChild>
                </w:div>
                <w:div w:id="456418037">
                  <w:marLeft w:val="0"/>
                  <w:marRight w:val="0"/>
                  <w:marTop w:val="0"/>
                  <w:marBottom w:val="0"/>
                  <w:divBdr>
                    <w:top w:val="none" w:sz="0" w:space="0" w:color="auto"/>
                    <w:left w:val="none" w:sz="0" w:space="0" w:color="auto"/>
                    <w:bottom w:val="none" w:sz="0" w:space="0" w:color="auto"/>
                    <w:right w:val="none" w:sz="0" w:space="0" w:color="auto"/>
                  </w:divBdr>
                  <w:divsChild>
                    <w:div w:id="1940016968">
                      <w:marLeft w:val="0"/>
                      <w:marRight w:val="0"/>
                      <w:marTop w:val="0"/>
                      <w:marBottom w:val="0"/>
                      <w:divBdr>
                        <w:top w:val="none" w:sz="0" w:space="0" w:color="auto"/>
                        <w:left w:val="none" w:sz="0" w:space="0" w:color="auto"/>
                        <w:bottom w:val="none" w:sz="0" w:space="0" w:color="auto"/>
                        <w:right w:val="none" w:sz="0" w:space="0" w:color="auto"/>
                      </w:divBdr>
                    </w:div>
                  </w:divsChild>
                </w:div>
                <w:div w:id="465976857">
                  <w:marLeft w:val="0"/>
                  <w:marRight w:val="0"/>
                  <w:marTop w:val="0"/>
                  <w:marBottom w:val="0"/>
                  <w:divBdr>
                    <w:top w:val="none" w:sz="0" w:space="0" w:color="auto"/>
                    <w:left w:val="none" w:sz="0" w:space="0" w:color="auto"/>
                    <w:bottom w:val="none" w:sz="0" w:space="0" w:color="auto"/>
                    <w:right w:val="none" w:sz="0" w:space="0" w:color="auto"/>
                  </w:divBdr>
                  <w:divsChild>
                    <w:div w:id="2072775124">
                      <w:marLeft w:val="0"/>
                      <w:marRight w:val="0"/>
                      <w:marTop w:val="0"/>
                      <w:marBottom w:val="0"/>
                      <w:divBdr>
                        <w:top w:val="none" w:sz="0" w:space="0" w:color="auto"/>
                        <w:left w:val="none" w:sz="0" w:space="0" w:color="auto"/>
                        <w:bottom w:val="none" w:sz="0" w:space="0" w:color="auto"/>
                        <w:right w:val="none" w:sz="0" w:space="0" w:color="auto"/>
                      </w:divBdr>
                    </w:div>
                  </w:divsChild>
                </w:div>
                <w:div w:id="472912902">
                  <w:marLeft w:val="0"/>
                  <w:marRight w:val="0"/>
                  <w:marTop w:val="0"/>
                  <w:marBottom w:val="0"/>
                  <w:divBdr>
                    <w:top w:val="none" w:sz="0" w:space="0" w:color="auto"/>
                    <w:left w:val="none" w:sz="0" w:space="0" w:color="auto"/>
                    <w:bottom w:val="none" w:sz="0" w:space="0" w:color="auto"/>
                    <w:right w:val="none" w:sz="0" w:space="0" w:color="auto"/>
                  </w:divBdr>
                  <w:divsChild>
                    <w:div w:id="1193345275">
                      <w:marLeft w:val="0"/>
                      <w:marRight w:val="0"/>
                      <w:marTop w:val="0"/>
                      <w:marBottom w:val="0"/>
                      <w:divBdr>
                        <w:top w:val="none" w:sz="0" w:space="0" w:color="auto"/>
                        <w:left w:val="none" w:sz="0" w:space="0" w:color="auto"/>
                        <w:bottom w:val="none" w:sz="0" w:space="0" w:color="auto"/>
                        <w:right w:val="none" w:sz="0" w:space="0" w:color="auto"/>
                      </w:divBdr>
                    </w:div>
                  </w:divsChild>
                </w:div>
                <w:div w:id="493836844">
                  <w:marLeft w:val="0"/>
                  <w:marRight w:val="0"/>
                  <w:marTop w:val="0"/>
                  <w:marBottom w:val="0"/>
                  <w:divBdr>
                    <w:top w:val="none" w:sz="0" w:space="0" w:color="auto"/>
                    <w:left w:val="none" w:sz="0" w:space="0" w:color="auto"/>
                    <w:bottom w:val="none" w:sz="0" w:space="0" w:color="auto"/>
                    <w:right w:val="none" w:sz="0" w:space="0" w:color="auto"/>
                  </w:divBdr>
                  <w:divsChild>
                    <w:div w:id="226113764">
                      <w:marLeft w:val="0"/>
                      <w:marRight w:val="0"/>
                      <w:marTop w:val="0"/>
                      <w:marBottom w:val="0"/>
                      <w:divBdr>
                        <w:top w:val="none" w:sz="0" w:space="0" w:color="auto"/>
                        <w:left w:val="none" w:sz="0" w:space="0" w:color="auto"/>
                        <w:bottom w:val="none" w:sz="0" w:space="0" w:color="auto"/>
                        <w:right w:val="none" w:sz="0" w:space="0" w:color="auto"/>
                      </w:divBdr>
                    </w:div>
                  </w:divsChild>
                </w:div>
                <w:div w:id="503278423">
                  <w:marLeft w:val="0"/>
                  <w:marRight w:val="0"/>
                  <w:marTop w:val="0"/>
                  <w:marBottom w:val="0"/>
                  <w:divBdr>
                    <w:top w:val="none" w:sz="0" w:space="0" w:color="auto"/>
                    <w:left w:val="none" w:sz="0" w:space="0" w:color="auto"/>
                    <w:bottom w:val="none" w:sz="0" w:space="0" w:color="auto"/>
                    <w:right w:val="none" w:sz="0" w:space="0" w:color="auto"/>
                  </w:divBdr>
                  <w:divsChild>
                    <w:div w:id="565797602">
                      <w:marLeft w:val="0"/>
                      <w:marRight w:val="0"/>
                      <w:marTop w:val="0"/>
                      <w:marBottom w:val="0"/>
                      <w:divBdr>
                        <w:top w:val="none" w:sz="0" w:space="0" w:color="auto"/>
                        <w:left w:val="none" w:sz="0" w:space="0" w:color="auto"/>
                        <w:bottom w:val="none" w:sz="0" w:space="0" w:color="auto"/>
                        <w:right w:val="none" w:sz="0" w:space="0" w:color="auto"/>
                      </w:divBdr>
                    </w:div>
                  </w:divsChild>
                </w:div>
                <w:div w:id="503936460">
                  <w:marLeft w:val="0"/>
                  <w:marRight w:val="0"/>
                  <w:marTop w:val="0"/>
                  <w:marBottom w:val="0"/>
                  <w:divBdr>
                    <w:top w:val="none" w:sz="0" w:space="0" w:color="auto"/>
                    <w:left w:val="none" w:sz="0" w:space="0" w:color="auto"/>
                    <w:bottom w:val="none" w:sz="0" w:space="0" w:color="auto"/>
                    <w:right w:val="none" w:sz="0" w:space="0" w:color="auto"/>
                  </w:divBdr>
                  <w:divsChild>
                    <w:div w:id="1642617900">
                      <w:marLeft w:val="0"/>
                      <w:marRight w:val="0"/>
                      <w:marTop w:val="0"/>
                      <w:marBottom w:val="0"/>
                      <w:divBdr>
                        <w:top w:val="none" w:sz="0" w:space="0" w:color="auto"/>
                        <w:left w:val="none" w:sz="0" w:space="0" w:color="auto"/>
                        <w:bottom w:val="none" w:sz="0" w:space="0" w:color="auto"/>
                        <w:right w:val="none" w:sz="0" w:space="0" w:color="auto"/>
                      </w:divBdr>
                    </w:div>
                  </w:divsChild>
                </w:div>
                <w:div w:id="508255250">
                  <w:marLeft w:val="0"/>
                  <w:marRight w:val="0"/>
                  <w:marTop w:val="0"/>
                  <w:marBottom w:val="0"/>
                  <w:divBdr>
                    <w:top w:val="none" w:sz="0" w:space="0" w:color="auto"/>
                    <w:left w:val="none" w:sz="0" w:space="0" w:color="auto"/>
                    <w:bottom w:val="none" w:sz="0" w:space="0" w:color="auto"/>
                    <w:right w:val="none" w:sz="0" w:space="0" w:color="auto"/>
                  </w:divBdr>
                  <w:divsChild>
                    <w:div w:id="1933925907">
                      <w:marLeft w:val="0"/>
                      <w:marRight w:val="0"/>
                      <w:marTop w:val="0"/>
                      <w:marBottom w:val="0"/>
                      <w:divBdr>
                        <w:top w:val="none" w:sz="0" w:space="0" w:color="auto"/>
                        <w:left w:val="none" w:sz="0" w:space="0" w:color="auto"/>
                        <w:bottom w:val="none" w:sz="0" w:space="0" w:color="auto"/>
                        <w:right w:val="none" w:sz="0" w:space="0" w:color="auto"/>
                      </w:divBdr>
                    </w:div>
                  </w:divsChild>
                </w:div>
                <w:div w:id="519465593">
                  <w:marLeft w:val="0"/>
                  <w:marRight w:val="0"/>
                  <w:marTop w:val="0"/>
                  <w:marBottom w:val="0"/>
                  <w:divBdr>
                    <w:top w:val="none" w:sz="0" w:space="0" w:color="auto"/>
                    <w:left w:val="none" w:sz="0" w:space="0" w:color="auto"/>
                    <w:bottom w:val="none" w:sz="0" w:space="0" w:color="auto"/>
                    <w:right w:val="none" w:sz="0" w:space="0" w:color="auto"/>
                  </w:divBdr>
                  <w:divsChild>
                    <w:div w:id="987439247">
                      <w:marLeft w:val="0"/>
                      <w:marRight w:val="0"/>
                      <w:marTop w:val="0"/>
                      <w:marBottom w:val="0"/>
                      <w:divBdr>
                        <w:top w:val="none" w:sz="0" w:space="0" w:color="auto"/>
                        <w:left w:val="none" w:sz="0" w:space="0" w:color="auto"/>
                        <w:bottom w:val="none" w:sz="0" w:space="0" w:color="auto"/>
                        <w:right w:val="none" w:sz="0" w:space="0" w:color="auto"/>
                      </w:divBdr>
                    </w:div>
                  </w:divsChild>
                </w:div>
                <w:div w:id="536431328">
                  <w:marLeft w:val="0"/>
                  <w:marRight w:val="0"/>
                  <w:marTop w:val="0"/>
                  <w:marBottom w:val="0"/>
                  <w:divBdr>
                    <w:top w:val="none" w:sz="0" w:space="0" w:color="auto"/>
                    <w:left w:val="none" w:sz="0" w:space="0" w:color="auto"/>
                    <w:bottom w:val="none" w:sz="0" w:space="0" w:color="auto"/>
                    <w:right w:val="none" w:sz="0" w:space="0" w:color="auto"/>
                  </w:divBdr>
                  <w:divsChild>
                    <w:div w:id="1660302861">
                      <w:marLeft w:val="0"/>
                      <w:marRight w:val="0"/>
                      <w:marTop w:val="0"/>
                      <w:marBottom w:val="0"/>
                      <w:divBdr>
                        <w:top w:val="none" w:sz="0" w:space="0" w:color="auto"/>
                        <w:left w:val="none" w:sz="0" w:space="0" w:color="auto"/>
                        <w:bottom w:val="none" w:sz="0" w:space="0" w:color="auto"/>
                        <w:right w:val="none" w:sz="0" w:space="0" w:color="auto"/>
                      </w:divBdr>
                    </w:div>
                  </w:divsChild>
                </w:div>
                <w:div w:id="539709727">
                  <w:marLeft w:val="0"/>
                  <w:marRight w:val="0"/>
                  <w:marTop w:val="0"/>
                  <w:marBottom w:val="0"/>
                  <w:divBdr>
                    <w:top w:val="none" w:sz="0" w:space="0" w:color="auto"/>
                    <w:left w:val="none" w:sz="0" w:space="0" w:color="auto"/>
                    <w:bottom w:val="none" w:sz="0" w:space="0" w:color="auto"/>
                    <w:right w:val="none" w:sz="0" w:space="0" w:color="auto"/>
                  </w:divBdr>
                  <w:divsChild>
                    <w:div w:id="2133667771">
                      <w:marLeft w:val="0"/>
                      <w:marRight w:val="0"/>
                      <w:marTop w:val="0"/>
                      <w:marBottom w:val="0"/>
                      <w:divBdr>
                        <w:top w:val="none" w:sz="0" w:space="0" w:color="auto"/>
                        <w:left w:val="none" w:sz="0" w:space="0" w:color="auto"/>
                        <w:bottom w:val="none" w:sz="0" w:space="0" w:color="auto"/>
                        <w:right w:val="none" w:sz="0" w:space="0" w:color="auto"/>
                      </w:divBdr>
                    </w:div>
                  </w:divsChild>
                </w:div>
                <w:div w:id="541357810">
                  <w:marLeft w:val="0"/>
                  <w:marRight w:val="0"/>
                  <w:marTop w:val="0"/>
                  <w:marBottom w:val="0"/>
                  <w:divBdr>
                    <w:top w:val="none" w:sz="0" w:space="0" w:color="auto"/>
                    <w:left w:val="none" w:sz="0" w:space="0" w:color="auto"/>
                    <w:bottom w:val="none" w:sz="0" w:space="0" w:color="auto"/>
                    <w:right w:val="none" w:sz="0" w:space="0" w:color="auto"/>
                  </w:divBdr>
                  <w:divsChild>
                    <w:div w:id="652635865">
                      <w:marLeft w:val="0"/>
                      <w:marRight w:val="0"/>
                      <w:marTop w:val="0"/>
                      <w:marBottom w:val="0"/>
                      <w:divBdr>
                        <w:top w:val="none" w:sz="0" w:space="0" w:color="auto"/>
                        <w:left w:val="none" w:sz="0" w:space="0" w:color="auto"/>
                        <w:bottom w:val="none" w:sz="0" w:space="0" w:color="auto"/>
                        <w:right w:val="none" w:sz="0" w:space="0" w:color="auto"/>
                      </w:divBdr>
                    </w:div>
                  </w:divsChild>
                </w:div>
                <w:div w:id="543521846">
                  <w:marLeft w:val="0"/>
                  <w:marRight w:val="0"/>
                  <w:marTop w:val="0"/>
                  <w:marBottom w:val="0"/>
                  <w:divBdr>
                    <w:top w:val="none" w:sz="0" w:space="0" w:color="auto"/>
                    <w:left w:val="none" w:sz="0" w:space="0" w:color="auto"/>
                    <w:bottom w:val="none" w:sz="0" w:space="0" w:color="auto"/>
                    <w:right w:val="none" w:sz="0" w:space="0" w:color="auto"/>
                  </w:divBdr>
                  <w:divsChild>
                    <w:div w:id="102385183">
                      <w:marLeft w:val="0"/>
                      <w:marRight w:val="0"/>
                      <w:marTop w:val="0"/>
                      <w:marBottom w:val="0"/>
                      <w:divBdr>
                        <w:top w:val="none" w:sz="0" w:space="0" w:color="auto"/>
                        <w:left w:val="none" w:sz="0" w:space="0" w:color="auto"/>
                        <w:bottom w:val="none" w:sz="0" w:space="0" w:color="auto"/>
                        <w:right w:val="none" w:sz="0" w:space="0" w:color="auto"/>
                      </w:divBdr>
                    </w:div>
                  </w:divsChild>
                </w:div>
                <w:div w:id="566577616">
                  <w:marLeft w:val="0"/>
                  <w:marRight w:val="0"/>
                  <w:marTop w:val="0"/>
                  <w:marBottom w:val="0"/>
                  <w:divBdr>
                    <w:top w:val="none" w:sz="0" w:space="0" w:color="auto"/>
                    <w:left w:val="none" w:sz="0" w:space="0" w:color="auto"/>
                    <w:bottom w:val="none" w:sz="0" w:space="0" w:color="auto"/>
                    <w:right w:val="none" w:sz="0" w:space="0" w:color="auto"/>
                  </w:divBdr>
                  <w:divsChild>
                    <w:div w:id="585067458">
                      <w:marLeft w:val="0"/>
                      <w:marRight w:val="0"/>
                      <w:marTop w:val="0"/>
                      <w:marBottom w:val="0"/>
                      <w:divBdr>
                        <w:top w:val="none" w:sz="0" w:space="0" w:color="auto"/>
                        <w:left w:val="none" w:sz="0" w:space="0" w:color="auto"/>
                        <w:bottom w:val="none" w:sz="0" w:space="0" w:color="auto"/>
                        <w:right w:val="none" w:sz="0" w:space="0" w:color="auto"/>
                      </w:divBdr>
                    </w:div>
                  </w:divsChild>
                </w:div>
                <w:div w:id="569121566">
                  <w:marLeft w:val="0"/>
                  <w:marRight w:val="0"/>
                  <w:marTop w:val="0"/>
                  <w:marBottom w:val="0"/>
                  <w:divBdr>
                    <w:top w:val="none" w:sz="0" w:space="0" w:color="auto"/>
                    <w:left w:val="none" w:sz="0" w:space="0" w:color="auto"/>
                    <w:bottom w:val="none" w:sz="0" w:space="0" w:color="auto"/>
                    <w:right w:val="none" w:sz="0" w:space="0" w:color="auto"/>
                  </w:divBdr>
                  <w:divsChild>
                    <w:div w:id="1977946781">
                      <w:marLeft w:val="0"/>
                      <w:marRight w:val="0"/>
                      <w:marTop w:val="0"/>
                      <w:marBottom w:val="0"/>
                      <w:divBdr>
                        <w:top w:val="none" w:sz="0" w:space="0" w:color="auto"/>
                        <w:left w:val="none" w:sz="0" w:space="0" w:color="auto"/>
                        <w:bottom w:val="none" w:sz="0" w:space="0" w:color="auto"/>
                        <w:right w:val="none" w:sz="0" w:space="0" w:color="auto"/>
                      </w:divBdr>
                    </w:div>
                  </w:divsChild>
                </w:div>
                <w:div w:id="581329047">
                  <w:marLeft w:val="0"/>
                  <w:marRight w:val="0"/>
                  <w:marTop w:val="0"/>
                  <w:marBottom w:val="0"/>
                  <w:divBdr>
                    <w:top w:val="none" w:sz="0" w:space="0" w:color="auto"/>
                    <w:left w:val="none" w:sz="0" w:space="0" w:color="auto"/>
                    <w:bottom w:val="none" w:sz="0" w:space="0" w:color="auto"/>
                    <w:right w:val="none" w:sz="0" w:space="0" w:color="auto"/>
                  </w:divBdr>
                  <w:divsChild>
                    <w:div w:id="1511874704">
                      <w:marLeft w:val="0"/>
                      <w:marRight w:val="0"/>
                      <w:marTop w:val="0"/>
                      <w:marBottom w:val="0"/>
                      <w:divBdr>
                        <w:top w:val="none" w:sz="0" w:space="0" w:color="auto"/>
                        <w:left w:val="none" w:sz="0" w:space="0" w:color="auto"/>
                        <w:bottom w:val="none" w:sz="0" w:space="0" w:color="auto"/>
                        <w:right w:val="none" w:sz="0" w:space="0" w:color="auto"/>
                      </w:divBdr>
                    </w:div>
                  </w:divsChild>
                </w:div>
                <w:div w:id="589315045">
                  <w:marLeft w:val="0"/>
                  <w:marRight w:val="0"/>
                  <w:marTop w:val="0"/>
                  <w:marBottom w:val="0"/>
                  <w:divBdr>
                    <w:top w:val="none" w:sz="0" w:space="0" w:color="auto"/>
                    <w:left w:val="none" w:sz="0" w:space="0" w:color="auto"/>
                    <w:bottom w:val="none" w:sz="0" w:space="0" w:color="auto"/>
                    <w:right w:val="none" w:sz="0" w:space="0" w:color="auto"/>
                  </w:divBdr>
                  <w:divsChild>
                    <w:div w:id="1750348437">
                      <w:marLeft w:val="0"/>
                      <w:marRight w:val="0"/>
                      <w:marTop w:val="0"/>
                      <w:marBottom w:val="0"/>
                      <w:divBdr>
                        <w:top w:val="none" w:sz="0" w:space="0" w:color="auto"/>
                        <w:left w:val="none" w:sz="0" w:space="0" w:color="auto"/>
                        <w:bottom w:val="none" w:sz="0" w:space="0" w:color="auto"/>
                        <w:right w:val="none" w:sz="0" w:space="0" w:color="auto"/>
                      </w:divBdr>
                    </w:div>
                  </w:divsChild>
                </w:div>
                <w:div w:id="606809843">
                  <w:marLeft w:val="0"/>
                  <w:marRight w:val="0"/>
                  <w:marTop w:val="0"/>
                  <w:marBottom w:val="0"/>
                  <w:divBdr>
                    <w:top w:val="none" w:sz="0" w:space="0" w:color="auto"/>
                    <w:left w:val="none" w:sz="0" w:space="0" w:color="auto"/>
                    <w:bottom w:val="none" w:sz="0" w:space="0" w:color="auto"/>
                    <w:right w:val="none" w:sz="0" w:space="0" w:color="auto"/>
                  </w:divBdr>
                  <w:divsChild>
                    <w:div w:id="1086220576">
                      <w:marLeft w:val="0"/>
                      <w:marRight w:val="0"/>
                      <w:marTop w:val="0"/>
                      <w:marBottom w:val="0"/>
                      <w:divBdr>
                        <w:top w:val="none" w:sz="0" w:space="0" w:color="auto"/>
                        <w:left w:val="none" w:sz="0" w:space="0" w:color="auto"/>
                        <w:bottom w:val="none" w:sz="0" w:space="0" w:color="auto"/>
                        <w:right w:val="none" w:sz="0" w:space="0" w:color="auto"/>
                      </w:divBdr>
                    </w:div>
                  </w:divsChild>
                </w:div>
                <w:div w:id="616301638">
                  <w:marLeft w:val="0"/>
                  <w:marRight w:val="0"/>
                  <w:marTop w:val="0"/>
                  <w:marBottom w:val="0"/>
                  <w:divBdr>
                    <w:top w:val="none" w:sz="0" w:space="0" w:color="auto"/>
                    <w:left w:val="none" w:sz="0" w:space="0" w:color="auto"/>
                    <w:bottom w:val="none" w:sz="0" w:space="0" w:color="auto"/>
                    <w:right w:val="none" w:sz="0" w:space="0" w:color="auto"/>
                  </w:divBdr>
                  <w:divsChild>
                    <w:div w:id="1349525711">
                      <w:marLeft w:val="0"/>
                      <w:marRight w:val="0"/>
                      <w:marTop w:val="0"/>
                      <w:marBottom w:val="0"/>
                      <w:divBdr>
                        <w:top w:val="none" w:sz="0" w:space="0" w:color="auto"/>
                        <w:left w:val="none" w:sz="0" w:space="0" w:color="auto"/>
                        <w:bottom w:val="none" w:sz="0" w:space="0" w:color="auto"/>
                        <w:right w:val="none" w:sz="0" w:space="0" w:color="auto"/>
                      </w:divBdr>
                    </w:div>
                  </w:divsChild>
                </w:div>
                <w:div w:id="624655740">
                  <w:marLeft w:val="0"/>
                  <w:marRight w:val="0"/>
                  <w:marTop w:val="0"/>
                  <w:marBottom w:val="0"/>
                  <w:divBdr>
                    <w:top w:val="none" w:sz="0" w:space="0" w:color="auto"/>
                    <w:left w:val="none" w:sz="0" w:space="0" w:color="auto"/>
                    <w:bottom w:val="none" w:sz="0" w:space="0" w:color="auto"/>
                    <w:right w:val="none" w:sz="0" w:space="0" w:color="auto"/>
                  </w:divBdr>
                  <w:divsChild>
                    <w:div w:id="1229923308">
                      <w:marLeft w:val="0"/>
                      <w:marRight w:val="0"/>
                      <w:marTop w:val="0"/>
                      <w:marBottom w:val="0"/>
                      <w:divBdr>
                        <w:top w:val="none" w:sz="0" w:space="0" w:color="auto"/>
                        <w:left w:val="none" w:sz="0" w:space="0" w:color="auto"/>
                        <w:bottom w:val="none" w:sz="0" w:space="0" w:color="auto"/>
                        <w:right w:val="none" w:sz="0" w:space="0" w:color="auto"/>
                      </w:divBdr>
                    </w:div>
                  </w:divsChild>
                </w:div>
                <w:div w:id="627513682">
                  <w:marLeft w:val="0"/>
                  <w:marRight w:val="0"/>
                  <w:marTop w:val="0"/>
                  <w:marBottom w:val="0"/>
                  <w:divBdr>
                    <w:top w:val="none" w:sz="0" w:space="0" w:color="auto"/>
                    <w:left w:val="none" w:sz="0" w:space="0" w:color="auto"/>
                    <w:bottom w:val="none" w:sz="0" w:space="0" w:color="auto"/>
                    <w:right w:val="none" w:sz="0" w:space="0" w:color="auto"/>
                  </w:divBdr>
                  <w:divsChild>
                    <w:div w:id="1725567889">
                      <w:marLeft w:val="0"/>
                      <w:marRight w:val="0"/>
                      <w:marTop w:val="0"/>
                      <w:marBottom w:val="0"/>
                      <w:divBdr>
                        <w:top w:val="none" w:sz="0" w:space="0" w:color="auto"/>
                        <w:left w:val="none" w:sz="0" w:space="0" w:color="auto"/>
                        <w:bottom w:val="none" w:sz="0" w:space="0" w:color="auto"/>
                        <w:right w:val="none" w:sz="0" w:space="0" w:color="auto"/>
                      </w:divBdr>
                    </w:div>
                  </w:divsChild>
                </w:div>
                <w:div w:id="632251983">
                  <w:marLeft w:val="0"/>
                  <w:marRight w:val="0"/>
                  <w:marTop w:val="0"/>
                  <w:marBottom w:val="0"/>
                  <w:divBdr>
                    <w:top w:val="none" w:sz="0" w:space="0" w:color="auto"/>
                    <w:left w:val="none" w:sz="0" w:space="0" w:color="auto"/>
                    <w:bottom w:val="none" w:sz="0" w:space="0" w:color="auto"/>
                    <w:right w:val="none" w:sz="0" w:space="0" w:color="auto"/>
                  </w:divBdr>
                  <w:divsChild>
                    <w:div w:id="409161234">
                      <w:marLeft w:val="0"/>
                      <w:marRight w:val="0"/>
                      <w:marTop w:val="0"/>
                      <w:marBottom w:val="0"/>
                      <w:divBdr>
                        <w:top w:val="none" w:sz="0" w:space="0" w:color="auto"/>
                        <w:left w:val="none" w:sz="0" w:space="0" w:color="auto"/>
                        <w:bottom w:val="none" w:sz="0" w:space="0" w:color="auto"/>
                        <w:right w:val="none" w:sz="0" w:space="0" w:color="auto"/>
                      </w:divBdr>
                    </w:div>
                  </w:divsChild>
                </w:div>
                <w:div w:id="646477732">
                  <w:marLeft w:val="0"/>
                  <w:marRight w:val="0"/>
                  <w:marTop w:val="0"/>
                  <w:marBottom w:val="0"/>
                  <w:divBdr>
                    <w:top w:val="none" w:sz="0" w:space="0" w:color="auto"/>
                    <w:left w:val="none" w:sz="0" w:space="0" w:color="auto"/>
                    <w:bottom w:val="none" w:sz="0" w:space="0" w:color="auto"/>
                    <w:right w:val="none" w:sz="0" w:space="0" w:color="auto"/>
                  </w:divBdr>
                  <w:divsChild>
                    <w:div w:id="456290603">
                      <w:marLeft w:val="0"/>
                      <w:marRight w:val="0"/>
                      <w:marTop w:val="0"/>
                      <w:marBottom w:val="0"/>
                      <w:divBdr>
                        <w:top w:val="none" w:sz="0" w:space="0" w:color="auto"/>
                        <w:left w:val="none" w:sz="0" w:space="0" w:color="auto"/>
                        <w:bottom w:val="none" w:sz="0" w:space="0" w:color="auto"/>
                        <w:right w:val="none" w:sz="0" w:space="0" w:color="auto"/>
                      </w:divBdr>
                    </w:div>
                  </w:divsChild>
                </w:div>
                <w:div w:id="647326226">
                  <w:marLeft w:val="0"/>
                  <w:marRight w:val="0"/>
                  <w:marTop w:val="0"/>
                  <w:marBottom w:val="0"/>
                  <w:divBdr>
                    <w:top w:val="none" w:sz="0" w:space="0" w:color="auto"/>
                    <w:left w:val="none" w:sz="0" w:space="0" w:color="auto"/>
                    <w:bottom w:val="none" w:sz="0" w:space="0" w:color="auto"/>
                    <w:right w:val="none" w:sz="0" w:space="0" w:color="auto"/>
                  </w:divBdr>
                  <w:divsChild>
                    <w:div w:id="147282681">
                      <w:marLeft w:val="0"/>
                      <w:marRight w:val="0"/>
                      <w:marTop w:val="0"/>
                      <w:marBottom w:val="0"/>
                      <w:divBdr>
                        <w:top w:val="none" w:sz="0" w:space="0" w:color="auto"/>
                        <w:left w:val="none" w:sz="0" w:space="0" w:color="auto"/>
                        <w:bottom w:val="none" w:sz="0" w:space="0" w:color="auto"/>
                        <w:right w:val="none" w:sz="0" w:space="0" w:color="auto"/>
                      </w:divBdr>
                    </w:div>
                    <w:div w:id="1404445035">
                      <w:marLeft w:val="0"/>
                      <w:marRight w:val="0"/>
                      <w:marTop w:val="0"/>
                      <w:marBottom w:val="0"/>
                      <w:divBdr>
                        <w:top w:val="none" w:sz="0" w:space="0" w:color="auto"/>
                        <w:left w:val="none" w:sz="0" w:space="0" w:color="auto"/>
                        <w:bottom w:val="none" w:sz="0" w:space="0" w:color="auto"/>
                        <w:right w:val="none" w:sz="0" w:space="0" w:color="auto"/>
                      </w:divBdr>
                    </w:div>
                  </w:divsChild>
                </w:div>
                <w:div w:id="647515691">
                  <w:marLeft w:val="0"/>
                  <w:marRight w:val="0"/>
                  <w:marTop w:val="0"/>
                  <w:marBottom w:val="0"/>
                  <w:divBdr>
                    <w:top w:val="none" w:sz="0" w:space="0" w:color="auto"/>
                    <w:left w:val="none" w:sz="0" w:space="0" w:color="auto"/>
                    <w:bottom w:val="none" w:sz="0" w:space="0" w:color="auto"/>
                    <w:right w:val="none" w:sz="0" w:space="0" w:color="auto"/>
                  </w:divBdr>
                  <w:divsChild>
                    <w:div w:id="823425937">
                      <w:marLeft w:val="0"/>
                      <w:marRight w:val="0"/>
                      <w:marTop w:val="0"/>
                      <w:marBottom w:val="0"/>
                      <w:divBdr>
                        <w:top w:val="none" w:sz="0" w:space="0" w:color="auto"/>
                        <w:left w:val="none" w:sz="0" w:space="0" w:color="auto"/>
                        <w:bottom w:val="none" w:sz="0" w:space="0" w:color="auto"/>
                        <w:right w:val="none" w:sz="0" w:space="0" w:color="auto"/>
                      </w:divBdr>
                    </w:div>
                  </w:divsChild>
                </w:div>
                <w:div w:id="655838298">
                  <w:marLeft w:val="0"/>
                  <w:marRight w:val="0"/>
                  <w:marTop w:val="0"/>
                  <w:marBottom w:val="0"/>
                  <w:divBdr>
                    <w:top w:val="none" w:sz="0" w:space="0" w:color="auto"/>
                    <w:left w:val="none" w:sz="0" w:space="0" w:color="auto"/>
                    <w:bottom w:val="none" w:sz="0" w:space="0" w:color="auto"/>
                    <w:right w:val="none" w:sz="0" w:space="0" w:color="auto"/>
                  </w:divBdr>
                  <w:divsChild>
                    <w:div w:id="252520672">
                      <w:marLeft w:val="0"/>
                      <w:marRight w:val="0"/>
                      <w:marTop w:val="0"/>
                      <w:marBottom w:val="0"/>
                      <w:divBdr>
                        <w:top w:val="none" w:sz="0" w:space="0" w:color="auto"/>
                        <w:left w:val="none" w:sz="0" w:space="0" w:color="auto"/>
                        <w:bottom w:val="none" w:sz="0" w:space="0" w:color="auto"/>
                        <w:right w:val="none" w:sz="0" w:space="0" w:color="auto"/>
                      </w:divBdr>
                    </w:div>
                  </w:divsChild>
                </w:div>
                <w:div w:id="658116920">
                  <w:marLeft w:val="0"/>
                  <w:marRight w:val="0"/>
                  <w:marTop w:val="0"/>
                  <w:marBottom w:val="0"/>
                  <w:divBdr>
                    <w:top w:val="none" w:sz="0" w:space="0" w:color="auto"/>
                    <w:left w:val="none" w:sz="0" w:space="0" w:color="auto"/>
                    <w:bottom w:val="none" w:sz="0" w:space="0" w:color="auto"/>
                    <w:right w:val="none" w:sz="0" w:space="0" w:color="auto"/>
                  </w:divBdr>
                  <w:divsChild>
                    <w:div w:id="949161092">
                      <w:marLeft w:val="0"/>
                      <w:marRight w:val="0"/>
                      <w:marTop w:val="0"/>
                      <w:marBottom w:val="0"/>
                      <w:divBdr>
                        <w:top w:val="none" w:sz="0" w:space="0" w:color="auto"/>
                        <w:left w:val="none" w:sz="0" w:space="0" w:color="auto"/>
                        <w:bottom w:val="none" w:sz="0" w:space="0" w:color="auto"/>
                        <w:right w:val="none" w:sz="0" w:space="0" w:color="auto"/>
                      </w:divBdr>
                    </w:div>
                  </w:divsChild>
                </w:div>
                <w:div w:id="674459384">
                  <w:marLeft w:val="0"/>
                  <w:marRight w:val="0"/>
                  <w:marTop w:val="0"/>
                  <w:marBottom w:val="0"/>
                  <w:divBdr>
                    <w:top w:val="none" w:sz="0" w:space="0" w:color="auto"/>
                    <w:left w:val="none" w:sz="0" w:space="0" w:color="auto"/>
                    <w:bottom w:val="none" w:sz="0" w:space="0" w:color="auto"/>
                    <w:right w:val="none" w:sz="0" w:space="0" w:color="auto"/>
                  </w:divBdr>
                  <w:divsChild>
                    <w:div w:id="628247321">
                      <w:marLeft w:val="0"/>
                      <w:marRight w:val="0"/>
                      <w:marTop w:val="0"/>
                      <w:marBottom w:val="0"/>
                      <w:divBdr>
                        <w:top w:val="none" w:sz="0" w:space="0" w:color="auto"/>
                        <w:left w:val="none" w:sz="0" w:space="0" w:color="auto"/>
                        <w:bottom w:val="none" w:sz="0" w:space="0" w:color="auto"/>
                        <w:right w:val="none" w:sz="0" w:space="0" w:color="auto"/>
                      </w:divBdr>
                    </w:div>
                  </w:divsChild>
                </w:div>
                <w:div w:id="677541944">
                  <w:marLeft w:val="0"/>
                  <w:marRight w:val="0"/>
                  <w:marTop w:val="0"/>
                  <w:marBottom w:val="0"/>
                  <w:divBdr>
                    <w:top w:val="none" w:sz="0" w:space="0" w:color="auto"/>
                    <w:left w:val="none" w:sz="0" w:space="0" w:color="auto"/>
                    <w:bottom w:val="none" w:sz="0" w:space="0" w:color="auto"/>
                    <w:right w:val="none" w:sz="0" w:space="0" w:color="auto"/>
                  </w:divBdr>
                  <w:divsChild>
                    <w:div w:id="1949119229">
                      <w:marLeft w:val="0"/>
                      <w:marRight w:val="0"/>
                      <w:marTop w:val="0"/>
                      <w:marBottom w:val="0"/>
                      <w:divBdr>
                        <w:top w:val="none" w:sz="0" w:space="0" w:color="auto"/>
                        <w:left w:val="none" w:sz="0" w:space="0" w:color="auto"/>
                        <w:bottom w:val="none" w:sz="0" w:space="0" w:color="auto"/>
                        <w:right w:val="none" w:sz="0" w:space="0" w:color="auto"/>
                      </w:divBdr>
                    </w:div>
                  </w:divsChild>
                </w:div>
                <w:div w:id="680855283">
                  <w:marLeft w:val="0"/>
                  <w:marRight w:val="0"/>
                  <w:marTop w:val="0"/>
                  <w:marBottom w:val="0"/>
                  <w:divBdr>
                    <w:top w:val="none" w:sz="0" w:space="0" w:color="auto"/>
                    <w:left w:val="none" w:sz="0" w:space="0" w:color="auto"/>
                    <w:bottom w:val="none" w:sz="0" w:space="0" w:color="auto"/>
                    <w:right w:val="none" w:sz="0" w:space="0" w:color="auto"/>
                  </w:divBdr>
                  <w:divsChild>
                    <w:div w:id="393236013">
                      <w:marLeft w:val="0"/>
                      <w:marRight w:val="0"/>
                      <w:marTop w:val="0"/>
                      <w:marBottom w:val="0"/>
                      <w:divBdr>
                        <w:top w:val="none" w:sz="0" w:space="0" w:color="auto"/>
                        <w:left w:val="none" w:sz="0" w:space="0" w:color="auto"/>
                        <w:bottom w:val="none" w:sz="0" w:space="0" w:color="auto"/>
                        <w:right w:val="none" w:sz="0" w:space="0" w:color="auto"/>
                      </w:divBdr>
                    </w:div>
                  </w:divsChild>
                </w:div>
                <w:div w:id="683434070">
                  <w:marLeft w:val="0"/>
                  <w:marRight w:val="0"/>
                  <w:marTop w:val="0"/>
                  <w:marBottom w:val="0"/>
                  <w:divBdr>
                    <w:top w:val="none" w:sz="0" w:space="0" w:color="auto"/>
                    <w:left w:val="none" w:sz="0" w:space="0" w:color="auto"/>
                    <w:bottom w:val="none" w:sz="0" w:space="0" w:color="auto"/>
                    <w:right w:val="none" w:sz="0" w:space="0" w:color="auto"/>
                  </w:divBdr>
                  <w:divsChild>
                    <w:div w:id="1909535361">
                      <w:marLeft w:val="0"/>
                      <w:marRight w:val="0"/>
                      <w:marTop w:val="0"/>
                      <w:marBottom w:val="0"/>
                      <w:divBdr>
                        <w:top w:val="none" w:sz="0" w:space="0" w:color="auto"/>
                        <w:left w:val="none" w:sz="0" w:space="0" w:color="auto"/>
                        <w:bottom w:val="none" w:sz="0" w:space="0" w:color="auto"/>
                        <w:right w:val="none" w:sz="0" w:space="0" w:color="auto"/>
                      </w:divBdr>
                    </w:div>
                  </w:divsChild>
                </w:div>
                <w:div w:id="684482555">
                  <w:marLeft w:val="0"/>
                  <w:marRight w:val="0"/>
                  <w:marTop w:val="0"/>
                  <w:marBottom w:val="0"/>
                  <w:divBdr>
                    <w:top w:val="none" w:sz="0" w:space="0" w:color="auto"/>
                    <w:left w:val="none" w:sz="0" w:space="0" w:color="auto"/>
                    <w:bottom w:val="none" w:sz="0" w:space="0" w:color="auto"/>
                    <w:right w:val="none" w:sz="0" w:space="0" w:color="auto"/>
                  </w:divBdr>
                  <w:divsChild>
                    <w:div w:id="978846818">
                      <w:marLeft w:val="0"/>
                      <w:marRight w:val="0"/>
                      <w:marTop w:val="0"/>
                      <w:marBottom w:val="0"/>
                      <w:divBdr>
                        <w:top w:val="none" w:sz="0" w:space="0" w:color="auto"/>
                        <w:left w:val="none" w:sz="0" w:space="0" w:color="auto"/>
                        <w:bottom w:val="none" w:sz="0" w:space="0" w:color="auto"/>
                        <w:right w:val="none" w:sz="0" w:space="0" w:color="auto"/>
                      </w:divBdr>
                    </w:div>
                  </w:divsChild>
                </w:div>
                <w:div w:id="694505926">
                  <w:marLeft w:val="0"/>
                  <w:marRight w:val="0"/>
                  <w:marTop w:val="0"/>
                  <w:marBottom w:val="0"/>
                  <w:divBdr>
                    <w:top w:val="none" w:sz="0" w:space="0" w:color="auto"/>
                    <w:left w:val="none" w:sz="0" w:space="0" w:color="auto"/>
                    <w:bottom w:val="none" w:sz="0" w:space="0" w:color="auto"/>
                    <w:right w:val="none" w:sz="0" w:space="0" w:color="auto"/>
                  </w:divBdr>
                  <w:divsChild>
                    <w:div w:id="2048672894">
                      <w:marLeft w:val="0"/>
                      <w:marRight w:val="0"/>
                      <w:marTop w:val="0"/>
                      <w:marBottom w:val="0"/>
                      <w:divBdr>
                        <w:top w:val="none" w:sz="0" w:space="0" w:color="auto"/>
                        <w:left w:val="none" w:sz="0" w:space="0" w:color="auto"/>
                        <w:bottom w:val="none" w:sz="0" w:space="0" w:color="auto"/>
                        <w:right w:val="none" w:sz="0" w:space="0" w:color="auto"/>
                      </w:divBdr>
                    </w:div>
                  </w:divsChild>
                </w:div>
                <w:div w:id="700056891">
                  <w:marLeft w:val="0"/>
                  <w:marRight w:val="0"/>
                  <w:marTop w:val="0"/>
                  <w:marBottom w:val="0"/>
                  <w:divBdr>
                    <w:top w:val="none" w:sz="0" w:space="0" w:color="auto"/>
                    <w:left w:val="none" w:sz="0" w:space="0" w:color="auto"/>
                    <w:bottom w:val="none" w:sz="0" w:space="0" w:color="auto"/>
                    <w:right w:val="none" w:sz="0" w:space="0" w:color="auto"/>
                  </w:divBdr>
                  <w:divsChild>
                    <w:div w:id="548231152">
                      <w:marLeft w:val="0"/>
                      <w:marRight w:val="0"/>
                      <w:marTop w:val="0"/>
                      <w:marBottom w:val="0"/>
                      <w:divBdr>
                        <w:top w:val="none" w:sz="0" w:space="0" w:color="auto"/>
                        <w:left w:val="none" w:sz="0" w:space="0" w:color="auto"/>
                        <w:bottom w:val="none" w:sz="0" w:space="0" w:color="auto"/>
                        <w:right w:val="none" w:sz="0" w:space="0" w:color="auto"/>
                      </w:divBdr>
                    </w:div>
                  </w:divsChild>
                </w:div>
                <w:div w:id="706224871">
                  <w:marLeft w:val="0"/>
                  <w:marRight w:val="0"/>
                  <w:marTop w:val="0"/>
                  <w:marBottom w:val="0"/>
                  <w:divBdr>
                    <w:top w:val="none" w:sz="0" w:space="0" w:color="auto"/>
                    <w:left w:val="none" w:sz="0" w:space="0" w:color="auto"/>
                    <w:bottom w:val="none" w:sz="0" w:space="0" w:color="auto"/>
                    <w:right w:val="none" w:sz="0" w:space="0" w:color="auto"/>
                  </w:divBdr>
                  <w:divsChild>
                    <w:div w:id="1814447360">
                      <w:marLeft w:val="0"/>
                      <w:marRight w:val="0"/>
                      <w:marTop w:val="0"/>
                      <w:marBottom w:val="0"/>
                      <w:divBdr>
                        <w:top w:val="none" w:sz="0" w:space="0" w:color="auto"/>
                        <w:left w:val="none" w:sz="0" w:space="0" w:color="auto"/>
                        <w:bottom w:val="none" w:sz="0" w:space="0" w:color="auto"/>
                        <w:right w:val="none" w:sz="0" w:space="0" w:color="auto"/>
                      </w:divBdr>
                    </w:div>
                  </w:divsChild>
                </w:div>
                <w:div w:id="715664070">
                  <w:marLeft w:val="0"/>
                  <w:marRight w:val="0"/>
                  <w:marTop w:val="0"/>
                  <w:marBottom w:val="0"/>
                  <w:divBdr>
                    <w:top w:val="none" w:sz="0" w:space="0" w:color="auto"/>
                    <w:left w:val="none" w:sz="0" w:space="0" w:color="auto"/>
                    <w:bottom w:val="none" w:sz="0" w:space="0" w:color="auto"/>
                    <w:right w:val="none" w:sz="0" w:space="0" w:color="auto"/>
                  </w:divBdr>
                  <w:divsChild>
                    <w:div w:id="1499157080">
                      <w:marLeft w:val="0"/>
                      <w:marRight w:val="0"/>
                      <w:marTop w:val="0"/>
                      <w:marBottom w:val="0"/>
                      <w:divBdr>
                        <w:top w:val="none" w:sz="0" w:space="0" w:color="auto"/>
                        <w:left w:val="none" w:sz="0" w:space="0" w:color="auto"/>
                        <w:bottom w:val="none" w:sz="0" w:space="0" w:color="auto"/>
                        <w:right w:val="none" w:sz="0" w:space="0" w:color="auto"/>
                      </w:divBdr>
                    </w:div>
                  </w:divsChild>
                </w:div>
                <w:div w:id="720326643">
                  <w:marLeft w:val="0"/>
                  <w:marRight w:val="0"/>
                  <w:marTop w:val="0"/>
                  <w:marBottom w:val="0"/>
                  <w:divBdr>
                    <w:top w:val="none" w:sz="0" w:space="0" w:color="auto"/>
                    <w:left w:val="none" w:sz="0" w:space="0" w:color="auto"/>
                    <w:bottom w:val="none" w:sz="0" w:space="0" w:color="auto"/>
                    <w:right w:val="none" w:sz="0" w:space="0" w:color="auto"/>
                  </w:divBdr>
                  <w:divsChild>
                    <w:div w:id="1881742322">
                      <w:marLeft w:val="0"/>
                      <w:marRight w:val="0"/>
                      <w:marTop w:val="0"/>
                      <w:marBottom w:val="0"/>
                      <w:divBdr>
                        <w:top w:val="none" w:sz="0" w:space="0" w:color="auto"/>
                        <w:left w:val="none" w:sz="0" w:space="0" w:color="auto"/>
                        <w:bottom w:val="none" w:sz="0" w:space="0" w:color="auto"/>
                        <w:right w:val="none" w:sz="0" w:space="0" w:color="auto"/>
                      </w:divBdr>
                    </w:div>
                  </w:divsChild>
                </w:div>
                <w:div w:id="729158935">
                  <w:marLeft w:val="0"/>
                  <w:marRight w:val="0"/>
                  <w:marTop w:val="0"/>
                  <w:marBottom w:val="0"/>
                  <w:divBdr>
                    <w:top w:val="none" w:sz="0" w:space="0" w:color="auto"/>
                    <w:left w:val="none" w:sz="0" w:space="0" w:color="auto"/>
                    <w:bottom w:val="none" w:sz="0" w:space="0" w:color="auto"/>
                    <w:right w:val="none" w:sz="0" w:space="0" w:color="auto"/>
                  </w:divBdr>
                  <w:divsChild>
                    <w:div w:id="275600648">
                      <w:marLeft w:val="0"/>
                      <w:marRight w:val="0"/>
                      <w:marTop w:val="0"/>
                      <w:marBottom w:val="0"/>
                      <w:divBdr>
                        <w:top w:val="none" w:sz="0" w:space="0" w:color="auto"/>
                        <w:left w:val="none" w:sz="0" w:space="0" w:color="auto"/>
                        <w:bottom w:val="none" w:sz="0" w:space="0" w:color="auto"/>
                        <w:right w:val="none" w:sz="0" w:space="0" w:color="auto"/>
                      </w:divBdr>
                    </w:div>
                  </w:divsChild>
                </w:div>
                <w:div w:id="732697954">
                  <w:marLeft w:val="0"/>
                  <w:marRight w:val="0"/>
                  <w:marTop w:val="0"/>
                  <w:marBottom w:val="0"/>
                  <w:divBdr>
                    <w:top w:val="none" w:sz="0" w:space="0" w:color="auto"/>
                    <w:left w:val="none" w:sz="0" w:space="0" w:color="auto"/>
                    <w:bottom w:val="none" w:sz="0" w:space="0" w:color="auto"/>
                    <w:right w:val="none" w:sz="0" w:space="0" w:color="auto"/>
                  </w:divBdr>
                  <w:divsChild>
                    <w:div w:id="162938385">
                      <w:marLeft w:val="0"/>
                      <w:marRight w:val="0"/>
                      <w:marTop w:val="0"/>
                      <w:marBottom w:val="0"/>
                      <w:divBdr>
                        <w:top w:val="none" w:sz="0" w:space="0" w:color="auto"/>
                        <w:left w:val="none" w:sz="0" w:space="0" w:color="auto"/>
                        <w:bottom w:val="none" w:sz="0" w:space="0" w:color="auto"/>
                        <w:right w:val="none" w:sz="0" w:space="0" w:color="auto"/>
                      </w:divBdr>
                    </w:div>
                  </w:divsChild>
                </w:div>
                <w:div w:id="732778577">
                  <w:marLeft w:val="0"/>
                  <w:marRight w:val="0"/>
                  <w:marTop w:val="0"/>
                  <w:marBottom w:val="0"/>
                  <w:divBdr>
                    <w:top w:val="none" w:sz="0" w:space="0" w:color="auto"/>
                    <w:left w:val="none" w:sz="0" w:space="0" w:color="auto"/>
                    <w:bottom w:val="none" w:sz="0" w:space="0" w:color="auto"/>
                    <w:right w:val="none" w:sz="0" w:space="0" w:color="auto"/>
                  </w:divBdr>
                  <w:divsChild>
                    <w:div w:id="791749992">
                      <w:marLeft w:val="0"/>
                      <w:marRight w:val="0"/>
                      <w:marTop w:val="0"/>
                      <w:marBottom w:val="0"/>
                      <w:divBdr>
                        <w:top w:val="none" w:sz="0" w:space="0" w:color="auto"/>
                        <w:left w:val="none" w:sz="0" w:space="0" w:color="auto"/>
                        <w:bottom w:val="none" w:sz="0" w:space="0" w:color="auto"/>
                        <w:right w:val="none" w:sz="0" w:space="0" w:color="auto"/>
                      </w:divBdr>
                    </w:div>
                  </w:divsChild>
                </w:div>
                <w:div w:id="732889482">
                  <w:marLeft w:val="0"/>
                  <w:marRight w:val="0"/>
                  <w:marTop w:val="0"/>
                  <w:marBottom w:val="0"/>
                  <w:divBdr>
                    <w:top w:val="none" w:sz="0" w:space="0" w:color="auto"/>
                    <w:left w:val="none" w:sz="0" w:space="0" w:color="auto"/>
                    <w:bottom w:val="none" w:sz="0" w:space="0" w:color="auto"/>
                    <w:right w:val="none" w:sz="0" w:space="0" w:color="auto"/>
                  </w:divBdr>
                  <w:divsChild>
                    <w:div w:id="1375808019">
                      <w:marLeft w:val="0"/>
                      <w:marRight w:val="0"/>
                      <w:marTop w:val="0"/>
                      <w:marBottom w:val="0"/>
                      <w:divBdr>
                        <w:top w:val="none" w:sz="0" w:space="0" w:color="auto"/>
                        <w:left w:val="none" w:sz="0" w:space="0" w:color="auto"/>
                        <w:bottom w:val="none" w:sz="0" w:space="0" w:color="auto"/>
                        <w:right w:val="none" w:sz="0" w:space="0" w:color="auto"/>
                      </w:divBdr>
                    </w:div>
                  </w:divsChild>
                </w:div>
                <w:div w:id="734666889">
                  <w:marLeft w:val="0"/>
                  <w:marRight w:val="0"/>
                  <w:marTop w:val="0"/>
                  <w:marBottom w:val="0"/>
                  <w:divBdr>
                    <w:top w:val="none" w:sz="0" w:space="0" w:color="auto"/>
                    <w:left w:val="none" w:sz="0" w:space="0" w:color="auto"/>
                    <w:bottom w:val="none" w:sz="0" w:space="0" w:color="auto"/>
                    <w:right w:val="none" w:sz="0" w:space="0" w:color="auto"/>
                  </w:divBdr>
                  <w:divsChild>
                    <w:div w:id="1832024033">
                      <w:marLeft w:val="0"/>
                      <w:marRight w:val="0"/>
                      <w:marTop w:val="0"/>
                      <w:marBottom w:val="0"/>
                      <w:divBdr>
                        <w:top w:val="none" w:sz="0" w:space="0" w:color="auto"/>
                        <w:left w:val="none" w:sz="0" w:space="0" w:color="auto"/>
                        <w:bottom w:val="none" w:sz="0" w:space="0" w:color="auto"/>
                        <w:right w:val="none" w:sz="0" w:space="0" w:color="auto"/>
                      </w:divBdr>
                    </w:div>
                  </w:divsChild>
                </w:div>
                <w:div w:id="736321484">
                  <w:marLeft w:val="0"/>
                  <w:marRight w:val="0"/>
                  <w:marTop w:val="0"/>
                  <w:marBottom w:val="0"/>
                  <w:divBdr>
                    <w:top w:val="none" w:sz="0" w:space="0" w:color="auto"/>
                    <w:left w:val="none" w:sz="0" w:space="0" w:color="auto"/>
                    <w:bottom w:val="none" w:sz="0" w:space="0" w:color="auto"/>
                    <w:right w:val="none" w:sz="0" w:space="0" w:color="auto"/>
                  </w:divBdr>
                  <w:divsChild>
                    <w:div w:id="1316301231">
                      <w:marLeft w:val="0"/>
                      <w:marRight w:val="0"/>
                      <w:marTop w:val="0"/>
                      <w:marBottom w:val="0"/>
                      <w:divBdr>
                        <w:top w:val="none" w:sz="0" w:space="0" w:color="auto"/>
                        <w:left w:val="none" w:sz="0" w:space="0" w:color="auto"/>
                        <w:bottom w:val="none" w:sz="0" w:space="0" w:color="auto"/>
                        <w:right w:val="none" w:sz="0" w:space="0" w:color="auto"/>
                      </w:divBdr>
                    </w:div>
                  </w:divsChild>
                </w:div>
                <w:div w:id="743339353">
                  <w:marLeft w:val="0"/>
                  <w:marRight w:val="0"/>
                  <w:marTop w:val="0"/>
                  <w:marBottom w:val="0"/>
                  <w:divBdr>
                    <w:top w:val="none" w:sz="0" w:space="0" w:color="auto"/>
                    <w:left w:val="none" w:sz="0" w:space="0" w:color="auto"/>
                    <w:bottom w:val="none" w:sz="0" w:space="0" w:color="auto"/>
                    <w:right w:val="none" w:sz="0" w:space="0" w:color="auto"/>
                  </w:divBdr>
                  <w:divsChild>
                    <w:div w:id="127406282">
                      <w:marLeft w:val="0"/>
                      <w:marRight w:val="0"/>
                      <w:marTop w:val="0"/>
                      <w:marBottom w:val="0"/>
                      <w:divBdr>
                        <w:top w:val="none" w:sz="0" w:space="0" w:color="auto"/>
                        <w:left w:val="none" w:sz="0" w:space="0" w:color="auto"/>
                        <w:bottom w:val="none" w:sz="0" w:space="0" w:color="auto"/>
                        <w:right w:val="none" w:sz="0" w:space="0" w:color="auto"/>
                      </w:divBdr>
                    </w:div>
                  </w:divsChild>
                </w:div>
                <w:div w:id="743920388">
                  <w:marLeft w:val="0"/>
                  <w:marRight w:val="0"/>
                  <w:marTop w:val="0"/>
                  <w:marBottom w:val="0"/>
                  <w:divBdr>
                    <w:top w:val="none" w:sz="0" w:space="0" w:color="auto"/>
                    <w:left w:val="none" w:sz="0" w:space="0" w:color="auto"/>
                    <w:bottom w:val="none" w:sz="0" w:space="0" w:color="auto"/>
                    <w:right w:val="none" w:sz="0" w:space="0" w:color="auto"/>
                  </w:divBdr>
                  <w:divsChild>
                    <w:div w:id="512230868">
                      <w:marLeft w:val="0"/>
                      <w:marRight w:val="0"/>
                      <w:marTop w:val="0"/>
                      <w:marBottom w:val="0"/>
                      <w:divBdr>
                        <w:top w:val="none" w:sz="0" w:space="0" w:color="auto"/>
                        <w:left w:val="none" w:sz="0" w:space="0" w:color="auto"/>
                        <w:bottom w:val="none" w:sz="0" w:space="0" w:color="auto"/>
                        <w:right w:val="none" w:sz="0" w:space="0" w:color="auto"/>
                      </w:divBdr>
                    </w:div>
                  </w:divsChild>
                </w:div>
                <w:div w:id="753668873">
                  <w:marLeft w:val="0"/>
                  <w:marRight w:val="0"/>
                  <w:marTop w:val="0"/>
                  <w:marBottom w:val="0"/>
                  <w:divBdr>
                    <w:top w:val="none" w:sz="0" w:space="0" w:color="auto"/>
                    <w:left w:val="none" w:sz="0" w:space="0" w:color="auto"/>
                    <w:bottom w:val="none" w:sz="0" w:space="0" w:color="auto"/>
                    <w:right w:val="none" w:sz="0" w:space="0" w:color="auto"/>
                  </w:divBdr>
                  <w:divsChild>
                    <w:div w:id="1208755984">
                      <w:marLeft w:val="0"/>
                      <w:marRight w:val="0"/>
                      <w:marTop w:val="0"/>
                      <w:marBottom w:val="0"/>
                      <w:divBdr>
                        <w:top w:val="none" w:sz="0" w:space="0" w:color="auto"/>
                        <w:left w:val="none" w:sz="0" w:space="0" w:color="auto"/>
                        <w:bottom w:val="none" w:sz="0" w:space="0" w:color="auto"/>
                        <w:right w:val="none" w:sz="0" w:space="0" w:color="auto"/>
                      </w:divBdr>
                    </w:div>
                  </w:divsChild>
                </w:div>
                <w:div w:id="758406356">
                  <w:marLeft w:val="0"/>
                  <w:marRight w:val="0"/>
                  <w:marTop w:val="0"/>
                  <w:marBottom w:val="0"/>
                  <w:divBdr>
                    <w:top w:val="none" w:sz="0" w:space="0" w:color="auto"/>
                    <w:left w:val="none" w:sz="0" w:space="0" w:color="auto"/>
                    <w:bottom w:val="none" w:sz="0" w:space="0" w:color="auto"/>
                    <w:right w:val="none" w:sz="0" w:space="0" w:color="auto"/>
                  </w:divBdr>
                  <w:divsChild>
                    <w:div w:id="1334988129">
                      <w:marLeft w:val="0"/>
                      <w:marRight w:val="0"/>
                      <w:marTop w:val="0"/>
                      <w:marBottom w:val="0"/>
                      <w:divBdr>
                        <w:top w:val="none" w:sz="0" w:space="0" w:color="auto"/>
                        <w:left w:val="none" w:sz="0" w:space="0" w:color="auto"/>
                        <w:bottom w:val="none" w:sz="0" w:space="0" w:color="auto"/>
                        <w:right w:val="none" w:sz="0" w:space="0" w:color="auto"/>
                      </w:divBdr>
                    </w:div>
                  </w:divsChild>
                </w:div>
                <w:div w:id="760375122">
                  <w:marLeft w:val="0"/>
                  <w:marRight w:val="0"/>
                  <w:marTop w:val="0"/>
                  <w:marBottom w:val="0"/>
                  <w:divBdr>
                    <w:top w:val="none" w:sz="0" w:space="0" w:color="auto"/>
                    <w:left w:val="none" w:sz="0" w:space="0" w:color="auto"/>
                    <w:bottom w:val="none" w:sz="0" w:space="0" w:color="auto"/>
                    <w:right w:val="none" w:sz="0" w:space="0" w:color="auto"/>
                  </w:divBdr>
                  <w:divsChild>
                    <w:div w:id="1118641752">
                      <w:marLeft w:val="0"/>
                      <w:marRight w:val="0"/>
                      <w:marTop w:val="0"/>
                      <w:marBottom w:val="0"/>
                      <w:divBdr>
                        <w:top w:val="none" w:sz="0" w:space="0" w:color="auto"/>
                        <w:left w:val="none" w:sz="0" w:space="0" w:color="auto"/>
                        <w:bottom w:val="none" w:sz="0" w:space="0" w:color="auto"/>
                        <w:right w:val="none" w:sz="0" w:space="0" w:color="auto"/>
                      </w:divBdr>
                    </w:div>
                  </w:divsChild>
                </w:div>
                <w:div w:id="761267944">
                  <w:marLeft w:val="0"/>
                  <w:marRight w:val="0"/>
                  <w:marTop w:val="0"/>
                  <w:marBottom w:val="0"/>
                  <w:divBdr>
                    <w:top w:val="none" w:sz="0" w:space="0" w:color="auto"/>
                    <w:left w:val="none" w:sz="0" w:space="0" w:color="auto"/>
                    <w:bottom w:val="none" w:sz="0" w:space="0" w:color="auto"/>
                    <w:right w:val="none" w:sz="0" w:space="0" w:color="auto"/>
                  </w:divBdr>
                  <w:divsChild>
                    <w:div w:id="255477249">
                      <w:marLeft w:val="0"/>
                      <w:marRight w:val="0"/>
                      <w:marTop w:val="0"/>
                      <w:marBottom w:val="0"/>
                      <w:divBdr>
                        <w:top w:val="none" w:sz="0" w:space="0" w:color="auto"/>
                        <w:left w:val="none" w:sz="0" w:space="0" w:color="auto"/>
                        <w:bottom w:val="none" w:sz="0" w:space="0" w:color="auto"/>
                        <w:right w:val="none" w:sz="0" w:space="0" w:color="auto"/>
                      </w:divBdr>
                    </w:div>
                  </w:divsChild>
                </w:div>
                <w:div w:id="765543634">
                  <w:marLeft w:val="0"/>
                  <w:marRight w:val="0"/>
                  <w:marTop w:val="0"/>
                  <w:marBottom w:val="0"/>
                  <w:divBdr>
                    <w:top w:val="none" w:sz="0" w:space="0" w:color="auto"/>
                    <w:left w:val="none" w:sz="0" w:space="0" w:color="auto"/>
                    <w:bottom w:val="none" w:sz="0" w:space="0" w:color="auto"/>
                    <w:right w:val="none" w:sz="0" w:space="0" w:color="auto"/>
                  </w:divBdr>
                  <w:divsChild>
                    <w:div w:id="1691570373">
                      <w:marLeft w:val="0"/>
                      <w:marRight w:val="0"/>
                      <w:marTop w:val="0"/>
                      <w:marBottom w:val="0"/>
                      <w:divBdr>
                        <w:top w:val="none" w:sz="0" w:space="0" w:color="auto"/>
                        <w:left w:val="none" w:sz="0" w:space="0" w:color="auto"/>
                        <w:bottom w:val="none" w:sz="0" w:space="0" w:color="auto"/>
                        <w:right w:val="none" w:sz="0" w:space="0" w:color="auto"/>
                      </w:divBdr>
                    </w:div>
                  </w:divsChild>
                </w:div>
                <w:div w:id="768812338">
                  <w:marLeft w:val="0"/>
                  <w:marRight w:val="0"/>
                  <w:marTop w:val="0"/>
                  <w:marBottom w:val="0"/>
                  <w:divBdr>
                    <w:top w:val="none" w:sz="0" w:space="0" w:color="auto"/>
                    <w:left w:val="none" w:sz="0" w:space="0" w:color="auto"/>
                    <w:bottom w:val="none" w:sz="0" w:space="0" w:color="auto"/>
                    <w:right w:val="none" w:sz="0" w:space="0" w:color="auto"/>
                  </w:divBdr>
                  <w:divsChild>
                    <w:div w:id="1841850373">
                      <w:marLeft w:val="0"/>
                      <w:marRight w:val="0"/>
                      <w:marTop w:val="0"/>
                      <w:marBottom w:val="0"/>
                      <w:divBdr>
                        <w:top w:val="none" w:sz="0" w:space="0" w:color="auto"/>
                        <w:left w:val="none" w:sz="0" w:space="0" w:color="auto"/>
                        <w:bottom w:val="none" w:sz="0" w:space="0" w:color="auto"/>
                        <w:right w:val="none" w:sz="0" w:space="0" w:color="auto"/>
                      </w:divBdr>
                    </w:div>
                  </w:divsChild>
                </w:div>
                <w:div w:id="768895631">
                  <w:marLeft w:val="0"/>
                  <w:marRight w:val="0"/>
                  <w:marTop w:val="0"/>
                  <w:marBottom w:val="0"/>
                  <w:divBdr>
                    <w:top w:val="none" w:sz="0" w:space="0" w:color="auto"/>
                    <w:left w:val="none" w:sz="0" w:space="0" w:color="auto"/>
                    <w:bottom w:val="none" w:sz="0" w:space="0" w:color="auto"/>
                    <w:right w:val="none" w:sz="0" w:space="0" w:color="auto"/>
                  </w:divBdr>
                  <w:divsChild>
                    <w:div w:id="1325550108">
                      <w:marLeft w:val="0"/>
                      <w:marRight w:val="0"/>
                      <w:marTop w:val="0"/>
                      <w:marBottom w:val="0"/>
                      <w:divBdr>
                        <w:top w:val="none" w:sz="0" w:space="0" w:color="auto"/>
                        <w:left w:val="none" w:sz="0" w:space="0" w:color="auto"/>
                        <w:bottom w:val="none" w:sz="0" w:space="0" w:color="auto"/>
                        <w:right w:val="none" w:sz="0" w:space="0" w:color="auto"/>
                      </w:divBdr>
                    </w:div>
                  </w:divsChild>
                </w:div>
                <w:div w:id="770468256">
                  <w:marLeft w:val="0"/>
                  <w:marRight w:val="0"/>
                  <w:marTop w:val="0"/>
                  <w:marBottom w:val="0"/>
                  <w:divBdr>
                    <w:top w:val="none" w:sz="0" w:space="0" w:color="auto"/>
                    <w:left w:val="none" w:sz="0" w:space="0" w:color="auto"/>
                    <w:bottom w:val="none" w:sz="0" w:space="0" w:color="auto"/>
                    <w:right w:val="none" w:sz="0" w:space="0" w:color="auto"/>
                  </w:divBdr>
                  <w:divsChild>
                    <w:div w:id="1739745876">
                      <w:marLeft w:val="0"/>
                      <w:marRight w:val="0"/>
                      <w:marTop w:val="0"/>
                      <w:marBottom w:val="0"/>
                      <w:divBdr>
                        <w:top w:val="none" w:sz="0" w:space="0" w:color="auto"/>
                        <w:left w:val="none" w:sz="0" w:space="0" w:color="auto"/>
                        <w:bottom w:val="none" w:sz="0" w:space="0" w:color="auto"/>
                        <w:right w:val="none" w:sz="0" w:space="0" w:color="auto"/>
                      </w:divBdr>
                    </w:div>
                  </w:divsChild>
                </w:div>
                <w:div w:id="788202191">
                  <w:marLeft w:val="0"/>
                  <w:marRight w:val="0"/>
                  <w:marTop w:val="0"/>
                  <w:marBottom w:val="0"/>
                  <w:divBdr>
                    <w:top w:val="none" w:sz="0" w:space="0" w:color="auto"/>
                    <w:left w:val="none" w:sz="0" w:space="0" w:color="auto"/>
                    <w:bottom w:val="none" w:sz="0" w:space="0" w:color="auto"/>
                    <w:right w:val="none" w:sz="0" w:space="0" w:color="auto"/>
                  </w:divBdr>
                  <w:divsChild>
                    <w:div w:id="2043245761">
                      <w:marLeft w:val="0"/>
                      <w:marRight w:val="0"/>
                      <w:marTop w:val="0"/>
                      <w:marBottom w:val="0"/>
                      <w:divBdr>
                        <w:top w:val="none" w:sz="0" w:space="0" w:color="auto"/>
                        <w:left w:val="none" w:sz="0" w:space="0" w:color="auto"/>
                        <w:bottom w:val="none" w:sz="0" w:space="0" w:color="auto"/>
                        <w:right w:val="none" w:sz="0" w:space="0" w:color="auto"/>
                      </w:divBdr>
                    </w:div>
                  </w:divsChild>
                </w:div>
                <w:div w:id="790628647">
                  <w:marLeft w:val="0"/>
                  <w:marRight w:val="0"/>
                  <w:marTop w:val="0"/>
                  <w:marBottom w:val="0"/>
                  <w:divBdr>
                    <w:top w:val="none" w:sz="0" w:space="0" w:color="auto"/>
                    <w:left w:val="none" w:sz="0" w:space="0" w:color="auto"/>
                    <w:bottom w:val="none" w:sz="0" w:space="0" w:color="auto"/>
                    <w:right w:val="none" w:sz="0" w:space="0" w:color="auto"/>
                  </w:divBdr>
                  <w:divsChild>
                    <w:div w:id="1868831920">
                      <w:marLeft w:val="0"/>
                      <w:marRight w:val="0"/>
                      <w:marTop w:val="0"/>
                      <w:marBottom w:val="0"/>
                      <w:divBdr>
                        <w:top w:val="none" w:sz="0" w:space="0" w:color="auto"/>
                        <w:left w:val="none" w:sz="0" w:space="0" w:color="auto"/>
                        <w:bottom w:val="none" w:sz="0" w:space="0" w:color="auto"/>
                        <w:right w:val="none" w:sz="0" w:space="0" w:color="auto"/>
                      </w:divBdr>
                    </w:div>
                  </w:divsChild>
                </w:div>
                <w:div w:id="800197653">
                  <w:marLeft w:val="0"/>
                  <w:marRight w:val="0"/>
                  <w:marTop w:val="0"/>
                  <w:marBottom w:val="0"/>
                  <w:divBdr>
                    <w:top w:val="none" w:sz="0" w:space="0" w:color="auto"/>
                    <w:left w:val="none" w:sz="0" w:space="0" w:color="auto"/>
                    <w:bottom w:val="none" w:sz="0" w:space="0" w:color="auto"/>
                    <w:right w:val="none" w:sz="0" w:space="0" w:color="auto"/>
                  </w:divBdr>
                  <w:divsChild>
                    <w:div w:id="384764923">
                      <w:marLeft w:val="0"/>
                      <w:marRight w:val="0"/>
                      <w:marTop w:val="0"/>
                      <w:marBottom w:val="0"/>
                      <w:divBdr>
                        <w:top w:val="none" w:sz="0" w:space="0" w:color="auto"/>
                        <w:left w:val="none" w:sz="0" w:space="0" w:color="auto"/>
                        <w:bottom w:val="none" w:sz="0" w:space="0" w:color="auto"/>
                        <w:right w:val="none" w:sz="0" w:space="0" w:color="auto"/>
                      </w:divBdr>
                    </w:div>
                  </w:divsChild>
                </w:div>
                <w:div w:id="804853284">
                  <w:marLeft w:val="0"/>
                  <w:marRight w:val="0"/>
                  <w:marTop w:val="0"/>
                  <w:marBottom w:val="0"/>
                  <w:divBdr>
                    <w:top w:val="none" w:sz="0" w:space="0" w:color="auto"/>
                    <w:left w:val="none" w:sz="0" w:space="0" w:color="auto"/>
                    <w:bottom w:val="none" w:sz="0" w:space="0" w:color="auto"/>
                    <w:right w:val="none" w:sz="0" w:space="0" w:color="auto"/>
                  </w:divBdr>
                  <w:divsChild>
                    <w:div w:id="835463636">
                      <w:marLeft w:val="0"/>
                      <w:marRight w:val="0"/>
                      <w:marTop w:val="0"/>
                      <w:marBottom w:val="0"/>
                      <w:divBdr>
                        <w:top w:val="none" w:sz="0" w:space="0" w:color="auto"/>
                        <w:left w:val="none" w:sz="0" w:space="0" w:color="auto"/>
                        <w:bottom w:val="none" w:sz="0" w:space="0" w:color="auto"/>
                        <w:right w:val="none" w:sz="0" w:space="0" w:color="auto"/>
                      </w:divBdr>
                    </w:div>
                  </w:divsChild>
                </w:div>
                <w:div w:id="805585520">
                  <w:marLeft w:val="0"/>
                  <w:marRight w:val="0"/>
                  <w:marTop w:val="0"/>
                  <w:marBottom w:val="0"/>
                  <w:divBdr>
                    <w:top w:val="none" w:sz="0" w:space="0" w:color="auto"/>
                    <w:left w:val="none" w:sz="0" w:space="0" w:color="auto"/>
                    <w:bottom w:val="none" w:sz="0" w:space="0" w:color="auto"/>
                    <w:right w:val="none" w:sz="0" w:space="0" w:color="auto"/>
                  </w:divBdr>
                  <w:divsChild>
                    <w:div w:id="286591281">
                      <w:marLeft w:val="0"/>
                      <w:marRight w:val="0"/>
                      <w:marTop w:val="0"/>
                      <w:marBottom w:val="0"/>
                      <w:divBdr>
                        <w:top w:val="none" w:sz="0" w:space="0" w:color="auto"/>
                        <w:left w:val="none" w:sz="0" w:space="0" w:color="auto"/>
                        <w:bottom w:val="none" w:sz="0" w:space="0" w:color="auto"/>
                        <w:right w:val="none" w:sz="0" w:space="0" w:color="auto"/>
                      </w:divBdr>
                    </w:div>
                  </w:divsChild>
                </w:div>
                <w:div w:id="819880767">
                  <w:marLeft w:val="0"/>
                  <w:marRight w:val="0"/>
                  <w:marTop w:val="0"/>
                  <w:marBottom w:val="0"/>
                  <w:divBdr>
                    <w:top w:val="none" w:sz="0" w:space="0" w:color="auto"/>
                    <w:left w:val="none" w:sz="0" w:space="0" w:color="auto"/>
                    <w:bottom w:val="none" w:sz="0" w:space="0" w:color="auto"/>
                    <w:right w:val="none" w:sz="0" w:space="0" w:color="auto"/>
                  </w:divBdr>
                  <w:divsChild>
                    <w:div w:id="1019085675">
                      <w:marLeft w:val="0"/>
                      <w:marRight w:val="0"/>
                      <w:marTop w:val="0"/>
                      <w:marBottom w:val="0"/>
                      <w:divBdr>
                        <w:top w:val="none" w:sz="0" w:space="0" w:color="auto"/>
                        <w:left w:val="none" w:sz="0" w:space="0" w:color="auto"/>
                        <w:bottom w:val="none" w:sz="0" w:space="0" w:color="auto"/>
                        <w:right w:val="none" w:sz="0" w:space="0" w:color="auto"/>
                      </w:divBdr>
                    </w:div>
                  </w:divsChild>
                </w:div>
                <w:div w:id="824856817">
                  <w:marLeft w:val="0"/>
                  <w:marRight w:val="0"/>
                  <w:marTop w:val="0"/>
                  <w:marBottom w:val="0"/>
                  <w:divBdr>
                    <w:top w:val="none" w:sz="0" w:space="0" w:color="auto"/>
                    <w:left w:val="none" w:sz="0" w:space="0" w:color="auto"/>
                    <w:bottom w:val="none" w:sz="0" w:space="0" w:color="auto"/>
                    <w:right w:val="none" w:sz="0" w:space="0" w:color="auto"/>
                  </w:divBdr>
                  <w:divsChild>
                    <w:div w:id="1742020171">
                      <w:marLeft w:val="0"/>
                      <w:marRight w:val="0"/>
                      <w:marTop w:val="0"/>
                      <w:marBottom w:val="0"/>
                      <w:divBdr>
                        <w:top w:val="none" w:sz="0" w:space="0" w:color="auto"/>
                        <w:left w:val="none" w:sz="0" w:space="0" w:color="auto"/>
                        <w:bottom w:val="none" w:sz="0" w:space="0" w:color="auto"/>
                        <w:right w:val="none" w:sz="0" w:space="0" w:color="auto"/>
                      </w:divBdr>
                    </w:div>
                  </w:divsChild>
                </w:div>
                <w:div w:id="829753635">
                  <w:marLeft w:val="0"/>
                  <w:marRight w:val="0"/>
                  <w:marTop w:val="0"/>
                  <w:marBottom w:val="0"/>
                  <w:divBdr>
                    <w:top w:val="none" w:sz="0" w:space="0" w:color="auto"/>
                    <w:left w:val="none" w:sz="0" w:space="0" w:color="auto"/>
                    <w:bottom w:val="none" w:sz="0" w:space="0" w:color="auto"/>
                    <w:right w:val="none" w:sz="0" w:space="0" w:color="auto"/>
                  </w:divBdr>
                  <w:divsChild>
                    <w:div w:id="325011742">
                      <w:marLeft w:val="0"/>
                      <w:marRight w:val="0"/>
                      <w:marTop w:val="0"/>
                      <w:marBottom w:val="0"/>
                      <w:divBdr>
                        <w:top w:val="none" w:sz="0" w:space="0" w:color="auto"/>
                        <w:left w:val="none" w:sz="0" w:space="0" w:color="auto"/>
                        <w:bottom w:val="none" w:sz="0" w:space="0" w:color="auto"/>
                        <w:right w:val="none" w:sz="0" w:space="0" w:color="auto"/>
                      </w:divBdr>
                    </w:div>
                  </w:divsChild>
                </w:div>
                <w:div w:id="865601346">
                  <w:marLeft w:val="0"/>
                  <w:marRight w:val="0"/>
                  <w:marTop w:val="0"/>
                  <w:marBottom w:val="0"/>
                  <w:divBdr>
                    <w:top w:val="none" w:sz="0" w:space="0" w:color="auto"/>
                    <w:left w:val="none" w:sz="0" w:space="0" w:color="auto"/>
                    <w:bottom w:val="none" w:sz="0" w:space="0" w:color="auto"/>
                    <w:right w:val="none" w:sz="0" w:space="0" w:color="auto"/>
                  </w:divBdr>
                  <w:divsChild>
                    <w:div w:id="1317805756">
                      <w:marLeft w:val="0"/>
                      <w:marRight w:val="0"/>
                      <w:marTop w:val="0"/>
                      <w:marBottom w:val="0"/>
                      <w:divBdr>
                        <w:top w:val="none" w:sz="0" w:space="0" w:color="auto"/>
                        <w:left w:val="none" w:sz="0" w:space="0" w:color="auto"/>
                        <w:bottom w:val="none" w:sz="0" w:space="0" w:color="auto"/>
                        <w:right w:val="none" w:sz="0" w:space="0" w:color="auto"/>
                      </w:divBdr>
                    </w:div>
                  </w:divsChild>
                </w:div>
                <w:div w:id="872381416">
                  <w:marLeft w:val="0"/>
                  <w:marRight w:val="0"/>
                  <w:marTop w:val="0"/>
                  <w:marBottom w:val="0"/>
                  <w:divBdr>
                    <w:top w:val="none" w:sz="0" w:space="0" w:color="auto"/>
                    <w:left w:val="none" w:sz="0" w:space="0" w:color="auto"/>
                    <w:bottom w:val="none" w:sz="0" w:space="0" w:color="auto"/>
                    <w:right w:val="none" w:sz="0" w:space="0" w:color="auto"/>
                  </w:divBdr>
                  <w:divsChild>
                    <w:div w:id="1292789678">
                      <w:marLeft w:val="0"/>
                      <w:marRight w:val="0"/>
                      <w:marTop w:val="0"/>
                      <w:marBottom w:val="0"/>
                      <w:divBdr>
                        <w:top w:val="none" w:sz="0" w:space="0" w:color="auto"/>
                        <w:left w:val="none" w:sz="0" w:space="0" w:color="auto"/>
                        <w:bottom w:val="none" w:sz="0" w:space="0" w:color="auto"/>
                        <w:right w:val="none" w:sz="0" w:space="0" w:color="auto"/>
                      </w:divBdr>
                    </w:div>
                  </w:divsChild>
                </w:div>
                <w:div w:id="873882841">
                  <w:marLeft w:val="0"/>
                  <w:marRight w:val="0"/>
                  <w:marTop w:val="0"/>
                  <w:marBottom w:val="0"/>
                  <w:divBdr>
                    <w:top w:val="none" w:sz="0" w:space="0" w:color="auto"/>
                    <w:left w:val="none" w:sz="0" w:space="0" w:color="auto"/>
                    <w:bottom w:val="none" w:sz="0" w:space="0" w:color="auto"/>
                    <w:right w:val="none" w:sz="0" w:space="0" w:color="auto"/>
                  </w:divBdr>
                  <w:divsChild>
                    <w:div w:id="1776099762">
                      <w:marLeft w:val="0"/>
                      <w:marRight w:val="0"/>
                      <w:marTop w:val="0"/>
                      <w:marBottom w:val="0"/>
                      <w:divBdr>
                        <w:top w:val="none" w:sz="0" w:space="0" w:color="auto"/>
                        <w:left w:val="none" w:sz="0" w:space="0" w:color="auto"/>
                        <w:bottom w:val="none" w:sz="0" w:space="0" w:color="auto"/>
                        <w:right w:val="none" w:sz="0" w:space="0" w:color="auto"/>
                      </w:divBdr>
                    </w:div>
                  </w:divsChild>
                </w:div>
                <w:div w:id="873886583">
                  <w:marLeft w:val="0"/>
                  <w:marRight w:val="0"/>
                  <w:marTop w:val="0"/>
                  <w:marBottom w:val="0"/>
                  <w:divBdr>
                    <w:top w:val="none" w:sz="0" w:space="0" w:color="auto"/>
                    <w:left w:val="none" w:sz="0" w:space="0" w:color="auto"/>
                    <w:bottom w:val="none" w:sz="0" w:space="0" w:color="auto"/>
                    <w:right w:val="none" w:sz="0" w:space="0" w:color="auto"/>
                  </w:divBdr>
                  <w:divsChild>
                    <w:div w:id="49429559">
                      <w:marLeft w:val="0"/>
                      <w:marRight w:val="0"/>
                      <w:marTop w:val="0"/>
                      <w:marBottom w:val="0"/>
                      <w:divBdr>
                        <w:top w:val="none" w:sz="0" w:space="0" w:color="auto"/>
                        <w:left w:val="none" w:sz="0" w:space="0" w:color="auto"/>
                        <w:bottom w:val="none" w:sz="0" w:space="0" w:color="auto"/>
                        <w:right w:val="none" w:sz="0" w:space="0" w:color="auto"/>
                      </w:divBdr>
                    </w:div>
                  </w:divsChild>
                </w:div>
                <w:div w:id="881290279">
                  <w:marLeft w:val="0"/>
                  <w:marRight w:val="0"/>
                  <w:marTop w:val="0"/>
                  <w:marBottom w:val="0"/>
                  <w:divBdr>
                    <w:top w:val="none" w:sz="0" w:space="0" w:color="auto"/>
                    <w:left w:val="none" w:sz="0" w:space="0" w:color="auto"/>
                    <w:bottom w:val="none" w:sz="0" w:space="0" w:color="auto"/>
                    <w:right w:val="none" w:sz="0" w:space="0" w:color="auto"/>
                  </w:divBdr>
                  <w:divsChild>
                    <w:div w:id="1540893750">
                      <w:marLeft w:val="0"/>
                      <w:marRight w:val="0"/>
                      <w:marTop w:val="0"/>
                      <w:marBottom w:val="0"/>
                      <w:divBdr>
                        <w:top w:val="none" w:sz="0" w:space="0" w:color="auto"/>
                        <w:left w:val="none" w:sz="0" w:space="0" w:color="auto"/>
                        <w:bottom w:val="none" w:sz="0" w:space="0" w:color="auto"/>
                        <w:right w:val="none" w:sz="0" w:space="0" w:color="auto"/>
                      </w:divBdr>
                    </w:div>
                    <w:div w:id="2033264862">
                      <w:marLeft w:val="0"/>
                      <w:marRight w:val="0"/>
                      <w:marTop w:val="0"/>
                      <w:marBottom w:val="0"/>
                      <w:divBdr>
                        <w:top w:val="none" w:sz="0" w:space="0" w:color="auto"/>
                        <w:left w:val="none" w:sz="0" w:space="0" w:color="auto"/>
                        <w:bottom w:val="none" w:sz="0" w:space="0" w:color="auto"/>
                        <w:right w:val="none" w:sz="0" w:space="0" w:color="auto"/>
                      </w:divBdr>
                    </w:div>
                  </w:divsChild>
                </w:div>
                <w:div w:id="890924014">
                  <w:marLeft w:val="0"/>
                  <w:marRight w:val="0"/>
                  <w:marTop w:val="0"/>
                  <w:marBottom w:val="0"/>
                  <w:divBdr>
                    <w:top w:val="none" w:sz="0" w:space="0" w:color="auto"/>
                    <w:left w:val="none" w:sz="0" w:space="0" w:color="auto"/>
                    <w:bottom w:val="none" w:sz="0" w:space="0" w:color="auto"/>
                    <w:right w:val="none" w:sz="0" w:space="0" w:color="auto"/>
                  </w:divBdr>
                  <w:divsChild>
                    <w:div w:id="1982231104">
                      <w:marLeft w:val="0"/>
                      <w:marRight w:val="0"/>
                      <w:marTop w:val="0"/>
                      <w:marBottom w:val="0"/>
                      <w:divBdr>
                        <w:top w:val="none" w:sz="0" w:space="0" w:color="auto"/>
                        <w:left w:val="none" w:sz="0" w:space="0" w:color="auto"/>
                        <w:bottom w:val="none" w:sz="0" w:space="0" w:color="auto"/>
                        <w:right w:val="none" w:sz="0" w:space="0" w:color="auto"/>
                      </w:divBdr>
                    </w:div>
                  </w:divsChild>
                </w:div>
                <w:div w:id="901597818">
                  <w:marLeft w:val="0"/>
                  <w:marRight w:val="0"/>
                  <w:marTop w:val="0"/>
                  <w:marBottom w:val="0"/>
                  <w:divBdr>
                    <w:top w:val="none" w:sz="0" w:space="0" w:color="auto"/>
                    <w:left w:val="none" w:sz="0" w:space="0" w:color="auto"/>
                    <w:bottom w:val="none" w:sz="0" w:space="0" w:color="auto"/>
                    <w:right w:val="none" w:sz="0" w:space="0" w:color="auto"/>
                  </w:divBdr>
                  <w:divsChild>
                    <w:div w:id="2003659998">
                      <w:marLeft w:val="0"/>
                      <w:marRight w:val="0"/>
                      <w:marTop w:val="0"/>
                      <w:marBottom w:val="0"/>
                      <w:divBdr>
                        <w:top w:val="none" w:sz="0" w:space="0" w:color="auto"/>
                        <w:left w:val="none" w:sz="0" w:space="0" w:color="auto"/>
                        <w:bottom w:val="none" w:sz="0" w:space="0" w:color="auto"/>
                        <w:right w:val="none" w:sz="0" w:space="0" w:color="auto"/>
                      </w:divBdr>
                    </w:div>
                  </w:divsChild>
                </w:div>
                <w:div w:id="902567142">
                  <w:marLeft w:val="0"/>
                  <w:marRight w:val="0"/>
                  <w:marTop w:val="0"/>
                  <w:marBottom w:val="0"/>
                  <w:divBdr>
                    <w:top w:val="none" w:sz="0" w:space="0" w:color="auto"/>
                    <w:left w:val="none" w:sz="0" w:space="0" w:color="auto"/>
                    <w:bottom w:val="none" w:sz="0" w:space="0" w:color="auto"/>
                    <w:right w:val="none" w:sz="0" w:space="0" w:color="auto"/>
                  </w:divBdr>
                  <w:divsChild>
                    <w:div w:id="548418585">
                      <w:marLeft w:val="0"/>
                      <w:marRight w:val="0"/>
                      <w:marTop w:val="0"/>
                      <w:marBottom w:val="0"/>
                      <w:divBdr>
                        <w:top w:val="none" w:sz="0" w:space="0" w:color="auto"/>
                        <w:left w:val="none" w:sz="0" w:space="0" w:color="auto"/>
                        <w:bottom w:val="none" w:sz="0" w:space="0" w:color="auto"/>
                        <w:right w:val="none" w:sz="0" w:space="0" w:color="auto"/>
                      </w:divBdr>
                    </w:div>
                    <w:div w:id="1036465980">
                      <w:marLeft w:val="0"/>
                      <w:marRight w:val="0"/>
                      <w:marTop w:val="0"/>
                      <w:marBottom w:val="0"/>
                      <w:divBdr>
                        <w:top w:val="none" w:sz="0" w:space="0" w:color="auto"/>
                        <w:left w:val="none" w:sz="0" w:space="0" w:color="auto"/>
                        <w:bottom w:val="none" w:sz="0" w:space="0" w:color="auto"/>
                        <w:right w:val="none" w:sz="0" w:space="0" w:color="auto"/>
                      </w:divBdr>
                    </w:div>
                    <w:div w:id="1210722735">
                      <w:marLeft w:val="0"/>
                      <w:marRight w:val="0"/>
                      <w:marTop w:val="0"/>
                      <w:marBottom w:val="0"/>
                      <w:divBdr>
                        <w:top w:val="none" w:sz="0" w:space="0" w:color="auto"/>
                        <w:left w:val="none" w:sz="0" w:space="0" w:color="auto"/>
                        <w:bottom w:val="none" w:sz="0" w:space="0" w:color="auto"/>
                        <w:right w:val="none" w:sz="0" w:space="0" w:color="auto"/>
                      </w:divBdr>
                    </w:div>
                  </w:divsChild>
                </w:div>
                <w:div w:id="906303844">
                  <w:marLeft w:val="0"/>
                  <w:marRight w:val="0"/>
                  <w:marTop w:val="0"/>
                  <w:marBottom w:val="0"/>
                  <w:divBdr>
                    <w:top w:val="none" w:sz="0" w:space="0" w:color="auto"/>
                    <w:left w:val="none" w:sz="0" w:space="0" w:color="auto"/>
                    <w:bottom w:val="none" w:sz="0" w:space="0" w:color="auto"/>
                    <w:right w:val="none" w:sz="0" w:space="0" w:color="auto"/>
                  </w:divBdr>
                  <w:divsChild>
                    <w:div w:id="968706048">
                      <w:marLeft w:val="0"/>
                      <w:marRight w:val="0"/>
                      <w:marTop w:val="0"/>
                      <w:marBottom w:val="0"/>
                      <w:divBdr>
                        <w:top w:val="none" w:sz="0" w:space="0" w:color="auto"/>
                        <w:left w:val="none" w:sz="0" w:space="0" w:color="auto"/>
                        <w:bottom w:val="none" w:sz="0" w:space="0" w:color="auto"/>
                        <w:right w:val="none" w:sz="0" w:space="0" w:color="auto"/>
                      </w:divBdr>
                    </w:div>
                  </w:divsChild>
                </w:div>
                <w:div w:id="908729753">
                  <w:marLeft w:val="0"/>
                  <w:marRight w:val="0"/>
                  <w:marTop w:val="0"/>
                  <w:marBottom w:val="0"/>
                  <w:divBdr>
                    <w:top w:val="none" w:sz="0" w:space="0" w:color="auto"/>
                    <w:left w:val="none" w:sz="0" w:space="0" w:color="auto"/>
                    <w:bottom w:val="none" w:sz="0" w:space="0" w:color="auto"/>
                    <w:right w:val="none" w:sz="0" w:space="0" w:color="auto"/>
                  </w:divBdr>
                  <w:divsChild>
                    <w:div w:id="1117258553">
                      <w:marLeft w:val="0"/>
                      <w:marRight w:val="0"/>
                      <w:marTop w:val="0"/>
                      <w:marBottom w:val="0"/>
                      <w:divBdr>
                        <w:top w:val="none" w:sz="0" w:space="0" w:color="auto"/>
                        <w:left w:val="none" w:sz="0" w:space="0" w:color="auto"/>
                        <w:bottom w:val="none" w:sz="0" w:space="0" w:color="auto"/>
                        <w:right w:val="none" w:sz="0" w:space="0" w:color="auto"/>
                      </w:divBdr>
                    </w:div>
                  </w:divsChild>
                </w:div>
                <w:div w:id="910431676">
                  <w:marLeft w:val="0"/>
                  <w:marRight w:val="0"/>
                  <w:marTop w:val="0"/>
                  <w:marBottom w:val="0"/>
                  <w:divBdr>
                    <w:top w:val="none" w:sz="0" w:space="0" w:color="auto"/>
                    <w:left w:val="none" w:sz="0" w:space="0" w:color="auto"/>
                    <w:bottom w:val="none" w:sz="0" w:space="0" w:color="auto"/>
                    <w:right w:val="none" w:sz="0" w:space="0" w:color="auto"/>
                  </w:divBdr>
                  <w:divsChild>
                    <w:div w:id="297153147">
                      <w:marLeft w:val="0"/>
                      <w:marRight w:val="0"/>
                      <w:marTop w:val="0"/>
                      <w:marBottom w:val="0"/>
                      <w:divBdr>
                        <w:top w:val="none" w:sz="0" w:space="0" w:color="auto"/>
                        <w:left w:val="none" w:sz="0" w:space="0" w:color="auto"/>
                        <w:bottom w:val="none" w:sz="0" w:space="0" w:color="auto"/>
                        <w:right w:val="none" w:sz="0" w:space="0" w:color="auto"/>
                      </w:divBdr>
                    </w:div>
                  </w:divsChild>
                </w:div>
                <w:div w:id="911543588">
                  <w:marLeft w:val="0"/>
                  <w:marRight w:val="0"/>
                  <w:marTop w:val="0"/>
                  <w:marBottom w:val="0"/>
                  <w:divBdr>
                    <w:top w:val="none" w:sz="0" w:space="0" w:color="auto"/>
                    <w:left w:val="none" w:sz="0" w:space="0" w:color="auto"/>
                    <w:bottom w:val="none" w:sz="0" w:space="0" w:color="auto"/>
                    <w:right w:val="none" w:sz="0" w:space="0" w:color="auto"/>
                  </w:divBdr>
                  <w:divsChild>
                    <w:div w:id="1077481978">
                      <w:marLeft w:val="0"/>
                      <w:marRight w:val="0"/>
                      <w:marTop w:val="0"/>
                      <w:marBottom w:val="0"/>
                      <w:divBdr>
                        <w:top w:val="none" w:sz="0" w:space="0" w:color="auto"/>
                        <w:left w:val="none" w:sz="0" w:space="0" w:color="auto"/>
                        <w:bottom w:val="none" w:sz="0" w:space="0" w:color="auto"/>
                        <w:right w:val="none" w:sz="0" w:space="0" w:color="auto"/>
                      </w:divBdr>
                    </w:div>
                  </w:divsChild>
                </w:div>
                <w:div w:id="915820941">
                  <w:marLeft w:val="0"/>
                  <w:marRight w:val="0"/>
                  <w:marTop w:val="0"/>
                  <w:marBottom w:val="0"/>
                  <w:divBdr>
                    <w:top w:val="none" w:sz="0" w:space="0" w:color="auto"/>
                    <w:left w:val="none" w:sz="0" w:space="0" w:color="auto"/>
                    <w:bottom w:val="none" w:sz="0" w:space="0" w:color="auto"/>
                    <w:right w:val="none" w:sz="0" w:space="0" w:color="auto"/>
                  </w:divBdr>
                  <w:divsChild>
                    <w:div w:id="404035283">
                      <w:marLeft w:val="0"/>
                      <w:marRight w:val="0"/>
                      <w:marTop w:val="0"/>
                      <w:marBottom w:val="0"/>
                      <w:divBdr>
                        <w:top w:val="none" w:sz="0" w:space="0" w:color="auto"/>
                        <w:left w:val="none" w:sz="0" w:space="0" w:color="auto"/>
                        <w:bottom w:val="none" w:sz="0" w:space="0" w:color="auto"/>
                        <w:right w:val="none" w:sz="0" w:space="0" w:color="auto"/>
                      </w:divBdr>
                    </w:div>
                    <w:div w:id="1262180401">
                      <w:marLeft w:val="0"/>
                      <w:marRight w:val="0"/>
                      <w:marTop w:val="0"/>
                      <w:marBottom w:val="0"/>
                      <w:divBdr>
                        <w:top w:val="none" w:sz="0" w:space="0" w:color="auto"/>
                        <w:left w:val="none" w:sz="0" w:space="0" w:color="auto"/>
                        <w:bottom w:val="none" w:sz="0" w:space="0" w:color="auto"/>
                        <w:right w:val="none" w:sz="0" w:space="0" w:color="auto"/>
                      </w:divBdr>
                    </w:div>
                    <w:div w:id="1697074859">
                      <w:marLeft w:val="0"/>
                      <w:marRight w:val="0"/>
                      <w:marTop w:val="0"/>
                      <w:marBottom w:val="0"/>
                      <w:divBdr>
                        <w:top w:val="none" w:sz="0" w:space="0" w:color="auto"/>
                        <w:left w:val="none" w:sz="0" w:space="0" w:color="auto"/>
                        <w:bottom w:val="none" w:sz="0" w:space="0" w:color="auto"/>
                        <w:right w:val="none" w:sz="0" w:space="0" w:color="auto"/>
                      </w:divBdr>
                    </w:div>
                  </w:divsChild>
                </w:div>
                <w:div w:id="917984409">
                  <w:marLeft w:val="0"/>
                  <w:marRight w:val="0"/>
                  <w:marTop w:val="0"/>
                  <w:marBottom w:val="0"/>
                  <w:divBdr>
                    <w:top w:val="none" w:sz="0" w:space="0" w:color="auto"/>
                    <w:left w:val="none" w:sz="0" w:space="0" w:color="auto"/>
                    <w:bottom w:val="none" w:sz="0" w:space="0" w:color="auto"/>
                    <w:right w:val="none" w:sz="0" w:space="0" w:color="auto"/>
                  </w:divBdr>
                  <w:divsChild>
                    <w:div w:id="470095405">
                      <w:marLeft w:val="0"/>
                      <w:marRight w:val="0"/>
                      <w:marTop w:val="0"/>
                      <w:marBottom w:val="0"/>
                      <w:divBdr>
                        <w:top w:val="none" w:sz="0" w:space="0" w:color="auto"/>
                        <w:left w:val="none" w:sz="0" w:space="0" w:color="auto"/>
                        <w:bottom w:val="none" w:sz="0" w:space="0" w:color="auto"/>
                        <w:right w:val="none" w:sz="0" w:space="0" w:color="auto"/>
                      </w:divBdr>
                    </w:div>
                    <w:div w:id="673186496">
                      <w:marLeft w:val="0"/>
                      <w:marRight w:val="0"/>
                      <w:marTop w:val="0"/>
                      <w:marBottom w:val="0"/>
                      <w:divBdr>
                        <w:top w:val="none" w:sz="0" w:space="0" w:color="auto"/>
                        <w:left w:val="none" w:sz="0" w:space="0" w:color="auto"/>
                        <w:bottom w:val="none" w:sz="0" w:space="0" w:color="auto"/>
                        <w:right w:val="none" w:sz="0" w:space="0" w:color="auto"/>
                      </w:divBdr>
                    </w:div>
                    <w:div w:id="705837009">
                      <w:marLeft w:val="0"/>
                      <w:marRight w:val="0"/>
                      <w:marTop w:val="0"/>
                      <w:marBottom w:val="0"/>
                      <w:divBdr>
                        <w:top w:val="none" w:sz="0" w:space="0" w:color="auto"/>
                        <w:left w:val="none" w:sz="0" w:space="0" w:color="auto"/>
                        <w:bottom w:val="none" w:sz="0" w:space="0" w:color="auto"/>
                        <w:right w:val="none" w:sz="0" w:space="0" w:color="auto"/>
                      </w:divBdr>
                    </w:div>
                    <w:div w:id="902637311">
                      <w:marLeft w:val="0"/>
                      <w:marRight w:val="0"/>
                      <w:marTop w:val="0"/>
                      <w:marBottom w:val="0"/>
                      <w:divBdr>
                        <w:top w:val="none" w:sz="0" w:space="0" w:color="auto"/>
                        <w:left w:val="none" w:sz="0" w:space="0" w:color="auto"/>
                        <w:bottom w:val="none" w:sz="0" w:space="0" w:color="auto"/>
                        <w:right w:val="none" w:sz="0" w:space="0" w:color="auto"/>
                      </w:divBdr>
                    </w:div>
                    <w:div w:id="968360441">
                      <w:marLeft w:val="0"/>
                      <w:marRight w:val="0"/>
                      <w:marTop w:val="0"/>
                      <w:marBottom w:val="0"/>
                      <w:divBdr>
                        <w:top w:val="none" w:sz="0" w:space="0" w:color="auto"/>
                        <w:left w:val="none" w:sz="0" w:space="0" w:color="auto"/>
                        <w:bottom w:val="none" w:sz="0" w:space="0" w:color="auto"/>
                        <w:right w:val="none" w:sz="0" w:space="0" w:color="auto"/>
                      </w:divBdr>
                    </w:div>
                    <w:div w:id="1375734599">
                      <w:marLeft w:val="0"/>
                      <w:marRight w:val="0"/>
                      <w:marTop w:val="0"/>
                      <w:marBottom w:val="0"/>
                      <w:divBdr>
                        <w:top w:val="none" w:sz="0" w:space="0" w:color="auto"/>
                        <w:left w:val="none" w:sz="0" w:space="0" w:color="auto"/>
                        <w:bottom w:val="none" w:sz="0" w:space="0" w:color="auto"/>
                        <w:right w:val="none" w:sz="0" w:space="0" w:color="auto"/>
                      </w:divBdr>
                    </w:div>
                    <w:div w:id="1431311808">
                      <w:marLeft w:val="0"/>
                      <w:marRight w:val="0"/>
                      <w:marTop w:val="0"/>
                      <w:marBottom w:val="0"/>
                      <w:divBdr>
                        <w:top w:val="none" w:sz="0" w:space="0" w:color="auto"/>
                        <w:left w:val="none" w:sz="0" w:space="0" w:color="auto"/>
                        <w:bottom w:val="none" w:sz="0" w:space="0" w:color="auto"/>
                        <w:right w:val="none" w:sz="0" w:space="0" w:color="auto"/>
                      </w:divBdr>
                    </w:div>
                    <w:div w:id="1511989235">
                      <w:marLeft w:val="0"/>
                      <w:marRight w:val="0"/>
                      <w:marTop w:val="0"/>
                      <w:marBottom w:val="0"/>
                      <w:divBdr>
                        <w:top w:val="none" w:sz="0" w:space="0" w:color="auto"/>
                        <w:left w:val="none" w:sz="0" w:space="0" w:color="auto"/>
                        <w:bottom w:val="none" w:sz="0" w:space="0" w:color="auto"/>
                        <w:right w:val="none" w:sz="0" w:space="0" w:color="auto"/>
                      </w:divBdr>
                    </w:div>
                    <w:div w:id="1520924719">
                      <w:marLeft w:val="0"/>
                      <w:marRight w:val="0"/>
                      <w:marTop w:val="0"/>
                      <w:marBottom w:val="0"/>
                      <w:divBdr>
                        <w:top w:val="none" w:sz="0" w:space="0" w:color="auto"/>
                        <w:left w:val="none" w:sz="0" w:space="0" w:color="auto"/>
                        <w:bottom w:val="none" w:sz="0" w:space="0" w:color="auto"/>
                        <w:right w:val="none" w:sz="0" w:space="0" w:color="auto"/>
                      </w:divBdr>
                    </w:div>
                    <w:div w:id="1593509540">
                      <w:marLeft w:val="0"/>
                      <w:marRight w:val="0"/>
                      <w:marTop w:val="0"/>
                      <w:marBottom w:val="0"/>
                      <w:divBdr>
                        <w:top w:val="none" w:sz="0" w:space="0" w:color="auto"/>
                        <w:left w:val="none" w:sz="0" w:space="0" w:color="auto"/>
                        <w:bottom w:val="none" w:sz="0" w:space="0" w:color="auto"/>
                        <w:right w:val="none" w:sz="0" w:space="0" w:color="auto"/>
                      </w:divBdr>
                    </w:div>
                    <w:div w:id="1728725230">
                      <w:marLeft w:val="0"/>
                      <w:marRight w:val="0"/>
                      <w:marTop w:val="0"/>
                      <w:marBottom w:val="0"/>
                      <w:divBdr>
                        <w:top w:val="none" w:sz="0" w:space="0" w:color="auto"/>
                        <w:left w:val="none" w:sz="0" w:space="0" w:color="auto"/>
                        <w:bottom w:val="none" w:sz="0" w:space="0" w:color="auto"/>
                        <w:right w:val="none" w:sz="0" w:space="0" w:color="auto"/>
                      </w:divBdr>
                    </w:div>
                    <w:div w:id="2025283220">
                      <w:marLeft w:val="0"/>
                      <w:marRight w:val="0"/>
                      <w:marTop w:val="0"/>
                      <w:marBottom w:val="0"/>
                      <w:divBdr>
                        <w:top w:val="none" w:sz="0" w:space="0" w:color="auto"/>
                        <w:left w:val="none" w:sz="0" w:space="0" w:color="auto"/>
                        <w:bottom w:val="none" w:sz="0" w:space="0" w:color="auto"/>
                        <w:right w:val="none" w:sz="0" w:space="0" w:color="auto"/>
                      </w:divBdr>
                    </w:div>
                    <w:div w:id="2090155118">
                      <w:marLeft w:val="0"/>
                      <w:marRight w:val="0"/>
                      <w:marTop w:val="0"/>
                      <w:marBottom w:val="0"/>
                      <w:divBdr>
                        <w:top w:val="none" w:sz="0" w:space="0" w:color="auto"/>
                        <w:left w:val="none" w:sz="0" w:space="0" w:color="auto"/>
                        <w:bottom w:val="none" w:sz="0" w:space="0" w:color="auto"/>
                        <w:right w:val="none" w:sz="0" w:space="0" w:color="auto"/>
                      </w:divBdr>
                    </w:div>
                  </w:divsChild>
                </w:div>
                <w:div w:id="929124111">
                  <w:marLeft w:val="0"/>
                  <w:marRight w:val="0"/>
                  <w:marTop w:val="0"/>
                  <w:marBottom w:val="0"/>
                  <w:divBdr>
                    <w:top w:val="none" w:sz="0" w:space="0" w:color="auto"/>
                    <w:left w:val="none" w:sz="0" w:space="0" w:color="auto"/>
                    <w:bottom w:val="none" w:sz="0" w:space="0" w:color="auto"/>
                    <w:right w:val="none" w:sz="0" w:space="0" w:color="auto"/>
                  </w:divBdr>
                  <w:divsChild>
                    <w:div w:id="942343480">
                      <w:marLeft w:val="0"/>
                      <w:marRight w:val="0"/>
                      <w:marTop w:val="0"/>
                      <w:marBottom w:val="0"/>
                      <w:divBdr>
                        <w:top w:val="none" w:sz="0" w:space="0" w:color="auto"/>
                        <w:left w:val="none" w:sz="0" w:space="0" w:color="auto"/>
                        <w:bottom w:val="none" w:sz="0" w:space="0" w:color="auto"/>
                        <w:right w:val="none" w:sz="0" w:space="0" w:color="auto"/>
                      </w:divBdr>
                    </w:div>
                  </w:divsChild>
                </w:div>
                <w:div w:id="935750481">
                  <w:marLeft w:val="0"/>
                  <w:marRight w:val="0"/>
                  <w:marTop w:val="0"/>
                  <w:marBottom w:val="0"/>
                  <w:divBdr>
                    <w:top w:val="none" w:sz="0" w:space="0" w:color="auto"/>
                    <w:left w:val="none" w:sz="0" w:space="0" w:color="auto"/>
                    <w:bottom w:val="none" w:sz="0" w:space="0" w:color="auto"/>
                    <w:right w:val="none" w:sz="0" w:space="0" w:color="auto"/>
                  </w:divBdr>
                  <w:divsChild>
                    <w:div w:id="593052641">
                      <w:marLeft w:val="0"/>
                      <w:marRight w:val="0"/>
                      <w:marTop w:val="0"/>
                      <w:marBottom w:val="0"/>
                      <w:divBdr>
                        <w:top w:val="none" w:sz="0" w:space="0" w:color="auto"/>
                        <w:left w:val="none" w:sz="0" w:space="0" w:color="auto"/>
                        <w:bottom w:val="none" w:sz="0" w:space="0" w:color="auto"/>
                        <w:right w:val="none" w:sz="0" w:space="0" w:color="auto"/>
                      </w:divBdr>
                    </w:div>
                  </w:divsChild>
                </w:div>
                <w:div w:id="936058420">
                  <w:marLeft w:val="0"/>
                  <w:marRight w:val="0"/>
                  <w:marTop w:val="0"/>
                  <w:marBottom w:val="0"/>
                  <w:divBdr>
                    <w:top w:val="none" w:sz="0" w:space="0" w:color="auto"/>
                    <w:left w:val="none" w:sz="0" w:space="0" w:color="auto"/>
                    <w:bottom w:val="none" w:sz="0" w:space="0" w:color="auto"/>
                    <w:right w:val="none" w:sz="0" w:space="0" w:color="auto"/>
                  </w:divBdr>
                  <w:divsChild>
                    <w:div w:id="1188984021">
                      <w:marLeft w:val="0"/>
                      <w:marRight w:val="0"/>
                      <w:marTop w:val="0"/>
                      <w:marBottom w:val="0"/>
                      <w:divBdr>
                        <w:top w:val="none" w:sz="0" w:space="0" w:color="auto"/>
                        <w:left w:val="none" w:sz="0" w:space="0" w:color="auto"/>
                        <w:bottom w:val="none" w:sz="0" w:space="0" w:color="auto"/>
                        <w:right w:val="none" w:sz="0" w:space="0" w:color="auto"/>
                      </w:divBdr>
                    </w:div>
                  </w:divsChild>
                </w:div>
                <w:div w:id="940796682">
                  <w:marLeft w:val="0"/>
                  <w:marRight w:val="0"/>
                  <w:marTop w:val="0"/>
                  <w:marBottom w:val="0"/>
                  <w:divBdr>
                    <w:top w:val="none" w:sz="0" w:space="0" w:color="auto"/>
                    <w:left w:val="none" w:sz="0" w:space="0" w:color="auto"/>
                    <w:bottom w:val="none" w:sz="0" w:space="0" w:color="auto"/>
                    <w:right w:val="none" w:sz="0" w:space="0" w:color="auto"/>
                  </w:divBdr>
                  <w:divsChild>
                    <w:div w:id="913857043">
                      <w:marLeft w:val="0"/>
                      <w:marRight w:val="0"/>
                      <w:marTop w:val="0"/>
                      <w:marBottom w:val="0"/>
                      <w:divBdr>
                        <w:top w:val="none" w:sz="0" w:space="0" w:color="auto"/>
                        <w:left w:val="none" w:sz="0" w:space="0" w:color="auto"/>
                        <w:bottom w:val="none" w:sz="0" w:space="0" w:color="auto"/>
                        <w:right w:val="none" w:sz="0" w:space="0" w:color="auto"/>
                      </w:divBdr>
                    </w:div>
                  </w:divsChild>
                </w:div>
                <w:div w:id="951206545">
                  <w:marLeft w:val="0"/>
                  <w:marRight w:val="0"/>
                  <w:marTop w:val="0"/>
                  <w:marBottom w:val="0"/>
                  <w:divBdr>
                    <w:top w:val="none" w:sz="0" w:space="0" w:color="auto"/>
                    <w:left w:val="none" w:sz="0" w:space="0" w:color="auto"/>
                    <w:bottom w:val="none" w:sz="0" w:space="0" w:color="auto"/>
                    <w:right w:val="none" w:sz="0" w:space="0" w:color="auto"/>
                  </w:divBdr>
                  <w:divsChild>
                    <w:div w:id="901915221">
                      <w:marLeft w:val="0"/>
                      <w:marRight w:val="0"/>
                      <w:marTop w:val="0"/>
                      <w:marBottom w:val="0"/>
                      <w:divBdr>
                        <w:top w:val="none" w:sz="0" w:space="0" w:color="auto"/>
                        <w:left w:val="none" w:sz="0" w:space="0" w:color="auto"/>
                        <w:bottom w:val="none" w:sz="0" w:space="0" w:color="auto"/>
                        <w:right w:val="none" w:sz="0" w:space="0" w:color="auto"/>
                      </w:divBdr>
                    </w:div>
                  </w:divsChild>
                </w:div>
                <w:div w:id="956369906">
                  <w:marLeft w:val="0"/>
                  <w:marRight w:val="0"/>
                  <w:marTop w:val="0"/>
                  <w:marBottom w:val="0"/>
                  <w:divBdr>
                    <w:top w:val="none" w:sz="0" w:space="0" w:color="auto"/>
                    <w:left w:val="none" w:sz="0" w:space="0" w:color="auto"/>
                    <w:bottom w:val="none" w:sz="0" w:space="0" w:color="auto"/>
                    <w:right w:val="none" w:sz="0" w:space="0" w:color="auto"/>
                  </w:divBdr>
                  <w:divsChild>
                    <w:div w:id="1433084204">
                      <w:marLeft w:val="0"/>
                      <w:marRight w:val="0"/>
                      <w:marTop w:val="0"/>
                      <w:marBottom w:val="0"/>
                      <w:divBdr>
                        <w:top w:val="none" w:sz="0" w:space="0" w:color="auto"/>
                        <w:left w:val="none" w:sz="0" w:space="0" w:color="auto"/>
                        <w:bottom w:val="none" w:sz="0" w:space="0" w:color="auto"/>
                        <w:right w:val="none" w:sz="0" w:space="0" w:color="auto"/>
                      </w:divBdr>
                    </w:div>
                  </w:divsChild>
                </w:div>
                <w:div w:id="959533335">
                  <w:marLeft w:val="0"/>
                  <w:marRight w:val="0"/>
                  <w:marTop w:val="0"/>
                  <w:marBottom w:val="0"/>
                  <w:divBdr>
                    <w:top w:val="none" w:sz="0" w:space="0" w:color="auto"/>
                    <w:left w:val="none" w:sz="0" w:space="0" w:color="auto"/>
                    <w:bottom w:val="none" w:sz="0" w:space="0" w:color="auto"/>
                    <w:right w:val="none" w:sz="0" w:space="0" w:color="auto"/>
                  </w:divBdr>
                  <w:divsChild>
                    <w:div w:id="2112160336">
                      <w:marLeft w:val="0"/>
                      <w:marRight w:val="0"/>
                      <w:marTop w:val="0"/>
                      <w:marBottom w:val="0"/>
                      <w:divBdr>
                        <w:top w:val="none" w:sz="0" w:space="0" w:color="auto"/>
                        <w:left w:val="none" w:sz="0" w:space="0" w:color="auto"/>
                        <w:bottom w:val="none" w:sz="0" w:space="0" w:color="auto"/>
                        <w:right w:val="none" w:sz="0" w:space="0" w:color="auto"/>
                      </w:divBdr>
                    </w:div>
                  </w:divsChild>
                </w:div>
                <w:div w:id="963775689">
                  <w:marLeft w:val="0"/>
                  <w:marRight w:val="0"/>
                  <w:marTop w:val="0"/>
                  <w:marBottom w:val="0"/>
                  <w:divBdr>
                    <w:top w:val="none" w:sz="0" w:space="0" w:color="auto"/>
                    <w:left w:val="none" w:sz="0" w:space="0" w:color="auto"/>
                    <w:bottom w:val="none" w:sz="0" w:space="0" w:color="auto"/>
                    <w:right w:val="none" w:sz="0" w:space="0" w:color="auto"/>
                  </w:divBdr>
                  <w:divsChild>
                    <w:div w:id="753361121">
                      <w:marLeft w:val="0"/>
                      <w:marRight w:val="0"/>
                      <w:marTop w:val="0"/>
                      <w:marBottom w:val="0"/>
                      <w:divBdr>
                        <w:top w:val="none" w:sz="0" w:space="0" w:color="auto"/>
                        <w:left w:val="none" w:sz="0" w:space="0" w:color="auto"/>
                        <w:bottom w:val="none" w:sz="0" w:space="0" w:color="auto"/>
                        <w:right w:val="none" w:sz="0" w:space="0" w:color="auto"/>
                      </w:divBdr>
                    </w:div>
                  </w:divsChild>
                </w:div>
                <w:div w:id="967664629">
                  <w:marLeft w:val="0"/>
                  <w:marRight w:val="0"/>
                  <w:marTop w:val="0"/>
                  <w:marBottom w:val="0"/>
                  <w:divBdr>
                    <w:top w:val="none" w:sz="0" w:space="0" w:color="auto"/>
                    <w:left w:val="none" w:sz="0" w:space="0" w:color="auto"/>
                    <w:bottom w:val="none" w:sz="0" w:space="0" w:color="auto"/>
                    <w:right w:val="none" w:sz="0" w:space="0" w:color="auto"/>
                  </w:divBdr>
                  <w:divsChild>
                    <w:div w:id="314333038">
                      <w:marLeft w:val="0"/>
                      <w:marRight w:val="0"/>
                      <w:marTop w:val="0"/>
                      <w:marBottom w:val="0"/>
                      <w:divBdr>
                        <w:top w:val="none" w:sz="0" w:space="0" w:color="auto"/>
                        <w:left w:val="none" w:sz="0" w:space="0" w:color="auto"/>
                        <w:bottom w:val="none" w:sz="0" w:space="0" w:color="auto"/>
                        <w:right w:val="none" w:sz="0" w:space="0" w:color="auto"/>
                      </w:divBdr>
                    </w:div>
                  </w:divsChild>
                </w:div>
                <w:div w:id="968902217">
                  <w:marLeft w:val="0"/>
                  <w:marRight w:val="0"/>
                  <w:marTop w:val="0"/>
                  <w:marBottom w:val="0"/>
                  <w:divBdr>
                    <w:top w:val="none" w:sz="0" w:space="0" w:color="auto"/>
                    <w:left w:val="none" w:sz="0" w:space="0" w:color="auto"/>
                    <w:bottom w:val="none" w:sz="0" w:space="0" w:color="auto"/>
                    <w:right w:val="none" w:sz="0" w:space="0" w:color="auto"/>
                  </w:divBdr>
                  <w:divsChild>
                    <w:div w:id="242572002">
                      <w:marLeft w:val="0"/>
                      <w:marRight w:val="0"/>
                      <w:marTop w:val="0"/>
                      <w:marBottom w:val="0"/>
                      <w:divBdr>
                        <w:top w:val="none" w:sz="0" w:space="0" w:color="auto"/>
                        <w:left w:val="none" w:sz="0" w:space="0" w:color="auto"/>
                        <w:bottom w:val="none" w:sz="0" w:space="0" w:color="auto"/>
                        <w:right w:val="none" w:sz="0" w:space="0" w:color="auto"/>
                      </w:divBdr>
                    </w:div>
                  </w:divsChild>
                </w:div>
                <w:div w:id="983194544">
                  <w:marLeft w:val="0"/>
                  <w:marRight w:val="0"/>
                  <w:marTop w:val="0"/>
                  <w:marBottom w:val="0"/>
                  <w:divBdr>
                    <w:top w:val="none" w:sz="0" w:space="0" w:color="auto"/>
                    <w:left w:val="none" w:sz="0" w:space="0" w:color="auto"/>
                    <w:bottom w:val="none" w:sz="0" w:space="0" w:color="auto"/>
                    <w:right w:val="none" w:sz="0" w:space="0" w:color="auto"/>
                  </w:divBdr>
                  <w:divsChild>
                    <w:div w:id="1578172941">
                      <w:marLeft w:val="0"/>
                      <w:marRight w:val="0"/>
                      <w:marTop w:val="0"/>
                      <w:marBottom w:val="0"/>
                      <w:divBdr>
                        <w:top w:val="none" w:sz="0" w:space="0" w:color="auto"/>
                        <w:left w:val="none" w:sz="0" w:space="0" w:color="auto"/>
                        <w:bottom w:val="none" w:sz="0" w:space="0" w:color="auto"/>
                        <w:right w:val="none" w:sz="0" w:space="0" w:color="auto"/>
                      </w:divBdr>
                    </w:div>
                  </w:divsChild>
                </w:div>
                <w:div w:id="983698601">
                  <w:marLeft w:val="0"/>
                  <w:marRight w:val="0"/>
                  <w:marTop w:val="0"/>
                  <w:marBottom w:val="0"/>
                  <w:divBdr>
                    <w:top w:val="none" w:sz="0" w:space="0" w:color="auto"/>
                    <w:left w:val="none" w:sz="0" w:space="0" w:color="auto"/>
                    <w:bottom w:val="none" w:sz="0" w:space="0" w:color="auto"/>
                    <w:right w:val="none" w:sz="0" w:space="0" w:color="auto"/>
                  </w:divBdr>
                  <w:divsChild>
                    <w:div w:id="162401215">
                      <w:marLeft w:val="0"/>
                      <w:marRight w:val="0"/>
                      <w:marTop w:val="0"/>
                      <w:marBottom w:val="0"/>
                      <w:divBdr>
                        <w:top w:val="none" w:sz="0" w:space="0" w:color="auto"/>
                        <w:left w:val="none" w:sz="0" w:space="0" w:color="auto"/>
                        <w:bottom w:val="none" w:sz="0" w:space="0" w:color="auto"/>
                        <w:right w:val="none" w:sz="0" w:space="0" w:color="auto"/>
                      </w:divBdr>
                    </w:div>
                  </w:divsChild>
                </w:div>
                <w:div w:id="983898608">
                  <w:marLeft w:val="0"/>
                  <w:marRight w:val="0"/>
                  <w:marTop w:val="0"/>
                  <w:marBottom w:val="0"/>
                  <w:divBdr>
                    <w:top w:val="none" w:sz="0" w:space="0" w:color="auto"/>
                    <w:left w:val="none" w:sz="0" w:space="0" w:color="auto"/>
                    <w:bottom w:val="none" w:sz="0" w:space="0" w:color="auto"/>
                    <w:right w:val="none" w:sz="0" w:space="0" w:color="auto"/>
                  </w:divBdr>
                  <w:divsChild>
                    <w:div w:id="876116655">
                      <w:marLeft w:val="0"/>
                      <w:marRight w:val="0"/>
                      <w:marTop w:val="0"/>
                      <w:marBottom w:val="0"/>
                      <w:divBdr>
                        <w:top w:val="none" w:sz="0" w:space="0" w:color="auto"/>
                        <w:left w:val="none" w:sz="0" w:space="0" w:color="auto"/>
                        <w:bottom w:val="none" w:sz="0" w:space="0" w:color="auto"/>
                        <w:right w:val="none" w:sz="0" w:space="0" w:color="auto"/>
                      </w:divBdr>
                    </w:div>
                  </w:divsChild>
                </w:div>
                <w:div w:id="999968997">
                  <w:marLeft w:val="0"/>
                  <w:marRight w:val="0"/>
                  <w:marTop w:val="0"/>
                  <w:marBottom w:val="0"/>
                  <w:divBdr>
                    <w:top w:val="none" w:sz="0" w:space="0" w:color="auto"/>
                    <w:left w:val="none" w:sz="0" w:space="0" w:color="auto"/>
                    <w:bottom w:val="none" w:sz="0" w:space="0" w:color="auto"/>
                    <w:right w:val="none" w:sz="0" w:space="0" w:color="auto"/>
                  </w:divBdr>
                  <w:divsChild>
                    <w:div w:id="901332040">
                      <w:marLeft w:val="0"/>
                      <w:marRight w:val="0"/>
                      <w:marTop w:val="0"/>
                      <w:marBottom w:val="0"/>
                      <w:divBdr>
                        <w:top w:val="none" w:sz="0" w:space="0" w:color="auto"/>
                        <w:left w:val="none" w:sz="0" w:space="0" w:color="auto"/>
                        <w:bottom w:val="none" w:sz="0" w:space="0" w:color="auto"/>
                        <w:right w:val="none" w:sz="0" w:space="0" w:color="auto"/>
                      </w:divBdr>
                    </w:div>
                  </w:divsChild>
                </w:div>
                <w:div w:id="1001082961">
                  <w:marLeft w:val="0"/>
                  <w:marRight w:val="0"/>
                  <w:marTop w:val="0"/>
                  <w:marBottom w:val="0"/>
                  <w:divBdr>
                    <w:top w:val="none" w:sz="0" w:space="0" w:color="auto"/>
                    <w:left w:val="none" w:sz="0" w:space="0" w:color="auto"/>
                    <w:bottom w:val="none" w:sz="0" w:space="0" w:color="auto"/>
                    <w:right w:val="none" w:sz="0" w:space="0" w:color="auto"/>
                  </w:divBdr>
                  <w:divsChild>
                    <w:div w:id="2035226604">
                      <w:marLeft w:val="0"/>
                      <w:marRight w:val="0"/>
                      <w:marTop w:val="0"/>
                      <w:marBottom w:val="0"/>
                      <w:divBdr>
                        <w:top w:val="none" w:sz="0" w:space="0" w:color="auto"/>
                        <w:left w:val="none" w:sz="0" w:space="0" w:color="auto"/>
                        <w:bottom w:val="none" w:sz="0" w:space="0" w:color="auto"/>
                        <w:right w:val="none" w:sz="0" w:space="0" w:color="auto"/>
                      </w:divBdr>
                    </w:div>
                  </w:divsChild>
                </w:div>
                <w:div w:id="1027096411">
                  <w:marLeft w:val="0"/>
                  <w:marRight w:val="0"/>
                  <w:marTop w:val="0"/>
                  <w:marBottom w:val="0"/>
                  <w:divBdr>
                    <w:top w:val="none" w:sz="0" w:space="0" w:color="auto"/>
                    <w:left w:val="none" w:sz="0" w:space="0" w:color="auto"/>
                    <w:bottom w:val="none" w:sz="0" w:space="0" w:color="auto"/>
                    <w:right w:val="none" w:sz="0" w:space="0" w:color="auto"/>
                  </w:divBdr>
                  <w:divsChild>
                    <w:div w:id="577636794">
                      <w:marLeft w:val="0"/>
                      <w:marRight w:val="0"/>
                      <w:marTop w:val="0"/>
                      <w:marBottom w:val="0"/>
                      <w:divBdr>
                        <w:top w:val="none" w:sz="0" w:space="0" w:color="auto"/>
                        <w:left w:val="none" w:sz="0" w:space="0" w:color="auto"/>
                        <w:bottom w:val="none" w:sz="0" w:space="0" w:color="auto"/>
                        <w:right w:val="none" w:sz="0" w:space="0" w:color="auto"/>
                      </w:divBdr>
                    </w:div>
                  </w:divsChild>
                </w:div>
                <w:div w:id="1034773090">
                  <w:marLeft w:val="0"/>
                  <w:marRight w:val="0"/>
                  <w:marTop w:val="0"/>
                  <w:marBottom w:val="0"/>
                  <w:divBdr>
                    <w:top w:val="none" w:sz="0" w:space="0" w:color="auto"/>
                    <w:left w:val="none" w:sz="0" w:space="0" w:color="auto"/>
                    <w:bottom w:val="none" w:sz="0" w:space="0" w:color="auto"/>
                    <w:right w:val="none" w:sz="0" w:space="0" w:color="auto"/>
                  </w:divBdr>
                  <w:divsChild>
                    <w:div w:id="1250697146">
                      <w:marLeft w:val="0"/>
                      <w:marRight w:val="0"/>
                      <w:marTop w:val="0"/>
                      <w:marBottom w:val="0"/>
                      <w:divBdr>
                        <w:top w:val="none" w:sz="0" w:space="0" w:color="auto"/>
                        <w:left w:val="none" w:sz="0" w:space="0" w:color="auto"/>
                        <w:bottom w:val="none" w:sz="0" w:space="0" w:color="auto"/>
                        <w:right w:val="none" w:sz="0" w:space="0" w:color="auto"/>
                      </w:divBdr>
                    </w:div>
                  </w:divsChild>
                </w:div>
                <w:div w:id="1042366749">
                  <w:marLeft w:val="0"/>
                  <w:marRight w:val="0"/>
                  <w:marTop w:val="0"/>
                  <w:marBottom w:val="0"/>
                  <w:divBdr>
                    <w:top w:val="none" w:sz="0" w:space="0" w:color="auto"/>
                    <w:left w:val="none" w:sz="0" w:space="0" w:color="auto"/>
                    <w:bottom w:val="none" w:sz="0" w:space="0" w:color="auto"/>
                    <w:right w:val="none" w:sz="0" w:space="0" w:color="auto"/>
                  </w:divBdr>
                  <w:divsChild>
                    <w:div w:id="1105231666">
                      <w:marLeft w:val="0"/>
                      <w:marRight w:val="0"/>
                      <w:marTop w:val="0"/>
                      <w:marBottom w:val="0"/>
                      <w:divBdr>
                        <w:top w:val="none" w:sz="0" w:space="0" w:color="auto"/>
                        <w:left w:val="none" w:sz="0" w:space="0" w:color="auto"/>
                        <w:bottom w:val="none" w:sz="0" w:space="0" w:color="auto"/>
                        <w:right w:val="none" w:sz="0" w:space="0" w:color="auto"/>
                      </w:divBdr>
                    </w:div>
                  </w:divsChild>
                </w:div>
                <w:div w:id="1074744450">
                  <w:marLeft w:val="0"/>
                  <w:marRight w:val="0"/>
                  <w:marTop w:val="0"/>
                  <w:marBottom w:val="0"/>
                  <w:divBdr>
                    <w:top w:val="none" w:sz="0" w:space="0" w:color="auto"/>
                    <w:left w:val="none" w:sz="0" w:space="0" w:color="auto"/>
                    <w:bottom w:val="none" w:sz="0" w:space="0" w:color="auto"/>
                    <w:right w:val="none" w:sz="0" w:space="0" w:color="auto"/>
                  </w:divBdr>
                  <w:divsChild>
                    <w:div w:id="1716276608">
                      <w:marLeft w:val="0"/>
                      <w:marRight w:val="0"/>
                      <w:marTop w:val="0"/>
                      <w:marBottom w:val="0"/>
                      <w:divBdr>
                        <w:top w:val="none" w:sz="0" w:space="0" w:color="auto"/>
                        <w:left w:val="none" w:sz="0" w:space="0" w:color="auto"/>
                        <w:bottom w:val="none" w:sz="0" w:space="0" w:color="auto"/>
                        <w:right w:val="none" w:sz="0" w:space="0" w:color="auto"/>
                      </w:divBdr>
                    </w:div>
                  </w:divsChild>
                </w:div>
                <w:div w:id="1081293740">
                  <w:marLeft w:val="0"/>
                  <w:marRight w:val="0"/>
                  <w:marTop w:val="0"/>
                  <w:marBottom w:val="0"/>
                  <w:divBdr>
                    <w:top w:val="none" w:sz="0" w:space="0" w:color="auto"/>
                    <w:left w:val="none" w:sz="0" w:space="0" w:color="auto"/>
                    <w:bottom w:val="none" w:sz="0" w:space="0" w:color="auto"/>
                    <w:right w:val="none" w:sz="0" w:space="0" w:color="auto"/>
                  </w:divBdr>
                  <w:divsChild>
                    <w:div w:id="888297757">
                      <w:marLeft w:val="0"/>
                      <w:marRight w:val="0"/>
                      <w:marTop w:val="0"/>
                      <w:marBottom w:val="0"/>
                      <w:divBdr>
                        <w:top w:val="none" w:sz="0" w:space="0" w:color="auto"/>
                        <w:left w:val="none" w:sz="0" w:space="0" w:color="auto"/>
                        <w:bottom w:val="none" w:sz="0" w:space="0" w:color="auto"/>
                        <w:right w:val="none" w:sz="0" w:space="0" w:color="auto"/>
                      </w:divBdr>
                    </w:div>
                  </w:divsChild>
                </w:div>
                <w:div w:id="1109085174">
                  <w:marLeft w:val="0"/>
                  <w:marRight w:val="0"/>
                  <w:marTop w:val="0"/>
                  <w:marBottom w:val="0"/>
                  <w:divBdr>
                    <w:top w:val="none" w:sz="0" w:space="0" w:color="auto"/>
                    <w:left w:val="none" w:sz="0" w:space="0" w:color="auto"/>
                    <w:bottom w:val="none" w:sz="0" w:space="0" w:color="auto"/>
                    <w:right w:val="none" w:sz="0" w:space="0" w:color="auto"/>
                  </w:divBdr>
                  <w:divsChild>
                    <w:div w:id="962157596">
                      <w:marLeft w:val="0"/>
                      <w:marRight w:val="0"/>
                      <w:marTop w:val="0"/>
                      <w:marBottom w:val="0"/>
                      <w:divBdr>
                        <w:top w:val="none" w:sz="0" w:space="0" w:color="auto"/>
                        <w:left w:val="none" w:sz="0" w:space="0" w:color="auto"/>
                        <w:bottom w:val="none" w:sz="0" w:space="0" w:color="auto"/>
                        <w:right w:val="none" w:sz="0" w:space="0" w:color="auto"/>
                      </w:divBdr>
                    </w:div>
                  </w:divsChild>
                </w:div>
                <w:div w:id="1111390797">
                  <w:marLeft w:val="0"/>
                  <w:marRight w:val="0"/>
                  <w:marTop w:val="0"/>
                  <w:marBottom w:val="0"/>
                  <w:divBdr>
                    <w:top w:val="none" w:sz="0" w:space="0" w:color="auto"/>
                    <w:left w:val="none" w:sz="0" w:space="0" w:color="auto"/>
                    <w:bottom w:val="none" w:sz="0" w:space="0" w:color="auto"/>
                    <w:right w:val="none" w:sz="0" w:space="0" w:color="auto"/>
                  </w:divBdr>
                  <w:divsChild>
                    <w:div w:id="1601909455">
                      <w:marLeft w:val="0"/>
                      <w:marRight w:val="0"/>
                      <w:marTop w:val="0"/>
                      <w:marBottom w:val="0"/>
                      <w:divBdr>
                        <w:top w:val="none" w:sz="0" w:space="0" w:color="auto"/>
                        <w:left w:val="none" w:sz="0" w:space="0" w:color="auto"/>
                        <w:bottom w:val="none" w:sz="0" w:space="0" w:color="auto"/>
                        <w:right w:val="none" w:sz="0" w:space="0" w:color="auto"/>
                      </w:divBdr>
                    </w:div>
                  </w:divsChild>
                </w:div>
                <w:div w:id="1120030035">
                  <w:marLeft w:val="0"/>
                  <w:marRight w:val="0"/>
                  <w:marTop w:val="0"/>
                  <w:marBottom w:val="0"/>
                  <w:divBdr>
                    <w:top w:val="none" w:sz="0" w:space="0" w:color="auto"/>
                    <w:left w:val="none" w:sz="0" w:space="0" w:color="auto"/>
                    <w:bottom w:val="none" w:sz="0" w:space="0" w:color="auto"/>
                    <w:right w:val="none" w:sz="0" w:space="0" w:color="auto"/>
                  </w:divBdr>
                  <w:divsChild>
                    <w:div w:id="757360579">
                      <w:marLeft w:val="0"/>
                      <w:marRight w:val="0"/>
                      <w:marTop w:val="0"/>
                      <w:marBottom w:val="0"/>
                      <w:divBdr>
                        <w:top w:val="none" w:sz="0" w:space="0" w:color="auto"/>
                        <w:left w:val="none" w:sz="0" w:space="0" w:color="auto"/>
                        <w:bottom w:val="none" w:sz="0" w:space="0" w:color="auto"/>
                        <w:right w:val="none" w:sz="0" w:space="0" w:color="auto"/>
                      </w:divBdr>
                    </w:div>
                  </w:divsChild>
                </w:div>
                <w:div w:id="1138571596">
                  <w:marLeft w:val="0"/>
                  <w:marRight w:val="0"/>
                  <w:marTop w:val="0"/>
                  <w:marBottom w:val="0"/>
                  <w:divBdr>
                    <w:top w:val="none" w:sz="0" w:space="0" w:color="auto"/>
                    <w:left w:val="none" w:sz="0" w:space="0" w:color="auto"/>
                    <w:bottom w:val="none" w:sz="0" w:space="0" w:color="auto"/>
                    <w:right w:val="none" w:sz="0" w:space="0" w:color="auto"/>
                  </w:divBdr>
                  <w:divsChild>
                    <w:div w:id="47077811">
                      <w:marLeft w:val="0"/>
                      <w:marRight w:val="0"/>
                      <w:marTop w:val="0"/>
                      <w:marBottom w:val="0"/>
                      <w:divBdr>
                        <w:top w:val="none" w:sz="0" w:space="0" w:color="auto"/>
                        <w:left w:val="none" w:sz="0" w:space="0" w:color="auto"/>
                        <w:bottom w:val="none" w:sz="0" w:space="0" w:color="auto"/>
                        <w:right w:val="none" w:sz="0" w:space="0" w:color="auto"/>
                      </w:divBdr>
                    </w:div>
                  </w:divsChild>
                </w:div>
                <w:div w:id="1148665283">
                  <w:marLeft w:val="0"/>
                  <w:marRight w:val="0"/>
                  <w:marTop w:val="0"/>
                  <w:marBottom w:val="0"/>
                  <w:divBdr>
                    <w:top w:val="none" w:sz="0" w:space="0" w:color="auto"/>
                    <w:left w:val="none" w:sz="0" w:space="0" w:color="auto"/>
                    <w:bottom w:val="none" w:sz="0" w:space="0" w:color="auto"/>
                    <w:right w:val="none" w:sz="0" w:space="0" w:color="auto"/>
                  </w:divBdr>
                  <w:divsChild>
                    <w:div w:id="1330794467">
                      <w:marLeft w:val="0"/>
                      <w:marRight w:val="0"/>
                      <w:marTop w:val="0"/>
                      <w:marBottom w:val="0"/>
                      <w:divBdr>
                        <w:top w:val="none" w:sz="0" w:space="0" w:color="auto"/>
                        <w:left w:val="none" w:sz="0" w:space="0" w:color="auto"/>
                        <w:bottom w:val="none" w:sz="0" w:space="0" w:color="auto"/>
                        <w:right w:val="none" w:sz="0" w:space="0" w:color="auto"/>
                      </w:divBdr>
                    </w:div>
                  </w:divsChild>
                </w:div>
                <w:div w:id="1151360906">
                  <w:marLeft w:val="0"/>
                  <w:marRight w:val="0"/>
                  <w:marTop w:val="0"/>
                  <w:marBottom w:val="0"/>
                  <w:divBdr>
                    <w:top w:val="none" w:sz="0" w:space="0" w:color="auto"/>
                    <w:left w:val="none" w:sz="0" w:space="0" w:color="auto"/>
                    <w:bottom w:val="none" w:sz="0" w:space="0" w:color="auto"/>
                    <w:right w:val="none" w:sz="0" w:space="0" w:color="auto"/>
                  </w:divBdr>
                  <w:divsChild>
                    <w:div w:id="697394155">
                      <w:marLeft w:val="0"/>
                      <w:marRight w:val="0"/>
                      <w:marTop w:val="0"/>
                      <w:marBottom w:val="0"/>
                      <w:divBdr>
                        <w:top w:val="none" w:sz="0" w:space="0" w:color="auto"/>
                        <w:left w:val="none" w:sz="0" w:space="0" w:color="auto"/>
                        <w:bottom w:val="none" w:sz="0" w:space="0" w:color="auto"/>
                        <w:right w:val="none" w:sz="0" w:space="0" w:color="auto"/>
                      </w:divBdr>
                    </w:div>
                  </w:divsChild>
                </w:div>
                <w:div w:id="1178808787">
                  <w:marLeft w:val="0"/>
                  <w:marRight w:val="0"/>
                  <w:marTop w:val="0"/>
                  <w:marBottom w:val="0"/>
                  <w:divBdr>
                    <w:top w:val="none" w:sz="0" w:space="0" w:color="auto"/>
                    <w:left w:val="none" w:sz="0" w:space="0" w:color="auto"/>
                    <w:bottom w:val="none" w:sz="0" w:space="0" w:color="auto"/>
                    <w:right w:val="none" w:sz="0" w:space="0" w:color="auto"/>
                  </w:divBdr>
                  <w:divsChild>
                    <w:div w:id="479157396">
                      <w:marLeft w:val="0"/>
                      <w:marRight w:val="0"/>
                      <w:marTop w:val="0"/>
                      <w:marBottom w:val="0"/>
                      <w:divBdr>
                        <w:top w:val="none" w:sz="0" w:space="0" w:color="auto"/>
                        <w:left w:val="none" w:sz="0" w:space="0" w:color="auto"/>
                        <w:bottom w:val="none" w:sz="0" w:space="0" w:color="auto"/>
                        <w:right w:val="none" w:sz="0" w:space="0" w:color="auto"/>
                      </w:divBdr>
                    </w:div>
                  </w:divsChild>
                </w:div>
                <w:div w:id="1182478430">
                  <w:marLeft w:val="0"/>
                  <w:marRight w:val="0"/>
                  <w:marTop w:val="0"/>
                  <w:marBottom w:val="0"/>
                  <w:divBdr>
                    <w:top w:val="none" w:sz="0" w:space="0" w:color="auto"/>
                    <w:left w:val="none" w:sz="0" w:space="0" w:color="auto"/>
                    <w:bottom w:val="none" w:sz="0" w:space="0" w:color="auto"/>
                    <w:right w:val="none" w:sz="0" w:space="0" w:color="auto"/>
                  </w:divBdr>
                  <w:divsChild>
                    <w:div w:id="1428308952">
                      <w:marLeft w:val="0"/>
                      <w:marRight w:val="0"/>
                      <w:marTop w:val="0"/>
                      <w:marBottom w:val="0"/>
                      <w:divBdr>
                        <w:top w:val="none" w:sz="0" w:space="0" w:color="auto"/>
                        <w:left w:val="none" w:sz="0" w:space="0" w:color="auto"/>
                        <w:bottom w:val="none" w:sz="0" w:space="0" w:color="auto"/>
                        <w:right w:val="none" w:sz="0" w:space="0" w:color="auto"/>
                      </w:divBdr>
                    </w:div>
                  </w:divsChild>
                </w:div>
                <w:div w:id="1201288209">
                  <w:marLeft w:val="0"/>
                  <w:marRight w:val="0"/>
                  <w:marTop w:val="0"/>
                  <w:marBottom w:val="0"/>
                  <w:divBdr>
                    <w:top w:val="none" w:sz="0" w:space="0" w:color="auto"/>
                    <w:left w:val="none" w:sz="0" w:space="0" w:color="auto"/>
                    <w:bottom w:val="none" w:sz="0" w:space="0" w:color="auto"/>
                    <w:right w:val="none" w:sz="0" w:space="0" w:color="auto"/>
                  </w:divBdr>
                  <w:divsChild>
                    <w:div w:id="94447837">
                      <w:marLeft w:val="0"/>
                      <w:marRight w:val="0"/>
                      <w:marTop w:val="0"/>
                      <w:marBottom w:val="0"/>
                      <w:divBdr>
                        <w:top w:val="none" w:sz="0" w:space="0" w:color="auto"/>
                        <w:left w:val="none" w:sz="0" w:space="0" w:color="auto"/>
                        <w:bottom w:val="none" w:sz="0" w:space="0" w:color="auto"/>
                        <w:right w:val="none" w:sz="0" w:space="0" w:color="auto"/>
                      </w:divBdr>
                    </w:div>
                  </w:divsChild>
                </w:div>
                <w:div w:id="1210410700">
                  <w:marLeft w:val="0"/>
                  <w:marRight w:val="0"/>
                  <w:marTop w:val="0"/>
                  <w:marBottom w:val="0"/>
                  <w:divBdr>
                    <w:top w:val="none" w:sz="0" w:space="0" w:color="auto"/>
                    <w:left w:val="none" w:sz="0" w:space="0" w:color="auto"/>
                    <w:bottom w:val="none" w:sz="0" w:space="0" w:color="auto"/>
                    <w:right w:val="none" w:sz="0" w:space="0" w:color="auto"/>
                  </w:divBdr>
                  <w:divsChild>
                    <w:div w:id="1830974334">
                      <w:marLeft w:val="0"/>
                      <w:marRight w:val="0"/>
                      <w:marTop w:val="0"/>
                      <w:marBottom w:val="0"/>
                      <w:divBdr>
                        <w:top w:val="none" w:sz="0" w:space="0" w:color="auto"/>
                        <w:left w:val="none" w:sz="0" w:space="0" w:color="auto"/>
                        <w:bottom w:val="none" w:sz="0" w:space="0" w:color="auto"/>
                        <w:right w:val="none" w:sz="0" w:space="0" w:color="auto"/>
                      </w:divBdr>
                    </w:div>
                  </w:divsChild>
                </w:div>
                <w:div w:id="1213807959">
                  <w:marLeft w:val="0"/>
                  <w:marRight w:val="0"/>
                  <w:marTop w:val="0"/>
                  <w:marBottom w:val="0"/>
                  <w:divBdr>
                    <w:top w:val="none" w:sz="0" w:space="0" w:color="auto"/>
                    <w:left w:val="none" w:sz="0" w:space="0" w:color="auto"/>
                    <w:bottom w:val="none" w:sz="0" w:space="0" w:color="auto"/>
                    <w:right w:val="none" w:sz="0" w:space="0" w:color="auto"/>
                  </w:divBdr>
                  <w:divsChild>
                    <w:div w:id="1475372858">
                      <w:marLeft w:val="0"/>
                      <w:marRight w:val="0"/>
                      <w:marTop w:val="0"/>
                      <w:marBottom w:val="0"/>
                      <w:divBdr>
                        <w:top w:val="none" w:sz="0" w:space="0" w:color="auto"/>
                        <w:left w:val="none" w:sz="0" w:space="0" w:color="auto"/>
                        <w:bottom w:val="none" w:sz="0" w:space="0" w:color="auto"/>
                        <w:right w:val="none" w:sz="0" w:space="0" w:color="auto"/>
                      </w:divBdr>
                    </w:div>
                  </w:divsChild>
                </w:div>
                <w:div w:id="1214393428">
                  <w:marLeft w:val="0"/>
                  <w:marRight w:val="0"/>
                  <w:marTop w:val="0"/>
                  <w:marBottom w:val="0"/>
                  <w:divBdr>
                    <w:top w:val="none" w:sz="0" w:space="0" w:color="auto"/>
                    <w:left w:val="none" w:sz="0" w:space="0" w:color="auto"/>
                    <w:bottom w:val="none" w:sz="0" w:space="0" w:color="auto"/>
                    <w:right w:val="none" w:sz="0" w:space="0" w:color="auto"/>
                  </w:divBdr>
                  <w:divsChild>
                    <w:div w:id="1663579548">
                      <w:marLeft w:val="0"/>
                      <w:marRight w:val="0"/>
                      <w:marTop w:val="0"/>
                      <w:marBottom w:val="0"/>
                      <w:divBdr>
                        <w:top w:val="none" w:sz="0" w:space="0" w:color="auto"/>
                        <w:left w:val="none" w:sz="0" w:space="0" w:color="auto"/>
                        <w:bottom w:val="none" w:sz="0" w:space="0" w:color="auto"/>
                        <w:right w:val="none" w:sz="0" w:space="0" w:color="auto"/>
                      </w:divBdr>
                    </w:div>
                  </w:divsChild>
                </w:div>
                <w:div w:id="1220940811">
                  <w:marLeft w:val="0"/>
                  <w:marRight w:val="0"/>
                  <w:marTop w:val="0"/>
                  <w:marBottom w:val="0"/>
                  <w:divBdr>
                    <w:top w:val="none" w:sz="0" w:space="0" w:color="auto"/>
                    <w:left w:val="none" w:sz="0" w:space="0" w:color="auto"/>
                    <w:bottom w:val="none" w:sz="0" w:space="0" w:color="auto"/>
                    <w:right w:val="none" w:sz="0" w:space="0" w:color="auto"/>
                  </w:divBdr>
                  <w:divsChild>
                    <w:div w:id="876313003">
                      <w:marLeft w:val="0"/>
                      <w:marRight w:val="0"/>
                      <w:marTop w:val="0"/>
                      <w:marBottom w:val="0"/>
                      <w:divBdr>
                        <w:top w:val="none" w:sz="0" w:space="0" w:color="auto"/>
                        <w:left w:val="none" w:sz="0" w:space="0" w:color="auto"/>
                        <w:bottom w:val="none" w:sz="0" w:space="0" w:color="auto"/>
                        <w:right w:val="none" w:sz="0" w:space="0" w:color="auto"/>
                      </w:divBdr>
                    </w:div>
                  </w:divsChild>
                </w:div>
                <w:div w:id="1234776642">
                  <w:marLeft w:val="0"/>
                  <w:marRight w:val="0"/>
                  <w:marTop w:val="0"/>
                  <w:marBottom w:val="0"/>
                  <w:divBdr>
                    <w:top w:val="none" w:sz="0" w:space="0" w:color="auto"/>
                    <w:left w:val="none" w:sz="0" w:space="0" w:color="auto"/>
                    <w:bottom w:val="none" w:sz="0" w:space="0" w:color="auto"/>
                    <w:right w:val="none" w:sz="0" w:space="0" w:color="auto"/>
                  </w:divBdr>
                  <w:divsChild>
                    <w:div w:id="1950962826">
                      <w:marLeft w:val="0"/>
                      <w:marRight w:val="0"/>
                      <w:marTop w:val="0"/>
                      <w:marBottom w:val="0"/>
                      <w:divBdr>
                        <w:top w:val="none" w:sz="0" w:space="0" w:color="auto"/>
                        <w:left w:val="none" w:sz="0" w:space="0" w:color="auto"/>
                        <w:bottom w:val="none" w:sz="0" w:space="0" w:color="auto"/>
                        <w:right w:val="none" w:sz="0" w:space="0" w:color="auto"/>
                      </w:divBdr>
                    </w:div>
                  </w:divsChild>
                </w:div>
                <w:div w:id="1237277964">
                  <w:marLeft w:val="0"/>
                  <w:marRight w:val="0"/>
                  <w:marTop w:val="0"/>
                  <w:marBottom w:val="0"/>
                  <w:divBdr>
                    <w:top w:val="none" w:sz="0" w:space="0" w:color="auto"/>
                    <w:left w:val="none" w:sz="0" w:space="0" w:color="auto"/>
                    <w:bottom w:val="none" w:sz="0" w:space="0" w:color="auto"/>
                    <w:right w:val="none" w:sz="0" w:space="0" w:color="auto"/>
                  </w:divBdr>
                  <w:divsChild>
                    <w:div w:id="1548176905">
                      <w:marLeft w:val="0"/>
                      <w:marRight w:val="0"/>
                      <w:marTop w:val="0"/>
                      <w:marBottom w:val="0"/>
                      <w:divBdr>
                        <w:top w:val="none" w:sz="0" w:space="0" w:color="auto"/>
                        <w:left w:val="none" w:sz="0" w:space="0" w:color="auto"/>
                        <w:bottom w:val="none" w:sz="0" w:space="0" w:color="auto"/>
                        <w:right w:val="none" w:sz="0" w:space="0" w:color="auto"/>
                      </w:divBdr>
                    </w:div>
                  </w:divsChild>
                </w:div>
                <w:div w:id="1242132997">
                  <w:marLeft w:val="0"/>
                  <w:marRight w:val="0"/>
                  <w:marTop w:val="0"/>
                  <w:marBottom w:val="0"/>
                  <w:divBdr>
                    <w:top w:val="none" w:sz="0" w:space="0" w:color="auto"/>
                    <w:left w:val="none" w:sz="0" w:space="0" w:color="auto"/>
                    <w:bottom w:val="none" w:sz="0" w:space="0" w:color="auto"/>
                    <w:right w:val="none" w:sz="0" w:space="0" w:color="auto"/>
                  </w:divBdr>
                  <w:divsChild>
                    <w:div w:id="1558202625">
                      <w:marLeft w:val="0"/>
                      <w:marRight w:val="0"/>
                      <w:marTop w:val="0"/>
                      <w:marBottom w:val="0"/>
                      <w:divBdr>
                        <w:top w:val="none" w:sz="0" w:space="0" w:color="auto"/>
                        <w:left w:val="none" w:sz="0" w:space="0" w:color="auto"/>
                        <w:bottom w:val="none" w:sz="0" w:space="0" w:color="auto"/>
                        <w:right w:val="none" w:sz="0" w:space="0" w:color="auto"/>
                      </w:divBdr>
                    </w:div>
                  </w:divsChild>
                </w:div>
                <w:div w:id="1243029352">
                  <w:marLeft w:val="0"/>
                  <w:marRight w:val="0"/>
                  <w:marTop w:val="0"/>
                  <w:marBottom w:val="0"/>
                  <w:divBdr>
                    <w:top w:val="none" w:sz="0" w:space="0" w:color="auto"/>
                    <w:left w:val="none" w:sz="0" w:space="0" w:color="auto"/>
                    <w:bottom w:val="none" w:sz="0" w:space="0" w:color="auto"/>
                    <w:right w:val="none" w:sz="0" w:space="0" w:color="auto"/>
                  </w:divBdr>
                  <w:divsChild>
                    <w:div w:id="930895947">
                      <w:marLeft w:val="0"/>
                      <w:marRight w:val="0"/>
                      <w:marTop w:val="0"/>
                      <w:marBottom w:val="0"/>
                      <w:divBdr>
                        <w:top w:val="none" w:sz="0" w:space="0" w:color="auto"/>
                        <w:left w:val="none" w:sz="0" w:space="0" w:color="auto"/>
                        <w:bottom w:val="none" w:sz="0" w:space="0" w:color="auto"/>
                        <w:right w:val="none" w:sz="0" w:space="0" w:color="auto"/>
                      </w:divBdr>
                    </w:div>
                  </w:divsChild>
                </w:div>
                <w:div w:id="1261716464">
                  <w:marLeft w:val="0"/>
                  <w:marRight w:val="0"/>
                  <w:marTop w:val="0"/>
                  <w:marBottom w:val="0"/>
                  <w:divBdr>
                    <w:top w:val="none" w:sz="0" w:space="0" w:color="auto"/>
                    <w:left w:val="none" w:sz="0" w:space="0" w:color="auto"/>
                    <w:bottom w:val="none" w:sz="0" w:space="0" w:color="auto"/>
                    <w:right w:val="none" w:sz="0" w:space="0" w:color="auto"/>
                  </w:divBdr>
                  <w:divsChild>
                    <w:div w:id="616719646">
                      <w:marLeft w:val="0"/>
                      <w:marRight w:val="0"/>
                      <w:marTop w:val="0"/>
                      <w:marBottom w:val="0"/>
                      <w:divBdr>
                        <w:top w:val="none" w:sz="0" w:space="0" w:color="auto"/>
                        <w:left w:val="none" w:sz="0" w:space="0" w:color="auto"/>
                        <w:bottom w:val="none" w:sz="0" w:space="0" w:color="auto"/>
                        <w:right w:val="none" w:sz="0" w:space="0" w:color="auto"/>
                      </w:divBdr>
                    </w:div>
                  </w:divsChild>
                </w:div>
                <w:div w:id="1265922394">
                  <w:marLeft w:val="0"/>
                  <w:marRight w:val="0"/>
                  <w:marTop w:val="0"/>
                  <w:marBottom w:val="0"/>
                  <w:divBdr>
                    <w:top w:val="none" w:sz="0" w:space="0" w:color="auto"/>
                    <w:left w:val="none" w:sz="0" w:space="0" w:color="auto"/>
                    <w:bottom w:val="none" w:sz="0" w:space="0" w:color="auto"/>
                    <w:right w:val="none" w:sz="0" w:space="0" w:color="auto"/>
                  </w:divBdr>
                  <w:divsChild>
                    <w:div w:id="1781803883">
                      <w:marLeft w:val="0"/>
                      <w:marRight w:val="0"/>
                      <w:marTop w:val="0"/>
                      <w:marBottom w:val="0"/>
                      <w:divBdr>
                        <w:top w:val="none" w:sz="0" w:space="0" w:color="auto"/>
                        <w:left w:val="none" w:sz="0" w:space="0" w:color="auto"/>
                        <w:bottom w:val="none" w:sz="0" w:space="0" w:color="auto"/>
                        <w:right w:val="none" w:sz="0" w:space="0" w:color="auto"/>
                      </w:divBdr>
                    </w:div>
                  </w:divsChild>
                </w:div>
                <w:div w:id="1268152818">
                  <w:marLeft w:val="0"/>
                  <w:marRight w:val="0"/>
                  <w:marTop w:val="0"/>
                  <w:marBottom w:val="0"/>
                  <w:divBdr>
                    <w:top w:val="none" w:sz="0" w:space="0" w:color="auto"/>
                    <w:left w:val="none" w:sz="0" w:space="0" w:color="auto"/>
                    <w:bottom w:val="none" w:sz="0" w:space="0" w:color="auto"/>
                    <w:right w:val="none" w:sz="0" w:space="0" w:color="auto"/>
                  </w:divBdr>
                  <w:divsChild>
                    <w:div w:id="768476673">
                      <w:marLeft w:val="0"/>
                      <w:marRight w:val="0"/>
                      <w:marTop w:val="0"/>
                      <w:marBottom w:val="0"/>
                      <w:divBdr>
                        <w:top w:val="none" w:sz="0" w:space="0" w:color="auto"/>
                        <w:left w:val="none" w:sz="0" w:space="0" w:color="auto"/>
                        <w:bottom w:val="none" w:sz="0" w:space="0" w:color="auto"/>
                        <w:right w:val="none" w:sz="0" w:space="0" w:color="auto"/>
                      </w:divBdr>
                    </w:div>
                  </w:divsChild>
                </w:div>
                <w:div w:id="1277132472">
                  <w:marLeft w:val="0"/>
                  <w:marRight w:val="0"/>
                  <w:marTop w:val="0"/>
                  <w:marBottom w:val="0"/>
                  <w:divBdr>
                    <w:top w:val="none" w:sz="0" w:space="0" w:color="auto"/>
                    <w:left w:val="none" w:sz="0" w:space="0" w:color="auto"/>
                    <w:bottom w:val="none" w:sz="0" w:space="0" w:color="auto"/>
                    <w:right w:val="none" w:sz="0" w:space="0" w:color="auto"/>
                  </w:divBdr>
                  <w:divsChild>
                    <w:div w:id="1313221540">
                      <w:marLeft w:val="0"/>
                      <w:marRight w:val="0"/>
                      <w:marTop w:val="0"/>
                      <w:marBottom w:val="0"/>
                      <w:divBdr>
                        <w:top w:val="none" w:sz="0" w:space="0" w:color="auto"/>
                        <w:left w:val="none" w:sz="0" w:space="0" w:color="auto"/>
                        <w:bottom w:val="none" w:sz="0" w:space="0" w:color="auto"/>
                        <w:right w:val="none" w:sz="0" w:space="0" w:color="auto"/>
                      </w:divBdr>
                    </w:div>
                  </w:divsChild>
                </w:div>
                <w:div w:id="1284002920">
                  <w:marLeft w:val="0"/>
                  <w:marRight w:val="0"/>
                  <w:marTop w:val="0"/>
                  <w:marBottom w:val="0"/>
                  <w:divBdr>
                    <w:top w:val="none" w:sz="0" w:space="0" w:color="auto"/>
                    <w:left w:val="none" w:sz="0" w:space="0" w:color="auto"/>
                    <w:bottom w:val="none" w:sz="0" w:space="0" w:color="auto"/>
                    <w:right w:val="none" w:sz="0" w:space="0" w:color="auto"/>
                  </w:divBdr>
                  <w:divsChild>
                    <w:div w:id="802429659">
                      <w:marLeft w:val="0"/>
                      <w:marRight w:val="0"/>
                      <w:marTop w:val="0"/>
                      <w:marBottom w:val="0"/>
                      <w:divBdr>
                        <w:top w:val="none" w:sz="0" w:space="0" w:color="auto"/>
                        <w:left w:val="none" w:sz="0" w:space="0" w:color="auto"/>
                        <w:bottom w:val="none" w:sz="0" w:space="0" w:color="auto"/>
                        <w:right w:val="none" w:sz="0" w:space="0" w:color="auto"/>
                      </w:divBdr>
                    </w:div>
                  </w:divsChild>
                </w:div>
                <w:div w:id="1286539797">
                  <w:marLeft w:val="0"/>
                  <w:marRight w:val="0"/>
                  <w:marTop w:val="0"/>
                  <w:marBottom w:val="0"/>
                  <w:divBdr>
                    <w:top w:val="none" w:sz="0" w:space="0" w:color="auto"/>
                    <w:left w:val="none" w:sz="0" w:space="0" w:color="auto"/>
                    <w:bottom w:val="none" w:sz="0" w:space="0" w:color="auto"/>
                    <w:right w:val="none" w:sz="0" w:space="0" w:color="auto"/>
                  </w:divBdr>
                  <w:divsChild>
                    <w:div w:id="1827428357">
                      <w:marLeft w:val="0"/>
                      <w:marRight w:val="0"/>
                      <w:marTop w:val="0"/>
                      <w:marBottom w:val="0"/>
                      <w:divBdr>
                        <w:top w:val="none" w:sz="0" w:space="0" w:color="auto"/>
                        <w:left w:val="none" w:sz="0" w:space="0" w:color="auto"/>
                        <w:bottom w:val="none" w:sz="0" w:space="0" w:color="auto"/>
                        <w:right w:val="none" w:sz="0" w:space="0" w:color="auto"/>
                      </w:divBdr>
                    </w:div>
                  </w:divsChild>
                </w:div>
                <w:div w:id="1298952472">
                  <w:marLeft w:val="0"/>
                  <w:marRight w:val="0"/>
                  <w:marTop w:val="0"/>
                  <w:marBottom w:val="0"/>
                  <w:divBdr>
                    <w:top w:val="none" w:sz="0" w:space="0" w:color="auto"/>
                    <w:left w:val="none" w:sz="0" w:space="0" w:color="auto"/>
                    <w:bottom w:val="none" w:sz="0" w:space="0" w:color="auto"/>
                    <w:right w:val="none" w:sz="0" w:space="0" w:color="auto"/>
                  </w:divBdr>
                  <w:divsChild>
                    <w:div w:id="1433932596">
                      <w:marLeft w:val="0"/>
                      <w:marRight w:val="0"/>
                      <w:marTop w:val="0"/>
                      <w:marBottom w:val="0"/>
                      <w:divBdr>
                        <w:top w:val="none" w:sz="0" w:space="0" w:color="auto"/>
                        <w:left w:val="none" w:sz="0" w:space="0" w:color="auto"/>
                        <w:bottom w:val="none" w:sz="0" w:space="0" w:color="auto"/>
                        <w:right w:val="none" w:sz="0" w:space="0" w:color="auto"/>
                      </w:divBdr>
                    </w:div>
                  </w:divsChild>
                </w:div>
                <w:div w:id="1306278683">
                  <w:marLeft w:val="0"/>
                  <w:marRight w:val="0"/>
                  <w:marTop w:val="0"/>
                  <w:marBottom w:val="0"/>
                  <w:divBdr>
                    <w:top w:val="none" w:sz="0" w:space="0" w:color="auto"/>
                    <w:left w:val="none" w:sz="0" w:space="0" w:color="auto"/>
                    <w:bottom w:val="none" w:sz="0" w:space="0" w:color="auto"/>
                    <w:right w:val="none" w:sz="0" w:space="0" w:color="auto"/>
                  </w:divBdr>
                  <w:divsChild>
                    <w:div w:id="221604046">
                      <w:marLeft w:val="0"/>
                      <w:marRight w:val="0"/>
                      <w:marTop w:val="0"/>
                      <w:marBottom w:val="0"/>
                      <w:divBdr>
                        <w:top w:val="none" w:sz="0" w:space="0" w:color="auto"/>
                        <w:left w:val="none" w:sz="0" w:space="0" w:color="auto"/>
                        <w:bottom w:val="none" w:sz="0" w:space="0" w:color="auto"/>
                        <w:right w:val="none" w:sz="0" w:space="0" w:color="auto"/>
                      </w:divBdr>
                    </w:div>
                  </w:divsChild>
                </w:div>
                <w:div w:id="1316642789">
                  <w:marLeft w:val="0"/>
                  <w:marRight w:val="0"/>
                  <w:marTop w:val="0"/>
                  <w:marBottom w:val="0"/>
                  <w:divBdr>
                    <w:top w:val="none" w:sz="0" w:space="0" w:color="auto"/>
                    <w:left w:val="none" w:sz="0" w:space="0" w:color="auto"/>
                    <w:bottom w:val="none" w:sz="0" w:space="0" w:color="auto"/>
                    <w:right w:val="none" w:sz="0" w:space="0" w:color="auto"/>
                  </w:divBdr>
                  <w:divsChild>
                    <w:div w:id="1760102973">
                      <w:marLeft w:val="0"/>
                      <w:marRight w:val="0"/>
                      <w:marTop w:val="0"/>
                      <w:marBottom w:val="0"/>
                      <w:divBdr>
                        <w:top w:val="none" w:sz="0" w:space="0" w:color="auto"/>
                        <w:left w:val="none" w:sz="0" w:space="0" w:color="auto"/>
                        <w:bottom w:val="none" w:sz="0" w:space="0" w:color="auto"/>
                        <w:right w:val="none" w:sz="0" w:space="0" w:color="auto"/>
                      </w:divBdr>
                    </w:div>
                  </w:divsChild>
                </w:div>
                <w:div w:id="1318874331">
                  <w:marLeft w:val="0"/>
                  <w:marRight w:val="0"/>
                  <w:marTop w:val="0"/>
                  <w:marBottom w:val="0"/>
                  <w:divBdr>
                    <w:top w:val="none" w:sz="0" w:space="0" w:color="auto"/>
                    <w:left w:val="none" w:sz="0" w:space="0" w:color="auto"/>
                    <w:bottom w:val="none" w:sz="0" w:space="0" w:color="auto"/>
                    <w:right w:val="none" w:sz="0" w:space="0" w:color="auto"/>
                  </w:divBdr>
                  <w:divsChild>
                    <w:div w:id="294719678">
                      <w:marLeft w:val="0"/>
                      <w:marRight w:val="0"/>
                      <w:marTop w:val="0"/>
                      <w:marBottom w:val="0"/>
                      <w:divBdr>
                        <w:top w:val="none" w:sz="0" w:space="0" w:color="auto"/>
                        <w:left w:val="none" w:sz="0" w:space="0" w:color="auto"/>
                        <w:bottom w:val="none" w:sz="0" w:space="0" w:color="auto"/>
                        <w:right w:val="none" w:sz="0" w:space="0" w:color="auto"/>
                      </w:divBdr>
                    </w:div>
                  </w:divsChild>
                </w:div>
                <w:div w:id="1338653985">
                  <w:marLeft w:val="0"/>
                  <w:marRight w:val="0"/>
                  <w:marTop w:val="0"/>
                  <w:marBottom w:val="0"/>
                  <w:divBdr>
                    <w:top w:val="none" w:sz="0" w:space="0" w:color="auto"/>
                    <w:left w:val="none" w:sz="0" w:space="0" w:color="auto"/>
                    <w:bottom w:val="none" w:sz="0" w:space="0" w:color="auto"/>
                    <w:right w:val="none" w:sz="0" w:space="0" w:color="auto"/>
                  </w:divBdr>
                  <w:divsChild>
                    <w:div w:id="341275925">
                      <w:marLeft w:val="0"/>
                      <w:marRight w:val="0"/>
                      <w:marTop w:val="0"/>
                      <w:marBottom w:val="0"/>
                      <w:divBdr>
                        <w:top w:val="none" w:sz="0" w:space="0" w:color="auto"/>
                        <w:left w:val="none" w:sz="0" w:space="0" w:color="auto"/>
                        <w:bottom w:val="none" w:sz="0" w:space="0" w:color="auto"/>
                        <w:right w:val="none" w:sz="0" w:space="0" w:color="auto"/>
                      </w:divBdr>
                    </w:div>
                  </w:divsChild>
                </w:div>
                <w:div w:id="1352561367">
                  <w:marLeft w:val="0"/>
                  <w:marRight w:val="0"/>
                  <w:marTop w:val="0"/>
                  <w:marBottom w:val="0"/>
                  <w:divBdr>
                    <w:top w:val="none" w:sz="0" w:space="0" w:color="auto"/>
                    <w:left w:val="none" w:sz="0" w:space="0" w:color="auto"/>
                    <w:bottom w:val="none" w:sz="0" w:space="0" w:color="auto"/>
                    <w:right w:val="none" w:sz="0" w:space="0" w:color="auto"/>
                  </w:divBdr>
                  <w:divsChild>
                    <w:div w:id="151455682">
                      <w:marLeft w:val="0"/>
                      <w:marRight w:val="0"/>
                      <w:marTop w:val="0"/>
                      <w:marBottom w:val="0"/>
                      <w:divBdr>
                        <w:top w:val="none" w:sz="0" w:space="0" w:color="auto"/>
                        <w:left w:val="none" w:sz="0" w:space="0" w:color="auto"/>
                        <w:bottom w:val="none" w:sz="0" w:space="0" w:color="auto"/>
                        <w:right w:val="none" w:sz="0" w:space="0" w:color="auto"/>
                      </w:divBdr>
                    </w:div>
                    <w:div w:id="184560240">
                      <w:marLeft w:val="0"/>
                      <w:marRight w:val="0"/>
                      <w:marTop w:val="0"/>
                      <w:marBottom w:val="0"/>
                      <w:divBdr>
                        <w:top w:val="none" w:sz="0" w:space="0" w:color="auto"/>
                        <w:left w:val="none" w:sz="0" w:space="0" w:color="auto"/>
                        <w:bottom w:val="none" w:sz="0" w:space="0" w:color="auto"/>
                        <w:right w:val="none" w:sz="0" w:space="0" w:color="auto"/>
                      </w:divBdr>
                    </w:div>
                    <w:div w:id="542641639">
                      <w:marLeft w:val="0"/>
                      <w:marRight w:val="0"/>
                      <w:marTop w:val="0"/>
                      <w:marBottom w:val="0"/>
                      <w:divBdr>
                        <w:top w:val="none" w:sz="0" w:space="0" w:color="auto"/>
                        <w:left w:val="none" w:sz="0" w:space="0" w:color="auto"/>
                        <w:bottom w:val="none" w:sz="0" w:space="0" w:color="auto"/>
                        <w:right w:val="none" w:sz="0" w:space="0" w:color="auto"/>
                      </w:divBdr>
                    </w:div>
                    <w:div w:id="789318749">
                      <w:marLeft w:val="0"/>
                      <w:marRight w:val="0"/>
                      <w:marTop w:val="0"/>
                      <w:marBottom w:val="0"/>
                      <w:divBdr>
                        <w:top w:val="none" w:sz="0" w:space="0" w:color="auto"/>
                        <w:left w:val="none" w:sz="0" w:space="0" w:color="auto"/>
                        <w:bottom w:val="none" w:sz="0" w:space="0" w:color="auto"/>
                        <w:right w:val="none" w:sz="0" w:space="0" w:color="auto"/>
                      </w:divBdr>
                    </w:div>
                    <w:div w:id="1111045876">
                      <w:marLeft w:val="0"/>
                      <w:marRight w:val="0"/>
                      <w:marTop w:val="0"/>
                      <w:marBottom w:val="0"/>
                      <w:divBdr>
                        <w:top w:val="none" w:sz="0" w:space="0" w:color="auto"/>
                        <w:left w:val="none" w:sz="0" w:space="0" w:color="auto"/>
                        <w:bottom w:val="none" w:sz="0" w:space="0" w:color="auto"/>
                        <w:right w:val="none" w:sz="0" w:space="0" w:color="auto"/>
                      </w:divBdr>
                    </w:div>
                    <w:div w:id="1266959942">
                      <w:marLeft w:val="0"/>
                      <w:marRight w:val="0"/>
                      <w:marTop w:val="0"/>
                      <w:marBottom w:val="0"/>
                      <w:divBdr>
                        <w:top w:val="none" w:sz="0" w:space="0" w:color="auto"/>
                        <w:left w:val="none" w:sz="0" w:space="0" w:color="auto"/>
                        <w:bottom w:val="none" w:sz="0" w:space="0" w:color="auto"/>
                        <w:right w:val="none" w:sz="0" w:space="0" w:color="auto"/>
                      </w:divBdr>
                    </w:div>
                    <w:div w:id="1681078214">
                      <w:marLeft w:val="0"/>
                      <w:marRight w:val="0"/>
                      <w:marTop w:val="0"/>
                      <w:marBottom w:val="0"/>
                      <w:divBdr>
                        <w:top w:val="none" w:sz="0" w:space="0" w:color="auto"/>
                        <w:left w:val="none" w:sz="0" w:space="0" w:color="auto"/>
                        <w:bottom w:val="none" w:sz="0" w:space="0" w:color="auto"/>
                        <w:right w:val="none" w:sz="0" w:space="0" w:color="auto"/>
                      </w:divBdr>
                    </w:div>
                    <w:div w:id="1745255663">
                      <w:marLeft w:val="0"/>
                      <w:marRight w:val="0"/>
                      <w:marTop w:val="0"/>
                      <w:marBottom w:val="0"/>
                      <w:divBdr>
                        <w:top w:val="none" w:sz="0" w:space="0" w:color="auto"/>
                        <w:left w:val="none" w:sz="0" w:space="0" w:color="auto"/>
                        <w:bottom w:val="none" w:sz="0" w:space="0" w:color="auto"/>
                        <w:right w:val="none" w:sz="0" w:space="0" w:color="auto"/>
                      </w:divBdr>
                    </w:div>
                    <w:div w:id="1918436398">
                      <w:marLeft w:val="0"/>
                      <w:marRight w:val="0"/>
                      <w:marTop w:val="0"/>
                      <w:marBottom w:val="0"/>
                      <w:divBdr>
                        <w:top w:val="none" w:sz="0" w:space="0" w:color="auto"/>
                        <w:left w:val="none" w:sz="0" w:space="0" w:color="auto"/>
                        <w:bottom w:val="none" w:sz="0" w:space="0" w:color="auto"/>
                        <w:right w:val="none" w:sz="0" w:space="0" w:color="auto"/>
                      </w:divBdr>
                    </w:div>
                  </w:divsChild>
                </w:div>
                <w:div w:id="1362239206">
                  <w:marLeft w:val="0"/>
                  <w:marRight w:val="0"/>
                  <w:marTop w:val="0"/>
                  <w:marBottom w:val="0"/>
                  <w:divBdr>
                    <w:top w:val="none" w:sz="0" w:space="0" w:color="auto"/>
                    <w:left w:val="none" w:sz="0" w:space="0" w:color="auto"/>
                    <w:bottom w:val="none" w:sz="0" w:space="0" w:color="auto"/>
                    <w:right w:val="none" w:sz="0" w:space="0" w:color="auto"/>
                  </w:divBdr>
                  <w:divsChild>
                    <w:div w:id="386225961">
                      <w:marLeft w:val="0"/>
                      <w:marRight w:val="0"/>
                      <w:marTop w:val="0"/>
                      <w:marBottom w:val="0"/>
                      <w:divBdr>
                        <w:top w:val="none" w:sz="0" w:space="0" w:color="auto"/>
                        <w:left w:val="none" w:sz="0" w:space="0" w:color="auto"/>
                        <w:bottom w:val="none" w:sz="0" w:space="0" w:color="auto"/>
                        <w:right w:val="none" w:sz="0" w:space="0" w:color="auto"/>
                      </w:divBdr>
                    </w:div>
                  </w:divsChild>
                </w:div>
                <w:div w:id="1362701203">
                  <w:marLeft w:val="0"/>
                  <w:marRight w:val="0"/>
                  <w:marTop w:val="0"/>
                  <w:marBottom w:val="0"/>
                  <w:divBdr>
                    <w:top w:val="none" w:sz="0" w:space="0" w:color="auto"/>
                    <w:left w:val="none" w:sz="0" w:space="0" w:color="auto"/>
                    <w:bottom w:val="none" w:sz="0" w:space="0" w:color="auto"/>
                    <w:right w:val="none" w:sz="0" w:space="0" w:color="auto"/>
                  </w:divBdr>
                  <w:divsChild>
                    <w:div w:id="2111586190">
                      <w:marLeft w:val="0"/>
                      <w:marRight w:val="0"/>
                      <w:marTop w:val="0"/>
                      <w:marBottom w:val="0"/>
                      <w:divBdr>
                        <w:top w:val="none" w:sz="0" w:space="0" w:color="auto"/>
                        <w:left w:val="none" w:sz="0" w:space="0" w:color="auto"/>
                        <w:bottom w:val="none" w:sz="0" w:space="0" w:color="auto"/>
                        <w:right w:val="none" w:sz="0" w:space="0" w:color="auto"/>
                      </w:divBdr>
                    </w:div>
                  </w:divsChild>
                </w:div>
                <w:div w:id="1368291897">
                  <w:marLeft w:val="0"/>
                  <w:marRight w:val="0"/>
                  <w:marTop w:val="0"/>
                  <w:marBottom w:val="0"/>
                  <w:divBdr>
                    <w:top w:val="none" w:sz="0" w:space="0" w:color="auto"/>
                    <w:left w:val="none" w:sz="0" w:space="0" w:color="auto"/>
                    <w:bottom w:val="none" w:sz="0" w:space="0" w:color="auto"/>
                    <w:right w:val="none" w:sz="0" w:space="0" w:color="auto"/>
                  </w:divBdr>
                  <w:divsChild>
                    <w:div w:id="547377620">
                      <w:marLeft w:val="0"/>
                      <w:marRight w:val="0"/>
                      <w:marTop w:val="0"/>
                      <w:marBottom w:val="0"/>
                      <w:divBdr>
                        <w:top w:val="none" w:sz="0" w:space="0" w:color="auto"/>
                        <w:left w:val="none" w:sz="0" w:space="0" w:color="auto"/>
                        <w:bottom w:val="none" w:sz="0" w:space="0" w:color="auto"/>
                        <w:right w:val="none" w:sz="0" w:space="0" w:color="auto"/>
                      </w:divBdr>
                    </w:div>
                  </w:divsChild>
                </w:div>
                <w:div w:id="1392272463">
                  <w:marLeft w:val="0"/>
                  <w:marRight w:val="0"/>
                  <w:marTop w:val="0"/>
                  <w:marBottom w:val="0"/>
                  <w:divBdr>
                    <w:top w:val="none" w:sz="0" w:space="0" w:color="auto"/>
                    <w:left w:val="none" w:sz="0" w:space="0" w:color="auto"/>
                    <w:bottom w:val="none" w:sz="0" w:space="0" w:color="auto"/>
                    <w:right w:val="none" w:sz="0" w:space="0" w:color="auto"/>
                  </w:divBdr>
                  <w:divsChild>
                    <w:div w:id="1160342100">
                      <w:marLeft w:val="0"/>
                      <w:marRight w:val="0"/>
                      <w:marTop w:val="0"/>
                      <w:marBottom w:val="0"/>
                      <w:divBdr>
                        <w:top w:val="none" w:sz="0" w:space="0" w:color="auto"/>
                        <w:left w:val="none" w:sz="0" w:space="0" w:color="auto"/>
                        <w:bottom w:val="none" w:sz="0" w:space="0" w:color="auto"/>
                        <w:right w:val="none" w:sz="0" w:space="0" w:color="auto"/>
                      </w:divBdr>
                    </w:div>
                  </w:divsChild>
                </w:div>
                <w:div w:id="1396120415">
                  <w:marLeft w:val="0"/>
                  <w:marRight w:val="0"/>
                  <w:marTop w:val="0"/>
                  <w:marBottom w:val="0"/>
                  <w:divBdr>
                    <w:top w:val="none" w:sz="0" w:space="0" w:color="auto"/>
                    <w:left w:val="none" w:sz="0" w:space="0" w:color="auto"/>
                    <w:bottom w:val="none" w:sz="0" w:space="0" w:color="auto"/>
                    <w:right w:val="none" w:sz="0" w:space="0" w:color="auto"/>
                  </w:divBdr>
                  <w:divsChild>
                    <w:div w:id="150223114">
                      <w:marLeft w:val="0"/>
                      <w:marRight w:val="0"/>
                      <w:marTop w:val="0"/>
                      <w:marBottom w:val="0"/>
                      <w:divBdr>
                        <w:top w:val="none" w:sz="0" w:space="0" w:color="auto"/>
                        <w:left w:val="none" w:sz="0" w:space="0" w:color="auto"/>
                        <w:bottom w:val="none" w:sz="0" w:space="0" w:color="auto"/>
                        <w:right w:val="none" w:sz="0" w:space="0" w:color="auto"/>
                      </w:divBdr>
                    </w:div>
                  </w:divsChild>
                </w:div>
                <w:div w:id="1411197800">
                  <w:marLeft w:val="0"/>
                  <w:marRight w:val="0"/>
                  <w:marTop w:val="0"/>
                  <w:marBottom w:val="0"/>
                  <w:divBdr>
                    <w:top w:val="none" w:sz="0" w:space="0" w:color="auto"/>
                    <w:left w:val="none" w:sz="0" w:space="0" w:color="auto"/>
                    <w:bottom w:val="none" w:sz="0" w:space="0" w:color="auto"/>
                    <w:right w:val="none" w:sz="0" w:space="0" w:color="auto"/>
                  </w:divBdr>
                  <w:divsChild>
                    <w:div w:id="236520117">
                      <w:marLeft w:val="0"/>
                      <w:marRight w:val="0"/>
                      <w:marTop w:val="0"/>
                      <w:marBottom w:val="0"/>
                      <w:divBdr>
                        <w:top w:val="none" w:sz="0" w:space="0" w:color="auto"/>
                        <w:left w:val="none" w:sz="0" w:space="0" w:color="auto"/>
                        <w:bottom w:val="none" w:sz="0" w:space="0" w:color="auto"/>
                        <w:right w:val="none" w:sz="0" w:space="0" w:color="auto"/>
                      </w:divBdr>
                    </w:div>
                  </w:divsChild>
                </w:div>
                <w:div w:id="1413697180">
                  <w:marLeft w:val="0"/>
                  <w:marRight w:val="0"/>
                  <w:marTop w:val="0"/>
                  <w:marBottom w:val="0"/>
                  <w:divBdr>
                    <w:top w:val="none" w:sz="0" w:space="0" w:color="auto"/>
                    <w:left w:val="none" w:sz="0" w:space="0" w:color="auto"/>
                    <w:bottom w:val="none" w:sz="0" w:space="0" w:color="auto"/>
                    <w:right w:val="none" w:sz="0" w:space="0" w:color="auto"/>
                  </w:divBdr>
                  <w:divsChild>
                    <w:div w:id="1049113275">
                      <w:marLeft w:val="0"/>
                      <w:marRight w:val="0"/>
                      <w:marTop w:val="0"/>
                      <w:marBottom w:val="0"/>
                      <w:divBdr>
                        <w:top w:val="none" w:sz="0" w:space="0" w:color="auto"/>
                        <w:left w:val="none" w:sz="0" w:space="0" w:color="auto"/>
                        <w:bottom w:val="none" w:sz="0" w:space="0" w:color="auto"/>
                        <w:right w:val="none" w:sz="0" w:space="0" w:color="auto"/>
                      </w:divBdr>
                    </w:div>
                  </w:divsChild>
                </w:div>
                <w:div w:id="1413819915">
                  <w:marLeft w:val="0"/>
                  <w:marRight w:val="0"/>
                  <w:marTop w:val="0"/>
                  <w:marBottom w:val="0"/>
                  <w:divBdr>
                    <w:top w:val="none" w:sz="0" w:space="0" w:color="auto"/>
                    <w:left w:val="none" w:sz="0" w:space="0" w:color="auto"/>
                    <w:bottom w:val="none" w:sz="0" w:space="0" w:color="auto"/>
                    <w:right w:val="none" w:sz="0" w:space="0" w:color="auto"/>
                  </w:divBdr>
                  <w:divsChild>
                    <w:div w:id="715936282">
                      <w:marLeft w:val="0"/>
                      <w:marRight w:val="0"/>
                      <w:marTop w:val="0"/>
                      <w:marBottom w:val="0"/>
                      <w:divBdr>
                        <w:top w:val="none" w:sz="0" w:space="0" w:color="auto"/>
                        <w:left w:val="none" w:sz="0" w:space="0" w:color="auto"/>
                        <w:bottom w:val="none" w:sz="0" w:space="0" w:color="auto"/>
                        <w:right w:val="none" w:sz="0" w:space="0" w:color="auto"/>
                      </w:divBdr>
                    </w:div>
                  </w:divsChild>
                </w:div>
                <w:div w:id="1422409443">
                  <w:marLeft w:val="0"/>
                  <w:marRight w:val="0"/>
                  <w:marTop w:val="0"/>
                  <w:marBottom w:val="0"/>
                  <w:divBdr>
                    <w:top w:val="none" w:sz="0" w:space="0" w:color="auto"/>
                    <w:left w:val="none" w:sz="0" w:space="0" w:color="auto"/>
                    <w:bottom w:val="none" w:sz="0" w:space="0" w:color="auto"/>
                    <w:right w:val="none" w:sz="0" w:space="0" w:color="auto"/>
                  </w:divBdr>
                  <w:divsChild>
                    <w:div w:id="1104498682">
                      <w:marLeft w:val="0"/>
                      <w:marRight w:val="0"/>
                      <w:marTop w:val="0"/>
                      <w:marBottom w:val="0"/>
                      <w:divBdr>
                        <w:top w:val="none" w:sz="0" w:space="0" w:color="auto"/>
                        <w:left w:val="none" w:sz="0" w:space="0" w:color="auto"/>
                        <w:bottom w:val="none" w:sz="0" w:space="0" w:color="auto"/>
                        <w:right w:val="none" w:sz="0" w:space="0" w:color="auto"/>
                      </w:divBdr>
                    </w:div>
                  </w:divsChild>
                </w:div>
                <w:div w:id="1422990681">
                  <w:marLeft w:val="0"/>
                  <w:marRight w:val="0"/>
                  <w:marTop w:val="0"/>
                  <w:marBottom w:val="0"/>
                  <w:divBdr>
                    <w:top w:val="none" w:sz="0" w:space="0" w:color="auto"/>
                    <w:left w:val="none" w:sz="0" w:space="0" w:color="auto"/>
                    <w:bottom w:val="none" w:sz="0" w:space="0" w:color="auto"/>
                    <w:right w:val="none" w:sz="0" w:space="0" w:color="auto"/>
                  </w:divBdr>
                  <w:divsChild>
                    <w:div w:id="104931609">
                      <w:marLeft w:val="0"/>
                      <w:marRight w:val="0"/>
                      <w:marTop w:val="0"/>
                      <w:marBottom w:val="0"/>
                      <w:divBdr>
                        <w:top w:val="none" w:sz="0" w:space="0" w:color="auto"/>
                        <w:left w:val="none" w:sz="0" w:space="0" w:color="auto"/>
                        <w:bottom w:val="none" w:sz="0" w:space="0" w:color="auto"/>
                        <w:right w:val="none" w:sz="0" w:space="0" w:color="auto"/>
                      </w:divBdr>
                    </w:div>
                  </w:divsChild>
                </w:div>
                <w:div w:id="1441948269">
                  <w:marLeft w:val="0"/>
                  <w:marRight w:val="0"/>
                  <w:marTop w:val="0"/>
                  <w:marBottom w:val="0"/>
                  <w:divBdr>
                    <w:top w:val="none" w:sz="0" w:space="0" w:color="auto"/>
                    <w:left w:val="none" w:sz="0" w:space="0" w:color="auto"/>
                    <w:bottom w:val="none" w:sz="0" w:space="0" w:color="auto"/>
                    <w:right w:val="none" w:sz="0" w:space="0" w:color="auto"/>
                  </w:divBdr>
                  <w:divsChild>
                    <w:div w:id="629550229">
                      <w:marLeft w:val="0"/>
                      <w:marRight w:val="0"/>
                      <w:marTop w:val="0"/>
                      <w:marBottom w:val="0"/>
                      <w:divBdr>
                        <w:top w:val="none" w:sz="0" w:space="0" w:color="auto"/>
                        <w:left w:val="none" w:sz="0" w:space="0" w:color="auto"/>
                        <w:bottom w:val="none" w:sz="0" w:space="0" w:color="auto"/>
                        <w:right w:val="none" w:sz="0" w:space="0" w:color="auto"/>
                      </w:divBdr>
                    </w:div>
                  </w:divsChild>
                </w:div>
                <w:div w:id="1446385486">
                  <w:marLeft w:val="0"/>
                  <w:marRight w:val="0"/>
                  <w:marTop w:val="0"/>
                  <w:marBottom w:val="0"/>
                  <w:divBdr>
                    <w:top w:val="none" w:sz="0" w:space="0" w:color="auto"/>
                    <w:left w:val="none" w:sz="0" w:space="0" w:color="auto"/>
                    <w:bottom w:val="none" w:sz="0" w:space="0" w:color="auto"/>
                    <w:right w:val="none" w:sz="0" w:space="0" w:color="auto"/>
                  </w:divBdr>
                  <w:divsChild>
                    <w:div w:id="714430189">
                      <w:marLeft w:val="0"/>
                      <w:marRight w:val="0"/>
                      <w:marTop w:val="0"/>
                      <w:marBottom w:val="0"/>
                      <w:divBdr>
                        <w:top w:val="none" w:sz="0" w:space="0" w:color="auto"/>
                        <w:left w:val="none" w:sz="0" w:space="0" w:color="auto"/>
                        <w:bottom w:val="none" w:sz="0" w:space="0" w:color="auto"/>
                        <w:right w:val="none" w:sz="0" w:space="0" w:color="auto"/>
                      </w:divBdr>
                    </w:div>
                  </w:divsChild>
                </w:div>
                <w:div w:id="1452633063">
                  <w:marLeft w:val="0"/>
                  <w:marRight w:val="0"/>
                  <w:marTop w:val="0"/>
                  <w:marBottom w:val="0"/>
                  <w:divBdr>
                    <w:top w:val="none" w:sz="0" w:space="0" w:color="auto"/>
                    <w:left w:val="none" w:sz="0" w:space="0" w:color="auto"/>
                    <w:bottom w:val="none" w:sz="0" w:space="0" w:color="auto"/>
                    <w:right w:val="none" w:sz="0" w:space="0" w:color="auto"/>
                  </w:divBdr>
                  <w:divsChild>
                    <w:div w:id="1082532168">
                      <w:marLeft w:val="0"/>
                      <w:marRight w:val="0"/>
                      <w:marTop w:val="0"/>
                      <w:marBottom w:val="0"/>
                      <w:divBdr>
                        <w:top w:val="none" w:sz="0" w:space="0" w:color="auto"/>
                        <w:left w:val="none" w:sz="0" w:space="0" w:color="auto"/>
                        <w:bottom w:val="none" w:sz="0" w:space="0" w:color="auto"/>
                        <w:right w:val="none" w:sz="0" w:space="0" w:color="auto"/>
                      </w:divBdr>
                    </w:div>
                  </w:divsChild>
                </w:div>
                <w:div w:id="1455171196">
                  <w:marLeft w:val="0"/>
                  <w:marRight w:val="0"/>
                  <w:marTop w:val="0"/>
                  <w:marBottom w:val="0"/>
                  <w:divBdr>
                    <w:top w:val="none" w:sz="0" w:space="0" w:color="auto"/>
                    <w:left w:val="none" w:sz="0" w:space="0" w:color="auto"/>
                    <w:bottom w:val="none" w:sz="0" w:space="0" w:color="auto"/>
                    <w:right w:val="none" w:sz="0" w:space="0" w:color="auto"/>
                  </w:divBdr>
                  <w:divsChild>
                    <w:div w:id="763768187">
                      <w:marLeft w:val="0"/>
                      <w:marRight w:val="0"/>
                      <w:marTop w:val="0"/>
                      <w:marBottom w:val="0"/>
                      <w:divBdr>
                        <w:top w:val="none" w:sz="0" w:space="0" w:color="auto"/>
                        <w:left w:val="none" w:sz="0" w:space="0" w:color="auto"/>
                        <w:bottom w:val="none" w:sz="0" w:space="0" w:color="auto"/>
                        <w:right w:val="none" w:sz="0" w:space="0" w:color="auto"/>
                      </w:divBdr>
                    </w:div>
                  </w:divsChild>
                </w:div>
                <w:div w:id="1470826418">
                  <w:marLeft w:val="0"/>
                  <w:marRight w:val="0"/>
                  <w:marTop w:val="0"/>
                  <w:marBottom w:val="0"/>
                  <w:divBdr>
                    <w:top w:val="none" w:sz="0" w:space="0" w:color="auto"/>
                    <w:left w:val="none" w:sz="0" w:space="0" w:color="auto"/>
                    <w:bottom w:val="none" w:sz="0" w:space="0" w:color="auto"/>
                    <w:right w:val="none" w:sz="0" w:space="0" w:color="auto"/>
                  </w:divBdr>
                  <w:divsChild>
                    <w:div w:id="338849912">
                      <w:marLeft w:val="0"/>
                      <w:marRight w:val="0"/>
                      <w:marTop w:val="0"/>
                      <w:marBottom w:val="0"/>
                      <w:divBdr>
                        <w:top w:val="none" w:sz="0" w:space="0" w:color="auto"/>
                        <w:left w:val="none" w:sz="0" w:space="0" w:color="auto"/>
                        <w:bottom w:val="none" w:sz="0" w:space="0" w:color="auto"/>
                        <w:right w:val="none" w:sz="0" w:space="0" w:color="auto"/>
                      </w:divBdr>
                    </w:div>
                  </w:divsChild>
                </w:div>
                <w:div w:id="1475950649">
                  <w:marLeft w:val="0"/>
                  <w:marRight w:val="0"/>
                  <w:marTop w:val="0"/>
                  <w:marBottom w:val="0"/>
                  <w:divBdr>
                    <w:top w:val="none" w:sz="0" w:space="0" w:color="auto"/>
                    <w:left w:val="none" w:sz="0" w:space="0" w:color="auto"/>
                    <w:bottom w:val="none" w:sz="0" w:space="0" w:color="auto"/>
                    <w:right w:val="none" w:sz="0" w:space="0" w:color="auto"/>
                  </w:divBdr>
                  <w:divsChild>
                    <w:div w:id="1083340160">
                      <w:marLeft w:val="0"/>
                      <w:marRight w:val="0"/>
                      <w:marTop w:val="0"/>
                      <w:marBottom w:val="0"/>
                      <w:divBdr>
                        <w:top w:val="none" w:sz="0" w:space="0" w:color="auto"/>
                        <w:left w:val="none" w:sz="0" w:space="0" w:color="auto"/>
                        <w:bottom w:val="none" w:sz="0" w:space="0" w:color="auto"/>
                        <w:right w:val="none" w:sz="0" w:space="0" w:color="auto"/>
                      </w:divBdr>
                    </w:div>
                    <w:div w:id="1678575772">
                      <w:marLeft w:val="0"/>
                      <w:marRight w:val="0"/>
                      <w:marTop w:val="0"/>
                      <w:marBottom w:val="0"/>
                      <w:divBdr>
                        <w:top w:val="none" w:sz="0" w:space="0" w:color="auto"/>
                        <w:left w:val="none" w:sz="0" w:space="0" w:color="auto"/>
                        <w:bottom w:val="none" w:sz="0" w:space="0" w:color="auto"/>
                        <w:right w:val="none" w:sz="0" w:space="0" w:color="auto"/>
                      </w:divBdr>
                    </w:div>
                  </w:divsChild>
                </w:div>
                <w:div w:id="1476070766">
                  <w:marLeft w:val="0"/>
                  <w:marRight w:val="0"/>
                  <w:marTop w:val="0"/>
                  <w:marBottom w:val="0"/>
                  <w:divBdr>
                    <w:top w:val="none" w:sz="0" w:space="0" w:color="auto"/>
                    <w:left w:val="none" w:sz="0" w:space="0" w:color="auto"/>
                    <w:bottom w:val="none" w:sz="0" w:space="0" w:color="auto"/>
                    <w:right w:val="none" w:sz="0" w:space="0" w:color="auto"/>
                  </w:divBdr>
                  <w:divsChild>
                    <w:div w:id="898781622">
                      <w:marLeft w:val="0"/>
                      <w:marRight w:val="0"/>
                      <w:marTop w:val="0"/>
                      <w:marBottom w:val="0"/>
                      <w:divBdr>
                        <w:top w:val="none" w:sz="0" w:space="0" w:color="auto"/>
                        <w:left w:val="none" w:sz="0" w:space="0" w:color="auto"/>
                        <w:bottom w:val="none" w:sz="0" w:space="0" w:color="auto"/>
                        <w:right w:val="none" w:sz="0" w:space="0" w:color="auto"/>
                      </w:divBdr>
                    </w:div>
                  </w:divsChild>
                </w:div>
                <w:div w:id="1478256193">
                  <w:marLeft w:val="0"/>
                  <w:marRight w:val="0"/>
                  <w:marTop w:val="0"/>
                  <w:marBottom w:val="0"/>
                  <w:divBdr>
                    <w:top w:val="none" w:sz="0" w:space="0" w:color="auto"/>
                    <w:left w:val="none" w:sz="0" w:space="0" w:color="auto"/>
                    <w:bottom w:val="none" w:sz="0" w:space="0" w:color="auto"/>
                    <w:right w:val="none" w:sz="0" w:space="0" w:color="auto"/>
                  </w:divBdr>
                  <w:divsChild>
                    <w:div w:id="1414546699">
                      <w:marLeft w:val="0"/>
                      <w:marRight w:val="0"/>
                      <w:marTop w:val="0"/>
                      <w:marBottom w:val="0"/>
                      <w:divBdr>
                        <w:top w:val="none" w:sz="0" w:space="0" w:color="auto"/>
                        <w:left w:val="none" w:sz="0" w:space="0" w:color="auto"/>
                        <w:bottom w:val="none" w:sz="0" w:space="0" w:color="auto"/>
                        <w:right w:val="none" w:sz="0" w:space="0" w:color="auto"/>
                      </w:divBdr>
                    </w:div>
                  </w:divsChild>
                </w:div>
                <w:div w:id="1485925430">
                  <w:marLeft w:val="0"/>
                  <w:marRight w:val="0"/>
                  <w:marTop w:val="0"/>
                  <w:marBottom w:val="0"/>
                  <w:divBdr>
                    <w:top w:val="none" w:sz="0" w:space="0" w:color="auto"/>
                    <w:left w:val="none" w:sz="0" w:space="0" w:color="auto"/>
                    <w:bottom w:val="none" w:sz="0" w:space="0" w:color="auto"/>
                    <w:right w:val="none" w:sz="0" w:space="0" w:color="auto"/>
                  </w:divBdr>
                  <w:divsChild>
                    <w:div w:id="1144927398">
                      <w:marLeft w:val="0"/>
                      <w:marRight w:val="0"/>
                      <w:marTop w:val="0"/>
                      <w:marBottom w:val="0"/>
                      <w:divBdr>
                        <w:top w:val="none" w:sz="0" w:space="0" w:color="auto"/>
                        <w:left w:val="none" w:sz="0" w:space="0" w:color="auto"/>
                        <w:bottom w:val="none" w:sz="0" w:space="0" w:color="auto"/>
                        <w:right w:val="none" w:sz="0" w:space="0" w:color="auto"/>
                      </w:divBdr>
                    </w:div>
                  </w:divsChild>
                </w:div>
                <w:div w:id="1489248135">
                  <w:marLeft w:val="0"/>
                  <w:marRight w:val="0"/>
                  <w:marTop w:val="0"/>
                  <w:marBottom w:val="0"/>
                  <w:divBdr>
                    <w:top w:val="none" w:sz="0" w:space="0" w:color="auto"/>
                    <w:left w:val="none" w:sz="0" w:space="0" w:color="auto"/>
                    <w:bottom w:val="none" w:sz="0" w:space="0" w:color="auto"/>
                    <w:right w:val="none" w:sz="0" w:space="0" w:color="auto"/>
                  </w:divBdr>
                  <w:divsChild>
                    <w:div w:id="874385334">
                      <w:marLeft w:val="0"/>
                      <w:marRight w:val="0"/>
                      <w:marTop w:val="0"/>
                      <w:marBottom w:val="0"/>
                      <w:divBdr>
                        <w:top w:val="none" w:sz="0" w:space="0" w:color="auto"/>
                        <w:left w:val="none" w:sz="0" w:space="0" w:color="auto"/>
                        <w:bottom w:val="none" w:sz="0" w:space="0" w:color="auto"/>
                        <w:right w:val="none" w:sz="0" w:space="0" w:color="auto"/>
                      </w:divBdr>
                    </w:div>
                  </w:divsChild>
                </w:div>
                <w:div w:id="1491293898">
                  <w:marLeft w:val="0"/>
                  <w:marRight w:val="0"/>
                  <w:marTop w:val="0"/>
                  <w:marBottom w:val="0"/>
                  <w:divBdr>
                    <w:top w:val="none" w:sz="0" w:space="0" w:color="auto"/>
                    <w:left w:val="none" w:sz="0" w:space="0" w:color="auto"/>
                    <w:bottom w:val="none" w:sz="0" w:space="0" w:color="auto"/>
                    <w:right w:val="none" w:sz="0" w:space="0" w:color="auto"/>
                  </w:divBdr>
                  <w:divsChild>
                    <w:div w:id="1730609825">
                      <w:marLeft w:val="0"/>
                      <w:marRight w:val="0"/>
                      <w:marTop w:val="0"/>
                      <w:marBottom w:val="0"/>
                      <w:divBdr>
                        <w:top w:val="none" w:sz="0" w:space="0" w:color="auto"/>
                        <w:left w:val="none" w:sz="0" w:space="0" w:color="auto"/>
                        <w:bottom w:val="none" w:sz="0" w:space="0" w:color="auto"/>
                        <w:right w:val="none" w:sz="0" w:space="0" w:color="auto"/>
                      </w:divBdr>
                    </w:div>
                  </w:divsChild>
                </w:div>
                <w:div w:id="1499661855">
                  <w:marLeft w:val="0"/>
                  <w:marRight w:val="0"/>
                  <w:marTop w:val="0"/>
                  <w:marBottom w:val="0"/>
                  <w:divBdr>
                    <w:top w:val="none" w:sz="0" w:space="0" w:color="auto"/>
                    <w:left w:val="none" w:sz="0" w:space="0" w:color="auto"/>
                    <w:bottom w:val="none" w:sz="0" w:space="0" w:color="auto"/>
                    <w:right w:val="none" w:sz="0" w:space="0" w:color="auto"/>
                  </w:divBdr>
                  <w:divsChild>
                    <w:div w:id="1059788841">
                      <w:marLeft w:val="0"/>
                      <w:marRight w:val="0"/>
                      <w:marTop w:val="0"/>
                      <w:marBottom w:val="0"/>
                      <w:divBdr>
                        <w:top w:val="none" w:sz="0" w:space="0" w:color="auto"/>
                        <w:left w:val="none" w:sz="0" w:space="0" w:color="auto"/>
                        <w:bottom w:val="none" w:sz="0" w:space="0" w:color="auto"/>
                        <w:right w:val="none" w:sz="0" w:space="0" w:color="auto"/>
                      </w:divBdr>
                    </w:div>
                  </w:divsChild>
                </w:div>
                <w:div w:id="1510101199">
                  <w:marLeft w:val="0"/>
                  <w:marRight w:val="0"/>
                  <w:marTop w:val="0"/>
                  <w:marBottom w:val="0"/>
                  <w:divBdr>
                    <w:top w:val="none" w:sz="0" w:space="0" w:color="auto"/>
                    <w:left w:val="none" w:sz="0" w:space="0" w:color="auto"/>
                    <w:bottom w:val="none" w:sz="0" w:space="0" w:color="auto"/>
                    <w:right w:val="none" w:sz="0" w:space="0" w:color="auto"/>
                  </w:divBdr>
                  <w:divsChild>
                    <w:div w:id="913393161">
                      <w:marLeft w:val="0"/>
                      <w:marRight w:val="0"/>
                      <w:marTop w:val="0"/>
                      <w:marBottom w:val="0"/>
                      <w:divBdr>
                        <w:top w:val="none" w:sz="0" w:space="0" w:color="auto"/>
                        <w:left w:val="none" w:sz="0" w:space="0" w:color="auto"/>
                        <w:bottom w:val="none" w:sz="0" w:space="0" w:color="auto"/>
                        <w:right w:val="none" w:sz="0" w:space="0" w:color="auto"/>
                      </w:divBdr>
                    </w:div>
                  </w:divsChild>
                </w:div>
                <w:div w:id="1522738258">
                  <w:marLeft w:val="0"/>
                  <w:marRight w:val="0"/>
                  <w:marTop w:val="0"/>
                  <w:marBottom w:val="0"/>
                  <w:divBdr>
                    <w:top w:val="none" w:sz="0" w:space="0" w:color="auto"/>
                    <w:left w:val="none" w:sz="0" w:space="0" w:color="auto"/>
                    <w:bottom w:val="none" w:sz="0" w:space="0" w:color="auto"/>
                    <w:right w:val="none" w:sz="0" w:space="0" w:color="auto"/>
                  </w:divBdr>
                  <w:divsChild>
                    <w:div w:id="875119957">
                      <w:marLeft w:val="0"/>
                      <w:marRight w:val="0"/>
                      <w:marTop w:val="0"/>
                      <w:marBottom w:val="0"/>
                      <w:divBdr>
                        <w:top w:val="none" w:sz="0" w:space="0" w:color="auto"/>
                        <w:left w:val="none" w:sz="0" w:space="0" w:color="auto"/>
                        <w:bottom w:val="none" w:sz="0" w:space="0" w:color="auto"/>
                        <w:right w:val="none" w:sz="0" w:space="0" w:color="auto"/>
                      </w:divBdr>
                    </w:div>
                  </w:divsChild>
                </w:div>
                <w:div w:id="1526093169">
                  <w:marLeft w:val="0"/>
                  <w:marRight w:val="0"/>
                  <w:marTop w:val="0"/>
                  <w:marBottom w:val="0"/>
                  <w:divBdr>
                    <w:top w:val="none" w:sz="0" w:space="0" w:color="auto"/>
                    <w:left w:val="none" w:sz="0" w:space="0" w:color="auto"/>
                    <w:bottom w:val="none" w:sz="0" w:space="0" w:color="auto"/>
                    <w:right w:val="none" w:sz="0" w:space="0" w:color="auto"/>
                  </w:divBdr>
                  <w:divsChild>
                    <w:div w:id="2067757364">
                      <w:marLeft w:val="0"/>
                      <w:marRight w:val="0"/>
                      <w:marTop w:val="0"/>
                      <w:marBottom w:val="0"/>
                      <w:divBdr>
                        <w:top w:val="none" w:sz="0" w:space="0" w:color="auto"/>
                        <w:left w:val="none" w:sz="0" w:space="0" w:color="auto"/>
                        <w:bottom w:val="none" w:sz="0" w:space="0" w:color="auto"/>
                        <w:right w:val="none" w:sz="0" w:space="0" w:color="auto"/>
                      </w:divBdr>
                    </w:div>
                  </w:divsChild>
                </w:div>
                <w:div w:id="1546940627">
                  <w:marLeft w:val="0"/>
                  <w:marRight w:val="0"/>
                  <w:marTop w:val="0"/>
                  <w:marBottom w:val="0"/>
                  <w:divBdr>
                    <w:top w:val="none" w:sz="0" w:space="0" w:color="auto"/>
                    <w:left w:val="none" w:sz="0" w:space="0" w:color="auto"/>
                    <w:bottom w:val="none" w:sz="0" w:space="0" w:color="auto"/>
                    <w:right w:val="none" w:sz="0" w:space="0" w:color="auto"/>
                  </w:divBdr>
                  <w:divsChild>
                    <w:div w:id="102072298">
                      <w:marLeft w:val="0"/>
                      <w:marRight w:val="0"/>
                      <w:marTop w:val="0"/>
                      <w:marBottom w:val="0"/>
                      <w:divBdr>
                        <w:top w:val="none" w:sz="0" w:space="0" w:color="auto"/>
                        <w:left w:val="none" w:sz="0" w:space="0" w:color="auto"/>
                        <w:bottom w:val="none" w:sz="0" w:space="0" w:color="auto"/>
                        <w:right w:val="none" w:sz="0" w:space="0" w:color="auto"/>
                      </w:divBdr>
                    </w:div>
                  </w:divsChild>
                </w:div>
                <w:div w:id="1555507568">
                  <w:marLeft w:val="0"/>
                  <w:marRight w:val="0"/>
                  <w:marTop w:val="0"/>
                  <w:marBottom w:val="0"/>
                  <w:divBdr>
                    <w:top w:val="none" w:sz="0" w:space="0" w:color="auto"/>
                    <w:left w:val="none" w:sz="0" w:space="0" w:color="auto"/>
                    <w:bottom w:val="none" w:sz="0" w:space="0" w:color="auto"/>
                    <w:right w:val="none" w:sz="0" w:space="0" w:color="auto"/>
                  </w:divBdr>
                  <w:divsChild>
                    <w:div w:id="1206676463">
                      <w:marLeft w:val="0"/>
                      <w:marRight w:val="0"/>
                      <w:marTop w:val="0"/>
                      <w:marBottom w:val="0"/>
                      <w:divBdr>
                        <w:top w:val="none" w:sz="0" w:space="0" w:color="auto"/>
                        <w:left w:val="none" w:sz="0" w:space="0" w:color="auto"/>
                        <w:bottom w:val="none" w:sz="0" w:space="0" w:color="auto"/>
                        <w:right w:val="none" w:sz="0" w:space="0" w:color="auto"/>
                      </w:divBdr>
                    </w:div>
                  </w:divsChild>
                </w:div>
                <w:div w:id="1577671638">
                  <w:marLeft w:val="0"/>
                  <w:marRight w:val="0"/>
                  <w:marTop w:val="0"/>
                  <w:marBottom w:val="0"/>
                  <w:divBdr>
                    <w:top w:val="none" w:sz="0" w:space="0" w:color="auto"/>
                    <w:left w:val="none" w:sz="0" w:space="0" w:color="auto"/>
                    <w:bottom w:val="none" w:sz="0" w:space="0" w:color="auto"/>
                    <w:right w:val="none" w:sz="0" w:space="0" w:color="auto"/>
                  </w:divBdr>
                  <w:divsChild>
                    <w:div w:id="103814371">
                      <w:marLeft w:val="0"/>
                      <w:marRight w:val="0"/>
                      <w:marTop w:val="0"/>
                      <w:marBottom w:val="0"/>
                      <w:divBdr>
                        <w:top w:val="none" w:sz="0" w:space="0" w:color="auto"/>
                        <w:left w:val="none" w:sz="0" w:space="0" w:color="auto"/>
                        <w:bottom w:val="none" w:sz="0" w:space="0" w:color="auto"/>
                        <w:right w:val="none" w:sz="0" w:space="0" w:color="auto"/>
                      </w:divBdr>
                    </w:div>
                  </w:divsChild>
                </w:div>
                <w:div w:id="1583561641">
                  <w:marLeft w:val="0"/>
                  <w:marRight w:val="0"/>
                  <w:marTop w:val="0"/>
                  <w:marBottom w:val="0"/>
                  <w:divBdr>
                    <w:top w:val="none" w:sz="0" w:space="0" w:color="auto"/>
                    <w:left w:val="none" w:sz="0" w:space="0" w:color="auto"/>
                    <w:bottom w:val="none" w:sz="0" w:space="0" w:color="auto"/>
                    <w:right w:val="none" w:sz="0" w:space="0" w:color="auto"/>
                  </w:divBdr>
                  <w:divsChild>
                    <w:div w:id="285355163">
                      <w:marLeft w:val="0"/>
                      <w:marRight w:val="0"/>
                      <w:marTop w:val="0"/>
                      <w:marBottom w:val="0"/>
                      <w:divBdr>
                        <w:top w:val="none" w:sz="0" w:space="0" w:color="auto"/>
                        <w:left w:val="none" w:sz="0" w:space="0" w:color="auto"/>
                        <w:bottom w:val="none" w:sz="0" w:space="0" w:color="auto"/>
                        <w:right w:val="none" w:sz="0" w:space="0" w:color="auto"/>
                      </w:divBdr>
                    </w:div>
                  </w:divsChild>
                </w:div>
                <w:div w:id="1584031036">
                  <w:marLeft w:val="0"/>
                  <w:marRight w:val="0"/>
                  <w:marTop w:val="0"/>
                  <w:marBottom w:val="0"/>
                  <w:divBdr>
                    <w:top w:val="none" w:sz="0" w:space="0" w:color="auto"/>
                    <w:left w:val="none" w:sz="0" w:space="0" w:color="auto"/>
                    <w:bottom w:val="none" w:sz="0" w:space="0" w:color="auto"/>
                    <w:right w:val="none" w:sz="0" w:space="0" w:color="auto"/>
                  </w:divBdr>
                  <w:divsChild>
                    <w:div w:id="161091417">
                      <w:marLeft w:val="0"/>
                      <w:marRight w:val="0"/>
                      <w:marTop w:val="0"/>
                      <w:marBottom w:val="0"/>
                      <w:divBdr>
                        <w:top w:val="none" w:sz="0" w:space="0" w:color="auto"/>
                        <w:left w:val="none" w:sz="0" w:space="0" w:color="auto"/>
                        <w:bottom w:val="none" w:sz="0" w:space="0" w:color="auto"/>
                        <w:right w:val="none" w:sz="0" w:space="0" w:color="auto"/>
                      </w:divBdr>
                    </w:div>
                  </w:divsChild>
                </w:div>
                <w:div w:id="1586845005">
                  <w:marLeft w:val="0"/>
                  <w:marRight w:val="0"/>
                  <w:marTop w:val="0"/>
                  <w:marBottom w:val="0"/>
                  <w:divBdr>
                    <w:top w:val="none" w:sz="0" w:space="0" w:color="auto"/>
                    <w:left w:val="none" w:sz="0" w:space="0" w:color="auto"/>
                    <w:bottom w:val="none" w:sz="0" w:space="0" w:color="auto"/>
                    <w:right w:val="none" w:sz="0" w:space="0" w:color="auto"/>
                  </w:divBdr>
                  <w:divsChild>
                    <w:div w:id="1054237485">
                      <w:marLeft w:val="0"/>
                      <w:marRight w:val="0"/>
                      <w:marTop w:val="0"/>
                      <w:marBottom w:val="0"/>
                      <w:divBdr>
                        <w:top w:val="none" w:sz="0" w:space="0" w:color="auto"/>
                        <w:left w:val="none" w:sz="0" w:space="0" w:color="auto"/>
                        <w:bottom w:val="none" w:sz="0" w:space="0" w:color="auto"/>
                        <w:right w:val="none" w:sz="0" w:space="0" w:color="auto"/>
                      </w:divBdr>
                    </w:div>
                  </w:divsChild>
                </w:div>
                <w:div w:id="1592620143">
                  <w:marLeft w:val="0"/>
                  <w:marRight w:val="0"/>
                  <w:marTop w:val="0"/>
                  <w:marBottom w:val="0"/>
                  <w:divBdr>
                    <w:top w:val="none" w:sz="0" w:space="0" w:color="auto"/>
                    <w:left w:val="none" w:sz="0" w:space="0" w:color="auto"/>
                    <w:bottom w:val="none" w:sz="0" w:space="0" w:color="auto"/>
                    <w:right w:val="none" w:sz="0" w:space="0" w:color="auto"/>
                  </w:divBdr>
                  <w:divsChild>
                    <w:div w:id="396318448">
                      <w:marLeft w:val="0"/>
                      <w:marRight w:val="0"/>
                      <w:marTop w:val="0"/>
                      <w:marBottom w:val="0"/>
                      <w:divBdr>
                        <w:top w:val="none" w:sz="0" w:space="0" w:color="auto"/>
                        <w:left w:val="none" w:sz="0" w:space="0" w:color="auto"/>
                        <w:bottom w:val="none" w:sz="0" w:space="0" w:color="auto"/>
                        <w:right w:val="none" w:sz="0" w:space="0" w:color="auto"/>
                      </w:divBdr>
                    </w:div>
                  </w:divsChild>
                </w:div>
                <w:div w:id="1600794141">
                  <w:marLeft w:val="0"/>
                  <w:marRight w:val="0"/>
                  <w:marTop w:val="0"/>
                  <w:marBottom w:val="0"/>
                  <w:divBdr>
                    <w:top w:val="none" w:sz="0" w:space="0" w:color="auto"/>
                    <w:left w:val="none" w:sz="0" w:space="0" w:color="auto"/>
                    <w:bottom w:val="none" w:sz="0" w:space="0" w:color="auto"/>
                    <w:right w:val="none" w:sz="0" w:space="0" w:color="auto"/>
                  </w:divBdr>
                  <w:divsChild>
                    <w:div w:id="553614247">
                      <w:marLeft w:val="0"/>
                      <w:marRight w:val="0"/>
                      <w:marTop w:val="0"/>
                      <w:marBottom w:val="0"/>
                      <w:divBdr>
                        <w:top w:val="none" w:sz="0" w:space="0" w:color="auto"/>
                        <w:left w:val="none" w:sz="0" w:space="0" w:color="auto"/>
                        <w:bottom w:val="none" w:sz="0" w:space="0" w:color="auto"/>
                        <w:right w:val="none" w:sz="0" w:space="0" w:color="auto"/>
                      </w:divBdr>
                    </w:div>
                  </w:divsChild>
                </w:div>
                <w:div w:id="1606378219">
                  <w:marLeft w:val="0"/>
                  <w:marRight w:val="0"/>
                  <w:marTop w:val="0"/>
                  <w:marBottom w:val="0"/>
                  <w:divBdr>
                    <w:top w:val="none" w:sz="0" w:space="0" w:color="auto"/>
                    <w:left w:val="none" w:sz="0" w:space="0" w:color="auto"/>
                    <w:bottom w:val="none" w:sz="0" w:space="0" w:color="auto"/>
                    <w:right w:val="none" w:sz="0" w:space="0" w:color="auto"/>
                  </w:divBdr>
                  <w:divsChild>
                    <w:div w:id="156582999">
                      <w:marLeft w:val="0"/>
                      <w:marRight w:val="0"/>
                      <w:marTop w:val="0"/>
                      <w:marBottom w:val="0"/>
                      <w:divBdr>
                        <w:top w:val="none" w:sz="0" w:space="0" w:color="auto"/>
                        <w:left w:val="none" w:sz="0" w:space="0" w:color="auto"/>
                        <w:bottom w:val="none" w:sz="0" w:space="0" w:color="auto"/>
                        <w:right w:val="none" w:sz="0" w:space="0" w:color="auto"/>
                      </w:divBdr>
                    </w:div>
                  </w:divsChild>
                </w:div>
                <w:div w:id="1607497822">
                  <w:marLeft w:val="0"/>
                  <w:marRight w:val="0"/>
                  <w:marTop w:val="0"/>
                  <w:marBottom w:val="0"/>
                  <w:divBdr>
                    <w:top w:val="none" w:sz="0" w:space="0" w:color="auto"/>
                    <w:left w:val="none" w:sz="0" w:space="0" w:color="auto"/>
                    <w:bottom w:val="none" w:sz="0" w:space="0" w:color="auto"/>
                    <w:right w:val="none" w:sz="0" w:space="0" w:color="auto"/>
                  </w:divBdr>
                  <w:divsChild>
                    <w:div w:id="1013341510">
                      <w:marLeft w:val="0"/>
                      <w:marRight w:val="0"/>
                      <w:marTop w:val="0"/>
                      <w:marBottom w:val="0"/>
                      <w:divBdr>
                        <w:top w:val="none" w:sz="0" w:space="0" w:color="auto"/>
                        <w:left w:val="none" w:sz="0" w:space="0" w:color="auto"/>
                        <w:bottom w:val="none" w:sz="0" w:space="0" w:color="auto"/>
                        <w:right w:val="none" w:sz="0" w:space="0" w:color="auto"/>
                      </w:divBdr>
                    </w:div>
                  </w:divsChild>
                </w:div>
                <w:div w:id="1609851412">
                  <w:marLeft w:val="0"/>
                  <w:marRight w:val="0"/>
                  <w:marTop w:val="0"/>
                  <w:marBottom w:val="0"/>
                  <w:divBdr>
                    <w:top w:val="none" w:sz="0" w:space="0" w:color="auto"/>
                    <w:left w:val="none" w:sz="0" w:space="0" w:color="auto"/>
                    <w:bottom w:val="none" w:sz="0" w:space="0" w:color="auto"/>
                    <w:right w:val="none" w:sz="0" w:space="0" w:color="auto"/>
                  </w:divBdr>
                  <w:divsChild>
                    <w:div w:id="1531919103">
                      <w:marLeft w:val="0"/>
                      <w:marRight w:val="0"/>
                      <w:marTop w:val="0"/>
                      <w:marBottom w:val="0"/>
                      <w:divBdr>
                        <w:top w:val="none" w:sz="0" w:space="0" w:color="auto"/>
                        <w:left w:val="none" w:sz="0" w:space="0" w:color="auto"/>
                        <w:bottom w:val="none" w:sz="0" w:space="0" w:color="auto"/>
                        <w:right w:val="none" w:sz="0" w:space="0" w:color="auto"/>
                      </w:divBdr>
                    </w:div>
                  </w:divsChild>
                </w:div>
                <w:div w:id="1610041344">
                  <w:marLeft w:val="0"/>
                  <w:marRight w:val="0"/>
                  <w:marTop w:val="0"/>
                  <w:marBottom w:val="0"/>
                  <w:divBdr>
                    <w:top w:val="none" w:sz="0" w:space="0" w:color="auto"/>
                    <w:left w:val="none" w:sz="0" w:space="0" w:color="auto"/>
                    <w:bottom w:val="none" w:sz="0" w:space="0" w:color="auto"/>
                    <w:right w:val="none" w:sz="0" w:space="0" w:color="auto"/>
                  </w:divBdr>
                  <w:divsChild>
                    <w:div w:id="932737271">
                      <w:marLeft w:val="0"/>
                      <w:marRight w:val="0"/>
                      <w:marTop w:val="0"/>
                      <w:marBottom w:val="0"/>
                      <w:divBdr>
                        <w:top w:val="none" w:sz="0" w:space="0" w:color="auto"/>
                        <w:left w:val="none" w:sz="0" w:space="0" w:color="auto"/>
                        <w:bottom w:val="none" w:sz="0" w:space="0" w:color="auto"/>
                        <w:right w:val="none" w:sz="0" w:space="0" w:color="auto"/>
                      </w:divBdr>
                    </w:div>
                  </w:divsChild>
                </w:div>
                <w:div w:id="1615020296">
                  <w:marLeft w:val="0"/>
                  <w:marRight w:val="0"/>
                  <w:marTop w:val="0"/>
                  <w:marBottom w:val="0"/>
                  <w:divBdr>
                    <w:top w:val="none" w:sz="0" w:space="0" w:color="auto"/>
                    <w:left w:val="none" w:sz="0" w:space="0" w:color="auto"/>
                    <w:bottom w:val="none" w:sz="0" w:space="0" w:color="auto"/>
                    <w:right w:val="none" w:sz="0" w:space="0" w:color="auto"/>
                  </w:divBdr>
                  <w:divsChild>
                    <w:div w:id="40717466">
                      <w:marLeft w:val="0"/>
                      <w:marRight w:val="0"/>
                      <w:marTop w:val="0"/>
                      <w:marBottom w:val="0"/>
                      <w:divBdr>
                        <w:top w:val="none" w:sz="0" w:space="0" w:color="auto"/>
                        <w:left w:val="none" w:sz="0" w:space="0" w:color="auto"/>
                        <w:bottom w:val="none" w:sz="0" w:space="0" w:color="auto"/>
                        <w:right w:val="none" w:sz="0" w:space="0" w:color="auto"/>
                      </w:divBdr>
                    </w:div>
                  </w:divsChild>
                </w:div>
                <w:div w:id="1629773948">
                  <w:marLeft w:val="0"/>
                  <w:marRight w:val="0"/>
                  <w:marTop w:val="0"/>
                  <w:marBottom w:val="0"/>
                  <w:divBdr>
                    <w:top w:val="none" w:sz="0" w:space="0" w:color="auto"/>
                    <w:left w:val="none" w:sz="0" w:space="0" w:color="auto"/>
                    <w:bottom w:val="none" w:sz="0" w:space="0" w:color="auto"/>
                    <w:right w:val="none" w:sz="0" w:space="0" w:color="auto"/>
                  </w:divBdr>
                  <w:divsChild>
                    <w:div w:id="2057578438">
                      <w:marLeft w:val="0"/>
                      <w:marRight w:val="0"/>
                      <w:marTop w:val="0"/>
                      <w:marBottom w:val="0"/>
                      <w:divBdr>
                        <w:top w:val="none" w:sz="0" w:space="0" w:color="auto"/>
                        <w:left w:val="none" w:sz="0" w:space="0" w:color="auto"/>
                        <w:bottom w:val="none" w:sz="0" w:space="0" w:color="auto"/>
                        <w:right w:val="none" w:sz="0" w:space="0" w:color="auto"/>
                      </w:divBdr>
                    </w:div>
                  </w:divsChild>
                </w:div>
                <w:div w:id="1632319626">
                  <w:marLeft w:val="0"/>
                  <w:marRight w:val="0"/>
                  <w:marTop w:val="0"/>
                  <w:marBottom w:val="0"/>
                  <w:divBdr>
                    <w:top w:val="none" w:sz="0" w:space="0" w:color="auto"/>
                    <w:left w:val="none" w:sz="0" w:space="0" w:color="auto"/>
                    <w:bottom w:val="none" w:sz="0" w:space="0" w:color="auto"/>
                    <w:right w:val="none" w:sz="0" w:space="0" w:color="auto"/>
                  </w:divBdr>
                  <w:divsChild>
                    <w:div w:id="1729113227">
                      <w:marLeft w:val="0"/>
                      <w:marRight w:val="0"/>
                      <w:marTop w:val="0"/>
                      <w:marBottom w:val="0"/>
                      <w:divBdr>
                        <w:top w:val="none" w:sz="0" w:space="0" w:color="auto"/>
                        <w:left w:val="none" w:sz="0" w:space="0" w:color="auto"/>
                        <w:bottom w:val="none" w:sz="0" w:space="0" w:color="auto"/>
                        <w:right w:val="none" w:sz="0" w:space="0" w:color="auto"/>
                      </w:divBdr>
                    </w:div>
                  </w:divsChild>
                </w:div>
                <w:div w:id="1636913287">
                  <w:marLeft w:val="0"/>
                  <w:marRight w:val="0"/>
                  <w:marTop w:val="0"/>
                  <w:marBottom w:val="0"/>
                  <w:divBdr>
                    <w:top w:val="none" w:sz="0" w:space="0" w:color="auto"/>
                    <w:left w:val="none" w:sz="0" w:space="0" w:color="auto"/>
                    <w:bottom w:val="none" w:sz="0" w:space="0" w:color="auto"/>
                    <w:right w:val="none" w:sz="0" w:space="0" w:color="auto"/>
                  </w:divBdr>
                  <w:divsChild>
                    <w:div w:id="638923225">
                      <w:marLeft w:val="0"/>
                      <w:marRight w:val="0"/>
                      <w:marTop w:val="0"/>
                      <w:marBottom w:val="0"/>
                      <w:divBdr>
                        <w:top w:val="none" w:sz="0" w:space="0" w:color="auto"/>
                        <w:left w:val="none" w:sz="0" w:space="0" w:color="auto"/>
                        <w:bottom w:val="none" w:sz="0" w:space="0" w:color="auto"/>
                        <w:right w:val="none" w:sz="0" w:space="0" w:color="auto"/>
                      </w:divBdr>
                    </w:div>
                  </w:divsChild>
                </w:div>
                <w:div w:id="1648196612">
                  <w:marLeft w:val="0"/>
                  <w:marRight w:val="0"/>
                  <w:marTop w:val="0"/>
                  <w:marBottom w:val="0"/>
                  <w:divBdr>
                    <w:top w:val="none" w:sz="0" w:space="0" w:color="auto"/>
                    <w:left w:val="none" w:sz="0" w:space="0" w:color="auto"/>
                    <w:bottom w:val="none" w:sz="0" w:space="0" w:color="auto"/>
                    <w:right w:val="none" w:sz="0" w:space="0" w:color="auto"/>
                  </w:divBdr>
                  <w:divsChild>
                    <w:div w:id="1118183662">
                      <w:marLeft w:val="0"/>
                      <w:marRight w:val="0"/>
                      <w:marTop w:val="0"/>
                      <w:marBottom w:val="0"/>
                      <w:divBdr>
                        <w:top w:val="none" w:sz="0" w:space="0" w:color="auto"/>
                        <w:left w:val="none" w:sz="0" w:space="0" w:color="auto"/>
                        <w:bottom w:val="none" w:sz="0" w:space="0" w:color="auto"/>
                        <w:right w:val="none" w:sz="0" w:space="0" w:color="auto"/>
                      </w:divBdr>
                    </w:div>
                  </w:divsChild>
                </w:div>
                <w:div w:id="1650162817">
                  <w:marLeft w:val="0"/>
                  <w:marRight w:val="0"/>
                  <w:marTop w:val="0"/>
                  <w:marBottom w:val="0"/>
                  <w:divBdr>
                    <w:top w:val="none" w:sz="0" w:space="0" w:color="auto"/>
                    <w:left w:val="none" w:sz="0" w:space="0" w:color="auto"/>
                    <w:bottom w:val="none" w:sz="0" w:space="0" w:color="auto"/>
                    <w:right w:val="none" w:sz="0" w:space="0" w:color="auto"/>
                  </w:divBdr>
                  <w:divsChild>
                    <w:div w:id="612983287">
                      <w:marLeft w:val="0"/>
                      <w:marRight w:val="0"/>
                      <w:marTop w:val="0"/>
                      <w:marBottom w:val="0"/>
                      <w:divBdr>
                        <w:top w:val="none" w:sz="0" w:space="0" w:color="auto"/>
                        <w:left w:val="none" w:sz="0" w:space="0" w:color="auto"/>
                        <w:bottom w:val="none" w:sz="0" w:space="0" w:color="auto"/>
                        <w:right w:val="none" w:sz="0" w:space="0" w:color="auto"/>
                      </w:divBdr>
                    </w:div>
                  </w:divsChild>
                </w:div>
                <w:div w:id="1655718034">
                  <w:marLeft w:val="0"/>
                  <w:marRight w:val="0"/>
                  <w:marTop w:val="0"/>
                  <w:marBottom w:val="0"/>
                  <w:divBdr>
                    <w:top w:val="none" w:sz="0" w:space="0" w:color="auto"/>
                    <w:left w:val="none" w:sz="0" w:space="0" w:color="auto"/>
                    <w:bottom w:val="none" w:sz="0" w:space="0" w:color="auto"/>
                    <w:right w:val="none" w:sz="0" w:space="0" w:color="auto"/>
                  </w:divBdr>
                  <w:divsChild>
                    <w:div w:id="1745568011">
                      <w:marLeft w:val="0"/>
                      <w:marRight w:val="0"/>
                      <w:marTop w:val="0"/>
                      <w:marBottom w:val="0"/>
                      <w:divBdr>
                        <w:top w:val="none" w:sz="0" w:space="0" w:color="auto"/>
                        <w:left w:val="none" w:sz="0" w:space="0" w:color="auto"/>
                        <w:bottom w:val="none" w:sz="0" w:space="0" w:color="auto"/>
                        <w:right w:val="none" w:sz="0" w:space="0" w:color="auto"/>
                      </w:divBdr>
                    </w:div>
                  </w:divsChild>
                </w:div>
                <w:div w:id="1656520610">
                  <w:marLeft w:val="0"/>
                  <w:marRight w:val="0"/>
                  <w:marTop w:val="0"/>
                  <w:marBottom w:val="0"/>
                  <w:divBdr>
                    <w:top w:val="none" w:sz="0" w:space="0" w:color="auto"/>
                    <w:left w:val="none" w:sz="0" w:space="0" w:color="auto"/>
                    <w:bottom w:val="none" w:sz="0" w:space="0" w:color="auto"/>
                    <w:right w:val="none" w:sz="0" w:space="0" w:color="auto"/>
                  </w:divBdr>
                  <w:divsChild>
                    <w:div w:id="2119518205">
                      <w:marLeft w:val="0"/>
                      <w:marRight w:val="0"/>
                      <w:marTop w:val="0"/>
                      <w:marBottom w:val="0"/>
                      <w:divBdr>
                        <w:top w:val="none" w:sz="0" w:space="0" w:color="auto"/>
                        <w:left w:val="none" w:sz="0" w:space="0" w:color="auto"/>
                        <w:bottom w:val="none" w:sz="0" w:space="0" w:color="auto"/>
                        <w:right w:val="none" w:sz="0" w:space="0" w:color="auto"/>
                      </w:divBdr>
                    </w:div>
                  </w:divsChild>
                </w:div>
                <w:div w:id="1666780428">
                  <w:marLeft w:val="0"/>
                  <w:marRight w:val="0"/>
                  <w:marTop w:val="0"/>
                  <w:marBottom w:val="0"/>
                  <w:divBdr>
                    <w:top w:val="none" w:sz="0" w:space="0" w:color="auto"/>
                    <w:left w:val="none" w:sz="0" w:space="0" w:color="auto"/>
                    <w:bottom w:val="none" w:sz="0" w:space="0" w:color="auto"/>
                    <w:right w:val="none" w:sz="0" w:space="0" w:color="auto"/>
                  </w:divBdr>
                  <w:divsChild>
                    <w:div w:id="405495820">
                      <w:marLeft w:val="0"/>
                      <w:marRight w:val="0"/>
                      <w:marTop w:val="0"/>
                      <w:marBottom w:val="0"/>
                      <w:divBdr>
                        <w:top w:val="none" w:sz="0" w:space="0" w:color="auto"/>
                        <w:left w:val="none" w:sz="0" w:space="0" w:color="auto"/>
                        <w:bottom w:val="none" w:sz="0" w:space="0" w:color="auto"/>
                        <w:right w:val="none" w:sz="0" w:space="0" w:color="auto"/>
                      </w:divBdr>
                    </w:div>
                  </w:divsChild>
                </w:div>
                <w:div w:id="1678314577">
                  <w:marLeft w:val="0"/>
                  <w:marRight w:val="0"/>
                  <w:marTop w:val="0"/>
                  <w:marBottom w:val="0"/>
                  <w:divBdr>
                    <w:top w:val="none" w:sz="0" w:space="0" w:color="auto"/>
                    <w:left w:val="none" w:sz="0" w:space="0" w:color="auto"/>
                    <w:bottom w:val="none" w:sz="0" w:space="0" w:color="auto"/>
                    <w:right w:val="none" w:sz="0" w:space="0" w:color="auto"/>
                  </w:divBdr>
                  <w:divsChild>
                    <w:div w:id="1263606448">
                      <w:marLeft w:val="0"/>
                      <w:marRight w:val="0"/>
                      <w:marTop w:val="0"/>
                      <w:marBottom w:val="0"/>
                      <w:divBdr>
                        <w:top w:val="none" w:sz="0" w:space="0" w:color="auto"/>
                        <w:left w:val="none" w:sz="0" w:space="0" w:color="auto"/>
                        <w:bottom w:val="none" w:sz="0" w:space="0" w:color="auto"/>
                        <w:right w:val="none" w:sz="0" w:space="0" w:color="auto"/>
                      </w:divBdr>
                    </w:div>
                  </w:divsChild>
                </w:div>
                <w:div w:id="1679116565">
                  <w:marLeft w:val="0"/>
                  <w:marRight w:val="0"/>
                  <w:marTop w:val="0"/>
                  <w:marBottom w:val="0"/>
                  <w:divBdr>
                    <w:top w:val="none" w:sz="0" w:space="0" w:color="auto"/>
                    <w:left w:val="none" w:sz="0" w:space="0" w:color="auto"/>
                    <w:bottom w:val="none" w:sz="0" w:space="0" w:color="auto"/>
                    <w:right w:val="none" w:sz="0" w:space="0" w:color="auto"/>
                  </w:divBdr>
                  <w:divsChild>
                    <w:div w:id="1366171893">
                      <w:marLeft w:val="0"/>
                      <w:marRight w:val="0"/>
                      <w:marTop w:val="0"/>
                      <w:marBottom w:val="0"/>
                      <w:divBdr>
                        <w:top w:val="none" w:sz="0" w:space="0" w:color="auto"/>
                        <w:left w:val="none" w:sz="0" w:space="0" w:color="auto"/>
                        <w:bottom w:val="none" w:sz="0" w:space="0" w:color="auto"/>
                        <w:right w:val="none" w:sz="0" w:space="0" w:color="auto"/>
                      </w:divBdr>
                    </w:div>
                  </w:divsChild>
                </w:div>
                <w:div w:id="1695497063">
                  <w:marLeft w:val="0"/>
                  <w:marRight w:val="0"/>
                  <w:marTop w:val="0"/>
                  <w:marBottom w:val="0"/>
                  <w:divBdr>
                    <w:top w:val="none" w:sz="0" w:space="0" w:color="auto"/>
                    <w:left w:val="none" w:sz="0" w:space="0" w:color="auto"/>
                    <w:bottom w:val="none" w:sz="0" w:space="0" w:color="auto"/>
                    <w:right w:val="none" w:sz="0" w:space="0" w:color="auto"/>
                  </w:divBdr>
                  <w:divsChild>
                    <w:div w:id="1500004019">
                      <w:marLeft w:val="0"/>
                      <w:marRight w:val="0"/>
                      <w:marTop w:val="0"/>
                      <w:marBottom w:val="0"/>
                      <w:divBdr>
                        <w:top w:val="none" w:sz="0" w:space="0" w:color="auto"/>
                        <w:left w:val="none" w:sz="0" w:space="0" w:color="auto"/>
                        <w:bottom w:val="none" w:sz="0" w:space="0" w:color="auto"/>
                        <w:right w:val="none" w:sz="0" w:space="0" w:color="auto"/>
                      </w:divBdr>
                    </w:div>
                  </w:divsChild>
                </w:div>
                <w:div w:id="1703901933">
                  <w:marLeft w:val="0"/>
                  <w:marRight w:val="0"/>
                  <w:marTop w:val="0"/>
                  <w:marBottom w:val="0"/>
                  <w:divBdr>
                    <w:top w:val="none" w:sz="0" w:space="0" w:color="auto"/>
                    <w:left w:val="none" w:sz="0" w:space="0" w:color="auto"/>
                    <w:bottom w:val="none" w:sz="0" w:space="0" w:color="auto"/>
                    <w:right w:val="none" w:sz="0" w:space="0" w:color="auto"/>
                  </w:divBdr>
                  <w:divsChild>
                    <w:div w:id="1309675297">
                      <w:marLeft w:val="0"/>
                      <w:marRight w:val="0"/>
                      <w:marTop w:val="0"/>
                      <w:marBottom w:val="0"/>
                      <w:divBdr>
                        <w:top w:val="none" w:sz="0" w:space="0" w:color="auto"/>
                        <w:left w:val="none" w:sz="0" w:space="0" w:color="auto"/>
                        <w:bottom w:val="none" w:sz="0" w:space="0" w:color="auto"/>
                        <w:right w:val="none" w:sz="0" w:space="0" w:color="auto"/>
                      </w:divBdr>
                    </w:div>
                  </w:divsChild>
                </w:div>
                <w:div w:id="1710840369">
                  <w:marLeft w:val="0"/>
                  <w:marRight w:val="0"/>
                  <w:marTop w:val="0"/>
                  <w:marBottom w:val="0"/>
                  <w:divBdr>
                    <w:top w:val="none" w:sz="0" w:space="0" w:color="auto"/>
                    <w:left w:val="none" w:sz="0" w:space="0" w:color="auto"/>
                    <w:bottom w:val="none" w:sz="0" w:space="0" w:color="auto"/>
                    <w:right w:val="none" w:sz="0" w:space="0" w:color="auto"/>
                  </w:divBdr>
                  <w:divsChild>
                    <w:div w:id="1729376292">
                      <w:marLeft w:val="0"/>
                      <w:marRight w:val="0"/>
                      <w:marTop w:val="0"/>
                      <w:marBottom w:val="0"/>
                      <w:divBdr>
                        <w:top w:val="none" w:sz="0" w:space="0" w:color="auto"/>
                        <w:left w:val="none" w:sz="0" w:space="0" w:color="auto"/>
                        <w:bottom w:val="none" w:sz="0" w:space="0" w:color="auto"/>
                        <w:right w:val="none" w:sz="0" w:space="0" w:color="auto"/>
                      </w:divBdr>
                    </w:div>
                  </w:divsChild>
                </w:div>
                <w:div w:id="1716006170">
                  <w:marLeft w:val="0"/>
                  <w:marRight w:val="0"/>
                  <w:marTop w:val="0"/>
                  <w:marBottom w:val="0"/>
                  <w:divBdr>
                    <w:top w:val="none" w:sz="0" w:space="0" w:color="auto"/>
                    <w:left w:val="none" w:sz="0" w:space="0" w:color="auto"/>
                    <w:bottom w:val="none" w:sz="0" w:space="0" w:color="auto"/>
                    <w:right w:val="none" w:sz="0" w:space="0" w:color="auto"/>
                  </w:divBdr>
                  <w:divsChild>
                    <w:div w:id="365566724">
                      <w:marLeft w:val="0"/>
                      <w:marRight w:val="0"/>
                      <w:marTop w:val="0"/>
                      <w:marBottom w:val="0"/>
                      <w:divBdr>
                        <w:top w:val="none" w:sz="0" w:space="0" w:color="auto"/>
                        <w:left w:val="none" w:sz="0" w:space="0" w:color="auto"/>
                        <w:bottom w:val="none" w:sz="0" w:space="0" w:color="auto"/>
                        <w:right w:val="none" w:sz="0" w:space="0" w:color="auto"/>
                      </w:divBdr>
                    </w:div>
                  </w:divsChild>
                </w:div>
                <w:div w:id="1722705505">
                  <w:marLeft w:val="0"/>
                  <w:marRight w:val="0"/>
                  <w:marTop w:val="0"/>
                  <w:marBottom w:val="0"/>
                  <w:divBdr>
                    <w:top w:val="none" w:sz="0" w:space="0" w:color="auto"/>
                    <w:left w:val="none" w:sz="0" w:space="0" w:color="auto"/>
                    <w:bottom w:val="none" w:sz="0" w:space="0" w:color="auto"/>
                    <w:right w:val="none" w:sz="0" w:space="0" w:color="auto"/>
                  </w:divBdr>
                  <w:divsChild>
                    <w:div w:id="1422869812">
                      <w:marLeft w:val="0"/>
                      <w:marRight w:val="0"/>
                      <w:marTop w:val="0"/>
                      <w:marBottom w:val="0"/>
                      <w:divBdr>
                        <w:top w:val="none" w:sz="0" w:space="0" w:color="auto"/>
                        <w:left w:val="none" w:sz="0" w:space="0" w:color="auto"/>
                        <w:bottom w:val="none" w:sz="0" w:space="0" w:color="auto"/>
                        <w:right w:val="none" w:sz="0" w:space="0" w:color="auto"/>
                      </w:divBdr>
                    </w:div>
                  </w:divsChild>
                </w:div>
                <w:div w:id="1733696448">
                  <w:marLeft w:val="0"/>
                  <w:marRight w:val="0"/>
                  <w:marTop w:val="0"/>
                  <w:marBottom w:val="0"/>
                  <w:divBdr>
                    <w:top w:val="none" w:sz="0" w:space="0" w:color="auto"/>
                    <w:left w:val="none" w:sz="0" w:space="0" w:color="auto"/>
                    <w:bottom w:val="none" w:sz="0" w:space="0" w:color="auto"/>
                    <w:right w:val="none" w:sz="0" w:space="0" w:color="auto"/>
                  </w:divBdr>
                  <w:divsChild>
                    <w:div w:id="182523201">
                      <w:marLeft w:val="0"/>
                      <w:marRight w:val="0"/>
                      <w:marTop w:val="0"/>
                      <w:marBottom w:val="0"/>
                      <w:divBdr>
                        <w:top w:val="none" w:sz="0" w:space="0" w:color="auto"/>
                        <w:left w:val="none" w:sz="0" w:space="0" w:color="auto"/>
                        <w:bottom w:val="none" w:sz="0" w:space="0" w:color="auto"/>
                        <w:right w:val="none" w:sz="0" w:space="0" w:color="auto"/>
                      </w:divBdr>
                    </w:div>
                  </w:divsChild>
                </w:div>
                <w:div w:id="1736857435">
                  <w:marLeft w:val="0"/>
                  <w:marRight w:val="0"/>
                  <w:marTop w:val="0"/>
                  <w:marBottom w:val="0"/>
                  <w:divBdr>
                    <w:top w:val="none" w:sz="0" w:space="0" w:color="auto"/>
                    <w:left w:val="none" w:sz="0" w:space="0" w:color="auto"/>
                    <w:bottom w:val="none" w:sz="0" w:space="0" w:color="auto"/>
                    <w:right w:val="none" w:sz="0" w:space="0" w:color="auto"/>
                  </w:divBdr>
                  <w:divsChild>
                    <w:div w:id="1526361709">
                      <w:marLeft w:val="0"/>
                      <w:marRight w:val="0"/>
                      <w:marTop w:val="0"/>
                      <w:marBottom w:val="0"/>
                      <w:divBdr>
                        <w:top w:val="none" w:sz="0" w:space="0" w:color="auto"/>
                        <w:left w:val="none" w:sz="0" w:space="0" w:color="auto"/>
                        <w:bottom w:val="none" w:sz="0" w:space="0" w:color="auto"/>
                        <w:right w:val="none" w:sz="0" w:space="0" w:color="auto"/>
                      </w:divBdr>
                    </w:div>
                    <w:div w:id="2092657974">
                      <w:marLeft w:val="0"/>
                      <w:marRight w:val="0"/>
                      <w:marTop w:val="0"/>
                      <w:marBottom w:val="0"/>
                      <w:divBdr>
                        <w:top w:val="none" w:sz="0" w:space="0" w:color="auto"/>
                        <w:left w:val="none" w:sz="0" w:space="0" w:color="auto"/>
                        <w:bottom w:val="none" w:sz="0" w:space="0" w:color="auto"/>
                        <w:right w:val="none" w:sz="0" w:space="0" w:color="auto"/>
                      </w:divBdr>
                    </w:div>
                  </w:divsChild>
                </w:div>
                <w:div w:id="1740710405">
                  <w:marLeft w:val="0"/>
                  <w:marRight w:val="0"/>
                  <w:marTop w:val="0"/>
                  <w:marBottom w:val="0"/>
                  <w:divBdr>
                    <w:top w:val="none" w:sz="0" w:space="0" w:color="auto"/>
                    <w:left w:val="none" w:sz="0" w:space="0" w:color="auto"/>
                    <w:bottom w:val="none" w:sz="0" w:space="0" w:color="auto"/>
                    <w:right w:val="none" w:sz="0" w:space="0" w:color="auto"/>
                  </w:divBdr>
                  <w:divsChild>
                    <w:div w:id="711153082">
                      <w:marLeft w:val="0"/>
                      <w:marRight w:val="0"/>
                      <w:marTop w:val="0"/>
                      <w:marBottom w:val="0"/>
                      <w:divBdr>
                        <w:top w:val="none" w:sz="0" w:space="0" w:color="auto"/>
                        <w:left w:val="none" w:sz="0" w:space="0" w:color="auto"/>
                        <w:bottom w:val="none" w:sz="0" w:space="0" w:color="auto"/>
                        <w:right w:val="none" w:sz="0" w:space="0" w:color="auto"/>
                      </w:divBdr>
                    </w:div>
                  </w:divsChild>
                </w:div>
                <w:div w:id="1746679628">
                  <w:marLeft w:val="0"/>
                  <w:marRight w:val="0"/>
                  <w:marTop w:val="0"/>
                  <w:marBottom w:val="0"/>
                  <w:divBdr>
                    <w:top w:val="none" w:sz="0" w:space="0" w:color="auto"/>
                    <w:left w:val="none" w:sz="0" w:space="0" w:color="auto"/>
                    <w:bottom w:val="none" w:sz="0" w:space="0" w:color="auto"/>
                    <w:right w:val="none" w:sz="0" w:space="0" w:color="auto"/>
                  </w:divBdr>
                  <w:divsChild>
                    <w:div w:id="33891623">
                      <w:marLeft w:val="0"/>
                      <w:marRight w:val="0"/>
                      <w:marTop w:val="0"/>
                      <w:marBottom w:val="0"/>
                      <w:divBdr>
                        <w:top w:val="none" w:sz="0" w:space="0" w:color="auto"/>
                        <w:left w:val="none" w:sz="0" w:space="0" w:color="auto"/>
                        <w:bottom w:val="none" w:sz="0" w:space="0" w:color="auto"/>
                        <w:right w:val="none" w:sz="0" w:space="0" w:color="auto"/>
                      </w:divBdr>
                    </w:div>
                  </w:divsChild>
                </w:div>
                <w:div w:id="1756122183">
                  <w:marLeft w:val="0"/>
                  <w:marRight w:val="0"/>
                  <w:marTop w:val="0"/>
                  <w:marBottom w:val="0"/>
                  <w:divBdr>
                    <w:top w:val="none" w:sz="0" w:space="0" w:color="auto"/>
                    <w:left w:val="none" w:sz="0" w:space="0" w:color="auto"/>
                    <w:bottom w:val="none" w:sz="0" w:space="0" w:color="auto"/>
                    <w:right w:val="none" w:sz="0" w:space="0" w:color="auto"/>
                  </w:divBdr>
                  <w:divsChild>
                    <w:div w:id="181672417">
                      <w:marLeft w:val="0"/>
                      <w:marRight w:val="0"/>
                      <w:marTop w:val="0"/>
                      <w:marBottom w:val="0"/>
                      <w:divBdr>
                        <w:top w:val="none" w:sz="0" w:space="0" w:color="auto"/>
                        <w:left w:val="none" w:sz="0" w:space="0" w:color="auto"/>
                        <w:bottom w:val="none" w:sz="0" w:space="0" w:color="auto"/>
                        <w:right w:val="none" w:sz="0" w:space="0" w:color="auto"/>
                      </w:divBdr>
                    </w:div>
                  </w:divsChild>
                </w:div>
                <w:div w:id="1758599460">
                  <w:marLeft w:val="0"/>
                  <w:marRight w:val="0"/>
                  <w:marTop w:val="0"/>
                  <w:marBottom w:val="0"/>
                  <w:divBdr>
                    <w:top w:val="none" w:sz="0" w:space="0" w:color="auto"/>
                    <w:left w:val="none" w:sz="0" w:space="0" w:color="auto"/>
                    <w:bottom w:val="none" w:sz="0" w:space="0" w:color="auto"/>
                    <w:right w:val="none" w:sz="0" w:space="0" w:color="auto"/>
                  </w:divBdr>
                  <w:divsChild>
                    <w:div w:id="1346446114">
                      <w:marLeft w:val="0"/>
                      <w:marRight w:val="0"/>
                      <w:marTop w:val="0"/>
                      <w:marBottom w:val="0"/>
                      <w:divBdr>
                        <w:top w:val="none" w:sz="0" w:space="0" w:color="auto"/>
                        <w:left w:val="none" w:sz="0" w:space="0" w:color="auto"/>
                        <w:bottom w:val="none" w:sz="0" w:space="0" w:color="auto"/>
                        <w:right w:val="none" w:sz="0" w:space="0" w:color="auto"/>
                      </w:divBdr>
                    </w:div>
                  </w:divsChild>
                </w:div>
                <w:div w:id="1760171943">
                  <w:marLeft w:val="0"/>
                  <w:marRight w:val="0"/>
                  <w:marTop w:val="0"/>
                  <w:marBottom w:val="0"/>
                  <w:divBdr>
                    <w:top w:val="none" w:sz="0" w:space="0" w:color="auto"/>
                    <w:left w:val="none" w:sz="0" w:space="0" w:color="auto"/>
                    <w:bottom w:val="none" w:sz="0" w:space="0" w:color="auto"/>
                    <w:right w:val="none" w:sz="0" w:space="0" w:color="auto"/>
                  </w:divBdr>
                  <w:divsChild>
                    <w:div w:id="1944218798">
                      <w:marLeft w:val="0"/>
                      <w:marRight w:val="0"/>
                      <w:marTop w:val="0"/>
                      <w:marBottom w:val="0"/>
                      <w:divBdr>
                        <w:top w:val="none" w:sz="0" w:space="0" w:color="auto"/>
                        <w:left w:val="none" w:sz="0" w:space="0" w:color="auto"/>
                        <w:bottom w:val="none" w:sz="0" w:space="0" w:color="auto"/>
                        <w:right w:val="none" w:sz="0" w:space="0" w:color="auto"/>
                      </w:divBdr>
                    </w:div>
                  </w:divsChild>
                </w:div>
                <w:div w:id="1767312817">
                  <w:marLeft w:val="0"/>
                  <w:marRight w:val="0"/>
                  <w:marTop w:val="0"/>
                  <w:marBottom w:val="0"/>
                  <w:divBdr>
                    <w:top w:val="none" w:sz="0" w:space="0" w:color="auto"/>
                    <w:left w:val="none" w:sz="0" w:space="0" w:color="auto"/>
                    <w:bottom w:val="none" w:sz="0" w:space="0" w:color="auto"/>
                    <w:right w:val="none" w:sz="0" w:space="0" w:color="auto"/>
                  </w:divBdr>
                  <w:divsChild>
                    <w:div w:id="1771317714">
                      <w:marLeft w:val="0"/>
                      <w:marRight w:val="0"/>
                      <w:marTop w:val="0"/>
                      <w:marBottom w:val="0"/>
                      <w:divBdr>
                        <w:top w:val="none" w:sz="0" w:space="0" w:color="auto"/>
                        <w:left w:val="none" w:sz="0" w:space="0" w:color="auto"/>
                        <w:bottom w:val="none" w:sz="0" w:space="0" w:color="auto"/>
                        <w:right w:val="none" w:sz="0" w:space="0" w:color="auto"/>
                      </w:divBdr>
                    </w:div>
                  </w:divsChild>
                </w:div>
                <w:div w:id="1786851219">
                  <w:marLeft w:val="0"/>
                  <w:marRight w:val="0"/>
                  <w:marTop w:val="0"/>
                  <w:marBottom w:val="0"/>
                  <w:divBdr>
                    <w:top w:val="none" w:sz="0" w:space="0" w:color="auto"/>
                    <w:left w:val="none" w:sz="0" w:space="0" w:color="auto"/>
                    <w:bottom w:val="none" w:sz="0" w:space="0" w:color="auto"/>
                    <w:right w:val="none" w:sz="0" w:space="0" w:color="auto"/>
                  </w:divBdr>
                  <w:divsChild>
                    <w:div w:id="2073188374">
                      <w:marLeft w:val="0"/>
                      <w:marRight w:val="0"/>
                      <w:marTop w:val="0"/>
                      <w:marBottom w:val="0"/>
                      <w:divBdr>
                        <w:top w:val="none" w:sz="0" w:space="0" w:color="auto"/>
                        <w:left w:val="none" w:sz="0" w:space="0" w:color="auto"/>
                        <w:bottom w:val="none" w:sz="0" w:space="0" w:color="auto"/>
                        <w:right w:val="none" w:sz="0" w:space="0" w:color="auto"/>
                      </w:divBdr>
                    </w:div>
                  </w:divsChild>
                </w:div>
                <w:div w:id="1788618087">
                  <w:marLeft w:val="0"/>
                  <w:marRight w:val="0"/>
                  <w:marTop w:val="0"/>
                  <w:marBottom w:val="0"/>
                  <w:divBdr>
                    <w:top w:val="none" w:sz="0" w:space="0" w:color="auto"/>
                    <w:left w:val="none" w:sz="0" w:space="0" w:color="auto"/>
                    <w:bottom w:val="none" w:sz="0" w:space="0" w:color="auto"/>
                    <w:right w:val="none" w:sz="0" w:space="0" w:color="auto"/>
                  </w:divBdr>
                  <w:divsChild>
                    <w:div w:id="1886406594">
                      <w:marLeft w:val="0"/>
                      <w:marRight w:val="0"/>
                      <w:marTop w:val="0"/>
                      <w:marBottom w:val="0"/>
                      <w:divBdr>
                        <w:top w:val="none" w:sz="0" w:space="0" w:color="auto"/>
                        <w:left w:val="none" w:sz="0" w:space="0" w:color="auto"/>
                        <w:bottom w:val="none" w:sz="0" w:space="0" w:color="auto"/>
                        <w:right w:val="none" w:sz="0" w:space="0" w:color="auto"/>
                      </w:divBdr>
                    </w:div>
                  </w:divsChild>
                </w:div>
                <w:div w:id="1801848847">
                  <w:marLeft w:val="0"/>
                  <w:marRight w:val="0"/>
                  <w:marTop w:val="0"/>
                  <w:marBottom w:val="0"/>
                  <w:divBdr>
                    <w:top w:val="none" w:sz="0" w:space="0" w:color="auto"/>
                    <w:left w:val="none" w:sz="0" w:space="0" w:color="auto"/>
                    <w:bottom w:val="none" w:sz="0" w:space="0" w:color="auto"/>
                    <w:right w:val="none" w:sz="0" w:space="0" w:color="auto"/>
                  </w:divBdr>
                  <w:divsChild>
                    <w:div w:id="549152418">
                      <w:marLeft w:val="0"/>
                      <w:marRight w:val="0"/>
                      <w:marTop w:val="0"/>
                      <w:marBottom w:val="0"/>
                      <w:divBdr>
                        <w:top w:val="none" w:sz="0" w:space="0" w:color="auto"/>
                        <w:left w:val="none" w:sz="0" w:space="0" w:color="auto"/>
                        <w:bottom w:val="none" w:sz="0" w:space="0" w:color="auto"/>
                        <w:right w:val="none" w:sz="0" w:space="0" w:color="auto"/>
                      </w:divBdr>
                    </w:div>
                  </w:divsChild>
                </w:div>
                <w:div w:id="1802646380">
                  <w:marLeft w:val="0"/>
                  <w:marRight w:val="0"/>
                  <w:marTop w:val="0"/>
                  <w:marBottom w:val="0"/>
                  <w:divBdr>
                    <w:top w:val="none" w:sz="0" w:space="0" w:color="auto"/>
                    <w:left w:val="none" w:sz="0" w:space="0" w:color="auto"/>
                    <w:bottom w:val="none" w:sz="0" w:space="0" w:color="auto"/>
                    <w:right w:val="none" w:sz="0" w:space="0" w:color="auto"/>
                  </w:divBdr>
                  <w:divsChild>
                    <w:div w:id="345256950">
                      <w:marLeft w:val="0"/>
                      <w:marRight w:val="0"/>
                      <w:marTop w:val="0"/>
                      <w:marBottom w:val="0"/>
                      <w:divBdr>
                        <w:top w:val="none" w:sz="0" w:space="0" w:color="auto"/>
                        <w:left w:val="none" w:sz="0" w:space="0" w:color="auto"/>
                        <w:bottom w:val="none" w:sz="0" w:space="0" w:color="auto"/>
                        <w:right w:val="none" w:sz="0" w:space="0" w:color="auto"/>
                      </w:divBdr>
                    </w:div>
                  </w:divsChild>
                </w:div>
                <w:div w:id="1819493261">
                  <w:marLeft w:val="0"/>
                  <w:marRight w:val="0"/>
                  <w:marTop w:val="0"/>
                  <w:marBottom w:val="0"/>
                  <w:divBdr>
                    <w:top w:val="none" w:sz="0" w:space="0" w:color="auto"/>
                    <w:left w:val="none" w:sz="0" w:space="0" w:color="auto"/>
                    <w:bottom w:val="none" w:sz="0" w:space="0" w:color="auto"/>
                    <w:right w:val="none" w:sz="0" w:space="0" w:color="auto"/>
                  </w:divBdr>
                  <w:divsChild>
                    <w:div w:id="1246454447">
                      <w:marLeft w:val="0"/>
                      <w:marRight w:val="0"/>
                      <w:marTop w:val="0"/>
                      <w:marBottom w:val="0"/>
                      <w:divBdr>
                        <w:top w:val="none" w:sz="0" w:space="0" w:color="auto"/>
                        <w:left w:val="none" w:sz="0" w:space="0" w:color="auto"/>
                        <w:bottom w:val="none" w:sz="0" w:space="0" w:color="auto"/>
                        <w:right w:val="none" w:sz="0" w:space="0" w:color="auto"/>
                      </w:divBdr>
                    </w:div>
                  </w:divsChild>
                </w:div>
                <w:div w:id="1826512465">
                  <w:marLeft w:val="0"/>
                  <w:marRight w:val="0"/>
                  <w:marTop w:val="0"/>
                  <w:marBottom w:val="0"/>
                  <w:divBdr>
                    <w:top w:val="none" w:sz="0" w:space="0" w:color="auto"/>
                    <w:left w:val="none" w:sz="0" w:space="0" w:color="auto"/>
                    <w:bottom w:val="none" w:sz="0" w:space="0" w:color="auto"/>
                    <w:right w:val="none" w:sz="0" w:space="0" w:color="auto"/>
                  </w:divBdr>
                  <w:divsChild>
                    <w:div w:id="2142377938">
                      <w:marLeft w:val="0"/>
                      <w:marRight w:val="0"/>
                      <w:marTop w:val="0"/>
                      <w:marBottom w:val="0"/>
                      <w:divBdr>
                        <w:top w:val="none" w:sz="0" w:space="0" w:color="auto"/>
                        <w:left w:val="none" w:sz="0" w:space="0" w:color="auto"/>
                        <w:bottom w:val="none" w:sz="0" w:space="0" w:color="auto"/>
                        <w:right w:val="none" w:sz="0" w:space="0" w:color="auto"/>
                      </w:divBdr>
                    </w:div>
                  </w:divsChild>
                </w:div>
                <w:div w:id="1836874337">
                  <w:marLeft w:val="0"/>
                  <w:marRight w:val="0"/>
                  <w:marTop w:val="0"/>
                  <w:marBottom w:val="0"/>
                  <w:divBdr>
                    <w:top w:val="none" w:sz="0" w:space="0" w:color="auto"/>
                    <w:left w:val="none" w:sz="0" w:space="0" w:color="auto"/>
                    <w:bottom w:val="none" w:sz="0" w:space="0" w:color="auto"/>
                    <w:right w:val="none" w:sz="0" w:space="0" w:color="auto"/>
                  </w:divBdr>
                  <w:divsChild>
                    <w:div w:id="1353415858">
                      <w:marLeft w:val="0"/>
                      <w:marRight w:val="0"/>
                      <w:marTop w:val="0"/>
                      <w:marBottom w:val="0"/>
                      <w:divBdr>
                        <w:top w:val="none" w:sz="0" w:space="0" w:color="auto"/>
                        <w:left w:val="none" w:sz="0" w:space="0" w:color="auto"/>
                        <w:bottom w:val="none" w:sz="0" w:space="0" w:color="auto"/>
                        <w:right w:val="none" w:sz="0" w:space="0" w:color="auto"/>
                      </w:divBdr>
                    </w:div>
                  </w:divsChild>
                </w:div>
                <w:div w:id="1853954642">
                  <w:marLeft w:val="0"/>
                  <w:marRight w:val="0"/>
                  <w:marTop w:val="0"/>
                  <w:marBottom w:val="0"/>
                  <w:divBdr>
                    <w:top w:val="none" w:sz="0" w:space="0" w:color="auto"/>
                    <w:left w:val="none" w:sz="0" w:space="0" w:color="auto"/>
                    <w:bottom w:val="none" w:sz="0" w:space="0" w:color="auto"/>
                    <w:right w:val="none" w:sz="0" w:space="0" w:color="auto"/>
                  </w:divBdr>
                  <w:divsChild>
                    <w:div w:id="391736504">
                      <w:marLeft w:val="0"/>
                      <w:marRight w:val="0"/>
                      <w:marTop w:val="0"/>
                      <w:marBottom w:val="0"/>
                      <w:divBdr>
                        <w:top w:val="none" w:sz="0" w:space="0" w:color="auto"/>
                        <w:left w:val="none" w:sz="0" w:space="0" w:color="auto"/>
                        <w:bottom w:val="none" w:sz="0" w:space="0" w:color="auto"/>
                        <w:right w:val="none" w:sz="0" w:space="0" w:color="auto"/>
                      </w:divBdr>
                    </w:div>
                  </w:divsChild>
                </w:div>
                <w:div w:id="1875383536">
                  <w:marLeft w:val="0"/>
                  <w:marRight w:val="0"/>
                  <w:marTop w:val="0"/>
                  <w:marBottom w:val="0"/>
                  <w:divBdr>
                    <w:top w:val="none" w:sz="0" w:space="0" w:color="auto"/>
                    <w:left w:val="none" w:sz="0" w:space="0" w:color="auto"/>
                    <w:bottom w:val="none" w:sz="0" w:space="0" w:color="auto"/>
                    <w:right w:val="none" w:sz="0" w:space="0" w:color="auto"/>
                  </w:divBdr>
                  <w:divsChild>
                    <w:div w:id="456293508">
                      <w:marLeft w:val="0"/>
                      <w:marRight w:val="0"/>
                      <w:marTop w:val="0"/>
                      <w:marBottom w:val="0"/>
                      <w:divBdr>
                        <w:top w:val="none" w:sz="0" w:space="0" w:color="auto"/>
                        <w:left w:val="none" w:sz="0" w:space="0" w:color="auto"/>
                        <w:bottom w:val="none" w:sz="0" w:space="0" w:color="auto"/>
                        <w:right w:val="none" w:sz="0" w:space="0" w:color="auto"/>
                      </w:divBdr>
                    </w:div>
                  </w:divsChild>
                </w:div>
                <w:div w:id="1877697217">
                  <w:marLeft w:val="0"/>
                  <w:marRight w:val="0"/>
                  <w:marTop w:val="0"/>
                  <w:marBottom w:val="0"/>
                  <w:divBdr>
                    <w:top w:val="none" w:sz="0" w:space="0" w:color="auto"/>
                    <w:left w:val="none" w:sz="0" w:space="0" w:color="auto"/>
                    <w:bottom w:val="none" w:sz="0" w:space="0" w:color="auto"/>
                    <w:right w:val="none" w:sz="0" w:space="0" w:color="auto"/>
                  </w:divBdr>
                  <w:divsChild>
                    <w:div w:id="933316839">
                      <w:marLeft w:val="0"/>
                      <w:marRight w:val="0"/>
                      <w:marTop w:val="0"/>
                      <w:marBottom w:val="0"/>
                      <w:divBdr>
                        <w:top w:val="none" w:sz="0" w:space="0" w:color="auto"/>
                        <w:left w:val="none" w:sz="0" w:space="0" w:color="auto"/>
                        <w:bottom w:val="none" w:sz="0" w:space="0" w:color="auto"/>
                        <w:right w:val="none" w:sz="0" w:space="0" w:color="auto"/>
                      </w:divBdr>
                    </w:div>
                  </w:divsChild>
                </w:div>
                <w:div w:id="1879514078">
                  <w:marLeft w:val="0"/>
                  <w:marRight w:val="0"/>
                  <w:marTop w:val="0"/>
                  <w:marBottom w:val="0"/>
                  <w:divBdr>
                    <w:top w:val="none" w:sz="0" w:space="0" w:color="auto"/>
                    <w:left w:val="none" w:sz="0" w:space="0" w:color="auto"/>
                    <w:bottom w:val="none" w:sz="0" w:space="0" w:color="auto"/>
                    <w:right w:val="none" w:sz="0" w:space="0" w:color="auto"/>
                  </w:divBdr>
                  <w:divsChild>
                    <w:div w:id="478151546">
                      <w:marLeft w:val="0"/>
                      <w:marRight w:val="0"/>
                      <w:marTop w:val="0"/>
                      <w:marBottom w:val="0"/>
                      <w:divBdr>
                        <w:top w:val="none" w:sz="0" w:space="0" w:color="auto"/>
                        <w:left w:val="none" w:sz="0" w:space="0" w:color="auto"/>
                        <w:bottom w:val="none" w:sz="0" w:space="0" w:color="auto"/>
                        <w:right w:val="none" w:sz="0" w:space="0" w:color="auto"/>
                      </w:divBdr>
                    </w:div>
                  </w:divsChild>
                </w:div>
                <w:div w:id="1883512306">
                  <w:marLeft w:val="0"/>
                  <w:marRight w:val="0"/>
                  <w:marTop w:val="0"/>
                  <w:marBottom w:val="0"/>
                  <w:divBdr>
                    <w:top w:val="none" w:sz="0" w:space="0" w:color="auto"/>
                    <w:left w:val="none" w:sz="0" w:space="0" w:color="auto"/>
                    <w:bottom w:val="none" w:sz="0" w:space="0" w:color="auto"/>
                    <w:right w:val="none" w:sz="0" w:space="0" w:color="auto"/>
                  </w:divBdr>
                  <w:divsChild>
                    <w:div w:id="1811440336">
                      <w:marLeft w:val="0"/>
                      <w:marRight w:val="0"/>
                      <w:marTop w:val="0"/>
                      <w:marBottom w:val="0"/>
                      <w:divBdr>
                        <w:top w:val="none" w:sz="0" w:space="0" w:color="auto"/>
                        <w:left w:val="none" w:sz="0" w:space="0" w:color="auto"/>
                        <w:bottom w:val="none" w:sz="0" w:space="0" w:color="auto"/>
                        <w:right w:val="none" w:sz="0" w:space="0" w:color="auto"/>
                      </w:divBdr>
                    </w:div>
                  </w:divsChild>
                </w:div>
                <w:div w:id="1886720965">
                  <w:marLeft w:val="0"/>
                  <w:marRight w:val="0"/>
                  <w:marTop w:val="0"/>
                  <w:marBottom w:val="0"/>
                  <w:divBdr>
                    <w:top w:val="none" w:sz="0" w:space="0" w:color="auto"/>
                    <w:left w:val="none" w:sz="0" w:space="0" w:color="auto"/>
                    <w:bottom w:val="none" w:sz="0" w:space="0" w:color="auto"/>
                    <w:right w:val="none" w:sz="0" w:space="0" w:color="auto"/>
                  </w:divBdr>
                  <w:divsChild>
                    <w:div w:id="472140645">
                      <w:marLeft w:val="0"/>
                      <w:marRight w:val="0"/>
                      <w:marTop w:val="0"/>
                      <w:marBottom w:val="0"/>
                      <w:divBdr>
                        <w:top w:val="none" w:sz="0" w:space="0" w:color="auto"/>
                        <w:left w:val="none" w:sz="0" w:space="0" w:color="auto"/>
                        <w:bottom w:val="none" w:sz="0" w:space="0" w:color="auto"/>
                        <w:right w:val="none" w:sz="0" w:space="0" w:color="auto"/>
                      </w:divBdr>
                    </w:div>
                  </w:divsChild>
                </w:div>
                <w:div w:id="1887835926">
                  <w:marLeft w:val="0"/>
                  <w:marRight w:val="0"/>
                  <w:marTop w:val="0"/>
                  <w:marBottom w:val="0"/>
                  <w:divBdr>
                    <w:top w:val="none" w:sz="0" w:space="0" w:color="auto"/>
                    <w:left w:val="none" w:sz="0" w:space="0" w:color="auto"/>
                    <w:bottom w:val="none" w:sz="0" w:space="0" w:color="auto"/>
                    <w:right w:val="none" w:sz="0" w:space="0" w:color="auto"/>
                  </w:divBdr>
                  <w:divsChild>
                    <w:div w:id="13655553">
                      <w:marLeft w:val="0"/>
                      <w:marRight w:val="0"/>
                      <w:marTop w:val="0"/>
                      <w:marBottom w:val="0"/>
                      <w:divBdr>
                        <w:top w:val="none" w:sz="0" w:space="0" w:color="auto"/>
                        <w:left w:val="none" w:sz="0" w:space="0" w:color="auto"/>
                        <w:bottom w:val="none" w:sz="0" w:space="0" w:color="auto"/>
                        <w:right w:val="none" w:sz="0" w:space="0" w:color="auto"/>
                      </w:divBdr>
                    </w:div>
                  </w:divsChild>
                </w:div>
                <w:div w:id="1895045586">
                  <w:marLeft w:val="0"/>
                  <w:marRight w:val="0"/>
                  <w:marTop w:val="0"/>
                  <w:marBottom w:val="0"/>
                  <w:divBdr>
                    <w:top w:val="none" w:sz="0" w:space="0" w:color="auto"/>
                    <w:left w:val="none" w:sz="0" w:space="0" w:color="auto"/>
                    <w:bottom w:val="none" w:sz="0" w:space="0" w:color="auto"/>
                    <w:right w:val="none" w:sz="0" w:space="0" w:color="auto"/>
                  </w:divBdr>
                  <w:divsChild>
                    <w:div w:id="1738433729">
                      <w:marLeft w:val="0"/>
                      <w:marRight w:val="0"/>
                      <w:marTop w:val="0"/>
                      <w:marBottom w:val="0"/>
                      <w:divBdr>
                        <w:top w:val="none" w:sz="0" w:space="0" w:color="auto"/>
                        <w:left w:val="none" w:sz="0" w:space="0" w:color="auto"/>
                        <w:bottom w:val="none" w:sz="0" w:space="0" w:color="auto"/>
                        <w:right w:val="none" w:sz="0" w:space="0" w:color="auto"/>
                      </w:divBdr>
                    </w:div>
                  </w:divsChild>
                </w:div>
                <w:div w:id="1897543977">
                  <w:marLeft w:val="0"/>
                  <w:marRight w:val="0"/>
                  <w:marTop w:val="0"/>
                  <w:marBottom w:val="0"/>
                  <w:divBdr>
                    <w:top w:val="none" w:sz="0" w:space="0" w:color="auto"/>
                    <w:left w:val="none" w:sz="0" w:space="0" w:color="auto"/>
                    <w:bottom w:val="none" w:sz="0" w:space="0" w:color="auto"/>
                    <w:right w:val="none" w:sz="0" w:space="0" w:color="auto"/>
                  </w:divBdr>
                  <w:divsChild>
                    <w:div w:id="1097826189">
                      <w:marLeft w:val="0"/>
                      <w:marRight w:val="0"/>
                      <w:marTop w:val="0"/>
                      <w:marBottom w:val="0"/>
                      <w:divBdr>
                        <w:top w:val="none" w:sz="0" w:space="0" w:color="auto"/>
                        <w:left w:val="none" w:sz="0" w:space="0" w:color="auto"/>
                        <w:bottom w:val="none" w:sz="0" w:space="0" w:color="auto"/>
                        <w:right w:val="none" w:sz="0" w:space="0" w:color="auto"/>
                      </w:divBdr>
                    </w:div>
                  </w:divsChild>
                </w:div>
                <w:div w:id="1902325926">
                  <w:marLeft w:val="0"/>
                  <w:marRight w:val="0"/>
                  <w:marTop w:val="0"/>
                  <w:marBottom w:val="0"/>
                  <w:divBdr>
                    <w:top w:val="none" w:sz="0" w:space="0" w:color="auto"/>
                    <w:left w:val="none" w:sz="0" w:space="0" w:color="auto"/>
                    <w:bottom w:val="none" w:sz="0" w:space="0" w:color="auto"/>
                    <w:right w:val="none" w:sz="0" w:space="0" w:color="auto"/>
                  </w:divBdr>
                  <w:divsChild>
                    <w:div w:id="1960410227">
                      <w:marLeft w:val="0"/>
                      <w:marRight w:val="0"/>
                      <w:marTop w:val="0"/>
                      <w:marBottom w:val="0"/>
                      <w:divBdr>
                        <w:top w:val="none" w:sz="0" w:space="0" w:color="auto"/>
                        <w:left w:val="none" w:sz="0" w:space="0" w:color="auto"/>
                        <w:bottom w:val="none" w:sz="0" w:space="0" w:color="auto"/>
                        <w:right w:val="none" w:sz="0" w:space="0" w:color="auto"/>
                      </w:divBdr>
                    </w:div>
                  </w:divsChild>
                </w:div>
                <w:div w:id="1918441236">
                  <w:marLeft w:val="0"/>
                  <w:marRight w:val="0"/>
                  <w:marTop w:val="0"/>
                  <w:marBottom w:val="0"/>
                  <w:divBdr>
                    <w:top w:val="none" w:sz="0" w:space="0" w:color="auto"/>
                    <w:left w:val="none" w:sz="0" w:space="0" w:color="auto"/>
                    <w:bottom w:val="none" w:sz="0" w:space="0" w:color="auto"/>
                    <w:right w:val="none" w:sz="0" w:space="0" w:color="auto"/>
                  </w:divBdr>
                  <w:divsChild>
                    <w:div w:id="240650720">
                      <w:marLeft w:val="0"/>
                      <w:marRight w:val="0"/>
                      <w:marTop w:val="0"/>
                      <w:marBottom w:val="0"/>
                      <w:divBdr>
                        <w:top w:val="none" w:sz="0" w:space="0" w:color="auto"/>
                        <w:left w:val="none" w:sz="0" w:space="0" w:color="auto"/>
                        <w:bottom w:val="none" w:sz="0" w:space="0" w:color="auto"/>
                        <w:right w:val="none" w:sz="0" w:space="0" w:color="auto"/>
                      </w:divBdr>
                    </w:div>
                  </w:divsChild>
                </w:div>
                <w:div w:id="1927882019">
                  <w:marLeft w:val="0"/>
                  <w:marRight w:val="0"/>
                  <w:marTop w:val="0"/>
                  <w:marBottom w:val="0"/>
                  <w:divBdr>
                    <w:top w:val="none" w:sz="0" w:space="0" w:color="auto"/>
                    <w:left w:val="none" w:sz="0" w:space="0" w:color="auto"/>
                    <w:bottom w:val="none" w:sz="0" w:space="0" w:color="auto"/>
                    <w:right w:val="none" w:sz="0" w:space="0" w:color="auto"/>
                  </w:divBdr>
                  <w:divsChild>
                    <w:div w:id="518155044">
                      <w:marLeft w:val="0"/>
                      <w:marRight w:val="0"/>
                      <w:marTop w:val="0"/>
                      <w:marBottom w:val="0"/>
                      <w:divBdr>
                        <w:top w:val="none" w:sz="0" w:space="0" w:color="auto"/>
                        <w:left w:val="none" w:sz="0" w:space="0" w:color="auto"/>
                        <w:bottom w:val="none" w:sz="0" w:space="0" w:color="auto"/>
                        <w:right w:val="none" w:sz="0" w:space="0" w:color="auto"/>
                      </w:divBdr>
                    </w:div>
                  </w:divsChild>
                </w:div>
                <w:div w:id="1936278491">
                  <w:marLeft w:val="0"/>
                  <w:marRight w:val="0"/>
                  <w:marTop w:val="0"/>
                  <w:marBottom w:val="0"/>
                  <w:divBdr>
                    <w:top w:val="none" w:sz="0" w:space="0" w:color="auto"/>
                    <w:left w:val="none" w:sz="0" w:space="0" w:color="auto"/>
                    <w:bottom w:val="none" w:sz="0" w:space="0" w:color="auto"/>
                    <w:right w:val="none" w:sz="0" w:space="0" w:color="auto"/>
                  </w:divBdr>
                  <w:divsChild>
                    <w:div w:id="176772899">
                      <w:marLeft w:val="0"/>
                      <w:marRight w:val="0"/>
                      <w:marTop w:val="0"/>
                      <w:marBottom w:val="0"/>
                      <w:divBdr>
                        <w:top w:val="none" w:sz="0" w:space="0" w:color="auto"/>
                        <w:left w:val="none" w:sz="0" w:space="0" w:color="auto"/>
                        <w:bottom w:val="none" w:sz="0" w:space="0" w:color="auto"/>
                        <w:right w:val="none" w:sz="0" w:space="0" w:color="auto"/>
                      </w:divBdr>
                    </w:div>
                  </w:divsChild>
                </w:div>
                <w:div w:id="1939822866">
                  <w:marLeft w:val="0"/>
                  <w:marRight w:val="0"/>
                  <w:marTop w:val="0"/>
                  <w:marBottom w:val="0"/>
                  <w:divBdr>
                    <w:top w:val="none" w:sz="0" w:space="0" w:color="auto"/>
                    <w:left w:val="none" w:sz="0" w:space="0" w:color="auto"/>
                    <w:bottom w:val="none" w:sz="0" w:space="0" w:color="auto"/>
                    <w:right w:val="none" w:sz="0" w:space="0" w:color="auto"/>
                  </w:divBdr>
                  <w:divsChild>
                    <w:div w:id="2040662149">
                      <w:marLeft w:val="0"/>
                      <w:marRight w:val="0"/>
                      <w:marTop w:val="0"/>
                      <w:marBottom w:val="0"/>
                      <w:divBdr>
                        <w:top w:val="none" w:sz="0" w:space="0" w:color="auto"/>
                        <w:left w:val="none" w:sz="0" w:space="0" w:color="auto"/>
                        <w:bottom w:val="none" w:sz="0" w:space="0" w:color="auto"/>
                        <w:right w:val="none" w:sz="0" w:space="0" w:color="auto"/>
                      </w:divBdr>
                    </w:div>
                  </w:divsChild>
                </w:div>
                <w:div w:id="1946617592">
                  <w:marLeft w:val="0"/>
                  <w:marRight w:val="0"/>
                  <w:marTop w:val="0"/>
                  <w:marBottom w:val="0"/>
                  <w:divBdr>
                    <w:top w:val="none" w:sz="0" w:space="0" w:color="auto"/>
                    <w:left w:val="none" w:sz="0" w:space="0" w:color="auto"/>
                    <w:bottom w:val="none" w:sz="0" w:space="0" w:color="auto"/>
                    <w:right w:val="none" w:sz="0" w:space="0" w:color="auto"/>
                  </w:divBdr>
                  <w:divsChild>
                    <w:div w:id="56325928">
                      <w:marLeft w:val="0"/>
                      <w:marRight w:val="0"/>
                      <w:marTop w:val="0"/>
                      <w:marBottom w:val="0"/>
                      <w:divBdr>
                        <w:top w:val="none" w:sz="0" w:space="0" w:color="auto"/>
                        <w:left w:val="none" w:sz="0" w:space="0" w:color="auto"/>
                        <w:bottom w:val="none" w:sz="0" w:space="0" w:color="auto"/>
                        <w:right w:val="none" w:sz="0" w:space="0" w:color="auto"/>
                      </w:divBdr>
                    </w:div>
                  </w:divsChild>
                </w:div>
                <w:div w:id="1950236495">
                  <w:marLeft w:val="0"/>
                  <w:marRight w:val="0"/>
                  <w:marTop w:val="0"/>
                  <w:marBottom w:val="0"/>
                  <w:divBdr>
                    <w:top w:val="none" w:sz="0" w:space="0" w:color="auto"/>
                    <w:left w:val="none" w:sz="0" w:space="0" w:color="auto"/>
                    <w:bottom w:val="none" w:sz="0" w:space="0" w:color="auto"/>
                    <w:right w:val="none" w:sz="0" w:space="0" w:color="auto"/>
                  </w:divBdr>
                  <w:divsChild>
                    <w:div w:id="568881992">
                      <w:marLeft w:val="0"/>
                      <w:marRight w:val="0"/>
                      <w:marTop w:val="0"/>
                      <w:marBottom w:val="0"/>
                      <w:divBdr>
                        <w:top w:val="none" w:sz="0" w:space="0" w:color="auto"/>
                        <w:left w:val="none" w:sz="0" w:space="0" w:color="auto"/>
                        <w:bottom w:val="none" w:sz="0" w:space="0" w:color="auto"/>
                        <w:right w:val="none" w:sz="0" w:space="0" w:color="auto"/>
                      </w:divBdr>
                    </w:div>
                    <w:div w:id="719550352">
                      <w:marLeft w:val="0"/>
                      <w:marRight w:val="0"/>
                      <w:marTop w:val="0"/>
                      <w:marBottom w:val="0"/>
                      <w:divBdr>
                        <w:top w:val="none" w:sz="0" w:space="0" w:color="auto"/>
                        <w:left w:val="none" w:sz="0" w:space="0" w:color="auto"/>
                        <w:bottom w:val="none" w:sz="0" w:space="0" w:color="auto"/>
                        <w:right w:val="none" w:sz="0" w:space="0" w:color="auto"/>
                      </w:divBdr>
                    </w:div>
                  </w:divsChild>
                </w:div>
                <w:div w:id="1966304621">
                  <w:marLeft w:val="0"/>
                  <w:marRight w:val="0"/>
                  <w:marTop w:val="0"/>
                  <w:marBottom w:val="0"/>
                  <w:divBdr>
                    <w:top w:val="none" w:sz="0" w:space="0" w:color="auto"/>
                    <w:left w:val="none" w:sz="0" w:space="0" w:color="auto"/>
                    <w:bottom w:val="none" w:sz="0" w:space="0" w:color="auto"/>
                    <w:right w:val="none" w:sz="0" w:space="0" w:color="auto"/>
                  </w:divBdr>
                  <w:divsChild>
                    <w:div w:id="125201619">
                      <w:marLeft w:val="0"/>
                      <w:marRight w:val="0"/>
                      <w:marTop w:val="0"/>
                      <w:marBottom w:val="0"/>
                      <w:divBdr>
                        <w:top w:val="none" w:sz="0" w:space="0" w:color="auto"/>
                        <w:left w:val="none" w:sz="0" w:space="0" w:color="auto"/>
                        <w:bottom w:val="none" w:sz="0" w:space="0" w:color="auto"/>
                        <w:right w:val="none" w:sz="0" w:space="0" w:color="auto"/>
                      </w:divBdr>
                    </w:div>
                  </w:divsChild>
                </w:div>
                <w:div w:id="1968586471">
                  <w:marLeft w:val="0"/>
                  <w:marRight w:val="0"/>
                  <w:marTop w:val="0"/>
                  <w:marBottom w:val="0"/>
                  <w:divBdr>
                    <w:top w:val="none" w:sz="0" w:space="0" w:color="auto"/>
                    <w:left w:val="none" w:sz="0" w:space="0" w:color="auto"/>
                    <w:bottom w:val="none" w:sz="0" w:space="0" w:color="auto"/>
                    <w:right w:val="none" w:sz="0" w:space="0" w:color="auto"/>
                  </w:divBdr>
                  <w:divsChild>
                    <w:div w:id="1528567055">
                      <w:marLeft w:val="0"/>
                      <w:marRight w:val="0"/>
                      <w:marTop w:val="0"/>
                      <w:marBottom w:val="0"/>
                      <w:divBdr>
                        <w:top w:val="none" w:sz="0" w:space="0" w:color="auto"/>
                        <w:left w:val="none" w:sz="0" w:space="0" w:color="auto"/>
                        <w:bottom w:val="none" w:sz="0" w:space="0" w:color="auto"/>
                        <w:right w:val="none" w:sz="0" w:space="0" w:color="auto"/>
                      </w:divBdr>
                    </w:div>
                  </w:divsChild>
                </w:div>
                <w:div w:id="1971742030">
                  <w:marLeft w:val="0"/>
                  <w:marRight w:val="0"/>
                  <w:marTop w:val="0"/>
                  <w:marBottom w:val="0"/>
                  <w:divBdr>
                    <w:top w:val="none" w:sz="0" w:space="0" w:color="auto"/>
                    <w:left w:val="none" w:sz="0" w:space="0" w:color="auto"/>
                    <w:bottom w:val="none" w:sz="0" w:space="0" w:color="auto"/>
                    <w:right w:val="none" w:sz="0" w:space="0" w:color="auto"/>
                  </w:divBdr>
                  <w:divsChild>
                    <w:div w:id="1650285057">
                      <w:marLeft w:val="0"/>
                      <w:marRight w:val="0"/>
                      <w:marTop w:val="0"/>
                      <w:marBottom w:val="0"/>
                      <w:divBdr>
                        <w:top w:val="none" w:sz="0" w:space="0" w:color="auto"/>
                        <w:left w:val="none" w:sz="0" w:space="0" w:color="auto"/>
                        <w:bottom w:val="none" w:sz="0" w:space="0" w:color="auto"/>
                        <w:right w:val="none" w:sz="0" w:space="0" w:color="auto"/>
                      </w:divBdr>
                    </w:div>
                  </w:divsChild>
                </w:div>
                <w:div w:id="1975719732">
                  <w:marLeft w:val="0"/>
                  <w:marRight w:val="0"/>
                  <w:marTop w:val="0"/>
                  <w:marBottom w:val="0"/>
                  <w:divBdr>
                    <w:top w:val="none" w:sz="0" w:space="0" w:color="auto"/>
                    <w:left w:val="none" w:sz="0" w:space="0" w:color="auto"/>
                    <w:bottom w:val="none" w:sz="0" w:space="0" w:color="auto"/>
                    <w:right w:val="none" w:sz="0" w:space="0" w:color="auto"/>
                  </w:divBdr>
                  <w:divsChild>
                    <w:div w:id="1105999832">
                      <w:marLeft w:val="0"/>
                      <w:marRight w:val="0"/>
                      <w:marTop w:val="0"/>
                      <w:marBottom w:val="0"/>
                      <w:divBdr>
                        <w:top w:val="none" w:sz="0" w:space="0" w:color="auto"/>
                        <w:left w:val="none" w:sz="0" w:space="0" w:color="auto"/>
                        <w:bottom w:val="none" w:sz="0" w:space="0" w:color="auto"/>
                        <w:right w:val="none" w:sz="0" w:space="0" w:color="auto"/>
                      </w:divBdr>
                    </w:div>
                  </w:divsChild>
                </w:div>
                <w:div w:id="1984113229">
                  <w:marLeft w:val="0"/>
                  <w:marRight w:val="0"/>
                  <w:marTop w:val="0"/>
                  <w:marBottom w:val="0"/>
                  <w:divBdr>
                    <w:top w:val="none" w:sz="0" w:space="0" w:color="auto"/>
                    <w:left w:val="none" w:sz="0" w:space="0" w:color="auto"/>
                    <w:bottom w:val="none" w:sz="0" w:space="0" w:color="auto"/>
                    <w:right w:val="none" w:sz="0" w:space="0" w:color="auto"/>
                  </w:divBdr>
                  <w:divsChild>
                    <w:div w:id="1212107541">
                      <w:marLeft w:val="0"/>
                      <w:marRight w:val="0"/>
                      <w:marTop w:val="0"/>
                      <w:marBottom w:val="0"/>
                      <w:divBdr>
                        <w:top w:val="none" w:sz="0" w:space="0" w:color="auto"/>
                        <w:left w:val="none" w:sz="0" w:space="0" w:color="auto"/>
                        <w:bottom w:val="none" w:sz="0" w:space="0" w:color="auto"/>
                        <w:right w:val="none" w:sz="0" w:space="0" w:color="auto"/>
                      </w:divBdr>
                    </w:div>
                  </w:divsChild>
                </w:div>
                <w:div w:id="1985423554">
                  <w:marLeft w:val="0"/>
                  <w:marRight w:val="0"/>
                  <w:marTop w:val="0"/>
                  <w:marBottom w:val="0"/>
                  <w:divBdr>
                    <w:top w:val="none" w:sz="0" w:space="0" w:color="auto"/>
                    <w:left w:val="none" w:sz="0" w:space="0" w:color="auto"/>
                    <w:bottom w:val="none" w:sz="0" w:space="0" w:color="auto"/>
                    <w:right w:val="none" w:sz="0" w:space="0" w:color="auto"/>
                  </w:divBdr>
                  <w:divsChild>
                    <w:div w:id="1198662661">
                      <w:marLeft w:val="0"/>
                      <w:marRight w:val="0"/>
                      <w:marTop w:val="0"/>
                      <w:marBottom w:val="0"/>
                      <w:divBdr>
                        <w:top w:val="none" w:sz="0" w:space="0" w:color="auto"/>
                        <w:left w:val="none" w:sz="0" w:space="0" w:color="auto"/>
                        <w:bottom w:val="none" w:sz="0" w:space="0" w:color="auto"/>
                        <w:right w:val="none" w:sz="0" w:space="0" w:color="auto"/>
                      </w:divBdr>
                    </w:div>
                  </w:divsChild>
                </w:div>
                <w:div w:id="1999382748">
                  <w:marLeft w:val="0"/>
                  <w:marRight w:val="0"/>
                  <w:marTop w:val="0"/>
                  <w:marBottom w:val="0"/>
                  <w:divBdr>
                    <w:top w:val="none" w:sz="0" w:space="0" w:color="auto"/>
                    <w:left w:val="none" w:sz="0" w:space="0" w:color="auto"/>
                    <w:bottom w:val="none" w:sz="0" w:space="0" w:color="auto"/>
                    <w:right w:val="none" w:sz="0" w:space="0" w:color="auto"/>
                  </w:divBdr>
                  <w:divsChild>
                    <w:div w:id="228226643">
                      <w:marLeft w:val="0"/>
                      <w:marRight w:val="0"/>
                      <w:marTop w:val="0"/>
                      <w:marBottom w:val="0"/>
                      <w:divBdr>
                        <w:top w:val="none" w:sz="0" w:space="0" w:color="auto"/>
                        <w:left w:val="none" w:sz="0" w:space="0" w:color="auto"/>
                        <w:bottom w:val="none" w:sz="0" w:space="0" w:color="auto"/>
                        <w:right w:val="none" w:sz="0" w:space="0" w:color="auto"/>
                      </w:divBdr>
                    </w:div>
                  </w:divsChild>
                </w:div>
                <w:div w:id="2018383348">
                  <w:marLeft w:val="0"/>
                  <w:marRight w:val="0"/>
                  <w:marTop w:val="0"/>
                  <w:marBottom w:val="0"/>
                  <w:divBdr>
                    <w:top w:val="none" w:sz="0" w:space="0" w:color="auto"/>
                    <w:left w:val="none" w:sz="0" w:space="0" w:color="auto"/>
                    <w:bottom w:val="none" w:sz="0" w:space="0" w:color="auto"/>
                    <w:right w:val="none" w:sz="0" w:space="0" w:color="auto"/>
                  </w:divBdr>
                  <w:divsChild>
                    <w:div w:id="177503984">
                      <w:marLeft w:val="0"/>
                      <w:marRight w:val="0"/>
                      <w:marTop w:val="0"/>
                      <w:marBottom w:val="0"/>
                      <w:divBdr>
                        <w:top w:val="none" w:sz="0" w:space="0" w:color="auto"/>
                        <w:left w:val="none" w:sz="0" w:space="0" w:color="auto"/>
                        <w:bottom w:val="none" w:sz="0" w:space="0" w:color="auto"/>
                        <w:right w:val="none" w:sz="0" w:space="0" w:color="auto"/>
                      </w:divBdr>
                    </w:div>
                  </w:divsChild>
                </w:div>
                <w:div w:id="2019231845">
                  <w:marLeft w:val="0"/>
                  <w:marRight w:val="0"/>
                  <w:marTop w:val="0"/>
                  <w:marBottom w:val="0"/>
                  <w:divBdr>
                    <w:top w:val="none" w:sz="0" w:space="0" w:color="auto"/>
                    <w:left w:val="none" w:sz="0" w:space="0" w:color="auto"/>
                    <w:bottom w:val="none" w:sz="0" w:space="0" w:color="auto"/>
                    <w:right w:val="none" w:sz="0" w:space="0" w:color="auto"/>
                  </w:divBdr>
                  <w:divsChild>
                    <w:div w:id="1375542480">
                      <w:marLeft w:val="0"/>
                      <w:marRight w:val="0"/>
                      <w:marTop w:val="0"/>
                      <w:marBottom w:val="0"/>
                      <w:divBdr>
                        <w:top w:val="none" w:sz="0" w:space="0" w:color="auto"/>
                        <w:left w:val="none" w:sz="0" w:space="0" w:color="auto"/>
                        <w:bottom w:val="none" w:sz="0" w:space="0" w:color="auto"/>
                        <w:right w:val="none" w:sz="0" w:space="0" w:color="auto"/>
                      </w:divBdr>
                    </w:div>
                    <w:div w:id="2003459658">
                      <w:marLeft w:val="0"/>
                      <w:marRight w:val="0"/>
                      <w:marTop w:val="0"/>
                      <w:marBottom w:val="0"/>
                      <w:divBdr>
                        <w:top w:val="none" w:sz="0" w:space="0" w:color="auto"/>
                        <w:left w:val="none" w:sz="0" w:space="0" w:color="auto"/>
                        <w:bottom w:val="none" w:sz="0" w:space="0" w:color="auto"/>
                        <w:right w:val="none" w:sz="0" w:space="0" w:color="auto"/>
                      </w:divBdr>
                    </w:div>
                    <w:div w:id="2105880863">
                      <w:marLeft w:val="0"/>
                      <w:marRight w:val="0"/>
                      <w:marTop w:val="0"/>
                      <w:marBottom w:val="0"/>
                      <w:divBdr>
                        <w:top w:val="none" w:sz="0" w:space="0" w:color="auto"/>
                        <w:left w:val="none" w:sz="0" w:space="0" w:color="auto"/>
                        <w:bottom w:val="none" w:sz="0" w:space="0" w:color="auto"/>
                        <w:right w:val="none" w:sz="0" w:space="0" w:color="auto"/>
                      </w:divBdr>
                    </w:div>
                  </w:divsChild>
                </w:div>
                <w:div w:id="2022052265">
                  <w:marLeft w:val="0"/>
                  <w:marRight w:val="0"/>
                  <w:marTop w:val="0"/>
                  <w:marBottom w:val="0"/>
                  <w:divBdr>
                    <w:top w:val="none" w:sz="0" w:space="0" w:color="auto"/>
                    <w:left w:val="none" w:sz="0" w:space="0" w:color="auto"/>
                    <w:bottom w:val="none" w:sz="0" w:space="0" w:color="auto"/>
                    <w:right w:val="none" w:sz="0" w:space="0" w:color="auto"/>
                  </w:divBdr>
                  <w:divsChild>
                    <w:div w:id="1552232194">
                      <w:marLeft w:val="0"/>
                      <w:marRight w:val="0"/>
                      <w:marTop w:val="0"/>
                      <w:marBottom w:val="0"/>
                      <w:divBdr>
                        <w:top w:val="none" w:sz="0" w:space="0" w:color="auto"/>
                        <w:left w:val="none" w:sz="0" w:space="0" w:color="auto"/>
                        <w:bottom w:val="none" w:sz="0" w:space="0" w:color="auto"/>
                        <w:right w:val="none" w:sz="0" w:space="0" w:color="auto"/>
                      </w:divBdr>
                    </w:div>
                  </w:divsChild>
                </w:div>
                <w:div w:id="2024739606">
                  <w:marLeft w:val="0"/>
                  <w:marRight w:val="0"/>
                  <w:marTop w:val="0"/>
                  <w:marBottom w:val="0"/>
                  <w:divBdr>
                    <w:top w:val="none" w:sz="0" w:space="0" w:color="auto"/>
                    <w:left w:val="none" w:sz="0" w:space="0" w:color="auto"/>
                    <w:bottom w:val="none" w:sz="0" w:space="0" w:color="auto"/>
                    <w:right w:val="none" w:sz="0" w:space="0" w:color="auto"/>
                  </w:divBdr>
                  <w:divsChild>
                    <w:div w:id="1008361452">
                      <w:marLeft w:val="0"/>
                      <w:marRight w:val="0"/>
                      <w:marTop w:val="0"/>
                      <w:marBottom w:val="0"/>
                      <w:divBdr>
                        <w:top w:val="none" w:sz="0" w:space="0" w:color="auto"/>
                        <w:left w:val="none" w:sz="0" w:space="0" w:color="auto"/>
                        <w:bottom w:val="none" w:sz="0" w:space="0" w:color="auto"/>
                        <w:right w:val="none" w:sz="0" w:space="0" w:color="auto"/>
                      </w:divBdr>
                    </w:div>
                  </w:divsChild>
                </w:div>
                <w:div w:id="2026205877">
                  <w:marLeft w:val="0"/>
                  <w:marRight w:val="0"/>
                  <w:marTop w:val="0"/>
                  <w:marBottom w:val="0"/>
                  <w:divBdr>
                    <w:top w:val="none" w:sz="0" w:space="0" w:color="auto"/>
                    <w:left w:val="none" w:sz="0" w:space="0" w:color="auto"/>
                    <w:bottom w:val="none" w:sz="0" w:space="0" w:color="auto"/>
                    <w:right w:val="none" w:sz="0" w:space="0" w:color="auto"/>
                  </w:divBdr>
                  <w:divsChild>
                    <w:div w:id="1503084795">
                      <w:marLeft w:val="0"/>
                      <w:marRight w:val="0"/>
                      <w:marTop w:val="0"/>
                      <w:marBottom w:val="0"/>
                      <w:divBdr>
                        <w:top w:val="none" w:sz="0" w:space="0" w:color="auto"/>
                        <w:left w:val="none" w:sz="0" w:space="0" w:color="auto"/>
                        <w:bottom w:val="none" w:sz="0" w:space="0" w:color="auto"/>
                        <w:right w:val="none" w:sz="0" w:space="0" w:color="auto"/>
                      </w:divBdr>
                    </w:div>
                  </w:divsChild>
                </w:div>
                <w:div w:id="2027172777">
                  <w:marLeft w:val="0"/>
                  <w:marRight w:val="0"/>
                  <w:marTop w:val="0"/>
                  <w:marBottom w:val="0"/>
                  <w:divBdr>
                    <w:top w:val="none" w:sz="0" w:space="0" w:color="auto"/>
                    <w:left w:val="none" w:sz="0" w:space="0" w:color="auto"/>
                    <w:bottom w:val="none" w:sz="0" w:space="0" w:color="auto"/>
                    <w:right w:val="none" w:sz="0" w:space="0" w:color="auto"/>
                  </w:divBdr>
                  <w:divsChild>
                    <w:div w:id="713698240">
                      <w:marLeft w:val="0"/>
                      <w:marRight w:val="0"/>
                      <w:marTop w:val="0"/>
                      <w:marBottom w:val="0"/>
                      <w:divBdr>
                        <w:top w:val="none" w:sz="0" w:space="0" w:color="auto"/>
                        <w:left w:val="none" w:sz="0" w:space="0" w:color="auto"/>
                        <w:bottom w:val="none" w:sz="0" w:space="0" w:color="auto"/>
                        <w:right w:val="none" w:sz="0" w:space="0" w:color="auto"/>
                      </w:divBdr>
                    </w:div>
                  </w:divsChild>
                </w:div>
                <w:div w:id="2027946422">
                  <w:marLeft w:val="0"/>
                  <w:marRight w:val="0"/>
                  <w:marTop w:val="0"/>
                  <w:marBottom w:val="0"/>
                  <w:divBdr>
                    <w:top w:val="none" w:sz="0" w:space="0" w:color="auto"/>
                    <w:left w:val="none" w:sz="0" w:space="0" w:color="auto"/>
                    <w:bottom w:val="none" w:sz="0" w:space="0" w:color="auto"/>
                    <w:right w:val="none" w:sz="0" w:space="0" w:color="auto"/>
                  </w:divBdr>
                  <w:divsChild>
                    <w:div w:id="316615085">
                      <w:marLeft w:val="0"/>
                      <w:marRight w:val="0"/>
                      <w:marTop w:val="0"/>
                      <w:marBottom w:val="0"/>
                      <w:divBdr>
                        <w:top w:val="none" w:sz="0" w:space="0" w:color="auto"/>
                        <w:left w:val="none" w:sz="0" w:space="0" w:color="auto"/>
                        <w:bottom w:val="none" w:sz="0" w:space="0" w:color="auto"/>
                        <w:right w:val="none" w:sz="0" w:space="0" w:color="auto"/>
                      </w:divBdr>
                    </w:div>
                  </w:divsChild>
                </w:div>
                <w:div w:id="2033415476">
                  <w:marLeft w:val="0"/>
                  <w:marRight w:val="0"/>
                  <w:marTop w:val="0"/>
                  <w:marBottom w:val="0"/>
                  <w:divBdr>
                    <w:top w:val="none" w:sz="0" w:space="0" w:color="auto"/>
                    <w:left w:val="none" w:sz="0" w:space="0" w:color="auto"/>
                    <w:bottom w:val="none" w:sz="0" w:space="0" w:color="auto"/>
                    <w:right w:val="none" w:sz="0" w:space="0" w:color="auto"/>
                  </w:divBdr>
                  <w:divsChild>
                    <w:div w:id="1268122357">
                      <w:marLeft w:val="0"/>
                      <w:marRight w:val="0"/>
                      <w:marTop w:val="0"/>
                      <w:marBottom w:val="0"/>
                      <w:divBdr>
                        <w:top w:val="none" w:sz="0" w:space="0" w:color="auto"/>
                        <w:left w:val="none" w:sz="0" w:space="0" w:color="auto"/>
                        <w:bottom w:val="none" w:sz="0" w:space="0" w:color="auto"/>
                        <w:right w:val="none" w:sz="0" w:space="0" w:color="auto"/>
                      </w:divBdr>
                    </w:div>
                  </w:divsChild>
                </w:div>
                <w:div w:id="2042584588">
                  <w:marLeft w:val="0"/>
                  <w:marRight w:val="0"/>
                  <w:marTop w:val="0"/>
                  <w:marBottom w:val="0"/>
                  <w:divBdr>
                    <w:top w:val="none" w:sz="0" w:space="0" w:color="auto"/>
                    <w:left w:val="none" w:sz="0" w:space="0" w:color="auto"/>
                    <w:bottom w:val="none" w:sz="0" w:space="0" w:color="auto"/>
                    <w:right w:val="none" w:sz="0" w:space="0" w:color="auto"/>
                  </w:divBdr>
                  <w:divsChild>
                    <w:div w:id="174074753">
                      <w:marLeft w:val="0"/>
                      <w:marRight w:val="0"/>
                      <w:marTop w:val="0"/>
                      <w:marBottom w:val="0"/>
                      <w:divBdr>
                        <w:top w:val="none" w:sz="0" w:space="0" w:color="auto"/>
                        <w:left w:val="none" w:sz="0" w:space="0" w:color="auto"/>
                        <w:bottom w:val="none" w:sz="0" w:space="0" w:color="auto"/>
                        <w:right w:val="none" w:sz="0" w:space="0" w:color="auto"/>
                      </w:divBdr>
                    </w:div>
                  </w:divsChild>
                </w:div>
                <w:div w:id="2043363370">
                  <w:marLeft w:val="0"/>
                  <w:marRight w:val="0"/>
                  <w:marTop w:val="0"/>
                  <w:marBottom w:val="0"/>
                  <w:divBdr>
                    <w:top w:val="none" w:sz="0" w:space="0" w:color="auto"/>
                    <w:left w:val="none" w:sz="0" w:space="0" w:color="auto"/>
                    <w:bottom w:val="none" w:sz="0" w:space="0" w:color="auto"/>
                    <w:right w:val="none" w:sz="0" w:space="0" w:color="auto"/>
                  </w:divBdr>
                  <w:divsChild>
                    <w:div w:id="614600201">
                      <w:marLeft w:val="0"/>
                      <w:marRight w:val="0"/>
                      <w:marTop w:val="0"/>
                      <w:marBottom w:val="0"/>
                      <w:divBdr>
                        <w:top w:val="none" w:sz="0" w:space="0" w:color="auto"/>
                        <w:left w:val="none" w:sz="0" w:space="0" w:color="auto"/>
                        <w:bottom w:val="none" w:sz="0" w:space="0" w:color="auto"/>
                        <w:right w:val="none" w:sz="0" w:space="0" w:color="auto"/>
                      </w:divBdr>
                    </w:div>
                    <w:div w:id="615407969">
                      <w:marLeft w:val="0"/>
                      <w:marRight w:val="0"/>
                      <w:marTop w:val="0"/>
                      <w:marBottom w:val="0"/>
                      <w:divBdr>
                        <w:top w:val="none" w:sz="0" w:space="0" w:color="auto"/>
                        <w:left w:val="none" w:sz="0" w:space="0" w:color="auto"/>
                        <w:bottom w:val="none" w:sz="0" w:space="0" w:color="auto"/>
                        <w:right w:val="none" w:sz="0" w:space="0" w:color="auto"/>
                      </w:divBdr>
                    </w:div>
                    <w:div w:id="697388268">
                      <w:marLeft w:val="0"/>
                      <w:marRight w:val="0"/>
                      <w:marTop w:val="0"/>
                      <w:marBottom w:val="0"/>
                      <w:divBdr>
                        <w:top w:val="none" w:sz="0" w:space="0" w:color="auto"/>
                        <w:left w:val="none" w:sz="0" w:space="0" w:color="auto"/>
                        <w:bottom w:val="none" w:sz="0" w:space="0" w:color="auto"/>
                        <w:right w:val="none" w:sz="0" w:space="0" w:color="auto"/>
                      </w:divBdr>
                    </w:div>
                    <w:div w:id="898518502">
                      <w:marLeft w:val="0"/>
                      <w:marRight w:val="0"/>
                      <w:marTop w:val="0"/>
                      <w:marBottom w:val="0"/>
                      <w:divBdr>
                        <w:top w:val="none" w:sz="0" w:space="0" w:color="auto"/>
                        <w:left w:val="none" w:sz="0" w:space="0" w:color="auto"/>
                        <w:bottom w:val="none" w:sz="0" w:space="0" w:color="auto"/>
                        <w:right w:val="none" w:sz="0" w:space="0" w:color="auto"/>
                      </w:divBdr>
                    </w:div>
                    <w:div w:id="978461265">
                      <w:marLeft w:val="0"/>
                      <w:marRight w:val="0"/>
                      <w:marTop w:val="0"/>
                      <w:marBottom w:val="0"/>
                      <w:divBdr>
                        <w:top w:val="none" w:sz="0" w:space="0" w:color="auto"/>
                        <w:left w:val="none" w:sz="0" w:space="0" w:color="auto"/>
                        <w:bottom w:val="none" w:sz="0" w:space="0" w:color="auto"/>
                        <w:right w:val="none" w:sz="0" w:space="0" w:color="auto"/>
                      </w:divBdr>
                    </w:div>
                    <w:div w:id="1121612790">
                      <w:marLeft w:val="0"/>
                      <w:marRight w:val="0"/>
                      <w:marTop w:val="0"/>
                      <w:marBottom w:val="0"/>
                      <w:divBdr>
                        <w:top w:val="none" w:sz="0" w:space="0" w:color="auto"/>
                        <w:left w:val="none" w:sz="0" w:space="0" w:color="auto"/>
                        <w:bottom w:val="none" w:sz="0" w:space="0" w:color="auto"/>
                        <w:right w:val="none" w:sz="0" w:space="0" w:color="auto"/>
                      </w:divBdr>
                    </w:div>
                    <w:div w:id="1143160624">
                      <w:marLeft w:val="0"/>
                      <w:marRight w:val="0"/>
                      <w:marTop w:val="0"/>
                      <w:marBottom w:val="0"/>
                      <w:divBdr>
                        <w:top w:val="none" w:sz="0" w:space="0" w:color="auto"/>
                        <w:left w:val="none" w:sz="0" w:space="0" w:color="auto"/>
                        <w:bottom w:val="none" w:sz="0" w:space="0" w:color="auto"/>
                        <w:right w:val="none" w:sz="0" w:space="0" w:color="auto"/>
                      </w:divBdr>
                    </w:div>
                    <w:div w:id="1165315380">
                      <w:marLeft w:val="0"/>
                      <w:marRight w:val="0"/>
                      <w:marTop w:val="0"/>
                      <w:marBottom w:val="0"/>
                      <w:divBdr>
                        <w:top w:val="none" w:sz="0" w:space="0" w:color="auto"/>
                        <w:left w:val="none" w:sz="0" w:space="0" w:color="auto"/>
                        <w:bottom w:val="none" w:sz="0" w:space="0" w:color="auto"/>
                        <w:right w:val="none" w:sz="0" w:space="0" w:color="auto"/>
                      </w:divBdr>
                    </w:div>
                    <w:div w:id="1678775921">
                      <w:marLeft w:val="0"/>
                      <w:marRight w:val="0"/>
                      <w:marTop w:val="0"/>
                      <w:marBottom w:val="0"/>
                      <w:divBdr>
                        <w:top w:val="none" w:sz="0" w:space="0" w:color="auto"/>
                        <w:left w:val="none" w:sz="0" w:space="0" w:color="auto"/>
                        <w:bottom w:val="none" w:sz="0" w:space="0" w:color="auto"/>
                        <w:right w:val="none" w:sz="0" w:space="0" w:color="auto"/>
                      </w:divBdr>
                    </w:div>
                    <w:div w:id="2008089249">
                      <w:marLeft w:val="0"/>
                      <w:marRight w:val="0"/>
                      <w:marTop w:val="0"/>
                      <w:marBottom w:val="0"/>
                      <w:divBdr>
                        <w:top w:val="none" w:sz="0" w:space="0" w:color="auto"/>
                        <w:left w:val="none" w:sz="0" w:space="0" w:color="auto"/>
                        <w:bottom w:val="none" w:sz="0" w:space="0" w:color="auto"/>
                        <w:right w:val="none" w:sz="0" w:space="0" w:color="auto"/>
                      </w:divBdr>
                    </w:div>
                  </w:divsChild>
                </w:div>
                <w:div w:id="2044135865">
                  <w:marLeft w:val="0"/>
                  <w:marRight w:val="0"/>
                  <w:marTop w:val="0"/>
                  <w:marBottom w:val="0"/>
                  <w:divBdr>
                    <w:top w:val="none" w:sz="0" w:space="0" w:color="auto"/>
                    <w:left w:val="none" w:sz="0" w:space="0" w:color="auto"/>
                    <w:bottom w:val="none" w:sz="0" w:space="0" w:color="auto"/>
                    <w:right w:val="none" w:sz="0" w:space="0" w:color="auto"/>
                  </w:divBdr>
                  <w:divsChild>
                    <w:div w:id="1285039163">
                      <w:marLeft w:val="0"/>
                      <w:marRight w:val="0"/>
                      <w:marTop w:val="0"/>
                      <w:marBottom w:val="0"/>
                      <w:divBdr>
                        <w:top w:val="none" w:sz="0" w:space="0" w:color="auto"/>
                        <w:left w:val="none" w:sz="0" w:space="0" w:color="auto"/>
                        <w:bottom w:val="none" w:sz="0" w:space="0" w:color="auto"/>
                        <w:right w:val="none" w:sz="0" w:space="0" w:color="auto"/>
                      </w:divBdr>
                    </w:div>
                  </w:divsChild>
                </w:div>
                <w:div w:id="2050835075">
                  <w:marLeft w:val="0"/>
                  <w:marRight w:val="0"/>
                  <w:marTop w:val="0"/>
                  <w:marBottom w:val="0"/>
                  <w:divBdr>
                    <w:top w:val="none" w:sz="0" w:space="0" w:color="auto"/>
                    <w:left w:val="none" w:sz="0" w:space="0" w:color="auto"/>
                    <w:bottom w:val="none" w:sz="0" w:space="0" w:color="auto"/>
                    <w:right w:val="none" w:sz="0" w:space="0" w:color="auto"/>
                  </w:divBdr>
                  <w:divsChild>
                    <w:div w:id="634604799">
                      <w:marLeft w:val="0"/>
                      <w:marRight w:val="0"/>
                      <w:marTop w:val="0"/>
                      <w:marBottom w:val="0"/>
                      <w:divBdr>
                        <w:top w:val="none" w:sz="0" w:space="0" w:color="auto"/>
                        <w:left w:val="none" w:sz="0" w:space="0" w:color="auto"/>
                        <w:bottom w:val="none" w:sz="0" w:space="0" w:color="auto"/>
                        <w:right w:val="none" w:sz="0" w:space="0" w:color="auto"/>
                      </w:divBdr>
                    </w:div>
                  </w:divsChild>
                </w:div>
                <w:div w:id="2065984356">
                  <w:marLeft w:val="0"/>
                  <w:marRight w:val="0"/>
                  <w:marTop w:val="0"/>
                  <w:marBottom w:val="0"/>
                  <w:divBdr>
                    <w:top w:val="none" w:sz="0" w:space="0" w:color="auto"/>
                    <w:left w:val="none" w:sz="0" w:space="0" w:color="auto"/>
                    <w:bottom w:val="none" w:sz="0" w:space="0" w:color="auto"/>
                    <w:right w:val="none" w:sz="0" w:space="0" w:color="auto"/>
                  </w:divBdr>
                  <w:divsChild>
                    <w:div w:id="780808095">
                      <w:marLeft w:val="0"/>
                      <w:marRight w:val="0"/>
                      <w:marTop w:val="0"/>
                      <w:marBottom w:val="0"/>
                      <w:divBdr>
                        <w:top w:val="none" w:sz="0" w:space="0" w:color="auto"/>
                        <w:left w:val="none" w:sz="0" w:space="0" w:color="auto"/>
                        <w:bottom w:val="none" w:sz="0" w:space="0" w:color="auto"/>
                        <w:right w:val="none" w:sz="0" w:space="0" w:color="auto"/>
                      </w:divBdr>
                    </w:div>
                  </w:divsChild>
                </w:div>
                <w:div w:id="2070498823">
                  <w:marLeft w:val="0"/>
                  <w:marRight w:val="0"/>
                  <w:marTop w:val="0"/>
                  <w:marBottom w:val="0"/>
                  <w:divBdr>
                    <w:top w:val="none" w:sz="0" w:space="0" w:color="auto"/>
                    <w:left w:val="none" w:sz="0" w:space="0" w:color="auto"/>
                    <w:bottom w:val="none" w:sz="0" w:space="0" w:color="auto"/>
                    <w:right w:val="none" w:sz="0" w:space="0" w:color="auto"/>
                  </w:divBdr>
                  <w:divsChild>
                    <w:div w:id="1450126069">
                      <w:marLeft w:val="0"/>
                      <w:marRight w:val="0"/>
                      <w:marTop w:val="0"/>
                      <w:marBottom w:val="0"/>
                      <w:divBdr>
                        <w:top w:val="none" w:sz="0" w:space="0" w:color="auto"/>
                        <w:left w:val="none" w:sz="0" w:space="0" w:color="auto"/>
                        <w:bottom w:val="none" w:sz="0" w:space="0" w:color="auto"/>
                        <w:right w:val="none" w:sz="0" w:space="0" w:color="auto"/>
                      </w:divBdr>
                    </w:div>
                  </w:divsChild>
                </w:div>
                <w:div w:id="2072191407">
                  <w:marLeft w:val="0"/>
                  <w:marRight w:val="0"/>
                  <w:marTop w:val="0"/>
                  <w:marBottom w:val="0"/>
                  <w:divBdr>
                    <w:top w:val="none" w:sz="0" w:space="0" w:color="auto"/>
                    <w:left w:val="none" w:sz="0" w:space="0" w:color="auto"/>
                    <w:bottom w:val="none" w:sz="0" w:space="0" w:color="auto"/>
                    <w:right w:val="none" w:sz="0" w:space="0" w:color="auto"/>
                  </w:divBdr>
                  <w:divsChild>
                    <w:div w:id="1948805317">
                      <w:marLeft w:val="0"/>
                      <w:marRight w:val="0"/>
                      <w:marTop w:val="0"/>
                      <w:marBottom w:val="0"/>
                      <w:divBdr>
                        <w:top w:val="none" w:sz="0" w:space="0" w:color="auto"/>
                        <w:left w:val="none" w:sz="0" w:space="0" w:color="auto"/>
                        <w:bottom w:val="none" w:sz="0" w:space="0" w:color="auto"/>
                        <w:right w:val="none" w:sz="0" w:space="0" w:color="auto"/>
                      </w:divBdr>
                    </w:div>
                  </w:divsChild>
                </w:div>
                <w:div w:id="2077970455">
                  <w:marLeft w:val="0"/>
                  <w:marRight w:val="0"/>
                  <w:marTop w:val="0"/>
                  <w:marBottom w:val="0"/>
                  <w:divBdr>
                    <w:top w:val="none" w:sz="0" w:space="0" w:color="auto"/>
                    <w:left w:val="none" w:sz="0" w:space="0" w:color="auto"/>
                    <w:bottom w:val="none" w:sz="0" w:space="0" w:color="auto"/>
                    <w:right w:val="none" w:sz="0" w:space="0" w:color="auto"/>
                  </w:divBdr>
                  <w:divsChild>
                    <w:div w:id="337466060">
                      <w:marLeft w:val="0"/>
                      <w:marRight w:val="0"/>
                      <w:marTop w:val="0"/>
                      <w:marBottom w:val="0"/>
                      <w:divBdr>
                        <w:top w:val="none" w:sz="0" w:space="0" w:color="auto"/>
                        <w:left w:val="none" w:sz="0" w:space="0" w:color="auto"/>
                        <w:bottom w:val="none" w:sz="0" w:space="0" w:color="auto"/>
                        <w:right w:val="none" w:sz="0" w:space="0" w:color="auto"/>
                      </w:divBdr>
                    </w:div>
                  </w:divsChild>
                </w:div>
                <w:div w:id="2082634379">
                  <w:marLeft w:val="0"/>
                  <w:marRight w:val="0"/>
                  <w:marTop w:val="0"/>
                  <w:marBottom w:val="0"/>
                  <w:divBdr>
                    <w:top w:val="none" w:sz="0" w:space="0" w:color="auto"/>
                    <w:left w:val="none" w:sz="0" w:space="0" w:color="auto"/>
                    <w:bottom w:val="none" w:sz="0" w:space="0" w:color="auto"/>
                    <w:right w:val="none" w:sz="0" w:space="0" w:color="auto"/>
                  </w:divBdr>
                  <w:divsChild>
                    <w:div w:id="1861972066">
                      <w:marLeft w:val="0"/>
                      <w:marRight w:val="0"/>
                      <w:marTop w:val="0"/>
                      <w:marBottom w:val="0"/>
                      <w:divBdr>
                        <w:top w:val="none" w:sz="0" w:space="0" w:color="auto"/>
                        <w:left w:val="none" w:sz="0" w:space="0" w:color="auto"/>
                        <w:bottom w:val="none" w:sz="0" w:space="0" w:color="auto"/>
                        <w:right w:val="none" w:sz="0" w:space="0" w:color="auto"/>
                      </w:divBdr>
                    </w:div>
                  </w:divsChild>
                </w:div>
                <w:div w:id="2086412503">
                  <w:marLeft w:val="0"/>
                  <w:marRight w:val="0"/>
                  <w:marTop w:val="0"/>
                  <w:marBottom w:val="0"/>
                  <w:divBdr>
                    <w:top w:val="none" w:sz="0" w:space="0" w:color="auto"/>
                    <w:left w:val="none" w:sz="0" w:space="0" w:color="auto"/>
                    <w:bottom w:val="none" w:sz="0" w:space="0" w:color="auto"/>
                    <w:right w:val="none" w:sz="0" w:space="0" w:color="auto"/>
                  </w:divBdr>
                  <w:divsChild>
                    <w:div w:id="701513732">
                      <w:marLeft w:val="0"/>
                      <w:marRight w:val="0"/>
                      <w:marTop w:val="0"/>
                      <w:marBottom w:val="0"/>
                      <w:divBdr>
                        <w:top w:val="none" w:sz="0" w:space="0" w:color="auto"/>
                        <w:left w:val="none" w:sz="0" w:space="0" w:color="auto"/>
                        <w:bottom w:val="none" w:sz="0" w:space="0" w:color="auto"/>
                        <w:right w:val="none" w:sz="0" w:space="0" w:color="auto"/>
                      </w:divBdr>
                    </w:div>
                  </w:divsChild>
                </w:div>
                <w:div w:id="2094473534">
                  <w:marLeft w:val="0"/>
                  <w:marRight w:val="0"/>
                  <w:marTop w:val="0"/>
                  <w:marBottom w:val="0"/>
                  <w:divBdr>
                    <w:top w:val="none" w:sz="0" w:space="0" w:color="auto"/>
                    <w:left w:val="none" w:sz="0" w:space="0" w:color="auto"/>
                    <w:bottom w:val="none" w:sz="0" w:space="0" w:color="auto"/>
                    <w:right w:val="none" w:sz="0" w:space="0" w:color="auto"/>
                  </w:divBdr>
                  <w:divsChild>
                    <w:div w:id="1812097061">
                      <w:marLeft w:val="0"/>
                      <w:marRight w:val="0"/>
                      <w:marTop w:val="0"/>
                      <w:marBottom w:val="0"/>
                      <w:divBdr>
                        <w:top w:val="none" w:sz="0" w:space="0" w:color="auto"/>
                        <w:left w:val="none" w:sz="0" w:space="0" w:color="auto"/>
                        <w:bottom w:val="none" w:sz="0" w:space="0" w:color="auto"/>
                        <w:right w:val="none" w:sz="0" w:space="0" w:color="auto"/>
                      </w:divBdr>
                    </w:div>
                  </w:divsChild>
                </w:div>
                <w:div w:id="2096901224">
                  <w:marLeft w:val="0"/>
                  <w:marRight w:val="0"/>
                  <w:marTop w:val="0"/>
                  <w:marBottom w:val="0"/>
                  <w:divBdr>
                    <w:top w:val="none" w:sz="0" w:space="0" w:color="auto"/>
                    <w:left w:val="none" w:sz="0" w:space="0" w:color="auto"/>
                    <w:bottom w:val="none" w:sz="0" w:space="0" w:color="auto"/>
                    <w:right w:val="none" w:sz="0" w:space="0" w:color="auto"/>
                  </w:divBdr>
                  <w:divsChild>
                    <w:div w:id="2079089117">
                      <w:marLeft w:val="0"/>
                      <w:marRight w:val="0"/>
                      <w:marTop w:val="0"/>
                      <w:marBottom w:val="0"/>
                      <w:divBdr>
                        <w:top w:val="none" w:sz="0" w:space="0" w:color="auto"/>
                        <w:left w:val="none" w:sz="0" w:space="0" w:color="auto"/>
                        <w:bottom w:val="none" w:sz="0" w:space="0" w:color="auto"/>
                        <w:right w:val="none" w:sz="0" w:space="0" w:color="auto"/>
                      </w:divBdr>
                    </w:div>
                  </w:divsChild>
                </w:div>
                <w:div w:id="2112386904">
                  <w:marLeft w:val="0"/>
                  <w:marRight w:val="0"/>
                  <w:marTop w:val="0"/>
                  <w:marBottom w:val="0"/>
                  <w:divBdr>
                    <w:top w:val="none" w:sz="0" w:space="0" w:color="auto"/>
                    <w:left w:val="none" w:sz="0" w:space="0" w:color="auto"/>
                    <w:bottom w:val="none" w:sz="0" w:space="0" w:color="auto"/>
                    <w:right w:val="none" w:sz="0" w:space="0" w:color="auto"/>
                  </w:divBdr>
                  <w:divsChild>
                    <w:div w:id="1685787686">
                      <w:marLeft w:val="0"/>
                      <w:marRight w:val="0"/>
                      <w:marTop w:val="0"/>
                      <w:marBottom w:val="0"/>
                      <w:divBdr>
                        <w:top w:val="none" w:sz="0" w:space="0" w:color="auto"/>
                        <w:left w:val="none" w:sz="0" w:space="0" w:color="auto"/>
                        <w:bottom w:val="none" w:sz="0" w:space="0" w:color="auto"/>
                        <w:right w:val="none" w:sz="0" w:space="0" w:color="auto"/>
                      </w:divBdr>
                    </w:div>
                  </w:divsChild>
                </w:div>
                <w:div w:id="2114862530">
                  <w:marLeft w:val="0"/>
                  <w:marRight w:val="0"/>
                  <w:marTop w:val="0"/>
                  <w:marBottom w:val="0"/>
                  <w:divBdr>
                    <w:top w:val="none" w:sz="0" w:space="0" w:color="auto"/>
                    <w:left w:val="none" w:sz="0" w:space="0" w:color="auto"/>
                    <w:bottom w:val="none" w:sz="0" w:space="0" w:color="auto"/>
                    <w:right w:val="none" w:sz="0" w:space="0" w:color="auto"/>
                  </w:divBdr>
                  <w:divsChild>
                    <w:div w:id="193352226">
                      <w:marLeft w:val="0"/>
                      <w:marRight w:val="0"/>
                      <w:marTop w:val="0"/>
                      <w:marBottom w:val="0"/>
                      <w:divBdr>
                        <w:top w:val="none" w:sz="0" w:space="0" w:color="auto"/>
                        <w:left w:val="none" w:sz="0" w:space="0" w:color="auto"/>
                        <w:bottom w:val="none" w:sz="0" w:space="0" w:color="auto"/>
                        <w:right w:val="none" w:sz="0" w:space="0" w:color="auto"/>
                      </w:divBdr>
                    </w:div>
                  </w:divsChild>
                </w:div>
                <w:div w:id="2123722648">
                  <w:marLeft w:val="0"/>
                  <w:marRight w:val="0"/>
                  <w:marTop w:val="0"/>
                  <w:marBottom w:val="0"/>
                  <w:divBdr>
                    <w:top w:val="none" w:sz="0" w:space="0" w:color="auto"/>
                    <w:left w:val="none" w:sz="0" w:space="0" w:color="auto"/>
                    <w:bottom w:val="none" w:sz="0" w:space="0" w:color="auto"/>
                    <w:right w:val="none" w:sz="0" w:space="0" w:color="auto"/>
                  </w:divBdr>
                  <w:divsChild>
                    <w:div w:id="919633699">
                      <w:marLeft w:val="0"/>
                      <w:marRight w:val="0"/>
                      <w:marTop w:val="0"/>
                      <w:marBottom w:val="0"/>
                      <w:divBdr>
                        <w:top w:val="none" w:sz="0" w:space="0" w:color="auto"/>
                        <w:left w:val="none" w:sz="0" w:space="0" w:color="auto"/>
                        <w:bottom w:val="none" w:sz="0" w:space="0" w:color="auto"/>
                        <w:right w:val="none" w:sz="0" w:space="0" w:color="auto"/>
                      </w:divBdr>
                    </w:div>
                  </w:divsChild>
                </w:div>
                <w:div w:id="2125808875">
                  <w:marLeft w:val="0"/>
                  <w:marRight w:val="0"/>
                  <w:marTop w:val="0"/>
                  <w:marBottom w:val="0"/>
                  <w:divBdr>
                    <w:top w:val="none" w:sz="0" w:space="0" w:color="auto"/>
                    <w:left w:val="none" w:sz="0" w:space="0" w:color="auto"/>
                    <w:bottom w:val="none" w:sz="0" w:space="0" w:color="auto"/>
                    <w:right w:val="none" w:sz="0" w:space="0" w:color="auto"/>
                  </w:divBdr>
                  <w:divsChild>
                    <w:div w:id="59061532">
                      <w:marLeft w:val="0"/>
                      <w:marRight w:val="0"/>
                      <w:marTop w:val="0"/>
                      <w:marBottom w:val="0"/>
                      <w:divBdr>
                        <w:top w:val="none" w:sz="0" w:space="0" w:color="auto"/>
                        <w:left w:val="none" w:sz="0" w:space="0" w:color="auto"/>
                        <w:bottom w:val="none" w:sz="0" w:space="0" w:color="auto"/>
                        <w:right w:val="none" w:sz="0" w:space="0" w:color="auto"/>
                      </w:divBdr>
                    </w:div>
                  </w:divsChild>
                </w:div>
                <w:div w:id="2125881504">
                  <w:marLeft w:val="0"/>
                  <w:marRight w:val="0"/>
                  <w:marTop w:val="0"/>
                  <w:marBottom w:val="0"/>
                  <w:divBdr>
                    <w:top w:val="none" w:sz="0" w:space="0" w:color="auto"/>
                    <w:left w:val="none" w:sz="0" w:space="0" w:color="auto"/>
                    <w:bottom w:val="none" w:sz="0" w:space="0" w:color="auto"/>
                    <w:right w:val="none" w:sz="0" w:space="0" w:color="auto"/>
                  </w:divBdr>
                  <w:divsChild>
                    <w:div w:id="1751466606">
                      <w:marLeft w:val="0"/>
                      <w:marRight w:val="0"/>
                      <w:marTop w:val="0"/>
                      <w:marBottom w:val="0"/>
                      <w:divBdr>
                        <w:top w:val="none" w:sz="0" w:space="0" w:color="auto"/>
                        <w:left w:val="none" w:sz="0" w:space="0" w:color="auto"/>
                        <w:bottom w:val="none" w:sz="0" w:space="0" w:color="auto"/>
                        <w:right w:val="none" w:sz="0" w:space="0" w:color="auto"/>
                      </w:divBdr>
                    </w:div>
                  </w:divsChild>
                </w:div>
                <w:div w:id="2138640342">
                  <w:marLeft w:val="0"/>
                  <w:marRight w:val="0"/>
                  <w:marTop w:val="0"/>
                  <w:marBottom w:val="0"/>
                  <w:divBdr>
                    <w:top w:val="none" w:sz="0" w:space="0" w:color="auto"/>
                    <w:left w:val="none" w:sz="0" w:space="0" w:color="auto"/>
                    <w:bottom w:val="none" w:sz="0" w:space="0" w:color="auto"/>
                    <w:right w:val="none" w:sz="0" w:space="0" w:color="auto"/>
                  </w:divBdr>
                  <w:divsChild>
                    <w:div w:id="707097955">
                      <w:marLeft w:val="0"/>
                      <w:marRight w:val="0"/>
                      <w:marTop w:val="0"/>
                      <w:marBottom w:val="0"/>
                      <w:divBdr>
                        <w:top w:val="none" w:sz="0" w:space="0" w:color="auto"/>
                        <w:left w:val="none" w:sz="0" w:space="0" w:color="auto"/>
                        <w:bottom w:val="none" w:sz="0" w:space="0" w:color="auto"/>
                        <w:right w:val="none" w:sz="0" w:space="0" w:color="auto"/>
                      </w:divBdr>
                    </w:div>
                  </w:divsChild>
                </w:div>
                <w:div w:id="2139256595">
                  <w:marLeft w:val="0"/>
                  <w:marRight w:val="0"/>
                  <w:marTop w:val="0"/>
                  <w:marBottom w:val="0"/>
                  <w:divBdr>
                    <w:top w:val="none" w:sz="0" w:space="0" w:color="auto"/>
                    <w:left w:val="none" w:sz="0" w:space="0" w:color="auto"/>
                    <w:bottom w:val="none" w:sz="0" w:space="0" w:color="auto"/>
                    <w:right w:val="none" w:sz="0" w:space="0" w:color="auto"/>
                  </w:divBdr>
                  <w:divsChild>
                    <w:div w:id="430006295">
                      <w:marLeft w:val="0"/>
                      <w:marRight w:val="0"/>
                      <w:marTop w:val="0"/>
                      <w:marBottom w:val="0"/>
                      <w:divBdr>
                        <w:top w:val="none" w:sz="0" w:space="0" w:color="auto"/>
                        <w:left w:val="none" w:sz="0" w:space="0" w:color="auto"/>
                        <w:bottom w:val="none" w:sz="0" w:space="0" w:color="auto"/>
                        <w:right w:val="none" w:sz="0" w:space="0" w:color="auto"/>
                      </w:divBdr>
                    </w:div>
                  </w:divsChild>
                </w:div>
                <w:div w:id="2139299755">
                  <w:marLeft w:val="0"/>
                  <w:marRight w:val="0"/>
                  <w:marTop w:val="0"/>
                  <w:marBottom w:val="0"/>
                  <w:divBdr>
                    <w:top w:val="none" w:sz="0" w:space="0" w:color="auto"/>
                    <w:left w:val="none" w:sz="0" w:space="0" w:color="auto"/>
                    <w:bottom w:val="none" w:sz="0" w:space="0" w:color="auto"/>
                    <w:right w:val="none" w:sz="0" w:space="0" w:color="auto"/>
                  </w:divBdr>
                  <w:divsChild>
                    <w:div w:id="561451813">
                      <w:marLeft w:val="0"/>
                      <w:marRight w:val="0"/>
                      <w:marTop w:val="0"/>
                      <w:marBottom w:val="0"/>
                      <w:divBdr>
                        <w:top w:val="none" w:sz="0" w:space="0" w:color="auto"/>
                        <w:left w:val="none" w:sz="0" w:space="0" w:color="auto"/>
                        <w:bottom w:val="none" w:sz="0" w:space="0" w:color="auto"/>
                        <w:right w:val="none" w:sz="0" w:space="0" w:color="auto"/>
                      </w:divBdr>
                    </w:div>
                  </w:divsChild>
                </w:div>
                <w:div w:id="2140566652">
                  <w:marLeft w:val="0"/>
                  <w:marRight w:val="0"/>
                  <w:marTop w:val="0"/>
                  <w:marBottom w:val="0"/>
                  <w:divBdr>
                    <w:top w:val="none" w:sz="0" w:space="0" w:color="auto"/>
                    <w:left w:val="none" w:sz="0" w:space="0" w:color="auto"/>
                    <w:bottom w:val="none" w:sz="0" w:space="0" w:color="auto"/>
                    <w:right w:val="none" w:sz="0" w:space="0" w:color="auto"/>
                  </w:divBdr>
                  <w:divsChild>
                    <w:div w:id="2140872589">
                      <w:marLeft w:val="0"/>
                      <w:marRight w:val="0"/>
                      <w:marTop w:val="0"/>
                      <w:marBottom w:val="0"/>
                      <w:divBdr>
                        <w:top w:val="none" w:sz="0" w:space="0" w:color="auto"/>
                        <w:left w:val="none" w:sz="0" w:space="0" w:color="auto"/>
                        <w:bottom w:val="none" w:sz="0" w:space="0" w:color="auto"/>
                        <w:right w:val="none" w:sz="0" w:space="0" w:color="auto"/>
                      </w:divBdr>
                    </w:div>
                  </w:divsChild>
                </w:div>
                <w:div w:id="2143300509">
                  <w:marLeft w:val="0"/>
                  <w:marRight w:val="0"/>
                  <w:marTop w:val="0"/>
                  <w:marBottom w:val="0"/>
                  <w:divBdr>
                    <w:top w:val="none" w:sz="0" w:space="0" w:color="auto"/>
                    <w:left w:val="none" w:sz="0" w:space="0" w:color="auto"/>
                    <w:bottom w:val="none" w:sz="0" w:space="0" w:color="auto"/>
                    <w:right w:val="none" w:sz="0" w:space="0" w:color="auto"/>
                  </w:divBdr>
                  <w:divsChild>
                    <w:div w:id="586889200">
                      <w:marLeft w:val="0"/>
                      <w:marRight w:val="0"/>
                      <w:marTop w:val="0"/>
                      <w:marBottom w:val="0"/>
                      <w:divBdr>
                        <w:top w:val="none" w:sz="0" w:space="0" w:color="auto"/>
                        <w:left w:val="none" w:sz="0" w:space="0" w:color="auto"/>
                        <w:bottom w:val="none" w:sz="0" w:space="0" w:color="auto"/>
                        <w:right w:val="none" w:sz="0" w:space="0" w:color="auto"/>
                      </w:divBdr>
                    </w:div>
                  </w:divsChild>
                </w:div>
                <w:div w:id="2144419516">
                  <w:marLeft w:val="0"/>
                  <w:marRight w:val="0"/>
                  <w:marTop w:val="0"/>
                  <w:marBottom w:val="0"/>
                  <w:divBdr>
                    <w:top w:val="none" w:sz="0" w:space="0" w:color="auto"/>
                    <w:left w:val="none" w:sz="0" w:space="0" w:color="auto"/>
                    <w:bottom w:val="none" w:sz="0" w:space="0" w:color="auto"/>
                    <w:right w:val="none" w:sz="0" w:space="0" w:color="auto"/>
                  </w:divBdr>
                  <w:divsChild>
                    <w:div w:id="136304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42905">
      <w:bodyDiv w:val="1"/>
      <w:marLeft w:val="0"/>
      <w:marRight w:val="0"/>
      <w:marTop w:val="0"/>
      <w:marBottom w:val="0"/>
      <w:divBdr>
        <w:top w:val="none" w:sz="0" w:space="0" w:color="auto"/>
        <w:left w:val="none" w:sz="0" w:space="0" w:color="auto"/>
        <w:bottom w:val="none" w:sz="0" w:space="0" w:color="auto"/>
        <w:right w:val="none" w:sz="0" w:space="0" w:color="auto"/>
      </w:divBdr>
      <w:divsChild>
        <w:div w:id="49230877">
          <w:marLeft w:val="0"/>
          <w:marRight w:val="0"/>
          <w:marTop w:val="0"/>
          <w:marBottom w:val="0"/>
          <w:divBdr>
            <w:top w:val="none" w:sz="0" w:space="0" w:color="auto"/>
            <w:left w:val="none" w:sz="0" w:space="0" w:color="auto"/>
            <w:bottom w:val="none" w:sz="0" w:space="0" w:color="auto"/>
            <w:right w:val="none" w:sz="0" w:space="0" w:color="auto"/>
          </w:divBdr>
        </w:div>
        <w:div w:id="355348407">
          <w:marLeft w:val="0"/>
          <w:marRight w:val="0"/>
          <w:marTop w:val="0"/>
          <w:marBottom w:val="0"/>
          <w:divBdr>
            <w:top w:val="none" w:sz="0" w:space="0" w:color="auto"/>
            <w:left w:val="none" w:sz="0" w:space="0" w:color="auto"/>
            <w:bottom w:val="none" w:sz="0" w:space="0" w:color="auto"/>
            <w:right w:val="none" w:sz="0" w:space="0" w:color="auto"/>
          </w:divBdr>
        </w:div>
        <w:div w:id="425998348">
          <w:marLeft w:val="0"/>
          <w:marRight w:val="0"/>
          <w:marTop w:val="0"/>
          <w:marBottom w:val="0"/>
          <w:divBdr>
            <w:top w:val="none" w:sz="0" w:space="0" w:color="auto"/>
            <w:left w:val="none" w:sz="0" w:space="0" w:color="auto"/>
            <w:bottom w:val="none" w:sz="0" w:space="0" w:color="auto"/>
            <w:right w:val="none" w:sz="0" w:space="0" w:color="auto"/>
          </w:divBdr>
        </w:div>
        <w:div w:id="674773343">
          <w:marLeft w:val="0"/>
          <w:marRight w:val="0"/>
          <w:marTop w:val="0"/>
          <w:marBottom w:val="0"/>
          <w:divBdr>
            <w:top w:val="none" w:sz="0" w:space="0" w:color="auto"/>
            <w:left w:val="none" w:sz="0" w:space="0" w:color="auto"/>
            <w:bottom w:val="none" w:sz="0" w:space="0" w:color="auto"/>
            <w:right w:val="none" w:sz="0" w:space="0" w:color="auto"/>
          </w:divBdr>
        </w:div>
        <w:div w:id="712191056">
          <w:marLeft w:val="0"/>
          <w:marRight w:val="0"/>
          <w:marTop w:val="0"/>
          <w:marBottom w:val="0"/>
          <w:divBdr>
            <w:top w:val="none" w:sz="0" w:space="0" w:color="auto"/>
            <w:left w:val="none" w:sz="0" w:space="0" w:color="auto"/>
            <w:bottom w:val="none" w:sz="0" w:space="0" w:color="auto"/>
            <w:right w:val="none" w:sz="0" w:space="0" w:color="auto"/>
          </w:divBdr>
        </w:div>
        <w:div w:id="881938815">
          <w:marLeft w:val="0"/>
          <w:marRight w:val="0"/>
          <w:marTop w:val="0"/>
          <w:marBottom w:val="0"/>
          <w:divBdr>
            <w:top w:val="none" w:sz="0" w:space="0" w:color="auto"/>
            <w:left w:val="none" w:sz="0" w:space="0" w:color="auto"/>
            <w:bottom w:val="none" w:sz="0" w:space="0" w:color="auto"/>
            <w:right w:val="none" w:sz="0" w:space="0" w:color="auto"/>
          </w:divBdr>
        </w:div>
        <w:div w:id="1025474470">
          <w:marLeft w:val="0"/>
          <w:marRight w:val="0"/>
          <w:marTop w:val="0"/>
          <w:marBottom w:val="0"/>
          <w:divBdr>
            <w:top w:val="none" w:sz="0" w:space="0" w:color="auto"/>
            <w:left w:val="none" w:sz="0" w:space="0" w:color="auto"/>
            <w:bottom w:val="none" w:sz="0" w:space="0" w:color="auto"/>
            <w:right w:val="none" w:sz="0" w:space="0" w:color="auto"/>
          </w:divBdr>
          <w:divsChild>
            <w:div w:id="98643844">
              <w:marLeft w:val="0"/>
              <w:marRight w:val="0"/>
              <w:marTop w:val="0"/>
              <w:marBottom w:val="0"/>
              <w:divBdr>
                <w:top w:val="none" w:sz="0" w:space="0" w:color="auto"/>
                <w:left w:val="none" w:sz="0" w:space="0" w:color="auto"/>
                <w:bottom w:val="none" w:sz="0" w:space="0" w:color="auto"/>
                <w:right w:val="none" w:sz="0" w:space="0" w:color="auto"/>
              </w:divBdr>
            </w:div>
            <w:div w:id="296229786">
              <w:marLeft w:val="0"/>
              <w:marRight w:val="0"/>
              <w:marTop w:val="0"/>
              <w:marBottom w:val="0"/>
              <w:divBdr>
                <w:top w:val="none" w:sz="0" w:space="0" w:color="auto"/>
                <w:left w:val="none" w:sz="0" w:space="0" w:color="auto"/>
                <w:bottom w:val="none" w:sz="0" w:space="0" w:color="auto"/>
                <w:right w:val="none" w:sz="0" w:space="0" w:color="auto"/>
              </w:divBdr>
            </w:div>
            <w:div w:id="489172715">
              <w:marLeft w:val="0"/>
              <w:marRight w:val="0"/>
              <w:marTop w:val="0"/>
              <w:marBottom w:val="0"/>
              <w:divBdr>
                <w:top w:val="none" w:sz="0" w:space="0" w:color="auto"/>
                <w:left w:val="none" w:sz="0" w:space="0" w:color="auto"/>
                <w:bottom w:val="none" w:sz="0" w:space="0" w:color="auto"/>
                <w:right w:val="none" w:sz="0" w:space="0" w:color="auto"/>
              </w:divBdr>
            </w:div>
            <w:div w:id="533277756">
              <w:marLeft w:val="0"/>
              <w:marRight w:val="0"/>
              <w:marTop w:val="0"/>
              <w:marBottom w:val="0"/>
              <w:divBdr>
                <w:top w:val="none" w:sz="0" w:space="0" w:color="auto"/>
                <w:left w:val="none" w:sz="0" w:space="0" w:color="auto"/>
                <w:bottom w:val="none" w:sz="0" w:space="0" w:color="auto"/>
                <w:right w:val="none" w:sz="0" w:space="0" w:color="auto"/>
              </w:divBdr>
            </w:div>
            <w:div w:id="830878068">
              <w:marLeft w:val="0"/>
              <w:marRight w:val="0"/>
              <w:marTop w:val="0"/>
              <w:marBottom w:val="0"/>
              <w:divBdr>
                <w:top w:val="none" w:sz="0" w:space="0" w:color="auto"/>
                <w:left w:val="none" w:sz="0" w:space="0" w:color="auto"/>
                <w:bottom w:val="none" w:sz="0" w:space="0" w:color="auto"/>
                <w:right w:val="none" w:sz="0" w:space="0" w:color="auto"/>
              </w:divBdr>
            </w:div>
            <w:div w:id="1031301862">
              <w:marLeft w:val="0"/>
              <w:marRight w:val="0"/>
              <w:marTop w:val="0"/>
              <w:marBottom w:val="0"/>
              <w:divBdr>
                <w:top w:val="none" w:sz="0" w:space="0" w:color="auto"/>
                <w:left w:val="none" w:sz="0" w:space="0" w:color="auto"/>
                <w:bottom w:val="none" w:sz="0" w:space="0" w:color="auto"/>
                <w:right w:val="none" w:sz="0" w:space="0" w:color="auto"/>
              </w:divBdr>
            </w:div>
            <w:div w:id="1062556716">
              <w:marLeft w:val="0"/>
              <w:marRight w:val="0"/>
              <w:marTop w:val="0"/>
              <w:marBottom w:val="0"/>
              <w:divBdr>
                <w:top w:val="none" w:sz="0" w:space="0" w:color="auto"/>
                <w:left w:val="none" w:sz="0" w:space="0" w:color="auto"/>
                <w:bottom w:val="none" w:sz="0" w:space="0" w:color="auto"/>
                <w:right w:val="none" w:sz="0" w:space="0" w:color="auto"/>
              </w:divBdr>
            </w:div>
            <w:div w:id="1114135824">
              <w:marLeft w:val="0"/>
              <w:marRight w:val="0"/>
              <w:marTop w:val="0"/>
              <w:marBottom w:val="0"/>
              <w:divBdr>
                <w:top w:val="none" w:sz="0" w:space="0" w:color="auto"/>
                <w:left w:val="none" w:sz="0" w:space="0" w:color="auto"/>
                <w:bottom w:val="none" w:sz="0" w:space="0" w:color="auto"/>
                <w:right w:val="none" w:sz="0" w:space="0" w:color="auto"/>
              </w:divBdr>
            </w:div>
            <w:div w:id="1129585994">
              <w:marLeft w:val="0"/>
              <w:marRight w:val="0"/>
              <w:marTop w:val="0"/>
              <w:marBottom w:val="0"/>
              <w:divBdr>
                <w:top w:val="none" w:sz="0" w:space="0" w:color="auto"/>
                <w:left w:val="none" w:sz="0" w:space="0" w:color="auto"/>
                <w:bottom w:val="none" w:sz="0" w:space="0" w:color="auto"/>
                <w:right w:val="none" w:sz="0" w:space="0" w:color="auto"/>
              </w:divBdr>
            </w:div>
            <w:div w:id="1157769093">
              <w:marLeft w:val="0"/>
              <w:marRight w:val="0"/>
              <w:marTop w:val="0"/>
              <w:marBottom w:val="0"/>
              <w:divBdr>
                <w:top w:val="none" w:sz="0" w:space="0" w:color="auto"/>
                <w:left w:val="none" w:sz="0" w:space="0" w:color="auto"/>
                <w:bottom w:val="none" w:sz="0" w:space="0" w:color="auto"/>
                <w:right w:val="none" w:sz="0" w:space="0" w:color="auto"/>
              </w:divBdr>
            </w:div>
            <w:div w:id="1277635009">
              <w:marLeft w:val="0"/>
              <w:marRight w:val="0"/>
              <w:marTop w:val="0"/>
              <w:marBottom w:val="0"/>
              <w:divBdr>
                <w:top w:val="none" w:sz="0" w:space="0" w:color="auto"/>
                <w:left w:val="none" w:sz="0" w:space="0" w:color="auto"/>
                <w:bottom w:val="none" w:sz="0" w:space="0" w:color="auto"/>
                <w:right w:val="none" w:sz="0" w:space="0" w:color="auto"/>
              </w:divBdr>
            </w:div>
            <w:div w:id="1380393513">
              <w:marLeft w:val="0"/>
              <w:marRight w:val="0"/>
              <w:marTop w:val="0"/>
              <w:marBottom w:val="0"/>
              <w:divBdr>
                <w:top w:val="none" w:sz="0" w:space="0" w:color="auto"/>
                <w:left w:val="none" w:sz="0" w:space="0" w:color="auto"/>
                <w:bottom w:val="none" w:sz="0" w:space="0" w:color="auto"/>
                <w:right w:val="none" w:sz="0" w:space="0" w:color="auto"/>
              </w:divBdr>
            </w:div>
            <w:div w:id="1431390122">
              <w:marLeft w:val="0"/>
              <w:marRight w:val="0"/>
              <w:marTop w:val="0"/>
              <w:marBottom w:val="0"/>
              <w:divBdr>
                <w:top w:val="none" w:sz="0" w:space="0" w:color="auto"/>
                <w:left w:val="none" w:sz="0" w:space="0" w:color="auto"/>
                <w:bottom w:val="none" w:sz="0" w:space="0" w:color="auto"/>
                <w:right w:val="none" w:sz="0" w:space="0" w:color="auto"/>
              </w:divBdr>
            </w:div>
            <w:div w:id="1828086532">
              <w:marLeft w:val="0"/>
              <w:marRight w:val="0"/>
              <w:marTop w:val="0"/>
              <w:marBottom w:val="0"/>
              <w:divBdr>
                <w:top w:val="none" w:sz="0" w:space="0" w:color="auto"/>
                <w:left w:val="none" w:sz="0" w:space="0" w:color="auto"/>
                <w:bottom w:val="none" w:sz="0" w:space="0" w:color="auto"/>
                <w:right w:val="none" w:sz="0" w:space="0" w:color="auto"/>
              </w:divBdr>
            </w:div>
            <w:div w:id="1954166623">
              <w:marLeft w:val="0"/>
              <w:marRight w:val="0"/>
              <w:marTop w:val="0"/>
              <w:marBottom w:val="0"/>
              <w:divBdr>
                <w:top w:val="none" w:sz="0" w:space="0" w:color="auto"/>
                <w:left w:val="none" w:sz="0" w:space="0" w:color="auto"/>
                <w:bottom w:val="none" w:sz="0" w:space="0" w:color="auto"/>
                <w:right w:val="none" w:sz="0" w:space="0" w:color="auto"/>
              </w:divBdr>
            </w:div>
            <w:div w:id="2009214311">
              <w:marLeft w:val="0"/>
              <w:marRight w:val="0"/>
              <w:marTop w:val="0"/>
              <w:marBottom w:val="0"/>
              <w:divBdr>
                <w:top w:val="none" w:sz="0" w:space="0" w:color="auto"/>
                <w:left w:val="none" w:sz="0" w:space="0" w:color="auto"/>
                <w:bottom w:val="none" w:sz="0" w:space="0" w:color="auto"/>
                <w:right w:val="none" w:sz="0" w:space="0" w:color="auto"/>
              </w:divBdr>
            </w:div>
            <w:div w:id="2066947489">
              <w:marLeft w:val="0"/>
              <w:marRight w:val="0"/>
              <w:marTop w:val="0"/>
              <w:marBottom w:val="0"/>
              <w:divBdr>
                <w:top w:val="none" w:sz="0" w:space="0" w:color="auto"/>
                <w:left w:val="none" w:sz="0" w:space="0" w:color="auto"/>
                <w:bottom w:val="none" w:sz="0" w:space="0" w:color="auto"/>
                <w:right w:val="none" w:sz="0" w:space="0" w:color="auto"/>
              </w:divBdr>
            </w:div>
            <w:div w:id="2103868917">
              <w:marLeft w:val="0"/>
              <w:marRight w:val="0"/>
              <w:marTop w:val="0"/>
              <w:marBottom w:val="0"/>
              <w:divBdr>
                <w:top w:val="none" w:sz="0" w:space="0" w:color="auto"/>
                <w:left w:val="none" w:sz="0" w:space="0" w:color="auto"/>
                <w:bottom w:val="none" w:sz="0" w:space="0" w:color="auto"/>
                <w:right w:val="none" w:sz="0" w:space="0" w:color="auto"/>
              </w:divBdr>
            </w:div>
          </w:divsChild>
        </w:div>
        <w:div w:id="1134786120">
          <w:marLeft w:val="0"/>
          <w:marRight w:val="0"/>
          <w:marTop w:val="0"/>
          <w:marBottom w:val="0"/>
          <w:divBdr>
            <w:top w:val="none" w:sz="0" w:space="0" w:color="auto"/>
            <w:left w:val="none" w:sz="0" w:space="0" w:color="auto"/>
            <w:bottom w:val="none" w:sz="0" w:space="0" w:color="auto"/>
            <w:right w:val="none" w:sz="0" w:space="0" w:color="auto"/>
          </w:divBdr>
        </w:div>
        <w:div w:id="1205945021">
          <w:marLeft w:val="0"/>
          <w:marRight w:val="0"/>
          <w:marTop w:val="0"/>
          <w:marBottom w:val="0"/>
          <w:divBdr>
            <w:top w:val="none" w:sz="0" w:space="0" w:color="auto"/>
            <w:left w:val="none" w:sz="0" w:space="0" w:color="auto"/>
            <w:bottom w:val="none" w:sz="0" w:space="0" w:color="auto"/>
            <w:right w:val="none" w:sz="0" w:space="0" w:color="auto"/>
          </w:divBdr>
        </w:div>
        <w:div w:id="1324428116">
          <w:marLeft w:val="0"/>
          <w:marRight w:val="0"/>
          <w:marTop w:val="0"/>
          <w:marBottom w:val="0"/>
          <w:divBdr>
            <w:top w:val="none" w:sz="0" w:space="0" w:color="auto"/>
            <w:left w:val="none" w:sz="0" w:space="0" w:color="auto"/>
            <w:bottom w:val="none" w:sz="0" w:space="0" w:color="auto"/>
            <w:right w:val="none" w:sz="0" w:space="0" w:color="auto"/>
          </w:divBdr>
        </w:div>
        <w:div w:id="1682274574">
          <w:marLeft w:val="0"/>
          <w:marRight w:val="0"/>
          <w:marTop w:val="0"/>
          <w:marBottom w:val="0"/>
          <w:divBdr>
            <w:top w:val="none" w:sz="0" w:space="0" w:color="auto"/>
            <w:left w:val="none" w:sz="0" w:space="0" w:color="auto"/>
            <w:bottom w:val="none" w:sz="0" w:space="0" w:color="auto"/>
            <w:right w:val="none" w:sz="0" w:space="0" w:color="auto"/>
          </w:divBdr>
        </w:div>
      </w:divsChild>
    </w:div>
    <w:div w:id="268783261">
      <w:bodyDiv w:val="1"/>
      <w:marLeft w:val="0"/>
      <w:marRight w:val="0"/>
      <w:marTop w:val="0"/>
      <w:marBottom w:val="0"/>
      <w:divBdr>
        <w:top w:val="none" w:sz="0" w:space="0" w:color="auto"/>
        <w:left w:val="none" w:sz="0" w:space="0" w:color="auto"/>
        <w:bottom w:val="none" w:sz="0" w:space="0" w:color="auto"/>
        <w:right w:val="none" w:sz="0" w:space="0" w:color="auto"/>
      </w:divBdr>
      <w:divsChild>
        <w:div w:id="1204905381">
          <w:marLeft w:val="0"/>
          <w:marRight w:val="0"/>
          <w:marTop w:val="0"/>
          <w:marBottom w:val="0"/>
          <w:divBdr>
            <w:top w:val="none" w:sz="0" w:space="0" w:color="auto"/>
            <w:left w:val="none" w:sz="0" w:space="0" w:color="auto"/>
            <w:bottom w:val="none" w:sz="0" w:space="0" w:color="auto"/>
            <w:right w:val="none" w:sz="0" w:space="0" w:color="auto"/>
          </w:divBdr>
        </w:div>
        <w:div w:id="1674607705">
          <w:marLeft w:val="0"/>
          <w:marRight w:val="0"/>
          <w:marTop w:val="0"/>
          <w:marBottom w:val="0"/>
          <w:divBdr>
            <w:top w:val="none" w:sz="0" w:space="0" w:color="auto"/>
            <w:left w:val="none" w:sz="0" w:space="0" w:color="auto"/>
            <w:bottom w:val="none" w:sz="0" w:space="0" w:color="auto"/>
            <w:right w:val="none" w:sz="0" w:space="0" w:color="auto"/>
          </w:divBdr>
          <w:divsChild>
            <w:div w:id="1193836382">
              <w:marLeft w:val="-75"/>
              <w:marRight w:val="0"/>
              <w:marTop w:val="30"/>
              <w:marBottom w:val="30"/>
              <w:divBdr>
                <w:top w:val="none" w:sz="0" w:space="0" w:color="auto"/>
                <w:left w:val="none" w:sz="0" w:space="0" w:color="auto"/>
                <w:bottom w:val="none" w:sz="0" w:space="0" w:color="auto"/>
                <w:right w:val="none" w:sz="0" w:space="0" w:color="auto"/>
              </w:divBdr>
              <w:divsChild>
                <w:div w:id="1520450">
                  <w:marLeft w:val="0"/>
                  <w:marRight w:val="0"/>
                  <w:marTop w:val="0"/>
                  <w:marBottom w:val="0"/>
                  <w:divBdr>
                    <w:top w:val="none" w:sz="0" w:space="0" w:color="auto"/>
                    <w:left w:val="none" w:sz="0" w:space="0" w:color="auto"/>
                    <w:bottom w:val="none" w:sz="0" w:space="0" w:color="auto"/>
                    <w:right w:val="none" w:sz="0" w:space="0" w:color="auto"/>
                  </w:divBdr>
                  <w:divsChild>
                    <w:div w:id="717775709">
                      <w:marLeft w:val="0"/>
                      <w:marRight w:val="0"/>
                      <w:marTop w:val="0"/>
                      <w:marBottom w:val="0"/>
                      <w:divBdr>
                        <w:top w:val="none" w:sz="0" w:space="0" w:color="auto"/>
                        <w:left w:val="none" w:sz="0" w:space="0" w:color="auto"/>
                        <w:bottom w:val="none" w:sz="0" w:space="0" w:color="auto"/>
                        <w:right w:val="none" w:sz="0" w:space="0" w:color="auto"/>
                      </w:divBdr>
                    </w:div>
                  </w:divsChild>
                </w:div>
                <w:div w:id="2168921">
                  <w:marLeft w:val="0"/>
                  <w:marRight w:val="0"/>
                  <w:marTop w:val="0"/>
                  <w:marBottom w:val="0"/>
                  <w:divBdr>
                    <w:top w:val="none" w:sz="0" w:space="0" w:color="auto"/>
                    <w:left w:val="none" w:sz="0" w:space="0" w:color="auto"/>
                    <w:bottom w:val="none" w:sz="0" w:space="0" w:color="auto"/>
                    <w:right w:val="none" w:sz="0" w:space="0" w:color="auto"/>
                  </w:divBdr>
                  <w:divsChild>
                    <w:div w:id="267155081">
                      <w:marLeft w:val="0"/>
                      <w:marRight w:val="0"/>
                      <w:marTop w:val="0"/>
                      <w:marBottom w:val="0"/>
                      <w:divBdr>
                        <w:top w:val="none" w:sz="0" w:space="0" w:color="auto"/>
                        <w:left w:val="none" w:sz="0" w:space="0" w:color="auto"/>
                        <w:bottom w:val="none" w:sz="0" w:space="0" w:color="auto"/>
                        <w:right w:val="none" w:sz="0" w:space="0" w:color="auto"/>
                      </w:divBdr>
                    </w:div>
                  </w:divsChild>
                </w:div>
                <w:div w:id="7558993">
                  <w:marLeft w:val="0"/>
                  <w:marRight w:val="0"/>
                  <w:marTop w:val="0"/>
                  <w:marBottom w:val="0"/>
                  <w:divBdr>
                    <w:top w:val="none" w:sz="0" w:space="0" w:color="auto"/>
                    <w:left w:val="none" w:sz="0" w:space="0" w:color="auto"/>
                    <w:bottom w:val="none" w:sz="0" w:space="0" w:color="auto"/>
                    <w:right w:val="none" w:sz="0" w:space="0" w:color="auto"/>
                  </w:divBdr>
                  <w:divsChild>
                    <w:div w:id="1870407936">
                      <w:marLeft w:val="0"/>
                      <w:marRight w:val="0"/>
                      <w:marTop w:val="0"/>
                      <w:marBottom w:val="0"/>
                      <w:divBdr>
                        <w:top w:val="none" w:sz="0" w:space="0" w:color="auto"/>
                        <w:left w:val="none" w:sz="0" w:space="0" w:color="auto"/>
                        <w:bottom w:val="none" w:sz="0" w:space="0" w:color="auto"/>
                        <w:right w:val="none" w:sz="0" w:space="0" w:color="auto"/>
                      </w:divBdr>
                    </w:div>
                  </w:divsChild>
                </w:div>
                <w:div w:id="9337197">
                  <w:marLeft w:val="0"/>
                  <w:marRight w:val="0"/>
                  <w:marTop w:val="0"/>
                  <w:marBottom w:val="0"/>
                  <w:divBdr>
                    <w:top w:val="none" w:sz="0" w:space="0" w:color="auto"/>
                    <w:left w:val="none" w:sz="0" w:space="0" w:color="auto"/>
                    <w:bottom w:val="none" w:sz="0" w:space="0" w:color="auto"/>
                    <w:right w:val="none" w:sz="0" w:space="0" w:color="auto"/>
                  </w:divBdr>
                  <w:divsChild>
                    <w:div w:id="308755900">
                      <w:marLeft w:val="0"/>
                      <w:marRight w:val="0"/>
                      <w:marTop w:val="0"/>
                      <w:marBottom w:val="0"/>
                      <w:divBdr>
                        <w:top w:val="none" w:sz="0" w:space="0" w:color="auto"/>
                        <w:left w:val="none" w:sz="0" w:space="0" w:color="auto"/>
                        <w:bottom w:val="none" w:sz="0" w:space="0" w:color="auto"/>
                        <w:right w:val="none" w:sz="0" w:space="0" w:color="auto"/>
                      </w:divBdr>
                    </w:div>
                  </w:divsChild>
                </w:div>
                <w:div w:id="10492719">
                  <w:marLeft w:val="0"/>
                  <w:marRight w:val="0"/>
                  <w:marTop w:val="0"/>
                  <w:marBottom w:val="0"/>
                  <w:divBdr>
                    <w:top w:val="none" w:sz="0" w:space="0" w:color="auto"/>
                    <w:left w:val="none" w:sz="0" w:space="0" w:color="auto"/>
                    <w:bottom w:val="none" w:sz="0" w:space="0" w:color="auto"/>
                    <w:right w:val="none" w:sz="0" w:space="0" w:color="auto"/>
                  </w:divBdr>
                  <w:divsChild>
                    <w:div w:id="1371296043">
                      <w:marLeft w:val="0"/>
                      <w:marRight w:val="0"/>
                      <w:marTop w:val="0"/>
                      <w:marBottom w:val="0"/>
                      <w:divBdr>
                        <w:top w:val="none" w:sz="0" w:space="0" w:color="auto"/>
                        <w:left w:val="none" w:sz="0" w:space="0" w:color="auto"/>
                        <w:bottom w:val="none" w:sz="0" w:space="0" w:color="auto"/>
                        <w:right w:val="none" w:sz="0" w:space="0" w:color="auto"/>
                      </w:divBdr>
                    </w:div>
                  </w:divsChild>
                </w:div>
                <w:div w:id="12074237">
                  <w:marLeft w:val="0"/>
                  <w:marRight w:val="0"/>
                  <w:marTop w:val="0"/>
                  <w:marBottom w:val="0"/>
                  <w:divBdr>
                    <w:top w:val="none" w:sz="0" w:space="0" w:color="auto"/>
                    <w:left w:val="none" w:sz="0" w:space="0" w:color="auto"/>
                    <w:bottom w:val="none" w:sz="0" w:space="0" w:color="auto"/>
                    <w:right w:val="none" w:sz="0" w:space="0" w:color="auto"/>
                  </w:divBdr>
                  <w:divsChild>
                    <w:div w:id="940839634">
                      <w:marLeft w:val="0"/>
                      <w:marRight w:val="0"/>
                      <w:marTop w:val="0"/>
                      <w:marBottom w:val="0"/>
                      <w:divBdr>
                        <w:top w:val="none" w:sz="0" w:space="0" w:color="auto"/>
                        <w:left w:val="none" w:sz="0" w:space="0" w:color="auto"/>
                        <w:bottom w:val="none" w:sz="0" w:space="0" w:color="auto"/>
                        <w:right w:val="none" w:sz="0" w:space="0" w:color="auto"/>
                      </w:divBdr>
                    </w:div>
                  </w:divsChild>
                </w:div>
                <w:div w:id="25255929">
                  <w:marLeft w:val="0"/>
                  <w:marRight w:val="0"/>
                  <w:marTop w:val="0"/>
                  <w:marBottom w:val="0"/>
                  <w:divBdr>
                    <w:top w:val="none" w:sz="0" w:space="0" w:color="auto"/>
                    <w:left w:val="none" w:sz="0" w:space="0" w:color="auto"/>
                    <w:bottom w:val="none" w:sz="0" w:space="0" w:color="auto"/>
                    <w:right w:val="none" w:sz="0" w:space="0" w:color="auto"/>
                  </w:divBdr>
                  <w:divsChild>
                    <w:div w:id="364912652">
                      <w:marLeft w:val="0"/>
                      <w:marRight w:val="0"/>
                      <w:marTop w:val="0"/>
                      <w:marBottom w:val="0"/>
                      <w:divBdr>
                        <w:top w:val="none" w:sz="0" w:space="0" w:color="auto"/>
                        <w:left w:val="none" w:sz="0" w:space="0" w:color="auto"/>
                        <w:bottom w:val="none" w:sz="0" w:space="0" w:color="auto"/>
                        <w:right w:val="none" w:sz="0" w:space="0" w:color="auto"/>
                      </w:divBdr>
                    </w:div>
                  </w:divsChild>
                </w:div>
                <w:div w:id="27801034">
                  <w:marLeft w:val="0"/>
                  <w:marRight w:val="0"/>
                  <w:marTop w:val="0"/>
                  <w:marBottom w:val="0"/>
                  <w:divBdr>
                    <w:top w:val="none" w:sz="0" w:space="0" w:color="auto"/>
                    <w:left w:val="none" w:sz="0" w:space="0" w:color="auto"/>
                    <w:bottom w:val="none" w:sz="0" w:space="0" w:color="auto"/>
                    <w:right w:val="none" w:sz="0" w:space="0" w:color="auto"/>
                  </w:divBdr>
                  <w:divsChild>
                    <w:div w:id="988217848">
                      <w:marLeft w:val="0"/>
                      <w:marRight w:val="0"/>
                      <w:marTop w:val="0"/>
                      <w:marBottom w:val="0"/>
                      <w:divBdr>
                        <w:top w:val="none" w:sz="0" w:space="0" w:color="auto"/>
                        <w:left w:val="none" w:sz="0" w:space="0" w:color="auto"/>
                        <w:bottom w:val="none" w:sz="0" w:space="0" w:color="auto"/>
                        <w:right w:val="none" w:sz="0" w:space="0" w:color="auto"/>
                      </w:divBdr>
                    </w:div>
                  </w:divsChild>
                </w:div>
                <w:div w:id="29961037">
                  <w:marLeft w:val="0"/>
                  <w:marRight w:val="0"/>
                  <w:marTop w:val="0"/>
                  <w:marBottom w:val="0"/>
                  <w:divBdr>
                    <w:top w:val="none" w:sz="0" w:space="0" w:color="auto"/>
                    <w:left w:val="none" w:sz="0" w:space="0" w:color="auto"/>
                    <w:bottom w:val="none" w:sz="0" w:space="0" w:color="auto"/>
                    <w:right w:val="none" w:sz="0" w:space="0" w:color="auto"/>
                  </w:divBdr>
                  <w:divsChild>
                    <w:div w:id="106631403">
                      <w:marLeft w:val="0"/>
                      <w:marRight w:val="0"/>
                      <w:marTop w:val="0"/>
                      <w:marBottom w:val="0"/>
                      <w:divBdr>
                        <w:top w:val="none" w:sz="0" w:space="0" w:color="auto"/>
                        <w:left w:val="none" w:sz="0" w:space="0" w:color="auto"/>
                        <w:bottom w:val="none" w:sz="0" w:space="0" w:color="auto"/>
                        <w:right w:val="none" w:sz="0" w:space="0" w:color="auto"/>
                      </w:divBdr>
                    </w:div>
                  </w:divsChild>
                </w:div>
                <w:div w:id="35929614">
                  <w:marLeft w:val="0"/>
                  <w:marRight w:val="0"/>
                  <w:marTop w:val="0"/>
                  <w:marBottom w:val="0"/>
                  <w:divBdr>
                    <w:top w:val="none" w:sz="0" w:space="0" w:color="auto"/>
                    <w:left w:val="none" w:sz="0" w:space="0" w:color="auto"/>
                    <w:bottom w:val="none" w:sz="0" w:space="0" w:color="auto"/>
                    <w:right w:val="none" w:sz="0" w:space="0" w:color="auto"/>
                  </w:divBdr>
                  <w:divsChild>
                    <w:div w:id="1804075318">
                      <w:marLeft w:val="0"/>
                      <w:marRight w:val="0"/>
                      <w:marTop w:val="0"/>
                      <w:marBottom w:val="0"/>
                      <w:divBdr>
                        <w:top w:val="none" w:sz="0" w:space="0" w:color="auto"/>
                        <w:left w:val="none" w:sz="0" w:space="0" w:color="auto"/>
                        <w:bottom w:val="none" w:sz="0" w:space="0" w:color="auto"/>
                        <w:right w:val="none" w:sz="0" w:space="0" w:color="auto"/>
                      </w:divBdr>
                    </w:div>
                  </w:divsChild>
                </w:div>
                <w:div w:id="36511996">
                  <w:marLeft w:val="0"/>
                  <w:marRight w:val="0"/>
                  <w:marTop w:val="0"/>
                  <w:marBottom w:val="0"/>
                  <w:divBdr>
                    <w:top w:val="none" w:sz="0" w:space="0" w:color="auto"/>
                    <w:left w:val="none" w:sz="0" w:space="0" w:color="auto"/>
                    <w:bottom w:val="none" w:sz="0" w:space="0" w:color="auto"/>
                    <w:right w:val="none" w:sz="0" w:space="0" w:color="auto"/>
                  </w:divBdr>
                  <w:divsChild>
                    <w:div w:id="2082287823">
                      <w:marLeft w:val="0"/>
                      <w:marRight w:val="0"/>
                      <w:marTop w:val="0"/>
                      <w:marBottom w:val="0"/>
                      <w:divBdr>
                        <w:top w:val="none" w:sz="0" w:space="0" w:color="auto"/>
                        <w:left w:val="none" w:sz="0" w:space="0" w:color="auto"/>
                        <w:bottom w:val="none" w:sz="0" w:space="0" w:color="auto"/>
                        <w:right w:val="none" w:sz="0" w:space="0" w:color="auto"/>
                      </w:divBdr>
                    </w:div>
                  </w:divsChild>
                </w:div>
                <w:div w:id="37903656">
                  <w:marLeft w:val="0"/>
                  <w:marRight w:val="0"/>
                  <w:marTop w:val="0"/>
                  <w:marBottom w:val="0"/>
                  <w:divBdr>
                    <w:top w:val="none" w:sz="0" w:space="0" w:color="auto"/>
                    <w:left w:val="none" w:sz="0" w:space="0" w:color="auto"/>
                    <w:bottom w:val="none" w:sz="0" w:space="0" w:color="auto"/>
                    <w:right w:val="none" w:sz="0" w:space="0" w:color="auto"/>
                  </w:divBdr>
                  <w:divsChild>
                    <w:div w:id="681711174">
                      <w:marLeft w:val="0"/>
                      <w:marRight w:val="0"/>
                      <w:marTop w:val="0"/>
                      <w:marBottom w:val="0"/>
                      <w:divBdr>
                        <w:top w:val="none" w:sz="0" w:space="0" w:color="auto"/>
                        <w:left w:val="none" w:sz="0" w:space="0" w:color="auto"/>
                        <w:bottom w:val="none" w:sz="0" w:space="0" w:color="auto"/>
                        <w:right w:val="none" w:sz="0" w:space="0" w:color="auto"/>
                      </w:divBdr>
                    </w:div>
                  </w:divsChild>
                </w:div>
                <w:div w:id="44568598">
                  <w:marLeft w:val="0"/>
                  <w:marRight w:val="0"/>
                  <w:marTop w:val="0"/>
                  <w:marBottom w:val="0"/>
                  <w:divBdr>
                    <w:top w:val="none" w:sz="0" w:space="0" w:color="auto"/>
                    <w:left w:val="none" w:sz="0" w:space="0" w:color="auto"/>
                    <w:bottom w:val="none" w:sz="0" w:space="0" w:color="auto"/>
                    <w:right w:val="none" w:sz="0" w:space="0" w:color="auto"/>
                  </w:divBdr>
                  <w:divsChild>
                    <w:div w:id="627056679">
                      <w:marLeft w:val="0"/>
                      <w:marRight w:val="0"/>
                      <w:marTop w:val="0"/>
                      <w:marBottom w:val="0"/>
                      <w:divBdr>
                        <w:top w:val="none" w:sz="0" w:space="0" w:color="auto"/>
                        <w:left w:val="none" w:sz="0" w:space="0" w:color="auto"/>
                        <w:bottom w:val="none" w:sz="0" w:space="0" w:color="auto"/>
                        <w:right w:val="none" w:sz="0" w:space="0" w:color="auto"/>
                      </w:divBdr>
                    </w:div>
                  </w:divsChild>
                </w:div>
                <w:div w:id="69623003">
                  <w:marLeft w:val="0"/>
                  <w:marRight w:val="0"/>
                  <w:marTop w:val="0"/>
                  <w:marBottom w:val="0"/>
                  <w:divBdr>
                    <w:top w:val="none" w:sz="0" w:space="0" w:color="auto"/>
                    <w:left w:val="none" w:sz="0" w:space="0" w:color="auto"/>
                    <w:bottom w:val="none" w:sz="0" w:space="0" w:color="auto"/>
                    <w:right w:val="none" w:sz="0" w:space="0" w:color="auto"/>
                  </w:divBdr>
                  <w:divsChild>
                    <w:div w:id="472675039">
                      <w:marLeft w:val="0"/>
                      <w:marRight w:val="0"/>
                      <w:marTop w:val="0"/>
                      <w:marBottom w:val="0"/>
                      <w:divBdr>
                        <w:top w:val="none" w:sz="0" w:space="0" w:color="auto"/>
                        <w:left w:val="none" w:sz="0" w:space="0" w:color="auto"/>
                        <w:bottom w:val="none" w:sz="0" w:space="0" w:color="auto"/>
                        <w:right w:val="none" w:sz="0" w:space="0" w:color="auto"/>
                      </w:divBdr>
                    </w:div>
                  </w:divsChild>
                </w:div>
                <w:div w:id="85614025">
                  <w:marLeft w:val="0"/>
                  <w:marRight w:val="0"/>
                  <w:marTop w:val="0"/>
                  <w:marBottom w:val="0"/>
                  <w:divBdr>
                    <w:top w:val="none" w:sz="0" w:space="0" w:color="auto"/>
                    <w:left w:val="none" w:sz="0" w:space="0" w:color="auto"/>
                    <w:bottom w:val="none" w:sz="0" w:space="0" w:color="auto"/>
                    <w:right w:val="none" w:sz="0" w:space="0" w:color="auto"/>
                  </w:divBdr>
                  <w:divsChild>
                    <w:div w:id="1454904004">
                      <w:marLeft w:val="0"/>
                      <w:marRight w:val="0"/>
                      <w:marTop w:val="0"/>
                      <w:marBottom w:val="0"/>
                      <w:divBdr>
                        <w:top w:val="none" w:sz="0" w:space="0" w:color="auto"/>
                        <w:left w:val="none" w:sz="0" w:space="0" w:color="auto"/>
                        <w:bottom w:val="none" w:sz="0" w:space="0" w:color="auto"/>
                        <w:right w:val="none" w:sz="0" w:space="0" w:color="auto"/>
                      </w:divBdr>
                    </w:div>
                  </w:divsChild>
                </w:div>
                <w:div w:id="89326313">
                  <w:marLeft w:val="0"/>
                  <w:marRight w:val="0"/>
                  <w:marTop w:val="0"/>
                  <w:marBottom w:val="0"/>
                  <w:divBdr>
                    <w:top w:val="none" w:sz="0" w:space="0" w:color="auto"/>
                    <w:left w:val="none" w:sz="0" w:space="0" w:color="auto"/>
                    <w:bottom w:val="none" w:sz="0" w:space="0" w:color="auto"/>
                    <w:right w:val="none" w:sz="0" w:space="0" w:color="auto"/>
                  </w:divBdr>
                  <w:divsChild>
                    <w:div w:id="2093970050">
                      <w:marLeft w:val="0"/>
                      <w:marRight w:val="0"/>
                      <w:marTop w:val="0"/>
                      <w:marBottom w:val="0"/>
                      <w:divBdr>
                        <w:top w:val="none" w:sz="0" w:space="0" w:color="auto"/>
                        <w:left w:val="none" w:sz="0" w:space="0" w:color="auto"/>
                        <w:bottom w:val="none" w:sz="0" w:space="0" w:color="auto"/>
                        <w:right w:val="none" w:sz="0" w:space="0" w:color="auto"/>
                      </w:divBdr>
                    </w:div>
                  </w:divsChild>
                </w:div>
                <w:div w:id="89351795">
                  <w:marLeft w:val="0"/>
                  <w:marRight w:val="0"/>
                  <w:marTop w:val="0"/>
                  <w:marBottom w:val="0"/>
                  <w:divBdr>
                    <w:top w:val="none" w:sz="0" w:space="0" w:color="auto"/>
                    <w:left w:val="none" w:sz="0" w:space="0" w:color="auto"/>
                    <w:bottom w:val="none" w:sz="0" w:space="0" w:color="auto"/>
                    <w:right w:val="none" w:sz="0" w:space="0" w:color="auto"/>
                  </w:divBdr>
                  <w:divsChild>
                    <w:div w:id="943004127">
                      <w:marLeft w:val="0"/>
                      <w:marRight w:val="0"/>
                      <w:marTop w:val="0"/>
                      <w:marBottom w:val="0"/>
                      <w:divBdr>
                        <w:top w:val="none" w:sz="0" w:space="0" w:color="auto"/>
                        <w:left w:val="none" w:sz="0" w:space="0" w:color="auto"/>
                        <w:bottom w:val="none" w:sz="0" w:space="0" w:color="auto"/>
                        <w:right w:val="none" w:sz="0" w:space="0" w:color="auto"/>
                      </w:divBdr>
                    </w:div>
                  </w:divsChild>
                </w:div>
                <w:div w:id="104663353">
                  <w:marLeft w:val="0"/>
                  <w:marRight w:val="0"/>
                  <w:marTop w:val="0"/>
                  <w:marBottom w:val="0"/>
                  <w:divBdr>
                    <w:top w:val="none" w:sz="0" w:space="0" w:color="auto"/>
                    <w:left w:val="none" w:sz="0" w:space="0" w:color="auto"/>
                    <w:bottom w:val="none" w:sz="0" w:space="0" w:color="auto"/>
                    <w:right w:val="none" w:sz="0" w:space="0" w:color="auto"/>
                  </w:divBdr>
                  <w:divsChild>
                    <w:div w:id="790517860">
                      <w:marLeft w:val="0"/>
                      <w:marRight w:val="0"/>
                      <w:marTop w:val="0"/>
                      <w:marBottom w:val="0"/>
                      <w:divBdr>
                        <w:top w:val="none" w:sz="0" w:space="0" w:color="auto"/>
                        <w:left w:val="none" w:sz="0" w:space="0" w:color="auto"/>
                        <w:bottom w:val="none" w:sz="0" w:space="0" w:color="auto"/>
                        <w:right w:val="none" w:sz="0" w:space="0" w:color="auto"/>
                      </w:divBdr>
                    </w:div>
                  </w:divsChild>
                </w:div>
                <w:div w:id="135803075">
                  <w:marLeft w:val="0"/>
                  <w:marRight w:val="0"/>
                  <w:marTop w:val="0"/>
                  <w:marBottom w:val="0"/>
                  <w:divBdr>
                    <w:top w:val="none" w:sz="0" w:space="0" w:color="auto"/>
                    <w:left w:val="none" w:sz="0" w:space="0" w:color="auto"/>
                    <w:bottom w:val="none" w:sz="0" w:space="0" w:color="auto"/>
                    <w:right w:val="none" w:sz="0" w:space="0" w:color="auto"/>
                  </w:divBdr>
                  <w:divsChild>
                    <w:div w:id="1952514151">
                      <w:marLeft w:val="0"/>
                      <w:marRight w:val="0"/>
                      <w:marTop w:val="0"/>
                      <w:marBottom w:val="0"/>
                      <w:divBdr>
                        <w:top w:val="none" w:sz="0" w:space="0" w:color="auto"/>
                        <w:left w:val="none" w:sz="0" w:space="0" w:color="auto"/>
                        <w:bottom w:val="none" w:sz="0" w:space="0" w:color="auto"/>
                        <w:right w:val="none" w:sz="0" w:space="0" w:color="auto"/>
                      </w:divBdr>
                    </w:div>
                  </w:divsChild>
                </w:div>
                <w:div w:id="136848560">
                  <w:marLeft w:val="0"/>
                  <w:marRight w:val="0"/>
                  <w:marTop w:val="0"/>
                  <w:marBottom w:val="0"/>
                  <w:divBdr>
                    <w:top w:val="none" w:sz="0" w:space="0" w:color="auto"/>
                    <w:left w:val="none" w:sz="0" w:space="0" w:color="auto"/>
                    <w:bottom w:val="none" w:sz="0" w:space="0" w:color="auto"/>
                    <w:right w:val="none" w:sz="0" w:space="0" w:color="auto"/>
                  </w:divBdr>
                  <w:divsChild>
                    <w:div w:id="509411842">
                      <w:marLeft w:val="0"/>
                      <w:marRight w:val="0"/>
                      <w:marTop w:val="0"/>
                      <w:marBottom w:val="0"/>
                      <w:divBdr>
                        <w:top w:val="none" w:sz="0" w:space="0" w:color="auto"/>
                        <w:left w:val="none" w:sz="0" w:space="0" w:color="auto"/>
                        <w:bottom w:val="none" w:sz="0" w:space="0" w:color="auto"/>
                        <w:right w:val="none" w:sz="0" w:space="0" w:color="auto"/>
                      </w:divBdr>
                    </w:div>
                  </w:divsChild>
                </w:div>
                <w:div w:id="138690434">
                  <w:marLeft w:val="0"/>
                  <w:marRight w:val="0"/>
                  <w:marTop w:val="0"/>
                  <w:marBottom w:val="0"/>
                  <w:divBdr>
                    <w:top w:val="none" w:sz="0" w:space="0" w:color="auto"/>
                    <w:left w:val="none" w:sz="0" w:space="0" w:color="auto"/>
                    <w:bottom w:val="none" w:sz="0" w:space="0" w:color="auto"/>
                    <w:right w:val="none" w:sz="0" w:space="0" w:color="auto"/>
                  </w:divBdr>
                  <w:divsChild>
                    <w:div w:id="1919748150">
                      <w:marLeft w:val="0"/>
                      <w:marRight w:val="0"/>
                      <w:marTop w:val="0"/>
                      <w:marBottom w:val="0"/>
                      <w:divBdr>
                        <w:top w:val="none" w:sz="0" w:space="0" w:color="auto"/>
                        <w:left w:val="none" w:sz="0" w:space="0" w:color="auto"/>
                        <w:bottom w:val="none" w:sz="0" w:space="0" w:color="auto"/>
                        <w:right w:val="none" w:sz="0" w:space="0" w:color="auto"/>
                      </w:divBdr>
                    </w:div>
                  </w:divsChild>
                </w:div>
                <w:div w:id="148055280">
                  <w:marLeft w:val="0"/>
                  <w:marRight w:val="0"/>
                  <w:marTop w:val="0"/>
                  <w:marBottom w:val="0"/>
                  <w:divBdr>
                    <w:top w:val="none" w:sz="0" w:space="0" w:color="auto"/>
                    <w:left w:val="none" w:sz="0" w:space="0" w:color="auto"/>
                    <w:bottom w:val="none" w:sz="0" w:space="0" w:color="auto"/>
                    <w:right w:val="none" w:sz="0" w:space="0" w:color="auto"/>
                  </w:divBdr>
                  <w:divsChild>
                    <w:div w:id="1293512098">
                      <w:marLeft w:val="0"/>
                      <w:marRight w:val="0"/>
                      <w:marTop w:val="0"/>
                      <w:marBottom w:val="0"/>
                      <w:divBdr>
                        <w:top w:val="none" w:sz="0" w:space="0" w:color="auto"/>
                        <w:left w:val="none" w:sz="0" w:space="0" w:color="auto"/>
                        <w:bottom w:val="none" w:sz="0" w:space="0" w:color="auto"/>
                        <w:right w:val="none" w:sz="0" w:space="0" w:color="auto"/>
                      </w:divBdr>
                    </w:div>
                  </w:divsChild>
                </w:div>
                <w:div w:id="149715943">
                  <w:marLeft w:val="0"/>
                  <w:marRight w:val="0"/>
                  <w:marTop w:val="0"/>
                  <w:marBottom w:val="0"/>
                  <w:divBdr>
                    <w:top w:val="none" w:sz="0" w:space="0" w:color="auto"/>
                    <w:left w:val="none" w:sz="0" w:space="0" w:color="auto"/>
                    <w:bottom w:val="none" w:sz="0" w:space="0" w:color="auto"/>
                    <w:right w:val="none" w:sz="0" w:space="0" w:color="auto"/>
                  </w:divBdr>
                  <w:divsChild>
                    <w:div w:id="1022322902">
                      <w:marLeft w:val="0"/>
                      <w:marRight w:val="0"/>
                      <w:marTop w:val="0"/>
                      <w:marBottom w:val="0"/>
                      <w:divBdr>
                        <w:top w:val="none" w:sz="0" w:space="0" w:color="auto"/>
                        <w:left w:val="none" w:sz="0" w:space="0" w:color="auto"/>
                        <w:bottom w:val="none" w:sz="0" w:space="0" w:color="auto"/>
                        <w:right w:val="none" w:sz="0" w:space="0" w:color="auto"/>
                      </w:divBdr>
                    </w:div>
                  </w:divsChild>
                </w:div>
                <w:div w:id="151020754">
                  <w:marLeft w:val="0"/>
                  <w:marRight w:val="0"/>
                  <w:marTop w:val="0"/>
                  <w:marBottom w:val="0"/>
                  <w:divBdr>
                    <w:top w:val="none" w:sz="0" w:space="0" w:color="auto"/>
                    <w:left w:val="none" w:sz="0" w:space="0" w:color="auto"/>
                    <w:bottom w:val="none" w:sz="0" w:space="0" w:color="auto"/>
                    <w:right w:val="none" w:sz="0" w:space="0" w:color="auto"/>
                  </w:divBdr>
                  <w:divsChild>
                    <w:div w:id="1147092156">
                      <w:marLeft w:val="0"/>
                      <w:marRight w:val="0"/>
                      <w:marTop w:val="0"/>
                      <w:marBottom w:val="0"/>
                      <w:divBdr>
                        <w:top w:val="none" w:sz="0" w:space="0" w:color="auto"/>
                        <w:left w:val="none" w:sz="0" w:space="0" w:color="auto"/>
                        <w:bottom w:val="none" w:sz="0" w:space="0" w:color="auto"/>
                        <w:right w:val="none" w:sz="0" w:space="0" w:color="auto"/>
                      </w:divBdr>
                    </w:div>
                  </w:divsChild>
                </w:div>
                <w:div w:id="164976578">
                  <w:marLeft w:val="0"/>
                  <w:marRight w:val="0"/>
                  <w:marTop w:val="0"/>
                  <w:marBottom w:val="0"/>
                  <w:divBdr>
                    <w:top w:val="none" w:sz="0" w:space="0" w:color="auto"/>
                    <w:left w:val="none" w:sz="0" w:space="0" w:color="auto"/>
                    <w:bottom w:val="none" w:sz="0" w:space="0" w:color="auto"/>
                    <w:right w:val="none" w:sz="0" w:space="0" w:color="auto"/>
                  </w:divBdr>
                  <w:divsChild>
                    <w:div w:id="1407073194">
                      <w:marLeft w:val="0"/>
                      <w:marRight w:val="0"/>
                      <w:marTop w:val="0"/>
                      <w:marBottom w:val="0"/>
                      <w:divBdr>
                        <w:top w:val="none" w:sz="0" w:space="0" w:color="auto"/>
                        <w:left w:val="none" w:sz="0" w:space="0" w:color="auto"/>
                        <w:bottom w:val="none" w:sz="0" w:space="0" w:color="auto"/>
                        <w:right w:val="none" w:sz="0" w:space="0" w:color="auto"/>
                      </w:divBdr>
                    </w:div>
                  </w:divsChild>
                </w:div>
                <w:div w:id="165824896">
                  <w:marLeft w:val="0"/>
                  <w:marRight w:val="0"/>
                  <w:marTop w:val="0"/>
                  <w:marBottom w:val="0"/>
                  <w:divBdr>
                    <w:top w:val="none" w:sz="0" w:space="0" w:color="auto"/>
                    <w:left w:val="none" w:sz="0" w:space="0" w:color="auto"/>
                    <w:bottom w:val="none" w:sz="0" w:space="0" w:color="auto"/>
                    <w:right w:val="none" w:sz="0" w:space="0" w:color="auto"/>
                  </w:divBdr>
                  <w:divsChild>
                    <w:div w:id="293029519">
                      <w:marLeft w:val="0"/>
                      <w:marRight w:val="0"/>
                      <w:marTop w:val="0"/>
                      <w:marBottom w:val="0"/>
                      <w:divBdr>
                        <w:top w:val="none" w:sz="0" w:space="0" w:color="auto"/>
                        <w:left w:val="none" w:sz="0" w:space="0" w:color="auto"/>
                        <w:bottom w:val="none" w:sz="0" w:space="0" w:color="auto"/>
                        <w:right w:val="none" w:sz="0" w:space="0" w:color="auto"/>
                      </w:divBdr>
                    </w:div>
                  </w:divsChild>
                </w:div>
                <w:div w:id="171650961">
                  <w:marLeft w:val="0"/>
                  <w:marRight w:val="0"/>
                  <w:marTop w:val="0"/>
                  <w:marBottom w:val="0"/>
                  <w:divBdr>
                    <w:top w:val="none" w:sz="0" w:space="0" w:color="auto"/>
                    <w:left w:val="none" w:sz="0" w:space="0" w:color="auto"/>
                    <w:bottom w:val="none" w:sz="0" w:space="0" w:color="auto"/>
                    <w:right w:val="none" w:sz="0" w:space="0" w:color="auto"/>
                  </w:divBdr>
                  <w:divsChild>
                    <w:div w:id="1550335254">
                      <w:marLeft w:val="0"/>
                      <w:marRight w:val="0"/>
                      <w:marTop w:val="0"/>
                      <w:marBottom w:val="0"/>
                      <w:divBdr>
                        <w:top w:val="none" w:sz="0" w:space="0" w:color="auto"/>
                        <w:left w:val="none" w:sz="0" w:space="0" w:color="auto"/>
                        <w:bottom w:val="none" w:sz="0" w:space="0" w:color="auto"/>
                        <w:right w:val="none" w:sz="0" w:space="0" w:color="auto"/>
                      </w:divBdr>
                    </w:div>
                  </w:divsChild>
                </w:div>
                <w:div w:id="173690712">
                  <w:marLeft w:val="0"/>
                  <w:marRight w:val="0"/>
                  <w:marTop w:val="0"/>
                  <w:marBottom w:val="0"/>
                  <w:divBdr>
                    <w:top w:val="none" w:sz="0" w:space="0" w:color="auto"/>
                    <w:left w:val="none" w:sz="0" w:space="0" w:color="auto"/>
                    <w:bottom w:val="none" w:sz="0" w:space="0" w:color="auto"/>
                    <w:right w:val="none" w:sz="0" w:space="0" w:color="auto"/>
                  </w:divBdr>
                  <w:divsChild>
                    <w:div w:id="268270841">
                      <w:marLeft w:val="0"/>
                      <w:marRight w:val="0"/>
                      <w:marTop w:val="0"/>
                      <w:marBottom w:val="0"/>
                      <w:divBdr>
                        <w:top w:val="none" w:sz="0" w:space="0" w:color="auto"/>
                        <w:left w:val="none" w:sz="0" w:space="0" w:color="auto"/>
                        <w:bottom w:val="none" w:sz="0" w:space="0" w:color="auto"/>
                        <w:right w:val="none" w:sz="0" w:space="0" w:color="auto"/>
                      </w:divBdr>
                    </w:div>
                  </w:divsChild>
                </w:div>
                <w:div w:id="184251283">
                  <w:marLeft w:val="0"/>
                  <w:marRight w:val="0"/>
                  <w:marTop w:val="0"/>
                  <w:marBottom w:val="0"/>
                  <w:divBdr>
                    <w:top w:val="none" w:sz="0" w:space="0" w:color="auto"/>
                    <w:left w:val="none" w:sz="0" w:space="0" w:color="auto"/>
                    <w:bottom w:val="none" w:sz="0" w:space="0" w:color="auto"/>
                    <w:right w:val="none" w:sz="0" w:space="0" w:color="auto"/>
                  </w:divBdr>
                  <w:divsChild>
                    <w:div w:id="292444877">
                      <w:marLeft w:val="0"/>
                      <w:marRight w:val="0"/>
                      <w:marTop w:val="0"/>
                      <w:marBottom w:val="0"/>
                      <w:divBdr>
                        <w:top w:val="none" w:sz="0" w:space="0" w:color="auto"/>
                        <w:left w:val="none" w:sz="0" w:space="0" w:color="auto"/>
                        <w:bottom w:val="none" w:sz="0" w:space="0" w:color="auto"/>
                        <w:right w:val="none" w:sz="0" w:space="0" w:color="auto"/>
                      </w:divBdr>
                    </w:div>
                  </w:divsChild>
                </w:div>
                <w:div w:id="189951827">
                  <w:marLeft w:val="0"/>
                  <w:marRight w:val="0"/>
                  <w:marTop w:val="0"/>
                  <w:marBottom w:val="0"/>
                  <w:divBdr>
                    <w:top w:val="none" w:sz="0" w:space="0" w:color="auto"/>
                    <w:left w:val="none" w:sz="0" w:space="0" w:color="auto"/>
                    <w:bottom w:val="none" w:sz="0" w:space="0" w:color="auto"/>
                    <w:right w:val="none" w:sz="0" w:space="0" w:color="auto"/>
                  </w:divBdr>
                  <w:divsChild>
                    <w:div w:id="928077770">
                      <w:marLeft w:val="0"/>
                      <w:marRight w:val="0"/>
                      <w:marTop w:val="0"/>
                      <w:marBottom w:val="0"/>
                      <w:divBdr>
                        <w:top w:val="none" w:sz="0" w:space="0" w:color="auto"/>
                        <w:left w:val="none" w:sz="0" w:space="0" w:color="auto"/>
                        <w:bottom w:val="none" w:sz="0" w:space="0" w:color="auto"/>
                        <w:right w:val="none" w:sz="0" w:space="0" w:color="auto"/>
                      </w:divBdr>
                    </w:div>
                  </w:divsChild>
                </w:div>
                <w:div w:id="192043164">
                  <w:marLeft w:val="0"/>
                  <w:marRight w:val="0"/>
                  <w:marTop w:val="0"/>
                  <w:marBottom w:val="0"/>
                  <w:divBdr>
                    <w:top w:val="none" w:sz="0" w:space="0" w:color="auto"/>
                    <w:left w:val="none" w:sz="0" w:space="0" w:color="auto"/>
                    <w:bottom w:val="none" w:sz="0" w:space="0" w:color="auto"/>
                    <w:right w:val="none" w:sz="0" w:space="0" w:color="auto"/>
                  </w:divBdr>
                  <w:divsChild>
                    <w:div w:id="592518977">
                      <w:marLeft w:val="0"/>
                      <w:marRight w:val="0"/>
                      <w:marTop w:val="0"/>
                      <w:marBottom w:val="0"/>
                      <w:divBdr>
                        <w:top w:val="none" w:sz="0" w:space="0" w:color="auto"/>
                        <w:left w:val="none" w:sz="0" w:space="0" w:color="auto"/>
                        <w:bottom w:val="none" w:sz="0" w:space="0" w:color="auto"/>
                        <w:right w:val="none" w:sz="0" w:space="0" w:color="auto"/>
                      </w:divBdr>
                    </w:div>
                  </w:divsChild>
                </w:div>
                <w:div w:id="198510846">
                  <w:marLeft w:val="0"/>
                  <w:marRight w:val="0"/>
                  <w:marTop w:val="0"/>
                  <w:marBottom w:val="0"/>
                  <w:divBdr>
                    <w:top w:val="none" w:sz="0" w:space="0" w:color="auto"/>
                    <w:left w:val="none" w:sz="0" w:space="0" w:color="auto"/>
                    <w:bottom w:val="none" w:sz="0" w:space="0" w:color="auto"/>
                    <w:right w:val="none" w:sz="0" w:space="0" w:color="auto"/>
                  </w:divBdr>
                  <w:divsChild>
                    <w:div w:id="1473979702">
                      <w:marLeft w:val="0"/>
                      <w:marRight w:val="0"/>
                      <w:marTop w:val="0"/>
                      <w:marBottom w:val="0"/>
                      <w:divBdr>
                        <w:top w:val="none" w:sz="0" w:space="0" w:color="auto"/>
                        <w:left w:val="none" w:sz="0" w:space="0" w:color="auto"/>
                        <w:bottom w:val="none" w:sz="0" w:space="0" w:color="auto"/>
                        <w:right w:val="none" w:sz="0" w:space="0" w:color="auto"/>
                      </w:divBdr>
                    </w:div>
                  </w:divsChild>
                </w:div>
                <w:div w:id="201094362">
                  <w:marLeft w:val="0"/>
                  <w:marRight w:val="0"/>
                  <w:marTop w:val="0"/>
                  <w:marBottom w:val="0"/>
                  <w:divBdr>
                    <w:top w:val="none" w:sz="0" w:space="0" w:color="auto"/>
                    <w:left w:val="none" w:sz="0" w:space="0" w:color="auto"/>
                    <w:bottom w:val="none" w:sz="0" w:space="0" w:color="auto"/>
                    <w:right w:val="none" w:sz="0" w:space="0" w:color="auto"/>
                  </w:divBdr>
                  <w:divsChild>
                    <w:div w:id="409623652">
                      <w:marLeft w:val="0"/>
                      <w:marRight w:val="0"/>
                      <w:marTop w:val="0"/>
                      <w:marBottom w:val="0"/>
                      <w:divBdr>
                        <w:top w:val="none" w:sz="0" w:space="0" w:color="auto"/>
                        <w:left w:val="none" w:sz="0" w:space="0" w:color="auto"/>
                        <w:bottom w:val="none" w:sz="0" w:space="0" w:color="auto"/>
                        <w:right w:val="none" w:sz="0" w:space="0" w:color="auto"/>
                      </w:divBdr>
                    </w:div>
                  </w:divsChild>
                </w:div>
                <w:div w:id="224414344">
                  <w:marLeft w:val="0"/>
                  <w:marRight w:val="0"/>
                  <w:marTop w:val="0"/>
                  <w:marBottom w:val="0"/>
                  <w:divBdr>
                    <w:top w:val="none" w:sz="0" w:space="0" w:color="auto"/>
                    <w:left w:val="none" w:sz="0" w:space="0" w:color="auto"/>
                    <w:bottom w:val="none" w:sz="0" w:space="0" w:color="auto"/>
                    <w:right w:val="none" w:sz="0" w:space="0" w:color="auto"/>
                  </w:divBdr>
                  <w:divsChild>
                    <w:div w:id="55907310">
                      <w:marLeft w:val="0"/>
                      <w:marRight w:val="0"/>
                      <w:marTop w:val="0"/>
                      <w:marBottom w:val="0"/>
                      <w:divBdr>
                        <w:top w:val="none" w:sz="0" w:space="0" w:color="auto"/>
                        <w:left w:val="none" w:sz="0" w:space="0" w:color="auto"/>
                        <w:bottom w:val="none" w:sz="0" w:space="0" w:color="auto"/>
                        <w:right w:val="none" w:sz="0" w:space="0" w:color="auto"/>
                      </w:divBdr>
                    </w:div>
                  </w:divsChild>
                </w:div>
                <w:div w:id="224724876">
                  <w:marLeft w:val="0"/>
                  <w:marRight w:val="0"/>
                  <w:marTop w:val="0"/>
                  <w:marBottom w:val="0"/>
                  <w:divBdr>
                    <w:top w:val="none" w:sz="0" w:space="0" w:color="auto"/>
                    <w:left w:val="none" w:sz="0" w:space="0" w:color="auto"/>
                    <w:bottom w:val="none" w:sz="0" w:space="0" w:color="auto"/>
                    <w:right w:val="none" w:sz="0" w:space="0" w:color="auto"/>
                  </w:divBdr>
                  <w:divsChild>
                    <w:div w:id="1968117935">
                      <w:marLeft w:val="0"/>
                      <w:marRight w:val="0"/>
                      <w:marTop w:val="0"/>
                      <w:marBottom w:val="0"/>
                      <w:divBdr>
                        <w:top w:val="none" w:sz="0" w:space="0" w:color="auto"/>
                        <w:left w:val="none" w:sz="0" w:space="0" w:color="auto"/>
                        <w:bottom w:val="none" w:sz="0" w:space="0" w:color="auto"/>
                        <w:right w:val="none" w:sz="0" w:space="0" w:color="auto"/>
                      </w:divBdr>
                    </w:div>
                  </w:divsChild>
                </w:div>
                <w:div w:id="237206481">
                  <w:marLeft w:val="0"/>
                  <w:marRight w:val="0"/>
                  <w:marTop w:val="0"/>
                  <w:marBottom w:val="0"/>
                  <w:divBdr>
                    <w:top w:val="none" w:sz="0" w:space="0" w:color="auto"/>
                    <w:left w:val="none" w:sz="0" w:space="0" w:color="auto"/>
                    <w:bottom w:val="none" w:sz="0" w:space="0" w:color="auto"/>
                    <w:right w:val="none" w:sz="0" w:space="0" w:color="auto"/>
                  </w:divBdr>
                  <w:divsChild>
                    <w:div w:id="941915789">
                      <w:marLeft w:val="0"/>
                      <w:marRight w:val="0"/>
                      <w:marTop w:val="0"/>
                      <w:marBottom w:val="0"/>
                      <w:divBdr>
                        <w:top w:val="none" w:sz="0" w:space="0" w:color="auto"/>
                        <w:left w:val="none" w:sz="0" w:space="0" w:color="auto"/>
                        <w:bottom w:val="none" w:sz="0" w:space="0" w:color="auto"/>
                        <w:right w:val="none" w:sz="0" w:space="0" w:color="auto"/>
                      </w:divBdr>
                    </w:div>
                  </w:divsChild>
                </w:div>
                <w:div w:id="243732008">
                  <w:marLeft w:val="0"/>
                  <w:marRight w:val="0"/>
                  <w:marTop w:val="0"/>
                  <w:marBottom w:val="0"/>
                  <w:divBdr>
                    <w:top w:val="none" w:sz="0" w:space="0" w:color="auto"/>
                    <w:left w:val="none" w:sz="0" w:space="0" w:color="auto"/>
                    <w:bottom w:val="none" w:sz="0" w:space="0" w:color="auto"/>
                    <w:right w:val="none" w:sz="0" w:space="0" w:color="auto"/>
                  </w:divBdr>
                  <w:divsChild>
                    <w:div w:id="1017733831">
                      <w:marLeft w:val="0"/>
                      <w:marRight w:val="0"/>
                      <w:marTop w:val="0"/>
                      <w:marBottom w:val="0"/>
                      <w:divBdr>
                        <w:top w:val="none" w:sz="0" w:space="0" w:color="auto"/>
                        <w:left w:val="none" w:sz="0" w:space="0" w:color="auto"/>
                        <w:bottom w:val="none" w:sz="0" w:space="0" w:color="auto"/>
                        <w:right w:val="none" w:sz="0" w:space="0" w:color="auto"/>
                      </w:divBdr>
                    </w:div>
                  </w:divsChild>
                </w:div>
                <w:div w:id="257834447">
                  <w:marLeft w:val="0"/>
                  <w:marRight w:val="0"/>
                  <w:marTop w:val="0"/>
                  <w:marBottom w:val="0"/>
                  <w:divBdr>
                    <w:top w:val="none" w:sz="0" w:space="0" w:color="auto"/>
                    <w:left w:val="none" w:sz="0" w:space="0" w:color="auto"/>
                    <w:bottom w:val="none" w:sz="0" w:space="0" w:color="auto"/>
                    <w:right w:val="none" w:sz="0" w:space="0" w:color="auto"/>
                  </w:divBdr>
                  <w:divsChild>
                    <w:div w:id="1365595396">
                      <w:marLeft w:val="0"/>
                      <w:marRight w:val="0"/>
                      <w:marTop w:val="0"/>
                      <w:marBottom w:val="0"/>
                      <w:divBdr>
                        <w:top w:val="none" w:sz="0" w:space="0" w:color="auto"/>
                        <w:left w:val="none" w:sz="0" w:space="0" w:color="auto"/>
                        <w:bottom w:val="none" w:sz="0" w:space="0" w:color="auto"/>
                        <w:right w:val="none" w:sz="0" w:space="0" w:color="auto"/>
                      </w:divBdr>
                    </w:div>
                  </w:divsChild>
                </w:div>
                <w:div w:id="271282753">
                  <w:marLeft w:val="0"/>
                  <w:marRight w:val="0"/>
                  <w:marTop w:val="0"/>
                  <w:marBottom w:val="0"/>
                  <w:divBdr>
                    <w:top w:val="none" w:sz="0" w:space="0" w:color="auto"/>
                    <w:left w:val="none" w:sz="0" w:space="0" w:color="auto"/>
                    <w:bottom w:val="none" w:sz="0" w:space="0" w:color="auto"/>
                    <w:right w:val="none" w:sz="0" w:space="0" w:color="auto"/>
                  </w:divBdr>
                  <w:divsChild>
                    <w:div w:id="1186098110">
                      <w:marLeft w:val="0"/>
                      <w:marRight w:val="0"/>
                      <w:marTop w:val="0"/>
                      <w:marBottom w:val="0"/>
                      <w:divBdr>
                        <w:top w:val="none" w:sz="0" w:space="0" w:color="auto"/>
                        <w:left w:val="none" w:sz="0" w:space="0" w:color="auto"/>
                        <w:bottom w:val="none" w:sz="0" w:space="0" w:color="auto"/>
                        <w:right w:val="none" w:sz="0" w:space="0" w:color="auto"/>
                      </w:divBdr>
                    </w:div>
                  </w:divsChild>
                </w:div>
                <w:div w:id="281763951">
                  <w:marLeft w:val="0"/>
                  <w:marRight w:val="0"/>
                  <w:marTop w:val="0"/>
                  <w:marBottom w:val="0"/>
                  <w:divBdr>
                    <w:top w:val="none" w:sz="0" w:space="0" w:color="auto"/>
                    <w:left w:val="none" w:sz="0" w:space="0" w:color="auto"/>
                    <w:bottom w:val="none" w:sz="0" w:space="0" w:color="auto"/>
                    <w:right w:val="none" w:sz="0" w:space="0" w:color="auto"/>
                  </w:divBdr>
                  <w:divsChild>
                    <w:div w:id="1566456159">
                      <w:marLeft w:val="0"/>
                      <w:marRight w:val="0"/>
                      <w:marTop w:val="0"/>
                      <w:marBottom w:val="0"/>
                      <w:divBdr>
                        <w:top w:val="none" w:sz="0" w:space="0" w:color="auto"/>
                        <w:left w:val="none" w:sz="0" w:space="0" w:color="auto"/>
                        <w:bottom w:val="none" w:sz="0" w:space="0" w:color="auto"/>
                        <w:right w:val="none" w:sz="0" w:space="0" w:color="auto"/>
                      </w:divBdr>
                    </w:div>
                  </w:divsChild>
                </w:div>
                <w:div w:id="286666754">
                  <w:marLeft w:val="0"/>
                  <w:marRight w:val="0"/>
                  <w:marTop w:val="0"/>
                  <w:marBottom w:val="0"/>
                  <w:divBdr>
                    <w:top w:val="none" w:sz="0" w:space="0" w:color="auto"/>
                    <w:left w:val="none" w:sz="0" w:space="0" w:color="auto"/>
                    <w:bottom w:val="none" w:sz="0" w:space="0" w:color="auto"/>
                    <w:right w:val="none" w:sz="0" w:space="0" w:color="auto"/>
                  </w:divBdr>
                  <w:divsChild>
                    <w:div w:id="1326514396">
                      <w:marLeft w:val="0"/>
                      <w:marRight w:val="0"/>
                      <w:marTop w:val="0"/>
                      <w:marBottom w:val="0"/>
                      <w:divBdr>
                        <w:top w:val="none" w:sz="0" w:space="0" w:color="auto"/>
                        <w:left w:val="none" w:sz="0" w:space="0" w:color="auto"/>
                        <w:bottom w:val="none" w:sz="0" w:space="0" w:color="auto"/>
                        <w:right w:val="none" w:sz="0" w:space="0" w:color="auto"/>
                      </w:divBdr>
                    </w:div>
                  </w:divsChild>
                </w:div>
                <w:div w:id="287856839">
                  <w:marLeft w:val="0"/>
                  <w:marRight w:val="0"/>
                  <w:marTop w:val="0"/>
                  <w:marBottom w:val="0"/>
                  <w:divBdr>
                    <w:top w:val="none" w:sz="0" w:space="0" w:color="auto"/>
                    <w:left w:val="none" w:sz="0" w:space="0" w:color="auto"/>
                    <w:bottom w:val="none" w:sz="0" w:space="0" w:color="auto"/>
                    <w:right w:val="none" w:sz="0" w:space="0" w:color="auto"/>
                  </w:divBdr>
                  <w:divsChild>
                    <w:div w:id="1132096673">
                      <w:marLeft w:val="0"/>
                      <w:marRight w:val="0"/>
                      <w:marTop w:val="0"/>
                      <w:marBottom w:val="0"/>
                      <w:divBdr>
                        <w:top w:val="none" w:sz="0" w:space="0" w:color="auto"/>
                        <w:left w:val="none" w:sz="0" w:space="0" w:color="auto"/>
                        <w:bottom w:val="none" w:sz="0" w:space="0" w:color="auto"/>
                        <w:right w:val="none" w:sz="0" w:space="0" w:color="auto"/>
                      </w:divBdr>
                    </w:div>
                  </w:divsChild>
                </w:div>
                <w:div w:id="288824453">
                  <w:marLeft w:val="0"/>
                  <w:marRight w:val="0"/>
                  <w:marTop w:val="0"/>
                  <w:marBottom w:val="0"/>
                  <w:divBdr>
                    <w:top w:val="none" w:sz="0" w:space="0" w:color="auto"/>
                    <w:left w:val="none" w:sz="0" w:space="0" w:color="auto"/>
                    <w:bottom w:val="none" w:sz="0" w:space="0" w:color="auto"/>
                    <w:right w:val="none" w:sz="0" w:space="0" w:color="auto"/>
                  </w:divBdr>
                  <w:divsChild>
                    <w:div w:id="1102071877">
                      <w:marLeft w:val="0"/>
                      <w:marRight w:val="0"/>
                      <w:marTop w:val="0"/>
                      <w:marBottom w:val="0"/>
                      <w:divBdr>
                        <w:top w:val="none" w:sz="0" w:space="0" w:color="auto"/>
                        <w:left w:val="none" w:sz="0" w:space="0" w:color="auto"/>
                        <w:bottom w:val="none" w:sz="0" w:space="0" w:color="auto"/>
                        <w:right w:val="none" w:sz="0" w:space="0" w:color="auto"/>
                      </w:divBdr>
                    </w:div>
                  </w:divsChild>
                </w:div>
                <w:div w:id="291714971">
                  <w:marLeft w:val="0"/>
                  <w:marRight w:val="0"/>
                  <w:marTop w:val="0"/>
                  <w:marBottom w:val="0"/>
                  <w:divBdr>
                    <w:top w:val="none" w:sz="0" w:space="0" w:color="auto"/>
                    <w:left w:val="none" w:sz="0" w:space="0" w:color="auto"/>
                    <w:bottom w:val="none" w:sz="0" w:space="0" w:color="auto"/>
                    <w:right w:val="none" w:sz="0" w:space="0" w:color="auto"/>
                  </w:divBdr>
                  <w:divsChild>
                    <w:div w:id="2080908444">
                      <w:marLeft w:val="0"/>
                      <w:marRight w:val="0"/>
                      <w:marTop w:val="0"/>
                      <w:marBottom w:val="0"/>
                      <w:divBdr>
                        <w:top w:val="none" w:sz="0" w:space="0" w:color="auto"/>
                        <w:left w:val="none" w:sz="0" w:space="0" w:color="auto"/>
                        <w:bottom w:val="none" w:sz="0" w:space="0" w:color="auto"/>
                        <w:right w:val="none" w:sz="0" w:space="0" w:color="auto"/>
                      </w:divBdr>
                    </w:div>
                  </w:divsChild>
                </w:div>
                <w:div w:id="305162447">
                  <w:marLeft w:val="0"/>
                  <w:marRight w:val="0"/>
                  <w:marTop w:val="0"/>
                  <w:marBottom w:val="0"/>
                  <w:divBdr>
                    <w:top w:val="none" w:sz="0" w:space="0" w:color="auto"/>
                    <w:left w:val="none" w:sz="0" w:space="0" w:color="auto"/>
                    <w:bottom w:val="none" w:sz="0" w:space="0" w:color="auto"/>
                    <w:right w:val="none" w:sz="0" w:space="0" w:color="auto"/>
                  </w:divBdr>
                  <w:divsChild>
                    <w:div w:id="1867988463">
                      <w:marLeft w:val="0"/>
                      <w:marRight w:val="0"/>
                      <w:marTop w:val="0"/>
                      <w:marBottom w:val="0"/>
                      <w:divBdr>
                        <w:top w:val="none" w:sz="0" w:space="0" w:color="auto"/>
                        <w:left w:val="none" w:sz="0" w:space="0" w:color="auto"/>
                        <w:bottom w:val="none" w:sz="0" w:space="0" w:color="auto"/>
                        <w:right w:val="none" w:sz="0" w:space="0" w:color="auto"/>
                      </w:divBdr>
                    </w:div>
                  </w:divsChild>
                </w:div>
                <w:div w:id="311567491">
                  <w:marLeft w:val="0"/>
                  <w:marRight w:val="0"/>
                  <w:marTop w:val="0"/>
                  <w:marBottom w:val="0"/>
                  <w:divBdr>
                    <w:top w:val="none" w:sz="0" w:space="0" w:color="auto"/>
                    <w:left w:val="none" w:sz="0" w:space="0" w:color="auto"/>
                    <w:bottom w:val="none" w:sz="0" w:space="0" w:color="auto"/>
                    <w:right w:val="none" w:sz="0" w:space="0" w:color="auto"/>
                  </w:divBdr>
                  <w:divsChild>
                    <w:div w:id="1673602798">
                      <w:marLeft w:val="0"/>
                      <w:marRight w:val="0"/>
                      <w:marTop w:val="0"/>
                      <w:marBottom w:val="0"/>
                      <w:divBdr>
                        <w:top w:val="none" w:sz="0" w:space="0" w:color="auto"/>
                        <w:left w:val="none" w:sz="0" w:space="0" w:color="auto"/>
                        <w:bottom w:val="none" w:sz="0" w:space="0" w:color="auto"/>
                        <w:right w:val="none" w:sz="0" w:space="0" w:color="auto"/>
                      </w:divBdr>
                    </w:div>
                  </w:divsChild>
                </w:div>
                <w:div w:id="322776715">
                  <w:marLeft w:val="0"/>
                  <w:marRight w:val="0"/>
                  <w:marTop w:val="0"/>
                  <w:marBottom w:val="0"/>
                  <w:divBdr>
                    <w:top w:val="none" w:sz="0" w:space="0" w:color="auto"/>
                    <w:left w:val="none" w:sz="0" w:space="0" w:color="auto"/>
                    <w:bottom w:val="none" w:sz="0" w:space="0" w:color="auto"/>
                    <w:right w:val="none" w:sz="0" w:space="0" w:color="auto"/>
                  </w:divBdr>
                  <w:divsChild>
                    <w:div w:id="183784538">
                      <w:marLeft w:val="0"/>
                      <w:marRight w:val="0"/>
                      <w:marTop w:val="0"/>
                      <w:marBottom w:val="0"/>
                      <w:divBdr>
                        <w:top w:val="none" w:sz="0" w:space="0" w:color="auto"/>
                        <w:left w:val="none" w:sz="0" w:space="0" w:color="auto"/>
                        <w:bottom w:val="none" w:sz="0" w:space="0" w:color="auto"/>
                        <w:right w:val="none" w:sz="0" w:space="0" w:color="auto"/>
                      </w:divBdr>
                    </w:div>
                    <w:div w:id="557977818">
                      <w:marLeft w:val="0"/>
                      <w:marRight w:val="0"/>
                      <w:marTop w:val="0"/>
                      <w:marBottom w:val="0"/>
                      <w:divBdr>
                        <w:top w:val="none" w:sz="0" w:space="0" w:color="auto"/>
                        <w:left w:val="none" w:sz="0" w:space="0" w:color="auto"/>
                        <w:bottom w:val="none" w:sz="0" w:space="0" w:color="auto"/>
                        <w:right w:val="none" w:sz="0" w:space="0" w:color="auto"/>
                      </w:divBdr>
                    </w:div>
                    <w:div w:id="1282111857">
                      <w:marLeft w:val="0"/>
                      <w:marRight w:val="0"/>
                      <w:marTop w:val="0"/>
                      <w:marBottom w:val="0"/>
                      <w:divBdr>
                        <w:top w:val="none" w:sz="0" w:space="0" w:color="auto"/>
                        <w:left w:val="none" w:sz="0" w:space="0" w:color="auto"/>
                        <w:bottom w:val="none" w:sz="0" w:space="0" w:color="auto"/>
                        <w:right w:val="none" w:sz="0" w:space="0" w:color="auto"/>
                      </w:divBdr>
                    </w:div>
                  </w:divsChild>
                </w:div>
                <w:div w:id="332149671">
                  <w:marLeft w:val="0"/>
                  <w:marRight w:val="0"/>
                  <w:marTop w:val="0"/>
                  <w:marBottom w:val="0"/>
                  <w:divBdr>
                    <w:top w:val="none" w:sz="0" w:space="0" w:color="auto"/>
                    <w:left w:val="none" w:sz="0" w:space="0" w:color="auto"/>
                    <w:bottom w:val="none" w:sz="0" w:space="0" w:color="auto"/>
                    <w:right w:val="none" w:sz="0" w:space="0" w:color="auto"/>
                  </w:divBdr>
                  <w:divsChild>
                    <w:div w:id="272980812">
                      <w:marLeft w:val="0"/>
                      <w:marRight w:val="0"/>
                      <w:marTop w:val="0"/>
                      <w:marBottom w:val="0"/>
                      <w:divBdr>
                        <w:top w:val="none" w:sz="0" w:space="0" w:color="auto"/>
                        <w:left w:val="none" w:sz="0" w:space="0" w:color="auto"/>
                        <w:bottom w:val="none" w:sz="0" w:space="0" w:color="auto"/>
                        <w:right w:val="none" w:sz="0" w:space="0" w:color="auto"/>
                      </w:divBdr>
                    </w:div>
                  </w:divsChild>
                </w:div>
                <w:div w:id="345642913">
                  <w:marLeft w:val="0"/>
                  <w:marRight w:val="0"/>
                  <w:marTop w:val="0"/>
                  <w:marBottom w:val="0"/>
                  <w:divBdr>
                    <w:top w:val="none" w:sz="0" w:space="0" w:color="auto"/>
                    <w:left w:val="none" w:sz="0" w:space="0" w:color="auto"/>
                    <w:bottom w:val="none" w:sz="0" w:space="0" w:color="auto"/>
                    <w:right w:val="none" w:sz="0" w:space="0" w:color="auto"/>
                  </w:divBdr>
                  <w:divsChild>
                    <w:div w:id="813762024">
                      <w:marLeft w:val="0"/>
                      <w:marRight w:val="0"/>
                      <w:marTop w:val="0"/>
                      <w:marBottom w:val="0"/>
                      <w:divBdr>
                        <w:top w:val="none" w:sz="0" w:space="0" w:color="auto"/>
                        <w:left w:val="none" w:sz="0" w:space="0" w:color="auto"/>
                        <w:bottom w:val="none" w:sz="0" w:space="0" w:color="auto"/>
                        <w:right w:val="none" w:sz="0" w:space="0" w:color="auto"/>
                      </w:divBdr>
                    </w:div>
                  </w:divsChild>
                </w:div>
                <w:div w:id="362705139">
                  <w:marLeft w:val="0"/>
                  <w:marRight w:val="0"/>
                  <w:marTop w:val="0"/>
                  <w:marBottom w:val="0"/>
                  <w:divBdr>
                    <w:top w:val="none" w:sz="0" w:space="0" w:color="auto"/>
                    <w:left w:val="none" w:sz="0" w:space="0" w:color="auto"/>
                    <w:bottom w:val="none" w:sz="0" w:space="0" w:color="auto"/>
                    <w:right w:val="none" w:sz="0" w:space="0" w:color="auto"/>
                  </w:divBdr>
                  <w:divsChild>
                    <w:div w:id="1184322897">
                      <w:marLeft w:val="0"/>
                      <w:marRight w:val="0"/>
                      <w:marTop w:val="0"/>
                      <w:marBottom w:val="0"/>
                      <w:divBdr>
                        <w:top w:val="none" w:sz="0" w:space="0" w:color="auto"/>
                        <w:left w:val="none" w:sz="0" w:space="0" w:color="auto"/>
                        <w:bottom w:val="none" w:sz="0" w:space="0" w:color="auto"/>
                        <w:right w:val="none" w:sz="0" w:space="0" w:color="auto"/>
                      </w:divBdr>
                    </w:div>
                  </w:divsChild>
                </w:div>
                <w:div w:id="369496195">
                  <w:marLeft w:val="0"/>
                  <w:marRight w:val="0"/>
                  <w:marTop w:val="0"/>
                  <w:marBottom w:val="0"/>
                  <w:divBdr>
                    <w:top w:val="none" w:sz="0" w:space="0" w:color="auto"/>
                    <w:left w:val="none" w:sz="0" w:space="0" w:color="auto"/>
                    <w:bottom w:val="none" w:sz="0" w:space="0" w:color="auto"/>
                    <w:right w:val="none" w:sz="0" w:space="0" w:color="auto"/>
                  </w:divBdr>
                  <w:divsChild>
                    <w:div w:id="279604529">
                      <w:marLeft w:val="0"/>
                      <w:marRight w:val="0"/>
                      <w:marTop w:val="0"/>
                      <w:marBottom w:val="0"/>
                      <w:divBdr>
                        <w:top w:val="none" w:sz="0" w:space="0" w:color="auto"/>
                        <w:left w:val="none" w:sz="0" w:space="0" w:color="auto"/>
                        <w:bottom w:val="none" w:sz="0" w:space="0" w:color="auto"/>
                        <w:right w:val="none" w:sz="0" w:space="0" w:color="auto"/>
                      </w:divBdr>
                    </w:div>
                  </w:divsChild>
                </w:div>
                <w:div w:id="369645148">
                  <w:marLeft w:val="0"/>
                  <w:marRight w:val="0"/>
                  <w:marTop w:val="0"/>
                  <w:marBottom w:val="0"/>
                  <w:divBdr>
                    <w:top w:val="none" w:sz="0" w:space="0" w:color="auto"/>
                    <w:left w:val="none" w:sz="0" w:space="0" w:color="auto"/>
                    <w:bottom w:val="none" w:sz="0" w:space="0" w:color="auto"/>
                    <w:right w:val="none" w:sz="0" w:space="0" w:color="auto"/>
                  </w:divBdr>
                  <w:divsChild>
                    <w:div w:id="1900825205">
                      <w:marLeft w:val="0"/>
                      <w:marRight w:val="0"/>
                      <w:marTop w:val="0"/>
                      <w:marBottom w:val="0"/>
                      <w:divBdr>
                        <w:top w:val="none" w:sz="0" w:space="0" w:color="auto"/>
                        <w:left w:val="none" w:sz="0" w:space="0" w:color="auto"/>
                        <w:bottom w:val="none" w:sz="0" w:space="0" w:color="auto"/>
                        <w:right w:val="none" w:sz="0" w:space="0" w:color="auto"/>
                      </w:divBdr>
                    </w:div>
                  </w:divsChild>
                </w:div>
                <w:div w:id="383607724">
                  <w:marLeft w:val="0"/>
                  <w:marRight w:val="0"/>
                  <w:marTop w:val="0"/>
                  <w:marBottom w:val="0"/>
                  <w:divBdr>
                    <w:top w:val="none" w:sz="0" w:space="0" w:color="auto"/>
                    <w:left w:val="none" w:sz="0" w:space="0" w:color="auto"/>
                    <w:bottom w:val="none" w:sz="0" w:space="0" w:color="auto"/>
                    <w:right w:val="none" w:sz="0" w:space="0" w:color="auto"/>
                  </w:divBdr>
                  <w:divsChild>
                    <w:div w:id="666250837">
                      <w:marLeft w:val="0"/>
                      <w:marRight w:val="0"/>
                      <w:marTop w:val="0"/>
                      <w:marBottom w:val="0"/>
                      <w:divBdr>
                        <w:top w:val="none" w:sz="0" w:space="0" w:color="auto"/>
                        <w:left w:val="none" w:sz="0" w:space="0" w:color="auto"/>
                        <w:bottom w:val="none" w:sz="0" w:space="0" w:color="auto"/>
                        <w:right w:val="none" w:sz="0" w:space="0" w:color="auto"/>
                      </w:divBdr>
                    </w:div>
                  </w:divsChild>
                </w:div>
                <w:div w:id="385952393">
                  <w:marLeft w:val="0"/>
                  <w:marRight w:val="0"/>
                  <w:marTop w:val="0"/>
                  <w:marBottom w:val="0"/>
                  <w:divBdr>
                    <w:top w:val="none" w:sz="0" w:space="0" w:color="auto"/>
                    <w:left w:val="none" w:sz="0" w:space="0" w:color="auto"/>
                    <w:bottom w:val="none" w:sz="0" w:space="0" w:color="auto"/>
                    <w:right w:val="none" w:sz="0" w:space="0" w:color="auto"/>
                  </w:divBdr>
                  <w:divsChild>
                    <w:div w:id="709764252">
                      <w:marLeft w:val="0"/>
                      <w:marRight w:val="0"/>
                      <w:marTop w:val="0"/>
                      <w:marBottom w:val="0"/>
                      <w:divBdr>
                        <w:top w:val="none" w:sz="0" w:space="0" w:color="auto"/>
                        <w:left w:val="none" w:sz="0" w:space="0" w:color="auto"/>
                        <w:bottom w:val="none" w:sz="0" w:space="0" w:color="auto"/>
                        <w:right w:val="none" w:sz="0" w:space="0" w:color="auto"/>
                      </w:divBdr>
                    </w:div>
                  </w:divsChild>
                </w:div>
                <w:div w:id="396512127">
                  <w:marLeft w:val="0"/>
                  <w:marRight w:val="0"/>
                  <w:marTop w:val="0"/>
                  <w:marBottom w:val="0"/>
                  <w:divBdr>
                    <w:top w:val="none" w:sz="0" w:space="0" w:color="auto"/>
                    <w:left w:val="none" w:sz="0" w:space="0" w:color="auto"/>
                    <w:bottom w:val="none" w:sz="0" w:space="0" w:color="auto"/>
                    <w:right w:val="none" w:sz="0" w:space="0" w:color="auto"/>
                  </w:divBdr>
                  <w:divsChild>
                    <w:div w:id="1120220391">
                      <w:marLeft w:val="0"/>
                      <w:marRight w:val="0"/>
                      <w:marTop w:val="0"/>
                      <w:marBottom w:val="0"/>
                      <w:divBdr>
                        <w:top w:val="none" w:sz="0" w:space="0" w:color="auto"/>
                        <w:left w:val="none" w:sz="0" w:space="0" w:color="auto"/>
                        <w:bottom w:val="none" w:sz="0" w:space="0" w:color="auto"/>
                        <w:right w:val="none" w:sz="0" w:space="0" w:color="auto"/>
                      </w:divBdr>
                    </w:div>
                  </w:divsChild>
                </w:div>
                <w:div w:id="412515071">
                  <w:marLeft w:val="0"/>
                  <w:marRight w:val="0"/>
                  <w:marTop w:val="0"/>
                  <w:marBottom w:val="0"/>
                  <w:divBdr>
                    <w:top w:val="none" w:sz="0" w:space="0" w:color="auto"/>
                    <w:left w:val="none" w:sz="0" w:space="0" w:color="auto"/>
                    <w:bottom w:val="none" w:sz="0" w:space="0" w:color="auto"/>
                    <w:right w:val="none" w:sz="0" w:space="0" w:color="auto"/>
                  </w:divBdr>
                  <w:divsChild>
                    <w:div w:id="448937829">
                      <w:marLeft w:val="0"/>
                      <w:marRight w:val="0"/>
                      <w:marTop w:val="0"/>
                      <w:marBottom w:val="0"/>
                      <w:divBdr>
                        <w:top w:val="none" w:sz="0" w:space="0" w:color="auto"/>
                        <w:left w:val="none" w:sz="0" w:space="0" w:color="auto"/>
                        <w:bottom w:val="none" w:sz="0" w:space="0" w:color="auto"/>
                        <w:right w:val="none" w:sz="0" w:space="0" w:color="auto"/>
                      </w:divBdr>
                    </w:div>
                  </w:divsChild>
                </w:div>
                <w:div w:id="416637661">
                  <w:marLeft w:val="0"/>
                  <w:marRight w:val="0"/>
                  <w:marTop w:val="0"/>
                  <w:marBottom w:val="0"/>
                  <w:divBdr>
                    <w:top w:val="none" w:sz="0" w:space="0" w:color="auto"/>
                    <w:left w:val="none" w:sz="0" w:space="0" w:color="auto"/>
                    <w:bottom w:val="none" w:sz="0" w:space="0" w:color="auto"/>
                    <w:right w:val="none" w:sz="0" w:space="0" w:color="auto"/>
                  </w:divBdr>
                  <w:divsChild>
                    <w:div w:id="2025352097">
                      <w:marLeft w:val="0"/>
                      <w:marRight w:val="0"/>
                      <w:marTop w:val="0"/>
                      <w:marBottom w:val="0"/>
                      <w:divBdr>
                        <w:top w:val="none" w:sz="0" w:space="0" w:color="auto"/>
                        <w:left w:val="none" w:sz="0" w:space="0" w:color="auto"/>
                        <w:bottom w:val="none" w:sz="0" w:space="0" w:color="auto"/>
                        <w:right w:val="none" w:sz="0" w:space="0" w:color="auto"/>
                      </w:divBdr>
                    </w:div>
                  </w:divsChild>
                </w:div>
                <w:div w:id="417947874">
                  <w:marLeft w:val="0"/>
                  <w:marRight w:val="0"/>
                  <w:marTop w:val="0"/>
                  <w:marBottom w:val="0"/>
                  <w:divBdr>
                    <w:top w:val="none" w:sz="0" w:space="0" w:color="auto"/>
                    <w:left w:val="none" w:sz="0" w:space="0" w:color="auto"/>
                    <w:bottom w:val="none" w:sz="0" w:space="0" w:color="auto"/>
                    <w:right w:val="none" w:sz="0" w:space="0" w:color="auto"/>
                  </w:divBdr>
                  <w:divsChild>
                    <w:div w:id="1178468559">
                      <w:marLeft w:val="0"/>
                      <w:marRight w:val="0"/>
                      <w:marTop w:val="0"/>
                      <w:marBottom w:val="0"/>
                      <w:divBdr>
                        <w:top w:val="none" w:sz="0" w:space="0" w:color="auto"/>
                        <w:left w:val="none" w:sz="0" w:space="0" w:color="auto"/>
                        <w:bottom w:val="none" w:sz="0" w:space="0" w:color="auto"/>
                        <w:right w:val="none" w:sz="0" w:space="0" w:color="auto"/>
                      </w:divBdr>
                    </w:div>
                  </w:divsChild>
                </w:div>
                <w:div w:id="423913758">
                  <w:marLeft w:val="0"/>
                  <w:marRight w:val="0"/>
                  <w:marTop w:val="0"/>
                  <w:marBottom w:val="0"/>
                  <w:divBdr>
                    <w:top w:val="none" w:sz="0" w:space="0" w:color="auto"/>
                    <w:left w:val="none" w:sz="0" w:space="0" w:color="auto"/>
                    <w:bottom w:val="none" w:sz="0" w:space="0" w:color="auto"/>
                    <w:right w:val="none" w:sz="0" w:space="0" w:color="auto"/>
                  </w:divBdr>
                  <w:divsChild>
                    <w:div w:id="1190409977">
                      <w:marLeft w:val="0"/>
                      <w:marRight w:val="0"/>
                      <w:marTop w:val="0"/>
                      <w:marBottom w:val="0"/>
                      <w:divBdr>
                        <w:top w:val="none" w:sz="0" w:space="0" w:color="auto"/>
                        <w:left w:val="none" w:sz="0" w:space="0" w:color="auto"/>
                        <w:bottom w:val="none" w:sz="0" w:space="0" w:color="auto"/>
                        <w:right w:val="none" w:sz="0" w:space="0" w:color="auto"/>
                      </w:divBdr>
                    </w:div>
                  </w:divsChild>
                </w:div>
                <w:div w:id="425424630">
                  <w:marLeft w:val="0"/>
                  <w:marRight w:val="0"/>
                  <w:marTop w:val="0"/>
                  <w:marBottom w:val="0"/>
                  <w:divBdr>
                    <w:top w:val="none" w:sz="0" w:space="0" w:color="auto"/>
                    <w:left w:val="none" w:sz="0" w:space="0" w:color="auto"/>
                    <w:bottom w:val="none" w:sz="0" w:space="0" w:color="auto"/>
                    <w:right w:val="none" w:sz="0" w:space="0" w:color="auto"/>
                  </w:divBdr>
                  <w:divsChild>
                    <w:div w:id="973438722">
                      <w:marLeft w:val="0"/>
                      <w:marRight w:val="0"/>
                      <w:marTop w:val="0"/>
                      <w:marBottom w:val="0"/>
                      <w:divBdr>
                        <w:top w:val="none" w:sz="0" w:space="0" w:color="auto"/>
                        <w:left w:val="none" w:sz="0" w:space="0" w:color="auto"/>
                        <w:bottom w:val="none" w:sz="0" w:space="0" w:color="auto"/>
                        <w:right w:val="none" w:sz="0" w:space="0" w:color="auto"/>
                      </w:divBdr>
                    </w:div>
                  </w:divsChild>
                </w:div>
                <w:div w:id="430976269">
                  <w:marLeft w:val="0"/>
                  <w:marRight w:val="0"/>
                  <w:marTop w:val="0"/>
                  <w:marBottom w:val="0"/>
                  <w:divBdr>
                    <w:top w:val="none" w:sz="0" w:space="0" w:color="auto"/>
                    <w:left w:val="none" w:sz="0" w:space="0" w:color="auto"/>
                    <w:bottom w:val="none" w:sz="0" w:space="0" w:color="auto"/>
                    <w:right w:val="none" w:sz="0" w:space="0" w:color="auto"/>
                  </w:divBdr>
                  <w:divsChild>
                    <w:div w:id="2120760512">
                      <w:marLeft w:val="0"/>
                      <w:marRight w:val="0"/>
                      <w:marTop w:val="0"/>
                      <w:marBottom w:val="0"/>
                      <w:divBdr>
                        <w:top w:val="none" w:sz="0" w:space="0" w:color="auto"/>
                        <w:left w:val="none" w:sz="0" w:space="0" w:color="auto"/>
                        <w:bottom w:val="none" w:sz="0" w:space="0" w:color="auto"/>
                        <w:right w:val="none" w:sz="0" w:space="0" w:color="auto"/>
                      </w:divBdr>
                    </w:div>
                  </w:divsChild>
                </w:div>
                <w:div w:id="435448409">
                  <w:marLeft w:val="0"/>
                  <w:marRight w:val="0"/>
                  <w:marTop w:val="0"/>
                  <w:marBottom w:val="0"/>
                  <w:divBdr>
                    <w:top w:val="none" w:sz="0" w:space="0" w:color="auto"/>
                    <w:left w:val="none" w:sz="0" w:space="0" w:color="auto"/>
                    <w:bottom w:val="none" w:sz="0" w:space="0" w:color="auto"/>
                    <w:right w:val="none" w:sz="0" w:space="0" w:color="auto"/>
                  </w:divBdr>
                  <w:divsChild>
                    <w:div w:id="605043473">
                      <w:marLeft w:val="0"/>
                      <w:marRight w:val="0"/>
                      <w:marTop w:val="0"/>
                      <w:marBottom w:val="0"/>
                      <w:divBdr>
                        <w:top w:val="none" w:sz="0" w:space="0" w:color="auto"/>
                        <w:left w:val="none" w:sz="0" w:space="0" w:color="auto"/>
                        <w:bottom w:val="none" w:sz="0" w:space="0" w:color="auto"/>
                        <w:right w:val="none" w:sz="0" w:space="0" w:color="auto"/>
                      </w:divBdr>
                    </w:div>
                  </w:divsChild>
                </w:div>
                <w:div w:id="437607166">
                  <w:marLeft w:val="0"/>
                  <w:marRight w:val="0"/>
                  <w:marTop w:val="0"/>
                  <w:marBottom w:val="0"/>
                  <w:divBdr>
                    <w:top w:val="none" w:sz="0" w:space="0" w:color="auto"/>
                    <w:left w:val="none" w:sz="0" w:space="0" w:color="auto"/>
                    <w:bottom w:val="none" w:sz="0" w:space="0" w:color="auto"/>
                    <w:right w:val="none" w:sz="0" w:space="0" w:color="auto"/>
                  </w:divBdr>
                  <w:divsChild>
                    <w:div w:id="1935547708">
                      <w:marLeft w:val="0"/>
                      <w:marRight w:val="0"/>
                      <w:marTop w:val="0"/>
                      <w:marBottom w:val="0"/>
                      <w:divBdr>
                        <w:top w:val="none" w:sz="0" w:space="0" w:color="auto"/>
                        <w:left w:val="none" w:sz="0" w:space="0" w:color="auto"/>
                        <w:bottom w:val="none" w:sz="0" w:space="0" w:color="auto"/>
                        <w:right w:val="none" w:sz="0" w:space="0" w:color="auto"/>
                      </w:divBdr>
                    </w:div>
                  </w:divsChild>
                </w:div>
                <w:div w:id="438723458">
                  <w:marLeft w:val="0"/>
                  <w:marRight w:val="0"/>
                  <w:marTop w:val="0"/>
                  <w:marBottom w:val="0"/>
                  <w:divBdr>
                    <w:top w:val="none" w:sz="0" w:space="0" w:color="auto"/>
                    <w:left w:val="none" w:sz="0" w:space="0" w:color="auto"/>
                    <w:bottom w:val="none" w:sz="0" w:space="0" w:color="auto"/>
                    <w:right w:val="none" w:sz="0" w:space="0" w:color="auto"/>
                  </w:divBdr>
                  <w:divsChild>
                    <w:div w:id="1275556072">
                      <w:marLeft w:val="0"/>
                      <w:marRight w:val="0"/>
                      <w:marTop w:val="0"/>
                      <w:marBottom w:val="0"/>
                      <w:divBdr>
                        <w:top w:val="none" w:sz="0" w:space="0" w:color="auto"/>
                        <w:left w:val="none" w:sz="0" w:space="0" w:color="auto"/>
                        <w:bottom w:val="none" w:sz="0" w:space="0" w:color="auto"/>
                        <w:right w:val="none" w:sz="0" w:space="0" w:color="auto"/>
                      </w:divBdr>
                    </w:div>
                  </w:divsChild>
                </w:div>
                <w:div w:id="445080784">
                  <w:marLeft w:val="0"/>
                  <w:marRight w:val="0"/>
                  <w:marTop w:val="0"/>
                  <w:marBottom w:val="0"/>
                  <w:divBdr>
                    <w:top w:val="none" w:sz="0" w:space="0" w:color="auto"/>
                    <w:left w:val="none" w:sz="0" w:space="0" w:color="auto"/>
                    <w:bottom w:val="none" w:sz="0" w:space="0" w:color="auto"/>
                    <w:right w:val="none" w:sz="0" w:space="0" w:color="auto"/>
                  </w:divBdr>
                  <w:divsChild>
                    <w:div w:id="178004231">
                      <w:marLeft w:val="0"/>
                      <w:marRight w:val="0"/>
                      <w:marTop w:val="0"/>
                      <w:marBottom w:val="0"/>
                      <w:divBdr>
                        <w:top w:val="none" w:sz="0" w:space="0" w:color="auto"/>
                        <w:left w:val="none" w:sz="0" w:space="0" w:color="auto"/>
                        <w:bottom w:val="none" w:sz="0" w:space="0" w:color="auto"/>
                        <w:right w:val="none" w:sz="0" w:space="0" w:color="auto"/>
                      </w:divBdr>
                    </w:div>
                  </w:divsChild>
                </w:div>
                <w:div w:id="462577213">
                  <w:marLeft w:val="0"/>
                  <w:marRight w:val="0"/>
                  <w:marTop w:val="0"/>
                  <w:marBottom w:val="0"/>
                  <w:divBdr>
                    <w:top w:val="none" w:sz="0" w:space="0" w:color="auto"/>
                    <w:left w:val="none" w:sz="0" w:space="0" w:color="auto"/>
                    <w:bottom w:val="none" w:sz="0" w:space="0" w:color="auto"/>
                    <w:right w:val="none" w:sz="0" w:space="0" w:color="auto"/>
                  </w:divBdr>
                  <w:divsChild>
                    <w:div w:id="598685644">
                      <w:marLeft w:val="0"/>
                      <w:marRight w:val="0"/>
                      <w:marTop w:val="0"/>
                      <w:marBottom w:val="0"/>
                      <w:divBdr>
                        <w:top w:val="none" w:sz="0" w:space="0" w:color="auto"/>
                        <w:left w:val="none" w:sz="0" w:space="0" w:color="auto"/>
                        <w:bottom w:val="none" w:sz="0" w:space="0" w:color="auto"/>
                        <w:right w:val="none" w:sz="0" w:space="0" w:color="auto"/>
                      </w:divBdr>
                    </w:div>
                  </w:divsChild>
                </w:div>
                <w:div w:id="466972456">
                  <w:marLeft w:val="0"/>
                  <w:marRight w:val="0"/>
                  <w:marTop w:val="0"/>
                  <w:marBottom w:val="0"/>
                  <w:divBdr>
                    <w:top w:val="none" w:sz="0" w:space="0" w:color="auto"/>
                    <w:left w:val="none" w:sz="0" w:space="0" w:color="auto"/>
                    <w:bottom w:val="none" w:sz="0" w:space="0" w:color="auto"/>
                    <w:right w:val="none" w:sz="0" w:space="0" w:color="auto"/>
                  </w:divBdr>
                  <w:divsChild>
                    <w:div w:id="1242520843">
                      <w:marLeft w:val="0"/>
                      <w:marRight w:val="0"/>
                      <w:marTop w:val="0"/>
                      <w:marBottom w:val="0"/>
                      <w:divBdr>
                        <w:top w:val="none" w:sz="0" w:space="0" w:color="auto"/>
                        <w:left w:val="none" w:sz="0" w:space="0" w:color="auto"/>
                        <w:bottom w:val="none" w:sz="0" w:space="0" w:color="auto"/>
                        <w:right w:val="none" w:sz="0" w:space="0" w:color="auto"/>
                      </w:divBdr>
                    </w:div>
                  </w:divsChild>
                </w:div>
                <w:div w:id="479736002">
                  <w:marLeft w:val="0"/>
                  <w:marRight w:val="0"/>
                  <w:marTop w:val="0"/>
                  <w:marBottom w:val="0"/>
                  <w:divBdr>
                    <w:top w:val="none" w:sz="0" w:space="0" w:color="auto"/>
                    <w:left w:val="none" w:sz="0" w:space="0" w:color="auto"/>
                    <w:bottom w:val="none" w:sz="0" w:space="0" w:color="auto"/>
                    <w:right w:val="none" w:sz="0" w:space="0" w:color="auto"/>
                  </w:divBdr>
                  <w:divsChild>
                    <w:div w:id="51083483">
                      <w:marLeft w:val="0"/>
                      <w:marRight w:val="0"/>
                      <w:marTop w:val="0"/>
                      <w:marBottom w:val="0"/>
                      <w:divBdr>
                        <w:top w:val="none" w:sz="0" w:space="0" w:color="auto"/>
                        <w:left w:val="none" w:sz="0" w:space="0" w:color="auto"/>
                        <w:bottom w:val="none" w:sz="0" w:space="0" w:color="auto"/>
                        <w:right w:val="none" w:sz="0" w:space="0" w:color="auto"/>
                      </w:divBdr>
                    </w:div>
                  </w:divsChild>
                </w:div>
                <w:div w:id="482086684">
                  <w:marLeft w:val="0"/>
                  <w:marRight w:val="0"/>
                  <w:marTop w:val="0"/>
                  <w:marBottom w:val="0"/>
                  <w:divBdr>
                    <w:top w:val="none" w:sz="0" w:space="0" w:color="auto"/>
                    <w:left w:val="none" w:sz="0" w:space="0" w:color="auto"/>
                    <w:bottom w:val="none" w:sz="0" w:space="0" w:color="auto"/>
                    <w:right w:val="none" w:sz="0" w:space="0" w:color="auto"/>
                  </w:divBdr>
                  <w:divsChild>
                    <w:div w:id="1875345027">
                      <w:marLeft w:val="0"/>
                      <w:marRight w:val="0"/>
                      <w:marTop w:val="0"/>
                      <w:marBottom w:val="0"/>
                      <w:divBdr>
                        <w:top w:val="none" w:sz="0" w:space="0" w:color="auto"/>
                        <w:left w:val="none" w:sz="0" w:space="0" w:color="auto"/>
                        <w:bottom w:val="none" w:sz="0" w:space="0" w:color="auto"/>
                        <w:right w:val="none" w:sz="0" w:space="0" w:color="auto"/>
                      </w:divBdr>
                    </w:div>
                  </w:divsChild>
                </w:div>
                <w:div w:id="483816649">
                  <w:marLeft w:val="0"/>
                  <w:marRight w:val="0"/>
                  <w:marTop w:val="0"/>
                  <w:marBottom w:val="0"/>
                  <w:divBdr>
                    <w:top w:val="none" w:sz="0" w:space="0" w:color="auto"/>
                    <w:left w:val="none" w:sz="0" w:space="0" w:color="auto"/>
                    <w:bottom w:val="none" w:sz="0" w:space="0" w:color="auto"/>
                    <w:right w:val="none" w:sz="0" w:space="0" w:color="auto"/>
                  </w:divBdr>
                  <w:divsChild>
                    <w:div w:id="1091776606">
                      <w:marLeft w:val="0"/>
                      <w:marRight w:val="0"/>
                      <w:marTop w:val="0"/>
                      <w:marBottom w:val="0"/>
                      <w:divBdr>
                        <w:top w:val="none" w:sz="0" w:space="0" w:color="auto"/>
                        <w:left w:val="none" w:sz="0" w:space="0" w:color="auto"/>
                        <w:bottom w:val="none" w:sz="0" w:space="0" w:color="auto"/>
                        <w:right w:val="none" w:sz="0" w:space="0" w:color="auto"/>
                      </w:divBdr>
                    </w:div>
                  </w:divsChild>
                </w:div>
                <w:div w:id="495800076">
                  <w:marLeft w:val="0"/>
                  <w:marRight w:val="0"/>
                  <w:marTop w:val="0"/>
                  <w:marBottom w:val="0"/>
                  <w:divBdr>
                    <w:top w:val="none" w:sz="0" w:space="0" w:color="auto"/>
                    <w:left w:val="none" w:sz="0" w:space="0" w:color="auto"/>
                    <w:bottom w:val="none" w:sz="0" w:space="0" w:color="auto"/>
                    <w:right w:val="none" w:sz="0" w:space="0" w:color="auto"/>
                  </w:divBdr>
                  <w:divsChild>
                    <w:div w:id="333457328">
                      <w:marLeft w:val="0"/>
                      <w:marRight w:val="0"/>
                      <w:marTop w:val="0"/>
                      <w:marBottom w:val="0"/>
                      <w:divBdr>
                        <w:top w:val="none" w:sz="0" w:space="0" w:color="auto"/>
                        <w:left w:val="none" w:sz="0" w:space="0" w:color="auto"/>
                        <w:bottom w:val="none" w:sz="0" w:space="0" w:color="auto"/>
                        <w:right w:val="none" w:sz="0" w:space="0" w:color="auto"/>
                      </w:divBdr>
                    </w:div>
                  </w:divsChild>
                </w:div>
                <w:div w:id="497697527">
                  <w:marLeft w:val="0"/>
                  <w:marRight w:val="0"/>
                  <w:marTop w:val="0"/>
                  <w:marBottom w:val="0"/>
                  <w:divBdr>
                    <w:top w:val="none" w:sz="0" w:space="0" w:color="auto"/>
                    <w:left w:val="none" w:sz="0" w:space="0" w:color="auto"/>
                    <w:bottom w:val="none" w:sz="0" w:space="0" w:color="auto"/>
                    <w:right w:val="none" w:sz="0" w:space="0" w:color="auto"/>
                  </w:divBdr>
                  <w:divsChild>
                    <w:div w:id="639264432">
                      <w:marLeft w:val="0"/>
                      <w:marRight w:val="0"/>
                      <w:marTop w:val="0"/>
                      <w:marBottom w:val="0"/>
                      <w:divBdr>
                        <w:top w:val="none" w:sz="0" w:space="0" w:color="auto"/>
                        <w:left w:val="none" w:sz="0" w:space="0" w:color="auto"/>
                        <w:bottom w:val="none" w:sz="0" w:space="0" w:color="auto"/>
                        <w:right w:val="none" w:sz="0" w:space="0" w:color="auto"/>
                      </w:divBdr>
                    </w:div>
                  </w:divsChild>
                </w:div>
                <w:div w:id="511994984">
                  <w:marLeft w:val="0"/>
                  <w:marRight w:val="0"/>
                  <w:marTop w:val="0"/>
                  <w:marBottom w:val="0"/>
                  <w:divBdr>
                    <w:top w:val="none" w:sz="0" w:space="0" w:color="auto"/>
                    <w:left w:val="none" w:sz="0" w:space="0" w:color="auto"/>
                    <w:bottom w:val="none" w:sz="0" w:space="0" w:color="auto"/>
                    <w:right w:val="none" w:sz="0" w:space="0" w:color="auto"/>
                  </w:divBdr>
                  <w:divsChild>
                    <w:div w:id="419718902">
                      <w:marLeft w:val="0"/>
                      <w:marRight w:val="0"/>
                      <w:marTop w:val="0"/>
                      <w:marBottom w:val="0"/>
                      <w:divBdr>
                        <w:top w:val="none" w:sz="0" w:space="0" w:color="auto"/>
                        <w:left w:val="none" w:sz="0" w:space="0" w:color="auto"/>
                        <w:bottom w:val="none" w:sz="0" w:space="0" w:color="auto"/>
                        <w:right w:val="none" w:sz="0" w:space="0" w:color="auto"/>
                      </w:divBdr>
                    </w:div>
                  </w:divsChild>
                </w:div>
                <w:div w:id="517473878">
                  <w:marLeft w:val="0"/>
                  <w:marRight w:val="0"/>
                  <w:marTop w:val="0"/>
                  <w:marBottom w:val="0"/>
                  <w:divBdr>
                    <w:top w:val="none" w:sz="0" w:space="0" w:color="auto"/>
                    <w:left w:val="none" w:sz="0" w:space="0" w:color="auto"/>
                    <w:bottom w:val="none" w:sz="0" w:space="0" w:color="auto"/>
                    <w:right w:val="none" w:sz="0" w:space="0" w:color="auto"/>
                  </w:divBdr>
                  <w:divsChild>
                    <w:div w:id="3169981">
                      <w:marLeft w:val="0"/>
                      <w:marRight w:val="0"/>
                      <w:marTop w:val="0"/>
                      <w:marBottom w:val="0"/>
                      <w:divBdr>
                        <w:top w:val="none" w:sz="0" w:space="0" w:color="auto"/>
                        <w:left w:val="none" w:sz="0" w:space="0" w:color="auto"/>
                        <w:bottom w:val="none" w:sz="0" w:space="0" w:color="auto"/>
                        <w:right w:val="none" w:sz="0" w:space="0" w:color="auto"/>
                      </w:divBdr>
                    </w:div>
                  </w:divsChild>
                </w:div>
                <w:div w:id="533813175">
                  <w:marLeft w:val="0"/>
                  <w:marRight w:val="0"/>
                  <w:marTop w:val="0"/>
                  <w:marBottom w:val="0"/>
                  <w:divBdr>
                    <w:top w:val="none" w:sz="0" w:space="0" w:color="auto"/>
                    <w:left w:val="none" w:sz="0" w:space="0" w:color="auto"/>
                    <w:bottom w:val="none" w:sz="0" w:space="0" w:color="auto"/>
                    <w:right w:val="none" w:sz="0" w:space="0" w:color="auto"/>
                  </w:divBdr>
                  <w:divsChild>
                    <w:div w:id="327094407">
                      <w:marLeft w:val="0"/>
                      <w:marRight w:val="0"/>
                      <w:marTop w:val="0"/>
                      <w:marBottom w:val="0"/>
                      <w:divBdr>
                        <w:top w:val="none" w:sz="0" w:space="0" w:color="auto"/>
                        <w:left w:val="none" w:sz="0" w:space="0" w:color="auto"/>
                        <w:bottom w:val="none" w:sz="0" w:space="0" w:color="auto"/>
                        <w:right w:val="none" w:sz="0" w:space="0" w:color="auto"/>
                      </w:divBdr>
                    </w:div>
                  </w:divsChild>
                </w:div>
                <w:div w:id="542328768">
                  <w:marLeft w:val="0"/>
                  <w:marRight w:val="0"/>
                  <w:marTop w:val="0"/>
                  <w:marBottom w:val="0"/>
                  <w:divBdr>
                    <w:top w:val="none" w:sz="0" w:space="0" w:color="auto"/>
                    <w:left w:val="none" w:sz="0" w:space="0" w:color="auto"/>
                    <w:bottom w:val="none" w:sz="0" w:space="0" w:color="auto"/>
                    <w:right w:val="none" w:sz="0" w:space="0" w:color="auto"/>
                  </w:divBdr>
                  <w:divsChild>
                    <w:div w:id="1521047095">
                      <w:marLeft w:val="0"/>
                      <w:marRight w:val="0"/>
                      <w:marTop w:val="0"/>
                      <w:marBottom w:val="0"/>
                      <w:divBdr>
                        <w:top w:val="none" w:sz="0" w:space="0" w:color="auto"/>
                        <w:left w:val="none" w:sz="0" w:space="0" w:color="auto"/>
                        <w:bottom w:val="none" w:sz="0" w:space="0" w:color="auto"/>
                        <w:right w:val="none" w:sz="0" w:space="0" w:color="auto"/>
                      </w:divBdr>
                    </w:div>
                  </w:divsChild>
                </w:div>
                <w:div w:id="557859274">
                  <w:marLeft w:val="0"/>
                  <w:marRight w:val="0"/>
                  <w:marTop w:val="0"/>
                  <w:marBottom w:val="0"/>
                  <w:divBdr>
                    <w:top w:val="none" w:sz="0" w:space="0" w:color="auto"/>
                    <w:left w:val="none" w:sz="0" w:space="0" w:color="auto"/>
                    <w:bottom w:val="none" w:sz="0" w:space="0" w:color="auto"/>
                    <w:right w:val="none" w:sz="0" w:space="0" w:color="auto"/>
                  </w:divBdr>
                  <w:divsChild>
                    <w:div w:id="1450662876">
                      <w:marLeft w:val="0"/>
                      <w:marRight w:val="0"/>
                      <w:marTop w:val="0"/>
                      <w:marBottom w:val="0"/>
                      <w:divBdr>
                        <w:top w:val="none" w:sz="0" w:space="0" w:color="auto"/>
                        <w:left w:val="none" w:sz="0" w:space="0" w:color="auto"/>
                        <w:bottom w:val="none" w:sz="0" w:space="0" w:color="auto"/>
                        <w:right w:val="none" w:sz="0" w:space="0" w:color="auto"/>
                      </w:divBdr>
                    </w:div>
                  </w:divsChild>
                </w:div>
                <w:div w:id="560676214">
                  <w:marLeft w:val="0"/>
                  <w:marRight w:val="0"/>
                  <w:marTop w:val="0"/>
                  <w:marBottom w:val="0"/>
                  <w:divBdr>
                    <w:top w:val="none" w:sz="0" w:space="0" w:color="auto"/>
                    <w:left w:val="none" w:sz="0" w:space="0" w:color="auto"/>
                    <w:bottom w:val="none" w:sz="0" w:space="0" w:color="auto"/>
                    <w:right w:val="none" w:sz="0" w:space="0" w:color="auto"/>
                  </w:divBdr>
                  <w:divsChild>
                    <w:div w:id="1249578833">
                      <w:marLeft w:val="0"/>
                      <w:marRight w:val="0"/>
                      <w:marTop w:val="0"/>
                      <w:marBottom w:val="0"/>
                      <w:divBdr>
                        <w:top w:val="none" w:sz="0" w:space="0" w:color="auto"/>
                        <w:left w:val="none" w:sz="0" w:space="0" w:color="auto"/>
                        <w:bottom w:val="none" w:sz="0" w:space="0" w:color="auto"/>
                        <w:right w:val="none" w:sz="0" w:space="0" w:color="auto"/>
                      </w:divBdr>
                    </w:div>
                  </w:divsChild>
                </w:div>
                <w:div w:id="563610090">
                  <w:marLeft w:val="0"/>
                  <w:marRight w:val="0"/>
                  <w:marTop w:val="0"/>
                  <w:marBottom w:val="0"/>
                  <w:divBdr>
                    <w:top w:val="none" w:sz="0" w:space="0" w:color="auto"/>
                    <w:left w:val="none" w:sz="0" w:space="0" w:color="auto"/>
                    <w:bottom w:val="none" w:sz="0" w:space="0" w:color="auto"/>
                    <w:right w:val="none" w:sz="0" w:space="0" w:color="auto"/>
                  </w:divBdr>
                  <w:divsChild>
                    <w:div w:id="1243762774">
                      <w:marLeft w:val="0"/>
                      <w:marRight w:val="0"/>
                      <w:marTop w:val="0"/>
                      <w:marBottom w:val="0"/>
                      <w:divBdr>
                        <w:top w:val="none" w:sz="0" w:space="0" w:color="auto"/>
                        <w:left w:val="none" w:sz="0" w:space="0" w:color="auto"/>
                        <w:bottom w:val="none" w:sz="0" w:space="0" w:color="auto"/>
                        <w:right w:val="none" w:sz="0" w:space="0" w:color="auto"/>
                      </w:divBdr>
                    </w:div>
                  </w:divsChild>
                </w:div>
                <w:div w:id="566502029">
                  <w:marLeft w:val="0"/>
                  <w:marRight w:val="0"/>
                  <w:marTop w:val="0"/>
                  <w:marBottom w:val="0"/>
                  <w:divBdr>
                    <w:top w:val="none" w:sz="0" w:space="0" w:color="auto"/>
                    <w:left w:val="none" w:sz="0" w:space="0" w:color="auto"/>
                    <w:bottom w:val="none" w:sz="0" w:space="0" w:color="auto"/>
                    <w:right w:val="none" w:sz="0" w:space="0" w:color="auto"/>
                  </w:divBdr>
                  <w:divsChild>
                    <w:div w:id="875698809">
                      <w:marLeft w:val="0"/>
                      <w:marRight w:val="0"/>
                      <w:marTop w:val="0"/>
                      <w:marBottom w:val="0"/>
                      <w:divBdr>
                        <w:top w:val="none" w:sz="0" w:space="0" w:color="auto"/>
                        <w:left w:val="none" w:sz="0" w:space="0" w:color="auto"/>
                        <w:bottom w:val="none" w:sz="0" w:space="0" w:color="auto"/>
                        <w:right w:val="none" w:sz="0" w:space="0" w:color="auto"/>
                      </w:divBdr>
                    </w:div>
                  </w:divsChild>
                </w:div>
                <w:div w:id="575483623">
                  <w:marLeft w:val="0"/>
                  <w:marRight w:val="0"/>
                  <w:marTop w:val="0"/>
                  <w:marBottom w:val="0"/>
                  <w:divBdr>
                    <w:top w:val="none" w:sz="0" w:space="0" w:color="auto"/>
                    <w:left w:val="none" w:sz="0" w:space="0" w:color="auto"/>
                    <w:bottom w:val="none" w:sz="0" w:space="0" w:color="auto"/>
                    <w:right w:val="none" w:sz="0" w:space="0" w:color="auto"/>
                  </w:divBdr>
                  <w:divsChild>
                    <w:div w:id="1032729674">
                      <w:marLeft w:val="0"/>
                      <w:marRight w:val="0"/>
                      <w:marTop w:val="0"/>
                      <w:marBottom w:val="0"/>
                      <w:divBdr>
                        <w:top w:val="none" w:sz="0" w:space="0" w:color="auto"/>
                        <w:left w:val="none" w:sz="0" w:space="0" w:color="auto"/>
                        <w:bottom w:val="none" w:sz="0" w:space="0" w:color="auto"/>
                        <w:right w:val="none" w:sz="0" w:space="0" w:color="auto"/>
                      </w:divBdr>
                    </w:div>
                  </w:divsChild>
                </w:div>
                <w:div w:id="576473509">
                  <w:marLeft w:val="0"/>
                  <w:marRight w:val="0"/>
                  <w:marTop w:val="0"/>
                  <w:marBottom w:val="0"/>
                  <w:divBdr>
                    <w:top w:val="none" w:sz="0" w:space="0" w:color="auto"/>
                    <w:left w:val="none" w:sz="0" w:space="0" w:color="auto"/>
                    <w:bottom w:val="none" w:sz="0" w:space="0" w:color="auto"/>
                    <w:right w:val="none" w:sz="0" w:space="0" w:color="auto"/>
                  </w:divBdr>
                  <w:divsChild>
                    <w:div w:id="1578248352">
                      <w:marLeft w:val="0"/>
                      <w:marRight w:val="0"/>
                      <w:marTop w:val="0"/>
                      <w:marBottom w:val="0"/>
                      <w:divBdr>
                        <w:top w:val="none" w:sz="0" w:space="0" w:color="auto"/>
                        <w:left w:val="none" w:sz="0" w:space="0" w:color="auto"/>
                        <w:bottom w:val="none" w:sz="0" w:space="0" w:color="auto"/>
                        <w:right w:val="none" w:sz="0" w:space="0" w:color="auto"/>
                      </w:divBdr>
                    </w:div>
                  </w:divsChild>
                </w:div>
                <w:div w:id="591547286">
                  <w:marLeft w:val="0"/>
                  <w:marRight w:val="0"/>
                  <w:marTop w:val="0"/>
                  <w:marBottom w:val="0"/>
                  <w:divBdr>
                    <w:top w:val="none" w:sz="0" w:space="0" w:color="auto"/>
                    <w:left w:val="none" w:sz="0" w:space="0" w:color="auto"/>
                    <w:bottom w:val="none" w:sz="0" w:space="0" w:color="auto"/>
                    <w:right w:val="none" w:sz="0" w:space="0" w:color="auto"/>
                  </w:divBdr>
                  <w:divsChild>
                    <w:div w:id="175970970">
                      <w:marLeft w:val="0"/>
                      <w:marRight w:val="0"/>
                      <w:marTop w:val="0"/>
                      <w:marBottom w:val="0"/>
                      <w:divBdr>
                        <w:top w:val="none" w:sz="0" w:space="0" w:color="auto"/>
                        <w:left w:val="none" w:sz="0" w:space="0" w:color="auto"/>
                        <w:bottom w:val="none" w:sz="0" w:space="0" w:color="auto"/>
                        <w:right w:val="none" w:sz="0" w:space="0" w:color="auto"/>
                      </w:divBdr>
                    </w:div>
                  </w:divsChild>
                </w:div>
                <w:div w:id="594751078">
                  <w:marLeft w:val="0"/>
                  <w:marRight w:val="0"/>
                  <w:marTop w:val="0"/>
                  <w:marBottom w:val="0"/>
                  <w:divBdr>
                    <w:top w:val="none" w:sz="0" w:space="0" w:color="auto"/>
                    <w:left w:val="none" w:sz="0" w:space="0" w:color="auto"/>
                    <w:bottom w:val="none" w:sz="0" w:space="0" w:color="auto"/>
                    <w:right w:val="none" w:sz="0" w:space="0" w:color="auto"/>
                  </w:divBdr>
                  <w:divsChild>
                    <w:div w:id="1941183711">
                      <w:marLeft w:val="0"/>
                      <w:marRight w:val="0"/>
                      <w:marTop w:val="0"/>
                      <w:marBottom w:val="0"/>
                      <w:divBdr>
                        <w:top w:val="none" w:sz="0" w:space="0" w:color="auto"/>
                        <w:left w:val="none" w:sz="0" w:space="0" w:color="auto"/>
                        <w:bottom w:val="none" w:sz="0" w:space="0" w:color="auto"/>
                        <w:right w:val="none" w:sz="0" w:space="0" w:color="auto"/>
                      </w:divBdr>
                    </w:div>
                  </w:divsChild>
                </w:div>
                <w:div w:id="610628442">
                  <w:marLeft w:val="0"/>
                  <w:marRight w:val="0"/>
                  <w:marTop w:val="0"/>
                  <w:marBottom w:val="0"/>
                  <w:divBdr>
                    <w:top w:val="none" w:sz="0" w:space="0" w:color="auto"/>
                    <w:left w:val="none" w:sz="0" w:space="0" w:color="auto"/>
                    <w:bottom w:val="none" w:sz="0" w:space="0" w:color="auto"/>
                    <w:right w:val="none" w:sz="0" w:space="0" w:color="auto"/>
                  </w:divBdr>
                  <w:divsChild>
                    <w:div w:id="894316808">
                      <w:marLeft w:val="0"/>
                      <w:marRight w:val="0"/>
                      <w:marTop w:val="0"/>
                      <w:marBottom w:val="0"/>
                      <w:divBdr>
                        <w:top w:val="none" w:sz="0" w:space="0" w:color="auto"/>
                        <w:left w:val="none" w:sz="0" w:space="0" w:color="auto"/>
                        <w:bottom w:val="none" w:sz="0" w:space="0" w:color="auto"/>
                        <w:right w:val="none" w:sz="0" w:space="0" w:color="auto"/>
                      </w:divBdr>
                    </w:div>
                  </w:divsChild>
                </w:div>
                <w:div w:id="612058935">
                  <w:marLeft w:val="0"/>
                  <w:marRight w:val="0"/>
                  <w:marTop w:val="0"/>
                  <w:marBottom w:val="0"/>
                  <w:divBdr>
                    <w:top w:val="none" w:sz="0" w:space="0" w:color="auto"/>
                    <w:left w:val="none" w:sz="0" w:space="0" w:color="auto"/>
                    <w:bottom w:val="none" w:sz="0" w:space="0" w:color="auto"/>
                    <w:right w:val="none" w:sz="0" w:space="0" w:color="auto"/>
                  </w:divBdr>
                  <w:divsChild>
                    <w:div w:id="1814366406">
                      <w:marLeft w:val="0"/>
                      <w:marRight w:val="0"/>
                      <w:marTop w:val="0"/>
                      <w:marBottom w:val="0"/>
                      <w:divBdr>
                        <w:top w:val="none" w:sz="0" w:space="0" w:color="auto"/>
                        <w:left w:val="none" w:sz="0" w:space="0" w:color="auto"/>
                        <w:bottom w:val="none" w:sz="0" w:space="0" w:color="auto"/>
                        <w:right w:val="none" w:sz="0" w:space="0" w:color="auto"/>
                      </w:divBdr>
                    </w:div>
                  </w:divsChild>
                </w:div>
                <w:div w:id="615991184">
                  <w:marLeft w:val="0"/>
                  <w:marRight w:val="0"/>
                  <w:marTop w:val="0"/>
                  <w:marBottom w:val="0"/>
                  <w:divBdr>
                    <w:top w:val="none" w:sz="0" w:space="0" w:color="auto"/>
                    <w:left w:val="none" w:sz="0" w:space="0" w:color="auto"/>
                    <w:bottom w:val="none" w:sz="0" w:space="0" w:color="auto"/>
                    <w:right w:val="none" w:sz="0" w:space="0" w:color="auto"/>
                  </w:divBdr>
                  <w:divsChild>
                    <w:div w:id="844052702">
                      <w:marLeft w:val="0"/>
                      <w:marRight w:val="0"/>
                      <w:marTop w:val="0"/>
                      <w:marBottom w:val="0"/>
                      <w:divBdr>
                        <w:top w:val="none" w:sz="0" w:space="0" w:color="auto"/>
                        <w:left w:val="none" w:sz="0" w:space="0" w:color="auto"/>
                        <w:bottom w:val="none" w:sz="0" w:space="0" w:color="auto"/>
                        <w:right w:val="none" w:sz="0" w:space="0" w:color="auto"/>
                      </w:divBdr>
                    </w:div>
                  </w:divsChild>
                </w:div>
                <w:div w:id="616176463">
                  <w:marLeft w:val="0"/>
                  <w:marRight w:val="0"/>
                  <w:marTop w:val="0"/>
                  <w:marBottom w:val="0"/>
                  <w:divBdr>
                    <w:top w:val="none" w:sz="0" w:space="0" w:color="auto"/>
                    <w:left w:val="none" w:sz="0" w:space="0" w:color="auto"/>
                    <w:bottom w:val="none" w:sz="0" w:space="0" w:color="auto"/>
                    <w:right w:val="none" w:sz="0" w:space="0" w:color="auto"/>
                  </w:divBdr>
                  <w:divsChild>
                    <w:div w:id="17974351">
                      <w:marLeft w:val="0"/>
                      <w:marRight w:val="0"/>
                      <w:marTop w:val="0"/>
                      <w:marBottom w:val="0"/>
                      <w:divBdr>
                        <w:top w:val="none" w:sz="0" w:space="0" w:color="auto"/>
                        <w:left w:val="none" w:sz="0" w:space="0" w:color="auto"/>
                        <w:bottom w:val="none" w:sz="0" w:space="0" w:color="auto"/>
                        <w:right w:val="none" w:sz="0" w:space="0" w:color="auto"/>
                      </w:divBdr>
                    </w:div>
                  </w:divsChild>
                </w:div>
                <w:div w:id="641277761">
                  <w:marLeft w:val="0"/>
                  <w:marRight w:val="0"/>
                  <w:marTop w:val="0"/>
                  <w:marBottom w:val="0"/>
                  <w:divBdr>
                    <w:top w:val="none" w:sz="0" w:space="0" w:color="auto"/>
                    <w:left w:val="none" w:sz="0" w:space="0" w:color="auto"/>
                    <w:bottom w:val="none" w:sz="0" w:space="0" w:color="auto"/>
                    <w:right w:val="none" w:sz="0" w:space="0" w:color="auto"/>
                  </w:divBdr>
                  <w:divsChild>
                    <w:div w:id="1117066352">
                      <w:marLeft w:val="0"/>
                      <w:marRight w:val="0"/>
                      <w:marTop w:val="0"/>
                      <w:marBottom w:val="0"/>
                      <w:divBdr>
                        <w:top w:val="none" w:sz="0" w:space="0" w:color="auto"/>
                        <w:left w:val="none" w:sz="0" w:space="0" w:color="auto"/>
                        <w:bottom w:val="none" w:sz="0" w:space="0" w:color="auto"/>
                        <w:right w:val="none" w:sz="0" w:space="0" w:color="auto"/>
                      </w:divBdr>
                    </w:div>
                  </w:divsChild>
                </w:div>
                <w:div w:id="666520863">
                  <w:marLeft w:val="0"/>
                  <w:marRight w:val="0"/>
                  <w:marTop w:val="0"/>
                  <w:marBottom w:val="0"/>
                  <w:divBdr>
                    <w:top w:val="none" w:sz="0" w:space="0" w:color="auto"/>
                    <w:left w:val="none" w:sz="0" w:space="0" w:color="auto"/>
                    <w:bottom w:val="none" w:sz="0" w:space="0" w:color="auto"/>
                    <w:right w:val="none" w:sz="0" w:space="0" w:color="auto"/>
                  </w:divBdr>
                  <w:divsChild>
                    <w:div w:id="1708019198">
                      <w:marLeft w:val="0"/>
                      <w:marRight w:val="0"/>
                      <w:marTop w:val="0"/>
                      <w:marBottom w:val="0"/>
                      <w:divBdr>
                        <w:top w:val="none" w:sz="0" w:space="0" w:color="auto"/>
                        <w:left w:val="none" w:sz="0" w:space="0" w:color="auto"/>
                        <w:bottom w:val="none" w:sz="0" w:space="0" w:color="auto"/>
                        <w:right w:val="none" w:sz="0" w:space="0" w:color="auto"/>
                      </w:divBdr>
                    </w:div>
                  </w:divsChild>
                </w:div>
                <w:div w:id="670259378">
                  <w:marLeft w:val="0"/>
                  <w:marRight w:val="0"/>
                  <w:marTop w:val="0"/>
                  <w:marBottom w:val="0"/>
                  <w:divBdr>
                    <w:top w:val="none" w:sz="0" w:space="0" w:color="auto"/>
                    <w:left w:val="none" w:sz="0" w:space="0" w:color="auto"/>
                    <w:bottom w:val="none" w:sz="0" w:space="0" w:color="auto"/>
                    <w:right w:val="none" w:sz="0" w:space="0" w:color="auto"/>
                  </w:divBdr>
                  <w:divsChild>
                    <w:div w:id="1893081625">
                      <w:marLeft w:val="0"/>
                      <w:marRight w:val="0"/>
                      <w:marTop w:val="0"/>
                      <w:marBottom w:val="0"/>
                      <w:divBdr>
                        <w:top w:val="none" w:sz="0" w:space="0" w:color="auto"/>
                        <w:left w:val="none" w:sz="0" w:space="0" w:color="auto"/>
                        <w:bottom w:val="none" w:sz="0" w:space="0" w:color="auto"/>
                        <w:right w:val="none" w:sz="0" w:space="0" w:color="auto"/>
                      </w:divBdr>
                    </w:div>
                  </w:divsChild>
                </w:div>
                <w:div w:id="670371869">
                  <w:marLeft w:val="0"/>
                  <w:marRight w:val="0"/>
                  <w:marTop w:val="0"/>
                  <w:marBottom w:val="0"/>
                  <w:divBdr>
                    <w:top w:val="none" w:sz="0" w:space="0" w:color="auto"/>
                    <w:left w:val="none" w:sz="0" w:space="0" w:color="auto"/>
                    <w:bottom w:val="none" w:sz="0" w:space="0" w:color="auto"/>
                    <w:right w:val="none" w:sz="0" w:space="0" w:color="auto"/>
                  </w:divBdr>
                  <w:divsChild>
                    <w:div w:id="1525560128">
                      <w:marLeft w:val="0"/>
                      <w:marRight w:val="0"/>
                      <w:marTop w:val="0"/>
                      <w:marBottom w:val="0"/>
                      <w:divBdr>
                        <w:top w:val="none" w:sz="0" w:space="0" w:color="auto"/>
                        <w:left w:val="none" w:sz="0" w:space="0" w:color="auto"/>
                        <w:bottom w:val="none" w:sz="0" w:space="0" w:color="auto"/>
                        <w:right w:val="none" w:sz="0" w:space="0" w:color="auto"/>
                      </w:divBdr>
                    </w:div>
                  </w:divsChild>
                </w:div>
                <w:div w:id="690767287">
                  <w:marLeft w:val="0"/>
                  <w:marRight w:val="0"/>
                  <w:marTop w:val="0"/>
                  <w:marBottom w:val="0"/>
                  <w:divBdr>
                    <w:top w:val="none" w:sz="0" w:space="0" w:color="auto"/>
                    <w:left w:val="none" w:sz="0" w:space="0" w:color="auto"/>
                    <w:bottom w:val="none" w:sz="0" w:space="0" w:color="auto"/>
                    <w:right w:val="none" w:sz="0" w:space="0" w:color="auto"/>
                  </w:divBdr>
                  <w:divsChild>
                    <w:div w:id="601646932">
                      <w:marLeft w:val="0"/>
                      <w:marRight w:val="0"/>
                      <w:marTop w:val="0"/>
                      <w:marBottom w:val="0"/>
                      <w:divBdr>
                        <w:top w:val="none" w:sz="0" w:space="0" w:color="auto"/>
                        <w:left w:val="none" w:sz="0" w:space="0" w:color="auto"/>
                        <w:bottom w:val="none" w:sz="0" w:space="0" w:color="auto"/>
                        <w:right w:val="none" w:sz="0" w:space="0" w:color="auto"/>
                      </w:divBdr>
                    </w:div>
                  </w:divsChild>
                </w:div>
                <w:div w:id="692078597">
                  <w:marLeft w:val="0"/>
                  <w:marRight w:val="0"/>
                  <w:marTop w:val="0"/>
                  <w:marBottom w:val="0"/>
                  <w:divBdr>
                    <w:top w:val="none" w:sz="0" w:space="0" w:color="auto"/>
                    <w:left w:val="none" w:sz="0" w:space="0" w:color="auto"/>
                    <w:bottom w:val="none" w:sz="0" w:space="0" w:color="auto"/>
                    <w:right w:val="none" w:sz="0" w:space="0" w:color="auto"/>
                  </w:divBdr>
                  <w:divsChild>
                    <w:div w:id="1908876275">
                      <w:marLeft w:val="0"/>
                      <w:marRight w:val="0"/>
                      <w:marTop w:val="0"/>
                      <w:marBottom w:val="0"/>
                      <w:divBdr>
                        <w:top w:val="none" w:sz="0" w:space="0" w:color="auto"/>
                        <w:left w:val="none" w:sz="0" w:space="0" w:color="auto"/>
                        <w:bottom w:val="none" w:sz="0" w:space="0" w:color="auto"/>
                        <w:right w:val="none" w:sz="0" w:space="0" w:color="auto"/>
                      </w:divBdr>
                    </w:div>
                  </w:divsChild>
                </w:div>
                <w:div w:id="701978990">
                  <w:marLeft w:val="0"/>
                  <w:marRight w:val="0"/>
                  <w:marTop w:val="0"/>
                  <w:marBottom w:val="0"/>
                  <w:divBdr>
                    <w:top w:val="none" w:sz="0" w:space="0" w:color="auto"/>
                    <w:left w:val="none" w:sz="0" w:space="0" w:color="auto"/>
                    <w:bottom w:val="none" w:sz="0" w:space="0" w:color="auto"/>
                    <w:right w:val="none" w:sz="0" w:space="0" w:color="auto"/>
                  </w:divBdr>
                  <w:divsChild>
                    <w:div w:id="1799253674">
                      <w:marLeft w:val="0"/>
                      <w:marRight w:val="0"/>
                      <w:marTop w:val="0"/>
                      <w:marBottom w:val="0"/>
                      <w:divBdr>
                        <w:top w:val="none" w:sz="0" w:space="0" w:color="auto"/>
                        <w:left w:val="none" w:sz="0" w:space="0" w:color="auto"/>
                        <w:bottom w:val="none" w:sz="0" w:space="0" w:color="auto"/>
                        <w:right w:val="none" w:sz="0" w:space="0" w:color="auto"/>
                      </w:divBdr>
                    </w:div>
                  </w:divsChild>
                </w:div>
                <w:div w:id="704797292">
                  <w:marLeft w:val="0"/>
                  <w:marRight w:val="0"/>
                  <w:marTop w:val="0"/>
                  <w:marBottom w:val="0"/>
                  <w:divBdr>
                    <w:top w:val="none" w:sz="0" w:space="0" w:color="auto"/>
                    <w:left w:val="none" w:sz="0" w:space="0" w:color="auto"/>
                    <w:bottom w:val="none" w:sz="0" w:space="0" w:color="auto"/>
                    <w:right w:val="none" w:sz="0" w:space="0" w:color="auto"/>
                  </w:divBdr>
                  <w:divsChild>
                    <w:div w:id="1929270606">
                      <w:marLeft w:val="0"/>
                      <w:marRight w:val="0"/>
                      <w:marTop w:val="0"/>
                      <w:marBottom w:val="0"/>
                      <w:divBdr>
                        <w:top w:val="none" w:sz="0" w:space="0" w:color="auto"/>
                        <w:left w:val="none" w:sz="0" w:space="0" w:color="auto"/>
                        <w:bottom w:val="none" w:sz="0" w:space="0" w:color="auto"/>
                        <w:right w:val="none" w:sz="0" w:space="0" w:color="auto"/>
                      </w:divBdr>
                    </w:div>
                  </w:divsChild>
                </w:div>
                <w:div w:id="708408968">
                  <w:marLeft w:val="0"/>
                  <w:marRight w:val="0"/>
                  <w:marTop w:val="0"/>
                  <w:marBottom w:val="0"/>
                  <w:divBdr>
                    <w:top w:val="none" w:sz="0" w:space="0" w:color="auto"/>
                    <w:left w:val="none" w:sz="0" w:space="0" w:color="auto"/>
                    <w:bottom w:val="none" w:sz="0" w:space="0" w:color="auto"/>
                    <w:right w:val="none" w:sz="0" w:space="0" w:color="auto"/>
                  </w:divBdr>
                  <w:divsChild>
                    <w:div w:id="1355500874">
                      <w:marLeft w:val="0"/>
                      <w:marRight w:val="0"/>
                      <w:marTop w:val="0"/>
                      <w:marBottom w:val="0"/>
                      <w:divBdr>
                        <w:top w:val="none" w:sz="0" w:space="0" w:color="auto"/>
                        <w:left w:val="none" w:sz="0" w:space="0" w:color="auto"/>
                        <w:bottom w:val="none" w:sz="0" w:space="0" w:color="auto"/>
                        <w:right w:val="none" w:sz="0" w:space="0" w:color="auto"/>
                      </w:divBdr>
                    </w:div>
                  </w:divsChild>
                </w:div>
                <w:div w:id="723991207">
                  <w:marLeft w:val="0"/>
                  <w:marRight w:val="0"/>
                  <w:marTop w:val="0"/>
                  <w:marBottom w:val="0"/>
                  <w:divBdr>
                    <w:top w:val="none" w:sz="0" w:space="0" w:color="auto"/>
                    <w:left w:val="none" w:sz="0" w:space="0" w:color="auto"/>
                    <w:bottom w:val="none" w:sz="0" w:space="0" w:color="auto"/>
                    <w:right w:val="none" w:sz="0" w:space="0" w:color="auto"/>
                  </w:divBdr>
                  <w:divsChild>
                    <w:div w:id="230232922">
                      <w:marLeft w:val="0"/>
                      <w:marRight w:val="0"/>
                      <w:marTop w:val="0"/>
                      <w:marBottom w:val="0"/>
                      <w:divBdr>
                        <w:top w:val="none" w:sz="0" w:space="0" w:color="auto"/>
                        <w:left w:val="none" w:sz="0" w:space="0" w:color="auto"/>
                        <w:bottom w:val="none" w:sz="0" w:space="0" w:color="auto"/>
                        <w:right w:val="none" w:sz="0" w:space="0" w:color="auto"/>
                      </w:divBdr>
                    </w:div>
                    <w:div w:id="339819875">
                      <w:marLeft w:val="0"/>
                      <w:marRight w:val="0"/>
                      <w:marTop w:val="0"/>
                      <w:marBottom w:val="0"/>
                      <w:divBdr>
                        <w:top w:val="none" w:sz="0" w:space="0" w:color="auto"/>
                        <w:left w:val="none" w:sz="0" w:space="0" w:color="auto"/>
                        <w:bottom w:val="none" w:sz="0" w:space="0" w:color="auto"/>
                        <w:right w:val="none" w:sz="0" w:space="0" w:color="auto"/>
                      </w:divBdr>
                    </w:div>
                    <w:div w:id="372079290">
                      <w:marLeft w:val="0"/>
                      <w:marRight w:val="0"/>
                      <w:marTop w:val="0"/>
                      <w:marBottom w:val="0"/>
                      <w:divBdr>
                        <w:top w:val="none" w:sz="0" w:space="0" w:color="auto"/>
                        <w:left w:val="none" w:sz="0" w:space="0" w:color="auto"/>
                        <w:bottom w:val="none" w:sz="0" w:space="0" w:color="auto"/>
                        <w:right w:val="none" w:sz="0" w:space="0" w:color="auto"/>
                      </w:divBdr>
                    </w:div>
                    <w:div w:id="501244174">
                      <w:marLeft w:val="0"/>
                      <w:marRight w:val="0"/>
                      <w:marTop w:val="0"/>
                      <w:marBottom w:val="0"/>
                      <w:divBdr>
                        <w:top w:val="none" w:sz="0" w:space="0" w:color="auto"/>
                        <w:left w:val="none" w:sz="0" w:space="0" w:color="auto"/>
                        <w:bottom w:val="none" w:sz="0" w:space="0" w:color="auto"/>
                        <w:right w:val="none" w:sz="0" w:space="0" w:color="auto"/>
                      </w:divBdr>
                    </w:div>
                    <w:div w:id="580331368">
                      <w:marLeft w:val="0"/>
                      <w:marRight w:val="0"/>
                      <w:marTop w:val="0"/>
                      <w:marBottom w:val="0"/>
                      <w:divBdr>
                        <w:top w:val="none" w:sz="0" w:space="0" w:color="auto"/>
                        <w:left w:val="none" w:sz="0" w:space="0" w:color="auto"/>
                        <w:bottom w:val="none" w:sz="0" w:space="0" w:color="auto"/>
                        <w:right w:val="none" w:sz="0" w:space="0" w:color="auto"/>
                      </w:divBdr>
                    </w:div>
                    <w:div w:id="741683675">
                      <w:marLeft w:val="0"/>
                      <w:marRight w:val="0"/>
                      <w:marTop w:val="0"/>
                      <w:marBottom w:val="0"/>
                      <w:divBdr>
                        <w:top w:val="none" w:sz="0" w:space="0" w:color="auto"/>
                        <w:left w:val="none" w:sz="0" w:space="0" w:color="auto"/>
                        <w:bottom w:val="none" w:sz="0" w:space="0" w:color="auto"/>
                        <w:right w:val="none" w:sz="0" w:space="0" w:color="auto"/>
                      </w:divBdr>
                    </w:div>
                    <w:div w:id="1059746835">
                      <w:marLeft w:val="0"/>
                      <w:marRight w:val="0"/>
                      <w:marTop w:val="0"/>
                      <w:marBottom w:val="0"/>
                      <w:divBdr>
                        <w:top w:val="none" w:sz="0" w:space="0" w:color="auto"/>
                        <w:left w:val="none" w:sz="0" w:space="0" w:color="auto"/>
                        <w:bottom w:val="none" w:sz="0" w:space="0" w:color="auto"/>
                        <w:right w:val="none" w:sz="0" w:space="0" w:color="auto"/>
                      </w:divBdr>
                    </w:div>
                    <w:div w:id="1194002131">
                      <w:marLeft w:val="0"/>
                      <w:marRight w:val="0"/>
                      <w:marTop w:val="0"/>
                      <w:marBottom w:val="0"/>
                      <w:divBdr>
                        <w:top w:val="none" w:sz="0" w:space="0" w:color="auto"/>
                        <w:left w:val="none" w:sz="0" w:space="0" w:color="auto"/>
                        <w:bottom w:val="none" w:sz="0" w:space="0" w:color="auto"/>
                        <w:right w:val="none" w:sz="0" w:space="0" w:color="auto"/>
                      </w:divBdr>
                    </w:div>
                    <w:div w:id="1423069549">
                      <w:marLeft w:val="0"/>
                      <w:marRight w:val="0"/>
                      <w:marTop w:val="0"/>
                      <w:marBottom w:val="0"/>
                      <w:divBdr>
                        <w:top w:val="none" w:sz="0" w:space="0" w:color="auto"/>
                        <w:left w:val="none" w:sz="0" w:space="0" w:color="auto"/>
                        <w:bottom w:val="none" w:sz="0" w:space="0" w:color="auto"/>
                        <w:right w:val="none" w:sz="0" w:space="0" w:color="auto"/>
                      </w:divBdr>
                    </w:div>
                    <w:div w:id="2124181970">
                      <w:marLeft w:val="0"/>
                      <w:marRight w:val="0"/>
                      <w:marTop w:val="0"/>
                      <w:marBottom w:val="0"/>
                      <w:divBdr>
                        <w:top w:val="none" w:sz="0" w:space="0" w:color="auto"/>
                        <w:left w:val="none" w:sz="0" w:space="0" w:color="auto"/>
                        <w:bottom w:val="none" w:sz="0" w:space="0" w:color="auto"/>
                        <w:right w:val="none" w:sz="0" w:space="0" w:color="auto"/>
                      </w:divBdr>
                    </w:div>
                    <w:div w:id="2145462261">
                      <w:marLeft w:val="0"/>
                      <w:marRight w:val="0"/>
                      <w:marTop w:val="0"/>
                      <w:marBottom w:val="0"/>
                      <w:divBdr>
                        <w:top w:val="none" w:sz="0" w:space="0" w:color="auto"/>
                        <w:left w:val="none" w:sz="0" w:space="0" w:color="auto"/>
                        <w:bottom w:val="none" w:sz="0" w:space="0" w:color="auto"/>
                        <w:right w:val="none" w:sz="0" w:space="0" w:color="auto"/>
                      </w:divBdr>
                    </w:div>
                  </w:divsChild>
                </w:div>
                <w:div w:id="735278074">
                  <w:marLeft w:val="0"/>
                  <w:marRight w:val="0"/>
                  <w:marTop w:val="0"/>
                  <w:marBottom w:val="0"/>
                  <w:divBdr>
                    <w:top w:val="none" w:sz="0" w:space="0" w:color="auto"/>
                    <w:left w:val="none" w:sz="0" w:space="0" w:color="auto"/>
                    <w:bottom w:val="none" w:sz="0" w:space="0" w:color="auto"/>
                    <w:right w:val="none" w:sz="0" w:space="0" w:color="auto"/>
                  </w:divBdr>
                  <w:divsChild>
                    <w:div w:id="1632705863">
                      <w:marLeft w:val="0"/>
                      <w:marRight w:val="0"/>
                      <w:marTop w:val="0"/>
                      <w:marBottom w:val="0"/>
                      <w:divBdr>
                        <w:top w:val="none" w:sz="0" w:space="0" w:color="auto"/>
                        <w:left w:val="none" w:sz="0" w:space="0" w:color="auto"/>
                        <w:bottom w:val="none" w:sz="0" w:space="0" w:color="auto"/>
                        <w:right w:val="none" w:sz="0" w:space="0" w:color="auto"/>
                      </w:divBdr>
                    </w:div>
                  </w:divsChild>
                </w:div>
                <w:div w:id="739597931">
                  <w:marLeft w:val="0"/>
                  <w:marRight w:val="0"/>
                  <w:marTop w:val="0"/>
                  <w:marBottom w:val="0"/>
                  <w:divBdr>
                    <w:top w:val="none" w:sz="0" w:space="0" w:color="auto"/>
                    <w:left w:val="none" w:sz="0" w:space="0" w:color="auto"/>
                    <w:bottom w:val="none" w:sz="0" w:space="0" w:color="auto"/>
                    <w:right w:val="none" w:sz="0" w:space="0" w:color="auto"/>
                  </w:divBdr>
                  <w:divsChild>
                    <w:div w:id="1811898236">
                      <w:marLeft w:val="0"/>
                      <w:marRight w:val="0"/>
                      <w:marTop w:val="0"/>
                      <w:marBottom w:val="0"/>
                      <w:divBdr>
                        <w:top w:val="none" w:sz="0" w:space="0" w:color="auto"/>
                        <w:left w:val="none" w:sz="0" w:space="0" w:color="auto"/>
                        <w:bottom w:val="none" w:sz="0" w:space="0" w:color="auto"/>
                        <w:right w:val="none" w:sz="0" w:space="0" w:color="auto"/>
                      </w:divBdr>
                    </w:div>
                  </w:divsChild>
                </w:div>
                <w:div w:id="739913501">
                  <w:marLeft w:val="0"/>
                  <w:marRight w:val="0"/>
                  <w:marTop w:val="0"/>
                  <w:marBottom w:val="0"/>
                  <w:divBdr>
                    <w:top w:val="none" w:sz="0" w:space="0" w:color="auto"/>
                    <w:left w:val="none" w:sz="0" w:space="0" w:color="auto"/>
                    <w:bottom w:val="none" w:sz="0" w:space="0" w:color="auto"/>
                    <w:right w:val="none" w:sz="0" w:space="0" w:color="auto"/>
                  </w:divBdr>
                  <w:divsChild>
                    <w:div w:id="1253664649">
                      <w:marLeft w:val="0"/>
                      <w:marRight w:val="0"/>
                      <w:marTop w:val="0"/>
                      <w:marBottom w:val="0"/>
                      <w:divBdr>
                        <w:top w:val="none" w:sz="0" w:space="0" w:color="auto"/>
                        <w:left w:val="none" w:sz="0" w:space="0" w:color="auto"/>
                        <w:bottom w:val="none" w:sz="0" w:space="0" w:color="auto"/>
                        <w:right w:val="none" w:sz="0" w:space="0" w:color="auto"/>
                      </w:divBdr>
                    </w:div>
                  </w:divsChild>
                </w:div>
                <w:div w:id="740641858">
                  <w:marLeft w:val="0"/>
                  <w:marRight w:val="0"/>
                  <w:marTop w:val="0"/>
                  <w:marBottom w:val="0"/>
                  <w:divBdr>
                    <w:top w:val="none" w:sz="0" w:space="0" w:color="auto"/>
                    <w:left w:val="none" w:sz="0" w:space="0" w:color="auto"/>
                    <w:bottom w:val="none" w:sz="0" w:space="0" w:color="auto"/>
                    <w:right w:val="none" w:sz="0" w:space="0" w:color="auto"/>
                  </w:divBdr>
                  <w:divsChild>
                    <w:div w:id="1730156186">
                      <w:marLeft w:val="0"/>
                      <w:marRight w:val="0"/>
                      <w:marTop w:val="0"/>
                      <w:marBottom w:val="0"/>
                      <w:divBdr>
                        <w:top w:val="none" w:sz="0" w:space="0" w:color="auto"/>
                        <w:left w:val="none" w:sz="0" w:space="0" w:color="auto"/>
                        <w:bottom w:val="none" w:sz="0" w:space="0" w:color="auto"/>
                        <w:right w:val="none" w:sz="0" w:space="0" w:color="auto"/>
                      </w:divBdr>
                    </w:div>
                  </w:divsChild>
                </w:div>
                <w:div w:id="741870928">
                  <w:marLeft w:val="0"/>
                  <w:marRight w:val="0"/>
                  <w:marTop w:val="0"/>
                  <w:marBottom w:val="0"/>
                  <w:divBdr>
                    <w:top w:val="none" w:sz="0" w:space="0" w:color="auto"/>
                    <w:left w:val="none" w:sz="0" w:space="0" w:color="auto"/>
                    <w:bottom w:val="none" w:sz="0" w:space="0" w:color="auto"/>
                    <w:right w:val="none" w:sz="0" w:space="0" w:color="auto"/>
                  </w:divBdr>
                  <w:divsChild>
                    <w:div w:id="1959409225">
                      <w:marLeft w:val="0"/>
                      <w:marRight w:val="0"/>
                      <w:marTop w:val="0"/>
                      <w:marBottom w:val="0"/>
                      <w:divBdr>
                        <w:top w:val="none" w:sz="0" w:space="0" w:color="auto"/>
                        <w:left w:val="none" w:sz="0" w:space="0" w:color="auto"/>
                        <w:bottom w:val="none" w:sz="0" w:space="0" w:color="auto"/>
                        <w:right w:val="none" w:sz="0" w:space="0" w:color="auto"/>
                      </w:divBdr>
                    </w:div>
                  </w:divsChild>
                </w:div>
                <w:div w:id="754399691">
                  <w:marLeft w:val="0"/>
                  <w:marRight w:val="0"/>
                  <w:marTop w:val="0"/>
                  <w:marBottom w:val="0"/>
                  <w:divBdr>
                    <w:top w:val="none" w:sz="0" w:space="0" w:color="auto"/>
                    <w:left w:val="none" w:sz="0" w:space="0" w:color="auto"/>
                    <w:bottom w:val="none" w:sz="0" w:space="0" w:color="auto"/>
                    <w:right w:val="none" w:sz="0" w:space="0" w:color="auto"/>
                  </w:divBdr>
                  <w:divsChild>
                    <w:div w:id="116412476">
                      <w:marLeft w:val="0"/>
                      <w:marRight w:val="0"/>
                      <w:marTop w:val="0"/>
                      <w:marBottom w:val="0"/>
                      <w:divBdr>
                        <w:top w:val="none" w:sz="0" w:space="0" w:color="auto"/>
                        <w:left w:val="none" w:sz="0" w:space="0" w:color="auto"/>
                        <w:bottom w:val="none" w:sz="0" w:space="0" w:color="auto"/>
                        <w:right w:val="none" w:sz="0" w:space="0" w:color="auto"/>
                      </w:divBdr>
                    </w:div>
                    <w:div w:id="1055278459">
                      <w:marLeft w:val="0"/>
                      <w:marRight w:val="0"/>
                      <w:marTop w:val="0"/>
                      <w:marBottom w:val="0"/>
                      <w:divBdr>
                        <w:top w:val="none" w:sz="0" w:space="0" w:color="auto"/>
                        <w:left w:val="none" w:sz="0" w:space="0" w:color="auto"/>
                        <w:bottom w:val="none" w:sz="0" w:space="0" w:color="auto"/>
                        <w:right w:val="none" w:sz="0" w:space="0" w:color="auto"/>
                      </w:divBdr>
                    </w:div>
                    <w:div w:id="1095127526">
                      <w:marLeft w:val="0"/>
                      <w:marRight w:val="0"/>
                      <w:marTop w:val="0"/>
                      <w:marBottom w:val="0"/>
                      <w:divBdr>
                        <w:top w:val="none" w:sz="0" w:space="0" w:color="auto"/>
                        <w:left w:val="none" w:sz="0" w:space="0" w:color="auto"/>
                        <w:bottom w:val="none" w:sz="0" w:space="0" w:color="auto"/>
                        <w:right w:val="none" w:sz="0" w:space="0" w:color="auto"/>
                      </w:divBdr>
                    </w:div>
                  </w:divsChild>
                </w:div>
                <w:div w:id="759569527">
                  <w:marLeft w:val="0"/>
                  <w:marRight w:val="0"/>
                  <w:marTop w:val="0"/>
                  <w:marBottom w:val="0"/>
                  <w:divBdr>
                    <w:top w:val="none" w:sz="0" w:space="0" w:color="auto"/>
                    <w:left w:val="none" w:sz="0" w:space="0" w:color="auto"/>
                    <w:bottom w:val="none" w:sz="0" w:space="0" w:color="auto"/>
                    <w:right w:val="none" w:sz="0" w:space="0" w:color="auto"/>
                  </w:divBdr>
                  <w:divsChild>
                    <w:div w:id="826552578">
                      <w:marLeft w:val="0"/>
                      <w:marRight w:val="0"/>
                      <w:marTop w:val="0"/>
                      <w:marBottom w:val="0"/>
                      <w:divBdr>
                        <w:top w:val="none" w:sz="0" w:space="0" w:color="auto"/>
                        <w:left w:val="none" w:sz="0" w:space="0" w:color="auto"/>
                        <w:bottom w:val="none" w:sz="0" w:space="0" w:color="auto"/>
                        <w:right w:val="none" w:sz="0" w:space="0" w:color="auto"/>
                      </w:divBdr>
                    </w:div>
                  </w:divsChild>
                </w:div>
                <w:div w:id="773474972">
                  <w:marLeft w:val="0"/>
                  <w:marRight w:val="0"/>
                  <w:marTop w:val="0"/>
                  <w:marBottom w:val="0"/>
                  <w:divBdr>
                    <w:top w:val="none" w:sz="0" w:space="0" w:color="auto"/>
                    <w:left w:val="none" w:sz="0" w:space="0" w:color="auto"/>
                    <w:bottom w:val="none" w:sz="0" w:space="0" w:color="auto"/>
                    <w:right w:val="none" w:sz="0" w:space="0" w:color="auto"/>
                  </w:divBdr>
                  <w:divsChild>
                    <w:div w:id="1308897728">
                      <w:marLeft w:val="0"/>
                      <w:marRight w:val="0"/>
                      <w:marTop w:val="0"/>
                      <w:marBottom w:val="0"/>
                      <w:divBdr>
                        <w:top w:val="none" w:sz="0" w:space="0" w:color="auto"/>
                        <w:left w:val="none" w:sz="0" w:space="0" w:color="auto"/>
                        <w:bottom w:val="none" w:sz="0" w:space="0" w:color="auto"/>
                        <w:right w:val="none" w:sz="0" w:space="0" w:color="auto"/>
                      </w:divBdr>
                    </w:div>
                  </w:divsChild>
                </w:div>
                <w:div w:id="774906969">
                  <w:marLeft w:val="0"/>
                  <w:marRight w:val="0"/>
                  <w:marTop w:val="0"/>
                  <w:marBottom w:val="0"/>
                  <w:divBdr>
                    <w:top w:val="none" w:sz="0" w:space="0" w:color="auto"/>
                    <w:left w:val="none" w:sz="0" w:space="0" w:color="auto"/>
                    <w:bottom w:val="none" w:sz="0" w:space="0" w:color="auto"/>
                    <w:right w:val="none" w:sz="0" w:space="0" w:color="auto"/>
                  </w:divBdr>
                  <w:divsChild>
                    <w:div w:id="16123922">
                      <w:marLeft w:val="0"/>
                      <w:marRight w:val="0"/>
                      <w:marTop w:val="0"/>
                      <w:marBottom w:val="0"/>
                      <w:divBdr>
                        <w:top w:val="none" w:sz="0" w:space="0" w:color="auto"/>
                        <w:left w:val="none" w:sz="0" w:space="0" w:color="auto"/>
                        <w:bottom w:val="none" w:sz="0" w:space="0" w:color="auto"/>
                        <w:right w:val="none" w:sz="0" w:space="0" w:color="auto"/>
                      </w:divBdr>
                    </w:div>
                  </w:divsChild>
                </w:div>
                <w:div w:id="775247750">
                  <w:marLeft w:val="0"/>
                  <w:marRight w:val="0"/>
                  <w:marTop w:val="0"/>
                  <w:marBottom w:val="0"/>
                  <w:divBdr>
                    <w:top w:val="none" w:sz="0" w:space="0" w:color="auto"/>
                    <w:left w:val="none" w:sz="0" w:space="0" w:color="auto"/>
                    <w:bottom w:val="none" w:sz="0" w:space="0" w:color="auto"/>
                    <w:right w:val="none" w:sz="0" w:space="0" w:color="auto"/>
                  </w:divBdr>
                  <w:divsChild>
                    <w:div w:id="1777552290">
                      <w:marLeft w:val="0"/>
                      <w:marRight w:val="0"/>
                      <w:marTop w:val="0"/>
                      <w:marBottom w:val="0"/>
                      <w:divBdr>
                        <w:top w:val="none" w:sz="0" w:space="0" w:color="auto"/>
                        <w:left w:val="none" w:sz="0" w:space="0" w:color="auto"/>
                        <w:bottom w:val="none" w:sz="0" w:space="0" w:color="auto"/>
                        <w:right w:val="none" w:sz="0" w:space="0" w:color="auto"/>
                      </w:divBdr>
                    </w:div>
                  </w:divsChild>
                </w:div>
                <w:div w:id="776367035">
                  <w:marLeft w:val="0"/>
                  <w:marRight w:val="0"/>
                  <w:marTop w:val="0"/>
                  <w:marBottom w:val="0"/>
                  <w:divBdr>
                    <w:top w:val="none" w:sz="0" w:space="0" w:color="auto"/>
                    <w:left w:val="none" w:sz="0" w:space="0" w:color="auto"/>
                    <w:bottom w:val="none" w:sz="0" w:space="0" w:color="auto"/>
                    <w:right w:val="none" w:sz="0" w:space="0" w:color="auto"/>
                  </w:divBdr>
                  <w:divsChild>
                    <w:div w:id="1990938864">
                      <w:marLeft w:val="0"/>
                      <w:marRight w:val="0"/>
                      <w:marTop w:val="0"/>
                      <w:marBottom w:val="0"/>
                      <w:divBdr>
                        <w:top w:val="none" w:sz="0" w:space="0" w:color="auto"/>
                        <w:left w:val="none" w:sz="0" w:space="0" w:color="auto"/>
                        <w:bottom w:val="none" w:sz="0" w:space="0" w:color="auto"/>
                        <w:right w:val="none" w:sz="0" w:space="0" w:color="auto"/>
                      </w:divBdr>
                    </w:div>
                  </w:divsChild>
                </w:div>
                <w:div w:id="778522851">
                  <w:marLeft w:val="0"/>
                  <w:marRight w:val="0"/>
                  <w:marTop w:val="0"/>
                  <w:marBottom w:val="0"/>
                  <w:divBdr>
                    <w:top w:val="none" w:sz="0" w:space="0" w:color="auto"/>
                    <w:left w:val="none" w:sz="0" w:space="0" w:color="auto"/>
                    <w:bottom w:val="none" w:sz="0" w:space="0" w:color="auto"/>
                    <w:right w:val="none" w:sz="0" w:space="0" w:color="auto"/>
                  </w:divBdr>
                  <w:divsChild>
                    <w:div w:id="673339783">
                      <w:marLeft w:val="0"/>
                      <w:marRight w:val="0"/>
                      <w:marTop w:val="0"/>
                      <w:marBottom w:val="0"/>
                      <w:divBdr>
                        <w:top w:val="none" w:sz="0" w:space="0" w:color="auto"/>
                        <w:left w:val="none" w:sz="0" w:space="0" w:color="auto"/>
                        <w:bottom w:val="none" w:sz="0" w:space="0" w:color="auto"/>
                        <w:right w:val="none" w:sz="0" w:space="0" w:color="auto"/>
                      </w:divBdr>
                    </w:div>
                  </w:divsChild>
                </w:div>
                <w:div w:id="783696063">
                  <w:marLeft w:val="0"/>
                  <w:marRight w:val="0"/>
                  <w:marTop w:val="0"/>
                  <w:marBottom w:val="0"/>
                  <w:divBdr>
                    <w:top w:val="none" w:sz="0" w:space="0" w:color="auto"/>
                    <w:left w:val="none" w:sz="0" w:space="0" w:color="auto"/>
                    <w:bottom w:val="none" w:sz="0" w:space="0" w:color="auto"/>
                    <w:right w:val="none" w:sz="0" w:space="0" w:color="auto"/>
                  </w:divBdr>
                  <w:divsChild>
                    <w:div w:id="367989849">
                      <w:marLeft w:val="0"/>
                      <w:marRight w:val="0"/>
                      <w:marTop w:val="0"/>
                      <w:marBottom w:val="0"/>
                      <w:divBdr>
                        <w:top w:val="none" w:sz="0" w:space="0" w:color="auto"/>
                        <w:left w:val="none" w:sz="0" w:space="0" w:color="auto"/>
                        <w:bottom w:val="none" w:sz="0" w:space="0" w:color="auto"/>
                        <w:right w:val="none" w:sz="0" w:space="0" w:color="auto"/>
                      </w:divBdr>
                    </w:div>
                  </w:divsChild>
                </w:div>
                <w:div w:id="785546395">
                  <w:marLeft w:val="0"/>
                  <w:marRight w:val="0"/>
                  <w:marTop w:val="0"/>
                  <w:marBottom w:val="0"/>
                  <w:divBdr>
                    <w:top w:val="none" w:sz="0" w:space="0" w:color="auto"/>
                    <w:left w:val="none" w:sz="0" w:space="0" w:color="auto"/>
                    <w:bottom w:val="none" w:sz="0" w:space="0" w:color="auto"/>
                    <w:right w:val="none" w:sz="0" w:space="0" w:color="auto"/>
                  </w:divBdr>
                  <w:divsChild>
                    <w:div w:id="179978873">
                      <w:marLeft w:val="0"/>
                      <w:marRight w:val="0"/>
                      <w:marTop w:val="0"/>
                      <w:marBottom w:val="0"/>
                      <w:divBdr>
                        <w:top w:val="none" w:sz="0" w:space="0" w:color="auto"/>
                        <w:left w:val="none" w:sz="0" w:space="0" w:color="auto"/>
                        <w:bottom w:val="none" w:sz="0" w:space="0" w:color="auto"/>
                        <w:right w:val="none" w:sz="0" w:space="0" w:color="auto"/>
                      </w:divBdr>
                    </w:div>
                  </w:divsChild>
                </w:div>
                <w:div w:id="789201835">
                  <w:marLeft w:val="0"/>
                  <w:marRight w:val="0"/>
                  <w:marTop w:val="0"/>
                  <w:marBottom w:val="0"/>
                  <w:divBdr>
                    <w:top w:val="none" w:sz="0" w:space="0" w:color="auto"/>
                    <w:left w:val="none" w:sz="0" w:space="0" w:color="auto"/>
                    <w:bottom w:val="none" w:sz="0" w:space="0" w:color="auto"/>
                    <w:right w:val="none" w:sz="0" w:space="0" w:color="auto"/>
                  </w:divBdr>
                  <w:divsChild>
                    <w:div w:id="1414619894">
                      <w:marLeft w:val="0"/>
                      <w:marRight w:val="0"/>
                      <w:marTop w:val="0"/>
                      <w:marBottom w:val="0"/>
                      <w:divBdr>
                        <w:top w:val="none" w:sz="0" w:space="0" w:color="auto"/>
                        <w:left w:val="none" w:sz="0" w:space="0" w:color="auto"/>
                        <w:bottom w:val="none" w:sz="0" w:space="0" w:color="auto"/>
                        <w:right w:val="none" w:sz="0" w:space="0" w:color="auto"/>
                      </w:divBdr>
                    </w:div>
                  </w:divsChild>
                </w:div>
                <w:div w:id="792986287">
                  <w:marLeft w:val="0"/>
                  <w:marRight w:val="0"/>
                  <w:marTop w:val="0"/>
                  <w:marBottom w:val="0"/>
                  <w:divBdr>
                    <w:top w:val="none" w:sz="0" w:space="0" w:color="auto"/>
                    <w:left w:val="none" w:sz="0" w:space="0" w:color="auto"/>
                    <w:bottom w:val="none" w:sz="0" w:space="0" w:color="auto"/>
                    <w:right w:val="none" w:sz="0" w:space="0" w:color="auto"/>
                  </w:divBdr>
                  <w:divsChild>
                    <w:div w:id="201670615">
                      <w:marLeft w:val="0"/>
                      <w:marRight w:val="0"/>
                      <w:marTop w:val="0"/>
                      <w:marBottom w:val="0"/>
                      <w:divBdr>
                        <w:top w:val="none" w:sz="0" w:space="0" w:color="auto"/>
                        <w:left w:val="none" w:sz="0" w:space="0" w:color="auto"/>
                        <w:bottom w:val="none" w:sz="0" w:space="0" w:color="auto"/>
                        <w:right w:val="none" w:sz="0" w:space="0" w:color="auto"/>
                      </w:divBdr>
                    </w:div>
                  </w:divsChild>
                </w:div>
                <w:div w:id="794569307">
                  <w:marLeft w:val="0"/>
                  <w:marRight w:val="0"/>
                  <w:marTop w:val="0"/>
                  <w:marBottom w:val="0"/>
                  <w:divBdr>
                    <w:top w:val="none" w:sz="0" w:space="0" w:color="auto"/>
                    <w:left w:val="none" w:sz="0" w:space="0" w:color="auto"/>
                    <w:bottom w:val="none" w:sz="0" w:space="0" w:color="auto"/>
                    <w:right w:val="none" w:sz="0" w:space="0" w:color="auto"/>
                  </w:divBdr>
                  <w:divsChild>
                    <w:div w:id="467165696">
                      <w:marLeft w:val="0"/>
                      <w:marRight w:val="0"/>
                      <w:marTop w:val="0"/>
                      <w:marBottom w:val="0"/>
                      <w:divBdr>
                        <w:top w:val="none" w:sz="0" w:space="0" w:color="auto"/>
                        <w:left w:val="none" w:sz="0" w:space="0" w:color="auto"/>
                        <w:bottom w:val="none" w:sz="0" w:space="0" w:color="auto"/>
                        <w:right w:val="none" w:sz="0" w:space="0" w:color="auto"/>
                      </w:divBdr>
                    </w:div>
                  </w:divsChild>
                </w:div>
                <w:div w:id="805705926">
                  <w:marLeft w:val="0"/>
                  <w:marRight w:val="0"/>
                  <w:marTop w:val="0"/>
                  <w:marBottom w:val="0"/>
                  <w:divBdr>
                    <w:top w:val="none" w:sz="0" w:space="0" w:color="auto"/>
                    <w:left w:val="none" w:sz="0" w:space="0" w:color="auto"/>
                    <w:bottom w:val="none" w:sz="0" w:space="0" w:color="auto"/>
                    <w:right w:val="none" w:sz="0" w:space="0" w:color="auto"/>
                  </w:divBdr>
                  <w:divsChild>
                    <w:div w:id="1562787699">
                      <w:marLeft w:val="0"/>
                      <w:marRight w:val="0"/>
                      <w:marTop w:val="0"/>
                      <w:marBottom w:val="0"/>
                      <w:divBdr>
                        <w:top w:val="none" w:sz="0" w:space="0" w:color="auto"/>
                        <w:left w:val="none" w:sz="0" w:space="0" w:color="auto"/>
                        <w:bottom w:val="none" w:sz="0" w:space="0" w:color="auto"/>
                        <w:right w:val="none" w:sz="0" w:space="0" w:color="auto"/>
                      </w:divBdr>
                    </w:div>
                  </w:divsChild>
                </w:div>
                <w:div w:id="814835150">
                  <w:marLeft w:val="0"/>
                  <w:marRight w:val="0"/>
                  <w:marTop w:val="0"/>
                  <w:marBottom w:val="0"/>
                  <w:divBdr>
                    <w:top w:val="none" w:sz="0" w:space="0" w:color="auto"/>
                    <w:left w:val="none" w:sz="0" w:space="0" w:color="auto"/>
                    <w:bottom w:val="none" w:sz="0" w:space="0" w:color="auto"/>
                    <w:right w:val="none" w:sz="0" w:space="0" w:color="auto"/>
                  </w:divBdr>
                  <w:divsChild>
                    <w:div w:id="44255268">
                      <w:marLeft w:val="0"/>
                      <w:marRight w:val="0"/>
                      <w:marTop w:val="0"/>
                      <w:marBottom w:val="0"/>
                      <w:divBdr>
                        <w:top w:val="none" w:sz="0" w:space="0" w:color="auto"/>
                        <w:left w:val="none" w:sz="0" w:space="0" w:color="auto"/>
                        <w:bottom w:val="none" w:sz="0" w:space="0" w:color="auto"/>
                        <w:right w:val="none" w:sz="0" w:space="0" w:color="auto"/>
                      </w:divBdr>
                    </w:div>
                  </w:divsChild>
                </w:div>
                <w:div w:id="815874165">
                  <w:marLeft w:val="0"/>
                  <w:marRight w:val="0"/>
                  <w:marTop w:val="0"/>
                  <w:marBottom w:val="0"/>
                  <w:divBdr>
                    <w:top w:val="none" w:sz="0" w:space="0" w:color="auto"/>
                    <w:left w:val="none" w:sz="0" w:space="0" w:color="auto"/>
                    <w:bottom w:val="none" w:sz="0" w:space="0" w:color="auto"/>
                    <w:right w:val="none" w:sz="0" w:space="0" w:color="auto"/>
                  </w:divBdr>
                  <w:divsChild>
                    <w:div w:id="340620255">
                      <w:marLeft w:val="0"/>
                      <w:marRight w:val="0"/>
                      <w:marTop w:val="0"/>
                      <w:marBottom w:val="0"/>
                      <w:divBdr>
                        <w:top w:val="none" w:sz="0" w:space="0" w:color="auto"/>
                        <w:left w:val="none" w:sz="0" w:space="0" w:color="auto"/>
                        <w:bottom w:val="none" w:sz="0" w:space="0" w:color="auto"/>
                        <w:right w:val="none" w:sz="0" w:space="0" w:color="auto"/>
                      </w:divBdr>
                    </w:div>
                    <w:div w:id="1556819679">
                      <w:marLeft w:val="0"/>
                      <w:marRight w:val="0"/>
                      <w:marTop w:val="0"/>
                      <w:marBottom w:val="0"/>
                      <w:divBdr>
                        <w:top w:val="none" w:sz="0" w:space="0" w:color="auto"/>
                        <w:left w:val="none" w:sz="0" w:space="0" w:color="auto"/>
                        <w:bottom w:val="none" w:sz="0" w:space="0" w:color="auto"/>
                        <w:right w:val="none" w:sz="0" w:space="0" w:color="auto"/>
                      </w:divBdr>
                    </w:div>
                  </w:divsChild>
                </w:div>
                <w:div w:id="817575556">
                  <w:marLeft w:val="0"/>
                  <w:marRight w:val="0"/>
                  <w:marTop w:val="0"/>
                  <w:marBottom w:val="0"/>
                  <w:divBdr>
                    <w:top w:val="none" w:sz="0" w:space="0" w:color="auto"/>
                    <w:left w:val="none" w:sz="0" w:space="0" w:color="auto"/>
                    <w:bottom w:val="none" w:sz="0" w:space="0" w:color="auto"/>
                    <w:right w:val="none" w:sz="0" w:space="0" w:color="auto"/>
                  </w:divBdr>
                  <w:divsChild>
                    <w:div w:id="1647055044">
                      <w:marLeft w:val="0"/>
                      <w:marRight w:val="0"/>
                      <w:marTop w:val="0"/>
                      <w:marBottom w:val="0"/>
                      <w:divBdr>
                        <w:top w:val="none" w:sz="0" w:space="0" w:color="auto"/>
                        <w:left w:val="none" w:sz="0" w:space="0" w:color="auto"/>
                        <w:bottom w:val="none" w:sz="0" w:space="0" w:color="auto"/>
                        <w:right w:val="none" w:sz="0" w:space="0" w:color="auto"/>
                      </w:divBdr>
                    </w:div>
                  </w:divsChild>
                </w:div>
                <w:div w:id="826944677">
                  <w:marLeft w:val="0"/>
                  <w:marRight w:val="0"/>
                  <w:marTop w:val="0"/>
                  <w:marBottom w:val="0"/>
                  <w:divBdr>
                    <w:top w:val="none" w:sz="0" w:space="0" w:color="auto"/>
                    <w:left w:val="none" w:sz="0" w:space="0" w:color="auto"/>
                    <w:bottom w:val="none" w:sz="0" w:space="0" w:color="auto"/>
                    <w:right w:val="none" w:sz="0" w:space="0" w:color="auto"/>
                  </w:divBdr>
                  <w:divsChild>
                    <w:div w:id="1116020666">
                      <w:marLeft w:val="0"/>
                      <w:marRight w:val="0"/>
                      <w:marTop w:val="0"/>
                      <w:marBottom w:val="0"/>
                      <w:divBdr>
                        <w:top w:val="none" w:sz="0" w:space="0" w:color="auto"/>
                        <w:left w:val="none" w:sz="0" w:space="0" w:color="auto"/>
                        <w:bottom w:val="none" w:sz="0" w:space="0" w:color="auto"/>
                        <w:right w:val="none" w:sz="0" w:space="0" w:color="auto"/>
                      </w:divBdr>
                    </w:div>
                  </w:divsChild>
                </w:div>
                <w:div w:id="831600385">
                  <w:marLeft w:val="0"/>
                  <w:marRight w:val="0"/>
                  <w:marTop w:val="0"/>
                  <w:marBottom w:val="0"/>
                  <w:divBdr>
                    <w:top w:val="none" w:sz="0" w:space="0" w:color="auto"/>
                    <w:left w:val="none" w:sz="0" w:space="0" w:color="auto"/>
                    <w:bottom w:val="none" w:sz="0" w:space="0" w:color="auto"/>
                    <w:right w:val="none" w:sz="0" w:space="0" w:color="auto"/>
                  </w:divBdr>
                  <w:divsChild>
                    <w:div w:id="256325767">
                      <w:marLeft w:val="0"/>
                      <w:marRight w:val="0"/>
                      <w:marTop w:val="0"/>
                      <w:marBottom w:val="0"/>
                      <w:divBdr>
                        <w:top w:val="none" w:sz="0" w:space="0" w:color="auto"/>
                        <w:left w:val="none" w:sz="0" w:space="0" w:color="auto"/>
                        <w:bottom w:val="none" w:sz="0" w:space="0" w:color="auto"/>
                        <w:right w:val="none" w:sz="0" w:space="0" w:color="auto"/>
                      </w:divBdr>
                    </w:div>
                  </w:divsChild>
                </w:div>
                <w:div w:id="833447153">
                  <w:marLeft w:val="0"/>
                  <w:marRight w:val="0"/>
                  <w:marTop w:val="0"/>
                  <w:marBottom w:val="0"/>
                  <w:divBdr>
                    <w:top w:val="none" w:sz="0" w:space="0" w:color="auto"/>
                    <w:left w:val="none" w:sz="0" w:space="0" w:color="auto"/>
                    <w:bottom w:val="none" w:sz="0" w:space="0" w:color="auto"/>
                    <w:right w:val="none" w:sz="0" w:space="0" w:color="auto"/>
                  </w:divBdr>
                  <w:divsChild>
                    <w:div w:id="693969026">
                      <w:marLeft w:val="0"/>
                      <w:marRight w:val="0"/>
                      <w:marTop w:val="0"/>
                      <w:marBottom w:val="0"/>
                      <w:divBdr>
                        <w:top w:val="none" w:sz="0" w:space="0" w:color="auto"/>
                        <w:left w:val="none" w:sz="0" w:space="0" w:color="auto"/>
                        <w:bottom w:val="none" w:sz="0" w:space="0" w:color="auto"/>
                        <w:right w:val="none" w:sz="0" w:space="0" w:color="auto"/>
                      </w:divBdr>
                    </w:div>
                  </w:divsChild>
                </w:div>
                <w:div w:id="838496509">
                  <w:marLeft w:val="0"/>
                  <w:marRight w:val="0"/>
                  <w:marTop w:val="0"/>
                  <w:marBottom w:val="0"/>
                  <w:divBdr>
                    <w:top w:val="none" w:sz="0" w:space="0" w:color="auto"/>
                    <w:left w:val="none" w:sz="0" w:space="0" w:color="auto"/>
                    <w:bottom w:val="none" w:sz="0" w:space="0" w:color="auto"/>
                    <w:right w:val="none" w:sz="0" w:space="0" w:color="auto"/>
                  </w:divBdr>
                  <w:divsChild>
                    <w:div w:id="1512598063">
                      <w:marLeft w:val="0"/>
                      <w:marRight w:val="0"/>
                      <w:marTop w:val="0"/>
                      <w:marBottom w:val="0"/>
                      <w:divBdr>
                        <w:top w:val="none" w:sz="0" w:space="0" w:color="auto"/>
                        <w:left w:val="none" w:sz="0" w:space="0" w:color="auto"/>
                        <w:bottom w:val="none" w:sz="0" w:space="0" w:color="auto"/>
                        <w:right w:val="none" w:sz="0" w:space="0" w:color="auto"/>
                      </w:divBdr>
                    </w:div>
                  </w:divsChild>
                </w:div>
                <w:div w:id="843130696">
                  <w:marLeft w:val="0"/>
                  <w:marRight w:val="0"/>
                  <w:marTop w:val="0"/>
                  <w:marBottom w:val="0"/>
                  <w:divBdr>
                    <w:top w:val="none" w:sz="0" w:space="0" w:color="auto"/>
                    <w:left w:val="none" w:sz="0" w:space="0" w:color="auto"/>
                    <w:bottom w:val="none" w:sz="0" w:space="0" w:color="auto"/>
                    <w:right w:val="none" w:sz="0" w:space="0" w:color="auto"/>
                  </w:divBdr>
                  <w:divsChild>
                    <w:div w:id="506947909">
                      <w:marLeft w:val="0"/>
                      <w:marRight w:val="0"/>
                      <w:marTop w:val="0"/>
                      <w:marBottom w:val="0"/>
                      <w:divBdr>
                        <w:top w:val="none" w:sz="0" w:space="0" w:color="auto"/>
                        <w:left w:val="none" w:sz="0" w:space="0" w:color="auto"/>
                        <w:bottom w:val="none" w:sz="0" w:space="0" w:color="auto"/>
                        <w:right w:val="none" w:sz="0" w:space="0" w:color="auto"/>
                      </w:divBdr>
                    </w:div>
                  </w:divsChild>
                </w:div>
                <w:div w:id="845949153">
                  <w:marLeft w:val="0"/>
                  <w:marRight w:val="0"/>
                  <w:marTop w:val="0"/>
                  <w:marBottom w:val="0"/>
                  <w:divBdr>
                    <w:top w:val="none" w:sz="0" w:space="0" w:color="auto"/>
                    <w:left w:val="none" w:sz="0" w:space="0" w:color="auto"/>
                    <w:bottom w:val="none" w:sz="0" w:space="0" w:color="auto"/>
                    <w:right w:val="none" w:sz="0" w:space="0" w:color="auto"/>
                  </w:divBdr>
                  <w:divsChild>
                    <w:div w:id="1388382243">
                      <w:marLeft w:val="0"/>
                      <w:marRight w:val="0"/>
                      <w:marTop w:val="0"/>
                      <w:marBottom w:val="0"/>
                      <w:divBdr>
                        <w:top w:val="none" w:sz="0" w:space="0" w:color="auto"/>
                        <w:left w:val="none" w:sz="0" w:space="0" w:color="auto"/>
                        <w:bottom w:val="none" w:sz="0" w:space="0" w:color="auto"/>
                        <w:right w:val="none" w:sz="0" w:space="0" w:color="auto"/>
                      </w:divBdr>
                    </w:div>
                  </w:divsChild>
                </w:div>
                <w:div w:id="849026171">
                  <w:marLeft w:val="0"/>
                  <w:marRight w:val="0"/>
                  <w:marTop w:val="0"/>
                  <w:marBottom w:val="0"/>
                  <w:divBdr>
                    <w:top w:val="none" w:sz="0" w:space="0" w:color="auto"/>
                    <w:left w:val="none" w:sz="0" w:space="0" w:color="auto"/>
                    <w:bottom w:val="none" w:sz="0" w:space="0" w:color="auto"/>
                    <w:right w:val="none" w:sz="0" w:space="0" w:color="auto"/>
                  </w:divBdr>
                  <w:divsChild>
                    <w:div w:id="63458501">
                      <w:marLeft w:val="0"/>
                      <w:marRight w:val="0"/>
                      <w:marTop w:val="0"/>
                      <w:marBottom w:val="0"/>
                      <w:divBdr>
                        <w:top w:val="none" w:sz="0" w:space="0" w:color="auto"/>
                        <w:left w:val="none" w:sz="0" w:space="0" w:color="auto"/>
                        <w:bottom w:val="none" w:sz="0" w:space="0" w:color="auto"/>
                        <w:right w:val="none" w:sz="0" w:space="0" w:color="auto"/>
                      </w:divBdr>
                    </w:div>
                    <w:div w:id="302077654">
                      <w:marLeft w:val="0"/>
                      <w:marRight w:val="0"/>
                      <w:marTop w:val="0"/>
                      <w:marBottom w:val="0"/>
                      <w:divBdr>
                        <w:top w:val="none" w:sz="0" w:space="0" w:color="auto"/>
                        <w:left w:val="none" w:sz="0" w:space="0" w:color="auto"/>
                        <w:bottom w:val="none" w:sz="0" w:space="0" w:color="auto"/>
                        <w:right w:val="none" w:sz="0" w:space="0" w:color="auto"/>
                      </w:divBdr>
                    </w:div>
                    <w:div w:id="547038458">
                      <w:marLeft w:val="0"/>
                      <w:marRight w:val="0"/>
                      <w:marTop w:val="0"/>
                      <w:marBottom w:val="0"/>
                      <w:divBdr>
                        <w:top w:val="none" w:sz="0" w:space="0" w:color="auto"/>
                        <w:left w:val="none" w:sz="0" w:space="0" w:color="auto"/>
                        <w:bottom w:val="none" w:sz="0" w:space="0" w:color="auto"/>
                        <w:right w:val="none" w:sz="0" w:space="0" w:color="auto"/>
                      </w:divBdr>
                    </w:div>
                    <w:div w:id="635524067">
                      <w:marLeft w:val="0"/>
                      <w:marRight w:val="0"/>
                      <w:marTop w:val="0"/>
                      <w:marBottom w:val="0"/>
                      <w:divBdr>
                        <w:top w:val="none" w:sz="0" w:space="0" w:color="auto"/>
                        <w:left w:val="none" w:sz="0" w:space="0" w:color="auto"/>
                        <w:bottom w:val="none" w:sz="0" w:space="0" w:color="auto"/>
                        <w:right w:val="none" w:sz="0" w:space="0" w:color="auto"/>
                      </w:divBdr>
                    </w:div>
                    <w:div w:id="763956820">
                      <w:marLeft w:val="0"/>
                      <w:marRight w:val="0"/>
                      <w:marTop w:val="0"/>
                      <w:marBottom w:val="0"/>
                      <w:divBdr>
                        <w:top w:val="none" w:sz="0" w:space="0" w:color="auto"/>
                        <w:left w:val="none" w:sz="0" w:space="0" w:color="auto"/>
                        <w:bottom w:val="none" w:sz="0" w:space="0" w:color="auto"/>
                        <w:right w:val="none" w:sz="0" w:space="0" w:color="auto"/>
                      </w:divBdr>
                    </w:div>
                    <w:div w:id="1392928147">
                      <w:marLeft w:val="0"/>
                      <w:marRight w:val="0"/>
                      <w:marTop w:val="0"/>
                      <w:marBottom w:val="0"/>
                      <w:divBdr>
                        <w:top w:val="none" w:sz="0" w:space="0" w:color="auto"/>
                        <w:left w:val="none" w:sz="0" w:space="0" w:color="auto"/>
                        <w:bottom w:val="none" w:sz="0" w:space="0" w:color="auto"/>
                        <w:right w:val="none" w:sz="0" w:space="0" w:color="auto"/>
                      </w:divBdr>
                    </w:div>
                    <w:div w:id="1555390559">
                      <w:marLeft w:val="0"/>
                      <w:marRight w:val="0"/>
                      <w:marTop w:val="0"/>
                      <w:marBottom w:val="0"/>
                      <w:divBdr>
                        <w:top w:val="none" w:sz="0" w:space="0" w:color="auto"/>
                        <w:left w:val="none" w:sz="0" w:space="0" w:color="auto"/>
                        <w:bottom w:val="none" w:sz="0" w:space="0" w:color="auto"/>
                        <w:right w:val="none" w:sz="0" w:space="0" w:color="auto"/>
                      </w:divBdr>
                    </w:div>
                    <w:div w:id="1612394958">
                      <w:marLeft w:val="0"/>
                      <w:marRight w:val="0"/>
                      <w:marTop w:val="0"/>
                      <w:marBottom w:val="0"/>
                      <w:divBdr>
                        <w:top w:val="none" w:sz="0" w:space="0" w:color="auto"/>
                        <w:left w:val="none" w:sz="0" w:space="0" w:color="auto"/>
                        <w:bottom w:val="none" w:sz="0" w:space="0" w:color="auto"/>
                        <w:right w:val="none" w:sz="0" w:space="0" w:color="auto"/>
                      </w:divBdr>
                    </w:div>
                    <w:div w:id="2042321403">
                      <w:marLeft w:val="0"/>
                      <w:marRight w:val="0"/>
                      <w:marTop w:val="0"/>
                      <w:marBottom w:val="0"/>
                      <w:divBdr>
                        <w:top w:val="none" w:sz="0" w:space="0" w:color="auto"/>
                        <w:left w:val="none" w:sz="0" w:space="0" w:color="auto"/>
                        <w:bottom w:val="none" w:sz="0" w:space="0" w:color="auto"/>
                        <w:right w:val="none" w:sz="0" w:space="0" w:color="auto"/>
                      </w:divBdr>
                    </w:div>
                  </w:divsChild>
                </w:div>
                <w:div w:id="850142360">
                  <w:marLeft w:val="0"/>
                  <w:marRight w:val="0"/>
                  <w:marTop w:val="0"/>
                  <w:marBottom w:val="0"/>
                  <w:divBdr>
                    <w:top w:val="none" w:sz="0" w:space="0" w:color="auto"/>
                    <w:left w:val="none" w:sz="0" w:space="0" w:color="auto"/>
                    <w:bottom w:val="none" w:sz="0" w:space="0" w:color="auto"/>
                    <w:right w:val="none" w:sz="0" w:space="0" w:color="auto"/>
                  </w:divBdr>
                  <w:divsChild>
                    <w:div w:id="963659068">
                      <w:marLeft w:val="0"/>
                      <w:marRight w:val="0"/>
                      <w:marTop w:val="0"/>
                      <w:marBottom w:val="0"/>
                      <w:divBdr>
                        <w:top w:val="none" w:sz="0" w:space="0" w:color="auto"/>
                        <w:left w:val="none" w:sz="0" w:space="0" w:color="auto"/>
                        <w:bottom w:val="none" w:sz="0" w:space="0" w:color="auto"/>
                        <w:right w:val="none" w:sz="0" w:space="0" w:color="auto"/>
                      </w:divBdr>
                    </w:div>
                  </w:divsChild>
                </w:div>
                <w:div w:id="864756687">
                  <w:marLeft w:val="0"/>
                  <w:marRight w:val="0"/>
                  <w:marTop w:val="0"/>
                  <w:marBottom w:val="0"/>
                  <w:divBdr>
                    <w:top w:val="none" w:sz="0" w:space="0" w:color="auto"/>
                    <w:left w:val="none" w:sz="0" w:space="0" w:color="auto"/>
                    <w:bottom w:val="none" w:sz="0" w:space="0" w:color="auto"/>
                    <w:right w:val="none" w:sz="0" w:space="0" w:color="auto"/>
                  </w:divBdr>
                  <w:divsChild>
                    <w:div w:id="1966152006">
                      <w:marLeft w:val="0"/>
                      <w:marRight w:val="0"/>
                      <w:marTop w:val="0"/>
                      <w:marBottom w:val="0"/>
                      <w:divBdr>
                        <w:top w:val="none" w:sz="0" w:space="0" w:color="auto"/>
                        <w:left w:val="none" w:sz="0" w:space="0" w:color="auto"/>
                        <w:bottom w:val="none" w:sz="0" w:space="0" w:color="auto"/>
                        <w:right w:val="none" w:sz="0" w:space="0" w:color="auto"/>
                      </w:divBdr>
                    </w:div>
                  </w:divsChild>
                </w:div>
                <w:div w:id="871454938">
                  <w:marLeft w:val="0"/>
                  <w:marRight w:val="0"/>
                  <w:marTop w:val="0"/>
                  <w:marBottom w:val="0"/>
                  <w:divBdr>
                    <w:top w:val="none" w:sz="0" w:space="0" w:color="auto"/>
                    <w:left w:val="none" w:sz="0" w:space="0" w:color="auto"/>
                    <w:bottom w:val="none" w:sz="0" w:space="0" w:color="auto"/>
                    <w:right w:val="none" w:sz="0" w:space="0" w:color="auto"/>
                  </w:divBdr>
                  <w:divsChild>
                    <w:div w:id="1570920679">
                      <w:marLeft w:val="0"/>
                      <w:marRight w:val="0"/>
                      <w:marTop w:val="0"/>
                      <w:marBottom w:val="0"/>
                      <w:divBdr>
                        <w:top w:val="none" w:sz="0" w:space="0" w:color="auto"/>
                        <w:left w:val="none" w:sz="0" w:space="0" w:color="auto"/>
                        <w:bottom w:val="none" w:sz="0" w:space="0" w:color="auto"/>
                        <w:right w:val="none" w:sz="0" w:space="0" w:color="auto"/>
                      </w:divBdr>
                    </w:div>
                  </w:divsChild>
                </w:div>
                <w:div w:id="875896203">
                  <w:marLeft w:val="0"/>
                  <w:marRight w:val="0"/>
                  <w:marTop w:val="0"/>
                  <w:marBottom w:val="0"/>
                  <w:divBdr>
                    <w:top w:val="none" w:sz="0" w:space="0" w:color="auto"/>
                    <w:left w:val="none" w:sz="0" w:space="0" w:color="auto"/>
                    <w:bottom w:val="none" w:sz="0" w:space="0" w:color="auto"/>
                    <w:right w:val="none" w:sz="0" w:space="0" w:color="auto"/>
                  </w:divBdr>
                  <w:divsChild>
                    <w:div w:id="854882007">
                      <w:marLeft w:val="0"/>
                      <w:marRight w:val="0"/>
                      <w:marTop w:val="0"/>
                      <w:marBottom w:val="0"/>
                      <w:divBdr>
                        <w:top w:val="none" w:sz="0" w:space="0" w:color="auto"/>
                        <w:left w:val="none" w:sz="0" w:space="0" w:color="auto"/>
                        <w:bottom w:val="none" w:sz="0" w:space="0" w:color="auto"/>
                        <w:right w:val="none" w:sz="0" w:space="0" w:color="auto"/>
                      </w:divBdr>
                    </w:div>
                  </w:divsChild>
                </w:div>
                <w:div w:id="878397262">
                  <w:marLeft w:val="0"/>
                  <w:marRight w:val="0"/>
                  <w:marTop w:val="0"/>
                  <w:marBottom w:val="0"/>
                  <w:divBdr>
                    <w:top w:val="none" w:sz="0" w:space="0" w:color="auto"/>
                    <w:left w:val="none" w:sz="0" w:space="0" w:color="auto"/>
                    <w:bottom w:val="none" w:sz="0" w:space="0" w:color="auto"/>
                    <w:right w:val="none" w:sz="0" w:space="0" w:color="auto"/>
                  </w:divBdr>
                  <w:divsChild>
                    <w:div w:id="2008049773">
                      <w:marLeft w:val="0"/>
                      <w:marRight w:val="0"/>
                      <w:marTop w:val="0"/>
                      <w:marBottom w:val="0"/>
                      <w:divBdr>
                        <w:top w:val="none" w:sz="0" w:space="0" w:color="auto"/>
                        <w:left w:val="none" w:sz="0" w:space="0" w:color="auto"/>
                        <w:bottom w:val="none" w:sz="0" w:space="0" w:color="auto"/>
                        <w:right w:val="none" w:sz="0" w:space="0" w:color="auto"/>
                      </w:divBdr>
                    </w:div>
                  </w:divsChild>
                </w:div>
                <w:div w:id="892473468">
                  <w:marLeft w:val="0"/>
                  <w:marRight w:val="0"/>
                  <w:marTop w:val="0"/>
                  <w:marBottom w:val="0"/>
                  <w:divBdr>
                    <w:top w:val="none" w:sz="0" w:space="0" w:color="auto"/>
                    <w:left w:val="none" w:sz="0" w:space="0" w:color="auto"/>
                    <w:bottom w:val="none" w:sz="0" w:space="0" w:color="auto"/>
                    <w:right w:val="none" w:sz="0" w:space="0" w:color="auto"/>
                  </w:divBdr>
                  <w:divsChild>
                    <w:div w:id="1456757985">
                      <w:marLeft w:val="0"/>
                      <w:marRight w:val="0"/>
                      <w:marTop w:val="0"/>
                      <w:marBottom w:val="0"/>
                      <w:divBdr>
                        <w:top w:val="none" w:sz="0" w:space="0" w:color="auto"/>
                        <w:left w:val="none" w:sz="0" w:space="0" w:color="auto"/>
                        <w:bottom w:val="none" w:sz="0" w:space="0" w:color="auto"/>
                        <w:right w:val="none" w:sz="0" w:space="0" w:color="auto"/>
                      </w:divBdr>
                    </w:div>
                  </w:divsChild>
                </w:div>
                <w:div w:id="894394241">
                  <w:marLeft w:val="0"/>
                  <w:marRight w:val="0"/>
                  <w:marTop w:val="0"/>
                  <w:marBottom w:val="0"/>
                  <w:divBdr>
                    <w:top w:val="none" w:sz="0" w:space="0" w:color="auto"/>
                    <w:left w:val="none" w:sz="0" w:space="0" w:color="auto"/>
                    <w:bottom w:val="none" w:sz="0" w:space="0" w:color="auto"/>
                    <w:right w:val="none" w:sz="0" w:space="0" w:color="auto"/>
                  </w:divBdr>
                  <w:divsChild>
                    <w:div w:id="854536227">
                      <w:marLeft w:val="0"/>
                      <w:marRight w:val="0"/>
                      <w:marTop w:val="0"/>
                      <w:marBottom w:val="0"/>
                      <w:divBdr>
                        <w:top w:val="none" w:sz="0" w:space="0" w:color="auto"/>
                        <w:left w:val="none" w:sz="0" w:space="0" w:color="auto"/>
                        <w:bottom w:val="none" w:sz="0" w:space="0" w:color="auto"/>
                        <w:right w:val="none" w:sz="0" w:space="0" w:color="auto"/>
                      </w:divBdr>
                    </w:div>
                  </w:divsChild>
                </w:div>
                <w:div w:id="902104988">
                  <w:marLeft w:val="0"/>
                  <w:marRight w:val="0"/>
                  <w:marTop w:val="0"/>
                  <w:marBottom w:val="0"/>
                  <w:divBdr>
                    <w:top w:val="none" w:sz="0" w:space="0" w:color="auto"/>
                    <w:left w:val="none" w:sz="0" w:space="0" w:color="auto"/>
                    <w:bottom w:val="none" w:sz="0" w:space="0" w:color="auto"/>
                    <w:right w:val="none" w:sz="0" w:space="0" w:color="auto"/>
                  </w:divBdr>
                  <w:divsChild>
                    <w:div w:id="428888688">
                      <w:marLeft w:val="0"/>
                      <w:marRight w:val="0"/>
                      <w:marTop w:val="0"/>
                      <w:marBottom w:val="0"/>
                      <w:divBdr>
                        <w:top w:val="none" w:sz="0" w:space="0" w:color="auto"/>
                        <w:left w:val="none" w:sz="0" w:space="0" w:color="auto"/>
                        <w:bottom w:val="none" w:sz="0" w:space="0" w:color="auto"/>
                        <w:right w:val="none" w:sz="0" w:space="0" w:color="auto"/>
                      </w:divBdr>
                    </w:div>
                  </w:divsChild>
                </w:div>
                <w:div w:id="904754605">
                  <w:marLeft w:val="0"/>
                  <w:marRight w:val="0"/>
                  <w:marTop w:val="0"/>
                  <w:marBottom w:val="0"/>
                  <w:divBdr>
                    <w:top w:val="none" w:sz="0" w:space="0" w:color="auto"/>
                    <w:left w:val="none" w:sz="0" w:space="0" w:color="auto"/>
                    <w:bottom w:val="none" w:sz="0" w:space="0" w:color="auto"/>
                    <w:right w:val="none" w:sz="0" w:space="0" w:color="auto"/>
                  </w:divBdr>
                  <w:divsChild>
                    <w:div w:id="2044868223">
                      <w:marLeft w:val="0"/>
                      <w:marRight w:val="0"/>
                      <w:marTop w:val="0"/>
                      <w:marBottom w:val="0"/>
                      <w:divBdr>
                        <w:top w:val="none" w:sz="0" w:space="0" w:color="auto"/>
                        <w:left w:val="none" w:sz="0" w:space="0" w:color="auto"/>
                        <w:bottom w:val="none" w:sz="0" w:space="0" w:color="auto"/>
                        <w:right w:val="none" w:sz="0" w:space="0" w:color="auto"/>
                      </w:divBdr>
                    </w:div>
                  </w:divsChild>
                </w:div>
                <w:div w:id="906383988">
                  <w:marLeft w:val="0"/>
                  <w:marRight w:val="0"/>
                  <w:marTop w:val="0"/>
                  <w:marBottom w:val="0"/>
                  <w:divBdr>
                    <w:top w:val="none" w:sz="0" w:space="0" w:color="auto"/>
                    <w:left w:val="none" w:sz="0" w:space="0" w:color="auto"/>
                    <w:bottom w:val="none" w:sz="0" w:space="0" w:color="auto"/>
                    <w:right w:val="none" w:sz="0" w:space="0" w:color="auto"/>
                  </w:divBdr>
                  <w:divsChild>
                    <w:div w:id="1774593862">
                      <w:marLeft w:val="0"/>
                      <w:marRight w:val="0"/>
                      <w:marTop w:val="0"/>
                      <w:marBottom w:val="0"/>
                      <w:divBdr>
                        <w:top w:val="none" w:sz="0" w:space="0" w:color="auto"/>
                        <w:left w:val="none" w:sz="0" w:space="0" w:color="auto"/>
                        <w:bottom w:val="none" w:sz="0" w:space="0" w:color="auto"/>
                        <w:right w:val="none" w:sz="0" w:space="0" w:color="auto"/>
                      </w:divBdr>
                    </w:div>
                  </w:divsChild>
                </w:div>
                <w:div w:id="910046768">
                  <w:marLeft w:val="0"/>
                  <w:marRight w:val="0"/>
                  <w:marTop w:val="0"/>
                  <w:marBottom w:val="0"/>
                  <w:divBdr>
                    <w:top w:val="none" w:sz="0" w:space="0" w:color="auto"/>
                    <w:left w:val="none" w:sz="0" w:space="0" w:color="auto"/>
                    <w:bottom w:val="none" w:sz="0" w:space="0" w:color="auto"/>
                    <w:right w:val="none" w:sz="0" w:space="0" w:color="auto"/>
                  </w:divBdr>
                  <w:divsChild>
                    <w:div w:id="1347176371">
                      <w:marLeft w:val="0"/>
                      <w:marRight w:val="0"/>
                      <w:marTop w:val="0"/>
                      <w:marBottom w:val="0"/>
                      <w:divBdr>
                        <w:top w:val="none" w:sz="0" w:space="0" w:color="auto"/>
                        <w:left w:val="none" w:sz="0" w:space="0" w:color="auto"/>
                        <w:bottom w:val="none" w:sz="0" w:space="0" w:color="auto"/>
                        <w:right w:val="none" w:sz="0" w:space="0" w:color="auto"/>
                      </w:divBdr>
                    </w:div>
                  </w:divsChild>
                </w:div>
                <w:div w:id="914096685">
                  <w:marLeft w:val="0"/>
                  <w:marRight w:val="0"/>
                  <w:marTop w:val="0"/>
                  <w:marBottom w:val="0"/>
                  <w:divBdr>
                    <w:top w:val="none" w:sz="0" w:space="0" w:color="auto"/>
                    <w:left w:val="none" w:sz="0" w:space="0" w:color="auto"/>
                    <w:bottom w:val="none" w:sz="0" w:space="0" w:color="auto"/>
                    <w:right w:val="none" w:sz="0" w:space="0" w:color="auto"/>
                  </w:divBdr>
                  <w:divsChild>
                    <w:div w:id="1981691746">
                      <w:marLeft w:val="0"/>
                      <w:marRight w:val="0"/>
                      <w:marTop w:val="0"/>
                      <w:marBottom w:val="0"/>
                      <w:divBdr>
                        <w:top w:val="none" w:sz="0" w:space="0" w:color="auto"/>
                        <w:left w:val="none" w:sz="0" w:space="0" w:color="auto"/>
                        <w:bottom w:val="none" w:sz="0" w:space="0" w:color="auto"/>
                        <w:right w:val="none" w:sz="0" w:space="0" w:color="auto"/>
                      </w:divBdr>
                    </w:div>
                  </w:divsChild>
                </w:div>
                <w:div w:id="915280854">
                  <w:marLeft w:val="0"/>
                  <w:marRight w:val="0"/>
                  <w:marTop w:val="0"/>
                  <w:marBottom w:val="0"/>
                  <w:divBdr>
                    <w:top w:val="none" w:sz="0" w:space="0" w:color="auto"/>
                    <w:left w:val="none" w:sz="0" w:space="0" w:color="auto"/>
                    <w:bottom w:val="none" w:sz="0" w:space="0" w:color="auto"/>
                    <w:right w:val="none" w:sz="0" w:space="0" w:color="auto"/>
                  </w:divBdr>
                  <w:divsChild>
                    <w:div w:id="1985085948">
                      <w:marLeft w:val="0"/>
                      <w:marRight w:val="0"/>
                      <w:marTop w:val="0"/>
                      <w:marBottom w:val="0"/>
                      <w:divBdr>
                        <w:top w:val="none" w:sz="0" w:space="0" w:color="auto"/>
                        <w:left w:val="none" w:sz="0" w:space="0" w:color="auto"/>
                        <w:bottom w:val="none" w:sz="0" w:space="0" w:color="auto"/>
                        <w:right w:val="none" w:sz="0" w:space="0" w:color="auto"/>
                      </w:divBdr>
                    </w:div>
                  </w:divsChild>
                </w:div>
                <w:div w:id="917713466">
                  <w:marLeft w:val="0"/>
                  <w:marRight w:val="0"/>
                  <w:marTop w:val="0"/>
                  <w:marBottom w:val="0"/>
                  <w:divBdr>
                    <w:top w:val="none" w:sz="0" w:space="0" w:color="auto"/>
                    <w:left w:val="none" w:sz="0" w:space="0" w:color="auto"/>
                    <w:bottom w:val="none" w:sz="0" w:space="0" w:color="auto"/>
                    <w:right w:val="none" w:sz="0" w:space="0" w:color="auto"/>
                  </w:divBdr>
                  <w:divsChild>
                    <w:div w:id="382214861">
                      <w:marLeft w:val="0"/>
                      <w:marRight w:val="0"/>
                      <w:marTop w:val="0"/>
                      <w:marBottom w:val="0"/>
                      <w:divBdr>
                        <w:top w:val="none" w:sz="0" w:space="0" w:color="auto"/>
                        <w:left w:val="none" w:sz="0" w:space="0" w:color="auto"/>
                        <w:bottom w:val="none" w:sz="0" w:space="0" w:color="auto"/>
                        <w:right w:val="none" w:sz="0" w:space="0" w:color="auto"/>
                      </w:divBdr>
                    </w:div>
                  </w:divsChild>
                </w:div>
                <w:div w:id="932326050">
                  <w:marLeft w:val="0"/>
                  <w:marRight w:val="0"/>
                  <w:marTop w:val="0"/>
                  <w:marBottom w:val="0"/>
                  <w:divBdr>
                    <w:top w:val="none" w:sz="0" w:space="0" w:color="auto"/>
                    <w:left w:val="none" w:sz="0" w:space="0" w:color="auto"/>
                    <w:bottom w:val="none" w:sz="0" w:space="0" w:color="auto"/>
                    <w:right w:val="none" w:sz="0" w:space="0" w:color="auto"/>
                  </w:divBdr>
                  <w:divsChild>
                    <w:div w:id="1049035798">
                      <w:marLeft w:val="0"/>
                      <w:marRight w:val="0"/>
                      <w:marTop w:val="0"/>
                      <w:marBottom w:val="0"/>
                      <w:divBdr>
                        <w:top w:val="none" w:sz="0" w:space="0" w:color="auto"/>
                        <w:left w:val="none" w:sz="0" w:space="0" w:color="auto"/>
                        <w:bottom w:val="none" w:sz="0" w:space="0" w:color="auto"/>
                        <w:right w:val="none" w:sz="0" w:space="0" w:color="auto"/>
                      </w:divBdr>
                    </w:div>
                  </w:divsChild>
                </w:div>
                <w:div w:id="934049277">
                  <w:marLeft w:val="0"/>
                  <w:marRight w:val="0"/>
                  <w:marTop w:val="0"/>
                  <w:marBottom w:val="0"/>
                  <w:divBdr>
                    <w:top w:val="none" w:sz="0" w:space="0" w:color="auto"/>
                    <w:left w:val="none" w:sz="0" w:space="0" w:color="auto"/>
                    <w:bottom w:val="none" w:sz="0" w:space="0" w:color="auto"/>
                    <w:right w:val="none" w:sz="0" w:space="0" w:color="auto"/>
                  </w:divBdr>
                  <w:divsChild>
                    <w:div w:id="938950335">
                      <w:marLeft w:val="0"/>
                      <w:marRight w:val="0"/>
                      <w:marTop w:val="0"/>
                      <w:marBottom w:val="0"/>
                      <w:divBdr>
                        <w:top w:val="none" w:sz="0" w:space="0" w:color="auto"/>
                        <w:left w:val="none" w:sz="0" w:space="0" w:color="auto"/>
                        <w:bottom w:val="none" w:sz="0" w:space="0" w:color="auto"/>
                        <w:right w:val="none" w:sz="0" w:space="0" w:color="auto"/>
                      </w:divBdr>
                    </w:div>
                  </w:divsChild>
                </w:div>
                <w:div w:id="934247349">
                  <w:marLeft w:val="0"/>
                  <w:marRight w:val="0"/>
                  <w:marTop w:val="0"/>
                  <w:marBottom w:val="0"/>
                  <w:divBdr>
                    <w:top w:val="none" w:sz="0" w:space="0" w:color="auto"/>
                    <w:left w:val="none" w:sz="0" w:space="0" w:color="auto"/>
                    <w:bottom w:val="none" w:sz="0" w:space="0" w:color="auto"/>
                    <w:right w:val="none" w:sz="0" w:space="0" w:color="auto"/>
                  </w:divBdr>
                  <w:divsChild>
                    <w:div w:id="1161434575">
                      <w:marLeft w:val="0"/>
                      <w:marRight w:val="0"/>
                      <w:marTop w:val="0"/>
                      <w:marBottom w:val="0"/>
                      <w:divBdr>
                        <w:top w:val="none" w:sz="0" w:space="0" w:color="auto"/>
                        <w:left w:val="none" w:sz="0" w:space="0" w:color="auto"/>
                        <w:bottom w:val="none" w:sz="0" w:space="0" w:color="auto"/>
                        <w:right w:val="none" w:sz="0" w:space="0" w:color="auto"/>
                      </w:divBdr>
                    </w:div>
                  </w:divsChild>
                </w:div>
                <w:div w:id="935552134">
                  <w:marLeft w:val="0"/>
                  <w:marRight w:val="0"/>
                  <w:marTop w:val="0"/>
                  <w:marBottom w:val="0"/>
                  <w:divBdr>
                    <w:top w:val="none" w:sz="0" w:space="0" w:color="auto"/>
                    <w:left w:val="none" w:sz="0" w:space="0" w:color="auto"/>
                    <w:bottom w:val="none" w:sz="0" w:space="0" w:color="auto"/>
                    <w:right w:val="none" w:sz="0" w:space="0" w:color="auto"/>
                  </w:divBdr>
                  <w:divsChild>
                    <w:div w:id="2050228489">
                      <w:marLeft w:val="0"/>
                      <w:marRight w:val="0"/>
                      <w:marTop w:val="0"/>
                      <w:marBottom w:val="0"/>
                      <w:divBdr>
                        <w:top w:val="none" w:sz="0" w:space="0" w:color="auto"/>
                        <w:left w:val="none" w:sz="0" w:space="0" w:color="auto"/>
                        <w:bottom w:val="none" w:sz="0" w:space="0" w:color="auto"/>
                        <w:right w:val="none" w:sz="0" w:space="0" w:color="auto"/>
                      </w:divBdr>
                    </w:div>
                  </w:divsChild>
                </w:div>
                <w:div w:id="938411918">
                  <w:marLeft w:val="0"/>
                  <w:marRight w:val="0"/>
                  <w:marTop w:val="0"/>
                  <w:marBottom w:val="0"/>
                  <w:divBdr>
                    <w:top w:val="none" w:sz="0" w:space="0" w:color="auto"/>
                    <w:left w:val="none" w:sz="0" w:space="0" w:color="auto"/>
                    <w:bottom w:val="none" w:sz="0" w:space="0" w:color="auto"/>
                    <w:right w:val="none" w:sz="0" w:space="0" w:color="auto"/>
                  </w:divBdr>
                  <w:divsChild>
                    <w:div w:id="752895259">
                      <w:marLeft w:val="0"/>
                      <w:marRight w:val="0"/>
                      <w:marTop w:val="0"/>
                      <w:marBottom w:val="0"/>
                      <w:divBdr>
                        <w:top w:val="none" w:sz="0" w:space="0" w:color="auto"/>
                        <w:left w:val="none" w:sz="0" w:space="0" w:color="auto"/>
                        <w:bottom w:val="none" w:sz="0" w:space="0" w:color="auto"/>
                        <w:right w:val="none" w:sz="0" w:space="0" w:color="auto"/>
                      </w:divBdr>
                    </w:div>
                  </w:divsChild>
                </w:div>
                <w:div w:id="945691882">
                  <w:marLeft w:val="0"/>
                  <w:marRight w:val="0"/>
                  <w:marTop w:val="0"/>
                  <w:marBottom w:val="0"/>
                  <w:divBdr>
                    <w:top w:val="none" w:sz="0" w:space="0" w:color="auto"/>
                    <w:left w:val="none" w:sz="0" w:space="0" w:color="auto"/>
                    <w:bottom w:val="none" w:sz="0" w:space="0" w:color="auto"/>
                    <w:right w:val="none" w:sz="0" w:space="0" w:color="auto"/>
                  </w:divBdr>
                  <w:divsChild>
                    <w:div w:id="172376140">
                      <w:marLeft w:val="0"/>
                      <w:marRight w:val="0"/>
                      <w:marTop w:val="0"/>
                      <w:marBottom w:val="0"/>
                      <w:divBdr>
                        <w:top w:val="none" w:sz="0" w:space="0" w:color="auto"/>
                        <w:left w:val="none" w:sz="0" w:space="0" w:color="auto"/>
                        <w:bottom w:val="none" w:sz="0" w:space="0" w:color="auto"/>
                        <w:right w:val="none" w:sz="0" w:space="0" w:color="auto"/>
                      </w:divBdr>
                    </w:div>
                  </w:divsChild>
                </w:div>
                <w:div w:id="951975977">
                  <w:marLeft w:val="0"/>
                  <w:marRight w:val="0"/>
                  <w:marTop w:val="0"/>
                  <w:marBottom w:val="0"/>
                  <w:divBdr>
                    <w:top w:val="none" w:sz="0" w:space="0" w:color="auto"/>
                    <w:left w:val="none" w:sz="0" w:space="0" w:color="auto"/>
                    <w:bottom w:val="none" w:sz="0" w:space="0" w:color="auto"/>
                    <w:right w:val="none" w:sz="0" w:space="0" w:color="auto"/>
                  </w:divBdr>
                  <w:divsChild>
                    <w:div w:id="1182209988">
                      <w:marLeft w:val="0"/>
                      <w:marRight w:val="0"/>
                      <w:marTop w:val="0"/>
                      <w:marBottom w:val="0"/>
                      <w:divBdr>
                        <w:top w:val="none" w:sz="0" w:space="0" w:color="auto"/>
                        <w:left w:val="none" w:sz="0" w:space="0" w:color="auto"/>
                        <w:bottom w:val="none" w:sz="0" w:space="0" w:color="auto"/>
                        <w:right w:val="none" w:sz="0" w:space="0" w:color="auto"/>
                      </w:divBdr>
                    </w:div>
                  </w:divsChild>
                </w:div>
                <w:div w:id="960771895">
                  <w:marLeft w:val="0"/>
                  <w:marRight w:val="0"/>
                  <w:marTop w:val="0"/>
                  <w:marBottom w:val="0"/>
                  <w:divBdr>
                    <w:top w:val="none" w:sz="0" w:space="0" w:color="auto"/>
                    <w:left w:val="none" w:sz="0" w:space="0" w:color="auto"/>
                    <w:bottom w:val="none" w:sz="0" w:space="0" w:color="auto"/>
                    <w:right w:val="none" w:sz="0" w:space="0" w:color="auto"/>
                  </w:divBdr>
                  <w:divsChild>
                    <w:div w:id="1837525881">
                      <w:marLeft w:val="0"/>
                      <w:marRight w:val="0"/>
                      <w:marTop w:val="0"/>
                      <w:marBottom w:val="0"/>
                      <w:divBdr>
                        <w:top w:val="none" w:sz="0" w:space="0" w:color="auto"/>
                        <w:left w:val="none" w:sz="0" w:space="0" w:color="auto"/>
                        <w:bottom w:val="none" w:sz="0" w:space="0" w:color="auto"/>
                        <w:right w:val="none" w:sz="0" w:space="0" w:color="auto"/>
                      </w:divBdr>
                    </w:div>
                  </w:divsChild>
                </w:div>
                <w:div w:id="987511068">
                  <w:marLeft w:val="0"/>
                  <w:marRight w:val="0"/>
                  <w:marTop w:val="0"/>
                  <w:marBottom w:val="0"/>
                  <w:divBdr>
                    <w:top w:val="none" w:sz="0" w:space="0" w:color="auto"/>
                    <w:left w:val="none" w:sz="0" w:space="0" w:color="auto"/>
                    <w:bottom w:val="none" w:sz="0" w:space="0" w:color="auto"/>
                    <w:right w:val="none" w:sz="0" w:space="0" w:color="auto"/>
                  </w:divBdr>
                  <w:divsChild>
                    <w:div w:id="1922831303">
                      <w:marLeft w:val="0"/>
                      <w:marRight w:val="0"/>
                      <w:marTop w:val="0"/>
                      <w:marBottom w:val="0"/>
                      <w:divBdr>
                        <w:top w:val="none" w:sz="0" w:space="0" w:color="auto"/>
                        <w:left w:val="none" w:sz="0" w:space="0" w:color="auto"/>
                        <w:bottom w:val="none" w:sz="0" w:space="0" w:color="auto"/>
                        <w:right w:val="none" w:sz="0" w:space="0" w:color="auto"/>
                      </w:divBdr>
                    </w:div>
                  </w:divsChild>
                </w:div>
                <w:div w:id="1011643969">
                  <w:marLeft w:val="0"/>
                  <w:marRight w:val="0"/>
                  <w:marTop w:val="0"/>
                  <w:marBottom w:val="0"/>
                  <w:divBdr>
                    <w:top w:val="none" w:sz="0" w:space="0" w:color="auto"/>
                    <w:left w:val="none" w:sz="0" w:space="0" w:color="auto"/>
                    <w:bottom w:val="none" w:sz="0" w:space="0" w:color="auto"/>
                    <w:right w:val="none" w:sz="0" w:space="0" w:color="auto"/>
                  </w:divBdr>
                  <w:divsChild>
                    <w:div w:id="251402497">
                      <w:marLeft w:val="0"/>
                      <w:marRight w:val="0"/>
                      <w:marTop w:val="0"/>
                      <w:marBottom w:val="0"/>
                      <w:divBdr>
                        <w:top w:val="none" w:sz="0" w:space="0" w:color="auto"/>
                        <w:left w:val="none" w:sz="0" w:space="0" w:color="auto"/>
                        <w:bottom w:val="none" w:sz="0" w:space="0" w:color="auto"/>
                        <w:right w:val="none" w:sz="0" w:space="0" w:color="auto"/>
                      </w:divBdr>
                    </w:div>
                  </w:divsChild>
                </w:div>
                <w:div w:id="1030690913">
                  <w:marLeft w:val="0"/>
                  <w:marRight w:val="0"/>
                  <w:marTop w:val="0"/>
                  <w:marBottom w:val="0"/>
                  <w:divBdr>
                    <w:top w:val="none" w:sz="0" w:space="0" w:color="auto"/>
                    <w:left w:val="none" w:sz="0" w:space="0" w:color="auto"/>
                    <w:bottom w:val="none" w:sz="0" w:space="0" w:color="auto"/>
                    <w:right w:val="none" w:sz="0" w:space="0" w:color="auto"/>
                  </w:divBdr>
                  <w:divsChild>
                    <w:div w:id="391461573">
                      <w:marLeft w:val="0"/>
                      <w:marRight w:val="0"/>
                      <w:marTop w:val="0"/>
                      <w:marBottom w:val="0"/>
                      <w:divBdr>
                        <w:top w:val="none" w:sz="0" w:space="0" w:color="auto"/>
                        <w:left w:val="none" w:sz="0" w:space="0" w:color="auto"/>
                        <w:bottom w:val="none" w:sz="0" w:space="0" w:color="auto"/>
                        <w:right w:val="none" w:sz="0" w:space="0" w:color="auto"/>
                      </w:divBdr>
                    </w:div>
                  </w:divsChild>
                </w:div>
                <w:div w:id="1035735351">
                  <w:marLeft w:val="0"/>
                  <w:marRight w:val="0"/>
                  <w:marTop w:val="0"/>
                  <w:marBottom w:val="0"/>
                  <w:divBdr>
                    <w:top w:val="none" w:sz="0" w:space="0" w:color="auto"/>
                    <w:left w:val="none" w:sz="0" w:space="0" w:color="auto"/>
                    <w:bottom w:val="none" w:sz="0" w:space="0" w:color="auto"/>
                    <w:right w:val="none" w:sz="0" w:space="0" w:color="auto"/>
                  </w:divBdr>
                  <w:divsChild>
                    <w:div w:id="1829860625">
                      <w:marLeft w:val="0"/>
                      <w:marRight w:val="0"/>
                      <w:marTop w:val="0"/>
                      <w:marBottom w:val="0"/>
                      <w:divBdr>
                        <w:top w:val="none" w:sz="0" w:space="0" w:color="auto"/>
                        <w:left w:val="none" w:sz="0" w:space="0" w:color="auto"/>
                        <w:bottom w:val="none" w:sz="0" w:space="0" w:color="auto"/>
                        <w:right w:val="none" w:sz="0" w:space="0" w:color="auto"/>
                      </w:divBdr>
                    </w:div>
                  </w:divsChild>
                </w:div>
                <w:div w:id="1037001030">
                  <w:marLeft w:val="0"/>
                  <w:marRight w:val="0"/>
                  <w:marTop w:val="0"/>
                  <w:marBottom w:val="0"/>
                  <w:divBdr>
                    <w:top w:val="none" w:sz="0" w:space="0" w:color="auto"/>
                    <w:left w:val="none" w:sz="0" w:space="0" w:color="auto"/>
                    <w:bottom w:val="none" w:sz="0" w:space="0" w:color="auto"/>
                    <w:right w:val="none" w:sz="0" w:space="0" w:color="auto"/>
                  </w:divBdr>
                  <w:divsChild>
                    <w:div w:id="14499402">
                      <w:marLeft w:val="0"/>
                      <w:marRight w:val="0"/>
                      <w:marTop w:val="0"/>
                      <w:marBottom w:val="0"/>
                      <w:divBdr>
                        <w:top w:val="none" w:sz="0" w:space="0" w:color="auto"/>
                        <w:left w:val="none" w:sz="0" w:space="0" w:color="auto"/>
                        <w:bottom w:val="none" w:sz="0" w:space="0" w:color="auto"/>
                        <w:right w:val="none" w:sz="0" w:space="0" w:color="auto"/>
                      </w:divBdr>
                    </w:div>
                  </w:divsChild>
                </w:div>
                <w:div w:id="1049064670">
                  <w:marLeft w:val="0"/>
                  <w:marRight w:val="0"/>
                  <w:marTop w:val="0"/>
                  <w:marBottom w:val="0"/>
                  <w:divBdr>
                    <w:top w:val="none" w:sz="0" w:space="0" w:color="auto"/>
                    <w:left w:val="none" w:sz="0" w:space="0" w:color="auto"/>
                    <w:bottom w:val="none" w:sz="0" w:space="0" w:color="auto"/>
                    <w:right w:val="none" w:sz="0" w:space="0" w:color="auto"/>
                  </w:divBdr>
                  <w:divsChild>
                    <w:div w:id="1060983058">
                      <w:marLeft w:val="0"/>
                      <w:marRight w:val="0"/>
                      <w:marTop w:val="0"/>
                      <w:marBottom w:val="0"/>
                      <w:divBdr>
                        <w:top w:val="none" w:sz="0" w:space="0" w:color="auto"/>
                        <w:left w:val="none" w:sz="0" w:space="0" w:color="auto"/>
                        <w:bottom w:val="none" w:sz="0" w:space="0" w:color="auto"/>
                        <w:right w:val="none" w:sz="0" w:space="0" w:color="auto"/>
                      </w:divBdr>
                    </w:div>
                  </w:divsChild>
                </w:div>
                <w:div w:id="1052653141">
                  <w:marLeft w:val="0"/>
                  <w:marRight w:val="0"/>
                  <w:marTop w:val="0"/>
                  <w:marBottom w:val="0"/>
                  <w:divBdr>
                    <w:top w:val="none" w:sz="0" w:space="0" w:color="auto"/>
                    <w:left w:val="none" w:sz="0" w:space="0" w:color="auto"/>
                    <w:bottom w:val="none" w:sz="0" w:space="0" w:color="auto"/>
                    <w:right w:val="none" w:sz="0" w:space="0" w:color="auto"/>
                  </w:divBdr>
                  <w:divsChild>
                    <w:div w:id="1920603082">
                      <w:marLeft w:val="0"/>
                      <w:marRight w:val="0"/>
                      <w:marTop w:val="0"/>
                      <w:marBottom w:val="0"/>
                      <w:divBdr>
                        <w:top w:val="none" w:sz="0" w:space="0" w:color="auto"/>
                        <w:left w:val="none" w:sz="0" w:space="0" w:color="auto"/>
                        <w:bottom w:val="none" w:sz="0" w:space="0" w:color="auto"/>
                        <w:right w:val="none" w:sz="0" w:space="0" w:color="auto"/>
                      </w:divBdr>
                    </w:div>
                  </w:divsChild>
                </w:div>
                <w:div w:id="1073089050">
                  <w:marLeft w:val="0"/>
                  <w:marRight w:val="0"/>
                  <w:marTop w:val="0"/>
                  <w:marBottom w:val="0"/>
                  <w:divBdr>
                    <w:top w:val="none" w:sz="0" w:space="0" w:color="auto"/>
                    <w:left w:val="none" w:sz="0" w:space="0" w:color="auto"/>
                    <w:bottom w:val="none" w:sz="0" w:space="0" w:color="auto"/>
                    <w:right w:val="none" w:sz="0" w:space="0" w:color="auto"/>
                  </w:divBdr>
                  <w:divsChild>
                    <w:div w:id="1982687001">
                      <w:marLeft w:val="0"/>
                      <w:marRight w:val="0"/>
                      <w:marTop w:val="0"/>
                      <w:marBottom w:val="0"/>
                      <w:divBdr>
                        <w:top w:val="none" w:sz="0" w:space="0" w:color="auto"/>
                        <w:left w:val="none" w:sz="0" w:space="0" w:color="auto"/>
                        <w:bottom w:val="none" w:sz="0" w:space="0" w:color="auto"/>
                        <w:right w:val="none" w:sz="0" w:space="0" w:color="auto"/>
                      </w:divBdr>
                    </w:div>
                  </w:divsChild>
                </w:div>
                <w:div w:id="1087266417">
                  <w:marLeft w:val="0"/>
                  <w:marRight w:val="0"/>
                  <w:marTop w:val="0"/>
                  <w:marBottom w:val="0"/>
                  <w:divBdr>
                    <w:top w:val="none" w:sz="0" w:space="0" w:color="auto"/>
                    <w:left w:val="none" w:sz="0" w:space="0" w:color="auto"/>
                    <w:bottom w:val="none" w:sz="0" w:space="0" w:color="auto"/>
                    <w:right w:val="none" w:sz="0" w:space="0" w:color="auto"/>
                  </w:divBdr>
                  <w:divsChild>
                    <w:div w:id="613561583">
                      <w:marLeft w:val="0"/>
                      <w:marRight w:val="0"/>
                      <w:marTop w:val="0"/>
                      <w:marBottom w:val="0"/>
                      <w:divBdr>
                        <w:top w:val="none" w:sz="0" w:space="0" w:color="auto"/>
                        <w:left w:val="none" w:sz="0" w:space="0" w:color="auto"/>
                        <w:bottom w:val="none" w:sz="0" w:space="0" w:color="auto"/>
                        <w:right w:val="none" w:sz="0" w:space="0" w:color="auto"/>
                      </w:divBdr>
                    </w:div>
                  </w:divsChild>
                </w:div>
                <w:div w:id="1098595112">
                  <w:marLeft w:val="0"/>
                  <w:marRight w:val="0"/>
                  <w:marTop w:val="0"/>
                  <w:marBottom w:val="0"/>
                  <w:divBdr>
                    <w:top w:val="none" w:sz="0" w:space="0" w:color="auto"/>
                    <w:left w:val="none" w:sz="0" w:space="0" w:color="auto"/>
                    <w:bottom w:val="none" w:sz="0" w:space="0" w:color="auto"/>
                    <w:right w:val="none" w:sz="0" w:space="0" w:color="auto"/>
                  </w:divBdr>
                  <w:divsChild>
                    <w:div w:id="1531843850">
                      <w:marLeft w:val="0"/>
                      <w:marRight w:val="0"/>
                      <w:marTop w:val="0"/>
                      <w:marBottom w:val="0"/>
                      <w:divBdr>
                        <w:top w:val="none" w:sz="0" w:space="0" w:color="auto"/>
                        <w:left w:val="none" w:sz="0" w:space="0" w:color="auto"/>
                        <w:bottom w:val="none" w:sz="0" w:space="0" w:color="auto"/>
                        <w:right w:val="none" w:sz="0" w:space="0" w:color="auto"/>
                      </w:divBdr>
                    </w:div>
                  </w:divsChild>
                </w:div>
                <w:div w:id="1102914701">
                  <w:marLeft w:val="0"/>
                  <w:marRight w:val="0"/>
                  <w:marTop w:val="0"/>
                  <w:marBottom w:val="0"/>
                  <w:divBdr>
                    <w:top w:val="none" w:sz="0" w:space="0" w:color="auto"/>
                    <w:left w:val="none" w:sz="0" w:space="0" w:color="auto"/>
                    <w:bottom w:val="none" w:sz="0" w:space="0" w:color="auto"/>
                    <w:right w:val="none" w:sz="0" w:space="0" w:color="auto"/>
                  </w:divBdr>
                  <w:divsChild>
                    <w:div w:id="1491559593">
                      <w:marLeft w:val="0"/>
                      <w:marRight w:val="0"/>
                      <w:marTop w:val="0"/>
                      <w:marBottom w:val="0"/>
                      <w:divBdr>
                        <w:top w:val="none" w:sz="0" w:space="0" w:color="auto"/>
                        <w:left w:val="none" w:sz="0" w:space="0" w:color="auto"/>
                        <w:bottom w:val="none" w:sz="0" w:space="0" w:color="auto"/>
                        <w:right w:val="none" w:sz="0" w:space="0" w:color="auto"/>
                      </w:divBdr>
                    </w:div>
                  </w:divsChild>
                </w:div>
                <w:div w:id="1105349692">
                  <w:marLeft w:val="0"/>
                  <w:marRight w:val="0"/>
                  <w:marTop w:val="0"/>
                  <w:marBottom w:val="0"/>
                  <w:divBdr>
                    <w:top w:val="none" w:sz="0" w:space="0" w:color="auto"/>
                    <w:left w:val="none" w:sz="0" w:space="0" w:color="auto"/>
                    <w:bottom w:val="none" w:sz="0" w:space="0" w:color="auto"/>
                    <w:right w:val="none" w:sz="0" w:space="0" w:color="auto"/>
                  </w:divBdr>
                  <w:divsChild>
                    <w:div w:id="629166264">
                      <w:marLeft w:val="0"/>
                      <w:marRight w:val="0"/>
                      <w:marTop w:val="0"/>
                      <w:marBottom w:val="0"/>
                      <w:divBdr>
                        <w:top w:val="none" w:sz="0" w:space="0" w:color="auto"/>
                        <w:left w:val="none" w:sz="0" w:space="0" w:color="auto"/>
                        <w:bottom w:val="none" w:sz="0" w:space="0" w:color="auto"/>
                        <w:right w:val="none" w:sz="0" w:space="0" w:color="auto"/>
                      </w:divBdr>
                    </w:div>
                  </w:divsChild>
                </w:div>
                <w:div w:id="1114784006">
                  <w:marLeft w:val="0"/>
                  <w:marRight w:val="0"/>
                  <w:marTop w:val="0"/>
                  <w:marBottom w:val="0"/>
                  <w:divBdr>
                    <w:top w:val="none" w:sz="0" w:space="0" w:color="auto"/>
                    <w:left w:val="none" w:sz="0" w:space="0" w:color="auto"/>
                    <w:bottom w:val="none" w:sz="0" w:space="0" w:color="auto"/>
                    <w:right w:val="none" w:sz="0" w:space="0" w:color="auto"/>
                  </w:divBdr>
                  <w:divsChild>
                    <w:div w:id="1344894022">
                      <w:marLeft w:val="0"/>
                      <w:marRight w:val="0"/>
                      <w:marTop w:val="0"/>
                      <w:marBottom w:val="0"/>
                      <w:divBdr>
                        <w:top w:val="none" w:sz="0" w:space="0" w:color="auto"/>
                        <w:left w:val="none" w:sz="0" w:space="0" w:color="auto"/>
                        <w:bottom w:val="none" w:sz="0" w:space="0" w:color="auto"/>
                        <w:right w:val="none" w:sz="0" w:space="0" w:color="auto"/>
                      </w:divBdr>
                    </w:div>
                  </w:divsChild>
                </w:div>
                <w:div w:id="1118253489">
                  <w:marLeft w:val="0"/>
                  <w:marRight w:val="0"/>
                  <w:marTop w:val="0"/>
                  <w:marBottom w:val="0"/>
                  <w:divBdr>
                    <w:top w:val="none" w:sz="0" w:space="0" w:color="auto"/>
                    <w:left w:val="none" w:sz="0" w:space="0" w:color="auto"/>
                    <w:bottom w:val="none" w:sz="0" w:space="0" w:color="auto"/>
                    <w:right w:val="none" w:sz="0" w:space="0" w:color="auto"/>
                  </w:divBdr>
                  <w:divsChild>
                    <w:div w:id="136997100">
                      <w:marLeft w:val="0"/>
                      <w:marRight w:val="0"/>
                      <w:marTop w:val="0"/>
                      <w:marBottom w:val="0"/>
                      <w:divBdr>
                        <w:top w:val="none" w:sz="0" w:space="0" w:color="auto"/>
                        <w:left w:val="none" w:sz="0" w:space="0" w:color="auto"/>
                        <w:bottom w:val="none" w:sz="0" w:space="0" w:color="auto"/>
                        <w:right w:val="none" w:sz="0" w:space="0" w:color="auto"/>
                      </w:divBdr>
                    </w:div>
                  </w:divsChild>
                </w:div>
                <w:div w:id="1127161547">
                  <w:marLeft w:val="0"/>
                  <w:marRight w:val="0"/>
                  <w:marTop w:val="0"/>
                  <w:marBottom w:val="0"/>
                  <w:divBdr>
                    <w:top w:val="none" w:sz="0" w:space="0" w:color="auto"/>
                    <w:left w:val="none" w:sz="0" w:space="0" w:color="auto"/>
                    <w:bottom w:val="none" w:sz="0" w:space="0" w:color="auto"/>
                    <w:right w:val="none" w:sz="0" w:space="0" w:color="auto"/>
                  </w:divBdr>
                  <w:divsChild>
                    <w:div w:id="717515979">
                      <w:marLeft w:val="0"/>
                      <w:marRight w:val="0"/>
                      <w:marTop w:val="0"/>
                      <w:marBottom w:val="0"/>
                      <w:divBdr>
                        <w:top w:val="none" w:sz="0" w:space="0" w:color="auto"/>
                        <w:left w:val="none" w:sz="0" w:space="0" w:color="auto"/>
                        <w:bottom w:val="none" w:sz="0" w:space="0" w:color="auto"/>
                        <w:right w:val="none" w:sz="0" w:space="0" w:color="auto"/>
                      </w:divBdr>
                    </w:div>
                  </w:divsChild>
                </w:div>
                <w:div w:id="1135099105">
                  <w:marLeft w:val="0"/>
                  <w:marRight w:val="0"/>
                  <w:marTop w:val="0"/>
                  <w:marBottom w:val="0"/>
                  <w:divBdr>
                    <w:top w:val="none" w:sz="0" w:space="0" w:color="auto"/>
                    <w:left w:val="none" w:sz="0" w:space="0" w:color="auto"/>
                    <w:bottom w:val="none" w:sz="0" w:space="0" w:color="auto"/>
                    <w:right w:val="none" w:sz="0" w:space="0" w:color="auto"/>
                  </w:divBdr>
                  <w:divsChild>
                    <w:div w:id="2028633102">
                      <w:marLeft w:val="0"/>
                      <w:marRight w:val="0"/>
                      <w:marTop w:val="0"/>
                      <w:marBottom w:val="0"/>
                      <w:divBdr>
                        <w:top w:val="none" w:sz="0" w:space="0" w:color="auto"/>
                        <w:left w:val="none" w:sz="0" w:space="0" w:color="auto"/>
                        <w:bottom w:val="none" w:sz="0" w:space="0" w:color="auto"/>
                        <w:right w:val="none" w:sz="0" w:space="0" w:color="auto"/>
                      </w:divBdr>
                    </w:div>
                  </w:divsChild>
                </w:div>
                <w:div w:id="1140925220">
                  <w:marLeft w:val="0"/>
                  <w:marRight w:val="0"/>
                  <w:marTop w:val="0"/>
                  <w:marBottom w:val="0"/>
                  <w:divBdr>
                    <w:top w:val="none" w:sz="0" w:space="0" w:color="auto"/>
                    <w:left w:val="none" w:sz="0" w:space="0" w:color="auto"/>
                    <w:bottom w:val="none" w:sz="0" w:space="0" w:color="auto"/>
                    <w:right w:val="none" w:sz="0" w:space="0" w:color="auto"/>
                  </w:divBdr>
                  <w:divsChild>
                    <w:div w:id="677149663">
                      <w:marLeft w:val="0"/>
                      <w:marRight w:val="0"/>
                      <w:marTop w:val="0"/>
                      <w:marBottom w:val="0"/>
                      <w:divBdr>
                        <w:top w:val="none" w:sz="0" w:space="0" w:color="auto"/>
                        <w:left w:val="none" w:sz="0" w:space="0" w:color="auto"/>
                        <w:bottom w:val="none" w:sz="0" w:space="0" w:color="auto"/>
                        <w:right w:val="none" w:sz="0" w:space="0" w:color="auto"/>
                      </w:divBdr>
                    </w:div>
                  </w:divsChild>
                </w:div>
                <w:div w:id="1141729089">
                  <w:marLeft w:val="0"/>
                  <w:marRight w:val="0"/>
                  <w:marTop w:val="0"/>
                  <w:marBottom w:val="0"/>
                  <w:divBdr>
                    <w:top w:val="none" w:sz="0" w:space="0" w:color="auto"/>
                    <w:left w:val="none" w:sz="0" w:space="0" w:color="auto"/>
                    <w:bottom w:val="none" w:sz="0" w:space="0" w:color="auto"/>
                    <w:right w:val="none" w:sz="0" w:space="0" w:color="auto"/>
                  </w:divBdr>
                  <w:divsChild>
                    <w:div w:id="1649508039">
                      <w:marLeft w:val="0"/>
                      <w:marRight w:val="0"/>
                      <w:marTop w:val="0"/>
                      <w:marBottom w:val="0"/>
                      <w:divBdr>
                        <w:top w:val="none" w:sz="0" w:space="0" w:color="auto"/>
                        <w:left w:val="none" w:sz="0" w:space="0" w:color="auto"/>
                        <w:bottom w:val="none" w:sz="0" w:space="0" w:color="auto"/>
                        <w:right w:val="none" w:sz="0" w:space="0" w:color="auto"/>
                      </w:divBdr>
                    </w:div>
                  </w:divsChild>
                </w:div>
                <w:div w:id="1159614865">
                  <w:marLeft w:val="0"/>
                  <w:marRight w:val="0"/>
                  <w:marTop w:val="0"/>
                  <w:marBottom w:val="0"/>
                  <w:divBdr>
                    <w:top w:val="none" w:sz="0" w:space="0" w:color="auto"/>
                    <w:left w:val="none" w:sz="0" w:space="0" w:color="auto"/>
                    <w:bottom w:val="none" w:sz="0" w:space="0" w:color="auto"/>
                    <w:right w:val="none" w:sz="0" w:space="0" w:color="auto"/>
                  </w:divBdr>
                  <w:divsChild>
                    <w:div w:id="216166109">
                      <w:marLeft w:val="0"/>
                      <w:marRight w:val="0"/>
                      <w:marTop w:val="0"/>
                      <w:marBottom w:val="0"/>
                      <w:divBdr>
                        <w:top w:val="none" w:sz="0" w:space="0" w:color="auto"/>
                        <w:left w:val="none" w:sz="0" w:space="0" w:color="auto"/>
                        <w:bottom w:val="none" w:sz="0" w:space="0" w:color="auto"/>
                        <w:right w:val="none" w:sz="0" w:space="0" w:color="auto"/>
                      </w:divBdr>
                    </w:div>
                  </w:divsChild>
                </w:div>
                <w:div w:id="1195079908">
                  <w:marLeft w:val="0"/>
                  <w:marRight w:val="0"/>
                  <w:marTop w:val="0"/>
                  <w:marBottom w:val="0"/>
                  <w:divBdr>
                    <w:top w:val="none" w:sz="0" w:space="0" w:color="auto"/>
                    <w:left w:val="none" w:sz="0" w:space="0" w:color="auto"/>
                    <w:bottom w:val="none" w:sz="0" w:space="0" w:color="auto"/>
                    <w:right w:val="none" w:sz="0" w:space="0" w:color="auto"/>
                  </w:divBdr>
                  <w:divsChild>
                    <w:div w:id="1921676952">
                      <w:marLeft w:val="0"/>
                      <w:marRight w:val="0"/>
                      <w:marTop w:val="0"/>
                      <w:marBottom w:val="0"/>
                      <w:divBdr>
                        <w:top w:val="none" w:sz="0" w:space="0" w:color="auto"/>
                        <w:left w:val="none" w:sz="0" w:space="0" w:color="auto"/>
                        <w:bottom w:val="none" w:sz="0" w:space="0" w:color="auto"/>
                        <w:right w:val="none" w:sz="0" w:space="0" w:color="auto"/>
                      </w:divBdr>
                    </w:div>
                  </w:divsChild>
                </w:div>
                <w:div w:id="1201089880">
                  <w:marLeft w:val="0"/>
                  <w:marRight w:val="0"/>
                  <w:marTop w:val="0"/>
                  <w:marBottom w:val="0"/>
                  <w:divBdr>
                    <w:top w:val="none" w:sz="0" w:space="0" w:color="auto"/>
                    <w:left w:val="none" w:sz="0" w:space="0" w:color="auto"/>
                    <w:bottom w:val="none" w:sz="0" w:space="0" w:color="auto"/>
                    <w:right w:val="none" w:sz="0" w:space="0" w:color="auto"/>
                  </w:divBdr>
                  <w:divsChild>
                    <w:div w:id="84692536">
                      <w:marLeft w:val="0"/>
                      <w:marRight w:val="0"/>
                      <w:marTop w:val="0"/>
                      <w:marBottom w:val="0"/>
                      <w:divBdr>
                        <w:top w:val="none" w:sz="0" w:space="0" w:color="auto"/>
                        <w:left w:val="none" w:sz="0" w:space="0" w:color="auto"/>
                        <w:bottom w:val="none" w:sz="0" w:space="0" w:color="auto"/>
                        <w:right w:val="none" w:sz="0" w:space="0" w:color="auto"/>
                      </w:divBdr>
                    </w:div>
                  </w:divsChild>
                </w:div>
                <w:div w:id="1207449510">
                  <w:marLeft w:val="0"/>
                  <w:marRight w:val="0"/>
                  <w:marTop w:val="0"/>
                  <w:marBottom w:val="0"/>
                  <w:divBdr>
                    <w:top w:val="none" w:sz="0" w:space="0" w:color="auto"/>
                    <w:left w:val="none" w:sz="0" w:space="0" w:color="auto"/>
                    <w:bottom w:val="none" w:sz="0" w:space="0" w:color="auto"/>
                    <w:right w:val="none" w:sz="0" w:space="0" w:color="auto"/>
                  </w:divBdr>
                  <w:divsChild>
                    <w:div w:id="77025424">
                      <w:marLeft w:val="0"/>
                      <w:marRight w:val="0"/>
                      <w:marTop w:val="0"/>
                      <w:marBottom w:val="0"/>
                      <w:divBdr>
                        <w:top w:val="none" w:sz="0" w:space="0" w:color="auto"/>
                        <w:left w:val="none" w:sz="0" w:space="0" w:color="auto"/>
                        <w:bottom w:val="none" w:sz="0" w:space="0" w:color="auto"/>
                        <w:right w:val="none" w:sz="0" w:space="0" w:color="auto"/>
                      </w:divBdr>
                    </w:div>
                  </w:divsChild>
                </w:div>
                <w:div w:id="1209562495">
                  <w:marLeft w:val="0"/>
                  <w:marRight w:val="0"/>
                  <w:marTop w:val="0"/>
                  <w:marBottom w:val="0"/>
                  <w:divBdr>
                    <w:top w:val="none" w:sz="0" w:space="0" w:color="auto"/>
                    <w:left w:val="none" w:sz="0" w:space="0" w:color="auto"/>
                    <w:bottom w:val="none" w:sz="0" w:space="0" w:color="auto"/>
                    <w:right w:val="none" w:sz="0" w:space="0" w:color="auto"/>
                  </w:divBdr>
                  <w:divsChild>
                    <w:div w:id="1861354324">
                      <w:marLeft w:val="0"/>
                      <w:marRight w:val="0"/>
                      <w:marTop w:val="0"/>
                      <w:marBottom w:val="0"/>
                      <w:divBdr>
                        <w:top w:val="none" w:sz="0" w:space="0" w:color="auto"/>
                        <w:left w:val="none" w:sz="0" w:space="0" w:color="auto"/>
                        <w:bottom w:val="none" w:sz="0" w:space="0" w:color="auto"/>
                        <w:right w:val="none" w:sz="0" w:space="0" w:color="auto"/>
                      </w:divBdr>
                    </w:div>
                  </w:divsChild>
                </w:div>
                <w:div w:id="1221750113">
                  <w:marLeft w:val="0"/>
                  <w:marRight w:val="0"/>
                  <w:marTop w:val="0"/>
                  <w:marBottom w:val="0"/>
                  <w:divBdr>
                    <w:top w:val="none" w:sz="0" w:space="0" w:color="auto"/>
                    <w:left w:val="none" w:sz="0" w:space="0" w:color="auto"/>
                    <w:bottom w:val="none" w:sz="0" w:space="0" w:color="auto"/>
                    <w:right w:val="none" w:sz="0" w:space="0" w:color="auto"/>
                  </w:divBdr>
                  <w:divsChild>
                    <w:div w:id="1185442545">
                      <w:marLeft w:val="0"/>
                      <w:marRight w:val="0"/>
                      <w:marTop w:val="0"/>
                      <w:marBottom w:val="0"/>
                      <w:divBdr>
                        <w:top w:val="none" w:sz="0" w:space="0" w:color="auto"/>
                        <w:left w:val="none" w:sz="0" w:space="0" w:color="auto"/>
                        <w:bottom w:val="none" w:sz="0" w:space="0" w:color="auto"/>
                        <w:right w:val="none" w:sz="0" w:space="0" w:color="auto"/>
                      </w:divBdr>
                    </w:div>
                  </w:divsChild>
                </w:div>
                <w:div w:id="1247688196">
                  <w:marLeft w:val="0"/>
                  <w:marRight w:val="0"/>
                  <w:marTop w:val="0"/>
                  <w:marBottom w:val="0"/>
                  <w:divBdr>
                    <w:top w:val="none" w:sz="0" w:space="0" w:color="auto"/>
                    <w:left w:val="none" w:sz="0" w:space="0" w:color="auto"/>
                    <w:bottom w:val="none" w:sz="0" w:space="0" w:color="auto"/>
                    <w:right w:val="none" w:sz="0" w:space="0" w:color="auto"/>
                  </w:divBdr>
                  <w:divsChild>
                    <w:div w:id="1366980158">
                      <w:marLeft w:val="0"/>
                      <w:marRight w:val="0"/>
                      <w:marTop w:val="0"/>
                      <w:marBottom w:val="0"/>
                      <w:divBdr>
                        <w:top w:val="none" w:sz="0" w:space="0" w:color="auto"/>
                        <w:left w:val="none" w:sz="0" w:space="0" w:color="auto"/>
                        <w:bottom w:val="none" w:sz="0" w:space="0" w:color="auto"/>
                        <w:right w:val="none" w:sz="0" w:space="0" w:color="auto"/>
                      </w:divBdr>
                    </w:div>
                  </w:divsChild>
                </w:div>
                <w:div w:id="1251503400">
                  <w:marLeft w:val="0"/>
                  <w:marRight w:val="0"/>
                  <w:marTop w:val="0"/>
                  <w:marBottom w:val="0"/>
                  <w:divBdr>
                    <w:top w:val="none" w:sz="0" w:space="0" w:color="auto"/>
                    <w:left w:val="none" w:sz="0" w:space="0" w:color="auto"/>
                    <w:bottom w:val="none" w:sz="0" w:space="0" w:color="auto"/>
                    <w:right w:val="none" w:sz="0" w:space="0" w:color="auto"/>
                  </w:divBdr>
                  <w:divsChild>
                    <w:div w:id="715396977">
                      <w:marLeft w:val="0"/>
                      <w:marRight w:val="0"/>
                      <w:marTop w:val="0"/>
                      <w:marBottom w:val="0"/>
                      <w:divBdr>
                        <w:top w:val="none" w:sz="0" w:space="0" w:color="auto"/>
                        <w:left w:val="none" w:sz="0" w:space="0" w:color="auto"/>
                        <w:bottom w:val="none" w:sz="0" w:space="0" w:color="auto"/>
                        <w:right w:val="none" w:sz="0" w:space="0" w:color="auto"/>
                      </w:divBdr>
                    </w:div>
                  </w:divsChild>
                </w:div>
                <w:div w:id="1252809865">
                  <w:marLeft w:val="0"/>
                  <w:marRight w:val="0"/>
                  <w:marTop w:val="0"/>
                  <w:marBottom w:val="0"/>
                  <w:divBdr>
                    <w:top w:val="none" w:sz="0" w:space="0" w:color="auto"/>
                    <w:left w:val="none" w:sz="0" w:space="0" w:color="auto"/>
                    <w:bottom w:val="none" w:sz="0" w:space="0" w:color="auto"/>
                    <w:right w:val="none" w:sz="0" w:space="0" w:color="auto"/>
                  </w:divBdr>
                  <w:divsChild>
                    <w:div w:id="772628278">
                      <w:marLeft w:val="0"/>
                      <w:marRight w:val="0"/>
                      <w:marTop w:val="0"/>
                      <w:marBottom w:val="0"/>
                      <w:divBdr>
                        <w:top w:val="none" w:sz="0" w:space="0" w:color="auto"/>
                        <w:left w:val="none" w:sz="0" w:space="0" w:color="auto"/>
                        <w:bottom w:val="none" w:sz="0" w:space="0" w:color="auto"/>
                        <w:right w:val="none" w:sz="0" w:space="0" w:color="auto"/>
                      </w:divBdr>
                    </w:div>
                  </w:divsChild>
                </w:div>
                <w:div w:id="1257248719">
                  <w:marLeft w:val="0"/>
                  <w:marRight w:val="0"/>
                  <w:marTop w:val="0"/>
                  <w:marBottom w:val="0"/>
                  <w:divBdr>
                    <w:top w:val="none" w:sz="0" w:space="0" w:color="auto"/>
                    <w:left w:val="none" w:sz="0" w:space="0" w:color="auto"/>
                    <w:bottom w:val="none" w:sz="0" w:space="0" w:color="auto"/>
                    <w:right w:val="none" w:sz="0" w:space="0" w:color="auto"/>
                  </w:divBdr>
                  <w:divsChild>
                    <w:div w:id="2132936489">
                      <w:marLeft w:val="0"/>
                      <w:marRight w:val="0"/>
                      <w:marTop w:val="0"/>
                      <w:marBottom w:val="0"/>
                      <w:divBdr>
                        <w:top w:val="none" w:sz="0" w:space="0" w:color="auto"/>
                        <w:left w:val="none" w:sz="0" w:space="0" w:color="auto"/>
                        <w:bottom w:val="none" w:sz="0" w:space="0" w:color="auto"/>
                        <w:right w:val="none" w:sz="0" w:space="0" w:color="auto"/>
                      </w:divBdr>
                    </w:div>
                  </w:divsChild>
                </w:div>
                <w:div w:id="1257862006">
                  <w:marLeft w:val="0"/>
                  <w:marRight w:val="0"/>
                  <w:marTop w:val="0"/>
                  <w:marBottom w:val="0"/>
                  <w:divBdr>
                    <w:top w:val="none" w:sz="0" w:space="0" w:color="auto"/>
                    <w:left w:val="none" w:sz="0" w:space="0" w:color="auto"/>
                    <w:bottom w:val="none" w:sz="0" w:space="0" w:color="auto"/>
                    <w:right w:val="none" w:sz="0" w:space="0" w:color="auto"/>
                  </w:divBdr>
                  <w:divsChild>
                    <w:div w:id="1513565663">
                      <w:marLeft w:val="0"/>
                      <w:marRight w:val="0"/>
                      <w:marTop w:val="0"/>
                      <w:marBottom w:val="0"/>
                      <w:divBdr>
                        <w:top w:val="none" w:sz="0" w:space="0" w:color="auto"/>
                        <w:left w:val="none" w:sz="0" w:space="0" w:color="auto"/>
                        <w:bottom w:val="none" w:sz="0" w:space="0" w:color="auto"/>
                        <w:right w:val="none" w:sz="0" w:space="0" w:color="auto"/>
                      </w:divBdr>
                    </w:div>
                  </w:divsChild>
                </w:div>
                <w:div w:id="1264143222">
                  <w:marLeft w:val="0"/>
                  <w:marRight w:val="0"/>
                  <w:marTop w:val="0"/>
                  <w:marBottom w:val="0"/>
                  <w:divBdr>
                    <w:top w:val="none" w:sz="0" w:space="0" w:color="auto"/>
                    <w:left w:val="none" w:sz="0" w:space="0" w:color="auto"/>
                    <w:bottom w:val="none" w:sz="0" w:space="0" w:color="auto"/>
                    <w:right w:val="none" w:sz="0" w:space="0" w:color="auto"/>
                  </w:divBdr>
                  <w:divsChild>
                    <w:div w:id="759986336">
                      <w:marLeft w:val="0"/>
                      <w:marRight w:val="0"/>
                      <w:marTop w:val="0"/>
                      <w:marBottom w:val="0"/>
                      <w:divBdr>
                        <w:top w:val="none" w:sz="0" w:space="0" w:color="auto"/>
                        <w:left w:val="none" w:sz="0" w:space="0" w:color="auto"/>
                        <w:bottom w:val="none" w:sz="0" w:space="0" w:color="auto"/>
                        <w:right w:val="none" w:sz="0" w:space="0" w:color="auto"/>
                      </w:divBdr>
                    </w:div>
                  </w:divsChild>
                </w:div>
                <w:div w:id="1281110942">
                  <w:marLeft w:val="0"/>
                  <w:marRight w:val="0"/>
                  <w:marTop w:val="0"/>
                  <w:marBottom w:val="0"/>
                  <w:divBdr>
                    <w:top w:val="none" w:sz="0" w:space="0" w:color="auto"/>
                    <w:left w:val="none" w:sz="0" w:space="0" w:color="auto"/>
                    <w:bottom w:val="none" w:sz="0" w:space="0" w:color="auto"/>
                    <w:right w:val="none" w:sz="0" w:space="0" w:color="auto"/>
                  </w:divBdr>
                  <w:divsChild>
                    <w:div w:id="1924878817">
                      <w:marLeft w:val="0"/>
                      <w:marRight w:val="0"/>
                      <w:marTop w:val="0"/>
                      <w:marBottom w:val="0"/>
                      <w:divBdr>
                        <w:top w:val="none" w:sz="0" w:space="0" w:color="auto"/>
                        <w:left w:val="none" w:sz="0" w:space="0" w:color="auto"/>
                        <w:bottom w:val="none" w:sz="0" w:space="0" w:color="auto"/>
                        <w:right w:val="none" w:sz="0" w:space="0" w:color="auto"/>
                      </w:divBdr>
                    </w:div>
                  </w:divsChild>
                </w:div>
                <w:div w:id="1287586265">
                  <w:marLeft w:val="0"/>
                  <w:marRight w:val="0"/>
                  <w:marTop w:val="0"/>
                  <w:marBottom w:val="0"/>
                  <w:divBdr>
                    <w:top w:val="none" w:sz="0" w:space="0" w:color="auto"/>
                    <w:left w:val="none" w:sz="0" w:space="0" w:color="auto"/>
                    <w:bottom w:val="none" w:sz="0" w:space="0" w:color="auto"/>
                    <w:right w:val="none" w:sz="0" w:space="0" w:color="auto"/>
                  </w:divBdr>
                  <w:divsChild>
                    <w:div w:id="143007935">
                      <w:marLeft w:val="0"/>
                      <w:marRight w:val="0"/>
                      <w:marTop w:val="0"/>
                      <w:marBottom w:val="0"/>
                      <w:divBdr>
                        <w:top w:val="none" w:sz="0" w:space="0" w:color="auto"/>
                        <w:left w:val="none" w:sz="0" w:space="0" w:color="auto"/>
                        <w:bottom w:val="none" w:sz="0" w:space="0" w:color="auto"/>
                        <w:right w:val="none" w:sz="0" w:space="0" w:color="auto"/>
                      </w:divBdr>
                    </w:div>
                  </w:divsChild>
                </w:div>
                <w:div w:id="1299724517">
                  <w:marLeft w:val="0"/>
                  <w:marRight w:val="0"/>
                  <w:marTop w:val="0"/>
                  <w:marBottom w:val="0"/>
                  <w:divBdr>
                    <w:top w:val="none" w:sz="0" w:space="0" w:color="auto"/>
                    <w:left w:val="none" w:sz="0" w:space="0" w:color="auto"/>
                    <w:bottom w:val="none" w:sz="0" w:space="0" w:color="auto"/>
                    <w:right w:val="none" w:sz="0" w:space="0" w:color="auto"/>
                  </w:divBdr>
                  <w:divsChild>
                    <w:div w:id="475804953">
                      <w:marLeft w:val="0"/>
                      <w:marRight w:val="0"/>
                      <w:marTop w:val="0"/>
                      <w:marBottom w:val="0"/>
                      <w:divBdr>
                        <w:top w:val="none" w:sz="0" w:space="0" w:color="auto"/>
                        <w:left w:val="none" w:sz="0" w:space="0" w:color="auto"/>
                        <w:bottom w:val="none" w:sz="0" w:space="0" w:color="auto"/>
                        <w:right w:val="none" w:sz="0" w:space="0" w:color="auto"/>
                      </w:divBdr>
                    </w:div>
                    <w:div w:id="622808855">
                      <w:marLeft w:val="0"/>
                      <w:marRight w:val="0"/>
                      <w:marTop w:val="0"/>
                      <w:marBottom w:val="0"/>
                      <w:divBdr>
                        <w:top w:val="none" w:sz="0" w:space="0" w:color="auto"/>
                        <w:left w:val="none" w:sz="0" w:space="0" w:color="auto"/>
                        <w:bottom w:val="none" w:sz="0" w:space="0" w:color="auto"/>
                        <w:right w:val="none" w:sz="0" w:space="0" w:color="auto"/>
                      </w:divBdr>
                    </w:div>
                  </w:divsChild>
                </w:div>
                <w:div w:id="1304889343">
                  <w:marLeft w:val="0"/>
                  <w:marRight w:val="0"/>
                  <w:marTop w:val="0"/>
                  <w:marBottom w:val="0"/>
                  <w:divBdr>
                    <w:top w:val="none" w:sz="0" w:space="0" w:color="auto"/>
                    <w:left w:val="none" w:sz="0" w:space="0" w:color="auto"/>
                    <w:bottom w:val="none" w:sz="0" w:space="0" w:color="auto"/>
                    <w:right w:val="none" w:sz="0" w:space="0" w:color="auto"/>
                  </w:divBdr>
                  <w:divsChild>
                    <w:div w:id="1500655474">
                      <w:marLeft w:val="0"/>
                      <w:marRight w:val="0"/>
                      <w:marTop w:val="0"/>
                      <w:marBottom w:val="0"/>
                      <w:divBdr>
                        <w:top w:val="none" w:sz="0" w:space="0" w:color="auto"/>
                        <w:left w:val="none" w:sz="0" w:space="0" w:color="auto"/>
                        <w:bottom w:val="none" w:sz="0" w:space="0" w:color="auto"/>
                        <w:right w:val="none" w:sz="0" w:space="0" w:color="auto"/>
                      </w:divBdr>
                    </w:div>
                  </w:divsChild>
                </w:div>
                <w:div w:id="1308128225">
                  <w:marLeft w:val="0"/>
                  <w:marRight w:val="0"/>
                  <w:marTop w:val="0"/>
                  <w:marBottom w:val="0"/>
                  <w:divBdr>
                    <w:top w:val="none" w:sz="0" w:space="0" w:color="auto"/>
                    <w:left w:val="none" w:sz="0" w:space="0" w:color="auto"/>
                    <w:bottom w:val="none" w:sz="0" w:space="0" w:color="auto"/>
                    <w:right w:val="none" w:sz="0" w:space="0" w:color="auto"/>
                  </w:divBdr>
                  <w:divsChild>
                    <w:div w:id="1278760014">
                      <w:marLeft w:val="0"/>
                      <w:marRight w:val="0"/>
                      <w:marTop w:val="0"/>
                      <w:marBottom w:val="0"/>
                      <w:divBdr>
                        <w:top w:val="none" w:sz="0" w:space="0" w:color="auto"/>
                        <w:left w:val="none" w:sz="0" w:space="0" w:color="auto"/>
                        <w:bottom w:val="none" w:sz="0" w:space="0" w:color="auto"/>
                        <w:right w:val="none" w:sz="0" w:space="0" w:color="auto"/>
                      </w:divBdr>
                    </w:div>
                  </w:divsChild>
                </w:div>
                <w:div w:id="1310401360">
                  <w:marLeft w:val="0"/>
                  <w:marRight w:val="0"/>
                  <w:marTop w:val="0"/>
                  <w:marBottom w:val="0"/>
                  <w:divBdr>
                    <w:top w:val="none" w:sz="0" w:space="0" w:color="auto"/>
                    <w:left w:val="none" w:sz="0" w:space="0" w:color="auto"/>
                    <w:bottom w:val="none" w:sz="0" w:space="0" w:color="auto"/>
                    <w:right w:val="none" w:sz="0" w:space="0" w:color="auto"/>
                  </w:divBdr>
                  <w:divsChild>
                    <w:div w:id="413823867">
                      <w:marLeft w:val="0"/>
                      <w:marRight w:val="0"/>
                      <w:marTop w:val="0"/>
                      <w:marBottom w:val="0"/>
                      <w:divBdr>
                        <w:top w:val="none" w:sz="0" w:space="0" w:color="auto"/>
                        <w:left w:val="none" w:sz="0" w:space="0" w:color="auto"/>
                        <w:bottom w:val="none" w:sz="0" w:space="0" w:color="auto"/>
                        <w:right w:val="none" w:sz="0" w:space="0" w:color="auto"/>
                      </w:divBdr>
                    </w:div>
                  </w:divsChild>
                </w:div>
                <w:div w:id="1315064643">
                  <w:marLeft w:val="0"/>
                  <w:marRight w:val="0"/>
                  <w:marTop w:val="0"/>
                  <w:marBottom w:val="0"/>
                  <w:divBdr>
                    <w:top w:val="none" w:sz="0" w:space="0" w:color="auto"/>
                    <w:left w:val="none" w:sz="0" w:space="0" w:color="auto"/>
                    <w:bottom w:val="none" w:sz="0" w:space="0" w:color="auto"/>
                    <w:right w:val="none" w:sz="0" w:space="0" w:color="auto"/>
                  </w:divBdr>
                  <w:divsChild>
                    <w:div w:id="1890410284">
                      <w:marLeft w:val="0"/>
                      <w:marRight w:val="0"/>
                      <w:marTop w:val="0"/>
                      <w:marBottom w:val="0"/>
                      <w:divBdr>
                        <w:top w:val="none" w:sz="0" w:space="0" w:color="auto"/>
                        <w:left w:val="none" w:sz="0" w:space="0" w:color="auto"/>
                        <w:bottom w:val="none" w:sz="0" w:space="0" w:color="auto"/>
                        <w:right w:val="none" w:sz="0" w:space="0" w:color="auto"/>
                      </w:divBdr>
                    </w:div>
                  </w:divsChild>
                </w:div>
                <w:div w:id="1319310205">
                  <w:marLeft w:val="0"/>
                  <w:marRight w:val="0"/>
                  <w:marTop w:val="0"/>
                  <w:marBottom w:val="0"/>
                  <w:divBdr>
                    <w:top w:val="none" w:sz="0" w:space="0" w:color="auto"/>
                    <w:left w:val="none" w:sz="0" w:space="0" w:color="auto"/>
                    <w:bottom w:val="none" w:sz="0" w:space="0" w:color="auto"/>
                    <w:right w:val="none" w:sz="0" w:space="0" w:color="auto"/>
                  </w:divBdr>
                  <w:divsChild>
                    <w:div w:id="235433443">
                      <w:marLeft w:val="0"/>
                      <w:marRight w:val="0"/>
                      <w:marTop w:val="0"/>
                      <w:marBottom w:val="0"/>
                      <w:divBdr>
                        <w:top w:val="none" w:sz="0" w:space="0" w:color="auto"/>
                        <w:left w:val="none" w:sz="0" w:space="0" w:color="auto"/>
                        <w:bottom w:val="none" w:sz="0" w:space="0" w:color="auto"/>
                        <w:right w:val="none" w:sz="0" w:space="0" w:color="auto"/>
                      </w:divBdr>
                    </w:div>
                  </w:divsChild>
                </w:div>
                <w:div w:id="1323313771">
                  <w:marLeft w:val="0"/>
                  <w:marRight w:val="0"/>
                  <w:marTop w:val="0"/>
                  <w:marBottom w:val="0"/>
                  <w:divBdr>
                    <w:top w:val="none" w:sz="0" w:space="0" w:color="auto"/>
                    <w:left w:val="none" w:sz="0" w:space="0" w:color="auto"/>
                    <w:bottom w:val="none" w:sz="0" w:space="0" w:color="auto"/>
                    <w:right w:val="none" w:sz="0" w:space="0" w:color="auto"/>
                  </w:divBdr>
                  <w:divsChild>
                    <w:div w:id="103421505">
                      <w:marLeft w:val="0"/>
                      <w:marRight w:val="0"/>
                      <w:marTop w:val="0"/>
                      <w:marBottom w:val="0"/>
                      <w:divBdr>
                        <w:top w:val="none" w:sz="0" w:space="0" w:color="auto"/>
                        <w:left w:val="none" w:sz="0" w:space="0" w:color="auto"/>
                        <w:bottom w:val="none" w:sz="0" w:space="0" w:color="auto"/>
                        <w:right w:val="none" w:sz="0" w:space="0" w:color="auto"/>
                      </w:divBdr>
                    </w:div>
                  </w:divsChild>
                </w:div>
                <w:div w:id="1334185462">
                  <w:marLeft w:val="0"/>
                  <w:marRight w:val="0"/>
                  <w:marTop w:val="0"/>
                  <w:marBottom w:val="0"/>
                  <w:divBdr>
                    <w:top w:val="none" w:sz="0" w:space="0" w:color="auto"/>
                    <w:left w:val="none" w:sz="0" w:space="0" w:color="auto"/>
                    <w:bottom w:val="none" w:sz="0" w:space="0" w:color="auto"/>
                    <w:right w:val="none" w:sz="0" w:space="0" w:color="auto"/>
                  </w:divBdr>
                  <w:divsChild>
                    <w:div w:id="1708332679">
                      <w:marLeft w:val="0"/>
                      <w:marRight w:val="0"/>
                      <w:marTop w:val="0"/>
                      <w:marBottom w:val="0"/>
                      <w:divBdr>
                        <w:top w:val="none" w:sz="0" w:space="0" w:color="auto"/>
                        <w:left w:val="none" w:sz="0" w:space="0" w:color="auto"/>
                        <w:bottom w:val="none" w:sz="0" w:space="0" w:color="auto"/>
                        <w:right w:val="none" w:sz="0" w:space="0" w:color="auto"/>
                      </w:divBdr>
                    </w:div>
                  </w:divsChild>
                </w:div>
                <w:div w:id="1338002815">
                  <w:marLeft w:val="0"/>
                  <w:marRight w:val="0"/>
                  <w:marTop w:val="0"/>
                  <w:marBottom w:val="0"/>
                  <w:divBdr>
                    <w:top w:val="none" w:sz="0" w:space="0" w:color="auto"/>
                    <w:left w:val="none" w:sz="0" w:space="0" w:color="auto"/>
                    <w:bottom w:val="none" w:sz="0" w:space="0" w:color="auto"/>
                    <w:right w:val="none" w:sz="0" w:space="0" w:color="auto"/>
                  </w:divBdr>
                  <w:divsChild>
                    <w:div w:id="1987079127">
                      <w:marLeft w:val="0"/>
                      <w:marRight w:val="0"/>
                      <w:marTop w:val="0"/>
                      <w:marBottom w:val="0"/>
                      <w:divBdr>
                        <w:top w:val="none" w:sz="0" w:space="0" w:color="auto"/>
                        <w:left w:val="none" w:sz="0" w:space="0" w:color="auto"/>
                        <w:bottom w:val="none" w:sz="0" w:space="0" w:color="auto"/>
                        <w:right w:val="none" w:sz="0" w:space="0" w:color="auto"/>
                      </w:divBdr>
                    </w:div>
                  </w:divsChild>
                </w:div>
                <w:div w:id="1338657624">
                  <w:marLeft w:val="0"/>
                  <w:marRight w:val="0"/>
                  <w:marTop w:val="0"/>
                  <w:marBottom w:val="0"/>
                  <w:divBdr>
                    <w:top w:val="none" w:sz="0" w:space="0" w:color="auto"/>
                    <w:left w:val="none" w:sz="0" w:space="0" w:color="auto"/>
                    <w:bottom w:val="none" w:sz="0" w:space="0" w:color="auto"/>
                    <w:right w:val="none" w:sz="0" w:space="0" w:color="auto"/>
                  </w:divBdr>
                  <w:divsChild>
                    <w:div w:id="1512329384">
                      <w:marLeft w:val="0"/>
                      <w:marRight w:val="0"/>
                      <w:marTop w:val="0"/>
                      <w:marBottom w:val="0"/>
                      <w:divBdr>
                        <w:top w:val="none" w:sz="0" w:space="0" w:color="auto"/>
                        <w:left w:val="none" w:sz="0" w:space="0" w:color="auto"/>
                        <w:bottom w:val="none" w:sz="0" w:space="0" w:color="auto"/>
                        <w:right w:val="none" w:sz="0" w:space="0" w:color="auto"/>
                      </w:divBdr>
                    </w:div>
                  </w:divsChild>
                </w:div>
                <w:div w:id="1339043030">
                  <w:marLeft w:val="0"/>
                  <w:marRight w:val="0"/>
                  <w:marTop w:val="0"/>
                  <w:marBottom w:val="0"/>
                  <w:divBdr>
                    <w:top w:val="none" w:sz="0" w:space="0" w:color="auto"/>
                    <w:left w:val="none" w:sz="0" w:space="0" w:color="auto"/>
                    <w:bottom w:val="none" w:sz="0" w:space="0" w:color="auto"/>
                    <w:right w:val="none" w:sz="0" w:space="0" w:color="auto"/>
                  </w:divBdr>
                  <w:divsChild>
                    <w:div w:id="1012685065">
                      <w:marLeft w:val="0"/>
                      <w:marRight w:val="0"/>
                      <w:marTop w:val="0"/>
                      <w:marBottom w:val="0"/>
                      <w:divBdr>
                        <w:top w:val="none" w:sz="0" w:space="0" w:color="auto"/>
                        <w:left w:val="none" w:sz="0" w:space="0" w:color="auto"/>
                        <w:bottom w:val="none" w:sz="0" w:space="0" w:color="auto"/>
                        <w:right w:val="none" w:sz="0" w:space="0" w:color="auto"/>
                      </w:divBdr>
                    </w:div>
                  </w:divsChild>
                </w:div>
                <w:div w:id="1339888315">
                  <w:marLeft w:val="0"/>
                  <w:marRight w:val="0"/>
                  <w:marTop w:val="0"/>
                  <w:marBottom w:val="0"/>
                  <w:divBdr>
                    <w:top w:val="none" w:sz="0" w:space="0" w:color="auto"/>
                    <w:left w:val="none" w:sz="0" w:space="0" w:color="auto"/>
                    <w:bottom w:val="none" w:sz="0" w:space="0" w:color="auto"/>
                    <w:right w:val="none" w:sz="0" w:space="0" w:color="auto"/>
                  </w:divBdr>
                  <w:divsChild>
                    <w:div w:id="812719919">
                      <w:marLeft w:val="0"/>
                      <w:marRight w:val="0"/>
                      <w:marTop w:val="0"/>
                      <w:marBottom w:val="0"/>
                      <w:divBdr>
                        <w:top w:val="none" w:sz="0" w:space="0" w:color="auto"/>
                        <w:left w:val="none" w:sz="0" w:space="0" w:color="auto"/>
                        <w:bottom w:val="none" w:sz="0" w:space="0" w:color="auto"/>
                        <w:right w:val="none" w:sz="0" w:space="0" w:color="auto"/>
                      </w:divBdr>
                    </w:div>
                  </w:divsChild>
                </w:div>
                <w:div w:id="1343239476">
                  <w:marLeft w:val="0"/>
                  <w:marRight w:val="0"/>
                  <w:marTop w:val="0"/>
                  <w:marBottom w:val="0"/>
                  <w:divBdr>
                    <w:top w:val="none" w:sz="0" w:space="0" w:color="auto"/>
                    <w:left w:val="none" w:sz="0" w:space="0" w:color="auto"/>
                    <w:bottom w:val="none" w:sz="0" w:space="0" w:color="auto"/>
                    <w:right w:val="none" w:sz="0" w:space="0" w:color="auto"/>
                  </w:divBdr>
                  <w:divsChild>
                    <w:div w:id="2004774638">
                      <w:marLeft w:val="0"/>
                      <w:marRight w:val="0"/>
                      <w:marTop w:val="0"/>
                      <w:marBottom w:val="0"/>
                      <w:divBdr>
                        <w:top w:val="none" w:sz="0" w:space="0" w:color="auto"/>
                        <w:left w:val="none" w:sz="0" w:space="0" w:color="auto"/>
                        <w:bottom w:val="none" w:sz="0" w:space="0" w:color="auto"/>
                        <w:right w:val="none" w:sz="0" w:space="0" w:color="auto"/>
                      </w:divBdr>
                    </w:div>
                  </w:divsChild>
                </w:div>
                <w:div w:id="1344287176">
                  <w:marLeft w:val="0"/>
                  <w:marRight w:val="0"/>
                  <w:marTop w:val="0"/>
                  <w:marBottom w:val="0"/>
                  <w:divBdr>
                    <w:top w:val="none" w:sz="0" w:space="0" w:color="auto"/>
                    <w:left w:val="none" w:sz="0" w:space="0" w:color="auto"/>
                    <w:bottom w:val="none" w:sz="0" w:space="0" w:color="auto"/>
                    <w:right w:val="none" w:sz="0" w:space="0" w:color="auto"/>
                  </w:divBdr>
                  <w:divsChild>
                    <w:div w:id="1520701303">
                      <w:marLeft w:val="0"/>
                      <w:marRight w:val="0"/>
                      <w:marTop w:val="0"/>
                      <w:marBottom w:val="0"/>
                      <w:divBdr>
                        <w:top w:val="none" w:sz="0" w:space="0" w:color="auto"/>
                        <w:left w:val="none" w:sz="0" w:space="0" w:color="auto"/>
                        <w:bottom w:val="none" w:sz="0" w:space="0" w:color="auto"/>
                        <w:right w:val="none" w:sz="0" w:space="0" w:color="auto"/>
                      </w:divBdr>
                    </w:div>
                  </w:divsChild>
                </w:div>
                <w:div w:id="1347436950">
                  <w:marLeft w:val="0"/>
                  <w:marRight w:val="0"/>
                  <w:marTop w:val="0"/>
                  <w:marBottom w:val="0"/>
                  <w:divBdr>
                    <w:top w:val="none" w:sz="0" w:space="0" w:color="auto"/>
                    <w:left w:val="none" w:sz="0" w:space="0" w:color="auto"/>
                    <w:bottom w:val="none" w:sz="0" w:space="0" w:color="auto"/>
                    <w:right w:val="none" w:sz="0" w:space="0" w:color="auto"/>
                  </w:divBdr>
                  <w:divsChild>
                    <w:div w:id="1990941017">
                      <w:marLeft w:val="0"/>
                      <w:marRight w:val="0"/>
                      <w:marTop w:val="0"/>
                      <w:marBottom w:val="0"/>
                      <w:divBdr>
                        <w:top w:val="none" w:sz="0" w:space="0" w:color="auto"/>
                        <w:left w:val="none" w:sz="0" w:space="0" w:color="auto"/>
                        <w:bottom w:val="none" w:sz="0" w:space="0" w:color="auto"/>
                        <w:right w:val="none" w:sz="0" w:space="0" w:color="auto"/>
                      </w:divBdr>
                    </w:div>
                  </w:divsChild>
                </w:div>
                <w:div w:id="1368140212">
                  <w:marLeft w:val="0"/>
                  <w:marRight w:val="0"/>
                  <w:marTop w:val="0"/>
                  <w:marBottom w:val="0"/>
                  <w:divBdr>
                    <w:top w:val="none" w:sz="0" w:space="0" w:color="auto"/>
                    <w:left w:val="none" w:sz="0" w:space="0" w:color="auto"/>
                    <w:bottom w:val="none" w:sz="0" w:space="0" w:color="auto"/>
                    <w:right w:val="none" w:sz="0" w:space="0" w:color="auto"/>
                  </w:divBdr>
                  <w:divsChild>
                    <w:div w:id="2106146365">
                      <w:marLeft w:val="0"/>
                      <w:marRight w:val="0"/>
                      <w:marTop w:val="0"/>
                      <w:marBottom w:val="0"/>
                      <w:divBdr>
                        <w:top w:val="none" w:sz="0" w:space="0" w:color="auto"/>
                        <w:left w:val="none" w:sz="0" w:space="0" w:color="auto"/>
                        <w:bottom w:val="none" w:sz="0" w:space="0" w:color="auto"/>
                        <w:right w:val="none" w:sz="0" w:space="0" w:color="auto"/>
                      </w:divBdr>
                    </w:div>
                  </w:divsChild>
                </w:div>
                <w:div w:id="1380398084">
                  <w:marLeft w:val="0"/>
                  <w:marRight w:val="0"/>
                  <w:marTop w:val="0"/>
                  <w:marBottom w:val="0"/>
                  <w:divBdr>
                    <w:top w:val="none" w:sz="0" w:space="0" w:color="auto"/>
                    <w:left w:val="none" w:sz="0" w:space="0" w:color="auto"/>
                    <w:bottom w:val="none" w:sz="0" w:space="0" w:color="auto"/>
                    <w:right w:val="none" w:sz="0" w:space="0" w:color="auto"/>
                  </w:divBdr>
                  <w:divsChild>
                    <w:div w:id="1640190323">
                      <w:marLeft w:val="0"/>
                      <w:marRight w:val="0"/>
                      <w:marTop w:val="0"/>
                      <w:marBottom w:val="0"/>
                      <w:divBdr>
                        <w:top w:val="none" w:sz="0" w:space="0" w:color="auto"/>
                        <w:left w:val="none" w:sz="0" w:space="0" w:color="auto"/>
                        <w:bottom w:val="none" w:sz="0" w:space="0" w:color="auto"/>
                        <w:right w:val="none" w:sz="0" w:space="0" w:color="auto"/>
                      </w:divBdr>
                    </w:div>
                  </w:divsChild>
                </w:div>
                <w:div w:id="1393695260">
                  <w:marLeft w:val="0"/>
                  <w:marRight w:val="0"/>
                  <w:marTop w:val="0"/>
                  <w:marBottom w:val="0"/>
                  <w:divBdr>
                    <w:top w:val="none" w:sz="0" w:space="0" w:color="auto"/>
                    <w:left w:val="none" w:sz="0" w:space="0" w:color="auto"/>
                    <w:bottom w:val="none" w:sz="0" w:space="0" w:color="auto"/>
                    <w:right w:val="none" w:sz="0" w:space="0" w:color="auto"/>
                  </w:divBdr>
                  <w:divsChild>
                    <w:div w:id="1465123502">
                      <w:marLeft w:val="0"/>
                      <w:marRight w:val="0"/>
                      <w:marTop w:val="0"/>
                      <w:marBottom w:val="0"/>
                      <w:divBdr>
                        <w:top w:val="none" w:sz="0" w:space="0" w:color="auto"/>
                        <w:left w:val="none" w:sz="0" w:space="0" w:color="auto"/>
                        <w:bottom w:val="none" w:sz="0" w:space="0" w:color="auto"/>
                        <w:right w:val="none" w:sz="0" w:space="0" w:color="auto"/>
                      </w:divBdr>
                    </w:div>
                  </w:divsChild>
                </w:div>
                <w:div w:id="1395928068">
                  <w:marLeft w:val="0"/>
                  <w:marRight w:val="0"/>
                  <w:marTop w:val="0"/>
                  <w:marBottom w:val="0"/>
                  <w:divBdr>
                    <w:top w:val="none" w:sz="0" w:space="0" w:color="auto"/>
                    <w:left w:val="none" w:sz="0" w:space="0" w:color="auto"/>
                    <w:bottom w:val="none" w:sz="0" w:space="0" w:color="auto"/>
                    <w:right w:val="none" w:sz="0" w:space="0" w:color="auto"/>
                  </w:divBdr>
                  <w:divsChild>
                    <w:div w:id="34279617">
                      <w:marLeft w:val="0"/>
                      <w:marRight w:val="0"/>
                      <w:marTop w:val="0"/>
                      <w:marBottom w:val="0"/>
                      <w:divBdr>
                        <w:top w:val="none" w:sz="0" w:space="0" w:color="auto"/>
                        <w:left w:val="none" w:sz="0" w:space="0" w:color="auto"/>
                        <w:bottom w:val="none" w:sz="0" w:space="0" w:color="auto"/>
                        <w:right w:val="none" w:sz="0" w:space="0" w:color="auto"/>
                      </w:divBdr>
                    </w:div>
                  </w:divsChild>
                </w:div>
                <w:div w:id="1399521851">
                  <w:marLeft w:val="0"/>
                  <w:marRight w:val="0"/>
                  <w:marTop w:val="0"/>
                  <w:marBottom w:val="0"/>
                  <w:divBdr>
                    <w:top w:val="none" w:sz="0" w:space="0" w:color="auto"/>
                    <w:left w:val="none" w:sz="0" w:space="0" w:color="auto"/>
                    <w:bottom w:val="none" w:sz="0" w:space="0" w:color="auto"/>
                    <w:right w:val="none" w:sz="0" w:space="0" w:color="auto"/>
                  </w:divBdr>
                  <w:divsChild>
                    <w:div w:id="1509440361">
                      <w:marLeft w:val="0"/>
                      <w:marRight w:val="0"/>
                      <w:marTop w:val="0"/>
                      <w:marBottom w:val="0"/>
                      <w:divBdr>
                        <w:top w:val="none" w:sz="0" w:space="0" w:color="auto"/>
                        <w:left w:val="none" w:sz="0" w:space="0" w:color="auto"/>
                        <w:bottom w:val="none" w:sz="0" w:space="0" w:color="auto"/>
                        <w:right w:val="none" w:sz="0" w:space="0" w:color="auto"/>
                      </w:divBdr>
                    </w:div>
                  </w:divsChild>
                </w:div>
                <w:div w:id="1407263201">
                  <w:marLeft w:val="0"/>
                  <w:marRight w:val="0"/>
                  <w:marTop w:val="0"/>
                  <w:marBottom w:val="0"/>
                  <w:divBdr>
                    <w:top w:val="none" w:sz="0" w:space="0" w:color="auto"/>
                    <w:left w:val="none" w:sz="0" w:space="0" w:color="auto"/>
                    <w:bottom w:val="none" w:sz="0" w:space="0" w:color="auto"/>
                    <w:right w:val="none" w:sz="0" w:space="0" w:color="auto"/>
                  </w:divBdr>
                  <w:divsChild>
                    <w:div w:id="598149353">
                      <w:marLeft w:val="0"/>
                      <w:marRight w:val="0"/>
                      <w:marTop w:val="0"/>
                      <w:marBottom w:val="0"/>
                      <w:divBdr>
                        <w:top w:val="none" w:sz="0" w:space="0" w:color="auto"/>
                        <w:left w:val="none" w:sz="0" w:space="0" w:color="auto"/>
                        <w:bottom w:val="none" w:sz="0" w:space="0" w:color="auto"/>
                        <w:right w:val="none" w:sz="0" w:space="0" w:color="auto"/>
                      </w:divBdr>
                    </w:div>
                  </w:divsChild>
                </w:div>
                <w:div w:id="1409883510">
                  <w:marLeft w:val="0"/>
                  <w:marRight w:val="0"/>
                  <w:marTop w:val="0"/>
                  <w:marBottom w:val="0"/>
                  <w:divBdr>
                    <w:top w:val="none" w:sz="0" w:space="0" w:color="auto"/>
                    <w:left w:val="none" w:sz="0" w:space="0" w:color="auto"/>
                    <w:bottom w:val="none" w:sz="0" w:space="0" w:color="auto"/>
                    <w:right w:val="none" w:sz="0" w:space="0" w:color="auto"/>
                  </w:divBdr>
                  <w:divsChild>
                    <w:div w:id="511803330">
                      <w:marLeft w:val="0"/>
                      <w:marRight w:val="0"/>
                      <w:marTop w:val="0"/>
                      <w:marBottom w:val="0"/>
                      <w:divBdr>
                        <w:top w:val="none" w:sz="0" w:space="0" w:color="auto"/>
                        <w:left w:val="none" w:sz="0" w:space="0" w:color="auto"/>
                        <w:bottom w:val="none" w:sz="0" w:space="0" w:color="auto"/>
                        <w:right w:val="none" w:sz="0" w:space="0" w:color="auto"/>
                      </w:divBdr>
                    </w:div>
                  </w:divsChild>
                </w:div>
                <w:div w:id="1411196792">
                  <w:marLeft w:val="0"/>
                  <w:marRight w:val="0"/>
                  <w:marTop w:val="0"/>
                  <w:marBottom w:val="0"/>
                  <w:divBdr>
                    <w:top w:val="none" w:sz="0" w:space="0" w:color="auto"/>
                    <w:left w:val="none" w:sz="0" w:space="0" w:color="auto"/>
                    <w:bottom w:val="none" w:sz="0" w:space="0" w:color="auto"/>
                    <w:right w:val="none" w:sz="0" w:space="0" w:color="auto"/>
                  </w:divBdr>
                  <w:divsChild>
                    <w:div w:id="1493137872">
                      <w:marLeft w:val="0"/>
                      <w:marRight w:val="0"/>
                      <w:marTop w:val="0"/>
                      <w:marBottom w:val="0"/>
                      <w:divBdr>
                        <w:top w:val="none" w:sz="0" w:space="0" w:color="auto"/>
                        <w:left w:val="none" w:sz="0" w:space="0" w:color="auto"/>
                        <w:bottom w:val="none" w:sz="0" w:space="0" w:color="auto"/>
                        <w:right w:val="none" w:sz="0" w:space="0" w:color="auto"/>
                      </w:divBdr>
                    </w:div>
                  </w:divsChild>
                </w:div>
                <w:div w:id="1411999183">
                  <w:marLeft w:val="0"/>
                  <w:marRight w:val="0"/>
                  <w:marTop w:val="0"/>
                  <w:marBottom w:val="0"/>
                  <w:divBdr>
                    <w:top w:val="none" w:sz="0" w:space="0" w:color="auto"/>
                    <w:left w:val="none" w:sz="0" w:space="0" w:color="auto"/>
                    <w:bottom w:val="none" w:sz="0" w:space="0" w:color="auto"/>
                    <w:right w:val="none" w:sz="0" w:space="0" w:color="auto"/>
                  </w:divBdr>
                  <w:divsChild>
                    <w:div w:id="1554148235">
                      <w:marLeft w:val="0"/>
                      <w:marRight w:val="0"/>
                      <w:marTop w:val="0"/>
                      <w:marBottom w:val="0"/>
                      <w:divBdr>
                        <w:top w:val="none" w:sz="0" w:space="0" w:color="auto"/>
                        <w:left w:val="none" w:sz="0" w:space="0" w:color="auto"/>
                        <w:bottom w:val="none" w:sz="0" w:space="0" w:color="auto"/>
                        <w:right w:val="none" w:sz="0" w:space="0" w:color="auto"/>
                      </w:divBdr>
                    </w:div>
                  </w:divsChild>
                </w:div>
                <w:div w:id="1417945713">
                  <w:marLeft w:val="0"/>
                  <w:marRight w:val="0"/>
                  <w:marTop w:val="0"/>
                  <w:marBottom w:val="0"/>
                  <w:divBdr>
                    <w:top w:val="none" w:sz="0" w:space="0" w:color="auto"/>
                    <w:left w:val="none" w:sz="0" w:space="0" w:color="auto"/>
                    <w:bottom w:val="none" w:sz="0" w:space="0" w:color="auto"/>
                    <w:right w:val="none" w:sz="0" w:space="0" w:color="auto"/>
                  </w:divBdr>
                  <w:divsChild>
                    <w:div w:id="124852625">
                      <w:marLeft w:val="0"/>
                      <w:marRight w:val="0"/>
                      <w:marTop w:val="0"/>
                      <w:marBottom w:val="0"/>
                      <w:divBdr>
                        <w:top w:val="none" w:sz="0" w:space="0" w:color="auto"/>
                        <w:left w:val="none" w:sz="0" w:space="0" w:color="auto"/>
                        <w:bottom w:val="none" w:sz="0" w:space="0" w:color="auto"/>
                        <w:right w:val="none" w:sz="0" w:space="0" w:color="auto"/>
                      </w:divBdr>
                    </w:div>
                  </w:divsChild>
                </w:div>
                <w:div w:id="1420709659">
                  <w:marLeft w:val="0"/>
                  <w:marRight w:val="0"/>
                  <w:marTop w:val="0"/>
                  <w:marBottom w:val="0"/>
                  <w:divBdr>
                    <w:top w:val="none" w:sz="0" w:space="0" w:color="auto"/>
                    <w:left w:val="none" w:sz="0" w:space="0" w:color="auto"/>
                    <w:bottom w:val="none" w:sz="0" w:space="0" w:color="auto"/>
                    <w:right w:val="none" w:sz="0" w:space="0" w:color="auto"/>
                  </w:divBdr>
                  <w:divsChild>
                    <w:div w:id="161435349">
                      <w:marLeft w:val="0"/>
                      <w:marRight w:val="0"/>
                      <w:marTop w:val="0"/>
                      <w:marBottom w:val="0"/>
                      <w:divBdr>
                        <w:top w:val="none" w:sz="0" w:space="0" w:color="auto"/>
                        <w:left w:val="none" w:sz="0" w:space="0" w:color="auto"/>
                        <w:bottom w:val="none" w:sz="0" w:space="0" w:color="auto"/>
                        <w:right w:val="none" w:sz="0" w:space="0" w:color="auto"/>
                      </w:divBdr>
                    </w:div>
                  </w:divsChild>
                </w:div>
                <w:div w:id="1439176992">
                  <w:marLeft w:val="0"/>
                  <w:marRight w:val="0"/>
                  <w:marTop w:val="0"/>
                  <w:marBottom w:val="0"/>
                  <w:divBdr>
                    <w:top w:val="none" w:sz="0" w:space="0" w:color="auto"/>
                    <w:left w:val="none" w:sz="0" w:space="0" w:color="auto"/>
                    <w:bottom w:val="none" w:sz="0" w:space="0" w:color="auto"/>
                    <w:right w:val="none" w:sz="0" w:space="0" w:color="auto"/>
                  </w:divBdr>
                  <w:divsChild>
                    <w:div w:id="472720942">
                      <w:marLeft w:val="0"/>
                      <w:marRight w:val="0"/>
                      <w:marTop w:val="0"/>
                      <w:marBottom w:val="0"/>
                      <w:divBdr>
                        <w:top w:val="none" w:sz="0" w:space="0" w:color="auto"/>
                        <w:left w:val="none" w:sz="0" w:space="0" w:color="auto"/>
                        <w:bottom w:val="none" w:sz="0" w:space="0" w:color="auto"/>
                        <w:right w:val="none" w:sz="0" w:space="0" w:color="auto"/>
                      </w:divBdr>
                    </w:div>
                  </w:divsChild>
                </w:div>
                <w:div w:id="1440416796">
                  <w:marLeft w:val="0"/>
                  <w:marRight w:val="0"/>
                  <w:marTop w:val="0"/>
                  <w:marBottom w:val="0"/>
                  <w:divBdr>
                    <w:top w:val="none" w:sz="0" w:space="0" w:color="auto"/>
                    <w:left w:val="none" w:sz="0" w:space="0" w:color="auto"/>
                    <w:bottom w:val="none" w:sz="0" w:space="0" w:color="auto"/>
                    <w:right w:val="none" w:sz="0" w:space="0" w:color="auto"/>
                  </w:divBdr>
                  <w:divsChild>
                    <w:div w:id="169301853">
                      <w:marLeft w:val="0"/>
                      <w:marRight w:val="0"/>
                      <w:marTop w:val="0"/>
                      <w:marBottom w:val="0"/>
                      <w:divBdr>
                        <w:top w:val="none" w:sz="0" w:space="0" w:color="auto"/>
                        <w:left w:val="none" w:sz="0" w:space="0" w:color="auto"/>
                        <w:bottom w:val="none" w:sz="0" w:space="0" w:color="auto"/>
                        <w:right w:val="none" w:sz="0" w:space="0" w:color="auto"/>
                      </w:divBdr>
                    </w:div>
                    <w:div w:id="708532549">
                      <w:marLeft w:val="0"/>
                      <w:marRight w:val="0"/>
                      <w:marTop w:val="0"/>
                      <w:marBottom w:val="0"/>
                      <w:divBdr>
                        <w:top w:val="none" w:sz="0" w:space="0" w:color="auto"/>
                        <w:left w:val="none" w:sz="0" w:space="0" w:color="auto"/>
                        <w:bottom w:val="none" w:sz="0" w:space="0" w:color="auto"/>
                        <w:right w:val="none" w:sz="0" w:space="0" w:color="auto"/>
                      </w:divBdr>
                    </w:div>
                    <w:div w:id="1571577918">
                      <w:marLeft w:val="0"/>
                      <w:marRight w:val="0"/>
                      <w:marTop w:val="0"/>
                      <w:marBottom w:val="0"/>
                      <w:divBdr>
                        <w:top w:val="none" w:sz="0" w:space="0" w:color="auto"/>
                        <w:left w:val="none" w:sz="0" w:space="0" w:color="auto"/>
                        <w:bottom w:val="none" w:sz="0" w:space="0" w:color="auto"/>
                        <w:right w:val="none" w:sz="0" w:space="0" w:color="auto"/>
                      </w:divBdr>
                    </w:div>
                  </w:divsChild>
                </w:div>
                <w:div w:id="1447314102">
                  <w:marLeft w:val="0"/>
                  <w:marRight w:val="0"/>
                  <w:marTop w:val="0"/>
                  <w:marBottom w:val="0"/>
                  <w:divBdr>
                    <w:top w:val="none" w:sz="0" w:space="0" w:color="auto"/>
                    <w:left w:val="none" w:sz="0" w:space="0" w:color="auto"/>
                    <w:bottom w:val="none" w:sz="0" w:space="0" w:color="auto"/>
                    <w:right w:val="none" w:sz="0" w:space="0" w:color="auto"/>
                  </w:divBdr>
                  <w:divsChild>
                    <w:div w:id="1907298227">
                      <w:marLeft w:val="0"/>
                      <w:marRight w:val="0"/>
                      <w:marTop w:val="0"/>
                      <w:marBottom w:val="0"/>
                      <w:divBdr>
                        <w:top w:val="none" w:sz="0" w:space="0" w:color="auto"/>
                        <w:left w:val="none" w:sz="0" w:space="0" w:color="auto"/>
                        <w:bottom w:val="none" w:sz="0" w:space="0" w:color="auto"/>
                        <w:right w:val="none" w:sz="0" w:space="0" w:color="auto"/>
                      </w:divBdr>
                    </w:div>
                  </w:divsChild>
                </w:div>
                <w:div w:id="1456170805">
                  <w:marLeft w:val="0"/>
                  <w:marRight w:val="0"/>
                  <w:marTop w:val="0"/>
                  <w:marBottom w:val="0"/>
                  <w:divBdr>
                    <w:top w:val="none" w:sz="0" w:space="0" w:color="auto"/>
                    <w:left w:val="none" w:sz="0" w:space="0" w:color="auto"/>
                    <w:bottom w:val="none" w:sz="0" w:space="0" w:color="auto"/>
                    <w:right w:val="none" w:sz="0" w:space="0" w:color="auto"/>
                  </w:divBdr>
                  <w:divsChild>
                    <w:div w:id="1467047808">
                      <w:marLeft w:val="0"/>
                      <w:marRight w:val="0"/>
                      <w:marTop w:val="0"/>
                      <w:marBottom w:val="0"/>
                      <w:divBdr>
                        <w:top w:val="none" w:sz="0" w:space="0" w:color="auto"/>
                        <w:left w:val="none" w:sz="0" w:space="0" w:color="auto"/>
                        <w:bottom w:val="none" w:sz="0" w:space="0" w:color="auto"/>
                        <w:right w:val="none" w:sz="0" w:space="0" w:color="auto"/>
                      </w:divBdr>
                    </w:div>
                  </w:divsChild>
                </w:div>
                <w:div w:id="1463231952">
                  <w:marLeft w:val="0"/>
                  <w:marRight w:val="0"/>
                  <w:marTop w:val="0"/>
                  <w:marBottom w:val="0"/>
                  <w:divBdr>
                    <w:top w:val="none" w:sz="0" w:space="0" w:color="auto"/>
                    <w:left w:val="none" w:sz="0" w:space="0" w:color="auto"/>
                    <w:bottom w:val="none" w:sz="0" w:space="0" w:color="auto"/>
                    <w:right w:val="none" w:sz="0" w:space="0" w:color="auto"/>
                  </w:divBdr>
                  <w:divsChild>
                    <w:div w:id="710302995">
                      <w:marLeft w:val="0"/>
                      <w:marRight w:val="0"/>
                      <w:marTop w:val="0"/>
                      <w:marBottom w:val="0"/>
                      <w:divBdr>
                        <w:top w:val="none" w:sz="0" w:space="0" w:color="auto"/>
                        <w:left w:val="none" w:sz="0" w:space="0" w:color="auto"/>
                        <w:bottom w:val="none" w:sz="0" w:space="0" w:color="auto"/>
                        <w:right w:val="none" w:sz="0" w:space="0" w:color="auto"/>
                      </w:divBdr>
                    </w:div>
                  </w:divsChild>
                </w:div>
                <w:div w:id="1470976580">
                  <w:marLeft w:val="0"/>
                  <w:marRight w:val="0"/>
                  <w:marTop w:val="0"/>
                  <w:marBottom w:val="0"/>
                  <w:divBdr>
                    <w:top w:val="none" w:sz="0" w:space="0" w:color="auto"/>
                    <w:left w:val="none" w:sz="0" w:space="0" w:color="auto"/>
                    <w:bottom w:val="none" w:sz="0" w:space="0" w:color="auto"/>
                    <w:right w:val="none" w:sz="0" w:space="0" w:color="auto"/>
                  </w:divBdr>
                  <w:divsChild>
                    <w:div w:id="800726297">
                      <w:marLeft w:val="0"/>
                      <w:marRight w:val="0"/>
                      <w:marTop w:val="0"/>
                      <w:marBottom w:val="0"/>
                      <w:divBdr>
                        <w:top w:val="none" w:sz="0" w:space="0" w:color="auto"/>
                        <w:left w:val="none" w:sz="0" w:space="0" w:color="auto"/>
                        <w:bottom w:val="none" w:sz="0" w:space="0" w:color="auto"/>
                        <w:right w:val="none" w:sz="0" w:space="0" w:color="auto"/>
                      </w:divBdr>
                    </w:div>
                  </w:divsChild>
                </w:div>
                <w:div w:id="1481844786">
                  <w:marLeft w:val="0"/>
                  <w:marRight w:val="0"/>
                  <w:marTop w:val="0"/>
                  <w:marBottom w:val="0"/>
                  <w:divBdr>
                    <w:top w:val="none" w:sz="0" w:space="0" w:color="auto"/>
                    <w:left w:val="none" w:sz="0" w:space="0" w:color="auto"/>
                    <w:bottom w:val="none" w:sz="0" w:space="0" w:color="auto"/>
                    <w:right w:val="none" w:sz="0" w:space="0" w:color="auto"/>
                  </w:divBdr>
                  <w:divsChild>
                    <w:div w:id="557979482">
                      <w:marLeft w:val="0"/>
                      <w:marRight w:val="0"/>
                      <w:marTop w:val="0"/>
                      <w:marBottom w:val="0"/>
                      <w:divBdr>
                        <w:top w:val="none" w:sz="0" w:space="0" w:color="auto"/>
                        <w:left w:val="none" w:sz="0" w:space="0" w:color="auto"/>
                        <w:bottom w:val="none" w:sz="0" w:space="0" w:color="auto"/>
                        <w:right w:val="none" w:sz="0" w:space="0" w:color="auto"/>
                      </w:divBdr>
                    </w:div>
                  </w:divsChild>
                </w:div>
                <w:div w:id="1491674507">
                  <w:marLeft w:val="0"/>
                  <w:marRight w:val="0"/>
                  <w:marTop w:val="0"/>
                  <w:marBottom w:val="0"/>
                  <w:divBdr>
                    <w:top w:val="none" w:sz="0" w:space="0" w:color="auto"/>
                    <w:left w:val="none" w:sz="0" w:space="0" w:color="auto"/>
                    <w:bottom w:val="none" w:sz="0" w:space="0" w:color="auto"/>
                    <w:right w:val="none" w:sz="0" w:space="0" w:color="auto"/>
                  </w:divBdr>
                  <w:divsChild>
                    <w:div w:id="1893231342">
                      <w:marLeft w:val="0"/>
                      <w:marRight w:val="0"/>
                      <w:marTop w:val="0"/>
                      <w:marBottom w:val="0"/>
                      <w:divBdr>
                        <w:top w:val="none" w:sz="0" w:space="0" w:color="auto"/>
                        <w:left w:val="none" w:sz="0" w:space="0" w:color="auto"/>
                        <w:bottom w:val="none" w:sz="0" w:space="0" w:color="auto"/>
                        <w:right w:val="none" w:sz="0" w:space="0" w:color="auto"/>
                      </w:divBdr>
                    </w:div>
                  </w:divsChild>
                </w:div>
                <w:div w:id="1498302976">
                  <w:marLeft w:val="0"/>
                  <w:marRight w:val="0"/>
                  <w:marTop w:val="0"/>
                  <w:marBottom w:val="0"/>
                  <w:divBdr>
                    <w:top w:val="none" w:sz="0" w:space="0" w:color="auto"/>
                    <w:left w:val="none" w:sz="0" w:space="0" w:color="auto"/>
                    <w:bottom w:val="none" w:sz="0" w:space="0" w:color="auto"/>
                    <w:right w:val="none" w:sz="0" w:space="0" w:color="auto"/>
                  </w:divBdr>
                  <w:divsChild>
                    <w:div w:id="768934931">
                      <w:marLeft w:val="0"/>
                      <w:marRight w:val="0"/>
                      <w:marTop w:val="0"/>
                      <w:marBottom w:val="0"/>
                      <w:divBdr>
                        <w:top w:val="none" w:sz="0" w:space="0" w:color="auto"/>
                        <w:left w:val="none" w:sz="0" w:space="0" w:color="auto"/>
                        <w:bottom w:val="none" w:sz="0" w:space="0" w:color="auto"/>
                        <w:right w:val="none" w:sz="0" w:space="0" w:color="auto"/>
                      </w:divBdr>
                    </w:div>
                  </w:divsChild>
                </w:div>
                <w:div w:id="1509061621">
                  <w:marLeft w:val="0"/>
                  <w:marRight w:val="0"/>
                  <w:marTop w:val="0"/>
                  <w:marBottom w:val="0"/>
                  <w:divBdr>
                    <w:top w:val="none" w:sz="0" w:space="0" w:color="auto"/>
                    <w:left w:val="none" w:sz="0" w:space="0" w:color="auto"/>
                    <w:bottom w:val="none" w:sz="0" w:space="0" w:color="auto"/>
                    <w:right w:val="none" w:sz="0" w:space="0" w:color="auto"/>
                  </w:divBdr>
                  <w:divsChild>
                    <w:div w:id="253590008">
                      <w:marLeft w:val="0"/>
                      <w:marRight w:val="0"/>
                      <w:marTop w:val="0"/>
                      <w:marBottom w:val="0"/>
                      <w:divBdr>
                        <w:top w:val="none" w:sz="0" w:space="0" w:color="auto"/>
                        <w:left w:val="none" w:sz="0" w:space="0" w:color="auto"/>
                        <w:bottom w:val="none" w:sz="0" w:space="0" w:color="auto"/>
                        <w:right w:val="none" w:sz="0" w:space="0" w:color="auto"/>
                      </w:divBdr>
                    </w:div>
                  </w:divsChild>
                </w:div>
                <w:div w:id="1510634173">
                  <w:marLeft w:val="0"/>
                  <w:marRight w:val="0"/>
                  <w:marTop w:val="0"/>
                  <w:marBottom w:val="0"/>
                  <w:divBdr>
                    <w:top w:val="none" w:sz="0" w:space="0" w:color="auto"/>
                    <w:left w:val="none" w:sz="0" w:space="0" w:color="auto"/>
                    <w:bottom w:val="none" w:sz="0" w:space="0" w:color="auto"/>
                    <w:right w:val="none" w:sz="0" w:space="0" w:color="auto"/>
                  </w:divBdr>
                  <w:divsChild>
                    <w:div w:id="1930189205">
                      <w:marLeft w:val="0"/>
                      <w:marRight w:val="0"/>
                      <w:marTop w:val="0"/>
                      <w:marBottom w:val="0"/>
                      <w:divBdr>
                        <w:top w:val="none" w:sz="0" w:space="0" w:color="auto"/>
                        <w:left w:val="none" w:sz="0" w:space="0" w:color="auto"/>
                        <w:bottom w:val="none" w:sz="0" w:space="0" w:color="auto"/>
                        <w:right w:val="none" w:sz="0" w:space="0" w:color="auto"/>
                      </w:divBdr>
                    </w:div>
                  </w:divsChild>
                </w:div>
                <w:div w:id="1517114336">
                  <w:marLeft w:val="0"/>
                  <w:marRight w:val="0"/>
                  <w:marTop w:val="0"/>
                  <w:marBottom w:val="0"/>
                  <w:divBdr>
                    <w:top w:val="none" w:sz="0" w:space="0" w:color="auto"/>
                    <w:left w:val="none" w:sz="0" w:space="0" w:color="auto"/>
                    <w:bottom w:val="none" w:sz="0" w:space="0" w:color="auto"/>
                    <w:right w:val="none" w:sz="0" w:space="0" w:color="auto"/>
                  </w:divBdr>
                  <w:divsChild>
                    <w:div w:id="1550652817">
                      <w:marLeft w:val="0"/>
                      <w:marRight w:val="0"/>
                      <w:marTop w:val="0"/>
                      <w:marBottom w:val="0"/>
                      <w:divBdr>
                        <w:top w:val="none" w:sz="0" w:space="0" w:color="auto"/>
                        <w:left w:val="none" w:sz="0" w:space="0" w:color="auto"/>
                        <w:bottom w:val="none" w:sz="0" w:space="0" w:color="auto"/>
                        <w:right w:val="none" w:sz="0" w:space="0" w:color="auto"/>
                      </w:divBdr>
                    </w:div>
                  </w:divsChild>
                </w:div>
                <w:div w:id="1531986808">
                  <w:marLeft w:val="0"/>
                  <w:marRight w:val="0"/>
                  <w:marTop w:val="0"/>
                  <w:marBottom w:val="0"/>
                  <w:divBdr>
                    <w:top w:val="none" w:sz="0" w:space="0" w:color="auto"/>
                    <w:left w:val="none" w:sz="0" w:space="0" w:color="auto"/>
                    <w:bottom w:val="none" w:sz="0" w:space="0" w:color="auto"/>
                    <w:right w:val="none" w:sz="0" w:space="0" w:color="auto"/>
                  </w:divBdr>
                  <w:divsChild>
                    <w:div w:id="981733793">
                      <w:marLeft w:val="0"/>
                      <w:marRight w:val="0"/>
                      <w:marTop w:val="0"/>
                      <w:marBottom w:val="0"/>
                      <w:divBdr>
                        <w:top w:val="none" w:sz="0" w:space="0" w:color="auto"/>
                        <w:left w:val="none" w:sz="0" w:space="0" w:color="auto"/>
                        <w:bottom w:val="none" w:sz="0" w:space="0" w:color="auto"/>
                        <w:right w:val="none" w:sz="0" w:space="0" w:color="auto"/>
                      </w:divBdr>
                    </w:div>
                  </w:divsChild>
                </w:div>
                <w:div w:id="1534148625">
                  <w:marLeft w:val="0"/>
                  <w:marRight w:val="0"/>
                  <w:marTop w:val="0"/>
                  <w:marBottom w:val="0"/>
                  <w:divBdr>
                    <w:top w:val="none" w:sz="0" w:space="0" w:color="auto"/>
                    <w:left w:val="none" w:sz="0" w:space="0" w:color="auto"/>
                    <w:bottom w:val="none" w:sz="0" w:space="0" w:color="auto"/>
                    <w:right w:val="none" w:sz="0" w:space="0" w:color="auto"/>
                  </w:divBdr>
                  <w:divsChild>
                    <w:div w:id="415976532">
                      <w:marLeft w:val="0"/>
                      <w:marRight w:val="0"/>
                      <w:marTop w:val="0"/>
                      <w:marBottom w:val="0"/>
                      <w:divBdr>
                        <w:top w:val="none" w:sz="0" w:space="0" w:color="auto"/>
                        <w:left w:val="none" w:sz="0" w:space="0" w:color="auto"/>
                        <w:bottom w:val="none" w:sz="0" w:space="0" w:color="auto"/>
                        <w:right w:val="none" w:sz="0" w:space="0" w:color="auto"/>
                      </w:divBdr>
                    </w:div>
                  </w:divsChild>
                </w:div>
                <w:div w:id="1539659287">
                  <w:marLeft w:val="0"/>
                  <w:marRight w:val="0"/>
                  <w:marTop w:val="0"/>
                  <w:marBottom w:val="0"/>
                  <w:divBdr>
                    <w:top w:val="none" w:sz="0" w:space="0" w:color="auto"/>
                    <w:left w:val="none" w:sz="0" w:space="0" w:color="auto"/>
                    <w:bottom w:val="none" w:sz="0" w:space="0" w:color="auto"/>
                    <w:right w:val="none" w:sz="0" w:space="0" w:color="auto"/>
                  </w:divBdr>
                  <w:divsChild>
                    <w:div w:id="870647217">
                      <w:marLeft w:val="0"/>
                      <w:marRight w:val="0"/>
                      <w:marTop w:val="0"/>
                      <w:marBottom w:val="0"/>
                      <w:divBdr>
                        <w:top w:val="none" w:sz="0" w:space="0" w:color="auto"/>
                        <w:left w:val="none" w:sz="0" w:space="0" w:color="auto"/>
                        <w:bottom w:val="none" w:sz="0" w:space="0" w:color="auto"/>
                        <w:right w:val="none" w:sz="0" w:space="0" w:color="auto"/>
                      </w:divBdr>
                    </w:div>
                  </w:divsChild>
                </w:div>
                <w:div w:id="1545674412">
                  <w:marLeft w:val="0"/>
                  <w:marRight w:val="0"/>
                  <w:marTop w:val="0"/>
                  <w:marBottom w:val="0"/>
                  <w:divBdr>
                    <w:top w:val="none" w:sz="0" w:space="0" w:color="auto"/>
                    <w:left w:val="none" w:sz="0" w:space="0" w:color="auto"/>
                    <w:bottom w:val="none" w:sz="0" w:space="0" w:color="auto"/>
                    <w:right w:val="none" w:sz="0" w:space="0" w:color="auto"/>
                  </w:divBdr>
                  <w:divsChild>
                    <w:div w:id="1698238868">
                      <w:marLeft w:val="0"/>
                      <w:marRight w:val="0"/>
                      <w:marTop w:val="0"/>
                      <w:marBottom w:val="0"/>
                      <w:divBdr>
                        <w:top w:val="none" w:sz="0" w:space="0" w:color="auto"/>
                        <w:left w:val="none" w:sz="0" w:space="0" w:color="auto"/>
                        <w:bottom w:val="none" w:sz="0" w:space="0" w:color="auto"/>
                        <w:right w:val="none" w:sz="0" w:space="0" w:color="auto"/>
                      </w:divBdr>
                    </w:div>
                  </w:divsChild>
                </w:div>
                <w:div w:id="1548568504">
                  <w:marLeft w:val="0"/>
                  <w:marRight w:val="0"/>
                  <w:marTop w:val="0"/>
                  <w:marBottom w:val="0"/>
                  <w:divBdr>
                    <w:top w:val="none" w:sz="0" w:space="0" w:color="auto"/>
                    <w:left w:val="none" w:sz="0" w:space="0" w:color="auto"/>
                    <w:bottom w:val="none" w:sz="0" w:space="0" w:color="auto"/>
                    <w:right w:val="none" w:sz="0" w:space="0" w:color="auto"/>
                  </w:divBdr>
                  <w:divsChild>
                    <w:div w:id="890699878">
                      <w:marLeft w:val="0"/>
                      <w:marRight w:val="0"/>
                      <w:marTop w:val="0"/>
                      <w:marBottom w:val="0"/>
                      <w:divBdr>
                        <w:top w:val="none" w:sz="0" w:space="0" w:color="auto"/>
                        <w:left w:val="none" w:sz="0" w:space="0" w:color="auto"/>
                        <w:bottom w:val="none" w:sz="0" w:space="0" w:color="auto"/>
                        <w:right w:val="none" w:sz="0" w:space="0" w:color="auto"/>
                      </w:divBdr>
                    </w:div>
                  </w:divsChild>
                </w:div>
                <w:div w:id="1567764915">
                  <w:marLeft w:val="0"/>
                  <w:marRight w:val="0"/>
                  <w:marTop w:val="0"/>
                  <w:marBottom w:val="0"/>
                  <w:divBdr>
                    <w:top w:val="none" w:sz="0" w:space="0" w:color="auto"/>
                    <w:left w:val="none" w:sz="0" w:space="0" w:color="auto"/>
                    <w:bottom w:val="none" w:sz="0" w:space="0" w:color="auto"/>
                    <w:right w:val="none" w:sz="0" w:space="0" w:color="auto"/>
                  </w:divBdr>
                  <w:divsChild>
                    <w:div w:id="796679327">
                      <w:marLeft w:val="0"/>
                      <w:marRight w:val="0"/>
                      <w:marTop w:val="0"/>
                      <w:marBottom w:val="0"/>
                      <w:divBdr>
                        <w:top w:val="none" w:sz="0" w:space="0" w:color="auto"/>
                        <w:left w:val="none" w:sz="0" w:space="0" w:color="auto"/>
                        <w:bottom w:val="none" w:sz="0" w:space="0" w:color="auto"/>
                        <w:right w:val="none" w:sz="0" w:space="0" w:color="auto"/>
                      </w:divBdr>
                    </w:div>
                  </w:divsChild>
                </w:div>
                <w:div w:id="1570574924">
                  <w:marLeft w:val="0"/>
                  <w:marRight w:val="0"/>
                  <w:marTop w:val="0"/>
                  <w:marBottom w:val="0"/>
                  <w:divBdr>
                    <w:top w:val="none" w:sz="0" w:space="0" w:color="auto"/>
                    <w:left w:val="none" w:sz="0" w:space="0" w:color="auto"/>
                    <w:bottom w:val="none" w:sz="0" w:space="0" w:color="auto"/>
                    <w:right w:val="none" w:sz="0" w:space="0" w:color="auto"/>
                  </w:divBdr>
                  <w:divsChild>
                    <w:div w:id="342367146">
                      <w:marLeft w:val="0"/>
                      <w:marRight w:val="0"/>
                      <w:marTop w:val="0"/>
                      <w:marBottom w:val="0"/>
                      <w:divBdr>
                        <w:top w:val="none" w:sz="0" w:space="0" w:color="auto"/>
                        <w:left w:val="none" w:sz="0" w:space="0" w:color="auto"/>
                        <w:bottom w:val="none" w:sz="0" w:space="0" w:color="auto"/>
                        <w:right w:val="none" w:sz="0" w:space="0" w:color="auto"/>
                      </w:divBdr>
                    </w:div>
                  </w:divsChild>
                </w:div>
                <w:div w:id="1576009755">
                  <w:marLeft w:val="0"/>
                  <w:marRight w:val="0"/>
                  <w:marTop w:val="0"/>
                  <w:marBottom w:val="0"/>
                  <w:divBdr>
                    <w:top w:val="none" w:sz="0" w:space="0" w:color="auto"/>
                    <w:left w:val="none" w:sz="0" w:space="0" w:color="auto"/>
                    <w:bottom w:val="none" w:sz="0" w:space="0" w:color="auto"/>
                    <w:right w:val="none" w:sz="0" w:space="0" w:color="auto"/>
                  </w:divBdr>
                  <w:divsChild>
                    <w:div w:id="1828128938">
                      <w:marLeft w:val="0"/>
                      <w:marRight w:val="0"/>
                      <w:marTop w:val="0"/>
                      <w:marBottom w:val="0"/>
                      <w:divBdr>
                        <w:top w:val="none" w:sz="0" w:space="0" w:color="auto"/>
                        <w:left w:val="none" w:sz="0" w:space="0" w:color="auto"/>
                        <w:bottom w:val="none" w:sz="0" w:space="0" w:color="auto"/>
                        <w:right w:val="none" w:sz="0" w:space="0" w:color="auto"/>
                      </w:divBdr>
                    </w:div>
                  </w:divsChild>
                </w:div>
                <w:div w:id="1582911610">
                  <w:marLeft w:val="0"/>
                  <w:marRight w:val="0"/>
                  <w:marTop w:val="0"/>
                  <w:marBottom w:val="0"/>
                  <w:divBdr>
                    <w:top w:val="none" w:sz="0" w:space="0" w:color="auto"/>
                    <w:left w:val="none" w:sz="0" w:space="0" w:color="auto"/>
                    <w:bottom w:val="none" w:sz="0" w:space="0" w:color="auto"/>
                    <w:right w:val="none" w:sz="0" w:space="0" w:color="auto"/>
                  </w:divBdr>
                  <w:divsChild>
                    <w:div w:id="81143387">
                      <w:marLeft w:val="0"/>
                      <w:marRight w:val="0"/>
                      <w:marTop w:val="0"/>
                      <w:marBottom w:val="0"/>
                      <w:divBdr>
                        <w:top w:val="none" w:sz="0" w:space="0" w:color="auto"/>
                        <w:left w:val="none" w:sz="0" w:space="0" w:color="auto"/>
                        <w:bottom w:val="none" w:sz="0" w:space="0" w:color="auto"/>
                        <w:right w:val="none" w:sz="0" w:space="0" w:color="auto"/>
                      </w:divBdr>
                    </w:div>
                    <w:div w:id="223417321">
                      <w:marLeft w:val="0"/>
                      <w:marRight w:val="0"/>
                      <w:marTop w:val="0"/>
                      <w:marBottom w:val="0"/>
                      <w:divBdr>
                        <w:top w:val="none" w:sz="0" w:space="0" w:color="auto"/>
                        <w:left w:val="none" w:sz="0" w:space="0" w:color="auto"/>
                        <w:bottom w:val="none" w:sz="0" w:space="0" w:color="auto"/>
                        <w:right w:val="none" w:sz="0" w:space="0" w:color="auto"/>
                      </w:divBdr>
                    </w:div>
                  </w:divsChild>
                </w:div>
                <w:div w:id="1583830519">
                  <w:marLeft w:val="0"/>
                  <w:marRight w:val="0"/>
                  <w:marTop w:val="0"/>
                  <w:marBottom w:val="0"/>
                  <w:divBdr>
                    <w:top w:val="none" w:sz="0" w:space="0" w:color="auto"/>
                    <w:left w:val="none" w:sz="0" w:space="0" w:color="auto"/>
                    <w:bottom w:val="none" w:sz="0" w:space="0" w:color="auto"/>
                    <w:right w:val="none" w:sz="0" w:space="0" w:color="auto"/>
                  </w:divBdr>
                  <w:divsChild>
                    <w:div w:id="1929194341">
                      <w:marLeft w:val="0"/>
                      <w:marRight w:val="0"/>
                      <w:marTop w:val="0"/>
                      <w:marBottom w:val="0"/>
                      <w:divBdr>
                        <w:top w:val="none" w:sz="0" w:space="0" w:color="auto"/>
                        <w:left w:val="none" w:sz="0" w:space="0" w:color="auto"/>
                        <w:bottom w:val="none" w:sz="0" w:space="0" w:color="auto"/>
                        <w:right w:val="none" w:sz="0" w:space="0" w:color="auto"/>
                      </w:divBdr>
                    </w:div>
                  </w:divsChild>
                </w:div>
                <w:div w:id="1585842787">
                  <w:marLeft w:val="0"/>
                  <w:marRight w:val="0"/>
                  <w:marTop w:val="0"/>
                  <w:marBottom w:val="0"/>
                  <w:divBdr>
                    <w:top w:val="none" w:sz="0" w:space="0" w:color="auto"/>
                    <w:left w:val="none" w:sz="0" w:space="0" w:color="auto"/>
                    <w:bottom w:val="none" w:sz="0" w:space="0" w:color="auto"/>
                    <w:right w:val="none" w:sz="0" w:space="0" w:color="auto"/>
                  </w:divBdr>
                  <w:divsChild>
                    <w:div w:id="853424294">
                      <w:marLeft w:val="0"/>
                      <w:marRight w:val="0"/>
                      <w:marTop w:val="0"/>
                      <w:marBottom w:val="0"/>
                      <w:divBdr>
                        <w:top w:val="none" w:sz="0" w:space="0" w:color="auto"/>
                        <w:left w:val="none" w:sz="0" w:space="0" w:color="auto"/>
                        <w:bottom w:val="none" w:sz="0" w:space="0" w:color="auto"/>
                        <w:right w:val="none" w:sz="0" w:space="0" w:color="auto"/>
                      </w:divBdr>
                    </w:div>
                  </w:divsChild>
                </w:div>
                <w:div w:id="1586109004">
                  <w:marLeft w:val="0"/>
                  <w:marRight w:val="0"/>
                  <w:marTop w:val="0"/>
                  <w:marBottom w:val="0"/>
                  <w:divBdr>
                    <w:top w:val="none" w:sz="0" w:space="0" w:color="auto"/>
                    <w:left w:val="none" w:sz="0" w:space="0" w:color="auto"/>
                    <w:bottom w:val="none" w:sz="0" w:space="0" w:color="auto"/>
                    <w:right w:val="none" w:sz="0" w:space="0" w:color="auto"/>
                  </w:divBdr>
                  <w:divsChild>
                    <w:div w:id="2037194129">
                      <w:marLeft w:val="0"/>
                      <w:marRight w:val="0"/>
                      <w:marTop w:val="0"/>
                      <w:marBottom w:val="0"/>
                      <w:divBdr>
                        <w:top w:val="none" w:sz="0" w:space="0" w:color="auto"/>
                        <w:left w:val="none" w:sz="0" w:space="0" w:color="auto"/>
                        <w:bottom w:val="none" w:sz="0" w:space="0" w:color="auto"/>
                        <w:right w:val="none" w:sz="0" w:space="0" w:color="auto"/>
                      </w:divBdr>
                    </w:div>
                  </w:divsChild>
                </w:div>
                <w:div w:id="1586645760">
                  <w:marLeft w:val="0"/>
                  <w:marRight w:val="0"/>
                  <w:marTop w:val="0"/>
                  <w:marBottom w:val="0"/>
                  <w:divBdr>
                    <w:top w:val="none" w:sz="0" w:space="0" w:color="auto"/>
                    <w:left w:val="none" w:sz="0" w:space="0" w:color="auto"/>
                    <w:bottom w:val="none" w:sz="0" w:space="0" w:color="auto"/>
                    <w:right w:val="none" w:sz="0" w:space="0" w:color="auto"/>
                  </w:divBdr>
                  <w:divsChild>
                    <w:div w:id="1849906107">
                      <w:marLeft w:val="0"/>
                      <w:marRight w:val="0"/>
                      <w:marTop w:val="0"/>
                      <w:marBottom w:val="0"/>
                      <w:divBdr>
                        <w:top w:val="none" w:sz="0" w:space="0" w:color="auto"/>
                        <w:left w:val="none" w:sz="0" w:space="0" w:color="auto"/>
                        <w:bottom w:val="none" w:sz="0" w:space="0" w:color="auto"/>
                        <w:right w:val="none" w:sz="0" w:space="0" w:color="auto"/>
                      </w:divBdr>
                    </w:div>
                  </w:divsChild>
                </w:div>
                <w:div w:id="1587571487">
                  <w:marLeft w:val="0"/>
                  <w:marRight w:val="0"/>
                  <w:marTop w:val="0"/>
                  <w:marBottom w:val="0"/>
                  <w:divBdr>
                    <w:top w:val="none" w:sz="0" w:space="0" w:color="auto"/>
                    <w:left w:val="none" w:sz="0" w:space="0" w:color="auto"/>
                    <w:bottom w:val="none" w:sz="0" w:space="0" w:color="auto"/>
                    <w:right w:val="none" w:sz="0" w:space="0" w:color="auto"/>
                  </w:divBdr>
                  <w:divsChild>
                    <w:div w:id="958758316">
                      <w:marLeft w:val="0"/>
                      <w:marRight w:val="0"/>
                      <w:marTop w:val="0"/>
                      <w:marBottom w:val="0"/>
                      <w:divBdr>
                        <w:top w:val="none" w:sz="0" w:space="0" w:color="auto"/>
                        <w:left w:val="none" w:sz="0" w:space="0" w:color="auto"/>
                        <w:bottom w:val="none" w:sz="0" w:space="0" w:color="auto"/>
                        <w:right w:val="none" w:sz="0" w:space="0" w:color="auto"/>
                      </w:divBdr>
                    </w:div>
                  </w:divsChild>
                </w:div>
                <w:div w:id="1588153573">
                  <w:marLeft w:val="0"/>
                  <w:marRight w:val="0"/>
                  <w:marTop w:val="0"/>
                  <w:marBottom w:val="0"/>
                  <w:divBdr>
                    <w:top w:val="none" w:sz="0" w:space="0" w:color="auto"/>
                    <w:left w:val="none" w:sz="0" w:space="0" w:color="auto"/>
                    <w:bottom w:val="none" w:sz="0" w:space="0" w:color="auto"/>
                    <w:right w:val="none" w:sz="0" w:space="0" w:color="auto"/>
                  </w:divBdr>
                  <w:divsChild>
                    <w:div w:id="1812091288">
                      <w:marLeft w:val="0"/>
                      <w:marRight w:val="0"/>
                      <w:marTop w:val="0"/>
                      <w:marBottom w:val="0"/>
                      <w:divBdr>
                        <w:top w:val="none" w:sz="0" w:space="0" w:color="auto"/>
                        <w:left w:val="none" w:sz="0" w:space="0" w:color="auto"/>
                        <w:bottom w:val="none" w:sz="0" w:space="0" w:color="auto"/>
                        <w:right w:val="none" w:sz="0" w:space="0" w:color="auto"/>
                      </w:divBdr>
                    </w:div>
                  </w:divsChild>
                </w:div>
                <w:div w:id="1594168803">
                  <w:marLeft w:val="0"/>
                  <w:marRight w:val="0"/>
                  <w:marTop w:val="0"/>
                  <w:marBottom w:val="0"/>
                  <w:divBdr>
                    <w:top w:val="none" w:sz="0" w:space="0" w:color="auto"/>
                    <w:left w:val="none" w:sz="0" w:space="0" w:color="auto"/>
                    <w:bottom w:val="none" w:sz="0" w:space="0" w:color="auto"/>
                    <w:right w:val="none" w:sz="0" w:space="0" w:color="auto"/>
                  </w:divBdr>
                  <w:divsChild>
                    <w:div w:id="1459225753">
                      <w:marLeft w:val="0"/>
                      <w:marRight w:val="0"/>
                      <w:marTop w:val="0"/>
                      <w:marBottom w:val="0"/>
                      <w:divBdr>
                        <w:top w:val="none" w:sz="0" w:space="0" w:color="auto"/>
                        <w:left w:val="none" w:sz="0" w:space="0" w:color="auto"/>
                        <w:bottom w:val="none" w:sz="0" w:space="0" w:color="auto"/>
                        <w:right w:val="none" w:sz="0" w:space="0" w:color="auto"/>
                      </w:divBdr>
                    </w:div>
                  </w:divsChild>
                </w:div>
                <w:div w:id="1598059861">
                  <w:marLeft w:val="0"/>
                  <w:marRight w:val="0"/>
                  <w:marTop w:val="0"/>
                  <w:marBottom w:val="0"/>
                  <w:divBdr>
                    <w:top w:val="none" w:sz="0" w:space="0" w:color="auto"/>
                    <w:left w:val="none" w:sz="0" w:space="0" w:color="auto"/>
                    <w:bottom w:val="none" w:sz="0" w:space="0" w:color="auto"/>
                    <w:right w:val="none" w:sz="0" w:space="0" w:color="auto"/>
                  </w:divBdr>
                  <w:divsChild>
                    <w:div w:id="2088383010">
                      <w:marLeft w:val="0"/>
                      <w:marRight w:val="0"/>
                      <w:marTop w:val="0"/>
                      <w:marBottom w:val="0"/>
                      <w:divBdr>
                        <w:top w:val="none" w:sz="0" w:space="0" w:color="auto"/>
                        <w:left w:val="none" w:sz="0" w:space="0" w:color="auto"/>
                        <w:bottom w:val="none" w:sz="0" w:space="0" w:color="auto"/>
                        <w:right w:val="none" w:sz="0" w:space="0" w:color="auto"/>
                      </w:divBdr>
                    </w:div>
                  </w:divsChild>
                </w:div>
                <w:div w:id="1599558379">
                  <w:marLeft w:val="0"/>
                  <w:marRight w:val="0"/>
                  <w:marTop w:val="0"/>
                  <w:marBottom w:val="0"/>
                  <w:divBdr>
                    <w:top w:val="none" w:sz="0" w:space="0" w:color="auto"/>
                    <w:left w:val="none" w:sz="0" w:space="0" w:color="auto"/>
                    <w:bottom w:val="none" w:sz="0" w:space="0" w:color="auto"/>
                    <w:right w:val="none" w:sz="0" w:space="0" w:color="auto"/>
                  </w:divBdr>
                  <w:divsChild>
                    <w:div w:id="1940719849">
                      <w:marLeft w:val="0"/>
                      <w:marRight w:val="0"/>
                      <w:marTop w:val="0"/>
                      <w:marBottom w:val="0"/>
                      <w:divBdr>
                        <w:top w:val="none" w:sz="0" w:space="0" w:color="auto"/>
                        <w:left w:val="none" w:sz="0" w:space="0" w:color="auto"/>
                        <w:bottom w:val="none" w:sz="0" w:space="0" w:color="auto"/>
                        <w:right w:val="none" w:sz="0" w:space="0" w:color="auto"/>
                      </w:divBdr>
                    </w:div>
                  </w:divsChild>
                </w:div>
                <w:div w:id="1600486503">
                  <w:marLeft w:val="0"/>
                  <w:marRight w:val="0"/>
                  <w:marTop w:val="0"/>
                  <w:marBottom w:val="0"/>
                  <w:divBdr>
                    <w:top w:val="none" w:sz="0" w:space="0" w:color="auto"/>
                    <w:left w:val="none" w:sz="0" w:space="0" w:color="auto"/>
                    <w:bottom w:val="none" w:sz="0" w:space="0" w:color="auto"/>
                    <w:right w:val="none" w:sz="0" w:space="0" w:color="auto"/>
                  </w:divBdr>
                  <w:divsChild>
                    <w:div w:id="2045791440">
                      <w:marLeft w:val="0"/>
                      <w:marRight w:val="0"/>
                      <w:marTop w:val="0"/>
                      <w:marBottom w:val="0"/>
                      <w:divBdr>
                        <w:top w:val="none" w:sz="0" w:space="0" w:color="auto"/>
                        <w:left w:val="none" w:sz="0" w:space="0" w:color="auto"/>
                        <w:bottom w:val="none" w:sz="0" w:space="0" w:color="auto"/>
                        <w:right w:val="none" w:sz="0" w:space="0" w:color="auto"/>
                      </w:divBdr>
                    </w:div>
                  </w:divsChild>
                </w:div>
                <w:div w:id="1603564987">
                  <w:marLeft w:val="0"/>
                  <w:marRight w:val="0"/>
                  <w:marTop w:val="0"/>
                  <w:marBottom w:val="0"/>
                  <w:divBdr>
                    <w:top w:val="none" w:sz="0" w:space="0" w:color="auto"/>
                    <w:left w:val="none" w:sz="0" w:space="0" w:color="auto"/>
                    <w:bottom w:val="none" w:sz="0" w:space="0" w:color="auto"/>
                    <w:right w:val="none" w:sz="0" w:space="0" w:color="auto"/>
                  </w:divBdr>
                  <w:divsChild>
                    <w:div w:id="136073674">
                      <w:marLeft w:val="0"/>
                      <w:marRight w:val="0"/>
                      <w:marTop w:val="0"/>
                      <w:marBottom w:val="0"/>
                      <w:divBdr>
                        <w:top w:val="none" w:sz="0" w:space="0" w:color="auto"/>
                        <w:left w:val="none" w:sz="0" w:space="0" w:color="auto"/>
                        <w:bottom w:val="none" w:sz="0" w:space="0" w:color="auto"/>
                        <w:right w:val="none" w:sz="0" w:space="0" w:color="auto"/>
                      </w:divBdr>
                    </w:div>
                  </w:divsChild>
                </w:div>
                <w:div w:id="1604918591">
                  <w:marLeft w:val="0"/>
                  <w:marRight w:val="0"/>
                  <w:marTop w:val="0"/>
                  <w:marBottom w:val="0"/>
                  <w:divBdr>
                    <w:top w:val="none" w:sz="0" w:space="0" w:color="auto"/>
                    <w:left w:val="none" w:sz="0" w:space="0" w:color="auto"/>
                    <w:bottom w:val="none" w:sz="0" w:space="0" w:color="auto"/>
                    <w:right w:val="none" w:sz="0" w:space="0" w:color="auto"/>
                  </w:divBdr>
                  <w:divsChild>
                    <w:div w:id="1714650707">
                      <w:marLeft w:val="0"/>
                      <w:marRight w:val="0"/>
                      <w:marTop w:val="0"/>
                      <w:marBottom w:val="0"/>
                      <w:divBdr>
                        <w:top w:val="none" w:sz="0" w:space="0" w:color="auto"/>
                        <w:left w:val="none" w:sz="0" w:space="0" w:color="auto"/>
                        <w:bottom w:val="none" w:sz="0" w:space="0" w:color="auto"/>
                        <w:right w:val="none" w:sz="0" w:space="0" w:color="auto"/>
                      </w:divBdr>
                    </w:div>
                  </w:divsChild>
                </w:div>
                <w:div w:id="1612935896">
                  <w:marLeft w:val="0"/>
                  <w:marRight w:val="0"/>
                  <w:marTop w:val="0"/>
                  <w:marBottom w:val="0"/>
                  <w:divBdr>
                    <w:top w:val="none" w:sz="0" w:space="0" w:color="auto"/>
                    <w:left w:val="none" w:sz="0" w:space="0" w:color="auto"/>
                    <w:bottom w:val="none" w:sz="0" w:space="0" w:color="auto"/>
                    <w:right w:val="none" w:sz="0" w:space="0" w:color="auto"/>
                  </w:divBdr>
                  <w:divsChild>
                    <w:div w:id="1608924066">
                      <w:marLeft w:val="0"/>
                      <w:marRight w:val="0"/>
                      <w:marTop w:val="0"/>
                      <w:marBottom w:val="0"/>
                      <w:divBdr>
                        <w:top w:val="none" w:sz="0" w:space="0" w:color="auto"/>
                        <w:left w:val="none" w:sz="0" w:space="0" w:color="auto"/>
                        <w:bottom w:val="none" w:sz="0" w:space="0" w:color="auto"/>
                        <w:right w:val="none" w:sz="0" w:space="0" w:color="auto"/>
                      </w:divBdr>
                    </w:div>
                  </w:divsChild>
                </w:div>
                <w:div w:id="1614246707">
                  <w:marLeft w:val="0"/>
                  <w:marRight w:val="0"/>
                  <w:marTop w:val="0"/>
                  <w:marBottom w:val="0"/>
                  <w:divBdr>
                    <w:top w:val="none" w:sz="0" w:space="0" w:color="auto"/>
                    <w:left w:val="none" w:sz="0" w:space="0" w:color="auto"/>
                    <w:bottom w:val="none" w:sz="0" w:space="0" w:color="auto"/>
                    <w:right w:val="none" w:sz="0" w:space="0" w:color="auto"/>
                  </w:divBdr>
                  <w:divsChild>
                    <w:div w:id="1249192795">
                      <w:marLeft w:val="0"/>
                      <w:marRight w:val="0"/>
                      <w:marTop w:val="0"/>
                      <w:marBottom w:val="0"/>
                      <w:divBdr>
                        <w:top w:val="none" w:sz="0" w:space="0" w:color="auto"/>
                        <w:left w:val="none" w:sz="0" w:space="0" w:color="auto"/>
                        <w:bottom w:val="none" w:sz="0" w:space="0" w:color="auto"/>
                        <w:right w:val="none" w:sz="0" w:space="0" w:color="auto"/>
                      </w:divBdr>
                    </w:div>
                  </w:divsChild>
                </w:div>
                <w:div w:id="1623655707">
                  <w:marLeft w:val="0"/>
                  <w:marRight w:val="0"/>
                  <w:marTop w:val="0"/>
                  <w:marBottom w:val="0"/>
                  <w:divBdr>
                    <w:top w:val="none" w:sz="0" w:space="0" w:color="auto"/>
                    <w:left w:val="none" w:sz="0" w:space="0" w:color="auto"/>
                    <w:bottom w:val="none" w:sz="0" w:space="0" w:color="auto"/>
                    <w:right w:val="none" w:sz="0" w:space="0" w:color="auto"/>
                  </w:divBdr>
                  <w:divsChild>
                    <w:div w:id="1557549624">
                      <w:marLeft w:val="0"/>
                      <w:marRight w:val="0"/>
                      <w:marTop w:val="0"/>
                      <w:marBottom w:val="0"/>
                      <w:divBdr>
                        <w:top w:val="none" w:sz="0" w:space="0" w:color="auto"/>
                        <w:left w:val="none" w:sz="0" w:space="0" w:color="auto"/>
                        <w:bottom w:val="none" w:sz="0" w:space="0" w:color="auto"/>
                        <w:right w:val="none" w:sz="0" w:space="0" w:color="auto"/>
                      </w:divBdr>
                    </w:div>
                  </w:divsChild>
                </w:div>
                <w:div w:id="1630354993">
                  <w:marLeft w:val="0"/>
                  <w:marRight w:val="0"/>
                  <w:marTop w:val="0"/>
                  <w:marBottom w:val="0"/>
                  <w:divBdr>
                    <w:top w:val="none" w:sz="0" w:space="0" w:color="auto"/>
                    <w:left w:val="none" w:sz="0" w:space="0" w:color="auto"/>
                    <w:bottom w:val="none" w:sz="0" w:space="0" w:color="auto"/>
                    <w:right w:val="none" w:sz="0" w:space="0" w:color="auto"/>
                  </w:divBdr>
                  <w:divsChild>
                    <w:div w:id="1674145195">
                      <w:marLeft w:val="0"/>
                      <w:marRight w:val="0"/>
                      <w:marTop w:val="0"/>
                      <w:marBottom w:val="0"/>
                      <w:divBdr>
                        <w:top w:val="none" w:sz="0" w:space="0" w:color="auto"/>
                        <w:left w:val="none" w:sz="0" w:space="0" w:color="auto"/>
                        <w:bottom w:val="none" w:sz="0" w:space="0" w:color="auto"/>
                        <w:right w:val="none" w:sz="0" w:space="0" w:color="auto"/>
                      </w:divBdr>
                    </w:div>
                  </w:divsChild>
                </w:div>
                <w:div w:id="1630670592">
                  <w:marLeft w:val="0"/>
                  <w:marRight w:val="0"/>
                  <w:marTop w:val="0"/>
                  <w:marBottom w:val="0"/>
                  <w:divBdr>
                    <w:top w:val="none" w:sz="0" w:space="0" w:color="auto"/>
                    <w:left w:val="none" w:sz="0" w:space="0" w:color="auto"/>
                    <w:bottom w:val="none" w:sz="0" w:space="0" w:color="auto"/>
                    <w:right w:val="none" w:sz="0" w:space="0" w:color="auto"/>
                  </w:divBdr>
                  <w:divsChild>
                    <w:div w:id="1862694579">
                      <w:marLeft w:val="0"/>
                      <w:marRight w:val="0"/>
                      <w:marTop w:val="0"/>
                      <w:marBottom w:val="0"/>
                      <w:divBdr>
                        <w:top w:val="none" w:sz="0" w:space="0" w:color="auto"/>
                        <w:left w:val="none" w:sz="0" w:space="0" w:color="auto"/>
                        <w:bottom w:val="none" w:sz="0" w:space="0" w:color="auto"/>
                        <w:right w:val="none" w:sz="0" w:space="0" w:color="auto"/>
                      </w:divBdr>
                    </w:div>
                  </w:divsChild>
                </w:div>
                <w:div w:id="1632788555">
                  <w:marLeft w:val="0"/>
                  <w:marRight w:val="0"/>
                  <w:marTop w:val="0"/>
                  <w:marBottom w:val="0"/>
                  <w:divBdr>
                    <w:top w:val="none" w:sz="0" w:space="0" w:color="auto"/>
                    <w:left w:val="none" w:sz="0" w:space="0" w:color="auto"/>
                    <w:bottom w:val="none" w:sz="0" w:space="0" w:color="auto"/>
                    <w:right w:val="none" w:sz="0" w:space="0" w:color="auto"/>
                  </w:divBdr>
                  <w:divsChild>
                    <w:div w:id="870461069">
                      <w:marLeft w:val="0"/>
                      <w:marRight w:val="0"/>
                      <w:marTop w:val="0"/>
                      <w:marBottom w:val="0"/>
                      <w:divBdr>
                        <w:top w:val="none" w:sz="0" w:space="0" w:color="auto"/>
                        <w:left w:val="none" w:sz="0" w:space="0" w:color="auto"/>
                        <w:bottom w:val="none" w:sz="0" w:space="0" w:color="auto"/>
                        <w:right w:val="none" w:sz="0" w:space="0" w:color="auto"/>
                      </w:divBdr>
                    </w:div>
                  </w:divsChild>
                </w:div>
                <w:div w:id="1648779673">
                  <w:marLeft w:val="0"/>
                  <w:marRight w:val="0"/>
                  <w:marTop w:val="0"/>
                  <w:marBottom w:val="0"/>
                  <w:divBdr>
                    <w:top w:val="none" w:sz="0" w:space="0" w:color="auto"/>
                    <w:left w:val="none" w:sz="0" w:space="0" w:color="auto"/>
                    <w:bottom w:val="none" w:sz="0" w:space="0" w:color="auto"/>
                    <w:right w:val="none" w:sz="0" w:space="0" w:color="auto"/>
                  </w:divBdr>
                  <w:divsChild>
                    <w:div w:id="202180601">
                      <w:marLeft w:val="0"/>
                      <w:marRight w:val="0"/>
                      <w:marTop w:val="0"/>
                      <w:marBottom w:val="0"/>
                      <w:divBdr>
                        <w:top w:val="none" w:sz="0" w:space="0" w:color="auto"/>
                        <w:left w:val="none" w:sz="0" w:space="0" w:color="auto"/>
                        <w:bottom w:val="none" w:sz="0" w:space="0" w:color="auto"/>
                        <w:right w:val="none" w:sz="0" w:space="0" w:color="auto"/>
                      </w:divBdr>
                    </w:div>
                  </w:divsChild>
                </w:div>
                <w:div w:id="1653097690">
                  <w:marLeft w:val="0"/>
                  <w:marRight w:val="0"/>
                  <w:marTop w:val="0"/>
                  <w:marBottom w:val="0"/>
                  <w:divBdr>
                    <w:top w:val="none" w:sz="0" w:space="0" w:color="auto"/>
                    <w:left w:val="none" w:sz="0" w:space="0" w:color="auto"/>
                    <w:bottom w:val="none" w:sz="0" w:space="0" w:color="auto"/>
                    <w:right w:val="none" w:sz="0" w:space="0" w:color="auto"/>
                  </w:divBdr>
                  <w:divsChild>
                    <w:div w:id="366413610">
                      <w:marLeft w:val="0"/>
                      <w:marRight w:val="0"/>
                      <w:marTop w:val="0"/>
                      <w:marBottom w:val="0"/>
                      <w:divBdr>
                        <w:top w:val="none" w:sz="0" w:space="0" w:color="auto"/>
                        <w:left w:val="none" w:sz="0" w:space="0" w:color="auto"/>
                        <w:bottom w:val="none" w:sz="0" w:space="0" w:color="auto"/>
                        <w:right w:val="none" w:sz="0" w:space="0" w:color="auto"/>
                      </w:divBdr>
                    </w:div>
                  </w:divsChild>
                </w:div>
                <w:div w:id="1655140447">
                  <w:marLeft w:val="0"/>
                  <w:marRight w:val="0"/>
                  <w:marTop w:val="0"/>
                  <w:marBottom w:val="0"/>
                  <w:divBdr>
                    <w:top w:val="none" w:sz="0" w:space="0" w:color="auto"/>
                    <w:left w:val="none" w:sz="0" w:space="0" w:color="auto"/>
                    <w:bottom w:val="none" w:sz="0" w:space="0" w:color="auto"/>
                    <w:right w:val="none" w:sz="0" w:space="0" w:color="auto"/>
                  </w:divBdr>
                  <w:divsChild>
                    <w:div w:id="937251144">
                      <w:marLeft w:val="0"/>
                      <w:marRight w:val="0"/>
                      <w:marTop w:val="0"/>
                      <w:marBottom w:val="0"/>
                      <w:divBdr>
                        <w:top w:val="none" w:sz="0" w:space="0" w:color="auto"/>
                        <w:left w:val="none" w:sz="0" w:space="0" w:color="auto"/>
                        <w:bottom w:val="none" w:sz="0" w:space="0" w:color="auto"/>
                        <w:right w:val="none" w:sz="0" w:space="0" w:color="auto"/>
                      </w:divBdr>
                    </w:div>
                  </w:divsChild>
                </w:div>
                <w:div w:id="1658419185">
                  <w:marLeft w:val="0"/>
                  <w:marRight w:val="0"/>
                  <w:marTop w:val="0"/>
                  <w:marBottom w:val="0"/>
                  <w:divBdr>
                    <w:top w:val="none" w:sz="0" w:space="0" w:color="auto"/>
                    <w:left w:val="none" w:sz="0" w:space="0" w:color="auto"/>
                    <w:bottom w:val="none" w:sz="0" w:space="0" w:color="auto"/>
                    <w:right w:val="none" w:sz="0" w:space="0" w:color="auto"/>
                  </w:divBdr>
                  <w:divsChild>
                    <w:div w:id="191774407">
                      <w:marLeft w:val="0"/>
                      <w:marRight w:val="0"/>
                      <w:marTop w:val="0"/>
                      <w:marBottom w:val="0"/>
                      <w:divBdr>
                        <w:top w:val="none" w:sz="0" w:space="0" w:color="auto"/>
                        <w:left w:val="none" w:sz="0" w:space="0" w:color="auto"/>
                        <w:bottom w:val="none" w:sz="0" w:space="0" w:color="auto"/>
                        <w:right w:val="none" w:sz="0" w:space="0" w:color="auto"/>
                      </w:divBdr>
                    </w:div>
                  </w:divsChild>
                </w:div>
                <w:div w:id="1659113626">
                  <w:marLeft w:val="0"/>
                  <w:marRight w:val="0"/>
                  <w:marTop w:val="0"/>
                  <w:marBottom w:val="0"/>
                  <w:divBdr>
                    <w:top w:val="none" w:sz="0" w:space="0" w:color="auto"/>
                    <w:left w:val="none" w:sz="0" w:space="0" w:color="auto"/>
                    <w:bottom w:val="none" w:sz="0" w:space="0" w:color="auto"/>
                    <w:right w:val="none" w:sz="0" w:space="0" w:color="auto"/>
                  </w:divBdr>
                  <w:divsChild>
                    <w:div w:id="854274040">
                      <w:marLeft w:val="0"/>
                      <w:marRight w:val="0"/>
                      <w:marTop w:val="0"/>
                      <w:marBottom w:val="0"/>
                      <w:divBdr>
                        <w:top w:val="none" w:sz="0" w:space="0" w:color="auto"/>
                        <w:left w:val="none" w:sz="0" w:space="0" w:color="auto"/>
                        <w:bottom w:val="none" w:sz="0" w:space="0" w:color="auto"/>
                        <w:right w:val="none" w:sz="0" w:space="0" w:color="auto"/>
                      </w:divBdr>
                    </w:div>
                  </w:divsChild>
                </w:div>
                <w:div w:id="1679575355">
                  <w:marLeft w:val="0"/>
                  <w:marRight w:val="0"/>
                  <w:marTop w:val="0"/>
                  <w:marBottom w:val="0"/>
                  <w:divBdr>
                    <w:top w:val="none" w:sz="0" w:space="0" w:color="auto"/>
                    <w:left w:val="none" w:sz="0" w:space="0" w:color="auto"/>
                    <w:bottom w:val="none" w:sz="0" w:space="0" w:color="auto"/>
                    <w:right w:val="none" w:sz="0" w:space="0" w:color="auto"/>
                  </w:divBdr>
                  <w:divsChild>
                    <w:div w:id="589510098">
                      <w:marLeft w:val="0"/>
                      <w:marRight w:val="0"/>
                      <w:marTop w:val="0"/>
                      <w:marBottom w:val="0"/>
                      <w:divBdr>
                        <w:top w:val="none" w:sz="0" w:space="0" w:color="auto"/>
                        <w:left w:val="none" w:sz="0" w:space="0" w:color="auto"/>
                        <w:bottom w:val="none" w:sz="0" w:space="0" w:color="auto"/>
                        <w:right w:val="none" w:sz="0" w:space="0" w:color="auto"/>
                      </w:divBdr>
                    </w:div>
                  </w:divsChild>
                </w:div>
                <w:div w:id="1681352874">
                  <w:marLeft w:val="0"/>
                  <w:marRight w:val="0"/>
                  <w:marTop w:val="0"/>
                  <w:marBottom w:val="0"/>
                  <w:divBdr>
                    <w:top w:val="none" w:sz="0" w:space="0" w:color="auto"/>
                    <w:left w:val="none" w:sz="0" w:space="0" w:color="auto"/>
                    <w:bottom w:val="none" w:sz="0" w:space="0" w:color="auto"/>
                    <w:right w:val="none" w:sz="0" w:space="0" w:color="auto"/>
                  </w:divBdr>
                  <w:divsChild>
                    <w:div w:id="1199976270">
                      <w:marLeft w:val="0"/>
                      <w:marRight w:val="0"/>
                      <w:marTop w:val="0"/>
                      <w:marBottom w:val="0"/>
                      <w:divBdr>
                        <w:top w:val="none" w:sz="0" w:space="0" w:color="auto"/>
                        <w:left w:val="none" w:sz="0" w:space="0" w:color="auto"/>
                        <w:bottom w:val="none" w:sz="0" w:space="0" w:color="auto"/>
                        <w:right w:val="none" w:sz="0" w:space="0" w:color="auto"/>
                      </w:divBdr>
                    </w:div>
                  </w:divsChild>
                </w:div>
                <w:div w:id="1689868714">
                  <w:marLeft w:val="0"/>
                  <w:marRight w:val="0"/>
                  <w:marTop w:val="0"/>
                  <w:marBottom w:val="0"/>
                  <w:divBdr>
                    <w:top w:val="none" w:sz="0" w:space="0" w:color="auto"/>
                    <w:left w:val="none" w:sz="0" w:space="0" w:color="auto"/>
                    <w:bottom w:val="none" w:sz="0" w:space="0" w:color="auto"/>
                    <w:right w:val="none" w:sz="0" w:space="0" w:color="auto"/>
                  </w:divBdr>
                  <w:divsChild>
                    <w:div w:id="1673559278">
                      <w:marLeft w:val="0"/>
                      <w:marRight w:val="0"/>
                      <w:marTop w:val="0"/>
                      <w:marBottom w:val="0"/>
                      <w:divBdr>
                        <w:top w:val="none" w:sz="0" w:space="0" w:color="auto"/>
                        <w:left w:val="none" w:sz="0" w:space="0" w:color="auto"/>
                        <w:bottom w:val="none" w:sz="0" w:space="0" w:color="auto"/>
                        <w:right w:val="none" w:sz="0" w:space="0" w:color="auto"/>
                      </w:divBdr>
                    </w:div>
                  </w:divsChild>
                </w:div>
                <w:div w:id="1690794180">
                  <w:marLeft w:val="0"/>
                  <w:marRight w:val="0"/>
                  <w:marTop w:val="0"/>
                  <w:marBottom w:val="0"/>
                  <w:divBdr>
                    <w:top w:val="none" w:sz="0" w:space="0" w:color="auto"/>
                    <w:left w:val="none" w:sz="0" w:space="0" w:color="auto"/>
                    <w:bottom w:val="none" w:sz="0" w:space="0" w:color="auto"/>
                    <w:right w:val="none" w:sz="0" w:space="0" w:color="auto"/>
                  </w:divBdr>
                  <w:divsChild>
                    <w:div w:id="1472946145">
                      <w:marLeft w:val="0"/>
                      <w:marRight w:val="0"/>
                      <w:marTop w:val="0"/>
                      <w:marBottom w:val="0"/>
                      <w:divBdr>
                        <w:top w:val="none" w:sz="0" w:space="0" w:color="auto"/>
                        <w:left w:val="none" w:sz="0" w:space="0" w:color="auto"/>
                        <w:bottom w:val="none" w:sz="0" w:space="0" w:color="auto"/>
                        <w:right w:val="none" w:sz="0" w:space="0" w:color="auto"/>
                      </w:divBdr>
                    </w:div>
                  </w:divsChild>
                </w:div>
                <w:div w:id="1709331660">
                  <w:marLeft w:val="0"/>
                  <w:marRight w:val="0"/>
                  <w:marTop w:val="0"/>
                  <w:marBottom w:val="0"/>
                  <w:divBdr>
                    <w:top w:val="none" w:sz="0" w:space="0" w:color="auto"/>
                    <w:left w:val="none" w:sz="0" w:space="0" w:color="auto"/>
                    <w:bottom w:val="none" w:sz="0" w:space="0" w:color="auto"/>
                    <w:right w:val="none" w:sz="0" w:space="0" w:color="auto"/>
                  </w:divBdr>
                  <w:divsChild>
                    <w:div w:id="180555986">
                      <w:marLeft w:val="0"/>
                      <w:marRight w:val="0"/>
                      <w:marTop w:val="0"/>
                      <w:marBottom w:val="0"/>
                      <w:divBdr>
                        <w:top w:val="none" w:sz="0" w:space="0" w:color="auto"/>
                        <w:left w:val="none" w:sz="0" w:space="0" w:color="auto"/>
                        <w:bottom w:val="none" w:sz="0" w:space="0" w:color="auto"/>
                        <w:right w:val="none" w:sz="0" w:space="0" w:color="auto"/>
                      </w:divBdr>
                    </w:div>
                  </w:divsChild>
                </w:div>
                <w:div w:id="1712807720">
                  <w:marLeft w:val="0"/>
                  <w:marRight w:val="0"/>
                  <w:marTop w:val="0"/>
                  <w:marBottom w:val="0"/>
                  <w:divBdr>
                    <w:top w:val="none" w:sz="0" w:space="0" w:color="auto"/>
                    <w:left w:val="none" w:sz="0" w:space="0" w:color="auto"/>
                    <w:bottom w:val="none" w:sz="0" w:space="0" w:color="auto"/>
                    <w:right w:val="none" w:sz="0" w:space="0" w:color="auto"/>
                  </w:divBdr>
                  <w:divsChild>
                    <w:div w:id="206069287">
                      <w:marLeft w:val="0"/>
                      <w:marRight w:val="0"/>
                      <w:marTop w:val="0"/>
                      <w:marBottom w:val="0"/>
                      <w:divBdr>
                        <w:top w:val="none" w:sz="0" w:space="0" w:color="auto"/>
                        <w:left w:val="none" w:sz="0" w:space="0" w:color="auto"/>
                        <w:bottom w:val="none" w:sz="0" w:space="0" w:color="auto"/>
                        <w:right w:val="none" w:sz="0" w:space="0" w:color="auto"/>
                      </w:divBdr>
                    </w:div>
                    <w:div w:id="356346310">
                      <w:marLeft w:val="0"/>
                      <w:marRight w:val="0"/>
                      <w:marTop w:val="0"/>
                      <w:marBottom w:val="0"/>
                      <w:divBdr>
                        <w:top w:val="none" w:sz="0" w:space="0" w:color="auto"/>
                        <w:left w:val="none" w:sz="0" w:space="0" w:color="auto"/>
                        <w:bottom w:val="none" w:sz="0" w:space="0" w:color="auto"/>
                        <w:right w:val="none" w:sz="0" w:space="0" w:color="auto"/>
                      </w:divBdr>
                    </w:div>
                    <w:div w:id="604313391">
                      <w:marLeft w:val="0"/>
                      <w:marRight w:val="0"/>
                      <w:marTop w:val="0"/>
                      <w:marBottom w:val="0"/>
                      <w:divBdr>
                        <w:top w:val="none" w:sz="0" w:space="0" w:color="auto"/>
                        <w:left w:val="none" w:sz="0" w:space="0" w:color="auto"/>
                        <w:bottom w:val="none" w:sz="0" w:space="0" w:color="auto"/>
                        <w:right w:val="none" w:sz="0" w:space="0" w:color="auto"/>
                      </w:divBdr>
                    </w:div>
                    <w:div w:id="623193193">
                      <w:marLeft w:val="0"/>
                      <w:marRight w:val="0"/>
                      <w:marTop w:val="0"/>
                      <w:marBottom w:val="0"/>
                      <w:divBdr>
                        <w:top w:val="none" w:sz="0" w:space="0" w:color="auto"/>
                        <w:left w:val="none" w:sz="0" w:space="0" w:color="auto"/>
                        <w:bottom w:val="none" w:sz="0" w:space="0" w:color="auto"/>
                        <w:right w:val="none" w:sz="0" w:space="0" w:color="auto"/>
                      </w:divBdr>
                    </w:div>
                    <w:div w:id="756366996">
                      <w:marLeft w:val="0"/>
                      <w:marRight w:val="0"/>
                      <w:marTop w:val="0"/>
                      <w:marBottom w:val="0"/>
                      <w:divBdr>
                        <w:top w:val="none" w:sz="0" w:space="0" w:color="auto"/>
                        <w:left w:val="none" w:sz="0" w:space="0" w:color="auto"/>
                        <w:bottom w:val="none" w:sz="0" w:space="0" w:color="auto"/>
                        <w:right w:val="none" w:sz="0" w:space="0" w:color="auto"/>
                      </w:divBdr>
                    </w:div>
                    <w:div w:id="862595930">
                      <w:marLeft w:val="0"/>
                      <w:marRight w:val="0"/>
                      <w:marTop w:val="0"/>
                      <w:marBottom w:val="0"/>
                      <w:divBdr>
                        <w:top w:val="none" w:sz="0" w:space="0" w:color="auto"/>
                        <w:left w:val="none" w:sz="0" w:space="0" w:color="auto"/>
                        <w:bottom w:val="none" w:sz="0" w:space="0" w:color="auto"/>
                        <w:right w:val="none" w:sz="0" w:space="0" w:color="auto"/>
                      </w:divBdr>
                    </w:div>
                    <w:div w:id="1024096291">
                      <w:marLeft w:val="0"/>
                      <w:marRight w:val="0"/>
                      <w:marTop w:val="0"/>
                      <w:marBottom w:val="0"/>
                      <w:divBdr>
                        <w:top w:val="none" w:sz="0" w:space="0" w:color="auto"/>
                        <w:left w:val="none" w:sz="0" w:space="0" w:color="auto"/>
                        <w:bottom w:val="none" w:sz="0" w:space="0" w:color="auto"/>
                        <w:right w:val="none" w:sz="0" w:space="0" w:color="auto"/>
                      </w:divBdr>
                    </w:div>
                    <w:div w:id="1066611250">
                      <w:marLeft w:val="0"/>
                      <w:marRight w:val="0"/>
                      <w:marTop w:val="0"/>
                      <w:marBottom w:val="0"/>
                      <w:divBdr>
                        <w:top w:val="none" w:sz="0" w:space="0" w:color="auto"/>
                        <w:left w:val="none" w:sz="0" w:space="0" w:color="auto"/>
                        <w:bottom w:val="none" w:sz="0" w:space="0" w:color="auto"/>
                        <w:right w:val="none" w:sz="0" w:space="0" w:color="auto"/>
                      </w:divBdr>
                    </w:div>
                    <w:div w:id="1122722270">
                      <w:marLeft w:val="0"/>
                      <w:marRight w:val="0"/>
                      <w:marTop w:val="0"/>
                      <w:marBottom w:val="0"/>
                      <w:divBdr>
                        <w:top w:val="none" w:sz="0" w:space="0" w:color="auto"/>
                        <w:left w:val="none" w:sz="0" w:space="0" w:color="auto"/>
                        <w:bottom w:val="none" w:sz="0" w:space="0" w:color="auto"/>
                        <w:right w:val="none" w:sz="0" w:space="0" w:color="auto"/>
                      </w:divBdr>
                    </w:div>
                    <w:div w:id="1158693757">
                      <w:marLeft w:val="0"/>
                      <w:marRight w:val="0"/>
                      <w:marTop w:val="0"/>
                      <w:marBottom w:val="0"/>
                      <w:divBdr>
                        <w:top w:val="none" w:sz="0" w:space="0" w:color="auto"/>
                        <w:left w:val="none" w:sz="0" w:space="0" w:color="auto"/>
                        <w:bottom w:val="none" w:sz="0" w:space="0" w:color="auto"/>
                        <w:right w:val="none" w:sz="0" w:space="0" w:color="auto"/>
                      </w:divBdr>
                    </w:div>
                    <w:div w:id="1542671169">
                      <w:marLeft w:val="0"/>
                      <w:marRight w:val="0"/>
                      <w:marTop w:val="0"/>
                      <w:marBottom w:val="0"/>
                      <w:divBdr>
                        <w:top w:val="none" w:sz="0" w:space="0" w:color="auto"/>
                        <w:left w:val="none" w:sz="0" w:space="0" w:color="auto"/>
                        <w:bottom w:val="none" w:sz="0" w:space="0" w:color="auto"/>
                        <w:right w:val="none" w:sz="0" w:space="0" w:color="auto"/>
                      </w:divBdr>
                    </w:div>
                    <w:div w:id="1755586923">
                      <w:marLeft w:val="0"/>
                      <w:marRight w:val="0"/>
                      <w:marTop w:val="0"/>
                      <w:marBottom w:val="0"/>
                      <w:divBdr>
                        <w:top w:val="none" w:sz="0" w:space="0" w:color="auto"/>
                        <w:left w:val="none" w:sz="0" w:space="0" w:color="auto"/>
                        <w:bottom w:val="none" w:sz="0" w:space="0" w:color="auto"/>
                        <w:right w:val="none" w:sz="0" w:space="0" w:color="auto"/>
                      </w:divBdr>
                    </w:div>
                    <w:div w:id="1906792144">
                      <w:marLeft w:val="0"/>
                      <w:marRight w:val="0"/>
                      <w:marTop w:val="0"/>
                      <w:marBottom w:val="0"/>
                      <w:divBdr>
                        <w:top w:val="none" w:sz="0" w:space="0" w:color="auto"/>
                        <w:left w:val="none" w:sz="0" w:space="0" w:color="auto"/>
                        <w:bottom w:val="none" w:sz="0" w:space="0" w:color="auto"/>
                        <w:right w:val="none" w:sz="0" w:space="0" w:color="auto"/>
                      </w:divBdr>
                    </w:div>
                    <w:div w:id="1978559812">
                      <w:marLeft w:val="0"/>
                      <w:marRight w:val="0"/>
                      <w:marTop w:val="0"/>
                      <w:marBottom w:val="0"/>
                      <w:divBdr>
                        <w:top w:val="none" w:sz="0" w:space="0" w:color="auto"/>
                        <w:left w:val="none" w:sz="0" w:space="0" w:color="auto"/>
                        <w:bottom w:val="none" w:sz="0" w:space="0" w:color="auto"/>
                        <w:right w:val="none" w:sz="0" w:space="0" w:color="auto"/>
                      </w:divBdr>
                    </w:div>
                    <w:div w:id="1996955988">
                      <w:marLeft w:val="0"/>
                      <w:marRight w:val="0"/>
                      <w:marTop w:val="0"/>
                      <w:marBottom w:val="0"/>
                      <w:divBdr>
                        <w:top w:val="none" w:sz="0" w:space="0" w:color="auto"/>
                        <w:left w:val="none" w:sz="0" w:space="0" w:color="auto"/>
                        <w:bottom w:val="none" w:sz="0" w:space="0" w:color="auto"/>
                        <w:right w:val="none" w:sz="0" w:space="0" w:color="auto"/>
                      </w:divBdr>
                    </w:div>
                  </w:divsChild>
                </w:div>
                <w:div w:id="1716195615">
                  <w:marLeft w:val="0"/>
                  <w:marRight w:val="0"/>
                  <w:marTop w:val="0"/>
                  <w:marBottom w:val="0"/>
                  <w:divBdr>
                    <w:top w:val="none" w:sz="0" w:space="0" w:color="auto"/>
                    <w:left w:val="none" w:sz="0" w:space="0" w:color="auto"/>
                    <w:bottom w:val="none" w:sz="0" w:space="0" w:color="auto"/>
                    <w:right w:val="none" w:sz="0" w:space="0" w:color="auto"/>
                  </w:divBdr>
                  <w:divsChild>
                    <w:div w:id="962150887">
                      <w:marLeft w:val="0"/>
                      <w:marRight w:val="0"/>
                      <w:marTop w:val="0"/>
                      <w:marBottom w:val="0"/>
                      <w:divBdr>
                        <w:top w:val="none" w:sz="0" w:space="0" w:color="auto"/>
                        <w:left w:val="none" w:sz="0" w:space="0" w:color="auto"/>
                        <w:bottom w:val="none" w:sz="0" w:space="0" w:color="auto"/>
                        <w:right w:val="none" w:sz="0" w:space="0" w:color="auto"/>
                      </w:divBdr>
                    </w:div>
                  </w:divsChild>
                </w:div>
                <w:div w:id="1731227412">
                  <w:marLeft w:val="0"/>
                  <w:marRight w:val="0"/>
                  <w:marTop w:val="0"/>
                  <w:marBottom w:val="0"/>
                  <w:divBdr>
                    <w:top w:val="none" w:sz="0" w:space="0" w:color="auto"/>
                    <w:left w:val="none" w:sz="0" w:space="0" w:color="auto"/>
                    <w:bottom w:val="none" w:sz="0" w:space="0" w:color="auto"/>
                    <w:right w:val="none" w:sz="0" w:space="0" w:color="auto"/>
                  </w:divBdr>
                  <w:divsChild>
                    <w:div w:id="908199012">
                      <w:marLeft w:val="0"/>
                      <w:marRight w:val="0"/>
                      <w:marTop w:val="0"/>
                      <w:marBottom w:val="0"/>
                      <w:divBdr>
                        <w:top w:val="none" w:sz="0" w:space="0" w:color="auto"/>
                        <w:left w:val="none" w:sz="0" w:space="0" w:color="auto"/>
                        <w:bottom w:val="none" w:sz="0" w:space="0" w:color="auto"/>
                        <w:right w:val="none" w:sz="0" w:space="0" w:color="auto"/>
                      </w:divBdr>
                    </w:div>
                  </w:divsChild>
                </w:div>
                <w:div w:id="1734545531">
                  <w:marLeft w:val="0"/>
                  <w:marRight w:val="0"/>
                  <w:marTop w:val="0"/>
                  <w:marBottom w:val="0"/>
                  <w:divBdr>
                    <w:top w:val="none" w:sz="0" w:space="0" w:color="auto"/>
                    <w:left w:val="none" w:sz="0" w:space="0" w:color="auto"/>
                    <w:bottom w:val="none" w:sz="0" w:space="0" w:color="auto"/>
                    <w:right w:val="none" w:sz="0" w:space="0" w:color="auto"/>
                  </w:divBdr>
                  <w:divsChild>
                    <w:div w:id="572930001">
                      <w:marLeft w:val="0"/>
                      <w:marRight w:val="0"/>
                      <w:marTop w:val="0"/>
                      <w:marBottom w:val="0"/>
                      <w:divBdr>
                        <w:top w:val="none" w:sz="0" w:space="0" w:color="auto"/>
                        <w:left w:val="none" w:sz="0" w:space="0" w:color="auto"/>
                        <w:bottom w:val="none" w:sz="0" w:space="0" w:color="auto"/>
                        <w:right w:val="none" w:sz="0" w:space="0" w:color="auto"/>
                      </w:divBdr>
                    </w:div>
                  </w:divsChild>
                </w:div>
                <w:div w:id="1747413739">
                  <w:marLeft w:val="0"/>
                  <w:marRight w:val="0"/>
                  <w:marTop w:val="0"/>
                  <w:marBottom w:val="0"/>
                  <w:divBdr>
                    <w:top w:val="none" w:sz="0" w:space="0" w:color="auto"/>
                    <w:left w:val="none" w:sz="0" w:space="0" w:color="auto"/>
                    <w:bottom w:val="none" w:sz="0" w:space="0" w:color="auto"/>
                    <w:right w:val="none" w:sz="0" w:space="0" w:color="auto"/>
                  </w:divBdr>
                  <w:divsChild>
                    <w:div w:id="30687112">
                      <w:marLeft w:val="0"/>
                      <w:marRight w:val="0"/>
                      <w:marTop w:val="0"/>
                      <w:marBottom w:val="0"/>
                      <w:divBdr>
                        <w:top w:val="none" w:sz="0" w:space="0" w:color="auto"/>
                        <w:left w:val="none" w:sz="0" w:space="0" w:color="auto"/>
                        <w:bottom w:val="none" w:sz="0" w:space="0" w:color="auto"/>
                        <w:right w:val="none" w:sz="0" w:space="0" w:color="auto"/>
                      </w:divBdr>
                    </w:div>
                  </w:divsChild>
                </w:div>
                <w:div w:id="1747460689">
                  <w:marLeft w:val="0"/>
                  <w:marRight w:val="0"/>
                  <w:marTop w:val="0"/>
                  <w:marBottom w:val="0"/>
                  <w:divBdr>
                    <w:top w:val="none" w:sz="0" w:space="0" w:color="auto"/>
                    <w:left w:val="none" w:sz="0" w:space="0" w:color="auto"/>
                    <w:bottom w:val="none" w:sz="0" w:space="0" w:color="auto"/>
                    <w:right w:val="none" w:sz="0" w:space="0" w:color="auto"/>
                  </w:divBdr>
                  <w:divsChild>
                    <w:div w:id="2144812346">
                      <w:marLeft w:val="0"/>
                      <w:marRight w:val="0"/>
                      <w:marTop w:val="0"/>
                      <w:marBottom w:val="0"/>
                      <w:divBdr>
                        <w:top w:val="none" w:sz="0" w:space="0" w:color="auto"/>
                        <w:left w:val="none" w:sz="0" w:space="0" w:color="auto"/>
                        <w:bottom w:val="none" w:sz="0" w:space="0" w:color="auto"/>
                        <w:right w:val="none" w:sz="0" w:space="0" w:color="auto"/>
                      </w:divBdr>
                    </w:div>
                  </w:divsChild>
                </w:div>
                <w:div w:id="1753114055">
                  <w:marLeft w:val="0"/>
                  <w:marRight w:val="0"/>
                  <w:marTop w:val="0"/>
                  <w:marBottom w:val="0"/>
                  <w:divBdr>
                    <w:top w:val="none" w:sz="0" w:space="0" w:color="auto"/>
                    <w:left w:val="none" w:sz="0" w:space="0" w:color="auto"/>
                    <w:bottom w:val="none" w:sz="0" w:space="0" w:color="auto"/>
                    <w:right w:val="none" w:sz="0" w:space="0" w:color="auto"/>
                  </w:divBdr>
                  <w:divsChild>
                    <w:div w:id="1673533935">
                      <w:marLeft w:val="0"/>
                      <w:marRight w:val="0"/>
                      <w:marTop w:val="0"/>
                      <w:marBottom w:val="0"/>
                      <w:divBdr>
                        <w:top w:val="none" w:sz="0" w:space="0" w:color="auto"/>
                        <w:left w:val="none" w:sz="0" w:space="0" w:color="auto"/>
                        <w:bottom w:val="none" w:sz="0" w:space="0" w:color="auto"/>
                        <w:right w:val="none" w:sz="0" w:space="0" w:color="auto"/>
                      </w:divBdr>
                    </w:div>
                  </w:divsChild>
                </w:div>
                <w:div w:id="1763257161">
                  <w:marLeft w:val="0"/>
                  <w:marRight w:val="0"/>
                  <w:marTop w:val="0"/>
                  <w:marBottom w:val="0"/>
                  <w:divBdr>
                    <w:top w:val="none" w:sz="0" w:space="0" w:color="auto"/>
                    <w:left w:val="none" w:sz="0" w:space="0" w:color="auto"/>
                    <w:bottom w:val="none" w:sz="0" w:space="0" w:color="auto"/>
                    <w:right w:val="none" w:sz="0" w:space="0" w:color="auto"/>
                  </w:divBdr>
                  <w:divsChild>
                    <w:div w:id="429203638">
                      <w:marLeft w:val="0"/>
                      <w:marRight w:val="0"/>
                      <w:marTop w:val="0"/>
                      <w:marBottom w:val="0"/>
                      <w:divBdr>
                        <w:top w:val="none" w:sz="0" w:space="0" w:color="auto"/>
                        <w:left w:val="none" w:sz="0" w:space="0" w:color="auto"/>
                        <w:bottom w:val="none" w:sz="0" w:space="0" w:color="auto"/>
                        <w:right w:val="none" w:sz="0" w:space="0" w:color="auto"/>
                      </w:divBdr>
                    </w:div>
                  </w:divsChild>
                </w:div>
                <w:div w:id="1763723449">
                  <w:marLeft w:val="0"/>
                  <w:marRight w:val="0"/>
                  <w:marTop w:val="0"/>
                  <w:marBottom w:val="0"/>
                  <w:divBdr>
                    <w:top w:val="none" w:sz="0" w:space="0" w:color="auto"/>
                    <w:left w:val="none" w:sz="0" w:space="0" w:color="auto"/>
                    <w:bottom w:val="none" w:sz="0" w:space="0" w:color="auto"/>
                    <w:right w:val="none" w:sz="0" w:space="0" w:color="auto"/>
                  </w:divBdr>
                  <w:divsChild>
                    <w:div w:id="91323050">
                      <w:marLeft w:val="0"/>
                      <w:marRight w:val="0"/>
                      <w:marTop w:val="0"/>
                      <w:marBottom w:val="0"/>
                      <w:divBdr>
                        <w:top w:val="none" w:sz="0" w:space="0" w:color="auto"/>
                        <w:left w:val="none" w:sz="0" w:space="0" w:color="auto"/>
                        <w:bottom w:val="none" w:sz="0" w:space="0" w:color="auto"/>
                        <w:right w:val="none" w:sz="0" w:space="0" w:color="auto"/>
                      </w:divBdr>
                    </w:div>
                  </w:divsChild>
                </w:div>
                <w:div w:id="1768497618">
                  <w:marLeft w:val="0"/>
                  <w:marRight w:val="0"/>
                  <w:marTop w:val="0"/>
                  <w:marBottom w:val="0"/>
                  <w:divBdr>
                    <w:top w:val="none" w:sz="0" w:space="0" w:color="auto"/>
                    <w:left w:val="none" w:sz="0" w:space="0" w:color="auto"/>
                    <w:bottom w:val="none" w:sz="0" w:space="0" w:color="auto"/>
                    <w:right w:val="none" w:sz="0" w:space="0" w:color="auto"/>
                  </w:divBdr>
                  <w:divsChild>
                    <w:div w:id="1068303957">
                      <w:marLeft w:val="0"/>
                      <w:marRight w:val="0"/>
                      <w:marTop w:val="0"/>
                      <w:marBottom w:val="0"/>
                      <w:divBdr>
                        <w:top w:val="none" w:sz="0" w:space="0" w:color="auto"/>
                        <w:left w:val="none" w:sz="0" w:space="0" w:color="auto"/>
                        <w:bottom w:val="none" w:sz="0" w:space="0" w:color="auto"/>
                        <w:right w:val="none" w:sz="0" w:space="0" w:color="auto"/>
                      </w:divBdr>
                    </w:div>
                  </w:divsChild>
                </w:div>
                <w:div w:id="1769302230">
                  <w:marLeft w:val="0"/>
                  <w:marRight w:val="0"/>
                  <w:marTop w:val="0"/>
                  <w:marBottom w:val="0"/>
                  <w:divBdr>
                    <w:top w:val="none" w:sz="0" w:space="0" w:color="auto"/>
                    <w:left w:val="none" w:sz="0" w:space="0" w:color="auto"/>
                    <w:bottom w:val="none" w:sz="0" w:space="0" w:color="auto"/>
                    <w:right w:val="none" w:sz="0" w:space="0" w:color="auto"/>
                  </w:divBdr>
                  <w:divsChild>
                    <w:div w:id="1827820089">
                      <w:marLeft w:val="0"/>
                      <w:marRight w:val="0"/>
                      <w:marTop w:val="0"/>
                      <w:marBottom w:val="0"/>
                      <w:divBdr>
                        <w:top w:val="none" w:sz="0" w:space="0" w:color="auto"/>
                        <w:left w:val="none" w:sz="0" w:space="0" w:color="auto"/>
                        <w:bottom w:val="none" w:sz="0" w:space="0" w:color="auto"/>
                        <w:right w:val="none" w:sz="0" w:space="0" w:color="auto"/>
                      </w:divBdr>
                    </w:div>
                  </w:divsChild>
                </w:div>
                <w:div w:id="1781295884">
                  <w:marLeft w:val="0"/>
                  <w:marRight w:val="0"/>
                  <w:marTop w:val="0"/>
                  <w:marBottom w:val="0"/>
                  <w:divBdr>
                    <w:top w:val="none" w:sz="0" w:space="0" w:color="auto"/>
                    <w:left w:val="none" w:sz="0" w:space="0" w:color="auto"/>
                    <w:bottom w:val="none" w:sz="0" w:space="0" w:color="auto"/>
                    <w:right w:val="none" w:sz="0" w:space="0" w:color="auto"/>
                  </w:divBdr>
                  <w:divsChild>
                    <w:div w:id="582102886">
                      <w:marLeft w:val="0"/>
                      <w:marRight w:val="0"/>
                      <w:marTop w:val="0"/>
                      <w:marBottom w:val="0"/>
                      <w:divBdr>
                        <w:top w:val="none" w:sz="0" w:space="0" w:color="auto"/>
                        <w:left w:val="none" w:sz="0" w:space="0" w:color="auto"/>
                        <w:bottom w:val="none" w:sz="0" w:space="0" w:color="auto"/>
                        <w:right w:val="none" w:sz="0" w:space="0" w:color="auto"/>
                      </w:divBdr>
                    </w:div>
                  </w:divsChild>
                </w:div>
                <w:div w:id="1781989577">
                  <w:marLeft w:val="0"/>
                  <w:marRight w:val="0"/>
                  <w:marTop w:val="0"/>
                  <w:marBottom w:val="0"/>
                  <w:divBdr>
                    <w:top w:val="none" w:sz="0" w:space="0" w:color="auto"/>
                    <w:left w:val="none" w:sz="0" w:space="0" w:color="auto"/>
                    <w:bottom w:val="none" w:sz="0" w:space="0" w:color="auto"/>
                    <w:right w:val="none" w:sz="0" w:space="0" w:color="auto"/>
                  </w:divBdr>
                  <w:divsChild>
                    <w:div w:id="468481505">
                      <w:marLeft w:val="0"/>
                      <w:marRight w:val="0"/>
                      <w:marTop w:val="0"/>
                      <w:marBottom w:val="0"/>
                      <w:divBdr>
                        <w:top w:val="none" w:sz="0" w:space="0" w:color="auto"/>
                        <w:left w:val="none" w:sz="0" w:space="0" w:color="auto"/>
                        <w:bottom w:val="none" w:sz="0" w:space="0" w:color="auto"/>
                        <w:right w:val="none" w:sz="0" w:space="0" w:color="auto"/>
                      </w:divBdr>
                    </w:div>
                  </w:divsChild>
                </w:div>
                <w:div w:id="1786657517">
                  <w:marLeft w:val="0"/>
                  <w:marRight w:val="0"/>
                  <w:marTop w:val="0"/>
                  <w:marBottom w:val="0"/>
                  <w:divBdr>
                    <w:top w:val="none" w:sz="0" w:space="0" w:color="auto"/>
                    <w:left w:val="none" w:sz="0" w:space="0" w:color="auto"/>
                    <w:bottom w:val="none" w:sz="0" w:space="0" w:color="auto"/>
                    <w:right w:val="none" w:sz="0" w:space="0" w:color="auto"/>
                  </w:divBdr>
                  <w:divsChild>
                    <w:div w:id="1898130671">
                      <w:marLeft w:val="0"/>
                      <w:marRight w:val="0"/>
                      <w:marTop w:val="0"/>
                      <w:marBottom w:val="0"/>
                      <w:divBdr>
                        <w:top w:val="none" w:sz="0" w:space="0" w:color="auto"/>
                        <w:left w:val="none" w:sz="0" w:space="0" w:color="auto"/>
                        <w:bottom w:val="none" w:sz="0" w:space="0" w:color="auto"/>
                        <w:right w:val="none" w:sz="0" w:space="0" w:color="auto"/>
                      </w:divBdr>
                    </w:div>
                  </w:divsChild>
                </w:div>
                <w:div w:id="1792168868">
                  <w:marLeft w:val="0"/>
                  <w:marRight w:val="0"/>
                  <w:marTop w:val="0"/>
                  <w:marBottom w:val="0"/>
                  <w:divBdr>
                    <w:top w:val="none" w:sz="0" w:space="0" w:color="auto"/>
                    <w:left w:val="none" w:sz="0" w:space="0" w:color="auto"/>
                    <w:bottom w:val="none" w:sz="0" w:space="0" w:color="auto"/>
                    <w:right w:val="none" w:sz="0" w:space="0" w:color="auto"/>
                  </w:divBdr>
                  <w:divsChild>
                    <w:div w:id="27873041">
                      <w:marLeft w:val="0"/>
                      <w:marRight w:val="0"/>
                      <w:marTop w:val="0"/>
                      <w:marBottom w:val="0"/>
                      <w:divBdr>
                        <w:top w:val="none" w:sz="0" w:space="0" w:color="auto"/>
                        <w:left w:val="none" w:sz="0" w:space="0" w:color="auto"/>
                        <w:bottom w:val="none" w:sz="0" w:space="0" w:color="auto"/>
                        <w:right w:val="none" w:sz="0" w:space="0" w:color="auto"/>
                      </w:divBdr>
                    </w:div>
                    <w:div w:id="30307482">
                      <w:marLeft w:val="0"/>
                      <w:marRight w:val="0"/>
                      <w:marTop w:val="0"/>
                      <w:marBottom w:val="0"/>
                      <w:divBdr>
                        <w:top w:val="none" w:sz="0" w:space="0" w:color="auto"/>
                        <w:left w:val="none" w:sz="0" w:space="0" w:color="auto"/>
                        <w:bottom w:val="none" w:sz="0" w:space="0" w:color="auto"/>
                        <w:right w:val="none" w:sz="0" w:space="0" w:color="auto"/>
                      </w:divBdr>
                    </w:div>
                    <w:div w:id="156851449">
                      <w:marLeft w:val="0"/>
                      <w:marRight w:val="0"/>
                      <w:marTop w:val="0"/>
                      <w:marBottom w:val="0"/>
                      <w:divBdr>
                        <w:top w:val="none" w:sz="0" w:space="0" w:color="auto"/>
                        <w:left w:val="none" w:sz="0" w:space="0" w:color="auto"/>
                        <w:bottom w:val="none" w:sz="0" w:space="0" w:color="auto"/>
                        <w:right w:val="none" w:sz="0" w:space="0" w:color="auto"/>
                      </w:divBdr>
                    </w:div>
                    <w:div w:id="263072516">
                      <w:marLeft w:val="0"/>
                      <w:marRight w:val="0"/>
                      <w:marTop w:val="0"/>
                      <w:marBottom w:val="0"/>
                      <w:divBdr>
                        <w:top w:val="none" w:sz="0" w:space="0" w:color="auto"/>
                        <w:left w:val="none" w:sz="0" w:space="0" w:color="auto"/>
                        <w:bottom w:val="none" w:sz="0" w:space="0" w:color="auto"/>
                        <w:right w:val="none" w:sz="0" w:space="0" w:color="auto"/>
                      </w:divBdr>
                    </w:div>
                    <w:div w:id="502549138">
                      <w:marLeft w:val="0"/>
                      <w:marRight w:val="0"/>
                      <w:marTop w:val="0"/>
                      <w:marBottom w:val="0"/>
                      <w:divBdr>
                        <w:top w:val="none" w:sz="0" w:space="0" w:color="auto"/>
                        <w:left w:val="none" w:sz="0" w:space="0" w:color="auto"/>
                        <w:bottom w:val="none" w:sz="0" w:space="0" w:color="auto"/>
                        <w:right w:val="none" w:sz="0" w:space="0" w:color="auto"/>
                      </w:divBdr>
                    </w:div>
                    <w:div w:id="775713030">
                      <w:marLeft w:val="0"/>
                      <w:marRight w:val="0"/>
                      <w:marTop w:val="0"/>
                      <w:marBottom w:val="0"/>
                      <w:divBdr>
                        <w:top w:val="none" w:sz="0" w:space="0" w:color="auto"/>
                        <w:left w:val="none" w:sz="0" w:space="0" w:color="auto"/>
                        <w:bottom w:val="none" w:sz="0" w:space="0" w:color="auto"/>
                        <w:right w:val="none" w:sz="0" w:space="0" w:color="auto"/>
                      </w:divBdr>
                    </w:div>
                    <w:div w:id="1116944677">
                      <w:marLeft w:val="0"/>
                      <w:marRight w:val="0"/>
                      <w:marTop w:val="0"/>
                      <w:marBottom w:val="0"/>
                      <w:divBdr>
                        <w:top w:val="none" w:sz="0" w:space="0" w:color="auto"/>
                        <w:left w:val="none" w:sz="0" w:space="0" w:color="auto"/>
                        <w:bottom w:val="none" w:sz="0" w:space="0" w:color="auto"/>
                        <w:right w:val="none" w:sz="0" w:space="0" w:color="auto"/>
                      </w:divBdr>
                    </w:div>
                    <w:div w:id="1287198022">
                      <w:marLeft w:val="0"/>
                      <w:marRight w:val="0"/>
                      <w:marTop w:val="0"/>
                      <w:marBottom w:val="0"/>
                      <w:divBdr>
                        <w:top w:val="none" w:sz="0" w:space="0" w:color="auto"/>
                        <w:left w:val="none" w:sz="0" w:space="0" w:color="auto"/>
                        <w:bottom w:val="none" w:sz="0" w:space="0" w:color="auto"/>
                        <w:right w:val="none" w:sz="0" w:space="0" w:color="auto"/>
                      </w:divBdr>
                    </w:div>
                    <w:div w:id="1397435954">
                      <w:marLeft w:val="0"/>
                      <w:marRight w:val="0"/>
                      <w:marTop w:val="0"/>
                      <w:marBottom w:val="0"/>
                      <w:divBdr>
                        <w:top w:val="none" w:sz="0" w:space="0" w:color="auto"/>
                        <w:left w:val="none" w:sz="0" w:space="0" w:color="auto"/>
                        <w:bottom w:val="none" w:sz="0" w:space="0" w:color="auto"/>
                        <w:right w:val="none" w:sz="0" w:space="0" w:color="auto"/>
                      </w:divBdr>
                    </w:div>
                    <w:div w:id="1403060584">
                      <w:marLeft w:val="0"/>
                      <w:marRight w:val="0"/>
                      <w:marTop w:val="0"/>
                      <w:marBottom w:val="0"/>
                      <w:divBdr>
                        <w:top w:val="none" w:sz="0" w:space="0" w:color="auto"/>
                        <w:left w:val="none" w:sz="0" w:space="0" w:color="auto"/>
                        <w:bottom w:val="none" w:sz="0" w:space="0" w:color="auto"/>
                        <w:right w:val="none" w:sz="0" w:space="0" w:color="auto"/>
                      </w:divBdr>
                    </w:div>
                    <w:div w:id="1469084913">
                      <w:marLeft w:val="0"/>
                      <w:marRight w:val="0"/>
                      <w:marTop w:val="0"/>
                      <w:marBottom w:val="0"/>
                      <w:divBdr>
                        <w:top w:val="none" w:sz="0" w:space="0" w:color="auto"/>
                        <w:left w:val="none" w:sz="0" w:space="0" w:color="auto"/>
                        <w:bottom w:val="none" w:sz="0" w:space="0" w:color="auto"/>
                        <w:right w:val="none" w:sz="0" w:space="0" w:color="auto"/>
                      </w:divBdr>
                    </w:div>
                    <w:div w:id="1687171264">
                      <w:marLeft w:val="0"/>
                      <w:marRight w:val="0"/>
                      <w:marTop w:val="0"/>
                      <w:marBottom w:val="0"/>
                      <w:divBdr>
                        <w:top w:val="none" w:sz="0" w:space="0" w:color="auto"/>
                        <w:left w:val="none" w:sz="0" w:space="0" w:color="auto"/>
                        <w:bottom w:val="none" w:sz="0" w:space="0" w:color="auto"/>
                        <w:right w:val="none" w:sz="0" w:space="0" w:color="auto"/>
                      </w:divBdr>
                    </w:div>
                    <w:div w:id="1742021262">
                      <w:marLeft w:val="0"/>
                      <w:marRight w:val="0"/>
                      <w:marTop w:val="0"/>
                      <w:marBottom w:val="0"/>
                      <w:divBdr>
                        <w:top w:val="none" w:sz="0" w:space="0" w:color="auto"/>
                        <w:left w:val="none" w:sz="0" w:space="0" w:color="auto"/>
                        <w:bottom w:val="none" w:sz="0" w:space="0" w:color="auto"/>
                        <w:right w:val="none" w:sz="0" w:space="0" w:color="auto"/>
                      </w:divBdr>
                    </w:div>
                  </w:divsChild>
                </w:div>
                <w:div w:id="1805077689">
                  <w:marLeft w:val="0"/>
                  <w:marRight w:val="0"/>
                  <w:marTop w:val="0"/>
                  <w:marBottom w:val="0"/>
                  <w:divBdr>
                    <w:top w:val="none" w:sz="0" w:space="0" w:color="auto"/>
                    <w:left w:val="none" w:sz="0" w:space="0" w:color="auto"/>
                    <w:bottom w:val="none" w:sz="0" w:space="0" w:color="auto"/>
                    <w:right w:val="none" w:sz="0" w:space="0" w:color="auto"/>
                  </w:divBdr>
                  <w:divsChild>
                    <w:div w:id="1747190530">
                      <w:marLeft w:val="0"/>
                      <w:marRight w:val="0"/>
                      <w:marTop w:val="0"/>
                      <w:marBottom w:val="0"/>
                      <w:divBdr>
                        <w:top w:val="none" w:sz="0" w:space="0" w:color="auto"/>
                        <w:left w:val="none" w:sz="0" w:space="0" w:color="auto"/>
                        <w:bottom w:val="none" w:sz="0" w:space="0" w:color="auto"/>
                        <w:right w:val="none" w:sz="0" w:space="0" w:color="auto"/>
                      </w:divBdr>
                    </w:div>
                  </w:divsChild>
                </w:div>
                <w:div w:id="1811940798">
                  <w:marLeft w:val="0"/>
                  <w:marRight w:val="0"/>
                  <w:marTop w:val="0"/>
                  <w:marBottom w:val="0"/>
                  <w:divBdr>
                    <w:top w:val="none" w:sz="0" w:space="0" w:color="auto"/>
                    <w:left w:val="none" w:sz="0" w:space="0" w:color="auto"/>
                    <w:bottom w:val="none" w:sz="0" w:space="0" w:color="auto"/>
                    <w:right w:val="none" w:sz="0" w:space="0" w:color="auto"/>
                  </w:divBdr>
                  <w:divsChild>
                    <w:div w:id="843669243">
                      <w:marLeft w:val="0"/>
                      <w:marRight w:val="0"/>
                      <w:marTop w:val="0"/>
                      <w:marBottom w:val="0"/>
                      <w:divBdr>
                        <w:top w:val="none" w:sz="0" w:space="0" w:color="auto"/>
                        <w:left w:val="none" w:sz="0" w:space="0" w:color="auto"/>
                        <w:bottom w:val="none" w:sz="0" w:space="0" w:color="auto"/>
                        <w:right w:val="none" w:sz="0" w:space="0" w:color="auto"/>
                      </w:divBdr>
                    </w:div>
                  </w:divsChild>
                </w:div>
                <w:div w:id="1814373261">
                  <w:marLeft w:val="0"/>
                  <w:marRight w:val="0"/>
                  <w:marTop w:val="0"/>
                  <w:marBottom w:val="0"/>
                  <w:divBdr>
                    <w:top w:val="none" w:sz="0" w:space="0" w:color="auto"/>
                    <w:left w:val="none" w:sz="0" w:space="0" w:color="auto"/>
                    <w:bottom w:val="none" w:sz="0" w:space="0" w:color="auto"/>
                    <w:right w:val="none" w:sz="0" w:space="0" w:color="auto"/>
                  </w:divBdr>
                  <w:divsChild>
                    <w:div w:id="734085831">
                      <w:marLeft w:val="0"/>
                      <w:marRight w:val="0"/>
                      <w:marTop w:val="0"/>
                      <w:marBottom w:val="0"/>
                      <w:divBdr>
                        <w:top w:val="none" w:sz="0" w:space="0" w:color="auto"/>
                        <w:left w:val="none" w:sz="0" w:space="0" w:color="auto"/>
                        <w:bottom w:val="none" w:sz="0" w:space="0" w:color="auto"/>
                        <w:right w:val="none" w:sz="0" w:space="0" w:color="auto"/>
                      </w:divBdr>
                    </w:div>
                  </w:divsChild>
                </w:div>
                <w:div w:id="1815295532">
                  <w:marLeft w:val="0"/>
                  <w:marRight w:val="0"/>
                  <w:marTop w:val="0"/>
                  <w:marBottom w:val="0"/>
                  <w:divBdr>
                    <w:top w:val="none" w:sz="0" w:space="0" w:color="auto"/>
                    <w:left w:val="none" w:sz="0" w:space="0" w:color="auto"/>
                    <w:bottom w:val="none" w:sz="0" w:space="0" w:color="auto"/>
                    <w:right w:val="none" w:sz="0" w:space="0" w:color="auto"/>
                  </w:divBdr>
                  <w:divsChild>
                    <w:div w:id="1676569490">
                      <w:marLeft w:val="0"/>
                      <w:marRight w:val="0"/>
                      <w:marTop w:val="0"/>
                      <w:marBottom w:val="0"/>
                      <w:divBdr>
                        <w:top w:val="none" w:sz="0" w:space="0" w:color="auto"/>
                        <w:left w:val="none" w:sz="0" w:space="0" w:color="auto"/>
                        <w:bottom w:val="none" w:sz="0" w:space="0" w:color="auto"/>
                        <w:right w:val="none" w:sz="0" w:space="0" w:color="auto"/>
                      </w:divBdr>
                    </w:div>
                  </w:divsChild>
                </w:div>
                <w:div w:id="1820341276">
                  <w:marLeft w:val="0"/>
                  <w:marRight w:val="0"/>
                  <w:marTop w:val="0"/>
                  <w:marBottom w:val="0"/>
                  <w:divBdr>
                    <w:top w:val="none" w:sz="0" w:space="0" w:color="auto"/>
                    <w:left w:val="none" w:sz="0" w:space="0" w:color="auto"/>
                    <w:bottom w:val="none" w:sz="0" w:space="0" w:color="auto"/>
                    <w:right w:val="none" w:sz="0" w:space="0" w:color="auto"/>
                  </w:divBdr>
                  <w:divsChild>
                    <w:div w:id="1247685761">
                      <w:marLeft w:val="0"/>
                      <w:marRight w:val="0"/>
                      <w:marTop w:val="0"/>
                      <w:marBottom w:val="0"/>
                      <w:divBdr>
                        <w:top w:val="none" w:sz="0" w:space="0" w:color="auto"/>
                        <w:left w:val="none" w:sz="0" w:space="0" w:color="auto"/>
                        <w:bottom w:val="none" w:sz="0" w:space="0" w:color="auto"/>
                        <w:right w:val="none" w:sz="0" w:space="0" w:color="auto"/>
                      </w:divBdr>
                    </w:div>
                  </w:divsChild>
                </w:div>
                <w:div w:id="1821994481">
                  <w:marLeft w:val="0"/>
                  <w:marRight w:val="0"/>
                  <w:marTop w:val="0"/>
                  <w:marBottom w:val="0"/>
                  <w:divBdr>
                    <w:top w:val="none" w:sz="0" w:space="0" w:color="auto"/>
                    <w:left w:val="none" w:sz="0" w:space="0" w:color="auto"/>
                    <w:bottom w:val="none" w:sz="0" w:space="0" w:color="auto"/>
                    <w:right w:val="none" w:sz="0" w:space="0" w:color="auto"/>
                  </w:divBdr>
                  <w:divsChild>
                    <w:div w:id="2070496827">
                      <w:marLeft w:val="0"/>
                      <w:marRight w:val="0"/>
                      <w:marTop w:val="0"/>
                      <w:marBottom w:val="0"/>
                      <w:divBdr>
                        <w:top w:val="none" w:sz="0" w:space="0" w:color="auto"/>
                        <w:left w:val="none" w:sz="0" w:space="0" w:color="auto"/>
                        <w:bottom w:val="none" w:sz="0" w:space="0" w:color="auto"/>
                        <w:right w:val="none" w:sz="0" w:space="0" w:color="auto"/>
                      </w:divBdr>
                    </w:div>
                  </w:divsChild>
                </w:div>
                <w:div w:id="1823620251">
                  <w:marLeft w:val="0"/>
                  <w:marRight w:val="0"/>
                  <w:marTop w:val="0"/>
                  <w:marBottom w:val="0"/>
                  <w:divBdr>
                    <w:top w:val="none" w:sz="0" w:space="0" w:color="auto"/>
                    <w:left w:val="none" w:sz="0" w:space="0" w:color="auto"/>
                    <w:bottom w:val="none" w:sz="0" w:space="0" w:color="auto"/>
                    <w:right w:val="none" w:sz="0" w:space="0" w:color="auto"/>
                  </w:divBdr>
                  <w:divsChild>
                    <w:div w:id="1737508375">
                      <w:marLeft w:val="0"/>
                      <w:marRight w:val="0"/>
                      <w:marTop w:val="0"/>
                      <w:marBottom w:val="0"/>
                      <w:divBdr>
                        <w:top w:val="none" w:sz="0" w:space="0" w:color="auto"/>
                        <w:left w:val="none" w:sz="0" w:space="0" w:color="auto"/>
                        <w:bottom w:val="none" w:sz="0" w:space="0" w:color="auto"/>
                        <w:right w:val="none" w:sz="0" w:space="0" w:color="auto"/>
                      </w:divBdr>
                    </w:div>
                  </w:divsChild>
                </w:div>
                <w:div w:id="1825968468">
                  <w:marLeft w:val="0"/>
                  <w:marRight w:val="0"/>
                  <w:marTop w:val="0"/>
                  <w:marBottom w:val="0"/>
                  <w:divBdr>
                    <w:top w:val="none" w:sz="0" w:space="0" w:color="auto"/>
                    <w:left w:val="none" w:sz="0" w:space="0" w:color="auto"/>
                    <w:bottom w:val="none" w:sz="0" w:space="0" w:color="auto"/>
                    <w:right w:val="none" w:sz="0" w:space="0" w:color="auto"/>
                  </w:divBdr>
                  <w:divsChild>
                    <w:div w:id="239487875">
                      <w:marLeft w:val="0"/>
                      <w:marRight w:val="0"/>
                      <w:marTop w:val="0"/>
                      <w:marBottom w:val="0"/>
                      <w:divBdr>
                        <w:top w:val="none" w:sz="0" w:space="0" w:color="auto"/>
                        <w:left w:val="none" w:sz="0" w:space="0" w:color="auto"/>
                        <w:bottom w:val="none" w:sz="0" w:space="0" w:color="auto"/>
                        <w:right w:val="none" w:sz="0" w:space="0" w:color="auto"/>
                      </w:divBdr>
                    </w:div>
                  </w:divsChild>
                </w:div>
                <w:div w:id="1837838511">
                  <w:marLeft w:val="0"/>
                  <w:marRight w:val="0"/>
                  <w:marTop w:val="0"/>
                  <w:marBottom w:val="0"/>
                  <w:divBdr>
                    <w:top w:val="none" w:sz="0" w:space="0" w:color="auto"/>
                    <w:left w:val="none" w:sz="0" w:space="0" w:color="auto"/>
                    <w:bottom w:val="none" w:sz="0" w:space="0" w:color="auto"/>
                    <w:right w:val="none" w:sz="0" w:space="0" w:color="auto"/>
                  </w:divBdr>
                  <w:divsChild>
                    <w:div w:id="1121145671">
                      <w:marLeft w:val="0"/>
                      <w:marRight w:val="0"/>
                      <w:marTop w:val="0"/>
                      <w:marBottom w:val="0"/>
                      <w:divBdr>
                        <w:top w:val="none" w:sz="0" w:space="0" w:color="auto"/>
                        <w:left w:val="none" w:sz="0" w:space="0" w:color="auto"/>
                        <w:bottom w:val="none" w:sz="0" w:space="0" w:color="auto"/>
                        <w:right w:val="none" w:sz="0" w:space="0" w:color="auto"/>
                      </w:divBdr>
                    </w:div>
                  </w:divsChild>
                </w:div>
                <w:div w:id="1838960193">
                  <w:marLeft w:val="0"/>
                  <w:marRight w:val="0"/>
                  <w:marTop w:val="0"/>
                  <w:marBottom w:val="0"/>
                  <w:divBdr>
                    <w:top w:val="none" w:sz="0" w:space="0" w:color="auto"/>
                    <w:left w:val="none" w:sz="0" w:space="0" w:color="auto"/>
                    <w:bottom w:val="none" w:sz="0" w:space="0" w:color="auto"/>
                    <w:right w:val="none" w:sz="0" w:space="0" w:color="auto"/>
                  </w:divBdr>
                  <w:divsChild>
                    <w:div w:id="839393295">
                      <w:marLeft w:val="0"/>
                      <w:marRight w:val="0"/>
                      <w:marTop w:val="0"/>
                      <w:marBottom w:val="0"/>
                      <w:divBdr>
                        <w:top w:val="none" w:sz="0" w:space="0" w:color="auto"/>
                        <w:left w:val="none" w:sz="0" w:space="0" w:color="auto"/>
                        <w:bottom w:val="none" w:sz="0" w:space="0" w:color="auto"/>
                        <w:right w:val="none" w:sz="0" w:space="0" w:color="auto"/>
                      </w:divBdr>
                    </w:div>
                  </w:divsChild>
                </w:div>
                <w:div w:id="1847860925">
                  <w:marLeft w:val="0"/>
                  <w:marRight w:val="0"/>
                  <w:marTop w:val="0"/>
                  <w:marBottom w:val="0"/>
                  <w:divBdr>
                    <w:top w:val="none" w:sz="0" w:space="0" w:color="auto"/>
                    <w:left w:val="none" w:sz="0" w:space="0" w:color="auto"/>
                    <w:bottom w:val="none" w:sz="0" w:space="0" w:color="auto"/>
                    <w:right w:val="none" w:sz="0" w:space="0" w:color="auto"/>
                  </w:divBdr>
                  <w:divsChild>
                    <w:div w:id="1753891721">
                      <w:marLeft w:val="0"/>
                      <w:marRight w:val="0"/>
                      <w:marTop w:val="0"/>
                      <w:marBottom w:val="0"/>
                      <w:divBdr>
                        <w:top w:val="none" w:sz="0" w:space="0" w:color="auto"/>
                        <w:left w:val="none" w:sz="0" w:space="0" w:color="auto"/>
                        <w:bottom w:val="none" w:sz="0" w:space="0" w:color="auto"/>
                        <w:right w:val="none" w:sz="0" w:space="0" w:color="auto"/>
                      </w:divBdr>
                    </w:div>
                  </w:divsChild>
                </w:div>
                <w:div w:id="1854302346">
                  <w:marLeft w:val="0"/>
                  <w:marRight w:val="0"/>
                  <w:marTop w:val="0"/>
                  <w:marBottom w:val="0"/>
                  <w:divBdr>
                    <w:top w:val="none" w:sz="0" w:space="0" w:color="auto"/>
                    <w:left w:val="none" w:sz="0" w:space="0" w:color="auto"/>
                    <w:bottom w:val="none" w:sz="0" w:space="0" w:color="auto"/>
                    <w:right w:val="none" w:sz="0" w:space="0" w:color="auto"/>
                  </w:divBdr>
                  <w:divsChild>
                    <w:div w:id="2083022047">
                      <w:marLeft w:val="0"/>
                      <w:marRight w:val="0"/>
                      <w:marTop w:val="0"/>
                      <w:marBottom w:val="0"/>
                      <w:divBdr>
                        <w:top w:val="none" w:sz="0" w:space="0" w:color="auto"/>
                        <w:left w:val="none" w:sz="0" w:space="0" w:color="auto"/>
                        <w:bottom w:val="none" w:sz="0" w:space="0" w:color="auto"/>
                        <w:right w:val="none" w:sz="0" w:space="0" w:color="auto"/>
                      </w:divBdr>
                    </w:div>
                  </w:divsChild>
                </w:div>
                <w:div w:id="1862232648">
                  <w:marLeft w:val="0"/>
                  <w:marRight w:val="0"/>
                  <w:marTop w:val="0"/>
                  <w:marBottom w:val="0"/>
                  <w:divBdr>
                    <w:top w:val="none" w:sz="0" w:space="0" w:color="auto"/>
                    <w:left w:val="none" w:sz="0" w:space="0" w:color="auto"/>
                    <w:bottom w:val="none" w:sz="0" w:space="0" w:color="auto"/>
                    <w:right w:val="none" w:sz="0" w:space="0" w:color="auto"/>
                  </w:divBdr>
                  <w:divsChild>
                    <w:div w:id="1063142077">
                      <w:marLeft w:val="0"/>
                      <w:marRight w:val="0"/>
                      <w:marTop w:val="0"/>
                      <w:marBottom w:val="0"/>
                      <w:divBdr>
                        <w:top w:val="none" w:sz="0" w:space="0" w:color="auto"/>
                        <w:left w:val="none" w:sz="0" w:space="0" w:color="auto"/>
                        <w:bottom w:val="none" w:sz="0" w:space="0" w:color="auto"/>
                        <w:right w:val="none" w:sz="0" w:space="0" w:color="auto"/>
                      </w:divBdr>
                    </w:div>
                  </w:divsChild>
                </w:div>
                <w:div w:id="1865484636">
                  <w:marLeft w:val="0"/>
                  <w:marRight w:val="0"/>
                  <w:marTop w:val="0"/>
                  <w:marBottom w:val="0"/>
                  <w:divBdr>
                    <w:top w:val="none" w:sz="0" w:space="0" w:color="auto"/>
                    <w:left w:val="none" w:sz="0" w:space="0" w:color="auto"/>
                    <w:bottom w:val="none" w:sz="0" w:space="0" w:color="auto"/>
                    <w:right w:val="none" w:sz="0" w:space="0" w:color="auto"/>
                  </w:divBdr>
                  <w:divsChild>
                    <w:div w:id="573974110">
                      <w:marLeft w:val="0"/>
                      <w:marRight w:val="0"/>
                      <w:marTop w:val="0"/>
                      <w:marBottom w:val="0"/>
                      <w:divBdr>
                        <w:top w:val="none" w:sz="0" w:space="0" w:color="auto"/>
                        <w:left w:val="none" w:sz="0" w:space="0" w:color="auto"/>
                        <w:bottom w:val="none" w:sz="0" w:space="0" w:color="auto"/>
                        <w:right w:val="none" w:sz="0" w:space="0" w:color="auto"/>
                      </w:divBdr>
                    </w:div>
                  </w:divsChild>
                </w:div>
                <w:div w:id="1873759116">
                  <w:marLeft w:val="0"/>
                  <w:marRight w:val="0"/>
                  <w:marTop w:val="0"/>
                  <w:marBottom w:val="0"/>
                  <w:divBdr>
                    <w:top w:val="none" w:sz="0" w:space="0" w:color="auto"/>
                    <w:left w:val="none" w:sz="0" w:space="0" w:color="auto"/>
                    <w:bottom w:val="none" w:sz="0" w:space="0" w:color="auto"/>
                    <w:right w:val="none" w:sz="0" w:space="0" w:color="auto"/>
                  </w:divBdr>
                  <w:divsChild>
                    <w:div w:id="735280910">
                      <w:marLeft w:val="0"/>
                      <w:marRight w:val="0"/>
                      <w:marTop w:val="0"/>
                      <w:marBottom w:val="0"/>
                      <w:divBdr>
                        <w:top w:val="none" w:sz="0" w:space="0" w:color="auto"/>
                        <w:left w:val="none" w:sz="0" w:space="0" w:color="auto"/>
                        <w:bottom w:val="none" w:sz="0" w:space="0" w:color="auto"/>
                        <w:right w:val="none" w:sz="0" w:space="0" w:color="auto"/>
                      </w:divBdr>
                    </w:div>
                  </w:divsChild>
                </w:div>
                <w:div w:id="1879662942">
                  <w:marLeft w:val="0"/>
                  <w:marRight w:val="0"/>
                  <w:marTop w:val="0"/>
                  <w:marBottom w:val="0"/>
                  <w:divBdr>
                    <w:top w:val="none" w:sz="0" w:space="0" w:color="auto"/>
                    <w:left w:val="none" w:sz="0" w:space="0" w:color="auto"/>
                    <w:bottom w:val="none" w:sz="0" w:space="0" w:color="auto"/>
                    <w:right w:val="none" w:sz="0" w:space="0" w:color="auto"/>
                  </w:divBdr>
                  <w:divsChild>
                    <w:div w:id="497621994">
                      <w:marLeft w:val="0"/>
                      <w:marRight w:val="0"/>
                      <w:marTop w:val="0"/>
                      <w:marBottom w:val="0"/>
                      <w:divBdr>
                        <w:top w:val="none" w:sz="0" w:space="0" w:color="auto"/>
                        <w:left w:val="none" w:sz="0" w:space="0" w:color="auto"/>
                        <w:bottom w:val="none" w:sz="0" w:space="0" w:color="auto"/>
                        <w:right w:val="none" w:sz="0" w:space="0" w:color="auto"/>
                      </w:divBdr>
                    </w:div>
                  </w:divsChild>
                </w:div>
                <w:div w:id="1888057869">
                  <w:marLeft w:val="0"/>
                  <w:marRight w:val="0"/>
                  <w:marTop w:val="0"/>
                  <w:marBottom w:val="0"/>
                  <w:divBdr>
                    <w:top w:val="none" w:sz="0" w:space="0" w:color="auto"/>
                    <w:left w:val="none" w:sz="0" w:space="0" w:color="auto"/>
                    <w:bottom w:val="none" w:sz="0" w:space="0" w:color="auto"/>
                    <w:right w:val="none" w:sz="0" w:space="0" w:color="auto"/>
                  </w:divBdr>
                  <w:divsChild>
                    <w:div w:id="885796693">
                      <w:marLeft w:val="0"/>
                      <w:marRight w:val="0"/>
                      <w:marTop w:val="0"/>
                      <w:marBottom w:val="0"/>
                      <w:divBdr>
                        <w:top w:val="none" w:sz="0" w:space="0" w:color="auto"/>
                        <w:left w:val="none" w:sz="0" w:space="0" w:color="auto"/>
                        <w:bottom w:val="none" w:sz="0" w:space="0" w:color="auto"/>
                        <w:right w:val="none" w:sz="0" w:space="0" w:color="auto"/>
                      </w:divBdr>
                    </w:div>
                  </w:divsChild>
                </w:div>
                <w:div w:id="1911694728">
                  <w:marLeft w:val="0"/>
                  <w:marRight w:val="0"/>
                  <w:marTop w:val="0"/>
                  <w:marBottom w:val="0"/>
                  <w:divBdr>
                    <w:top w:val="none" w:sz="0" w:space="0" w:color="auto"/>
                    <w:left w:val="none" w:sz="0" w:space="0" w:color="auto"/>
                    <w:bottom w:val="none" w:sz="0" w:space="0" w:color="auto"/>
                    <w:right w:val="none" w:sz="0" w:space="0" w:color="auto"/>
                  </w:divBdr>
                  <w:divsChild>
                    <w:div w:id="831409394">
                      <w:marLeft w:val="0"/>
                      <w:marRight w:val="0"/>
                      <w:marTop w:val="0"/>
                      <w:marBottom w:val="0"/>
                      <w:divBdr>
                        <w:top w:val="none" w:sz="0" w:space="0" w:color="auto"/>
                        <w:left w:val="none" w:sz="0" w:space="0" w:color="auto"/>
                        <w:bottom w:val="none" w:sz="0" w:space="0" w:color="auto"/>
                        <w:right w:val="none" w:sz="0" w:space="0" w:color="auto"/>
                      </w:divBdr>
                    </w:div>
                  </w:divsChild>
                </w:div>
                <w:div w:id="1920746635">
                  <w:marLeft w:val="0"/>
                  <w:marRight w:val="0"/>
                  <w:marTop w:val="0"/>
                  <w:marBottom w:val="0"/>
                  <w:divBdr>
                    <w:top w:val="none" w:sz="0" w:space="0" w:color="auto"/>
                    <w:left w:val="none" w:sz="0" w:space="0" w:color="auto"/>
                    <w:bottom w:val="none" w:sz="0" w:space="0" w:color="auto"/>
                    <w:right w:val="none" w:sz="0" w:space="0" w:color="auto"/>
                  </w:divBdr>
                  <w:divsChild>
                    <w:div w:id="2128816647">
                      <w:marLeft w:val="0"/>
                      <w:marRight w:val="0"/>
                      <w:marTop w:val="0"/>
                      <w:marBottom w:val="0"/>
                      <w:divBdr>
                        <w:top w:val="none" w:sz="0" w:space="0" w:color="auto"/>
                        <w:left w:val="none" w:sz="0" w:space="0" w:color="auto"/>
                        <w:bottom w:val="none" w:sz="0" w:space="0" w:color="auto"/>
                        <w:right w:val="none" w:sz="0" w:space="0" w:color="auto"/>
                      </w:divBdr>
                    </w:div>
                  </w:divsChild>
                </w:div>
                <w:div w:id="1923564160">
                  <w:marLeft w:val="0"/>
                  <w:marRight w:val="0"/>
                  <w:marTop w:val="0"/>
                  <w:marBottom w:val="0"/>
                  <w:divBdr>
                    <w:top w:val="none" w:sz="0" w:space="0" w:color="auto"/>
                    <w:left w:val="none" w:sz="0" w:space="0" w:color="auto"/>
                    <w:bottom w:val="none" w:sz="0" w:space="0" w:color="auto"/>
                    <w:right w:val="none" w:sz="0" w:space="0" w:color="auto"/>
                  </w:divBdr>
                  <w:divsChild>
                    <w:div w:id="1613708188">
                      <w:marLeft w:val="0"/>
                      <w:marRight w:val="0"/>
                      <w:marTop w:val="0"/>
                      <w:marBottom w:val="0"/>
                      <w:divBdr>
                        <w:top w:val="none" w:sz="0" w:space="0" w:color="auto"/>
                        <w:left w:val="none" w:sz="0" w:space="0" w:color="auto"/>
                        <w:bottom w:val="none" w:sz="0" w:space="0" w:color="auto"/>
                        <w:right w:val="none" w:sz="0" w:space="0" w:color="auto"/>
                      </w:divBdr>
                    </w:div>
                  </w:divsChild>
                </w:div>
                <w:div w:id="1926568254">
                  <w:marLeft w:val="0"/>
                  <w:marRight w:val="0"/>
                  <w:marTop w:val="0"/>
                  <w:marBottom w:val="0"/>
                  <w:divBdr>
                    <w:top w:val="none" w:sz="0" w:space="0" w:color="auto"/>
                    <w:left w:val="none" w:sz="0" w:space="0" w:color="auto"/>
                    <w:bottom w:val="none" w:sz="0" w:space="0" w:color="auto"/>
                    <w:right w:val="none" w:sz="0" w:space="0" w:color="auto"/>
                  </w:divBdr>
                  <w:divsChild>
                    <w:div w:id="124664585">
                      <w:marLeft w:val="0"/>
                      <w:marRight w:val="0"/>
                      <w:marTop w:val="0"/>
                      <w:marBottom w:val="0"/>
                      <w:divBdr>
                        <w:top w:val="none" w:sz="0" w:space="0" w:color="auto"/>
                        <w:left w:val="none" w:sz="0" w:space="0" w:color="auto"/>
                        <w:bottom w:val="none" w:sz="0" w:space="0" w:color="auto"/>
                        <w:right w:val="none" w:sz="0" w:space="0" w:color="auto"/>
                      </w:divBdr>
                    </w:div>
                  </w:divsChild>
                </w:div>
                <w:div w:id="1929265663">
                  <w:marLeft w:val="0"/>
                  <w:marRight w:val="0"/>
                  <w:marTop w:val="0"/>
                  <w:marBottom w:val="0"/>
                  <w:divBdr>
                    <w:top w:val="none" w:sz="0" w:space="0" w:color="auto"/>
                    <w:left w:val="none" w:sz="0" w:space="0" w:color="auto"/>
                    <w:bottom w:val="none" w:sz="0" w:space="0" w:color="auto"/>
                    <w:right w:val="none" w:sz="0" w:space="0" w:color="auto"/>
                  </w:divBdr>
                  <w:divsChild>
                    <w:div w:id="1965036992">
                      <w:marLeft w:val="0"/>
                      <w:marRight w:val="0"/>
                      <w:marTop w:val="0"/>
                      <w:marBottom w:val="0"/>
                      <w:divBdr>
                        <w:top w:val="none" w:sz="0" w:space="0" w:color="auto"/>
                        <w:left w:val="none" w:sz="0" w:space="0" w:color="auto"/>
                        <w:bottom w:val="none" w:sz="0" w:space="0" w:color="auto"/>
                        <w:right w:val="none" w:sz="0" w:space="0" w:color="auto"/>
                      </w:divBdr>
                    </w:div>
                  </w:divsChild>
                </w:div>
                <w:div w:id="1950121450">
                  <w:marLeft w:val="0"/>
                  <w:marRight w:val="0"/>
                  <w:marTop w:val="0"/>
                  <w:marBottom w:val="0"/>
                  <w:divBdr>
                    <w:top w:val="none" w:sz="0" w:space="0" w:color="auto"/>
                    <w:left w:val="none" w:sz="0" w:space="0" w:color="auto"/>
                    <w:bottom w:val="none" w:sz="0" w:space="0" w:color="auto"/>
                    <w:right w:val="none" w:sz="0" w:space="0" w:color="auto"/>
                  </w:divBdr>
                  <w:divsChild>
                    <w:div w:id="1003043897">
                      <w:marLeft w:val="0"/>
                      <w:marRight w:val="0"/>
                      <w:marTop w:val="0"/>
                      <w:marBottom w:val="0"/>
                      <w:divBdr>
                        <w:top w:val="none" w:sz="0" w:space="0" w:color="auto"/>
                        <w:left w:val="none" w:sz="0" w:space="0" w:color="auto"/>
                        <w:bottom w:val="none" w:sz="0" w:space="0" w:color="auto"/>
                        <w:right w:val="none" w:sz="0" w:space="0" w:color="auto"/>
                      </w:divBdr>
                    </w:div>
                  </w:divsChild>
                </w:div>
                <w:div w:id="1951400568">
                  <w:marLeft w:val="0"/>
                  <w:marRight w:val="0"/>
                  <w:marTop w:val="0"/>
                  <w:marBottom w:val="0"/>
                  <w:divBdr>
                    <w:top w:val="none" w:sz="0" w:space="0" w:color="auto"/>
                    <w:left w:val="none" w:sz="0" w:space="0" w:color="auto"/>
                    <w:bottom w:val="none" w:sz="0" w:space="0" w:color="auto"/>
                    <w:right w:val="none" w:sz="0" w:space="0" w:color="auto"/>
                  </w:divBdr>
                  <w:divsChild>
                    <w:div w:id="74978849">
                      <w:marLeft w:val="0"/>
                      <w:marRight w:val="0"/>
                      <w:marTop w:val="0"/>
                      <w:marBottom w:val="0"/>
                      <w:divBdr>
                        <w:top w:val="none" w:sz="0" w:space="0" w:color="auto"/>
                        <w:left w:val="none" w:sz="0" w:space="0" w:color="auto"/>
                        <w:bottom w:val="none" w:sz="0" w:space="0" w:color="auto"/>
                        <w:right w:val="none" w:sz="0" w:space="0" w:color="auto"/>
                      </w:divBdr>
                    </w:div>
                  </w:divsChild>
                </w:div>
                <w:div w:id="1958103666">
                  <w:marLeft w:val="0"/>
                  <w:marRight w:val="0"/>
                  <w:marTop w:val="0"/>
                  <w:marBottom w:val="0"/>
                  <w:divBdr>
                    <w:top w:val="none" w:sz="0" w:space="0" w:color="auto"/>
                    <w:left w:val="none" w:sz="0" w:space="0" w:color="auto"/>
                    <w:bottom w:val="none" w:sz="0" w:space="0" w:color="auto"/>
                    <w:right w:val="none" w:sz="0" w:space="0" w:color="auto"/>
                  </w:divBdr>
                  <w:divsChild>
                    <w:div w:id="1458914996">
                      <w:marLeft w:val="0"/>
                      <w:marRight w:val="0"/>
                      <w:marTop w:val="0"/>
                      <w:marBottom w:val="0"/>
                      <w:divBdr>
                        <w:top w:val="none" w:sz="0" w:space="0" w:color="auto"/>
                        <w:left w:val="none" w:sz="0" w:space="0" w:color="auto"/>
                        <w:bottom w:val="none" w:sz="0" w:space="0" w:color="auto"/>
                        <w:right w:val="none" w:sz="0" w:space="0" w:color="auto"/>
                      </w:divBdr>
                    </w:div>
                  </w:divsChild>
                </w:div>
                <w:div w:id="1962225920">
                  <w:marLeft w:val="0"/>
                  <w:marRight w:val="0"/>
                  <w:marTop w:val="0"/>
                  <w:marBottom w:val="0"/>
                  <w:divBdr>
                    <w:top w:val="none" w:sz="0" w:space="0" w:color="auto"/>
                    <w:left w:val="none" w:sz="0" w:space="0" w:color="auto"/>
                    <w:bottom w:val="none" w:sz="0" w:space="0" w:color="auto"/>
                    <w:right w:val="none" w:sz="0" w:space="0" w:color="auto"/>
                  </w:divBdr>
                  <w:divsChild>
                    <w:div w:id="801657026">
                      <w:marLeft w:val="0"/>
                      <w:marRight w:val="0"/>
                      <w:marTop w:val="0"/>
                      <w:marBottom w:val="0"/>
                      <w:divBdr>
                        <w:top w:val="none" w:sz="0" w:space="0" w:color="auto"/>
                        <w:left w:val="none" w:sz="0" w:space="0" w:color="auto"/>
                        <w:bottom w:val="none" w:sz="0" w:space="0" w:color="auto"/>
                        <w:right w:val="none" w:sz="0" w:space="0" w:color="auto"/>
                      </w:divBdr>
                    </w:div>
                    <w:div w:id="1378431986">
                      <w:marLeft w:val="0"/>
                      <w:marRight w:val="0"/>
                      <w:marTop w:val="0"/>
                      <w:marBottom w:val="0"/>
                      <w:divBdr>
                        <w:top w:val="none" w:sz="0" w:space="0" w:color="auto"/>
                        <w:left w:val="none" w:sz="0" w:space="0" w:color="auto"/>
                        <w:bottom w:val="none" w:sz="0" w:space="0" w:color="auto"/>
                        <w:right w:val="none" w:sz="0" w:space="0" w:color="auto"/>
                      </w:divBdr>
                    </w:div>
                  </w:divsChild>
                </w:div>
                <w:div w:id="1963729996">
                  <w:marLeft w:val="0"/>
                  <w:marRight w:val="0"/>
                  <w:marTop w:val="0"/>
                  <w:marBottom w:val="0"/>
                  <w:divBdr>
                    <w:top w:val="none" w:sz="0" w:space="0" w:color="auto"/>
                    <w:left w:val="none" w:sz="0" w:space="0" w:color="auto"/>
                    <w:bottom w:val="none" w:sz="0" w:space="0" w:color="auto"/>
                    <w:right w:val="none" w:sz="0" w:space="0" w:color="auto"/>
                  </w:divBdr>
                  <w:divsChild>
                    <w:div w:id="1801529520">
                      <w:marLeft w:val="0"/>
                      <w:marRight w:val="0"/>
                      <w:marTop w:val="0"/>
                      <w:marBottom w:val="0"/>
                      <w:divBdr>
                        <w:top w:val="none" w:sz="0" w:space="0" w:color="auto"/>
                        <w:left w:val="none" w:sz="0" w:space="0" w:color="auto"/>
                        <w:bottom w:val="none" w:sz="0" w:space="0" w:color="auto"/>
                        <w:right w:val="none" w:sz="0" w:space="0" w:color="auto"/>
                      </w:divBdr>
                    </w:div>
                  </w:divsChild>
                </w:div>
                <w:div w:id="1964916380">
                  <w:marLeft w:val="0"/>
                  <w:marRight w:val="0"/>
                  <w:marTop w:val="0"/>
                  <w:marBottom w:val="0"/>
                  <w:divBdr>
                    <w:top w:val="none" w:sz="0" w:space="0" w:color="auto"/>
                    <w:left w:val="none" w:sz="0" w:space="0" w:color="auto"/>
                    <w:bottom w:val="none" w:sz="0" w:space="0" w:color="auto"/>
                    <w:right w:val="none" w:sz="0" w:space="0" w:color="auto"/>
                  </w:divBdr>
                  <w:divsChild>
                    <w:div w:id="67699975">
                      <w:marLeft w:val="0"/>
                      <w:marRight w:val="0"/>
                      <w:marTop w:val="0"/>
                      <w:marBottom w:val="0"/>
                      <w:divBdr>
                        <w:top w:val="none" w:sz="0" w:space="0" w:color="auto"/>
                        <w:left w:val="none" w:sz="0" w:space="0" w:color="auto"/>
                        <w:bottom w:val="none" w:sz="0" w:space="0" w:color="auto"/>
                        <w:right w:val="none" w:sz="0" w:space="0" w:color="auto"/>
                      </w:divBdr>
                    </w:div>
                  </w:divsChild>
                </w:div>
                <w:div w:id="1978803089">
                  <w:marLeft w:val="0"/>
                  <w:marRight w:val="0"/>
                  <w:marTop w:val="0"/>
                  <w:marBottom w:val="0"/>
                  <w:divBdr>
                    <w:top w:val="none" w:sz="0" w:space="0" w:color="auto"/>
                    <w:left w:val="none" w:sz="0" w:space="0" w:color="auto"/>
                    <w:bottom w:val="none" w:sz="0" w:space="0" w:color="auto"/>
                    <w:right w:val="none" w:sz="0" w:space="0" w:color="auto"/>
                  </w:divBdr>
                  <w:divsChild>
                    <w:div w:id="1585652334">
                      <w:marLeft w:val="0"/>
                      <w:marRight w:val="0"/>
                      <w:marTop w:val="0"/>
                      <w:marBottom w:val="0"/>
                      <w:divBdr>
                        <w:top w:val="none" w:sz="0" w:space="0" w:color="auto"/>
                        <w:left w:val="none" w:sz="0" w:space="0" w:color="auto"/>
                        <w:bottom w:val="none" w:sz="0" w:space="0" w:color="auto"/>
                        <w:right w:val="none" w:sz="0" w:space="0" w:color="auto"/>
                      </w:divBdr>
                    </w:div>
                  </w:divsChild>
                </w:div>
                <w:div w:id="1992173416">
                  <w:marLeft w:val="0"/>
                  <w:marRight w:val="0"/>
                  <w:marTop w:val="0"/>
                  <w:marBottom w:val="0"/>
                  <w:divBdr>
                    <w:top w:val="none" w:sz="0" w:space="0" w:color="auto"/>
                    <w:left w:val="none" w:sz="0" w:space="0" w:color="auto"/>
                    <w:bottom w:val="none" w:sz="0" w:space="0" w:color="auto"/>
                    <w:right w:val="none" w:sz="0" w:space="0" w:color="auto"/>
                  </w:divBdr>
                  <w:divsChild>
                    <w:div w:id="1183590595">
                      <w:marLeft w:val="0"/>
                      <w:marRight w:val="0"/>
                      <w:marTop w:val="0"/>
                      <w:marBottom w:val="0"/>
                      <w:divBdr>
                        <w:top w:val="none" w:sz="0" w:space="0" w:color="auto"/>
                        <w:left w:val="none" w:sz="0" w:space="0" w:color="auto"/>
                        <w:bottom w:val="none" w:sz="0" w:space="0" w:color="auto"/>
                        <w:right w:val="none" w:sz="0" w:space="0" w:color="auto"/>
                      </w:divBdr>
                    </w:div>
                    <w:div w:id="1644238539">
                      <w:marLeft w:val="0"/>
                      <w:marRight w:val="0"/>
                      <w:marTop w:val="0"/>
                      <w:marBottom w:val="0"/>
                      <w:divBdr>
                        <w:top w:val="none" w:sz="0" w:space="0" w:color="auto"/>
                        <w:left w:val="none" w:sz="0" w:space="0" w:color="auto"/>
                        <w:bottom w:val="none" w:sz="0" w:space="0" w:color="auto"/>
                        <w:right w:val="none" w:sz="0" w:space="0" w:color="auto"/>
                      </w:divBdr>
                    </w:div>
                  </w:divsChild>
                </w:div>
                <w:div w:id="1997418994">
                  <w:marLeft w:val="0"/>
                  <w:marRight w:val="0"/>
                  <w:marTop w:val="0"/>
                  <w:marBottom w:val="0"/>
                  <w:divBdr>
                    <w:top w:val="none" w:sz="0" w:space="0" w:color="auto"/>
                    <w:left w:val="none" w:sz="0" w:space="0" w:color="auto"/>
                    <w:bottom w:val="none" w:sz="0" w:space="0" w:color="auto"/>
                    <w:right w:val="none" w:sz="0" w:space="0" w:color="auto"/>
                  </w:divBdr>
                  <w:divsChild>
                    <w:div w:id="1315917402">
                      <w:marLeft w:val="0"/>
                      <w:marRight w:val="0"/>
                      <w:marTop w:val="0"/>
                      <w:marBottom w:val="0"/>
                      <w:divBdr>
                        <w:top w:val="none" w:sz="0" w:space="0" w:color="auto"/>
                        <w:left w:val="none" w:sz="0" w:space="0" w:color="auto"/>
                        <w:bottom w:val="none" w:sz="0" w:space="0" w:color="auto"/>
                        <w:right w:val="none" w:sz="0" w:space="0" w:color="auto"/>
                      </w:divBdr>
                    </w:div>
                  </w:divsChild>
                </w:div>
                <w:div w:id="1997609156">
                  <w:marLeft w:val="0"/>
                  <w:marRight w:val="0"/>
                  <w:marTop w:val="0"/>
                  <w:marBottom w:val="0"/>
                  <w:divBdr>
                    <w:top w:val="none" w:sz="0" w:space="0" w:color="auto"/>
                    <w:left w:val="none" w:sz="0" w:space="0" w:color="auto"/>
                    <w:bottom w:val="none" w:sz="0" w:space="0" w:color="auto"/>
                    <w:right w:val="none" w:sz="0" w:space="0" w:color="auto"/>
                  </w:divBdr>
                  <w:divsChild>
                    <w:div w:id="1188956444">
                      <w:marLeft w:val="0"/>
                      <w:marRight w:val="0"/>
                      <w:marTop w:val="0"/>
                      <w:marBottom w:val="0"/>
                      <w:divBdr>
                        <w:top w:val="none" w:sz="0" w:space="0" w:color="auto"/>
                        <w:left w:val="none" w:sz="0" w:space="0" w:color="auto"/>
                        <w:bottom w:val="none" w:sz="0" w:space="0" w:color="auto"/>
                        <w:right w:val="none" w:sz="0" w:space="0" w:color="auto"/>
                      </w:divBdr>
                    </w:div>
                  </w:divsChild>
                </w:div>
                <w:div w:id="2000381790">
                  <w:marLeft w:val="0"/>
                  <w:marRight w:val="0"/>
                  <w:marTop w:val="0"/>
                  <w:marBottom w:val="0"/>
                  <w:divBdr>
                    <w:top w:val="none" w:sz="0" w:space="0" w:color="auto"/>
                    <w:left w:val="none" w:sz="0" w:space="0" w:color="auto"/>
                    <w:bottom w:val="none" w:sz="0" w:space="0" w:color="auto"/>
                    <w:right w:val="none" w:sz="0" w:space="0" w:color="auto"/>
                  </w:divBdr>
                  <w:divsChild>
                    <w:div w:id="48891883">
                      <w:marLeft w:val="0"/>
                      <w:marRight w:val="0"/>
                      <w:marTop w:val="0"/>
                      <w:marBottom w:val="0"/>
                      <w:divBdr>
                        <w:top w:val="none" w:sz="0" w:space="0" w:color="auto"/>
                        <w:left w:val="none" w:sz="0" w:space="0" w:color="auto"/>
                        <w:bottom w:val="none" w:sz="0" w:space="0" w:color="auto"/>
                        <w:right w:val="none" w:sz="0" w:space="0" w:color="auto"/>
                      </w:divBdr>
                    </w:div>
                    <w:div w:id="594678793">
                      <w:marLeft w:val="0"/>
                      <w:marRight w:val="0"/>
                      <w:marTop w:val="0"/>
                      <w:marBottom w:val="0"/>
                      <w:divBdr>
                        <w:top w:val="none" w:sz="0" w:space="0" w:color="auto"/>
                        <w:left w:val="none" w:sz="0" w:space="0" w:color="auto"/>
                        <w:bottom w:val="none" w:sz="0" w:space="0" w:color="auto"/>
                        <w:right w:val="none" w:sz="0" w:space="0" w:color="auto"/>
                      </w:divBdr>
                    </w:div>
                    <w:div w:id="784927631">
                      <w:marLeft w:val="0"/>
                      <w:marRight w:val="0"/>
                      <w:marTop w:val="0"/>
                      <w:marBottom w:val="0"/>
                      <w:divBdr>
                        <w:top w:val="none" w:sz="0" w:space="0" w:color="auto"/>
                        <w:left w:val="none" w:sz="0" w:space="0" w:color="auto"/>
                        <w:bottom w:val="none" w:sz="0" w:space="0" w:color="auto"/>
                        <w:right w:val="none" w:sz="0" w:space="0" w:color="auto"/>
                      </w:divBdr>
                    </w:div>
                    <w:div w:id="1270965877">
                      <w:marLeft w:val="0"/>
                      <w:marRight w:val="0"/>
                      <w:marTop w:val="0"/>
                      <w:marBottom w:val="0"/>
                      <w:divBdr>
                        <w:top w:val="none" w:sz="0" w:space="0" w:color="auto"/>
                        <w:left w:val="none" w:sz="0" w:space="0" w:color="auto"/>
                        <w:bottom w:val="none" w:sz="0" w:space="0" w:color="auto"/>
                        <w:right w:val="none" w:sz="0" w:space="0" w:color="auto"/>
                      </w:divBdr>
                    </w:div>
                    <w:div w:id="1569918076">
                      <w:marLeft w:val="0"/>
                      <w:marRight w:val="0"/>
                      <w:marTop w:val="0"/>
                      <w:marBottom w:val="0"/>
                      <w:divBdr>
                        <w:top w:val="none" w:sz="0" w:space="0" w:color="auto"/>
                        <w:left w:val="none" w:sz="0" w:space="0" w:color="auto"/>
                        <w:bottom w:val="none" w:sz="0" w:space="0" w:color="auto"/>
                        <w:right w:val="none" w:sz="0" w:space="0" w:color="auto"/>
                      </w:divBdr>
                    </w:div>
                    <w:div w:id="1681002697">
                      <w:marLeft w:val="0"/>
                      <w:marRight w:val="0"/>
                      <w:marTop w:val="0"/>
                      <w:marBottom w:val="0"/>
                      <w:divBdr>
                        <w:top w:val="none" w:sz="0" w:space="0" w:color="auto"/>
                        <w:left w:val="none" w:sz="0" w:space="0" w:color="auto"/>
                        <w:bottom w:val="none" w:sz="0" w:space="0" w:color="auto"/>
                        <w:right w:val="none" w:sz="0" w:space="0" w:color="auto"/>
                      </w:divBdr>
                    </w:div>
                    <w:div w:id="1773166764">
                      <w:marLeft w:val="0"/>
                      <w:marRight w:val="0"/>
                      <w:marTop w:val="0"/>
                      <w:marBottom w:val="0"/>
                      <w:divBdr>
                        <w:top w:val="none" w:sz="0" w:space="0" w:color="auto"/>
                        <w:left w:val="none" w:sz="0" w:space="0" w:color="auto"/>
                        <w:bottom w:val="none" w:sz="0" w:space="0" w:color="auto"/>
                        <w:right w:val="none" w:sz="0" w:space="0" w:color="auto"/>
                      </w:divBdr>
                    </w:div>
                    <w:div w:id="1812867843">
                      <w:marLeft w:val="0"/>
                      <w:marRight w:val="0"/>
                      <w:marTop w:val="0"/>
                      <w:marBottom w:val="0"/>
                      <w:divBdr>
                        <w:top w:val="none" w:sz="0" w:space="0" w:color="auto"/>
                        <w:left w:val="none" w:sz="0" w:space="0" w:color="auto"/>
                        <w:bottom w:val="none" w:sz="0" w:space="0" w:color="auto"/>
                        <w:right w:val="none" w:sz="0" w:space="0" w:color="auto"/>
                      </w:divBdr>
                    </w:div>
                    <w:div w:id="1953970900">
                      <w:marLeft w:val="0"/>
                      <w:marRight w:val="0"/>
                      <w:marTop w:val="0"/>
                      <w:marBottom w:val="0"/>
                      <w:divBdr>
                        <w:top w:val="none" w:sz="0" w:space="0" w:color="auto"/>
                        <w:left w:val="none" w:sz="0" w:space="0" w:color="auto"/>
                        <w:bottom w:val="none" w:sz="0" w:space="0" w:color="auto"/>
                        <w:right w:val="none" w:sz="0" w:space="0" w:color="auto"/>
                      </w:divBdr>
                    </w:div>
                    <w:div w:id="2136020532">
                      <w:marLeft w:val="0"/>
                      <w:marRight w:val="0"/>
                      <w:marTop w:val="0"/>
                      <w:marBottom w:val="0"/>
                      <w:divBdr>
                        <w:top w:val="none" w:sz="0" w:space="0" w:color="auto"/>
                        <w:left w:val="none" w:sz="0" w:space="0" w:color="auto"/>
                        <w:bottom w:val="none" w:sz="0" w:space="0" w:color="auto"/>
                        <w:right w:val="none" w:sz="0" w:space="0" w:color="auto"/>
                      </w:divBdr>
                    </w:div>
                  </w:divsChild>
                </w:div>
                <w:div w:id="2000383568">
                  <w:marLeft w:val="0"/>
                  <w:marRight w:val="0"/>
                  <w:marTop w:val="0"/>
                  <w:marBottom w:val="0"/>
                  <w:divBdr>
                    <w:top w:val="none" w:sz="0" w:space="0" w:color="auto"/>
                    <w:left w:val="none" w:sz="0" w:space="0" w:color="auto"/>
                    <w:bottom w:val="none" w:sz="0" w:space="0" w:color="auto"/>
                    <w:right w:val="none" w:sz="0" w:space="0" w:color="auto"/>
                  </w:divBdr>
                  <w:divsChild>
                    <w:div w:id="1869904577">
                      <w:marLeft w:val="0"/>
                      <w:marRight w:val="0"/>
                      <w:marTop w:val="0"/>
                      <w:marBottom w:val="0"/>
                      <w:divBdr>
                        <w:top w:val="none" w:sz="0" w:space="0" w:color="auto"/>
                        <w:left w:val="none" w:sz="0" w:space="0" w:color="auto"/>
                        <w:bottom w:val="none" w:sz="0" w:space="0" w:color="auto"/>
                        <w:right w:val="none" w:sz="0" w:space="0" w:color="auto"/>
                      </w:divBdr>
                    </w:div>
                  </w:divsChild>
                </w:div>
                <w:div w:id="2003046810">
                  <w:marLeft w:val="0"/>
                  <w:marRight w:val="0"/>
                  <w:marTop w:val="0"/>
                  <w:marBottom w:val="0"/>
                  <w:divBdr>
                    <w:top w:val="none" w:sz="0" w:space="0" w:color="auto"/>
                    <w:left w:val="none" w:sz="0" w:space="0" w:color="auto"/>
                    <w:bottom w:val="none" w:sz="0" w:space="0" w:color="auto"/>
                    <w:right w:val="none" w:sz="0" w:space="0" w:color="auto"/>
                  </w:divBdr>
                  <w:divsChild>
                    <w:div w:id="24604322">
                      <w:marLeft w:val="0"/>
                      <w:marRight w:val="0"/>
                      <w:marTop w:val="0"/>
                      <w:marBottom w:val="0"/>
                      <w:divBdr>
                        <w:top w:val="none" w:sz="0" w:space="0" w:color="auto"/>
                        <w:left w:val="none" w:sz="0" w:space="0" w:color="auto"/>
                        <w:bottom w:val="none" w:sz="0" w:space="0" w:color="auto"/>
                        <w:right w:val="none" w:sz="0" w:space="0" w:color="auto"/>
                      </w:divBdr>
                    </w:div>
                  </w:divsChild>
                </w:div>
                <w:div w:id="2016572989">
                  <w:marLeft w:val="0"/>
                  <w:marRight w:val="0"/>
                  <w:marTop w:val="0"/>
                  <w:marBottom w:val="0"/>
                  <w:divBdr>
                    <w:top w:val="none" w:sz="0" w:space="0" w:color="auto"/>
                    <w:left w:val="none" w:sz="0" w:space="0" w:color="auto"/>
                    <w:bottom w:val="none" w:sz="0" w:space="0" w:color="auto"/>
                    <w:right w:val="none" w:sz="0" w:space="0" w:color="auto"/>
                  </w:divBdr>
                  <w:divsChild>
                    <w:div w:id="28650138">
                      <w:marLeft w:val="0"/>
                      <w:marRight w:val="0"/>
                      <w:marTop w:val="0"/>
                      <w:marBottom w:val="0"/>
                      <w:divBdr>
                        <w:top w:val="none" w:sz="0" w:space="0" w:color="auto"/>
                        <w:left w:val="none" w:sz="0" w:space="0" w:color="auto"/>
                        <w:bottom w:val="none" w:sz="0" w:space="0" w:color="auto"/>
                        <w:right w:val="none" w:sz="0" w:space="0" w:color="auto"/>
                      </w:divBdr>
                    </w:div>
                  </w:divsChild>
                </w:div>
                <w:div w:id="2022661331">
                  <w:marLeft w:val="0"/>
                  <w:marRight w:val="0"/>
                  <w:marTop w:val="0"/>
                  <w:marBottom w:val="0"/>
                  <w:divBdr>
                    <w:top w:val="none" w:sz="0" w:space="0" w:color="auto"/>
                    <w:left w:val="none" w:sz="0" w:space="0" w:color="auto"/>
                    <w:bottom w:val="none" w:sz="0" w:space="0" w:color="auto"/>
                    <w:right w:val="none" w:sz="0" w:space="0" w:color="auto"/>
                  </w:divBdr>
                  <w:divsChild>
                    <w:div w:id="921109330">
                      <w:marLeft w:val="0"/>
                      <w:marRight w:val="0"/>
                      <w:marTop w:val="0"/>
                      <w:marBottom w:val="0"/>
                      <w:divBdr>
                        <w:top w:val="none" w:sz="0" w:space="0" w:color="auto"/>
                        <w:left w:val="none" w:sz="0" w:space="0" w:color="auto"/>
                        <w:bottom w:val="none" w:sz="0" w:space="0" w:color="auto"/>
                        <w:right w:val="none" w:sz="0" w:space="0" w:color="auto"/>
                      </w:divBdr>
                    </w:div>
                  </w:divsChild>
                </w:div>
                <w:div w:id="2024820840">
                  <w:marLeft w:val="0"/>
                  <w:marRight w:val="0"/>
                  <w:marTop w:val="0"/>
                  <w:marBottom w:val="0"/>
                  <w:divBdr>
                    <w:top w:val="none" w:sz="0" w:space="0" w:color="auto"/>
                    <w:left w:val="none" w:sz="0" w:space="0" w:color="auto"/>
                    <w:bottom w:val="none" w:sz="0" w:space="0" w:color="auto"/>
                    <w:right w:val="none" w:sz="0" w:space="0" w:color="auto"/>
                  </w:divBdr>
                  <w:divsChild>
                    <w:div w:id="186335069">
                      <w:marLeft w:val="0"/>
                      <w:marRight w:val="0"/>
                      <w:marTop w:val="0"/>
                      <w:marBottom w:val="0"/>
                      <w:divBdr>
                        <w:top w:val="none" w:sz="0" w:space="0" w:color="auto"/>
                        <w:left w:val="none" w:sz="0" w:space="0" w:color="auto"/>
                        <w:bottom w:val="none" w:sz="0" w:space="0" w:color="auto"/>
                        <w:right w:val="none" w:sz="0" w:space="0" w:color="auto"/>
                      </w:divBdr>
                    </w:div>
                  </w:divsChild>
                </w:div>
                <w:div w:id="2037005288">
                  <w:marLeft w:val="0"/>
                  <w:marRight w:val="0"/>
                  <w:marTop w:val="0"/>
                  <w:marBottom w:val="0"/>
                  <w:divBdr>
                    <w:top w:val="none" w:sz="0" w:space="0" w:color="auto"/>
                    <w:left w:val="none" w:sz="0" w:space="0" w:color="auto"/>
                    <w:bottom w:val="none" w:sz="0" w:space="0" w:color="auto"/>
                    <w:right w:val="none" w:sz="0" w:space="0" w:color="auto"/>
                  </w:divBdr>
                  <w:divsChild>
                    <w:div w:id="1567304386">
                      <w:marLeft w:val="0"/>
                      <w:marRight w:val="0"/>
                      <w:marTop w:val="0"/>
                      <w:marBottom w:val="0"/>
                      <w:divBdr>
                        <w:top w:val="none" w:sz="0" w:space="0" w:color="auto"/>
                        <w:left w:val="none" w:sz="0" w:space="0" w:color="auto"/>
                        <w:bottom w:val="none" w:sz="0" w:space="0" w:color="auto"/>
                        <w:right w:val="none" w:sz="0" w:space="0" w:color="auto"/>
                      </w:divBdr>
                    </w:div>
                  </w:divsChild>
                </w:div>
                <w:div w:id="2041929752">
                  <w:marLeft w:val="0"/>
                  <w:marRight w:val="0"/>
                  <w:marTop w:val="0"/>
                  <w:marBottom w:val="0"/>
                  <w:divBdr>
                    <w:top w:val="none" w:sz="0" w:space="0" w:color="auto"/>
                    <w:left w:val="none" w:sz="0" w:space="0" w:color="auto"/>
                    <w:bottom w:val="none" w:sz="0" w:space="0" w:color="auto"/>
                    <w:right w:val="none" w:sz="0" w:space="0" w:color="auto"/>
                  </w:divBdr>
                  <w:divsChild>
                    <w:div w:id="2086687359">
                      <w:marLeft w:val="0"/>
                      <w:marRight w:val="0"/>
                      <w:marTop w:val="0"/>
                      <w:marBottom w:val="0"/>
                      <w:divBdr>
                        <w:top w:val="none" w:sz="0" w:space="0" w:color="auto"/>
                        <w:left w:val="none" w:sz="0" w:space="0" w:color="auto"/>
                        <w:bottom w:val="none" w:sz="0" w:space="0" w:color="auto"/>
                        <w:right w:val="none" w:sz="0" w:space="0" w:color="auto"/>
                      </w:divBdr>
                    </w:div>
                  </w:divsChild>
                </w:div>
                <w:div w:id="2049602116">
                  <w:marLeft w:val="0"/>
                  <w:marRight w:val="0"/>
                  <w:marTop w:val="0"/>
                  <w:marBottom w:val="0"/>
                  <w:divBdr>
                    <w:top w:val="none" w:sz="0" w:space="0" w:color="auto"/>
                    <w:left w:val="none" w:sz="0" w:space="0" w:color="auto"/>
                    <w:bottom w:val="none" w:sz="0" w:space="0" w:color="auto"/>
                    <w:right w:val="none" w:sz="0" w:space="0" w:color="auto"/>
                  </w:divBdr>
                  <w:divsChild>
                    <w:div w:id="1025323732">
                      <w:marLeft w:val="0"/>
                      <w:marRight w:val="0"/>
                      <w:marTop w:val="0"/>
                      <w:marBottom w:val="0"/>
                      <w:divBdr>
                        <w:top w:val="none" w:sz="0" w:space="0" w:color="auto"/>
                        <w:left w:val="none" w:sz="0" w:space="0" w:color="auto"/>
                        <w:bottom w:val="none" w:sz="0" w:space="0" w:color="auto"/>
                        <w:right w:val="none" w:sz="0" w:space="0" w:color="auto"/>
                      </w:divBdr>
                    </w:div>
                  </w:divsChild>
                </w:div>
                <w:div w:id="2052340339">
                  <w:marLeft w:val="0"/>
                  <w:marRight w:val="0"/>
                  <w:marTop w:val="0"/>
                  <w:marBottom w:val="0"/>
                  <w:divBdr>
                    <w:top w:val="none" w:sz="0" w:space="0" w:color="auto"/>
                    <w:left w:val="none" w:sz="0" w:space="0" w:color="auto"/>
                    <w:bottom w:val="none" w:sz="0" w:space="0" w:color="auto"/>
                    <w:right w:val="none" w:sz="0" w:space="0" w:color="auto"/>
                  </w:divBdr>
                  <w:divsChild>
                    <w:div w:id="1522819669">
                      <w:marLeft w:val="0"/>
                      <w:marRight w:val="0"/>
                      <w:marTop w:val="0"/>
                      <w:marBottom w:val="0"/>
                      <w:divBdr>
                        <w:top w:val="none" w:sz="0" w:space="0" w:color="auto"/>
                        <w:left w:val="none" w:sz="0" w:space="0" w:color="auto"/>
                        <w:bottom w:val="none" w:sz="0" w:space="0" w:color="auto"/>
                        <w:right w:val="none" w:sz="0" w:space="0" w:color="auto"/>
                      </w:divBdr>
                    </w:div>
                  </w:divsChild>
                </w:div>
                <w:div w:id="2052993127">
                  <w:marLeft w:val="0"/>
                  <w:marRight w:val="0"/>
                  <w:marTop w:val="0"/>
                  <w:marBottom w:val="0"/>
                  <w:divBdr>
                    <w:top w:val="none" w:sz="0" w:space="0" w:color="auto"/>
                    <w:left w:val="none" w:sz="0" w:space="0" w:color="auto"/>
                    <w:bottom w:val="none" w:sz="0" w:space="0" w:color="auto"/>
                    <w:right w:val="none" w:sz="0" w:space="0" w:color="auto"/>
                  </w:divBdr>
                  <w:divsChild>
                    <w:div w:id="773864784">
                      <w:marLeft w:val="0"/>
                      <w:marRight w:val="0"/>
                      <w:marTop w:val="0"/>
                      <w:marBottom w:val="0"/>
                      <w:divBdr>
                        <w:top w:val="none" w:sz="0" w:space="0" w:color="auto"/>
                        <w:left w:val="none" w:sz="0" w:space="0" w:color="auto"/>
                        <w:bottom w:val="none" w:sz="0" w:space="0" w:color="auto"/>
                        <w:right w:val="none" w:sz="0" w:space="0" w:color="auto"/>
                      </w:divBdr>
                    </w:div>
                    <w:div w:id="799767670">
                      <w:marLeft w:val="0"/>
                      <w:marRight w:val="0"/>
                      <w:marTop w:val="0"/>
                      <w:marBottom w:val="0"/>
                      <w:divBdr>
                        <w:top w:val="none" w:sz="0" w:space="0" w:color="auto"/>
                        <w:left w:val="none" w:sz="0" w:space="0" w:color="auto"/>
                        <w:bottom w:val="none" w:sz="0" w:space="0" w:color="auto"/>
                        <w:right w:val="none" w:sz="0" w:space="0" w:color="auto"/>
                      </w:divBdr>
                    </w:div>
                  </w:divsChild>
                </w:div>
                <w:div w:id="2054034890">
                  <w:marLeft w:val="0"/>
                  <w:marRight w:val="0"/>
                  <w:marTop w:val="0"/>
                  <w:marBottom w:val="0"/>
                  <w:divBdr>
                    <w:top w:val="none" w:sz="0" w:space="0" w:color="auto"/>
                    <w:left w:val="none" w:sz="0" w:space="0" w:color="auto"/>
                    <w:bottom w:val="none" w:sz="0" w:space="0" w:color="auto"/>
                    <w:right w:val="none" w:sz="0" w:space="0" w:color="auto"/>
                  </w:divBdr>
                  <w:divsChild>
                    <w:div w:id="1581792083">
                      <w:marLeft w:val="0"/>
                      <w:marRight w:val="0"/>
                      <w:marTop w:val="0"/>
                      <w:marBottom w:val="0"/>
                      <w:divBdr>
                        <w:top w:val="none" w:sz="0" w:space="0" w:color="auto"/>
                        <w:left w:val="none" w:sz="0" w:space="0" w:color="auto"/>
                        <w:bottom w:val="none" w:sz="0" w:space="0" w:color="auto"/>
                        <w:right w:val="none" w:sz="0" w:space="0" w:color="auto"/>
                      </w:divBdr>
                    </w:div>
                  </w:divsChild>
                </w:div>
                <w:div w:id="2062052374">
                  <w:marLeft w:val="0"/>
                  <w:marRight w:val="0"/>
                  <w:marTop w:val="0"/>
                  <w:marBottom w:val="0"/>
                  <w:divBdr>
                    <w:top w:val="none" w:sz="0" w:space="0" w:color="auto"/>
                    <w:left w:val="none" w:sz="0" w:space="0" w:color="auto"/>
                    <w:bottom w:val="none" w:sz="0" w:space="0" w:color="auto"/>
                    <w:right w:val="none" w:sz="0" w:space="0" w:color="auto"/>
                  </w:divBdr>
                  <w:divsChild>
                    <w:div w:id="1475104400">
                      <w:marLeft w:val="0"/>
                      <w:marRight w:val="0"/>
                      <w:marTop w:val="0"/>
                      <w:marBottom w:val="0"/>
                      <w:divBdr>
                        <w:top w:val="none" w:sz="0" w:space="0" w:color="auto"/>
                        <w:left w:val="none" w:sz="0" w:space="0" w:color="auto"/>
                        <w:bottom w:val="none" w:sz="0" w:space="0" w:color="auto"/>
                        <w:right w:val="none" w:sz="0" w:space="0" w:color="auto"/>
                      </w:divBdr>
                    </w:div>
                  </w:divsChild>
                </w:div>
                <w:div w:id="2064327138">
                  <w:marLeft w:val="0"/>
                  <w:marRight w:val="0"/>
                  <w:marTop w:val="0"/>
                  <w:marBottom w:val="0"/>
                  <w:divBdr>
                    <w:top w:val="none" w:sz="0" w:space="0" w:color="auto"/>
                    <w:left w:val="none" w:sz="0" w:space="0" w:color="auto"/>
                    <w:bottom w:val="none" w:sz="0" w:space="0" w:color="auto"/>
                    <w:right w:val="none" w:sz="0" w:space="0" w:color="auto"/>
                  </w:divBdr>
                  <w:divsChild>
                    <w:div w:id="1492411425">
                      <w:marLeft w:val="0"/>
                      <w:marRight w:val="0"/>
                      <w:marTop w:val="0"/>
                      <w:marBottom w:val="0"/>
                      <w:divBdr>
                        <w:top w:val="none" w:sz="0" w:space="0" w:color="auto"/>
                        <w:left w:val="none" w:sz="0" w:space="0" w:color="auto"/>
                        <w:bottom w:val="none" w:sz="0" w:space="0" w:color="auto"/>
                        <w:right w:val="none" w:sz="0" w:space="0" w:color="auto"/>
                      </w:divBdr>
                    </w:div>
                  </w:divsChild>
                </w:div>
                <w:div w:id="2073961318">
                  <w:marLeft w:val="0"/>
                  <w:marRight w:val="0"/>
                  <w:marTop w:val="0"/>
                  <w:marBottom w:val="0"/>
                  <w:divBdr>
                    <w:top w:val="none" w:sz="0" w:space="0" w:color="auto"/>
                    <w:left w:val="none" w:sz="0" w:space="0" w:color="auto"/>
                    <w:bottom w:val="none" w:sz="0" w:space="0" w:color="auto"/>
                    <w:right w:val="none" w:sz="0" w:space="0" w:color="auto"/>
                  </w:divBdr>
                  <w:divsChild>
                    <w:div w:id="405223424">
                      <w:marLeft w:val="0"/>
                      <w:marRight w:val="0"/>
                      <w:marTop w:val="0"/>
                      <w:marBottom w:val="0"/>
                      <w:divBdr>
                        <w:top w:val="none" w:sz="0" w:space="0" w:color="auto"/>
                        <w:left w:val="none" w:sz="0" w:space="0" w:color="auto"/>
                        <w:bottom w:val="none" w:sz="0" w:space="0" w:color="auto"/>
                        <w:right w:val="none" w:sz="0" w:space="0" w:color="auto"/>
                      </w:divBdr>
                    </w:div>
                  </w:divsChild>
                </w:div>
                <w:div w:id="2087798219">
                  <w:marLeft w:val="0"/>
                  <w:marRight w:val="0"/>
                  <w:marTop w:val="0"/>
                  <w:marBottom w:val="0"/>
                  <w:divBdr>
                    <w:top w:val="none" w:sz="0" w:space="0" w:color="auto"/>
                    <w:left w:val="none" w:sz="0" w:space="0" w:color="auto"/>
                    <w:bottom w:val="none" w:sz="0" w:space="0" w:color="auto"/>
                    <w:right w:val="none" w:sz="0" w:space="0" w:color="auto"/>
                  </w:divBdr>
                  <w:divsChild>
                    <w:div w:id="46802319">
                      <w:marLeft w:val="0"/>
                      <w:marRight w:val="0"/>
                      <w:marTop w:val="0"/>
                      <w:marBottom w:val="0"/>
                      <w:divBdr>
                        <w:top w:val="none" w:sz="0" w:space="0" w:color="auto"/>
                        <w:left w:val="none" w:sz="0" w:space="0" w:color="auto"/>
                        <w:bottom w:val="none" w:sz="0" w:space="0" w:color="auto"/>
                        <w:right w:val="none" w:sz="0" w:space="0" w:color="auto"/>
                      </w:divBdr>
                    </w:div>
                  </w:divsChild>
                </w:div>
                <w:div w:id="2092774968">
                  <w:marLeft w:val="0"/>
                  <w:marRight w:val="0"/>
                  <w:marTop w:val="0"/>
                  <w:marBottom w:val="0"/>
                  <w:divBdr>
                    <w:top w:val="none" w:sz="0" w:space="0" w:color="auto"/>
                    <w:left w:val="none" w:sz="0" w:space="0" w:color="auto"/>
                    <w:bottom w:val="none" w:sz="0" w:space="0" w:color="auto"/>
                    <w:right w:val="none" w:sz="0" w:space="0" w:color="auto"/>
                  </w:divBdr>
                  <w:divsChild>
                    <w:div w:id="1921910971">
                      <w:marLeft w:val="0"/>
                      <w:marRight w:val="0"/>
                      <w:marTop w:val="0"/>
                      <w:marBottom w:val="0"/>
                      <w:divBdr>
                        <w:top w:val="none" w:sz="0" w:space="0" w:color="auto"/>
                        <w:left w:val="none" w:sz="0" w:space="0" w:color="auto"/>
                        <w:bottom w:val="none" w:sz="0" w:space="0" w:color="auto"/>
                        <w:right w:val="none" w:sz="0" w:space="0" w:color="auto"/>
                      </w:divBdr>
                    </w:div>
                  </w:divsChild>
                </w:div>
                <w:div w:id="2095513822">
                  <w:marLeft w:val="0"/>
                  <w:marRight w:val="0"/>
                  <w:marTop w:val="0"/>
                  <w:marBottom w:val="0"/>
                  <w:divBdr>
                    <w:top w:val="none" w:sz="0" w:space="0" w:color="auto"/>
                    <w:left w:val="none" w:sz="0" w:space="0" w:color="auto"/>
                    <w:bottom w:val="none" w:sz="0" w:space="0" w:color="auto"/>
                    <w:right w:val="none" w:sz="0" w:space="0" w:color="auto"/>
                  </w:divBdr>
                  <w:divsChild>
                    <w:div w:id="1332871928">
                      <w:marLeft w:val="0"/>
                      <w:marRight w:val="0"/>
                      <w:marTop w:val="0"/>
                      <w:marBottom w:val="0"/>
                      <w:divBdr>
                        <w:top w:val="none" w:sz="0" w:space="0" w:color="auto"/>
                        <w:left w:val="none" w:sz="0" w:space="0" w:color="auto"/>
                        <w:bottom w:val="none" w:sz="0" w:space="0" w:color="auto"/>
                        <w:right w:val="none" w:sz="0" w:space="0" w:color="auto"/>
                      </w:divBdr>
                    </w:div>
                  </w:divsChild>
                </w:div>
                <w:div w:id="2143111150">
                  <w:marLeft w:val="0"/>
                  <w:marRight w:val="0"/>
                  <w:marTop w:val="0"/>
                  <w:marBottom w:val="0"/>
                  <w:divBdr>
                    <w:top w:val="none" w:sz="0" w:space="0" w:color="auto"/>
                    <w:left w:val="none" w:sz="0" w:space="0" w:color="auto"/>
                    <w:bottom w:val="none" w:sz="0" w:space="0" w:color="auto"/>
                    <w:right w:val="none" w:sz="0" w:space="0" w:color="auto"/>
                  </w:divBdr>
                  <w:divsChild>
                    <w:div w:id="194245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96745">
          <w:marLeft w:val="0"/>
          <w:marRight w:val="0"/>
          <w:marTop w:val="0"/>
          <w:marBottom w:val="0"/>
          <w:divBdr>
            <w:top w:val="none" w:sz="0" w:space="0" w:color="auto"/>
            <w:left w:val="none" w:sz="0" w:space="0" w:color="auto"/>
            <w:bottom w:val="none" w:sz="0" w:space="0" w:color="auto"/>
            <w:right w:val="none" w:sz="0" w:space="0" w:color="auto"/>
          </w:divBdr>
        </w:div>
      </w:divsChild>
    </w:div>
    <w:div w:id="285939515">
      <w:bodyDiv w:val="1"/>
      <w:marLeft w:val="0"/>
      <w:marRight w:val="0"/>
      <w:marTop w:val="0"/>
      <w:marBottom w:val="0"/>
      <w:divBdr>
        <w:top w:val="none" w:sz="0" w:space="0" w:color="auto"/>
        <w:left w:val="none" w:sz="0" w:space="0" w:color="auto"/>
        <w:bottom w:val="none" w:sz="0" w:space="0" w:color="auto"/>
        <w:right w:val="none" w:sz="0" w:space="0" w:color="auto"/>
      </w:divBdr>
    </w:div>
    <w:div w:id="298262614">
      <w:bodyDiv w:val="1"/>
      <w:marLeft w:val="0"/>
      <w:marRight w:val="0"/>
      <w:marTop w:val="0"/>
      <w:marBottom w:val="0"/>
      <w:divBdr>
        <w:top w:val="none" w:sz="0" w:space="0" w:color="auto"/>
        <w:left w:val="none" w:sz="0" w:space="0" w:color="auto"/>
        <w:bottom w:val="none" w:sz="0" w:space="0" w:color="auto"/>
        <w:right w:val="none" w:sz="0" w:space="0" w:color="auto"/>
      </w:divBdr>
    </w:div>
    <w:div w:id="303193825">
      <w:bodyDiv w:val="1"/>
      <w:marLeft w:val="0"/>
      <w:marRight w:val="0"/>
      <w:marTop w:val="0"/>
      <w:marBottom w:val="0"/>
      <w:divBdr>
        <w:top w:val="none" w:sz="0" w:space="0" w:color="auto"/>
        <w:left w:val="none" w:sz="0" w:space="0" w:color="auto"/>
        <w:bottom w:val="none" w:sz="0" w:space="0" w:color="auto"/>
        <w:right w:val="none" w:sz="0" w:space="0" w:color="auto"/>
      </w:divBdr>
      <w:divsChild>
        <w:div w:id="361248793">
          <w:marLeft w:val="0"/>
          <w:marRight w:val="0"/>
          <w:marTop w:val="0"/>
          <w:marBottom w:val="0"/>
          <w:divBdr>
            <w:top w:val="none" w:sz="0" w:space="0" w:color="auto"/>
            <w:left w:val="none" w:sz="0" w:space="0" w:color="auto"/>
            <w:bottom w:val="none" w:sz="0" w:space="0" w:color="auto"/>
            <w:right w:val="none" w:sz="0" w:space="0" w:color="auto"/>
          </w:divBdr>
        </w:div>
        <w:div w:id="728041475">
          <w:marLeft w:val="0"/>
          <w:marRight w:val="0"/>
          <w:marTop w:val="0"/>
          <w:marBottom w:val="0"/>
          <w:divBdr>
            <w:top w:val="none" w:sz="0" w:space="0" w:color="auto"/>
            <w:left w:val="none" w:sz="0" w:space="0" w:color="auto"/>
            <w:bottom w:val="none" w:sz="0" w:space="0" w:color="auto"/>
            <w:right w:val="none" w:sz="0" w:space="0" w:color="auto"/>
          </w:divBdr>
        </w:div>
        <w:div w:id="952248945">
          <w:marLeft w:val="0"/>
          <w:marRight w:val="0"/>
          <w:marTop w:val="0"/>
          <w:marBottom w:val="0"/>
          <w:divBdr>
            <w:top w:val="none" w:sz="0" w:space="0" w:color="auto"/>
            <w:left w:val="none" w:sz="0" w:space="0" w:color="auto"/>
            <w:bottom w:val="none" w:sz="0" w:space="0" w:color="auto"/>
            <w:right w:val="none" w:sz="0" w:space="0" w:color="auto"/>
          </w:divBdr>
        </w:div>
        <w:div w:id="1280182005">
          <w:marLeft w:val="0"/>
          <w:marRight w:val="0"/>
          <w:marTop w:val="0"/>
          <w:marBottom w:val="0"/>
          <w:divBdr>
            <w:top w:val="none" w:sz="0" w:space="0" w:color="auto"/>
            <w:left w:val="none" w:sz="0" w:space="0" w:color="auto"/>
            <w:bottom w:val="none" w:sz="0" w:space="0" w:color="auto"/>
            <w:right w:val="none" w:sz="0" w:space="0" w:color="auto"/>
          </w:divBdr>
        </w:div>
        <w:div w:id="1424111369">
          <w:marLeft w:val="0"/>
          <w:marRight w:val="0"/>
          <w:marTop w:val="0"/>
          <w:marBottom w:val="0"/>
          <w:divBdr>
            <w:top w:val="none" w:sz="0" w:space="0" w:color="auto"/>
            <w:left w:val="none" w:sz="0" w:space="0" w:color="auto"/>
            <w:bottom w:val="none" w:sz="0" w:space="0" w:color="auto"/>
            <w:right w:val="none" w:sz="0" w:space="0" w:color="auto"/>
          </w:divBdr>
        </w:div>
        <w:div w:id="1788431408">
          <w:marLeft w:val="0"/>
          <w:marRight w:val="0"/>
          <w:marTop w:val="0"/>
          <w:marBottom w:val="0"/>
          <w:divBdr>
            <w:top w:val="none" w:sz="0" w:space="0" w:color="auto"/>
            <w:left w:val="none" w:sz="0" w:space="0" w:color="auto"/>
            <w:bottom w:val="none" w:sz="0" w:space="0" w:color="auto"/>
            <w:right w:val="none" w:sz="0" w:space="0" w:color="auto"/>
          </w:divBdr>
        </w:div>
        <w:div w:id="1872575020">
          <w:marLeft w:val="0"/>
          <w:marRight w:val="0"/>
          <w:marTop w:val="0"/>
          <w:marBottom w:val="0"/>
          <w:divBdr>
            <w:top w:val="none" w:sz="0" w:space="0" w:color="auto"/>
            <w:left w:val="none" w:sz="0" w:space="0" w:color="auto"/>
            <w:bottom w:val="none" w:sz="0" w:space="0" w:color="auto"/>
            <w:right w:val="none" w:sz="0" w:space="0" w:color="auto"/>
          </w:divBdr>
        </w:div>
        <w:div w:id="1949703164">
          <w:marLeft w:val="0"/>
          <w:marRight w:val="0"/>
          <w:marTop w:val="0"/>
          <w:marBottom w:val="0"/>
          <w:divBdr>
            <w:top w:val="none" w:sz="0" w:space="0" w:color="auto"/>
            <w:left w:val="none" w:sz="0" w:space="0" w:color="auto"/>
            <w:bottom w:val="none" w:sz="0" w:space="0" w:color="auto"/>
            <w:right w:val="none" w:sz="0" w:space="0" w:color="auto"/>
          </w:divBdr>
        </w:div>
      </w:divsChild>
    </w:div>
    <w:div w:id="308291214">
      <w:bodyDiv w:val="1"/>
      <w:marLeft w:val="0"/>
      <w:marRight w:val="0"/>
      <w:marTop w:val="0"/>
      <w:marBottom w:val="0"/>
      <w:divBdr>
        <w:top w:val="none" w:sz="0" w:space="0" w:color="auto"/>
        <w:left w:val="none" w:sz="0" w:space="0" w:color="auto"/>
        <w:bottom w:val="none" w:sz="0" w:space="0" w:color="auto"/>
        <w:right w:val="none" w:sz="0" w:space="0" w:color="auto"/>
      </w:divBdr>
    </w:div>
    <w:div w:id="361906670">
      <w:bodyDiv w:val="1"/>
      <w:marLeft w:val="0"/>
      <w:marRight w:val="0"/>
      <w:marTop w:val="0"/>
      <w:marBottom w:val="0"/>
      <w:divBdr>
        <w:top w:val="none" w:sz="0" w:space="0" w:color="auto"/>
        <w:left w:val="none" w:sz="0" w:space="0" w:color="auto"/>
        <w:bottom w:val="none" w:sz="0" w:space="0" w:color="auto"/>
        <w:right w:val="none" w:sz="0" w:space="0" w:color="auto"/>
      </w:divBdr>
      <w:divsChild>
        <w:div w:id="80378816">
          <w:marLeft w:val="0"/>
          <w:marRight w:val="0"/>
          <w:marTop w:val="0"/>
          <w:marBottom w:val="0"/>
          <w:divBdr>
            <w:top w:val="none" w:sz="0" w:space="0" w:color="auto"/>
            <w:left w:val="none" w:sz="0" w:space="0" w:color="auto"/>
            <w:bottom w:val="none" w:sz="0" w:space="0" w:color="auto"/>
            <w:right w:val="none" w:sz="0" w:space="0" w:color="auto"/>
          </w:divBdr>
        </w:div>
        <w:div w:id="153033647">
          <w:marLeft w:val="0"/>
          <w:marRight w:val="0"/>
          <w:marTop w:val="0"/>
          <w:marBottom w:val="0"/>
          <w:divBdr>
            <w:top w:val="none" w:sz="0" w:space="0" w:color="auto"/>
            <w:left w:val="none" w:sz="0" w:space="0" w:color="auto"/>
            <w:bottom w:val="none" w:sz="0" w:space="0" w:color="auto"/>
            <w:right w:val="none" w:sz="0" w:space="0" w:color="auto"/>
          </w:divBdr>
        </w:div>
        <w:div w:id="169561996">
          <w:marLeft w:val="0"/>
          <w:marRight w:val="0"/>
          <w:marTop w:val="0"/>
          <w:marBottom w:val="0"/>
          <w:divBdr>
            <w:top w:val="none" w:sz="0" w:space="0" w:color="auto"/>
            <w:left w:val="none" w:sz="0" w:space="0" w:color="auto"/>
            <w:bottom w:val="none" w:sz="0" w:space="0" w:color="auto"/>
            <w:right w:val="none" w:sz="0" w:space="0" w:color="auto"/>
          </w:divBdr>
        </w:div>
        <w:div w:id="265039629">
          <w:marLeft w:val="0"/>
          <w:marRight w:val="0"/>
          <w:marTop w:val="0"/>
          <w:marBottom w:val="0"/>
          <w:divBdr>
            <w:top w:val="none" w:sz="0" w:space="0" w:color="auto"/>
            <w:left w:val="none" w:sz="0" w:space="0" w:color="auto"/>
            <w:bottom w:val="none" w:sz="0" w:space="0" w:color="auto"/>
            <w:right w:val="none" w:sz="0" w:space="0" w:color="auto"/>
          </w:divBdr>
        </w:div>
        <w:div w:id="440875200">
          <w:marLeft w:val="0"/>
          <w:marRight w:val="0"/>
          <w:marTop w:val="0"/>
          <w:marBottom w:val="0"/>
          <w:divBdr>
            <w:top w:val="none" w:sz="0" w:space="0" w:color="auto"/>
            <w:left w:val="none" w:sz="0" w:space="0" w:color="auto"/>
            <w:bottom w:val="none" w:sz="0" w:space="0" w:color="auto"/>
            <w:right w:val="none" w:sz="0" w:space="0" w:color="auto"/>
          </w:divBdr>
        </w:div>
        <w:div w:id="444614558">
          <w:marLeft w:val="0"/>
          <w:marRight w:val="0"/>
          <w:marTop w:val="0"/>
          <w:marBottom w:val="0"/>
          <w:divBdr>
            <w:top w:val="none" w:sz="0" w:space="0" w:color="auto"/>
            <w:left w:val="none" w:sz="0" w:space="0" w:color="auto"/>
            <w:bottom w:val="none" w:sz="0" w:space="0" w:color="auto"/>
            <w:right w:val="none" w:sz="0" w:space="0" w:color="auto"/>
          </w:divBdr>
        </w:div>
        <w:div w:id="451749970">
          <w:marLeft w:val="0"/>
          <w:marRight w:val="0"/>
          <w:marTop w:val="0"/>
          <w:marBottom w:val="0"/>
          <w:divBdr>
            <w:top w:val="none" w:sz="0" w:space="0" w:color="auto"/>
            <w:left w:val="none" w:sz="0" w:space="0" w:color="auto"/>
            <w:bottom w:val="none" w:sz="0" w:space="0" w:color="auto"/>
            <w:right w:val="none" w:sz="0" w:space="0" w:color="auto"/>
          </w:divBdr>
        </w:div>
        <w:div w:id="505095948">
          <w:marLeft w:val="0"/>
          <w:marRight w:val="0"/>
          <w:marTop w:val="0"/>
          <w:marBottom w:val="0"/>
          <w:divBdr>
            <w:top w:val="none" w:sz="0" w:space="0" w:color="auto"/>
            <w:left w:val="none" w:sz="0" w:space="0" w:color="auto"/>
            <w:bottom w:val="none" w:sz="0" w:space="0" w:color="auto"/>
            <w:right w:val="none" w:sz="0" w:space="0" w:color="auto"/>
          </w:divBdr>
        </w:div>
        <w:div w:id="608199663">
          <w:marLeft w:val="0"/>
          <w:marRight w:val="0"/>
          <w:marTop w:val="0"/>
          <w:marBottom w:val="0"/>
          <w:divBdr>
            <w:top w:val="none" w:sz="0" w:space="0" w:color="auto"/>
            <w:left w:val="none" w:sz="0" w:space="0" w:color="auto"/>
            <w:bottom w:val="none" w:sz="0" w:space="0" w:color="auto"/>
            <w:right w:val="none" w:sz="0" w:space="0" w:color="auto"/>
          </w:divBdr>
        </w:div>
        <w:div w:id="676736124">
          <w:marLeft w:val="0"/>
          <w:marRight w:val="0"/>
          <w:marTop w:val="0"/>
          <w:marBottom w:val="0"/>
          <w:divBdr>
            <w:top w:val="none" w:sz="0" w:space="0" w:color="auto"/>
            <w:left w:val="none" w:sz="0" w:space="0" w:color="auto"/>
            <w:bottom w:val="none" w:sz="0" w:space="0" w:color="auto"/>
            <w:right w:val="none" w:sz="0" w:space="0" w:color="auto"/>
          </w:divBdr>
        </w:div>
        <w:div w:id="761954005">
          <w:marLeft w:val="0"/>
          <w:marRight w:val="0"/>
          <w:marTop w:val="0"/>
          <w:marBottom w:val="0"/>
          <w:divBdr>
            <w:top w:val="none" w:sz="0" w:space="0" w:color="auto"/>
            <w:left w:val="none" w:sz="0" w:space="0" w:color="auto"/>
            <w:bottom w:val="none" w:sz="0" w:space="0" w:color="auto"/>
            <w:right w:val="none" w:sz="0" w:space="0" w:color="auto"/>
          </w:divBdr>
        </w:div>
        <w:div w:id="878471050">
          <w:marLeft w:val="0"/>
          <w:marRight w:val="0"/>
          <w:marTop w:val="0"/>
          <w:marBottom w:val="0"/>
          <w:divBdr>
            <w:top w:val="none" w:sz="0" w:space="0" w:color="auto"/>
            <w:left w:val="none" w:sz="0" w:space="0" w:color="auto"/>
            <w:bottom w:val="none" w:sz="0" w:space="0" w:color="auto"/>
            <w:right w:val="none" w:sz="0" w:space="0" w:color="auto"/>
          </w:divBdr>
        </w:div>
        <w:div w:id="878708193">
          <w:marLeft w:val="0"/>
          <w:marRight w:val="0"/>
          <w:marTop w:val="0"/>
          <w:marBottom w:val="0"/>
          <w:divBdr>
            <w:top w:val="none" w:sz="0" w:space="0" w:color="auto"/>
            <w:left w:val="none" w:sz="0" w:space="0" w:color="auto"/>
            <w:bottom w:val="none" w:sz="0" w:space="0" w:color="auto"/>
            <w:right w:val="none" w:sz="0" w:space="0" w:color="auto"/>
          </w:divBdr>
        </w:div>
        <w:div w:id="1049262878">
          <w:marLeft w:val="0"/>
          <w:marRight w:val="0"/>
          <w:marTop w:val="0"/>
          <w:marBottom w:val="0"/>
          <w:divBdr>
            <w:top w:val="none" w:sz="0" w:space="0" w:color="auto"/>
            <w:left w:val="none" w:sz="0" w:space="0" w:color="auto"/>
            <w:bottom w:val="none" w:sz="0" w:space="0" w:color="auto"/>
            <w:right w:val="none" w:sz="0" w:space="0" w:color="auto"/>
          </w:divBdr>
          <w:divsChild>
            <w:div w:id="56368705">
              <w:marLeft w:val="0"/>
              <w:marRight w:val="0"/>
              <w:marTop w:val="0"/>
              <w:marBottom w:val="0"/>
              <w:divBdr>
                <w:top w:val="none" w:sz="0" w:space="0" w:color="auto"/>
                <w:left w:val="none" w:sz="0" w:space="0" w:color="auto"/>
                <w:bottom w:val="none" w:sz="0" w:space="0" w:color="auto"/>
                <w:right w:val="none" w:sz="0" w:space="0" w:color="auto"/>
              </w:divBdr>
            </w:div>
            <w:div w:id="137498602">
              <w:marLeft w:val="0"/>
              <w:marRight w:val="0"/>
              <w:marTop w:val="0"/>
              <w:marBottom w:val="0"/>
              <w:divBdr>
                <w:top w:val="none" w:sz="0" w:space="0" w:color="auto"/>
                <w:left w:val="none" w:sz="0" w:space="0" w:color="auto"/>
                <w:bottom w:val="none" w:sz="0" w:space="0" w:color="auto"/>
                <w:right w:val="none" w:sz="0" w:space="0" w:color="auto"/>
              </w:divBdr>
            </w:div>
            <w:div w:id="401367729">
              <w:marLeft w:val="0"/>
              <w:marRight w:val="0"/>
              <w:marTop w:val="0"/>
              <w:marBottom w:val="0"/>
              <w:divBdr>
                <w:top w:val="none" w:sz="0" w:space="0" w:color="auto"/>
                <w:left w:val="none" w:sz="0" w:space="0" w:color="auto"/>
                <w:bottom w:val="none" w:sz="0" w:space="0" w:color="auto"/>
                <w:right w:val="none" w:sz="0" w:space="0" w:color="auto"/>
              </w:divBdr>
            </w:div>
            <w:div w:id="493759056">
              <w:marLeft w:val="0"/>
              <w:marRight w:val="0"/>
              <w:marTop w:val="0"/>
              <w:marBottom w:val="0"/>
              <w:divBdr>
                <w:top w:val="none" w:sz="0" w:space="0" w:color="auto"/>
                <w:left w:val="none" w:sz="0" w:space="0" w:color="auto"/>
                <w:bottom w:val="none" w:sz="0" w:space="0" w:color="auto"/>
                <w:right w:val="none" w:sz="0" w:space="0" w:color="auto"/>
              </w:divBdr>
            </w:div>
            <w:div w:id="509029928">
              <w:marLeft w:val="0"/>
              <w:marRight w:val="0"/>
              <w:marTop w:val="0"/>
              <w:marBottom w:val="0"/>
              <w:divBdr>
                <w:top w:val="none" w:sz="0" w:space="0" w:color="auto"/>
                <w:left w:val="none" w:sz="0" w:space="0" w:color="auto"/>
                <w:bottom w:val="none" w:sz="0" w:space="0" w:color="auto"/>
                <w:right w:val="none" w:sz="0" w:space="0" w:color="auto"/>
              </w:divBdr>
            </w:div>
            <w:div w:id="612596723">
              <w:marLeft w:val="0"/>
              <w:marRight w:val="0"/>
              <w:marTop w:val="0"/>
              <w:marBottom w:val="0"/>
              <w:divBdr>
                <w:top w:val="none" w:sz="0" w:space="0" w:color="auto"/>
                <w:left w:val="none" w:sz="0" w:space="0" w:color="auto"/>
                <w:bottom w:val="none" w:sz="0" w:space="0" w:color="auto"/>
                <w:right w:val="none" w:sz="0" w:space="0" w:color="auto"/>
              </w:divBdr>
            </w:div>
            <w:div w:id="763575065">
              <w:marLeft w:val="0"/>
              <w:marRight w:val="0"/>
              <w:marTop w:val="0"/>
              <w:marBottom w:val="0"/>
              <w:divBdr>
                <w:top w:val="none" w:sz="0" w:space="0" w:color="auto"/>
                <w:left w:val="none" w:sz="0" w:space="0" w:color="auto"/>
                <w:bottom w:val="none" w:sz="0" w:space="0" w:color="auto"/>
                <w:right w:val="none" w:sz="0" w:space="0" w:color="auto"/>
              </w:divBdr>
            </w:div>
            <w:div w:id="801189292">
              <w:marLeft w:val="0"/>
              <w:marRight w:val="0"/>
              <w:marTop w:val="0"/>
              <w:marBottom w:val="0"/>
              <w:divBdr>
                <w:top w:val="none" w:sz="0" w:space="0" w:color="auto"/>
                <w:left w:val="none" w:sz="0" w:space="0" w:color="auto"/>
                <w:bottom w:val="none" w:sz="0" w:space="0" w:color="auto"/>
                <w:right w:val="none" w:sz="0" w:space="0" w:color="auto"/>
              </w:divBdr>
            </w:div>
            <w:div w:id="802701121">
              <w:marLeft w:val="0"/>
              <w:marRight w:val="0"/>
              <w:marTop w:val="0"/>
              <w:marBottom w:val="0"/>
              <w:divBdr>
                <w:top w:val="none" w:sz="0" w:space="0" w:color="auto"/>
                <w:left w:val="none" w:sz="0" w:space="0" w:color="auto"/>
                <w:bottom w:val="none" w:sz="0" w:space="0" w:color="auto"/>
                <w:right w:val="none" w:sz="0" w:space="0" w:color="auto"/>
              </w:divBdr>
            </w:div>
            <w:div w:id="889995347">
              <w:marLeft w:val="0"/>
              <w:marRight w:val="0"/>
              <w:marTop w:val="0"/>
              <w:marBottom w:val="0"/>
              <w:divBdr>
                <w:top w:val="none" w:sz="0" w:space="0" w:color="auto"/>
                <w:left w:val="none" w:sz="0" w:space="0" w:color="auto"/>
                <w:bottom w:val="none" w:sz="0" w:space="0" w:color="auto"/>
                <w:right w:val="none" w:sz="0" w:space="0" w:color="auto"/>
              </w:divBdr>
            </w:div>
            <w:div w:id="967855127">
              <w:marLeft w:val="0"/>
              <w:marRight w:val="0"/>
              <w:marTop w:val="0"/>
              <w:marBottom w:val="0"/>
              <w:divBdr>
                <w:top w:val="none" w:sz="0" w:space="0" w:color="auto"/>
                <w:left w:val="none" w:sz="0" w:space="0" w:color="auto"/>
                <w:bottom w:val="none" w:sz="0" w:space="0" w:color="auto"/>
                <w:right w:val="none" w:sz="0" w:space="0" w:color="auto"/>
              </w:divBdr>
            </w:div>
            <w:div w:id="1117412345">
              <w:marLeft w:val="0"/>
              <w:marRight w:val="0"/>
              <w:marTop w:val="0"/>
              <w:marBottom w:val="0"/>
              <w:divBdr>
                <w:top w:val="none" w:sz="0" w:space="0" w:color="auto"/>
                <w:left w:val="none" w:sz="0" w:space="0" w:color="auto"/>
                <w:bottom w:val="none" w:sz="0" w:space="0" w:color="auto"/>
                <w:right w:val="none" w:sz="0" w:space="0" w:color="auto"/>
              </w:divBdr>
            </w:div>
            <w:div w:id="1356426116">
              <w:marLeft w:val="0"/>
              <w:marRight w:val="0"/>
              <w:marTop w:val="0"/>
              <w:marBottom w:val="0"/>
              <w:divBdr>
                <w:top w:val="none" w:sz="0" w:space="0" w:color="auto"/>
                <w:left w:val="none" w:sz="0" w:space="0" w:color="auto"/>
                <w:bottom w:val="none" w:sz="0" w:space="0" w:color="auto"/>
                <w:right w:val="none" w:sz="0" w:space="0" w:color="auto"/>
              </w:divBdr>
            </w:div>
            <w:div w:id="1452869254">
              <w:marLeft w:val="0"/>
              <w:marRight w:val="0"/>
              <w:marTop w:val="0"/>
              <w:marBottom w:val="0"/>
              <w:divBdr>
                <w:top w:val="none" w:sz="0" w:space="0" w:color="auto"/>
                <w:left w:val="none" w:sz="0" w:space="0" w:color="auto"/>
                <w:bottom w:val="none" w:sz="0" w:space="0" w:color="auto"/>
                <w:right w:val="none" w:sz="0" w:space="0" w:color="auto"/>
              </w:divBdr>
            </w:div>
            <w:div w:id="1607611618">
              <w:marLeft w:val="0"/>
              <w:marRight w:val="0"/>
              <w:marTop w:val="0"/>
              <w:marBottom w:val="0"/>
              <w:divBdr>
                <w:top w:val="none" w:sz="0" w:space="0" w:color="auto"/>
                <w:left w:val="none" w:sz="0" w:space="0" w:color="auto"/>
                <w:bottom w:val="none" w:sz="0" w:space="0" w:color="auto"/>
                <w:right w:val="none" w:sz="0" w:space="0" w:color="auto"/>
              </w:divBdr>
            </w:div>
            <w:div w:id="1700203491">
              <w:marLeft w:val="0"/>
              <w:marRight w:val="0"/>
              <w:marTop w:val="0"/>
              <w:marBottom w:val="0"/>
              <w:divBdr>
                <w:top w:val="none" w:sz="0" w:space="0" w:color="auto"/>
                <w:left w:val="none" w:sz="0" w:space="0" w:color="auto"/>
                <w:bottom w:val="none" w:sz="0" w:space="0" w:color="auto"/>
                <w:right w:val="none" w:sz="0" w:space="0" w:color="auto"/>
              </w:divBdr>
            </w:div>
            <w:div w:id="1732188528">
              <w:marLeft w:val="0"/>
              <w:marRight w:val="0"/>
              <w:marTop w:val="0"/>
              <w:marBottom w:val="0"/>
              <w:divBdr>
                <w:top w:val="none" w:sz="0" w:space="0" w:color="auto"/>
                <w:left w:val="none" w:sz="0" w:space="0" w:color="auto"/>
                <w:bottom w:val="none" w:sz="0" w:space="0" w:color="auto"/>
                <w:right w:val="none" w:sz="0" w:space="0" w:color="auto"/>
              </w:divBdr>
            </w:div>
            <w:div w:id="1945767682">
              <w:marLeft w:val="0"/>
              <w:marRight w:val="0"/>
              <w:marTop w:val="0"/>
              <w:marBottom w:val="0"/>
              <w:divBdr>
                <w:top w:val="none" w:sz="0" w:space="0" w:color="auto"/>
                <w:left w:val="none" w:sz="0" w:space="0" w:color="auto"/>
                <w:bottom w:val="none" w:sz="0" w:space="0" w:color="auto"/>
                <w:right w:val="none" w:sz="0" w:space="0" w:color="auto"/>
              </w:divBdr>
            </w:div>
            <w:div w:id="2091612146">
              <w:marLeft w:val="0"/>
              <w:marRight w:val="0"/>
              <w:marTop w:val="0"/>
              <w:marBottom w:val="0"/>
              <w:divBdr>
                <w:top w:val="none" w:sz="0" w:space="0" w:color="auto"/>
                <w:left w:val="none" w:sz="0" w:space="0" w:color="auto"/>
                <w:bottom w:val="none" w:sz="0" w:space="0" w:color="auto"/>
                <w:right w:val="none" w:sz="0" w:space="0" w:color="auto"/>
              </w:divBdr>
            </w:div>
            <w:div w:id="2098743571">
              <w:marLeft w:val="0"/>
              <w:marRight w:val="0"/>
              <w:marTop w:val="0"/>
              <w:marBottom w:val="0"/>
              <w:divBdr>
                <w:top w:val="none" w:sz="0" w:space="0" w:color="auto"/>
                <w:left w:val="none" w:sz="0" w:space="0" w:color="auto"/>
                <w:bottom w:val="none" w:sz="0" w:space="0" w:color="auto"/>
                <w:right w:val="none" w:sz="0" w:space="0" w:color="auto"/>
              </w:divBdr>
            </w:div>
          </w:divsChild>
        </w:div>
        <w:div w:id="1173256041">
          <w:marLeft w:val="0"/>
          <w:marRight w:val="0"/>
          <w:marTop w:val="0"/>
          <w:marBottom w:val="0"/>
          <w:divBdr>
            <w:top w:val="none" w:sz="0" w:space="0" w:color="auto"/>
            <w:left w:val="none" w:sz="0" w:space="0" w:color="auto"/>
            <w:bottom w:val="none" w:sz="0" w:space="0" w:color="auto"/>
            <w:right w:val="none" w:sz="0" w:space="0" w:color="auto"/>
          </w:divBdr>
        </w:div>
        <w:div w:id="1187600979">
          <w:marLeft w:val="0"/>
          <w:marRight w:val="0"/>
          <w:marTop w:val="0"/>
          <w:marBottom w:val="0"/>
          <w:divBdr>
            <w:top w:val="none" w:sz="0" w:space="0" w:color="auto"/>
            <w:left w:val="none" w:sz="0" w:space="0" w:color="auto"/>
            <w:bottom w:val="none" w:sz="0" w:space="0" w:color="auto"/>
            <w:right w:val="none" w:sz="0" w:space="0" w:color="auto"/>
          </w:divBdr>
        </w:div>
        <w:div w:id="1244416721">
          <w:marLeft w:val="0"/>
          <w:marRight w:val="0"/>
          <w:marTop w:val="0"/>
          <w:marBottom w:val="0"/>
          <w:divBdr>
            <w:top w:val="none" w:sz="0" w:space="0" w:color="auto"/>
            <w:left w:val="none" w:sz="0" w:space="0" w:color="auto"/>
            <w:bottom w:val="none" w:sz="0" w:space="0" w:color="auto"/>
            <w:right w:val="none" w:sz="0" w:space="0" w:color="auto"/>
          </w:divBdr>
        </w:div>
        <w:div w:id="1371109951">
          <w:marLeft w:val="0"/>
          <w:marRight w:val="0"/>
          <w:marTop w:val="0"/>
          <w:marBottom w:val="0"/>
          <w:divBdr>
            <w:top w:val="none" w:sz="0" w:space="0" w:color="auto"/>
            <w:left w:val="none" w:sz="0" w:space="0" w:color="auto"/>
            <w:bottom w:val="none" w:sz="0" w:space="0" w:color="auto"/>
            <w:right w:val="none" w:sz="0" w:space="0" w:color="auto"/>
          </w:divBdr>
        </w:div>
        <w:div w:id="1407608993">
          <w:marLeft w:val="0"/>
          <w:marRight w:val="0"/>
          <w:marTop w:val="0"/>
          <w:marBottom w:val="0"/>
          <w:divBdr>
            <w:top w:val="none" w:sz="0" w:space="0" w:color="auto"/>
            <w:left w:val="none" w:sz="0" w:space="0" w:color="auto"/>
            <w:bottom w:val="none" w:sz="0" w:space="0" w:color="auto"/>
            <w:right w:val="none" w:sz="0" w:space="0" w:color="auto"/>
          </w:divBdr>
        </w:div>
        <w:div w:id="1671634489">
          <w:marLeft w:val="0"/>
          <w:marRight w:val="0"/>
          <w:marTop w:val="0"/>
          <w:marBottom w:val="0"/>
          <w:divBdr>
            <w:top w:val="none" w:sz="0" w:space="0" w:color="auto"/>
            <w:left w:val="none" w:sz="0" w:space="0" w:color="auto"/>
            <w:bottom w:val="none" w:sz="0" w:space="0" w:color="auto"/>
            <w:right w:val="none" w:sz="0" w:space="0" w:color="auto"/>
          </w:divBdr>
        </w:div>
        <w:div w:id="1737124048">
          <w:marLeft w:val="0"/>
          <w:marRight w:val="0"/>
          <w:marTop w:val="0"/>
          <w:marBottom w:val="0"/>
          <w:divBdr>
            <w:top w:val="none" w:sz="0" w:space="0" w:color="auto"/>
            <w:left w:val="none" w:sz="0" w:space="0" w:color="auto"/>
            <w:bottom w:val="none" w:sz="0" w:space="0" w:color="auto"/>
            <w:right w:val="none" w:sz="0" w:space="0" w:color="auto"/>
          </w:divBdr>
        </w:div>
        <w:div w:id="2086872538">
          <w:marLeft w:val="0"/>
          <w:marRight w:val="0"/>
          <w:marTop w:val="0"/>
          <w:marBottom w:val="0"/>
          <w:divBdr>
            <w:top w:val="none" w:sz="0" w:space="0" w:color="auto"/>
            <w:left w:val="none" w:sz="0" w:space="0" w:color="auto"/>
            <w:bottom w:val="none" w:sz="0" w:space="0" w:color="auto"/>
            <w:right w:val="none" w:sz="0" w:space="0" w:color="auto"/>
          </w:divBdr>
        </w:div>
        <w:div w:id="2090232804">
          <w:marLeft w:val="0"/>
          <w:marRight w:val="0"/>
          <w:marTop w:val="0"/>
          <w:marBottom w:val="0"/>
          <w:divBdr>
            <w:top w:val="none" w:sz="0" w:space="0" w:color="auto"/>
            <w:left w:val="none" w:sz="0" w:space="0" w:color="auto"/>
            <w:bottom w:val="none" w:sz="0" w:space="0" w:color="auto"/>
            <w:right w:val="none" w:sz="0" w:space="0" w:color="auto"/>
          </w:divBdr>
        </w:div>
      </w:divsChild>
    </w:div>
    <w:div w:id="431704703">
      <w:bodyDiv w:val="1"/>
      <w:marLeft w:val="0"/>
      <w:marRight w:val="0"/>
      <w:marTop w:val="0"/>
      <w:marBottom w:val="0"/>
      <w:divBdr>
        <w:top w:val="none" w:sz="0" w:space="0" w:color="auto"/>
        <w:left w:val="none" w:sz="0" w:space="0" w:color="auto"/>
        <w:bottom w:val="none" w:sz="0" w:space="0" w:color="auto"/>
        <w:right w:val="none" w:sz="0" w:space="0" w:color="auto"/>
      </w:divBdr>
    </w:div>
    <w:div w:id="510796654">
      <w:bodyDiv w:val="1"/>
      <w:marLeft w:val="0"/>
      <w:marRight w:val="0"/>
      <w:marTop w:val="0"/>
      <w:marBottom w:val="0"/>
      <w:divBdr>
        <w:top w:val="none" w:sz="0" w:space="0" w:color="auto"/>
        <w:left w:val="none" w:sz="0" w:space="0" w:color="auto"/>
        <w:bottom w:val="none" w:sz="0" w:space="0" w:color="auto"/>
        <w:right w:val="none" w:sz="0" w:space="0" w:color="auto"/>
      </w:divBdr>
    </w:div>
    <w:div w:id="561327240">
      <w:bodyDiv w:val="1"/>
      <w:marLeft w:val="0"/>
      <w:marRight w:val="0"/>
      <w:marTop w:val="0"/>
      <w:marBottom w:val="0"/>
      <w:divBdr>
        <w:top w:val="none" w:sz="0" w:space="0" w:color="auto"/>
        <w:left w:val="none" w:sz="0" w:space="0" w:color="auto"/>
        <w:bottom w:val="none" w:sz="0" w:space="0" w:color="auto"/>
        <w:right w:val="none" w:sz="0" w:space="0" w:color="auto"/>
      </w:divBdr>
      <w:divsChild>
        <w:div w:id="164901467">
          <w:marLeft w:val="0"/>
          <w:marRight w:val="0"/>
          <w:marTop w:val="0"/>
          <w:marBottom w:val="0"/>
          <w:divBdr>
            <w:top w:val="none" w:sz="0" w:space="0" w:color="auto"/>
            <w:left w:val="none" w:sz="0" w:space="0" w:color="auto"/>
            <w:bottom w:val="none" w:sz="0" w:space="0" w:color="auto"/>
            <w:right w:val="none" w:sz="0" w:space="0" w:color="auto"/>
          </w:divBdr>
        </w:div>
        <w:div w:id="233516385">
          <w:marLeft w:val="0"/>
          <w:marRight w:val="0"/>
          <w:marTop w:val="0"/>
          <w:marBottom w:val="0"/>
          <w:divBdr>
            <w:top w:val="none" w:sz="0" w:space="0" w:color="auto"/>
            <w:left w:val="none" w:sz="0" w:space="0" w:color="auto"/>
            <w:bottom w:val="none" w:sz="0" w:space="0" w:color="auto"/>
            <w:right w:val="none" w:sz="0" w:space="0" w:color="auto"/>
          </w:divBdr>
        </w:div>
        <w:div w:id="742261659">
          <w:marLeft w:val="0"/>
          <w:marRight w:val="0"/>
          <w:marTop w:val="0"/>
          <w:marBottom w:val="0"/>
          <w:divBdr>
            <w:top w:val="none" w:sz="0" w:space="0" w:color="auto"/>
            <w:left w:val="none" w:sz="0" w:space="0" w:color="auto"/>
            <w:bottom w:val="none" w:sz="0" w:space="0" w:color="auto"/>
            <w:right w:val="none" w:sz="0" w:space="0" w:color="auto"/>
          </w:divBdr>
        </w:div>
        <w:div w:id="945648650">
          <w:marLeft w:val="0"/>
          <w:marRight w:val="0"/>
          <w:marTop w:val="0"/>
          <w:marBottom w:val="0"/>
          <w:divBdr>
            <w:top w:val="none" w:sz="0" w:space="0" w:color="auto"/>
            <w:left w:val="none" w:sz="0" w:space="0" w:color="auto"/>
            <w:bottom w:val="none" w:sz="0" w:space="0" w:color="auto"/>
            <w:right w:val="none" w:sz="0" w:space="0" w:color="auto"/>
          </w:divBdr>
        </w:div>
        <w:div w:id="1220243595">
          <w:marLeft w:val="0"/>
          <w:marRight w:val="0"/>
          <w:marTop w:val="0"/>
          <w:marBottom w:val="0"/>
          <w:divBdr>
            <w:top w:val="none" w:sz="0" w:space="0" w:color="auto"/>
            <w:left w:val="none" w:sz="0" w:space="0" w:color="auto"/>
            <w:bottom w:val="none" w:sz="0" w:space="0" w:color="auto"/>
            <w:right w:val="none" w:sz="0" w:space="0" w:color="auto"/>
          </w:divBdr>
        </w:div>
        <w:div w:id="1228228327">
          <w:marLeft w:val="0"/>
          <w:marRight w:val="0"/>
          <w:marTop w:val="0"/>
          <w:marBottom w:val="0"/>
          <w:divBdr>
            <w:top w:val="none" w:sz="0" w:space="0" w:color="auto"/>
            <w:left w:val="none" w:sz="0" w:space="0" w:color="auto"/>
            <w:bottom w:val="none" w:sz="0" w:space="0" w:color="auto"/>
            <w:right w:val="none" w:sz="0" w:space="0" w:color="auto"/>
          </w:divBdr>
        </w:div>
        <w:div w:id="1317614991">
          <w:marLeft w:val="0"/>
          <w:marRight w:val="0"/>
          <w:marTop w:val="0"/>
          <w:marBottom w:val="0"/>
          <w:divBdr>
            <w:top w:val="none" w:sz="0" w:space="0" w:color="auto"/>
            <w:left w:val="none" w:sz="0" w:space="0" w:color="auto"/>
            <w:bottom w:val="none" w:sz="0" w:space="0" w:color="auto"/>
            <w:right w:val="none" w:sz="0" w:space="0" w:color="auto"/>
          </w:divBdr>
        </w:div>
        <w:div w:id="1442067533">
          <w:marLeft w:val="0"/>
          <w:marRight w:val="0"/>
          <w:marTop w:val="0"/>
          <w:marBottom w:val="0"/>
          <w:divBdr>
            <w:top w:val="none" w:sz="0" w:space="0" w:color="auto"/>
            <w:left w:val="none" w:sz="0" w:space="0" w:color="auto"/>
            <w:bottom w:val="none" w:sz="0" w:space="0" w:color="auto"/>
            <w:right w:val="none" w:sz="0" w:space="0" w:color="auto"/>
          </w:divBdr>
        </w:div>
        <w:div w:id="1910726159">
          <w:marLeft w:val="0"/>
          <w:marRight w:val="0"/>
          <w:marTop w:val="0"/>
          <w:marBottom w:val="0"/>
          <w:divBdr>
            <w:top w:val="none" w:sz="0" w:space="0" w:color="auto"/>
            <w:left w:val="none" w:sz="0" w:space="0" w:color="auto"/>
            <w:bottom w:val="none" w:sz="0" w:space="0" w:color="auto"/>
            <w:right w:val="none" w:sz="0" w:space="0" w:color="auto"/>
          </w:divBdr>
          <w:divsChild>
            <w:div w:id="63114543">
              <w:marLeft w:val="0"/>
              <w:marRight w:val="0"/>
              <w:marTop w:val="0"/>
              <w:marBottom w:val="0"/>
              <w:divBdr>
                <w:top w:val="none" w:sz="0" w:space="0" w:color="auto"/>
                <w:left w:val="none" w:sz="0" w:space="0" w:color="auto"/>
                <w:bottom w:val="none" w:sz="0" w:space="0" w:color="auto"/>
                <w:right w:val="none" w:sz="0" w:space="0" w:color="auto"/>
              </w:divBdr>
            </w:div>
            <w:div w:id="339237088">
              <w:marLeft w:val="0"/>
              <w:marRight w:val="0"/>
              <w:marTop w:val="0"/>
              <w:marBottom w:val="0"/>
              <w:divBdr>
                <w:top w:val="none" w:sz="0" w:space="0" w:color="auto"/>
                <w:left w:val="none" w:sz="0" w:space="0" w:color="auto"/>
                <w:bottom w:val="none" w:sz="0" w:space="0" w:color="auto"/>
                <w:right w:val="none" w:sz="0" w:space="0" w:color="auto"/>
              </w:divBdr>
            </w:div>
            <w:div w:id="407390563">
              <w:marLeft w:val="0"/>
              <w:marRight w:val="0"/>
              <w:marTop w:val="0"/>
              <w:marBottom w:val="0"/>
              <w:divBdr>
                <w:top w:val="none" w:sz="0" w:space="0" w:color="auto"/>
                <w:left w:val="none" w:sz="0" w:space="0" w:color="auto"/>
                <w:bottom w:val="none" w:sz="0" w:space="0" w:color="auto"/>
                <w:right w:val="none" w:sz="0" w:space="0" w:color="auto"/>
              </w:divBdr>
            </w:div>
            <w:div w:id="517163554">
              <w:marLeft w:val="0"/>
              <w:marRight w:val="0"/>
              <w:marTop w:val="0"/>
              <w:marBottom w:val="0"/>
              <w:divBdr>
                <w:top w:val="none" w:sz="0" w:space="0" w:color="auto"/>
                <w:left w:val="none" w:sz="0" w:space="0" w:color="auto"/>
                <w:bottom w:val="none" w:sz="0" w:space="0" w:color="auto"/>
                <w:right w:val="none" w:sz="0" w:space="0" w:color="auto"/>
              </w:divBdr>
            </w:div>
            <w:div w:id="567150324">
              <w:marLeft w:val="0"/>
              <w:marRight w:val="0"/>
              <w:marTop w:val="0"/>
              <w:marBottom w:val="0"/>
              <w:divBdr>
                <w:top w:val="none" w:sz="0" w:space="0" w:color="auto"/>
                <w:left w:val="none" w:sz="0" w:space="0" w:color="auto"/>
                <w:bottom w:val="none" w:sz="0" w:space="0" w:color="auto"/>
                <w:right w:val="none" w:sz="0" w:space="0" w:color="auto"/>
              </w:divBdr>
            </w:div>
            <w:div w:id="646590103">
              <w:marLeft w:val="0"/>
              <w:marRight w:val="0"/>
              <w:marTop w:val="0"/>
              <w:marBottom w:val="0"/>
              <w:divBdr>
                <w:top w:val="none" w:sz="0" w:space="0" w:color="auto"/>
                <w:left w:val="none" w:sz="0" w:space="0" w:color="auto"/>
                <w:bottom w:val="none" w:sz="0" w:space="0" w:color="auto"/>
                <w:right w:val="none" w:sz="0" w:space="0" w:color="auto"/>
              </w:divBdr>
            </w:div>
            <w:div w:id="821197588">
              <w:marLeft w:val="0"/>
              <w:marRight w:val="0"/>
              <w:marTop w:val="0"/>
              <w:marBottom w:val="0"/>
              <w:divBdr>
                <w:top w:val="none" w:sz="0" w:space="0" w:color="auto"/>
                <w:left w:val="none" w:sz="0" w:space="0" w:color="auto"/>
                <w:bottom w:val="none" w:sz="0" w:space="0" w:color="auto"/>
                <w:right w:val="none" w:sz="0" w:space="0" w:color="auto"/>
              </w:divBdr>
            </w:div>
            <w:div w:id="839779800">
              <w:marLeft w:val="0"/>
              <w:marRight w:val="0"/>
              <w:marTop w:val="0"/>
              <w:marBottom w:val="0"/>
              <w:divBdr>
                <w:top w:val="none" w:sz="0" w:space="0" w:color="auto"/>
                <w:left w:val="none" w:sz="0" w:space="0" w:color="auto"/>
                <w:bottom w:val="none" w:sz="0" w:space="0" w:color="auto"/>
                <w:right w:val="none" w:sz="0" w:space="0" w:color="auto"/>
              </w:divBdr>
            </w:div>
            <w:div w:id="928735232">
              <w:marLeft w:val="0"/>
              <w:marRight w:val="0"/>
              <w:marTop w:val="0"/>
              <w:marBottom w:val="0"/>
              <w:divBdr>
                <w:top w:val="none" w:sz="0" w:space="0" w:color="auto"/>
                <w:left w:val="none" w:sz="0" w:space="0" w:color="auto"/>
                <w:bottom w:val="none" w:sz="0" w:space="0" w:color="auto"/>
                <w:right w:val="none" w:sz="0" w:space="0" w:color="auto"/>
              </w:divBdr>
            </w:div>
            <w:div w:id="1022169321">
              <w:marLeft w:val="0"/>
              <w:marRight w:val="0"/>
              <w:marTop w:val="0"/>
              <w:marBottom w:val="0"/>
              <w:divBdr>
                <w:top w:val="none" w:sz="0" w:space="0" w:color="auto"/>
                <w:left w:val="none" w:sz="0" w:space="0" w:color="auto"/>
                <w:bottom w:val="none" w:sz="0" w:space="0" w:color="auto"/>
                <w:right w:val="none" w:sz="0" w:space="0" w:color="auto"/>
              </w:divBdr>
            </w:div>
            <w:div w:id="1025401369">
              <w:marLeft w:val="0"/>
              <w:marRight w:val="0"/>
              <w:marTop w:val="0"/>
              <w:marBottom w:val="0"/>
              <w:divBdr>
                <w:top w:val="none" w:sz="0" w:space="0" w:color="auto"/>
                <w:left w:val="none" w:sz="0" w:space="0" w:color="auto"/>
                <w:bottom w:val="none" w:sz="0" w:space="0" w:color="auto"/>
                <w:right w:val="none" w:sz="0" w:space="0" w:color="auto"/>
              </w:divBdr>
            </w:div>
            <w:div w:id="1201089917">
              <w:marLeft w:val="0"/>
              <w:marRight w:val="0"/>
              <w:marTop w:val="0"/>
              <w:marBottom w:val="0"/>
              <w:divBdr>
                <w:top w:val="none" w:sz="0" w:space="0" w:color="auto"/>
                <w:left w:val="none" w:sz="0" w:space="0" w:color="auto"/>
                <w:bottom w:val="none" w:sz="0" w:space="0" w:color="auto"/>
                <w:right w:val="none" w:sz="0" w:space="0" w:color="auto"/>
              </w:divBdr>
            </w:div>
            <w:div w:id="1251625952">
              <w:marLeft w:val="0"/>
              <w:marRight w:val="0"/>
              <w:marTop w:val="0"/>
              <w:marBottom w:val="0"/>
              <w:divBdr>
                <w:top w:val="none" w:sz="0" w:space="0" w:color="auto"/>
                <w:left w:val="none" w:sz="0" w:space="0" w:color="auto"/>
                <w:bottom w:val="none" w:sz="0" w:space="0" w:color="auto"/>
                <w:right w:val="none" w:sz="0" w:space="0" w:color="auto"/>
              </w:divBdr>
            </w:div>
            <w:div w:id="1274820414">
              <w:marLeft w:val="0"/>
              <w:marRight w:val="0"/>
              <w:marTop w:val="0"/>
              <w:marBottom w:val="0"/>
              <w:divBdr>
                <w:top w:val="none" w:sz="0" w:space="0" w:color="auto"/>
                <w:left w:val="none" w:sz="0" w:space="0" w:color="auto"/>
                <w:bottom w:val="none" w:sz="0" w:space="0" w:color="auto"/>
                <w:right w:val="none" w:sz="0" w:space="0" w:color="auto"/>
              </w:divBdr>
            </w:div>
            <w:div w:id="1535847711">
              <w:marLeft w:val="0"/>
              <w:marRight w:val="0"/>
              <w:marTop w:val="0"/>
              <w:marBottom w:val="0"/>
              <w:divBdr>
                <w:top w:val="none" w:sz="0" w:space="0" w:color="auto"/>
                <w:left w:val="none" w:sz="0" w:space="0" w:color="auto"/>
                <w:bottom w:val="none" w:sz="0" w:space="0" w:color="auto"/>
                <w:right w:val="none" w:sz="0" w:space="0" w:color="auto"/>
              </w:divBdr>
            </w:div>
            <w:div w:id="1613784385">
              <w:marLeft w:val="0"/>
              <w:marRight w:val="0"/>
              <w:marTop w:val="0"/>
              <w:marBottom w:val="0"/>
              <w:divBdr>
                <w:top w:val="none" w:sz="0" w:space="0" w:color="auto"/>
                <w:left w:val="none" w:sz="0" w:space="0" w:color="auto"/>
                <w:bottom w:val="none" w:sz="0" w:space="0" w:color="auto"/>
                <w:right w:val="none" w:sz="0" w:space="0" w:color="auto"/>
              </w:divBdr>
            </w:div>
            <w:div w:id="1791633090">
              <w:marLeft w:val="0"/>
              <w:marRight w:val="0"/>
              <w:marTop w:val="0"/>
              <w:marBottom w:val="0"/>
              <w:divBdr>
                <w:top w:val="none" w:sz="0" w:space="0" w:color="auto"/>
                <w:left w:val="none" w:sz="0" w:space="0" w:color="auto"/>
                <w:bottom w:val="none" w:sz="0" w:space="0" w:color="auto"/>
                <w:right w:val="none" w:sz="0" w:space="0" w:color="auto"/>
              </w:divBdr>
            </w:div>
            <w:div w:id="1915433258">
              <w:marLeft w:val="0"/>
              <w:marRight w:val="0"/>
              <w:marTop w:val="0"/>
              <w:marBottom w:val="0"/>
              <w:divBdr>
                <w:top w:val="none" w:sz="0" w:space="0" w:color="auto"/>
                <w:left w:val="none" w:sz="0" w:space="0" w:color="auto"/>
                <w:bottom w:val="none" w:sz="0" w:space="0" w:color="auto"/>
                <w:right w:val="none" w:sz="0" w:space="0" w:color="auto"/>
              </w:divBdr>
            </w:div>
          </w:divsChild>
        </w:div>
        <w:div w:id="1945961529">
          <w:marLeft w:val="0"/>
          <w:marRight w:val="0"/>
          <w:marTop w:val="0"/>
          <w:marBottom w:val="0"/>
          <w:divBdr>
            <w:top w:val="none" w:sz="0" w:space="0" w:color="auto"/>
            <w:left w:val="none" w:sz="0" w:space="0" w:color="auto"/>
            <w:bottom w:val="none" w:sz="0" w:space="0" w:color="auto"/>
            <w:right w:val="none" w:sz="0" w:space="0" w:color="auto"/>
          </w:divBdr>
        </w:div>
        <w:div w:id="2082438324">
          <w:marLeft w:val="0"/>
          <w:marRight w:val="0"/>
          <w:marTop w:val="0"/>
          <w:marBottom w:val="0"/>
          <w:divBdr>
            <w:top w:val="none" w:sz="0" w:space="0" w:color="auto"/>
            <w:left w:val="none" w:sz="0" w:space="0" w:color="auto"/>
            <w:bottom w:val="none" w:sz="0" w:space="0" w:color="auto"/>
            <w:right w:val="none" w:sz="0" w:space="0" w:color="auto"/>
          </w:divBdr>
        </w:div>
      </w:divsChild>
    </w:div>
    <w:div w:id="695348348">
      <w:bodyDiv w:val="1"/>
      <w:marLeft w:val="0"/>
      <w:marRight w:val="0"/>
      <w:marTop w:val="0"/>
      <w:marBottom w:val="0"/>
      <w:divBdr>
        <w:top w:val="none" w:sz="0" w:space="0" w:color="auto"/>
        <w:left w:val="none" w:sz="0" w:space="0" w:color="auto"/>
        <w:bottom w:val="none" w:sz="0" w:space="0" w:color="auto"/>
        <w:right w:val="none" w:sz="0" w:space="0" w:color="auto"/>
      </w:divBdr>
    </w:div>
    <w:div w:id="714277947">
      <w:bodyDiv w:val="1"/>
      <w:marLeft w:val="0"/>
      <w:marRight w:val="0"/>
      <w:marTop w:val="0"/>
      <w:marBottom w:val="0"/>
      <w:divBdr>
        <w:top w:val="none" w:sz="0" w:space="0" w:color="auto"/>
        <w:left w:val="none" w:sz="0" w:space="0" w:color="auto"/>
        <w:bottom w:val="none" w:sz="0" w:space="0" w:color="auto"/>
        <w:right w:val="none" w:sz="0" w:space="0" w:color="auto"/>
      </w:divBdr>
      <w:divsChild>
        <w:div w:id="33970269">
          <w:marLeft w:val="0"/>
          <w:marRight w:val="0"/>
          <w:marTop w:val="0"/>
          <w:marBottom w:val="0"/>
          <w:divBdr>
            <w:top w:val="none" w:sz="0" w:space="0" w:color="auto"/>
            <w:left w:val="none" w:sz="0" w:space="0" w:color="auto"/>
            <w:bottom w:val="none" w:sz="0" w:space="0" w:color="auto"/>
            <w:right w:val="none" w:sz="0" w:space="0" w:color="auto"/>
          </w:divBdr>
        </w:div>
        <w:div w:id="951746493">
          <w:marLeft w:val="0"/>
          <w:marRight w:val="0"/>
          <w:marTop w:val="0"/>
          <w:marBottom w:val="0"/>
          <w:divBdr>
            <w:top w:val="none" w:sz="0" w:space="0" w:color="auto"/>
            <w:left w:val="none" w:sz="0" w:space="0" w:color="auto"/>
            <w:bottom w:val="none" w:sz="0" w:space="0" w:color="auto"/>
            <w:right w:val="none" w:sz="0" w:space="0" w:color="auto"/>
          </w:divBdr>
        </w:div>
        <w:div w:id="1894081287">
          <w:marLeft w:val="0"/>
          <w:marRight w:val="0"/>
          <w:marTop w:val="0"/>
          <w:marBottom w:val="0"/>
          <w:divBdr>
            <w:top w:val="none" w:sz="0" w:space="0" w:color="auto"/>
            <w:left w:val="none" w:sz="0" w:space="0" w:color="auto"/>
            <w:bottom w:val="none" w:sz="0" w:space="0" w:color="auto"/>
            <w:right w:val="none" w:sz="0" w:space="0" w:color="auto"/>
          </w:divBdr>
          <w:divsChild>
            <w:div w:id="400255710">
              <w:marLeft w:val="-75"/>
              <w:marRight w:val="0"/>
              <w:marTop w:val="30"/>
              <w:marBottom w:val="30"/>
              <w:divBdr>
                <w:top w:val="none" w:sz="0" w:space="0" w:color="auto"/>
                <w:left w:val="none" w:sz="0" w:space="0" w:color="auto"/>
                <w:bottom w:val="none" w:sz="0" w:space="0" w:color="auto"/>
                <w:right w:val="none" w:sz="0" w:space="0" w:color="auto"/>
              </w:divBdr>
              <w:divsChild>
                <w:div w:id="17778833">
                  <w:marLeft w:val="0"/>
                  <w:marRight w:val="0"/>
                  <w:marTop w:val="0"/>
                  <w:marBottom w:val="0"/>
                  <w:divBdr>
                    <w:top w:val="none" w:sz="0" w:space="0" w:color="auto"/>
                    <w:left w:val="none" w:sz="0" w:space="0" w:color="auto"/>
                    <w:bottom w:val="none" w:sz="0" w:space="0" w:color="auto"/>
                    <w:right w:val="none" w:sz="0" w:space="0" w:color="auto"/>
                  </w:divBdr>
                  <w:divsChild>
                    <w:div w:id="1230964666">
                      <w:marLeft w:val="0"/>
                      <w:marRight w:val="0"/>
                      <w:marTop w:val="0"/>
                      <w:marBottom w:val="0"/>
                      <w:divBdr>
                        <w:top w:val="none" w:sz="0" w:space="0" w:color="auto"/>
                        <w:left w:val="none" w:sz="0" w:space="0" w:color="auto"/>
                        <w:bottom w:val="none" w:sz="0" w:space="0" w:color="auto"/>
                        <w:right w:val="none" w:sz="0" w:space="0" w:color="auto"/>
                      </w:divBdr>
                    </w:div>
                  </w:divsChild>
                </w:div>
                <w:div w:id="26761778">
                  <w:marLeft w:val="0"/>
                  <w:marRight w:val="0"/>
                  <w:marTop w:val="0"/>
                  <w:marBottom w:val="0"/>
                  <w:divBdr>
                    <w:top w:val="none" w:sz="0" w:space="0" w:color="auto"/>
                    <w:left w:val="none" w:sz="0" w:space="0" w:color="auto"/>
                    <w:bottom w:val="none" w:sz="0" w:space="0" w:color="auto"/>
                    <w:right w:val="none" w:sz="0" w:space="0" w:color="auto"/>
                  </w:divBdr>
                  <w:divsChild>
                    <w:div w:id="740373618">
                      <w:marLeft w:val="0"/>
                      <w:marRight w:val="0"/>
                      <w:marTop w:val="0"/>
                      <w:marBottom w:val="0"/>
                      <w:divBdr>
                        <w:top w:val="none" w:sz="0" w:space="0" w:color="auto"/>
                        <w:left w:val="none" w:sz="0" w:space="0" w:color="auto"/>
                        <w:bottom w:val="none" w:sz="0" w:space="0" w:color="auto"/>
                        <w:right w:val="none" w:sz="0" w:space="0" w:color="auto"/>
                      </w:divBdr>
                    </w:div>
                  </w:divsChild>
                </w:div>
                <w:div w:id="40834739">
                  <w:marLeft w:val="0"/>
                  <w:marRight w:val="0"/>
                  <w:marTop w:val="0"/>
                  <w:marBottom w:val="0"/>
                  <w:divBdr>
                    <w:top w:val="none" w:sz="0" w:space="0" w:color="auto"/>
                    <w:left w:val="none" w:sz="0" w:space="0" w:color="auto"/>
                    <w:bottom w:val="none" w:sz="0" w:space="0" w:color="auto"/>
                    <w:right w:val="none" w:sz="0" w:space="0" w:color="auto"/>
                  </w:divBdr>
                  <w:divsChild>
                    <w:div w:id="2097555966">
                      <w:marLeft w:val="0"/>
                      <w:marRight w:val="0"/>
                      <w:marTop w:val="0"/>
                      <w:marBottom w:val="0"/>
                      <w:divBdr>
                        <w:top w:val="none" w:sz="0" w:space="0" w:color="auto"/>
                        <w:left w:val="none" w:sz="0" w:space="0" w:color="auto"/>
                        <w:bottom w:val="none" w:sz="0" w:space="0" w:color="auto"/>
                        <w:right w:val="none" w:sz="0" w:space="0" w:color="auto"/>
                      </w:divBdr>
                    </w:div>
                  </w:divsChild>
                </w:div>
                <w:div w:id="48961982">
                  <w:marLeft w:val="0"/>
                  <w:marRight w:val="0"/>
                  <w:marTop w:val="0"/>
                  <w:marBottom w:val="0"/>
                  <w:divBdr>
                    <w:top w:val="none" w:sz="0" w:space="0" w:color="auto"/>
                    <w:left w:val="none" w:sz="0" w:space="0" w:color="auto"/>
                    <w:bottom w:val="none" w:sz="0" w:space="0" w:color="auto"/>
                    <w:right w:val="none" w:sz="0" w:space="0" w:color="auto"/>
                  </w:divBdr>
                  <w:divsChild>
                    <w:div w:id="1831554527">
                      <w:marLeft w:val="0"/>
                      <w:marRight w:val="0"/>
                      <w:marTop w:val="0"/>
                      <w:marBottom w:val="0"/>
                      <w:divBdr>
                        <w:top w:val="none" w:sz="0" w:space="0" w:color="auto"/>
                        <w:left w:val="none" w:sz="0" w:space="0" w:color="auto"/>
                        <w:bottom w:val="none" w:sz="0" w:space="0" w:color="auto"/>
                        <w:right w:val="none" w:sz="0" w:space="0" w:color="auto"/>
                      </w:divBdr>
                    </w:div>
                  </w:divsChild>
                </w:div>
                <w:div w:id="57293274">
                  <w:marLeft w:val="0"/>
                  <w:marRight w:val="0"/>
                  <w:marTop w:val="0"/>
                  <w:marBottom w:val="0"/>
                  <w:divBdr>
                    <w:top w:val="none" w:sz="0" w:space="0" w:color="auto"/>
                    <w:left w:val="none" w:sz="0" w:space="0" w:color="auto"/>
                    <w:bottom w:val="none" w:sz="0" w:space="0" w:color="auto"/>
                    <w:right w:val="none" w:sz="0" w:space="0" w:color="auto"/>
                  </w:divBdr>
                  <w:divsChild>
                    <w:div w:id="1855729547">
                      <w:marLeft w:val="0"/>
                      <w:marRight w:val="0"/>
                      <w:marTop w:val="0"/>
                      <w:marBottom w:val="0"/>
                      <w:divBdr>
                        <w:top w:val="none" w:sz="0" w:space="0" w:color="auto"/>
                        <w:left w:val="none" w:sz="0" w:space="0" w:color="auto"/>
                        <w:bottom w:val="none" w:sz="0" w:space="0" w:color="auto"/>
                        <w:right w:val="none" w:sz="0" w:space="0" w:color="auto"/>
                      </w:divBdr>
                    </w:div>
                  </w:divsChild>
                </w:div>
                <w:div w:id="133840263">
                  <w:marLeft w:val="0"/>
                  <w:marRight w:val="0"/>
                  <w:marTop w:val="0"/>
                  <w:marBottom w:val="0"/>
                  <w:divBdr>
                    <w:top w:val="none" w:sz="0" w:space="0" w:color="auto"/>
                    <w:left w:val="none" w:sz="0" w:space="0" w:color="auto"/>
                    <w:bottom w:val="none" w:sz="0" w:space="0" w:color="auto"/>
                    <w:right w:val="none" w:sz="0" w:space="0" w:color="auto"/>
                  </w:divBdr>
                  <w:divsChild>
                    <w:div w:id="885070830">
                      <w:marLeft w:val="0"/>
                      <w:marRight w:val="0"/>
                      <w:marTop w:val="0"/>
                      <w:marBottom w:val="0"/>
                      <w:divBdr>
                        <w:top w:val="none" w:sz="0" w:space="0" w:color="auto"/>
                        <w:left w:val="none" w:sz="0" w:space="0" w:color="auto"/>
                        <w:bottom w:val="none" w:sz="0" w:space="0" w:color="auto"/>
                        <w:right w:val="none" w:sz="0" w:space="0" w:color="auto"/>
                      </w:divBdr>
                    </w:div>
                  </w:divsChild>
                </w:div>
                <w:div w:id="144666446">
                  <w:marLeft w:val="0"/>
                  <w:marRight w:val="0"/>
                  <w:marTop w:val="0"/>
                  <w:marBottom w:val="0"/>
                  <w:divBdr>
                    <w:top w:val="none" w:sz="0" w:space="0" w:color="auto"/>
                    <w:left w:val="none" w:sz="0" w:space="0" w:color="auto"/>
                    <w:bottom w:val="none" w:sz="0" w:space="0" w:color="auto"/>
                    <w:right w:val="none" w:sz="0" w:space="0" w:color="auto"/>
                  </w:divBdr>
                  <w:divsChild>
                    <w:div w:id="440993959">
                      <w:marLeft w:val="0"/>
                      <w:marRight w:val="0"/>
                      <w:marTop w:val="0"/>
                      <w:marBottom w:val="0"/>
                      <w:divBdr>
                        <w:top w:val="none" w:sz="0" w:space="0" w:color="auto"/>
                        <w:left w:val="none" w:sz="0" w:space="0" w:color="auto"/>
                        <w:bottom w:val="none" w:sz="0" w:space="0" w:color="auto"/>
                        <w:right w:val="none" w:sz="0" w:space="0" w:color="auto"/>
                      </w:divBdr>
                    </w:div>
                  </w:divsChild>
                </w:div>
                <w:div w:id="147552160">
                  <w:marLeft w:val="0"/>
                  <w:marRight w:val="0"/>
                  <w:marTop w:val="0"/>
                  <w:marBottom w:val="0"/>
                  <w:divBdr>
                    <w:top w:val="none" w:sz="0" w:space="0" w:color="auto"/>
                    <w:left w:val="none" w:sz="0" w:space="0" w:color="auto"/>
                    <w:bottom w:val="none" w:sz="0" w:space="0" w:color="auto"/>
                    <w:right w:val="none" w:sz="0" w:space="0" w:color="auto"/>
                  </w:divBdr>
                  <w:divsChild>
                    <w:div w:id="1022635942">
                      <w:marLeft w:val="0"/>
                      <w:marRight w:val="0"/>
                      <w:marTop w:val="0"/>
                      <w:marBottom w:val="0"/>
                      <w:divBdr>
                        <w:top w:val="none" w:sz="0" w:space="0" w:color="auto"/>
                        <w:left w:val="none" w:sz="0" w:space="0" w:color="auto"/>
                        <w:bottom w:val="none" w:sz="0" w:space="0" w:color="auto"/>
                        <w:right w:val="none" w:sz="0" w:space="0" w:color="auto"/>
                      </w:divBdr>
                    </w:div>
                  </w:divsChild>
                </w:div>
                <w:div w:id="149836172">
                  <w:marLeft w:val="0"/>
                  <w:marRight w:val="0"/>
                  <w:marTop w:val="0"/>
                  <w:marBottom w:val="0"/>
                  <w:divBdr>
                    <w:top w:val="none" w:sz="0" w:space="0" w:color="auto"/>
                    <w:left w:val="none" w:sz="0" w:space="0" w:color="auto"/>
                    <w:bottom w:val="none" w:sz="0" w:space="0" w:color="auto"/>
                    <w:right w:val="none" w:sz="0" w:space="0" w:color="auto"/>
                  </w:divBdr>
                  <w:divsChild>
                    <w:div w:id="1210873831">
                      <w:marLeft w:val="0"/>
                      <w:marRight w:val="0"/>
                      <w:marTop w:val="0"/>
                      <w:marBottom w:val="0"/>
                      <w:divBdr>
                        <w:top w:val="none" w:sz="0" w:space="0" w:color="auto"/>
                        <w:left w:val="none" w:sz="0" w:space="0" w:color="auto"/>
                        <w:bottom w:val="none" w:sz="0" w:space="0" w:color="auto"/>
                        <w:right w:val="none" w:sz="0" w:space="0" w:color="auto"/>
                      </w:divBdr>
                    </w:div>
                  </w:divsChild>
                </w:div>
                <w:div w:id="172259632">
                  <w:marLeft w:val="0"/>
                  <w:marRight w:val="0"/>
                  <w:marTop w:val="0"/>
                  <w:marBottom w:val="0"/>
                  <w:divBdr>
                    <w:top w:val="none" w:sz="0" w:space="0" w:color="auto"/>
                    <w:left w:val="none" w:sz="0" w:space="0" w:color="auto"/>
                    <w:bottom w:val="none" w:sz="0" w:space="0" w:color="auto"/>
                    <w:right w:val="none" w:sz="0" w:space="0" w:color="auto"/>
                  </w:divBdr>
                  <w:divsChild>
                    <w:div w:id="321352275">
                      <w:marLeft w:val="0"/>
                      <w:marRight w:val="0"/>
                      <w:marTop w:val="0"/>
                      <w:marBottom w:val="0"/>
                      <w:divBdr>
                        <w:top w:val="none" w:sz="0" w:space="0" w:color="auto"/>
                        <w:left w:val="none" w:sz="0" w:space="0" w:color="auto"/>
                        <w:bottom w:val="none" w:sz="0" w:space="0" w:color="auto"/>
                        <w:right w:val="none" w:sz="0" w:space="0" w:color="auto"/>
                      </w:divBdr>
                    </w:div>
                  </w:divsChild>
                </w:div>
                <w:div w:id="203980432">
                  <w:marLeft w:val="0"/>
                  <w:marRight w:val="0"/>
                  <w:marTop w:val="0"/>
                  <w:marBottom w:val="0"/>
                  <w:divBdr>
                    <w:top w:val="none" w:sz="0" w:space="0" w:color="auto"/>
                    <w:left w:val="none" w:sz="0" w:space="0" w:color="auto"/>
                    <w:bottom w:val="none" w:sz="0" w:space="0" w:color="auto"/>
                    <w:right w:val="none" w:sz="0" w:space="0" w:color="auto"/>
                  </w:divBdr>
                  <w:divsChild>
                    <w:div w:id="2034500041">
                      <w:marLeft w:val="0"/>
                      <w:marRight w:val="0"/>
                      <w:marTop w:val="0"/>
                      <w:marBottom w:val="0"/>
                      <w:divBdr>
                        <w:top w:val="none" w:sz="0" w:space="0" w:color="auto"/>
                        <w:left w:val="none" w:sz="0" w:space="0" w:color="auto"/>
                        <w:bottom w:val="none" w:sz="0" w:space="0" w:color="auto"/>
                        <w:right w:val="none" w:sz="0" w:space="0" w:color="auto"/>
                      </w:divBdr>
                    </w:div>
                  </w:divsChild>
                </w:div>
                <w:div w:id="211617829">
                  <w:marLeft w:val="0"/>
                  <w:marRight w:val="0"/>
                  <w:marTop w:val="0"/>
                  <w:marBottom w:val="0"/>
                  <w:divBdr>
                    <w:top w:val="none" w:sz="0" w:space="0" w:color="auto"/>
                    <w:left w:val="none" w:sz="0" w:space="0" w:color="auto"/>
                    <w:bottom w:val="none" w:sz="0" w:space="0" w:color="auto"/>
                    <w:right w:val="none" w:sz="0" w:space="0" w:color="auto"/>
                  </w:divBdr>
                  <w:divsChild>
                    <w:div w:id="391274096">
                      <w:marLeft w:val="0"/>
                      <w:marRight w:val="0"/>
                      <w:marTop w:val="0"/>
                      <w:marBottom w:val="0"/>
                      <w:divBdr>
                        <w:top w:val="none" w:sz="0" w:space="0" w:color="auto"/>
                        <w:left w:val="none" w:sz="0" w:space="0" w:color="auto"/>
                        <w:bottom w:val="none" w:sz="0" w:space="0" w:color="auto"/>
                        <w:right w:val="none" w:sz="0" w:space="0" w:color="auto"/>
                      </w:divBdr>
                    </w:div>
                  </w:divsChild>
                </w:div>
                <w:div w:id="233322024">
                  <w:marLeft w:val="0"/>
                  <w:marRight w:val="0"/>
                  <w:marTop w:val="0"/>
                  <w:marBottom w:val="0"/>
                  <w:divBdr>
                    <w:top w:val="none" w:sz="0" w:space="0" w:color="auto"/>
                    <w:left w:val="none" w:sz="0" w:space="0" w:color="auto"/>
                    <w:bottom w:val="none" w:sz="0" w:space="0" w:color="auto"/>
                    <w:right w:val="none" w:sz="0" w:space="0" w:color="auto"/>
                  </w:divBdr>
                  <w:divsChild>
                    <w:div w:id="642546547">
                      <w:marLeft w:val="0"/>
                      <w:marRight w:val="0"/>
                      <w:marTop w:val="0"/>
                      <w:marBottom w:val="0"/>
                      <w:divBdr>
                        <w:top w:val="none" w:sz="0" w:space="0" w:color="auto"/>
                        <w:left w:val="none" w:sz="0" w:space="0" w:color="auto"/>
                        <w:bottom w:val="none" w:sz="0" w:space="0" w:color="auto"/>
                        <w:right w:val="none" w:sz="0" w:space="0" w:color="auto"/>
                      </w:divBdr>
                    </w:div>
                  </w:divsChild>
                </w:div>
                <w:div w:id="234780666">
                  <w:marLeft w:val="0"/>
                  <w:marRight w:val="0"/>
                  <w:marTop w:val="0"/>
                  <w:marBottom w:val="0"/>
                  <w:divBdr>
                    <w:top w:val="none" w:sz="0" w:space="0" w:color="auto"/>
                    <w:left w:val="none" w:sz="0" w:space="0" w:color="auto"/>
                    <w:bottom w:val="none" w:sz="0" w:space="0" w:color="auto"/>
                    <w:right w:val="none" w:sz="0" w:space="0" w:color="auto"/>
                  </w:divBdr>
                  <w:divsChild>
                    <w:div w:id="1845851968">
                      <w:marLeft w:val="0"/>
                      <w:marRight w:val="0"/>
                      <w:marTop w:val="0"/>
                      <w:marBottom w:val="0"/>
                      <w:divBdr>
                        <w:top w:val="none" w:sz="0" w:space="0" w:color="auto"/>
                        <w:left w:val="none" w:sz="0" w:space="0" w:color="auto"/>
                        <w:bottom w:val="none" w:sz="0" w:space="0" w:color="auto"/>
                        <w:right w:val="none" w:sz="0" w:space="0" w:color="auto"/>
                      </w:divBdr>
                    </w:div>
                  </w:divsChild>
                </w:div>
                <w:div w:id="238756531">
                  <w:marLeft w:val="0"/>
                  <w:marRight w:val="0"/>
                  <w:marTop w:val="0"/>
                  <w:marBottom w:val="0"/>
                  <w:divBdr>
                    <w:top w:val="none" w:sz="0" w:space="0" w:color="auto"/>
                    <w:left w:val="none" w:sz="0" w:space="0" w:color="auto"/>
                    <w:bottom w:val="none" w:sz="0" w:space="0" w:color="auto"/>
                    <w:right w:val="none" w:sz="0" w:space="0" w:color="auto"/>
                  </w:divBdr>
                  <w:divsChild>
                    <w:div w:id="545334021">
                      <w:marLeft w:val="0"/>
                      <w:marRight w:val="0"/>
                      <w:marTop w:val="0"/>
                      <w:marBottom w:val="0"/>
                      <w:divBdr>
                        <w:top w:val="none" w:sz="0" w:space="0" w:color="auto"/>
                        <w:left w:val="none" w:sz="0" w:space="0" w:color="auto"/>
                        <w:bottom w:val="none" w:sz="0" w:space="0" w:color="auto"/>
                        <w:right w:val="none" w:sz="0" w:space="0" w:color="auto"/>
                      </w:divBdr>
                    </w:div>
                  </w:divsChild>
                </w:div>
                <w:div w:id="244612885">
                  <w:marLeft w:val="0"/>
                  <w:marRight w:val="0"/>
                  <w:marTop w:val="0"/>
                  <w:marBottom w:val="0"/>
                  <w:divBdr>
                    <w:top w:val="none" w:sz="0" w:space="0" w:color="auto"/>
                    <w:left w:val="none" w:sz="0" w:space="0" w:color="auto"/>
                    <w:bottom w:val="none" w:sz="0" w:space="0" w:color="auto"/>
                    <w:right w:val="none" w:sz="0" w:space="0" w:color="auto"/>
                  </w:divBdr>
                  <w:divsChild>
                    <w:div w:id="1604612718">
                      <w:marLeft w:val="0"/>
                      <w:marRight w:val="0"/>
                      <w:marTop w:val="0"/>
                      <w:marBottom w:val="0"/>
                      <w:divBdr>
                        <w:top w:val="none" w:sz="0" w:space="0" w:color="auto"/>
                        <w:left w:val="none" w:sz="0" w:space="0" w:color="auto"/>
                        <w:bottom w:val="none" w:sz="0" w:space="0" w:color="auto"/>
                        <w:right w:val="none" w:sz="0" w:space="0" w:color="auto"/>
                      </w:divBdr>
                    </w:div>
                  </w:divsChild>
                </w:div>
                <w:div w:id="260845569">
                  <w:marLeft w:val="0"/>
                  <w:marRight w:val="0"/>
                  <w:marTop w:val="0"/>
                  <w:marBottom w:val="0"/>
                  <w:divBdr>
                    <w:top w:val="none" w:sz="0" w:space="0" w:color="auto"/>
                    <w:left w:val="none" w:sz="0" w:space="0" w:color="auto"/>
                    <w:bottom w:val="none" w:sz="0" w:space="0" w:color="auto"/>
                    <w:right w:val="none" w:sz="0" w:space="0" w:color="auto"/>
                  </w:divBdr>
                  <w:divsChild>
                    <w:div w:id="564297634">
                      <w:marLeft w:val="0"/>
                      <w:marRight w:val="0"/>
                      <w:marTop w:val="0"/>
                      <w:marBottom w:val="0"/>
                      <w:divBdr>
                        <w:top w:val="none" w:sz="0" w:space="0" w:color="auto"/>
                        <w:left w:val="none" w:sz="0" w:space="0" w:color="auto"/>
                        <w:bottom w:val="none" w:sz="0" w:space="0" w:color="auto"/>
                        <w:right w:val="none" w:sz="0" w:space="0" w:color="auto"/>
                      </w:divBdr>
                    </w:div>
                  </w:divsChild>
                </w:div>
                <w:div w:id="326595845">
                  <w:marLeft w:val="0"/>
                  <w:marRight w:val="0"/>
                  <w:marTop w:val="0"/>
                  <w:marBottom w:val="0"/>
                  <w:divBdr>
                    <w:top w:val="none" w:sz="0" w:space="0" w:color="auto"/>
                    <w:left w:val="none" w:sz="0" w:space="0" w:color="auto"/>
                    <w:bottom w:val="none" w:sz="0" w:space="0" w:color="auto"/>
                    <w:right w:val="none" w:sz="0" w:space="0" w:color="auto"/>
                  </w:divBdr>
                  <w:divsChild>
                    <w:div w:id="1390377689">
                      <w:marLeft w:val="0"/>
                      <w:marRight w:val="0"/>
                      <w:marTop w:val="0"/>
                      <w:marBottom w:val="0"/>
                      <w:divBdr>
                        <w:top w:val="none" w:sz="0" w:space="0" w:color="auto"/>
                        <w:left w:val="none" w:sz="0" w:space="0" w:color="auto"/>
                        <w:bottom w:val="none" w:sz="0" w:space="0" w:color="auto"/>
                        <w:right w:val="none" w:sz="0" w:space="0" w:color="auto"/>
                      </w:divBdr>
                    </w:div>
                  </w:divsChild>
                </w:div>
                <w:div w:id="338580647">
                  <w:marLeft w:val="0"/>
                  <w:marRight w:val="0"/>
                  <w:marTop w:val="0"/>
                  <w:marBottom w:val="0"/>
                  <w:divBdr>
                    <w:top w:val="none" w:sz="0" w:space="0" w:color="auto"/>
                    <w:left w:val="none" w:sz="0" w:space="0" w:color="auto"/>
                    <w:bottom w:val="none" w:sz="0" w:space="0" w:color="auto"/>
                    <w:right w:val="none" w:sz="0" w:space="0" w:color="auto"/>
                  </w:divBdr>
                  <w:divsChild>
                    <w:div w:id="1139493927">
                      <w:marLeft w:val="0"/>
                      <w:marRight w:val="0"/>
                      <w:marTop w:val="0"/>
                      <w:marBottom w:val="0"/>
                      <w:divBdr>
                        <w:top w:val="none" w:sz="0" w:space="0" w:color="auto"/>
                        <w:left w:val="none" w:sz="0" w:space="0" w:color="auto"/>
                        <w:bottom w:val="none" w:sz="0" w:space="0" w:color="auto"/>
                        <w:right w:val="none" w:sz="0" w:space="0" w:color="auto"/>
                      </w:divBdr>
                    </w:div>
                  </w:divsChild>
                </w:div>
                <w:div w:id="353002990">
                  <w:marLeft w:val="0"/>
                  <w:marRight w:val="0"/>
                  <w:marTop w:val="0"/>
                  <w:marBottom w:val="0"/>
                  <w:divBdr>
                    <w:top w:val="none" w:sz="0" w:space="0" w:color="auto"/>
                    <w:left w:val="none" w:sz="0" w:space="0" w:color="auto"/>
                    <w:bottom w:val="none" w:sz="0" w:space="0" w:color="auto"/>
                    <w:right w:val="none" w:sz="0" w:space="0" w:color="auto"/>
                  </w:divBdr>
                  <w:divsChild>
                    <w:div w:id="1496653066">
                      <w:marLeft w:val="0"/>
                      <w:marRight w:val="0"/>
                      <w:marTop w:val="0"/>
                      <w:marBottom w:val="0"/>
                      <w:divBdr>
                        <w:top w:val="none" w:sz="0" w:space="0" w:color="auto"/>
                        <w:left w:val="none" w:sz="0" w:space="0" w:color="auto"/>
                        <w:bottom w:val="none" w:sz="0" w:space="0" w:color="auto"/>
                        <w:right w:val="none" w:sz="0" w:space="0" w:color="auto"/>
                      </w:divBdr>
                    </w:div>
                  </w:divsChild>
                </w:div>
                <w:div w:id="355230531">
                  <w:marLeft w:val="0"/>
                  <w:marRight w:val="0"/>
                  <w:marTop w:val="0"/>
                  <w:marBottom w:val="0"/>
                  <w:divBdr>
                    <w:top w:val="none" w:sz="0" w:space="0" w:color="auto"/>
                    <w:left w:val="none" w:sz="0" w:space="0" w:color="auto"/>
                    <w:bottom w:val="none" w:sz="0" w:space="0" w:color="auto"/>
                    <w:right w:val="none" w:sz="0" w:space="0" w:color="auto"/>
                  </w:divBdr>
                  <w:divsChild>
                    <w:div w:id="533425761">
                      <w:marLeft w:val="0"/>
                      <w:marRight w:val="0"/>
                      <w:marTop w:val="0"/>
                      <w:marBottom w:val="0"/>
                      <w:divBdr>
                        <w:top w:val="none" w:sz="0" w:space="0" w:color="auto"/>
                        <w:left w:val="none" w:sz="0" w:space="0" w:color="auto"/>
                        <w:bottom w:val="none" w:sz="0" w:space="0" w:color="auto"/>
                        <w:right w:val="none" w:sz="0" w:space="0" w:color="auto"/>
                      </w:divBdr>
                    </w:div>
                  </w:divsChild>
                </w:div>
                <w:div w:id="364454021">
                  <w:marLeft w:val="0"/>
                  <w:marRight w:val="0"/>
                  <w:marTop w:val="0"/>
                  <w:marBottom w:val="0"/>
                  <w:divBdr>
                    <w:top w:val="none" w:sz="0" w:space="0" w:color="auto"/>
                    <w:left w:val="none" w:sz="0" w:space="0" w:color="auto"/>
                    <w:bottom w:val="none" w:sz="0" w:space="0" w:color="auto"/>
                    <w:right w:val="none" w:sz="0" w:space="0" w:color="auto"/>
                  </w:divBdr>
                  <w:divsChild>
                    <w:div w:id="31002642">
                      <w:marLeft w:val="0"/>
                      <w:marRight w:val="0"/>
                      <w:marTop w:val="0"/>
                      <w:marBottom w:val="0"/>
                      <w:divBdr>
                        <w:top w:val="none" w:sz="0" w:space="0" w:color="auto"/>
                        <w:left w:val="none" w:sz="0" w:space="0" w:color="auto"/>
                        <w:bottom w:val="none" w:sz="0" w:space="0" w:color="auto"/>
                        <w:right w:val="none" w:sz="0" w:space="0" w:color="auto"/>
                      </w:divBdr>
                    </w:div>
                  </w:divsChild>
                </w:div>
                <w:div w:id="368728875">
                  <w:marLeft w:val="0"/>
                  <w:marRight w:val="0"/>
                  <w:marTop w:val="0"/>
                  <w:marBottom w:val="0"/>
                  <w:divBdr>
                    <w:top w:val="none" w:sz="0" w:space="0" w:color="auto"/>
                    <w:left w:val="none" w:sz="0" w:space="0" w:color="auto"/>
                    <w:bottom w:val="none" w:sz="0" w:space="0" w:color="auto"/>
                    <w:right w:val="none" w:sz="0" w:space="0" w:color="auto"/>
                  </w:divBdr>
                  <w:divsChild>
                    <w:div w:id="81804913">
                      <w:marLeft w:val="0"/>
                      <w:marRight w:val="0"/>
                      <w:marTop w:val="0"/>
                      <w:marBottom w:val="0"/>
                      <w:divBdr>
                        <w:top w:val="none" w:sz="0" w:space="0" w:color="auto"/>
                        <w:left w:val="none" w:sz="0" w:space="0" w:color="auto"/>
                        <w:bottom w:val="none" w:sz="0" w:space="0" w:color="auto"/>
                        <w:right w:val="none" w:sz="0" w:space="0" w:color="auto"/>
                      </w:divBdr>
                    </w:div>
                  </w:divsChild>
                </w:div>
                <w:div w:id="369300814">
                  <w:marLeft w:val="0"/>
                  <w:marRight w:val="0"/>
                  <w:marTop w:val="0"/>
                  <w:marBottom w:val="0"/>
                  <w:divBdr>
                    <w:top w:val="none" w:sz="0" w:space="0" w:color="auto"/>
                    <w:left w:val="none" w:sz="0" w:space="0" w:color="auto"/>
                    <w:bottom w:val="none" w:sz="0" w:space="0" w:color="auto"/>
                    <w:right w:val="none" w:sz="0" w:space="0" w:color="auto"/>
                  </w:divBdr>
                  <w:divsChild>
                    <w:div w:id="833451374">
                      <w:marLeft w:val="0"/>
                      <w:marRight w:val="0"/>
                      <w:marTop w:val="0"/>
                      <w:marBottom w:val="0"/>
                      <w:divBdr>
                        <w:top w:val="none" w:sz="0" w:space="0" w:color="auto"/>
                        <w:left w:val="none" w:sz="0" w:space="0" w:color="auto"/>
                        <w:bottom w:val="none" w:sz="0" w:space="0" w:color="auto"/>
                        <w:right w:val="none" w:sz="0" w:space="0" w:color="auto"/>
                      </w:divBdr>
                    </w:div>
                  </w:divsChild>
                </w:div>
                <w:div w:id="373040859">
                  <w:marLeft w:val="0"/>
                  <w:marRight w:val="0"/>
                  <w:marTop w:val="0"/>
                  <w:marBottom w:val="0"/>
                  <w:divBdr>
                    <w:top w:val="none" w:sz="0" w:space="0" w:color="auto"/>
                    <w:left w:val="none" w:sz="0" w:space="0" w:color="auto"/>
                    <w:bottom w:val="none" w:sz="0" w:space="0" w:color="auto"/>
                    <w:right w:val="none" w:sz="0" w:space="0" w:color="auto"/>
                  </w:divBdr>
                  <w:divsChild>
                    <w:div w:id="212737457">
                      <w:marLeft w:val="0"/>
                      <w:marRight w:val="0"/>
                      <w:marTop w:val="0"/>
                      <w:marBottom w:val="0"/>
                      <w:divBdr>
                        <w:top w:val="none" w:sz="0" w:space="0" w:color="auto"/>
                        <w:left w:val="none" w:sz="0" w:space="0" w:color="auto"/>
                        <w:bottom w:val="none" w:sz="0" w:space="0" w:color="auto"/>
                        <w:right w:val="none" w:sz="0" w:space="0" w:color="auto"/>
                      </w:divBdr>
                    </w:div>
                  </w:divsChild>
                </w:div>
                <w:div w:id="375930015">
                  <w:marLeft w:val="0"/>
                  <w:marRight w:val="0"/>
                  <w:marTop w:val="0"/>
                  <w:marBottom w:val="0"/>
                  <w:divBdr>
                    <w:top w:val="none" w:sz="0" w:space="0" w:color="auto"/>
                    <w:left w:val="none" w:sz="0" w:space="0" w:color="auto"/>
                    <w:bottom w:val="none" w:sz="0" w:space="0" w:color="auto"/>
                    <w:right w:val="none" w:sz="0" w:space="0" w:color="auto"/>
                  </w:divBdr>
                  <w:divsChild>
                    <w:div w:id="1978102809">
                      <w:marLeft w:val="0"/>
                      <w:marRight w:val="0"/>
                      <w:marTop w:val="0"/>
                      <w:marBottom w:val="0"/>
                      <w:divBdr>
                        <w:top w:val="none" w:sz="0" w:space="0" w:color="auto"/>
                        <w:left w:val="none" w:sz="0" w:space="0" w:color="auto"/>
                        <w:bottom w:val="none" w:sz="0" w:space="0" w:color="auto"/>
                        <w:right w:val="none" w:sz="0" w:space="0" w:color="auto"/>
                      </w:divBdr>
                    </w:div>
                  </w:divsChild>
                </w:div>
                <w:div w:id="377559348">
                  <w:marLeft w:val="0"/>
                  <w:marRight w:val="0"/>
                  <w:marTop w:val="0"/>
                  <w:marBottom w:val="0"/>
                  <w:divBdr>
                    <w:top w:val="none" w:sz="0" w:space="0" w:color="auto"/>
                    <w:left w:val="none" w:sz="0" w:space="0" w:color="auto"/>
                    <w:bottom w:val="none" w:sz="0" w:space="0" w:color="auto"/>
                    <w:right w:val="none" w:sz="0" w:space="0" w:color="auto"/>
                  </w:divBdr>
                  <w:divsChild>
                    <w:div w:id="995914494">
                      <w:marLeft w:val="0"/>
                      <w:marRight w:val="0"/>
                      <w:marTop w:val="0"/>
                      <w:marBottom w:val="0"/>
                      <w:divBdr>
                        <w:top w:val="none" w:sz="0" w:space="0" w:color="auto"/>
                        <w:left w:val="none" w:sz="0" w:space="0" w:color="auto"/>
                        <w:bottom w:val="none" w:sz="0" w:space="0" w:color="auto"/>
                        <w:right w:val="none" w:sz="0" w:space="0" w:color="auto"/>
                      </w:divBdr>
                    </w:div>
                  </w:divsChild>
                </w:div>
                <w:div w:id="378823650">
                  <w:marLeft w:val="0"/>
                  <w:marRight w:val="0"/>
                  <w:marTop w:val="0"/>
                  <w:marBottom w:val="0"/>
                  <w:divBdr>
                    <w:top w:val="none" w:sz="0" w:space="0" w:color="auto"/>
                    <w:left w:val="none" w:sz="0" w:space="0" w:color="auto"/>
                    <w:bottom w:val="none" w:sz="0" w:space="0" w:color="auto"/>
                    <w:right w:val="none" w:sz="0" w:space="0" w:color="auto"/>
                  </w:divBdr>
                  <w:divsChild>
                    <w:div w:id="1715226229">
                      <w:marLeft w:val="0"/>
                      <w:marRight w:val="0"/>
                      <w:marTop w:val="0"/>
                      <w:marBottom w:val="0"/>
                      <w:divBdr>
                        <w:top w:val="none" w:sz="0" w:space="0" w:color="auto"/>
                        <w:left w:val="none" w:sz="0" w:space="0" w:color="auto"/>
                        <w:bottom w:val="none" w:sz="0" w:space="0" w:color="auto"/>
                        <w:right w:val="none" w:sz="0" w:space="0" w:color="auto"/>
                      </w:divBdr>
                    </w:div>
                  </w:divsChild>
                </w:div>
                <w:div w:id="386608250">
                  <w:marLeft w:val="0"/>
                  <w:marRight w:val="0"/>
                  <w:marTop w:val="0"/>
                  <w:marBottom w:val="0"/>
                  <w:divBdr>
                    <w:top w:val="none" w:sz="0" w:space="0" w:color="auto"/>
                    <w:left w:val="none" w:sz="0" w:space="0" w:color="auto"/>
                    <w:bottom w:val="none" w:sz="0" w:space="0" w:color="auto"/>
                    <w:right w:val="none" w:sz="0" w:space="0" w:color="auto"/>
                  </w:divBdr>
                  <w:divsChild>
                    <w:div w:id="1802528325">
                      <w:marLeft w:val="0"/>
                      <w:marRight w:val="0"/>
                      <w:marTop w:val="0"/>
                      <w:marBottom w:val="0"/>
                      <w:divBdr>
                        <w:top w:val="none" w:sz="0" w:space="0" w:color="auto"/>
                        <w:left w:val="none" w:sz="0" w:space="0" w:color="auto"/>
                        <w:bottom w:val="none" w:sz="0" w:space="0" w:color="auto"/>
                        <w:right w:val="none" w:sz="0" w:space="0" w:color="auto"/>
                      </w:divBdr>
                    </w:div>
                  </w:divsChild>
                </w:div>
                <w:div w:id="388186106">
                  <w:marLeft w:val="0"/>
                  <w:marRight w:val="0"/>
                  <w:marTop w:val="0"/>
                  <w:marBottom w:val="0"/>
                  <w:divBdr>
                    <w:top w:val="none" w:sz="0" w:space="0" w:color="auto"/>
                    <w:left w:val="none" w:sz="0" w:space="0" w:color="auto"/>
                    <w:bottom w:val="none" w:sz="0" w:space="0" w:color="auto"/>
                    <w:right w:val="none" w:sz="0" w:space="0" w:color="auto"/>
                  </w:divBdr>
                  <w:divsChild>
                    <w:div w:id="589045195">
                      <w:marLeft w:val="0"/>
                      <w:marRight w:val="0"/>
                      <w:marTop w:val="0"/>
                      <w:marBottom w:val="0"/>
                      <w:divBdr>
                        <w:top w:val="none" w:sz="0" w:space="0" w:color="auto"/>
                        <w:left w:val="none" w:sz="0" w:space="0" w:color="auto"/>
                        <w:bottom w:val="none" w:sz="0" w:space="0" w:color="auto"/>
                        <w:right w:val="none" w:sz="0" w:space="0" w:color="auto"/>
                      </w:divBdr>
                    </w:div>
                  </w:divsChild>
                </w:div>
                <w:div w:id="396363725">
                  <w:marLeft w:val="0"/>
                  <w:marRight w:val="0"/>
                  <w:marTop w:val="0"/>
                  <w:marBottom w:val="0"/>
                  <w:divBdr>
                    <w:top w:val="none" w:sz="0" w:space="0" w:color="auto"/>
                    <w:left w:val="none" w:sz="0" w:space="0" w:color="auto"/>
                    <w:bottom w:val="none" w:sz="0" w:space="0" w:color="auto"/>
                    <w:right w:val="none" w:sz="0" w:space="0" w:color="auto"/>
                  </w:divBdr>
                  <w:divsChild>
                    <w:div w:id="757672560">
                      <w:marLeft w:val="0"/>
                      <w:marRight w:val="0"/>
                      <w:marTop w:val="0"/>
                      <w:marBottom w:val="0"/>
                      <w:divBdr>
                        <w:top w:val="none" w:sz="0" w:space="0" w:color="auto"/>
                        <w:left w:val="none" w:sz="0" w:space="0" w:color="auto"/>
                        <w:bottom w:val="none" w:sz="0" w:space="0" w:color="auto"/>
                        <w:right w:val="none" w:sz="0" w:space="0" w:color="auto"/>
                      </w:divBdr>
                    </w:div>
                  </w:divsChild>
                </w:div>
                <w:div w:id="413477365">
                  <w:marLeft w:val="0"/>
                  <w:marRight w:val="0"/>
                  <w:marTop w:val="0"/>
                  <w:marBottom w:val="0"/>
                  <w:divBdr>
                    <w:top w:val="none" w:sz="0" w:space="0" w:color="auto"/>
                    <w:left w:val="none" w:sz="0" w:space="0" w:color="auto"/>
                    <w:bottom w:val="none" w:sz="0" w:space="0" w:color="auto"/>
                    <w:right w:val="none" w:sz="0" w:space="0" w:color="auto"/>
                  </w:divBdr>
                  <w:divsChild>
                    <w:div w:id="1154419880">
                      <w:marLeft w:val="0"/>
                      <w:marRight w:val="0"/>
                      <w:marTop w:val="0"/>
                      <w:marBottom w:val="0"/>
                      <w:divBdr>
                        <w:top w:val="none" w:sz="0" w:space="0" w:color="auto"/>
                        <w:left w:val="none" w:sz="0" w:space="0" w:color="auto"/>
                        <w:bottom w:val="none" w:sz="0" w:space="0" w:color="auto"/>
                        <w:right w:val="none" w:sz="0" w:space="0" w:color="auto"/>
                      </w:divBdr>
                    </w:div>
                  </w:divsChild>
                </w:div>
                <w:div w:id="417944915">
                  <w:marLeft w:val="0"/>
                  <w:marRight w:val="0"/>
                  <w:marTop w:val="0"/>
                  <w:marBottom w:val="0"/>
                  <w:divBdr>
                    <w:top w:val="none" w:sz="0" w:space="0" w:color="auto"/>
                    <w:left w:val="none" w:sz="0" w:space="0" w:color="auto"/>
                    <w:bottom w:val="none" w:sz="0" w:space="0" w:color="auto"/>
                    <w:right w:val="none" w:sz="0" w:space="0" w:color="auto"/>
                  </w:divBdr>
                  <w:divsChild>
                    <w:div w:id="396206">
                      <w:marLeft w:val="0"/>
                      <w:marRight w:val="0"/>
                      <w:marTop w:val="0"/>
                      <w:marBottom w:val="0"/>
                      <w:divBdr>
                        <w:top w:val="none" w:sz="0" w:space="0" w:color="auto"/>
                        <w:left w:val="none" w:sz="0" w:space="0" w:color="auto"/>
                        <w:bottom w:val="none" w:sz="0" w:space="0" w:color="auto"/>
                        <w:right w:val="none" w:sz="0" w:space="0" w:color="auto"/>
                      </w:divBdr>
                    </w:div>
                  </w:divsChild>
                </w:div>
                <w:div w:id="423646769">
                  <w:marLeft w:val="0"/>
                  <w:marRight w:val="0"/>
                  <w:marTop w:val="0"/>
                  <w:marBottom w:val="0"/>
                  <w:divBdr>
                    <w:top w:val="none" w:sz="0" w:space="0" w:color="auto"/>
                    <w:left w:val="none" w:sz="0" w:space="0" w:color="auto"/>
                    <w:bottom w:val="none" w:sz="0" w:space="0" w:color="auto"/>
                    <w:right w:val="none" w:sz="0" w:space="0" w:color="auto"/>
                  </w:divBdr>
                  <w:divsChild>
                    <w:div w:id="1887595024">
                      <w:marLeft w:val="0"/>
                      <w:marRight w:val="0"/>
                      <w:marTop w:val="0"/>
                      <w:marBottom w:val="0"/>
                      <w:divBdr>
                        <w:top w:val="none" w:sz="0" w:space="0" w:color="auto"/>
                        <w:left w:val="none" w:sz="0" w:space="0" w:color="auto"/>
                        <w:bottom w:val="none" w:sz="0" w:space="0" w:color="auto"/>
                        <w:right w:val="none" w:sz="0" w:space="0" w:color="auto"/>
                      </w:divBdr>
                    </w:div>
                  </w:divsChild>
                </w:div>
                <w:div w:id="434711250">
                  <w:marLeft w:val="0"/>
                  <w:marRight w:val="0"/>
                  <w:marTop w:val="0"/>
                  <w:marBottom w:val="0"/>
                  <w:divBdr>
                    <w:top w:val="none" w:sz="0" w:space="0" w:color="auto"/>
                    <w:left w:val="none" w:sz="0" w:space="0" w:color="auto"/>
                    <w:bottom w:val="none" w:sz="0" w:space="0" w:color="auto"/>
                    <w:right w:val="none" w:sz="0" w:space="0" w:color="auto"/>
                  </w:divBdr>
                  <w:divsChild>
                    <w:div w:id="1599870965">
                      <w:marLeft w:val="0"/>
                      <w:marRight w:val="0"/>
                      <w:marTop w:val="0"/>
                      <w:marBottom w:val="0"/>
                      <w:divBdr>
                        <w:top w:val="none" w:sz="0" w:space="0" w:color="auto"/>
                        <w:left w:val="none" w:sz="0" w:space="0" w:color="auto"/>
                        <w:bottom w:val="none" w:sz="0" w:space="0" w:color="auto"/>
                        <w:right w:val="none" w:sz="0" w:space="0" w:color="auto"/>
                      </w:divBdr>
                    </w:div>
                  </w:divsChild>
                </w:div>
                <w:div w:id="456460095">
                  <w:marLeft w:val="0"/>
                  <w:marRight w:val="0"/>
                  <w:marTop w:val="0"/>
                  <w:marBottom w:val="0"/>
                  <w:divBdr>
                    <w:top w:val="none" w:sz="0" w:space="0" w:color="auto"/>
                    <w:left w:val="none" w:sz="0" w:space="0" w:color="auto"/>
                    <w:bottom w:val="none" w:sz="0" w:space="0" w:color="auto"/>
                    <w:right w:val="none" w:sz="0" w:space="0" w:color="auto"/>
                  </w:divBdr>
                  <w:divsChild>
                    <w:div w:id="1760062042">
                      <w:marLeft w:val="0"/>
                      <w:marRight w:val="0"/>
                      <w:marTop w:val="0"/>
                      <w:marBottom w:val="0"/>
                      <w:divBdr>
                        <w:top w:val="none" w:sz="0" w:space="0" w:color="auto"/>
                        <w:left w:val="none" w:sz="0" w:space="0" w:color="auto"/>
                        <w:bottom w:val="none" w:sz="0" w:space="0" w:color="auto"/>
                        <w:right w:val="none" w:sz="0" w:space="0" w:color="auto"/>
                      </w:divBdr>
                    </w:div>
                  </w:divsChild>
                </w:div>
                <w:div w:id="458181048">
                  <w:marLeft w:val="0"/>
                  <w:marRight w:val="0"/>
                  <w:marTop w:val="0"/>
                  <w:marBottom w:val="0"/>
                  <w:divBdr>
                    <w:top w:val="none" w:sz="0" w:space="0" w:color="auto"/>
                    <w:left w:val="none" w:sz="0" w:space="0" w:color="auto"/>
                    <w:bottom w:val="none" w:sz="0" w:space="0" w:color="auto"/>
                    <w:right w:val="none" w:sz="0" w:space="0" w:color="auto"/>
                  </w:divBdr>
                  <w:divsChild>
                    <w:div w:id="528687921">
                      <w:marLeft w:val="0"/>
                      <w:marRight w:val="0"/>
                      <w:marTop w:val="0"/>
                      <w:marBottom w:val="0"/>
                      <w:divBdr>
                        <w:top w:val="none" w:sz="0" w:space="0" w:color="auto"/>
                        <w:left w:val="none" w:sz="0" w:space="0" w:color="auto"/>
                        <w:bottom w:val="none" w:sz="0" w:space="0" w:color="auto"/>
                        <w:right w:val="none" w:sz="0" w:space="0" w:color="auto"/>
                      </w:divBdr>
                    </w:div>
                  </w:divsChild>
                </w:div>
                <w:div w:id="500051073">
                  <w:marLeft w:val="0"/>
                  <w:marRight w:val="0"/>
                  <w:marTop w:val="0"/>
                  <w:marBottom w:val="0"/>
                  <w:divBdr>
                    <w:top w:val="none" w:sz="0" w:space="0" w:color="auto"/>
                    <w:left w:val="none" w:sz="0" w:space="0" w:color="auto"/>
                    <w:bottom w:val="none" w:sz="0" w:space="0" w:color="auto"/>
                    <w:right w:val="none" w:sz="0" w:space="0" w:color="auto"/>
                  </w:divBdr>
                  <w:divsChild>
                    <w:div w:id="314340764">
                      <w:marLeft w:val="0"/>
                      <w:marRight w:val="0"/>
                      <w:marTop w:val="0"/>
                      <w:marBottom w:val="0"/>
                      <w:divBdr>
                        <w:top w:val="none" w:sz="0" w:space="0" w:color="auto"/>
                        <w:left w:val="none" w:sz="0" w:space="0" w:color="auto"/>
                        <w:bottom w:val="none" w:sz="0" w:space="0" w:color="auto"/>
                        <w:right w:val="none" w:sz="0" w:space="0" w:color="auto"/>
                      </w:divBdr>
                    </w:div>
                    <w:div w:id="671877703">
                      <w:marLeft w:val="0"/>
                      <w:marRight w:val="0"/>
                      <w:marTop w:val="0"/>
                      <w:marBottom w:val="0"/>
                      <w:divBdr>
                        <w:top w:val="none" w:sz="0" w:space="0" w:color="auto"/>
                        <w:left w:val="none" w:sz="0" w:space="0" w:color="auto"/>
                        <w:bottom w:val="none" w:sz="0" w:space="0" w:color="auto"/>
                        <w:right w:val="none" w:sz="0" w:space="0" w:color="auto"/>
                      </w:divBdr>
                    </w:div>
                    <w:div w:id="706104789">
                      <w:marLeft w:val="0"/>
                      <w:marRight w:val="0"/>
                      <w:marTop w:val="0"/>
                      <w:marBottom w:val="0"/>
                      <w:divBdr>
                        <w:top w:val="none" w:sz="0" w:space="0" w:color="auto"/>
                        <w:left w:val="none" w:sz="0" w:space="0" w:color="auto"/>
                        <w:bottom w:val="none" w:sz="0" w:space="0" w:color="auto"/>
                        <w:right w:val="none" w:sz="0" w:space="0" w:color="auto"/>
                      </w:divBdr>
                    </w:div>
                    <w:div w:id="727458406">
                      <w:marLeft w:val="0"/>
                      <w:marRight w:val="0"/>
                      <w:marTop w:val="0"/>
                      <w:marBottom w:val="0"/>
                      <w:divBdr>
                        <w:top w:val="none" w:sz="0" w:space="0" w:color="auto"/>
                        <w:left w:val="none" w:sz="0" w:space="0" w:color="auto"/>
                        <w:bottom w:val="none" w:sz="0" w:space="0" w:color="auto"/>
                        <w:right w:val="none" w:sz="0" w:space="0" w:color="auto"/>
                      </w:divBdr>
                    </w:div>
                    <w:div w:id="756563057">
                      <w:marLeft w:val="0"/>
                      <w:marRight w:val="0"/>
                      <w:marTop w:val="0"/>
                      <w:marBottom w:val="0"/>
                      <w:divBdr>
                        <w:top w:val="none" w:sz="0" w:space="0" w:color="auto"/>
                        <w:left w:val="none" w:sz="0" w:space="0" w:color="auto"/>
                        <w:bottom w:val="none" w:sz="0" w:space="0" w:color="auto"/>
                        <w:right w:val="none" w:sz="0" w:space="0" w:color="auto"/>
                      </w:divBdr>
                    </w:div>
                    <w:div w:id="1223558947">
                      <w:marLeft w:val="0"/>
                      <w:marRight w:val="0"/>
                      <w:marTop w:val="0"/>
                      <w:marBottom w:val="0"/>
                      <w:divBdr>
                        <w:top w:val="none" w:sz="0" w:space="0" w:color="auto"/>
                        <w:left w:val="none" w:sz="0" w:space="0" w:color="auto"/>
                        <w:bottom w:val="none" w:sz="0" w:space="0" w:color="auto"/>
                        <w:right w:val="none" w:sz="0" w:space="0" w:color="auto"/>
                      </w:divBdr>
                    </w:div>
                    <w:div w:id="2118862914">
                      <w:marLeft w:val="0"/>
                      <w:marRight w:val="0"/>
                      <w:marTop w:val="0"/>
                      <w:marBottom w:val="0"/>
                      <w:divBdr>
                        <w:top w:val="none" w:sz="0" w:space="0" w:color="auto"/>
                        <w:left w:val="none" w:sz="0" w:space="0" w:color="auto"/>
                        <w:bottom w:val="none" w:sz="0" w:space="0" w:color="auto"/>
                        <w:right w:val="none" w:sz="0" w:space="0" w:color="auto"/>
                      </w:divBdr>
                    </w:div>
                  </w:divsChild>
                </w:div>
                <w:div w:id="501089499">
                  <w:marLeft w:val="0"/>
                  <w:marRight w:val="0"/>
                  <w:marTop w:val="0"/>
                  <w:marBottom w:val="0"/>
                  <w:divBdr>
                    <w:top w:val="none" w:sz="0" w:space="0" w:color="auto"/>
                    <w:left w:val="none" w:sz="0" w:space="0" w:color="auto"/>
                    <w:bottom w:val="none" w:sz="0" w:space="0" w:color="auto"/>
                    <w:right w:val="none" w:sz="0" w:space="0" w:color="auto"/>
                  </w:divBdr>
                  <w:divsChild>
                    <w:div w:id="130103944">
                      <w:marLeft w:val="0"/>
                      <w:marRight w:val="0"/>
                      <w:marTop w:val="0"/>
                      <w:marBottom w:val="0"/>
                      <w:divBdr>
                        <w:top w:val="none" w:sz="0" w:space="0" w:color="auto"/>
                        <w:left w:val="none" w:sz="0" w:space="0" w:color="auto"/>
                        <w:bottom w:val="none" w:sz="0" w:space="0" w:color="auto"/>
                        <w:right w:val="none" w:sz="0" w:space="0" w:color="auto"/>
                      </w:divBdr>
                    </w:div>
                  </w:divsChild>
                </w:div>
                <w:div w:id="508636865">
                  <w:marLeft w:val="0"/>
                  <w:marRight w:val="0"/>
                  <w:marTop w:val="0"/>
                  <w:marBottom w:val="0"/>
                  <w:divBdr>
                    <w:top w:val="none" w:sz="0" w:space="0" w:color="auto"/>
                    <w:left w:val="none" w:sz="0" w:space="0" w:color="auto"/>
                    <w:bottom w:val="none" w:sz="0" w:space="0" w:color="auto"/>
                    <w:right w:val="none" w:sz="0" w:space="0" w:color="auto"/>
                  </w:divBdr>
                  <w:divsChild>
                    <w:div w:id="988048352">
                      <w:marLeft w:val="0"/>
                      <w:marRight w:val="0"/>
                      <w:marTop w:val="0"/>
                      <w:marBottom w:val="0"/>
                      <w:divBdr>
                        <w:top w:val="none" w:sz="0" w:space="0" w:color="auto"/>
                        <w:left w:val="none" w:sz="0" w:space="0" w:color="auto"/>
                        <w:bottom w:val="none" w:sz="0" w:space="0" w:color="auto"/>
                        <w:right w:val="none" w:sz="0" w:space="0" w:color="auto"/>
                      </w:divBdr>
                    </w:div>
                  </w:divsChild>
                </w:div>
                <w:div w:id="533621861">
                  <w:marLeft w:val="0"/>
                  <w:marRight w:val="0"/>
                  <w:marTop w:val="0"/>
                  <w:marBottom w:val="0"/>
                  <w:divBdr>
                    <w:top w:val="none" w:sz="0" w:space="0" w:color="auto"/>
                    <w:left w:val="none" w:sz="0" w:space="0" w:color="auto"/>
                    <w:bottom w:val="none" w:sz="0" w:space="0" w:color="auto"/>
                    <w:right w:val="none" w:sz="0" w:space="0" w:color="auto"/>
                  </w:divBdr>
                  <w:divsChild>
                    <w:div w:id="1756780437">
                      <w:marLeft w:val="0"/>
                      <w:marRight w:val="0"/>
                      <w:marTop w:val="0"/>
                      <w:marBottom w:val="0"/>
                      <w:divBdr>
                        <w:top w:val="none" w:sz="0" w:space="0" w:color="auto"/>
                        <w:left w:val="none" w:sz="0" w:space="0" w:color="auto"/>
                        <w:bottom w:val="none" w:sz="0" w:space="0" w:color="auto"/>
                        <w:right w:val="none" w:sz="0" w:space="0" w:color="auto"/>
                      </w:divBdr>
                    </w:div>
                  </w:divsChild>
                </w:div>
                <w:div w:id="553853300">
                  <w:marLeft w:val="0"/>
                  <w:marRight w:val="0"/>
                  <w:marTop w:val="0"/>
                  <w:marBottom w:val="0"/>
                  <w:divBdr>
                    <w:top w:val="none" w:sz="0" w:space="0" w:color="auto"/>
                    <w:left w:val="none" w:sz="0" w:space="0" w:color="auto"/>
                    <w:bottom w:val="none" w:sz="0" w:space="0" w:color="auto"/>
                    <w:right w:val="none" w:sz="0" w:space="0" w:color="auto"/>
                  </w:divBdr>
                  <w:divsChild>
                    <w:div w:id="1852333280">
                      <w:marLeft w:val="0"/>
                      <w:marRight w:val="0"/>
                      <w:marTop w:val="0"/>
                      <w:marBottom w:val="0"/>
                      <w:divBdr>
                        <w:top w:val="none" w:sz="0" w:space="0" w:color="auto"/>
                        <w:left w:val="none" w:sz="0" w:space="0" w:color="auto"/>
                        <w:bottom w:val="none" w:sz="0" w:space="0" w:color="auto"/>
                        <w:right w:val="none" w:sz="0" w:space="0" w:color="auto"/>
                      </w:divBdr>
                    </w:div>
                  </w:divsChild>
                </w:div>
                <w:div w:id="572393276">
                  <w:marLeft w:val="0"/>
                  <w:marRight w:val="0"/>
                  <w:marTop w:val="0"/>
                  <w:marBottom w:val="0"/>
                  <w:divBdr>
                    <w:top w:val="none" w:sz="0" w:space="0" w:color="auto"/>
                    <w:left w:val="none" w:sz="0" w:space="0" w:color="auto"/>
                    <w:bottom w:val="none" w:sz="0" w:space="0" w:color="auto"/>
                    <w:right w:val="none" w:sz="0" w:space="0" w:color="auto"/>
                  </w:divBdr>
                  <w:divsChild>
                    <w:div w:id="1553274809">
                      <w:marLeft w:val="0"/>
                      <w:marRight w:val="0"/>
                      <w:marTop w:val="0"/>
                      <w:marBottom w:val="0"/>
                      <w:divBdr>
                        <w:top w:val="none" w:sz="0" w:space="0" w:color="auto"/>
                        <w:left w:val="none" w:sz="0" w:space="0" w:color="auto"/>
                        <w:bottom w:val="none" w:sz="0" w:space="0" w:color="auto"/>
                        <w:right w:val="none" w:sz="0" w:space="0" w:color="auto"/>
                      </w:divBdr>
                    </w:div>
                  </w:divsChild>
                </w:div>
                <w:div w:id="584074365">
                  <w:marLeft w:val="0"/>
                  <w:marRight w:val="0"/>
                  <w:marTop w:val="0"/>
                  <w:marBottom w:val="0"/>
                  <w:divBdr>
                    <w:top w:val="none" w:sz="0" w:space="0" w:color="auto"/>
                    <w:left w:val="none" w:sz="0" w:space="0" w:color="auto"/>
                    <w:bottom w:val="none" w:sz="0" w:space="0" w:color="auto"/>
                    <w:right w:val="none" w:sz="0" w:space="0" w:color="auto"/>
                  </w:divBdr>
                  <w:divsChild>
                    <w:div w:id="402456847">
                      <w:marLeft w:val="0"/>
                      <w:marRight w:val="0"/>
                      <w:marTop w:val="0"/>
                      <w:marBottom w:val="0"/>
                      <w:divBdr>
                        <w:top w:val="none" w:sz="0" w:space="0" w:color="auto"/>
                        <w:left w:val="none" w:sz="0" w:space="0" w:color="auto"/>
                        <w:bottom w:val="none" w:sz="0" w:space="0" w:color="auto"/>
                        <w:right w:val="none" w:sz="0" w:space="0" w:color="auto"/>
                      </w:divBdr>
                    </w:div>
                  </w:divsChild>
                </w:div>
                <w:div w:id="596134694">
                  <w:marLeft w:val="0"/>
                  <w:marRight w:val="0"/>
                  <w:marTop w:val="0"/>
                  <w:marBottom w:val="0"/>
                  <w:divBdr>
                    <w:top w:val="none" w:sz="0" w:space="0" w:color="auto"/>
                    <w:left w:val="none" w:sz="0" w:space="0" w:color="auto"/>
                    <w:bottom w:val="none" w:sz="0" w:space="0" w:color="auto"/>
                    <w:right w:val="none" w:sz="0" w:space="0" w:color="auto"/>
                  </w:divBdr>
                  <w:divsChild>
                    <w:div w:id="1573811499">
                      <w:marLeft w:val="0"/>
                      <w:marRight w:val="0"/>
                      <w:marTop w:val="0"/>
                      <w:marBottom w:val="0"/>
                      <w:divBdr>
                        <w:top w:val="none" w:sz="0" w:space="0" w:color="auto"/>
                        <w:left w:val="none" w:sz="0" w:space="0" w:color="auto"/>
                        <w:bottom w:val="none" w:sz="0" w:space="0" w:color="auto"/>
                        <w:right w:val="none" w:sz="0" w:space="0" w:color="auto"/>
                      </w:divBdr>
                    </w:div>
                  </w:divsChild>
                </w:div>
                <w:div w:id="597560817">
                  <w:marLeft w:val="0"/>
                  <w:marRight w:val="0"/>
                  <w:marTop w:val="0"/>
                  <w:marBottom w:val="0"/>
                  <w:divBdr>
                    <w:top w:val="none" w:sz="0" w:space="0" w:color="auto"/>
                    <w:left w:val="none" w:sz="0" w:space="0" w:color="auto"/>
                    <w:bottom w:val="none" w:sz="0" w:space="0" w:color="auto"/>
                    <w:right w:val="none" w:sz="0" w:space="0" w:color="auto"/>
                  </w:divBdr>
                  <w:divsChild>
                    <w:div w:id="410852835">
                      <w:marLeft w:val="0"/>
                      <w:marRight w:val="0"/>
                      <w:marTop w:val="0"/>
                      <w:marBottom w:val="0"/>
                      <w:divBdr>
                        <w:top w:val="none" w:sz="0" w:space="0" w:color="auto"/>
                        <w:left w:val="none" w:sz="0" w:space="0" w:color="auto"/>
                        <w:bottom w:val="none" w:sz="0" w:space="0" w:color="auto"/>
                        <w:right w:val="none" w:sz="0" w:space="0" w:color="auto"/>
                      </w:divBdr>
                    </w:div>
                  </w:divsChild>
                </w:div>
                <w:div w:id="601760187">
                  <w:marLeft w:val="0"/>
                  <w:marRight w:val="0"/>
                  <w:marTop w:val="0"/>
                  <w:marBottom w:val="0"/>
                  <w:divBdr>
                    <w:top w:val="none" w:sz="0" w:space="0" w:color="auto"/>
                    <w:left w:val="none" w:sz="0" w:space="0" w:color="auto"/>
                    <w:bottom w:val="none" w:sz="0" w:space="0" w:color="auto"/>
                    <w:right w:val="none" w:sz="0" w:space="0" w:color="auto"/>
                  </w:divBdr>
                  <w:divsChild>
                    <w:div w:id="170147365">
                      <w:marLeft w:val="0"/>
                      <w:marRight w:val="0"/>
                      <w:marTop w:val="0"/>
                      <w:marBottom w:val="0"/>
                      <w:divBdr>
                        <w:top w:val="none" w:sz="0" w:space="0" w:color="auto"/>
                        <w:left w:val="none" w:sz="0" w:space="0" w:color="auto"/>
                        <w:bottom w:val="none" w:sz="0" w:space="0" w:color="auto"/>
                        <w:right w:val="none" w:sz="0" w:space="0" w:color="auto"/>
                      </w:divBdr>
                    </w:div>
                  </w:divsChild>
                </w:div>
                <w:div w:id="615646929">
                  <w:marLeft w:val="0"/>
                  <w:marRight w:val="0"/>
                  <w:marTop w:val="0"/>
                  <w:marBottom w:val="0"/>
                  <w:divBdr>
                    <w:top w:val="none" w:sz="0" w:space="0" w:color="auto"/>
                    <w:left w:val="none" w:sz="0" w:space="0" w:color="auto"/>
                    <w:bottom w:val="none" w:sz="0" w:space="0" w:color="auto"/>
                    <w:right w:val="none" w:sz="0" w:space="0" w:color="auto"/>
                  </w:divBdr>
                  <w:divsChild>
                    <w:div w:id="21320417">
                      <w:marLeft w:val="0"/>
                      <w:marRight w:val="0"/>
                      <w:marTop w:val="0"/>
                      <w:marBottom w:val="0"/>
                      <w:divBdr>
                        <w:top w:val="none" w:sz="0" w:space="0" w:color="auto"/>
                        <w:left w:val="none" w:sz="0" w:space="0" w:color="auto"/>
                        <w:bottom w:val="none" w:sz="0" w:space="0" w:color="auto"/>
                        <w:right w:val="none" w:sz="0" w:space="0" w:color="auto"/>
                      </w:divBdr>
                    </w:div>
                  </w:divsChild>
                </w:div>
                <w:div w:id="617446409">
                  <w:marLeft w:val="0"/>
                  <w:marRight w:val="0"/>
                  <w:marTop w:val="0"/>
                  <w:marBottom w:val="0"/>
                  <w:divBdr>
                    <w:top w:val="none" w:sz="0" w:space="0" w:color="auto"/>
                    <w:left w:val="none" w:sz="0" w:space="0" w:color="auto"/>
                    <w:bottom w:val="none" w:sz="0" w:space="0" w:color="auto"/>
                    <w:right w:val="none" w:sz="0" w:space="0" w:color="auto"/>
                  </w:divBdr>
                  <w:divsChild>
                    <w:div w:id="1411389226">
                      <w:marLeft w:val="0"/>
                      <w:marRight w:val="0"/>
                      <w:marTop w:val="0"/>
                      <w:marBottom w:val="0"/>
                      <w:divBdr>
                        <w:top w:val="none" w:sz="0" w:space="0" w:color="auto"/>
                        <w:left w:val="none" w:sz="0" w:space="0" w:color="auto"/>
                        <w:bottom w:val="none" w:sz="0" w:space="0" w:color="auto"/>
                        <w:right w:val="none" w:sz="0" w:space="0" w:color="auto"/>
                      </w:divBdr>
                    </w:div>
                  </w:divsChild>
                </w:div>
                <w:div w:id="621958257">
                  <w:marLeft w:val="0"/>
                  <w:marRight w:val="0"/>
                  <w:marTop w:val="0"/>
                  <w:marBottom w:val="0"/>
                  <w:divBdr>
                    <w:top w:val="none" w:sz="0" w:space="0" w:color="auto"/>
                    <w:left w:val="none" w:sz="0" w:space="0" w:color="auto"/>
                    <w:bottom w:val="none" w:sz="0" w:space="0" w:color="auto"/>
                    <w:right w:val="none" w:sz="0" w:space="0" w:color="auto"/>
                  </w:divBdr>
                  <w:divsChild>
                    <w:div w:id="1444617422">
                      <w:marLeft w:val="0"/>
                      <w:marRight w:val="0"/>
                      <w:marTop w:val="0"/>
                      <w:marBottom w:val="0"/>
                      <w:divBdr>
                        <w:top w:val="none" w:sz="0" w:space="0" w:color="auto"/>
                        <w:left w:val="none" w:sz="0" w:space="0" w:color="auto"/>
                        <w:bottom w:val="none" w:sz="0" w:space="0" w:color="auto"/>
                        <w:right w:val="none" w:sz="0" w:space="0" w:color="auto"/>
                      </w:divBdr>
                    </w:div>
                  </w:divsChild>
                </w:div>
                <w:div w:id="646400231">
                  <w:marLeft w:val="0"/>
                  <w:marRight w:val="0"/>
                  <w:marTop w:val="0"/>
                  <w:marBottom w:val="0"/>
                  <w:divBdr>
                    <w:top w:val="none" w:sz="0" w:space="0" w:color="auto"/>
                    <w:left w:val="none" w:sz="0" w:space="0" w:color="auto"/>
                    <w:bottom w:val="none" w:sz="0" w:space="0" w:color="auto"/>
                    <w:right w:val="none" w:sz="0" w:space="0" w:color="auto"/>
                  </w:divBdr>
                  <w:divsChild>
                    <w:div w:id="728385542">
                      <w:marLeft w:val="0"/>
                      <w:marRight w:val="0"/>
                      <w:marTop w:val="0"/>
                      <w:marBottom w:val="0"/>
                      <w:divBdr>
                        <w:top w:val="none" w:sz="0" w:space="0" w:color="auto"/>
                        <w:left w:val="none" w:sz="0" w:space="0" w:color="auto"/>
                        <w:bottom w:val="none" w:sz="0" w:space="0" w:color="auto"/>
                        <w:right w:val="none" w:sz="0" w:space="0" w:color="auto"/>
                      </w:divBdr>
                    </w:div>
                  </w:divsChild>
                </w:div>
                <w:div w:id="652225320">
                  <w:marLeft w:val="0"/>
                  <w:marRight w:val="0"/>
                  <w:marTop w:val="0"/>
                  <w:marBottom w:val="0"/>
                  <w:divBdr>
                    <w:top w:val="none" w:sz="0" w:space="0" w:color="auto"/>
                    <w:left w:val="none" w:sz="0" w:space="0" w:color="auto"/>
                    <w:bottom w:val="none" w:sz="0" w:space="0" w:color="auto"/>
                    <w:right w:val="none" w:sz="0" w:space="0" w:color="auto"/>
                  </w:divBdr>
                  <w:divsChild>
                    <w:div w:id="594821783">
                      <w:marLeft w:val="0"/>
                      <w:marRight w:val="0"/>
                      <w:marTop w:val="0"/>
                      <w:marBottom w:val="0"/>
                      <w:divBdr>
                        <w:top w:val="none" w:sz="0" w:space="0" w:color="auto"/>
                        <w:left w:val="none" w:sz="0" w:space="0" w:color="auto"/>
                        <w:bottom w:val="none" w:sz="0" w:space="0" w:color="auto"/>
                        <w:right w:val="none" w:sz="0" w:space="0" w:color="auto"/>
                      </w:divBdr>
                    </w:div>
                  </w:divsChild>
                </w:div>
                <w:div w:id="685716701">
                  <w:marLeft w:val="0"/>
                  <w:marRight w:val="0"/>
                  <w:marTop w:val="0"/>
                  <w:marBottom w:val="0"/>
                  <w:divBdr>
                    <w:top w:val="none" w:sz="0" w:space="0" w:color="auto"/>
                    <w:left w:val="none" w:sz="0" w:space="0" w:color="auto"/>
                    <w:bottom w:val="none" w:sz="0" w:space="0" w:color="auto"/>
                    <w:right w:val="none" w:sz="0" w:space="0" w:color="auto"/>
                  </w:divBdr>
                  <w:divsChild>
                    <w:div w:id="2069300659">
                      <w:marLeft w:val="0"/>
                      <w:marRight w:val="0"/>
                      <w:marTop w:val="0"/>
                      <w:marBottom w:val="0"/>
                      <w:divBdr>
                        <w:top w:val="none" w:sz="0" w:space="0" w:color="auto"/>
                        <w:left w:val="none" w:sz="0" w:space="0" w:color="auto"/>
                        <w:bottom w:val="none" w:sz="0" w:space="0" w:color="auto"/>
                        <w:right w:val="none" w:sz="0" w:space="0" w:color="auto"/>
                      </w:divBdr>
                    </w:div>
                  </w:divsChild>
                </w:div>
                <w:div w:id="705103919">
                  <w:marLeft w:val="0"/>
                  <w:marRight w:val="0"/>
                  <w:marTop w:val="0"/>
                  <w:marBottom w:val="0"/>
                  <w:divBdr>
                    <w:top w:val="none" w:sz="0" w:space="0" w:color="auto"/>
                    <w:left w:val="none" w:sz="0" w:space="0" w:color="auto"/>
                    <w:bottom w:val="none" w:sz="0" w:space="0" w:color="auto"/>
                    <w:right w:val="none" w:sz="0" w:space="0" w:color="auto"/>
                  </w:divBdr>
                  <w:divsChild>
                    <w:div w:id="7145780">
                      <w:marLeft w:val="0"/>
                      <w:marRight w:val="0"/>
                      <w:marTop w:val="0"/>
                      <w:marBottom w:val="0"/>
                      <w:divBdr>
                        <w:top w:val="none" w:sz="0" w:space="0" w:color="auto"/>
                        <w:left w:val="none" w:sz="0" w:space="0" w:color="auto"/>
                        <w:bottom w:val="none" w:sz="0" w:space="0" w:color="auto"/>
                        <w:right w:val="none" w:sz="0" w:space="0" w:color="auto"/>
                      </w:divBdr>
                    </w:div>
                  </w:divsChild>
                </w:div>
                <w:div w:id="707995428">
                  <w:marLeft w:val="0"/>
                  <w:marRight w:val="0"/>
                  <w:marTop w:val="0"/>
                  <w:marBottom w:val="0"/>
                  <w:divBdr>
                    <w:top w:val="none" w:sz="0" w:space="0" w:color="auto"/>
                    <w:left w:val="none" w:sz="0" w:space="0" w:color="auto"/>
                    <w:bottom w:val="none" w:sz="0" w:space="0" w:color="auto"/>
                    <w:right w:val="none" w:sz="0" w:space="0" w:color="auto"/>
                  </w:divBdr>
                  <w:divsChild>
                    <w:div w:id="944574289">
                      <w:marLeft w:val="0"/>
                      <w:marRight w:val="0"/>
                      <w:marTop w:val="0"/>
                      <w:marBottom w:val="0"/>
                      <w:divBdr>
                        <w:top w:val="none" w:sz="0" w:space="0" w:color="auto"/>
                        <w:left w:val="none" w:sz="0" w:space="0" w:color="auto"/>
                        <w:bottom w:val="none" w:sz="0" w:space="0" w:color="auto"/>
                        <w:right w:val="none" w:sz="0" w:space="0" w:color="auto"/>
                      </w:divBdr>
                    </w:div>
                  </w:divsChild>
                </w:div>
                <w:div w:id="720832182">
                  <w:marLeft w:val="0"/>
                  <w:marRight w:val="0"/>
                  <w:marTop w:val="0"/>
                  <w:marBottom w:val="0"/>
                  <w:divBdr>
                    <w:top w:val="none" w:sz="0" w:space="0" w:color="auto"/>
                    <w:left w:val="none" w:sz="0" w:space="0" w:color="auto"/>
                    <w:bottom w:val="none" w:sz="0" w:space="0" w:color="auto"/>
                    <w:right w:val="none" w:sz="0" w:space="0" w:color="auto"/>
                  </w:divBdr>
                  <w:divsChild>
                    <w:div w:id="281229684">
                      <w:marLeft w:val="0"/>
                      <w:marRight w:val="0"/>
                      <w:marTop w:val="0"/>
                      <w:marBottom w:val="0"/>
                      <w:divBdr>
                        <w:top w:val="none" w:sz="0" w:space="0" w:color="auto"/>
                        <w:left w:val="none" w:sz="0" w:space="0" w:color="auto"/>
                        <w:bottom w:val="none" w:sz="0" w:space="0" w:color="auto"/>
                        <w:right w:val="none" w:sz="0" w:space="0" w:color="auto"/>
                      </w:divBdr>
                    </w:div>
                    <w:div w:id="831258918">
                      <w:marLeft w:val="0"/>
                      <w:marRight w:val="0"/>
                      <w:marTop w:val="0"/>
                      <w:marBottom w:val="0"/>
                      <w:divBdr>
                        <w:top w:val="none" w:sz="0" w:space="0" w:color="auto"/>
                        <w:left w:val="none" w:sz="0" w:space="0" w:color="auto"/>
                        <w:bottom w:val="none" w:sz="0" w:space="0" w:color="auto"/>
                        <w:right w:val="none" w:sz="0" w:space="0" w:color="auto"/>
                      </w:divBdr>
                    </w:div>
                  </w:divsChild>
                </w:div>
                <w:div w:id="725883081">
                  <w:marLeft w:val="0"/>
                  <w:marRight w:val="0"/>
                  <w:marTop w:val="0"/>
                  <w:marBottom w:val="0"/>
                  <w:divBdr>
                    <w:top w:val="none" w:sz="0" w:space="0" w:color="auto"/>
                    <w:left w:val="none" w:sz="0" w:space="0" w:color="auto"/>
                    <w:bottom w:val="none" w:sz="0" w:space="0" w:color="auto"/>
                    <w:right w:val="none" w:sz="0" w:space="0" w:color="auto"/>
                  </w:divBdr>
                  <w:divsChild>
                    <w:div w:id="1985430460">
                      <w:marLeft w:val="0"/>
                      <w:marRight w:val="0"/>
                      <w:marTop w:val="0"/>
                      <w:marBottom w:val="0"/>
                      <w:divBdr>
                        <w:top w:val="none" w:sz="0" w:space="0" w:color="auto"/>
                        <w:left w:val="none" w:sz="0" w:space="0" w:color="auto"/>
                        <w:bottom w:val="none" w:sz="0" w:space="0" w:color="auto"/>
                        <w:right w:val="none" w:sz="0" w:space="0" w:color="auto"/>
                      </w:divBdr>
                    </w:div>
                  </w:divsChild>
                </w:div>
                <w:div w:id="728068941">
                  <w:marLeft w:val="0"/>
                  <w:marRight w:val="0"/>
                  <w:marTop w:val="0"/>
                  <w:marBottom w:val="0"/>
                  <w:divBdr>
                    <w:top w:val="none" w:sz="0" w:space="0" w:color="auto"/>
                    <w:left w:val="none" w:sz="0" w:space="0" w:color="auto"/>
                    <w:bottom w:val="none" w:sz="0" w:space="0" w:color="auto"/>
                    <w:right w:val="none" w:sz="0" w:space="0" w:color="auto"/>
                  </w:divBdr>
                  <w:divsChild>
                    <w:div w:id="58554371">
                      <w:marLeft w:val="0"/>
                      <w:marRight w:val="0"/>
                      <w:marTop w:val="0"/>
                      <w:marBottom w:val="0"/>
                      <w:divBdr>
                        <w:top w:val="none" w:sz="0" w:space="0" w:color="auto"/>
                        <w:left w:val="none" w:sz="0" w:space="0" w:color="auto"/>
                        <w:bottom w:val="none" w:sz="0" w:space="0" w:color="auto"/>
                        <w:right w:val="none" w:sz="0" w:space="0" w:color="auto"/>
                      </w:divBdr>
                    </w:div>
                  </w:divsChild>
                </w:div>
                <w:div w:id="735906461">
                  <w:marLeft w:val="0"/>
                  <w:marRight w:val="0"/>
                  <w:marTop w:val="0"/>
                  <w:marBottom w:val="0"/>
                  <w:divBdr>
                    <w:top w:val="none" w:sz="0" w:space="0" w:color="auto"/>
                    <w:left w:val="none" w:sz="0" w:space="0" w:color="auto"/>
                    <w:bottom w:val="none" w:sz="0" w:space="0" w:color="auto"/>
                    <w:right w:val="none" w:sz="0" w:space="0" w:color="auto"/>
                  </w:divBdr>
                  <w:divsChild>
                    <w:div w:id="107118525">
                      <w:marLeft w:val="0"/>
                      <w:marRight w:val="0"/>
                      <w:marTop w:val="0"/>
                      <w:marBottom w:val="0"/>
                      <w:divBdr>
                        <w:top w:val="none" w:sz="0" w:space="0" w:color="auto"/>
                        <w:left w:val="none" w:sz="0" w:space="0" w:color="auto"/>
                        <w:bottom w:val="none" w:sz="0" w:space="0" w:color="auto"/>
                        <w:right w:val="none" w:sz="0" w:space="0" w:color="auto"/>
                      </w:divBdr>
                    </w:div>
                  </w:divsChild>
                </w:div>
                <w:div w:id="740295888">
                  <w:marLeft w:val="0"/>
                  <w:marRight w:val="0"/>
                  <w:marTop w:val="0"/>
                  <w:marBottom w:val="0"/>
                  <w:divBdr>
                    <w:top w:val="none" w:sz="0" w:space="0" w:color="auto"/>
                    <w:left w:val="none" w:sz="0" w:space="0" w:color="auto"/>
                    <w:bottom w:val="none" w:sz="0" w:space="0" w:color="auto"/>
                    <w:right w:val="none" w:sz="0" w:space="0" w:color="auto"/>
                  </w:divBdr>
                  <w:divsChild>
                    <w:div w:id="1184247405">
                      <w:marLeft w:val="0"/>
                      <w:marRight w:val="0"/>
                      <w:marTop w:val="0"/>
                      <w:marBottom w:val="0"/>
                      <w:divBdr>
                        <w:top w:val="none" w:sz="0" w:space="0" w:color="auto"/>
                        <w:left w:val="none" w:sz="0" w:space="0" w:color="auto"/>
                        <w:bottom w:val="none" w:sz="0" w:space="0" w:color="auto"/>
                        <w:right w:val="none" w:sz="0" w:space="0" w:color="auto"/>
                      </w:divBdr>
                    </w:div>
                  </w:divsChild>
                </w:div>
                <w:div w:id="774058655">
                  <w:marLeft w:val="0"/>
                  <w:marRight w:val="0"/>
                  <w:marTop w:val="0"/>
                  <w:marBottom w:val="0"/>
                  <w:divBdr>
                    <w:top w:val="none" w:sz="0" w:space="0" w:color="auto"/>
                    <w:left w:val="none" w:sz="0" w:space="0" w:color="auto"/>
                    <w:bottom w:val="none" w:sz="0" w:space="0" w:color="auto"/>
                    <w:right w:val="none" w:sz="0" w:space="0" w:color="auto"/>
                  </w:divBdr>
                  <w:divsChild>
                    <w:div w:id="2118332887">
                      <w:marLeft w:val="0"/>
                      <w:marRight w:val="0"/>
                      <w:marTop w:val="0"/>
                      <w:marBottom w:val="0"/>
                      <w:divBdr>
                        <w:top w:val="none" w:sz="0" w:space="0" w:color="auto"/>
                        <w:left w:val="none" w:sz="0" w:space="0" w:color="auto"/>
                        <w:bottom w:val="none" w:sz="0" w:space="0" w:color="auto"/>
                        <w:right w:val="none" w:sz="0" w:space="0" w:color="auto"/>
                      </w:divBdr>
                    </w:div>
                  </w:divsChild>
                </w:div>
                <w:div w:id="808127754">
                  <w:marLeft w:val="0"/>
                  <w:marRight w:val="0"/>
                  <w:marTop w:val="0"/>
                  <w:marBottom w:val="0"/>
                  <w:divBdr>
                    <w:top w:val="none" w:sz="0" w:space="0" w:color="auto"/>
                    <w:left w:val="none" w:sz="0" w:space="0" w:color="auto"/>
                    <w:bottom w:val="none" w:sz="0" w:space="0" w:color="auto"/>
                    <w:right w:val="none" w:sz="0" w:space="0" w:color="auto"/>
                  </w:divBdr>
                  <w:divsChild>
                    <w:div w:id="1057363784">
                      <w:marLeft w:val="0"/>
                      <w:marRight w:val="0"/>
                      <w:marTop w:val="0"/>
                      <w:marBottom w:val="0"/>
                      <w:divBdr>
                        <w:top w:val="none" w:sz="0" w:space="0" w:color="auto"/>
                        <w:left w:val="none" w:sz="0" w:space="0" w:color="auto"/>
                        <w:bottom w:val="none" w:sz="0" w:space="0" w:color="auto"/>
                        <w:right w:val="none" w:sz="0" w:space="0" w:color="auto"/>
                      </w:divBdr>
                    </w:div>
                  </w:divsChild>
                </w:div>
                <w:div w:id="811824956">
                  <w:marLeft w:val="0"/>
                  <w:marRight w:val="0"/>
                  <w:marTop w:val="0"/>
                  <w:marBottom w:val="0"/>
                  <w:divBdr>
                    <w:top w:val="none" w:sz="0" w:space="0" w:color="auto"/>
                    <w:left w:val="none" w:sz="0" w:space="0" w:color="auto"/>
                    <w:bottom w:val="none" w:sz="0" w:space="0" w:color="auto"/>
                    <w:right w:val="none" w:sz="0" w:space="0" w:color="auto"/>
                  </w:divBdr>
                  <w:divsChild>
                    <w:div w:id="382020329">
                      <w:marLeft w:val="0"/>
                      <w:marRight w:val="0"/>
                      <w:marTop w:val="0"/>
                      <w:marBottom w:val="0"/>
                      <w:divBdr>
                        <w:top w:val="none" w:sz="0" w:space="0" w:color="auto"/>
                        <w:left w:val="none" w:sz="0" w:space="0" w:color="auto"/>
                        <w:bottom w:val="none" w:sz="0" w:space="0" w:color="auto"/>
                        <w:right w:val="none" w:sz="0" w:space="0" w:color="auto"/>
                      </w:divBdr>
                    </w:div>
                  </w:divsChild>
                </w:div>
                <w:div w:id="824589197">
                  <w:marLeft w:val="0"/>
                  <w:marRight w:val="0"/>
                  <w:marTop w:val="0"/>
                  <w:marBottom w:val="0"/>
                  <w:divBdr>
                    <w:top w:val="none" w:sz="0" w:space="0" w:color="auto"/>
                    <w:left w:val="none" w:sz="0" w:space="0" w:color="auto"/>
                    <w:bottom w:val="none" w:sz="0" w:space="0" w:color="auto"/>
                    <w:right w:val="none" w:sz="0" w:space="0" w:color="auto"/>
                  </w:divBdr>
                  <w:divsChild>
                    <w:div w:id="536771327">
                      <w:marLeft w:val="0"/>
                      <w:marRight w:val="0"/>
                      <w:marTop w:val="0"/>
                      <w:marBottom w:val="0"/>
                      <w:divBdr>
                        <w:top w:val="none" w:sz="0" w:space="0" w:color="auto"/>
                        <w:left w:val="none" w:sz="0" w:space="0" w:color="auto"/>
                        <w:bottom w:val="none" w:sz="0" w:space="0" w:color="auto"/>
                        <w:right w:val="none" w:sz="0" w:space="0" w:color="auto"/>
                      </w:divBdr>
                    </w:div>
                  </w:divsChild>
                </w:div>
                <w:div w:id="825709908">
                  <w:marLeft w:val="0"/>
                  <w:marRight w:val="0"/>
                  <w:marTop w:val="0"/>
                  <w:marBottom w:val="0"/>
                  <w:divBdr>
                    <w:top w:val="none" w:sz="0" w:space="0" w:color="auto"/>
                    <w:left w:val="none" w:sz="0" w:space="0" w:color="auto"/>
                    <w:bottom w:val="none" w:sz="0" w:space="0" w:color="auto"/>
                    <w:right w:val="none" w:sz="0" w:space="0" w:color="auto"/>
                  </w:divBdr>
                  <w:divsChild>
                    <w:div w:id="339161459">
                      <w:marLeft w:val="0"/>
                      <w:marRight w:val="0"/>
                      <w:marTop w:val="0"/>
                      <w:marBottom w:val="0"/>
                      <w:divBdr>
                        <w:top w:val="none" w:sz="0" w:space="0" w:color="auto"/>
                        <w:left w:val="none" w:sz="0" w:space="0" w:color="auto"/>
                        <w:bottom w:val="none" w:sz="0" w:space="0" w:color="auto"/>
                        <w:right w:val="none" w:sz="0" w:space="0" w:color="auto"/>
                      </w:divBdr>
                    </w:div>
                  </w:divsChild>
                </w:div>
                <w:div w:id="843396138">
                  <w:marLeft w:val="0"/>
                  <w:marRight w:val="0"/>
                  <w:marTop w:val="0"/>
                  <w:marBottom w:val="0"/>
                  <w:divBdr>
                    <w:top w:val="none" w:sz="0" w:space="0" w:color="auto"/>
                    <w:left w:val="none" w:sz="0" w:space="0" w:color="auto"/>
                    <w:bottom w:val="none" w:sz="0" w:space="0" w:color="auto"/>
                    <w:right w:val="none" w:sz="0" w:space="0" w:color="auto"/>
                  </w:divBdr>
                  <w:divsChild>
                    <w:div w:id="410010887">
                      <w:marLeft w:val="0"/>
                      <w:marRight w:val="0"/>
                      <w:marTop w:val="0"/>
                      <w:marBottom w:val="0"/>
                      <w:divBdr>
                        <w:top w:val="none" w:sz="0" w:space="0" w:color="auto"/>
                        <w:left w:val="none" w:sz="0" w:space="0" w:color="auto"/>
                        <w:bottom w:val="none" w:sz="0" w:space="0" w:color="auto"/>
                        <w:right w:val="none" w:sz="0" w:space="0" w:color="auto"/>
                      </w:divBdr>
                    </w:div>
                  </w:divsChild>
                </w:div>
                <w:div w:id="857737819">
                  <w:marLeft w:val="0"/>
                  <w:marRight w:val="0"/>
                  <w:marTop w:val="0"/>
                  <w:marBottom w:val="0"/>
                  <w:divBdr>
                    <w:top w:val="none" w:sz="0" w:space="0" w:color="auto"/>
                    <w:left w:val="none" w:sz="0" w:space="0" w:color="auto"/>
                    <w:bottom w:val="none" w:sz="0" w:space="0" w:color="auto"/>
                    <w:right w:val="none" w:sz="0" w:space="0" w:color="auto"/>
                  </w:divBdr>
                  <w:divsChild>
                    <w:div w:id="304698652">
                      <w:marLeft w:val="0"/>
                      <w:marRight w:val="0"/>
                      <w:marTop w:val="0"/>
                      <w:marBottom w:val="0"/>
                      <w:divBdr>
                        <w:top w:val="none" w:sz="0" w:space="0" w:color="auto"/>
                        <w:left w:val="none" w:sz="0" w:space="0" w:color="auto"/>
                        <w:bottom w:val="none" w:sz="0" w:space="0" w:color="auto"/>
                        <w:right w:val="none" w:sz="0" w:space="0" w:color="auto"/>
                      </w:divBdr>
                    </w:div>
                  </w:divsChild>
                </w:div>
                <w:div w:id="859129040">
                  <w:marLeft w:val="0"/>
                  <w:marRight w:val="0"/>
                  <w:marTop w:val="0"/>
                  <w:marBottom w:val="0"/>
                  <w:divBdr>
                    <w:top w:val="none" w:sz="0" w:space="0" w:color="auto"/>
                    <w:left w:val="none" w:sz="0" w:space="0" w:color="auto"/>
                    <w:bottom w:val="none" w:sz="0" w:space="0" w:color="auto"/>
                    <w:right w:val="none" w:sz="0" w:space="0" w:color="auto"/>
                  </w:divBdr>
                  <w:divsChild>
                    <w:div w:id="1803426566">
                      <w:marLeft w:val="0"/>
                      <w:marRight w:val="0"/>
                      <w:marTop w:val="0"/>
                      <w:marBottom w:val="0"/>
                      <w:divBdr>
                        <w:top w:val="none" w:sz="0" w:space="0" w:color="auto"/>
                        <w:left w:val="none" w:sz="0" w:space="0" w:color="auto"/>
                        <w:bottom w:val="none" w:sz="0" w:space="0" w:color="auto"/>
                        <w:right w:val="none" w:sz="0" w:space="0" w:color="auto"/>
                      </w:divBdr>
                    </w:div>
                  </w:divsChild>
                </w:div>
                <w:div w:id="867568848">
                  <w:marLeft w:val="0"/>
                  <w:marRight w:val="0"/>
                  <w:marTop w:val="0"/>
                  <w:marBottom w:val="0"/>
                  <w:divBdr>
                    <w:top w:val="none" w:sz="0" w:space="0" w:color="auto"/>
                    <w:left w:val="none" w:sz="0" w:space="0" w:color="auto"/>
                    <w:bottom w:val="none" w:sz="0" w:space="0" w:color="auto"/>
                    <w:right w:val="none" w:sz="0" w:space="0" w:color="auto"/>
                  </w:divBdr>
                  <w:divsChild>
                    <w:div w:id="186912984">
                      <w:marLeft w:val="0"/>
                      <w:marRight w:val="0"/>
                      <w:marTop w:val="0"/>
                      <w:marBottom w:val="0"/>
                      <w:divBdr>
                        <w:top w:val="none" w:sz="0" w:space="0" w:color="auto"/>
                        <w:left w:val="none" w:sz="0" w:space="0" w:color="auto"/>
                        <w:bottom w:val="none" w:sz="0" w:space="0" w:color="auto"/>
                        <w:right w:val="none" w:sz="0" w:space="0" w:color="auto"/>
                      </w:divBdr>
                    </w:div>
                    <w:div w:id="593172274">
                      <w:marLeft w:val="0"/>
                      <w:marRight w:val="0"/>
                      <w:marTop w:val="0"/>
                      <w:marBottom w:val="0"/>
                      <w:divBdr>
                        <w:top w:val="none" w:sz="0" w:space="0" w:color="auto"/>
                        <w:left w:val="none" w:sz="0" w:space="0" w:color="auto"/>
                        <w:bottom w:val="none" w:sz="0" w:space="0" w:color="auto"/>
                        <w:right w:val="none" w:sz="0" w:space="0" w:color="auto"/>
                      </w:divBdr>
                    </w:div>
                    <w:div w:id="664623436">
                      <w:marLeft w:val="0"/>
                      <w:marRight w:val="0"/>
                      <w:marTop w:val="0"/>
                      <w:marBottom w:val="0"/>
                      <w:divBdr>
                        <w:top w:val="none" w:sz="0" w:space="0" w:color="auto"/>
                        <w:left w:val="none" w:sz="0" w:space="0" w:color="auto"/>
                        <w:bottom w:val="none" w:sz="0" w:space="0" w:color="auto"/>
                        <w:right w:val="none" w:sz="0" w:space="0" w:color="auto"/>
                      </w:divBdr>
                    </w:div>
                    <w:div w:id="1330281671">
                      <w:marLeft w:val="0"/>
                      <w:marRight w:val="0"/>
                      <w:marTop w:val="0"/>
                      <w:marBottom w:val="0"/>
                      <w:divBdr>
                        <w:top w:val="none" w:sz="0" w:space="0" w:color="auto"/>
                        <w:left w:val="none" w:sz="0" w:space="0" w:color="auto"/>
                        <w:bottom w:val="none" w:sz="0" w:space="0" w:color="auto"/>
                        <w:right w:val="none" w:sz="0" w:space="0" w:color="auto"/>
                      </w:divBdr>
                    </w:div>
                    <w:div w:id="1387141053">
                      <w:marLeft w:val="0"/>
                      <w:marRight w:val="0"/>
                      <w:marTop w:val="0"/>
                      <w:marBottom w:val="0"/>
                      <w:divBdr>
                        <w:top w:val="none" w:sz="0" w:space="0" w:color="auto"/>
                        <w:left w:val="none" w:sz="0" w:space="0" w:color="auto"/>
                        <w:bottom w:val="none" w:sz="0" w:space="0" w:color="auto"/>
                        <w:right w:val="none" w:sz="0" w:space="0" w:color="auto"/>
                      </w:divBdr>
                    </w:div>
                    <w:div w:id="1486362563">
                      <w:marLeft w:val="0"/>
                      <w:marRight w:val="0"/>
                      <w:marTop w:val="0"/>
                      <w:marBottom w:val="0"/>
                      <w:divBdr>
                        <w:top w:val="none" w:sz="0" w:space="0" w:color="auto"/>
                        <w:left w:val="none" w:sz="0" w:space="0" w:color="auto"/>
                        <w:bottom w:val="none" w:sz="0" w:space="0" w:color="auto"/>
                        <w:right w:val="none" w:sz="0" w:space="0" w:color="auto"/>
                      </w:divBdr>
                    </w:div>
                    <w:div w:id="1591549732">
                      <w:marLeft w:val="0"/>
                      <w:marRight w:val="0"/>
                      <w:marTop w:val="0"/>
                      <w:marBottom w:val="0"/>
                      <w:divBdr>
                        <w:top w:val="none" w:sz="0" w:space="0" w:color="auto"/>
                        <w:left w:val="none" w:sz="0" w:space="0" w:color="auto"/>
                        <w:bottom w:val="none" w:sz="0" w:space="0" w:color="auto"/>
                        <w:right w:val="none" w:sz="0" w:space="0" w:color="auto"/>
                      </w:divBdr>
                    </w:div>
                    <w:div w:id="1595046533">
                      <w:marLeft w:val="0"/>
                      <w:marRight w:val="0"/>
                      <w:marTop w:val="0"/>
                      <w:marBottom w:val="0"/>
                      <w:divBdr>
                        <w:top w:val="none" w:sz="0" w:space="0" w:color="auto"/>
                        <w:left w:val="none" w:sz="0" w:space="0" w:color="auto"/>
                        <w:bottom w:val="none" w:sz="0" w:space="0" w:color="auto"/>
                        <w:right w:val="none" w:sz="0" w:space="0" w:color="auto"/>
                      </w:divBdr>
                    </w:div>
                    <w:div w:id="1617561356">
                      <w:marLeft w:val="0"/>
                      <w:marRight w:val="0"/>
                      <w:marTop w:val="0"/>
                      <w:marBottom w:val="0"/>
                      <w:divBdr>
                        <w:top w:val="none" w:sz="0" w:space="0" w:color="auto"/>
                        <w:left w:val="none" w:sz="0" w:space="0" w:color="auto"/>
                        <w:bottom w:val="none" w:sz="0" w:space="0" w:color="auto"/>
                        <w:right w:val="none" w:sz="0" w:space="0" w:color="auto"/>
                      </w:divBdr>
                    </w:div>
                    <w:div w:id="1952977977">
                      <w:marLeft w:val="0"/>
                      <w:marRight w:val="0"/>
                      <w:marTop w:val="0"/>
                      <w:marBottom w:val="0"/>
                      <w:divBdr>
                        <w:top w:val="none" w:sz="0" w:space="0" w:color="auto"/>
                        <w:left w:val="none" w:sz="0" w:space="0" w:color="auto"/>
                        <w:bottom w:val="none" w:sz="0" w:space="0" w:color="auto"/>
                        <w:right w:val="none" w:sz="0" w:space="0" w:color="auto"/>
                      </w:divBdr>
                    </w:div>
                  </w:divsChild>
                </w:div>
                <w:div w:id="868102196">
                  <w:marLeft w:val="0"/>
                  <w:marRight w:val="0"/>
                  <w:marTop w:val="0"/>
                  <w:marBottom w:val="0"/>
                  <w:divBdr>
                    <w:top w:val="none" w:sz="0" w:space="0" w:color="auto"/>
                    <w:left w:val="none" w:sz="0" w:space="0" w:color="auto"/>
                    <w:bottom w:val="none" w:sz="0" w:space="0" w:color="auto"/>
                    <w:right w:val="none" w:sz="0" w:space="0" w:color="auto"/>
                  </w:divBdr>
                  <w:divsChild>
                    <w:div w:id="315376429">
                      <w:marLeft w:val="0"/>
                      <w:marRight w:val="0"/>
                      <w:marTop w:val="0"/>
                      <w:marBottom w:val="0"/>
                      <w:divBdr>
                        <w:top w:val="none" w:sz="0" w:space="0" w:color="auto"/>
                        <w:left w:val="none" w:sz="0" w:space="0" w:color="auto"/>
                        <w:bottom w:val="none" w:sz="0" w:space="0" w:color="auto"/>
                        <w:right w:val="none" w:sz="0" w:space="0" w:color="auto"/>
                      </w:divBdr>
                    </w:div>
                  </w:divsChild>
                </w:div>
                <w:div w:id="873884098">
                  <w:marLeft w:val="0"/>
                  <w:marRight w:val="0"/>
                  <w:marTop w:val="0"/>
                  <w:marBottom w:val="0"/>
                  <w:divBdr>
                    <w:top w:val="none" w:sz="0" w:space="0" w:color="auto"/>
                    <w:left w:val="none" w:sz="0" w:space="0" w:color="auto"/>
                    <w:bottom w:val="none" w:sz="0" w:space="0" w:color="auto"/>
                    <w:right w:val="none" w:sz="0" w:space="0" w:color="auto"/>
                  </w:divBdr>
                  <w:divsChild>
                    <w:div w:id="1016037066">
                      <w:marLeft w:val="0"/>
                      <w:marRight w:val="0"/>
                      <w:marTop w:val="0"/>
                      <w:marBottom w:val="0"/>
                      <w:divBdr>
                        <w:top w:val="none" w:sz="0" w:space="0" w:color="auto"/>
                        <w:left w:val="none" w:sz="0" w:space="0" w:color="auto"/>
                        <w:bottom w:val="none" w:sz="0" w:space="0" w:color="auto"/>
                        <w:right w:val="none" w:sz="0" w:space="0" w:color="auto"/>
                      </w:divBdr>
                    </w:div>
                  </w:divsChild>
                </w:div>
                <w:div w:id="893279049">
                  <w:marLeft w:val="0"/>
                  <w:marRight w:val="0"/>
                  <w:marTop w:val="0"/>
                  <w:marBottom w:val="0"/>
                  <w:divBdr>
                    <w:top w:val="none" w:sz="0" w:space="0" w:color="auto"/>
                    <w:left w:val="none" w:sz="0" w:space="0" w:color="auto"/>
                    <w:bottom w:val="none" w:sz="0" w:space="0" w:color="auto"/>
                    <w:right w:val="none" w:sz="0" w:space="0" w:color="auto"/>
                  </w:divBdr>
                  <w:divsChild>
                    <w:div w:id="309137594">
                      <w:marLeft w:val="0"/>
                      <w:marRight w:val="0"/>
                      <w:marTop w:val="0"/>
                      <w:marBottom w:val="0"/>
                      <w:divBdr>
                        <w:top w:val="none" w:sz="0" w:space="0" w:color="auto"/>
                        <w:left w:val="none" w:sz="0" w:space="0" w:color="auto"/>
                        <w:bottom w:val="none" w:sz="0" w:space="0" w:color="auto"/>
                        <w:right w:val="none" w:sz="0" w:space="0" w:color="auto"/>
                      </w:divBdr>
                    </w:div>
                  </w:divsChild>
                </w:div>
                <w:div w:id="893924948">
                  <w:marLeft w:val="0"/>
                  <w:marRight w:val="0"/>
                  <w:marTop w:val="0"/>
                  <w:marBottom w:val="0"/>
                  <w:divBdr>
                    <w:top w:val="none" w:sz="0" w:space="0" w:color="auto"/>
                    <w:left w:val="none" w:sz="0" w:space="0" w:color="auto"/>
                    <w:bottom w:val="none" w:sz="0" w:space="0" w:color="auto"/>
                    <w:right w:val="none" w:sz="0" w:space="0" w:color="auto"/>
                  </w:divBdr>
                  <w:divsChild>
                    <w:div w:id="1967157174">
                      <w:marLeft w:val="0"/>
                      <w:marRight w:val="0"/>
                      <w:marTop w:val="0"/>
                      <w:marBottom w:val="0"/>
                      <w:divBdr>
                        <w:top w:val="none" w:sz="0" w:space="0" w:color="auto"/>
                        <w:left w:val="none" w:sz="0" w:space="0" w:color="auto"/>
                        <w:bottom w:val="none" w:sz="0" w:space="0" w:color="auto"/>
                        <w:right w:val="none" w:sz="0" w:space="0" w:color="auto"/>
                      </w:divBdr>
                    </w:div>
                  </w:divsChild>
                </w:div>
                <w:div w:id="903566305">
                  <w:marLeft w:val="0"/>
                  <w:marRight w:val="0"/>
                  <w:marTop w:val="0"/>
                  <w:marBottom w:val="0"/>
                  <w:divBdr>
                    <w:top w:val="none" w:sz="0" w:space="0" w:color="auto"/>
                    <w:left w:val="none" w:sz="0" w:space="0" w:color="auto"/>
                    <w:bottom w:val="none" w:sz="0" w:space="0" w:color="auto"/>
                    <w:right w:val="none" w:sz="0" w:space="0" w:color="auto"/>
                  </w:divBdr>
                  <w:divsChild>
                    <w:div w:id="1469010494">
                      <w:marLeft w:val="0"/>
                      <w:marRight w:val="0"/>
                      <w:marTop w:val="0"/>
                      <w:marBottom w:val="0"/>
                      <w:divBdr>
                        <w:top w:val="none" w:sz="0" w:space="0" w:color="auto"/>
                        <w:left w:val="none" w:sz="0" w:space="0" w:color="auto"/>
                        <w:bottom w:val="none" w:sz="0" w:space="0" w:color="auto"/>
                        <w:right w:val="none" w:sz="0" w:space="0" w:color="auto"/>
                      </w:divBdr>
                    </w:div>
                  </w:divsChild>
                </w:div>
                <w:div w:id="905578071">
                  <w:marLeft w:val="0"/>
                  <w:marRight w:val="0"/>
                  <w:marTop w:val="0"/>
                  <w:marBottom w:val="0"/>
                  <w:divBdr>
                    <w:top w:val="none" w:sz="0" w:space="0" w:color="auto"/>
                    <w:left w:val="none" w:sz="0" w:space="0" w:color="auto"/>
                    <w:bottom w:val="none" w:sz="0" w:space="0" w:color="auto"/>
                    <w:right w:val="none" w:sz="0" w:space="0" w:color="auto"/>
                  </w:divBdr>
                  <w:divsChild>
                    <w:div w:id="512962651">
                      <w:marLeft w:val="0"/>
                      <w:marRight w:val="0"/>
                      <w:marTop w:val="0"/>
                      <w:marBottom w:val="0"/>
                      <w:divBdr>
                        <w:top w:val="none" w:sz="0" w:space="0" w:color="auto"/>
                        <w:left w:val="none" w:sz="0" w:space="0" w:color="auto"/>
                        <w:bottom w:val="none" w:sz="0" w:space="0" w:color="auto"/>
                        <w:right w:val="none" w:sz="0" w:space="0" w:color="auto"/>
                      </w:divBdr>
                    </w:div>
                  </w:divsChild>
                </w:div>
                <w:div w:id="914245385">
                  <w:marLeft w:val="0"/>
                  <w:marRight w:val="0"/>
                  <w:marTop w:val="0"/>
                  <w:marBottom w:val="0"/>
                  <w:divBdr>
                    <w:top w:val="none" w:sz="0" w:space="0" w:color="auto"/>
                    <w:left w:val="none" w:sz="0" w:space="0" w:color="auto"/>
                    <w:bottom w:val="none" w:sz="0" w:space="0" w:color="auto"/>
                    <w:right w:val="none" w:sz="0" w:space="0" w:color="auto"/>
                  </w:divBdr>
                  <w:divsChild>
                    <w:div w:id="1499034263">
                      <w:marLeft w:val="0"/>
                      <w:marRight w:val="0"/>
                      <w:marTop w:val="0"/>
                      <w:marBottom w:val="0"/>
                      <w:divBdr>
                        <w:top w:val="none" w:sz="0" w:space="0" w:color="auto"/>
                        <w:left w:val="none" w:sz="0" w:space="0" w:color="auto"/>
                        <w:bottom w:val="none" w:sz="0" w:space="0" w:color="auto"/>
                        <w:right w:val="none" w:sz="0" w:space="0" w:color="auto"/>
                      </w:divBdr>
                    </w:div>
                  </w:divsChild>
                </w:div>
                <w:div w:id="938026347">
                  <w:marLeft w:val="0"/>
                  <w:marRight w:val="0"/>
                  <w:marTop w:val="0"/>
                  <w:marBottom w:val="0"/>
                  <w:divBdr>
                    <w:top w:val="none" w:sz="0" w:space="0" w:color="auto"/>
                    <w:left w:val="none" w:sz="0" w:space="0" w:color="auto"/>
                    <w:bottom w:val="none" w:sz="0" w:space="0" w:color="auto"/>
                    <w:right w:val="none" w:sz="0" w:space="0" w:color="auto"/>
                  </w:divBdr>
                  <w:divsChild>
                    <w:div w:id="1817533004">
                      <w:marLeft w:val="0"/>
                      <w:marRight w:val="0"/>
                      <w:marTop w:val="0"/>
                      <w:marBottom w:val="0"/>
                      <w:divBdr>
                        <w:top w:val="none" w:sz="0" w:space="0" w:color="auto"/>
                        <w:left w:val="none" w:sz="0" w:space="0" w:color="auto"/>
                        <w:bottom w:val="none" w:sz="0" w:space="0" w:color="auto"/>
                        <w:right w:val="none" w:sz="0" w:space="0" w:color="auto"/>
                      </w:divBdr>
                    </w:div>
                  </w:divsChild>
                </w:div>
                <w:div w:id="950169880">
                  <w:marLeft w:val="0"/>
                  <w:marRight w:val="0"/>
                  <w:marTop w:val="0"/>
                  <w:marBottom w:val="0"/>
                  <w:divBdr>
                    <w:top w:val="none" w:sz="0" w:space="0" w:color="auto"/>
                    <w:left w:val="none" w:sz="0" w:space="0" w:color="auto"/>
                    <w:bottom w:val="none" w:sz="0" w:space="0" w:color="auto"/>
                    <w:right w:val="none" w:sz="0" w:space="0" w:color="auto"/>
                  </w:divBdr>
                  <w:divsChild>
                    <w:div w:id="625738724">
                      <w:marLeft w:val="0"/>
                      <w:marRight w:val="0"/>
                      <w:marTop w:val="0"/>
                      <w:marBottom w:val="0"/>
                      <w:divBdr>
                        <w:top w:val="none" w:sz="0" w:space="0" w:color="auto"/>
                        <w:left w:val="none" w:sz="0" w:space="0" w:color="auto"/>
                        <w:bottom w:val="none" w:sz="0" w:space="0" w:color="auto"/>
                        <w:right w:val="none" w:sz="0" w:space="0" w:color="auto"/>
                      </w:divBdr>
                    </w:div>
                  </w:divsChild>
                </w:div>
                <w:div w:id="964115868">
                  <w:marLeft w:val="0"/>
                  <w:marRight w:val="0"/>
                  <w:marTop w:val="0"/>
                  <w:marBottom w:val="0"/>
                  <w:divBdr>
                    <w:top w:val="none" w:sz="0" w:space="0" w:color="auto"/>
                    <w:left w:val="none" w:sz="0" w:space="0" w:color="auto"/>
                    <w:bottom w:val="none" w:sz="0" w:space="0" w:color="auto"/>
                    <w:right w:val="none" w:sz="0" w:space="0" w:color="auto"/>
                  </w:divBdr>
                  <w:divsChild>
                    <w:div w:id="1262294703">
                      <w:marLeft w:val="0"/>
                      <w:marRight w:val="0"/>
                      <w:marTop w:val="0"/>
                      <w:marBottom w:val="0"/>
                      <w:divBdr>
                        <w:top w:val="none" w:sz="0" w:space="0" w:color="auto"/>
                        <w:left w:val="none" w:sz="0" w:space="0" w:color="auto"/>
                        <w:bottom w:val="none" w:sz="0" w:space="0" w:color="auto"/>
                        <w:right w:val="none" w:sz="0" w:space="0" w:color="auto"/>
                      </w:divBdr>
                    </w:div>
                  </w:divsChild>
                </w:div>
                <w:div w:id="971254444">
                  <w:marLeft w:val="0"/>
                  <w:marRight w:val="0"/>
                  <w:marTop w:val="0"/>
                  <w:marBottom w:val="0"/>
                  <w:divBdr>
                    <w:top w:val="none" w:sz="0" w:space="0" w:color="auto"/>
                    <w:left w:val="none" w:sz="0" w:space="0" w:color="auto"/>
                    <w:bottom w:val="none" w:sz="0" w:space="0" w:color="auto"/>
                    <w:right w:val="none" w:sz="0" w:space="0" w:color="auto"/>
                  </w:divBdr>
                  <w:divsChild>
                    <w:div w:id="1386446008">
                      <w:marLeft w:val="0"/>
                      <w:marRight w:val="0"/>
                      <w:marTop w:val="0"/>
                      <w:marBottom w:val="0"/>
                      <w:divBdr>
                        <w:top w:val="none" w:sz="0" w:space="0" w:color="auto"/>
                        <w:left w:val="none" w:sz="0" w:space="0" w:color="auto"/>
                        <w:bottom w:val="none" w:sz="0" w:space="0" w:color="auto"/>
                        <w:right w:val="none" w:sz="0" w:space="0" w:color="auto"/>
                      </w:divBdr>
                    </w:div>
                  </w:divsChild>
                </w:div>
                <w:div w:id="980884673">
                  <w:marLeft w:val="0"/>
                  <w:marRight w:val="0"/>
                  <w:marTop w:val="0"/>
                  <w:marBottom w:val="0"/>
                  <w:divBdr>
                    <w:top w:val="none" w:sz="0" w:space="0" w:color="auto"/>
                    <w:left w:val="none" w:sz="0" w:space="0" w:color="auto"/>
                    <w:bottom w:val="none" w:sz="0" w:space="0" w:color="auto"/>
                    <w:right w:val="none" w:sz="0" w:space="0" w:color="auto"/>
                  </w:divBdr>
                  <w:divsChild>
                    <w:div w:id="999700358">
                      <w:marLeft w:val="0"/>
                      <w:marRight w:val="0"/>
                      <w:marTop w:val="0"/>
                      <w:marBottom w:val="0"/>
                      <w:divBdr>
                        <w:top w:val="none" w:sz="0" w:space="0" w:color="auto"/>
                        <w:left w:val="none" w:sz="0" w:space="0" w:color="auto"/>
                        <w:bottom w:val="none" w:sz="0" w:space="0" w:color="auto"/>
                        <w:right w:val="none" w:sz="0" w:space="0" w:color="auto"/>
                      </w:divBdr>
                    </w:div>
                  </w:divsChild>
                </w:div>
                <w:div w:id="997655383">
                  <w:marLeft w:val="0"/>
                  <w:marRight w:val="0"/>
                  <w:marTop w:val="0"/>
                  <w:marBottom w:val="0"/>
                  <w:divBdr>
                    <w:top w:val="none" w:sz="0" w:space="0" w:color="auto"/>
                    <w:left w:val="none" w:sz="0" w:space="0" w:color="auto"/>
                    <w:bottom w:val="none" w:sz="0" w:space="0" w:color="auto"/>
                    <w:right w:val="none" w:sz="0" w:space="0" w:color="auto"/>
                  </w:divBdr>
                  <w:divsChild>
                    <w:div w:id="1311207260">
                      <w:marLeft w:val="0"/>
                      <w:marRight w:val="0"/>
                      <w:marTop w:val="0"/>
                      <w:marBottom w:val="0"/>
                      <w:divBdr>
                        <w:top w:val="none" w:sz="0" w:space="0" w:color="auto"/>
                        <w:left w:val="none" w:sz="0" w:space="0" w:color="auto"/>
                        <w:bottom w:val="none" w:sz="0" w:space="0" w:color="auto"/>
                        <w:right w:val="none" w:sz="0" w:space="0" w:color="auto"/>
                      </w:divBdr>
                    </w:div>
                  </w:divsChild>
                </w:div>
                <w:div w:id="1015571117">
                  <w:marLeft w:val="0"/>
                  <w:marRight w:val="0"/>
                  <w:marTop w:val="0"/>
                  <w:marBottom w:val="0"/>
                  <w:divBdr>
                    <w:top w:val="none" w:sz="0" w:space="0" w:color="auto"/>
                    <w:left w:val="none" w:sz="0" w:space="0" w:color="auto"/>
                    <w:bottom w:val="none" w:sz="0" w:space="0" w:color="auto"/>
                    <w:right w:val="none" w:sz="0" w:space="0" w:color="auto"/>
                  </w:divBdr>
                  <w:divsChild>
                    <w:div w:id="1682126139">
                      <w:marLeft w:val="0"/>
                      <w:marRight w:val="0"/>
                      <w:marTop w:val="0"/>
                      <w:marBottom w:val="0"/>
                      <w:divBdr>
                        <w:top w:val="none" w:sz="0" w:space="0" w:color="auto"/>
                        <w:left w:val="none" w:sz="0" w:space="0" w:color="auto"/>
                        <w:bottom w:val="none" w:sz="0" w:space="0" w:color="auto"/>
                        <w:right w:val="none" w:sz="0" w:space="0" w:color="auto"/>
                      </w:divBdr>
                    </w:div>
                  </w:divsChild>
                </w:div>
                <w:div w:id="1024207855">
                  <w:marLeft w:val="0"/>
                  <w:marRight w:val="0"/>
                  <w:marTop w:val="0"/>
                  <w:marBottom w:val="0"/>
                  <w:divBdr>
                    <w:top w:val="none" w:sz="0" w:space="0" w:color="auto"/>
                    <w:left w:val="none" w:sz="0" w:space="0" w:color="auto"/>
                    <w:bottom w:val="none" w:sz="0" w:space="0" w:color="auto"/>
                    <w:right w:val="none" w:sz="0" w:space="0" w:color="auto"/>
                  </w:divBdr>
                  <w:divsChild>
                    <w:div w:id="556211867">
                      <w:marLeft w:val="0"/>
                      <w:marRight w:val="0"/>
                      <w:marTop w:val="0"/>
                      <w:marBottom w:val="0"/>
                      <w:divBdr>
                        <w:top w:val="none" w:sz="0" w:space="0" w:color="auto"/>
                        <w:left w:val="none" w:sz="0" w:space="0" w:color="auto"/>
                        <w:bottom w:val="none" w:sz="0" w:space="0" w:color="auto"/>
                        <w:right w:val="none" w:sz="0" w:space="0" w:color="auto"/>
                      </w:divBdr>
                    </w:div>
                  </w:divsChild>
                </w:div>
                <w:div w:id="1027409659">
                  <w:marLeft w:val="0"/>
                  <w:marRight w:val="0"/>
                  <w:marTop w:val="0"/>
                  <w:marBottom w:val="0"/>
                  <w:divBdr>
                    <w:top w:val="none" w:sz="0" w:space="0" w:color="auto"/>
                    <w:left w:val="none" w:sz="0" w:space="0" w:color="auto"/>
                    <w:bottom w:val="none" w:sz="0" w:space="0" w:color="auto"/>
                    <w:right w:val="none" w:sz="0" w:space="0" w:color="auto"/>
                  </w:divBdr>
                  <w:divsChild>
                    <w:div w:id="1671326292">
                      <w:marLeft w:val="0"/>
                      <w:marRight w:val="0"/>
                      <w:marTop w:val="0"/>
                      <w:marBottom w:val="0"/>
                      <w:divBdr>
                        <w:top w:val="none" w:sz="0" w:space="0" w:color="auto"/>
                        <w:left w:val="none" w:sz="0" w:space="0" w:color="auto"/>
                        <w:bottom w:val="none" w:sz="0" w:space="0" w:color="auto"/>
                        <w:right w:val="none" w:sz="0" w:space="0" w:color="auto"/>
                      </w:divBdr>
                    </w:div>
                  </w:divsChild>
                </w:div>
                <w:div w:id="1035541479">
                  <w:marLeft w:val="0"/>
                  <w:marRight w:val="0"/>
                  <w:marTop w:val="0"/>
                  <w:marBottom w:val="0"/>
                  <w:divBdr>
                    <w:top w:val="none" w:sz="0" w:space="0" w:color="auto"/>
                    <w:left w:val="none" w:sz="0" w:space="0" w:color="auto"/>
                    <w:bottom w:val="none" w:sz="0" w:space="0" w:color="auto"/>
                    <w:right w:val="none" w:sz="0" w:space="0" w:color="auto"/>
                  </w:divBdr>
                  <w:divsChild>
                    <w:div w:id="90275443">
                      <w:marLeft w:val="0"/>
                      <w:marRight w:val="0"/>
                      <w:marTop w:val="0"/>
                      <w:marBottom w:val="0"/>
                      <w:divBdr>
                        <w:top w:val="none" w:sz="0" w:space="0" w:color="auto"/>
                        <w:left w:val="none" w:sz="0" w:space="0" w:color="auto"/>
                        <w:bottom w:val="none" w:sz="0" w:space="0" w:color="auto"/>
                        <w:right w:val="none" w:sz="0" w:space="0" w:color="auto"/>
                      </w:divBdr>
                    </w:div>
                  </w:divsChild>
                </w:div>
                <w:div w:id="1039092786">
                  <w:marLeft w:val="0"/>
                  <w:marRight w:val="0"/>
                  <w:marTop w:val="0"/>
                  <w:marBottom w:val="0"/>
                  <w:divBdr>
                    <w:top w:val="none" w:sz="0" w:space="0" w:color="auto"/>
                    <w:left w:val="none" w:sz="0" w:space="0" w:color="auto"/>
                    <w:bottom w:val="none" w:sz="0" w:space="0" w:color="auto"/>
                    <w:right w:val="none" w:sz="0" w:space="0" w:color="auto"/>
                  </w:divBdr>
                  <w:divsChild>
                    <w:div w:id="1929384906">
                      <w:marLeft w:val="0"/>
                      <w:marRight w:val="0"/>
                      <w:marTop w:val="0"/>
                      <w:marBottom w:val="0"/>
                      <w:divBdr>
                        <w:top w:val="none" w:sz="0" w:space="0" w:color="auto"/>
                        <w:left w:val="none" w:sz="0" w:space="0" w:color="auto"/>
                        <w:bottom w:val="none" w:sz="0" w:space="0" w:color="auto"/>
                        <w:right w:val="none" w:sz="0" w:space="0" w:color="auto"/>
                      </w:divBdr>
                    </w:div>
                  </w:divsChild>
                </w:div>
                <w:div w:id="1078332400">
                  <w:marLeft w:val="0"/>
                  <w:marRight w:val="0"/>
                  <w:marTop w:val="0"/>
                  <w:marBottom w:val="0"/>
                  <w:divBdr>
                    <w:top w:val="none" w:sz="0" w:space="0" w:color="auto"/>
                    <w:left w:val="none" w:sz="0" w:space="0" w:color="auto"/>
                    <w:bottom w:val="none" w:sz="0" w:space="0" w:color="auto"/>
                    <w:right w:val="none" w:sz="0" w:space="0" w:color="auto"/>
                  </w:divBdr>
                  <w:divsChild>
                    <w:div w:id="1649506831">
                      <w:marLeft w:val="0"/>
                      <w:marRight w:val="0"/>
                      <w:marTop w:val="0"/>
                      <w:marBottom w:val="0"/>
                      <w:divBdr>
                        <w:top w:val="none" w:sz="0" w:space="0" w:color="auto"/>
                        <w:left w:val="none" w:sz="0" w:space="0" w:color="auto"/>
                        <w:bottom w:val="none" w:sz="0" w:space="0" w:color="auto"/>
                        <w:right w:val="none" w:sz="0" w:space="0" w:color="auto"/>
                      </w:divBdr>
                    </w:div>
                  </w:divsChild>
                </w:div>
                <w:div w:id="1083257729">
                  <w:marLeft w:val="0"/>
                  <w:marRight w:val="0"/>
                  <w:marTop w:val="0"/>
                  <w:marBottom w:val="0"/>
                  <w:divBdr>
                    <w:top w:val="none" w:sz="0" w:space="0" w:color="auto"/>
                    <w:left w:val="none" w:sz="0" w:space="0" w:color="auto"/>
                    <w:bottom w:val="none" w:sz="0" w:space="0" w:color="auto"/>
                    <w:right w:val="none" w:sz="0" w:space="0" w:color="auto"/>
                  </w:divBdr>
                  <w:divsChild>
                    <w:div w:id="913393747">
                      <w:marLeft w:val="0"/>
                      <w:marRight w:val="0"/>
                      <w:marTop w:val="0"/>
                      <w:marBottom w:val="0"/>
                      <w:divBdr>
                        <w:top w:val="none" w:sz="0" w:space="0" w:color="auto"/>
                        <w:left w:val="none" w:sz="0" w:space="0" w:color="auto"/>
                        <w:bottom w:val="none" w:sz="0" w:space="0" w:color="auto"/>
                        <w:right w:val="none" w:sz="0" w:space="0" w:color="auto"/>
                      </w:divBdr>
                    </w:div>
                  </w:divsChild>
                </w:div>
                <w:div w:id="1088040290">
                  <w:marLeft w:val="0"/>
                  <w:marRight w:val="0"/>
                  <w:marTop w:val="0"/>
                  <w:marBottom w:val="0"/>
                  <w:divBdr>
                    <w:top w:val="none" w:sz="0" w:space="0" w:color="auto"/>
                    <w:left w:val="none" w:sz="0" w:space="0" w:color="auto"/>
                    <w:bottom w:val="none" w:sz="0" w:space="0" w:color="auto"/>
                    <w:right w:val="none" w:sz="0" w:space="0" w:color="auto"/>
                  </w:divBdr>
                  <w:divsChild>
                    <w:div w:id="1543975995">
                      <w:marLeft w:val="0"/>
                      <w:marRight w:val="0"/>
                      <w:marTop w:val="0"/>
                      <w:marBottom w:val="0"/>
                      <w:divBdr>
                        <w:top w:val="none" w:sz="0" w:space="0" w:color="auto"/>
                        <w:left w:val="none" w:sz="0" w:space="0" w:color="auto"/>
                        <w:bottom w:val="none" w:sz="0" w:space="0" w:color="auto"/>
                        <w:right w:val="none" w:sz="0" w:space="0" w:color="auto"/>
                      </w:divBdr>
                    </w:div>
                  </w:divsChild>
                </w:div>
                <w:div w:id="1092623544">
                  <w:marLeft w:val="0"/>
                  <w:marRight w:val="0"/>
                  <w:marTop w:val="0"/>
                  <w:marBottom w:val="0"/>
                  <w:divBdr>
                    <w:top w:val="none" w:sz="0" w:space="0" w:color="auto"/>
                    <w:left w:val="none" w:sz="0" w:space="0" w:color="auto"/>
                    <w:bottom w:val="none" w:sz="0" w:space="0" w:color="auto"/>
                    <w:right w:val="none" w:sz="0" w:space="0" w:color="auto"/>
                  </w:divBdr>
                  <w:divsChild>
                    <w:div w:id="406849084">
                      <w:marLeft w:val="0"/>
                      <w:marRight w:val="0"/>
                      <w:marTop w:val="0"/>
                      <w:marBottom w:val="0"/>
                      <w:divBdr>
                        <w:top w:val="none" w:sz="0" w:space="0" w:color="auto"/>
                        <w:left w:val="none" w:sz="0" w:space="0" w:color="auto"/>
                        <w:bottom w:val="none" w:sz="0" w:space="0" w:color="auto"/>
                        <w:right w:val="none" w:sz="0" w:space="0" w:color="auto"/>
                      </w:divBdr>
                    </w:div>
                  </w:divsChild>
                </w:div>
                <w:div w:id="1097680526">
                  <w:marLeft w:val="0"/>
                  <w:marRight w:val="0"/>
                  <w:marTop w:val="0"/>
                  <w:marBottom w:val="0"/>
                  <w:divBdr>
                    <w:top w:val="none" w:sz="0" w:space="0" w:color="auto"/>
                    <w:left w:val="none" w:sz="0" w:space="0" w:color="auto"/>
                    <w:bottom w:val="none" w:sz="0" w:space="0" w:color="auto"/>
                    <w:right w:val="none" w:sz="0" w:space="0" w:color="auto"/>
                  </w:divBdr>
                  <w:divsChild>
                    <w:div w:id="2059738089">
                      <w:marLeft w:val="0"/>
                      <w:marRight w:val="0"/>
                      <w:marTop w:val="0"/>
                      <w:marBottom w:val="0"/>
                      <w:divBdr>
                        <w:top w:val="none" w:sz="0" w:space="0" w:color="auto"/>
                        <w:left w:val="none" w:sz="0" w:space="0" w:color="auto"/>
                        <w:bottom w:val="none" w:sz="0" w:space="0" w:color="auto"/>
                        <w:right w:val="none" w:sz="0" w:space="0" w:color="auto"/>
                      </w:divBdr>
                    </w:div>
                  </w:divsChild>
                </w:div>
                <w:div w:id="1099179738">
                  <w:marLeft w:val="0"/>
                  <w:marRight w:val="0"/>
                  <w:marTop w:val="0"/>
                  <w:marBottom w:val="0"/>
                  <w:divBdr>
                    <w:top w:val="none" w:sz="0" w:space="0" w:color="auto"/>
                    <w:left w:val="none" w:sz="0" w:space="0" w:color="auto"/>
                    <w:bottom w:val="none" w:sz="0" w:space="0" w:color="auto"/>
                    <w:right w:val="none" w:sz="0" w:space="0" w:color="auto"/>
                  </w:divBdr>
                  <w:divsChild>
                    <w:div w:id="680738592">
                      <w:marLeft w:val="0"/>
                      <w:marRight w:val="0"/>
                      <w:marTop w:val="0"/>
                      <w:marBottom w:val="0"/>
                      <w:divBdr>
                        <w:top w:val="none" w:sz="0" w:space="0" w:color="auto"/>
                        <w:left w:val="none" w:sz="0" w:space="0" w:color="auto"/>
                        <w:bottom w:val="none" w:sz="0" w:space="0" w:color="auto"/>
                        <w:right w:val="none" w:sz="0" w:space="0" w:color="auto"/>
                      </w:divBdr>
                    </w:div>
                  </w:divsChild>
                </w:div>
                <w:div w:id="1119294859">
                  <w:marLeft w:val="0"/>
                  <w:marRight w:val="0"/>
                  <w:marTop w:val="0"/>
                  <w:marBottom w:val="0"/>
                  <w:divBdr>
                    <w:top w:val="none" w:sz="0" w:space="0" w:color="auto"/>
                    <w:left w:val="none" w:sz="0" w:space="0" w:color="auto"/>
                    <w:bottom w:val="none" w:sz="0" w:space="0" w:color="auto"/>
                    <w:right w:val="none" w:sz="0" w:space="0" w:color="auto"/>
                  </w:divBdr>
                  <w:divsChild>
                    <w:div w:id="1302231460">
                      <w:marLeft w:val="0"/>
                      <w:marRight w:val="0"/>
                      <w:marTop w:val="0"/>
                      <w:marBottom w:val="0"/>
                      <w:divBdr>
                        <w:top w:val="none" w:sz="0" w:space="0" w:color="auto"/>
                        <w:left w:val="none" w:sz="0" w:space="0" w:color="auto"/>
                        <w:bottom w:val="none" w:sz="0" w:space="0" w:color="auto"/>
                        <w:right w:val="none" w:sz="0" w:space="0" w:color="auto"/>
                      </w:divBdr>
                    </w:div>
                  </w:divsChild>
                </w:div>
                <w:div w:id="1119959699">
                  <w:marLeft w:val="0"/>
                  <w:marRight w:val="0"/>
                  <w:marTop w:val="0"/>
                  <w:marBottom w:val="0"/>
                  <w:divBdr>
                    <w:top w:val="none" w:sz="0" w:space="0" w:color="auto"/>
                    <w:left w:val="none" w:sz="0" w:space="0" w:color="auto"/>
                    <w:bottom w:val="none" w:sz="0" w:space="0" w:color="auto"/>
                    <w:right w:val="none" w:sz="0" w:space="0" w:color="auto"/>
                  </w:divBdr>
                  <w:divsChild>
                    <w:div w:id="1673024506">
                      <w:marLeft w:val="0"/>
                      <w:marRight w:val="0"/>
                      <w:marTop w:val="0"/>
                      <w:marBottom w:val="0"/>
                      <w:divBdr>
                        <w:top w:val="none" w:sz="0" w:space="0" w:color="auto"/>
                        <w:left w:val="none" w:sz="0" w:space="0" w:color="auto"/>
                        <w:bottom w:val="none" w:sz="0" w:space="0" w:color="auto"/>
                        <w:right w:val="none" w:sz="0" w:space="0" w:color="auto"/>
                      </w:divBdr>
                    </w:div>
                  </w:divsChild>
                </w:div>
                <w:div w:id="1135490032">
                  <w:marLeft w:val="0"/>
                  <w:marRight w:val="0"/>
                  <w:marTop w:val="0"/>
                  <w:marBottom w:val="0"/>
                  <w:divBdr>
                    <w:top w:val="none" w:sz="0" w:space="0" w:color="auto"/>
                    <w:left w:val="none" w:sz="0" w:space="0" w:color="auto"/>
                    <w:bottom w:val="none" w:sz="0" w:space="0" w:color="auto"/>
                    <w:right w:val="none" w:sz="0" w:space="0" w:color="auto"/>
                  </w:divBdr>
                  <w:divsChild>
                    <w:div w:id="300696466">
                      <w:marLeft w:val="0"/>
                      <w:marRight w:val="0"/>
                      <w:marTop w:val="0"/>
                      <w:marBottom w:val="0"/>
                      <w:divBdr>
                        <w:top w:val="none" w:sz="0" w:space="0" w:color="auto"/>
                        <w:left w:val="none" w:sz="0" w:space="0" w:color="auto"/>
                        <w:bottom w:val="none" w:sz="0" w:space="0" w:color="auto"/>
                        <w:right w:val="none" w:sz="0" w:space="0" w:color="auto"/>
                      </w:divBdr>
                    </w:div>
                  </w:divsChild>
                </w:div>
                <w:div w:id="1141656546">
                  <w:marLeft w:val="0"/>
                  <w:marRight w:val="0"/>
                  <w:marTop w:val="0"/>
                  <w:marBottom w:val="0"/>
                  <w:divBdr>
                    <w:top w:val="none" w:sz="0" w:space="0" w:color="auto"/>
                    <w:left w:val="none" w:sz="0" w:space="0" w:color="auto"/>
                    <w:bottom w:val="none" w:sz="0" w:space="0" w:color="auto"/>
                    <w:right w:val="none" w:sz="0" w:space="0" w:color="auto"/>
                  </w:divBdr>
                  <w:divsChild>
                    <w:div w:id="1526864556">
                      <w:marLeft w:val="0"/>
                      <w:marRight w:val="0"/>
                      <w:marTop w:val="0"/>
                      <w:marBottom w:val="0"/>
                      <w:divBdr>
                        <w:top w:val="none" w:sz="0" w:space="0" w:color="auto"/>
                        <w:left w:val="none" w:sz="0" w:space="0" w:color="auto"/>
                        <w:bottom w:val="none" w:sz="0" w:space="0" w:color="auto"/>
                        <w:right w:val="none" w:sz="0" w:space="0" w:color="auto"/>
                      </w:divBdr>
                    </w:div>
                  </w:divsChild>
                </w:div>
                <w:div w:id="1146895741">
                  <w:marLeft w:val="0"/>
                  <w:marRight w:val="0"/>
                  <w:marTop w:val="0"/>
                  <w:marBottom w:val="0"/>
                  <w:divBdr>
                    <w:top w:val="none" w:sz="0" w:space="0" w:color="auto"/>
                    <w:left w:val="none" w:sz="0" w:space="0" w:color="auto"/>
                    <w:bottom w:val="none" w:sz="0" w:space="0" w:color="auto"/>
                    <w:right w:val="none" w:sz="0" w:space="0" w:color="auto"/>
                  </w:divBdr>
                  <w:divsChild>
                    <w:div w:id="1535726549">
                      <w:marLeft w:val="0"/>
                      <w:marRight w:val="0"/>
                      <w:marTop w:val="0"/>
                      <w:marBottom w:val="0"/>
                      <w:divBdr>
                        <w:top w:val="none" w:sz="0" w:space="0" w:color="auto"/>
                        <w:left w:val="none" w:sz="0" w:space="0" w:color="auto"/>
                        <w:bottom w:val="none" w:sz="0" w:space="0" w:color="auto"/>
                        <w:right w:val="none" w:sz="0" w:space="0" w:color="auto"/>
                      </w:divBdr>
                    </w:div>
                  </w:divsChild>
                </w:div>
                <w:div w:id="1147630151">
                  <w:marLeft w:val="0"/>
                  <w:marRight w:val="0"/>
                  <w:marTop w:val="0"/>
                  <w:marBottom w:val="0"/>
                  <w:divBdr>
                    <w:top w:val="none" w:sz="0" w:space="0" w:color="auto"/>
                    <w:left w:val="none" w:sz="0" w:space="0" w:color="auto"/>
                    <w:bottom w:val="none" w:sz="0" w:space="0" w:color="auto"/>
                    <w:right w:val="none" w:sz="0" w:space="0" w:color="auto"/>
                  </w:divBdr>
                  <w:divsChild>
                    <w:div w:id="2117599817">
                      <w:marLeft w:val="0"/>
                      <w:marRight w:val="0"/>
                      <w:marTop w:val="0"/>
                      <w:marBottom w:val="0"/>
                      <w:divBdr>
                        <w:top w:val="none" w:sz="0" w:space="0" w:color="auto"/>
                        <w:left w:val="none" w:sz="0" w:space="0" w:color="auto"/>
                        <w:bottom w:val="none" w:sz="0" w:space="0" w:color="auto"/>
                        <w:right w:val="none" w:sz="0" w:space="0" w:color="auto"/>
                      </w:divBdr>
                    </w:div>
                  </w:divsChild>
                </w:div>
                <w:div w:id="1159809368">
                  <w:marLeft w:val="0"/>
                  <w:marRight w:val="0"/>
                  <w:marTop w:val="0"/>
                  <w:marBottom w:val="0"/>
                  <w:divBdr>
                    <w:top w:val="none" w:sz="0" w:space="0" w:color="auto"/>
                    <w:left w:val="none" w:sz="0" w:space="0" w:color="auto"/>
                    <w:bottom w:val="none" w:sz="0" w:space="0" w:color="auto"/>
                    <w:right w:val="none" w:sz="0" w:space="0" w:color="auto"/>
                  </w:divBdr>
                  <w:divsChild>
                    <w:div w:id="2001078701">
                      <w:marLeft w:val="0"/>
                      <w:marRight w:val="0"/>
                      <w:marTop w:val="0"/>
                      <w:marBottom w:val="0"/>
                      <w:divBdr>
                        <w:top w:val="none" w:sz="0" w:space="0" w:color="auto"/>
                        <w:left w:val="none" w:sz="0" w:space="0" w:color="auto"/>
                        <w:bottom w:val="none" w:sz="0" w:space="0" w:color="auto"/>
                        <w:right w:val="none" w:sz="0" w:space="0" w:color="auto"/>
                      </w:divBdr>
                    </w:div>
                  </w:divsChild>
                </w:div>
                <w:div w:id="1159999605">
                  <w:marLeft w:val="0"/>
                  <w:marRight w:val="0"/>
                  <w:marTop w:val="0"/>
                  <w:marBottom w:val="0"/>
                  <w:divBdr>
                    <w:top w:val="none" w:sz="0" w:space="0" w:color="auto"/>
                    <w:left w:val="none" w:sz="0" w:space="0" w:color="auto"/>
                    <w:bottom w:val="none" w:sz="0" w:space="0" w:color="auto"/>
                    <w:right w:val="none" w:sz="0" w:space="0" w:color="auto"/>
                  </w:divBdr>
                  <w:divsChild>
                    <w:div w:id="612827902">
                      <w:marLeft w:val="0"/>
                      <w:marRight w:val="0"/>
                      <w:marTop w:val="0"/>
                      <w:marBottom w:val="0"/>
                      <w:divBdr>
                        <w:top w:val="none" w:sz="0" w:space="0" w:color="auto"/>
                        <w:left w:val="none" w:sz="0" w:space="0" w:color="auto"/>
                        <w:bottom w:val="none" w:sz="0" w:space="0" w:color="auto"/>
                        <w:right w:val="none" w:sz="0" w:space="0" w:color="auto"/>
                      </w:divBdr>
                    </w:div>
                  </w:divsChild>
                </w:div>
                <w:div w:id="1160081827">
                  <w:marLeft w:val="0"/>
                  <w:marRight w:val="0"/>
                  <w:marTop w:val="0"/>
                  <w:marBottom w:val="0"/>
                  <w:divBdr>
                    <w:top w:val="none" w:sz="0" w:space="0" w:color="auto"/>
                    <w:left w:val="none" w:sz="0" w:space="0" w:color="auto"/>
                    <w:bottom w:val="none" w:sz="0" w:space="0" w:color="auto"/>
                    <w:right w:val="none" w:sz="0" w:space="0" w:color="auto"/>
                  </w:divBdr>
                  <w:divsChild>
                    <w:div w:id="911815999">
                      <w:marLeft w:val="0"/>
                      <w:marRight w:val="0"/>
                      <w:marTop w:val="0"/>
                      <w:marBottom w:val="0"/>
                      <w:divBdr>
                        <w:top w:val="none" w:sz="0" w:space="0" w:color="auto"/>
                        <w:left w:val="none" w:sz="0" w:space="0" w:color="auto"/>
                        <w:bottom w:val="none" w:sz="0" w:space="0" w:color="auto"/>
                        <w:right w:val="none" w:sz="0" w:space="0" w:color="auto"/>
                      </w:divBdr>
                    </w:div>
                  </w:divsChild>
                </w:div>
                <w:div w:id="1165780469">
                  <w:marLeft w:val="0"/>
                  <w:marRight w:val="0"/>
                  <w:marTop w:val="0"/>
                  <w:marBottom w:val="0"/>
                  <w:divBdr>
                    <w:top w:val="none" w:sz="0" w:space="0" w:color="auto"/>
                    <w:left w:val="none" w:sz="0" w:space="0" w:color="auto"/>
                    <w:bottom w:val="none" w:sz="0" w:space="0" w:color="auto"/>
                    <w:right w:val="none" w:sz="0" w:space="0" w:color="auto"/>
                  </w:divBdr>
                  <w:divsChild>
                    <w:div w:id="1088304597">
                      <w:marLeft w:val="0"/>
                      <w:marRight w:val="0"/>
                      <w:marTop w:val="0"/>
                      <w:marBottom w:val="0"/>
                      <w:divBdr>
                        <w:top w:val="none" w:sz="0" w:space="0" w:color="auto"/>
                        <w:left w:val="none" w:sz="0" w:space="0" w:color="auto"/>
                        <w:bottom w:val="none" w:sz="0" w:space="0" w:color="auto"/>
                        <w:right w:val="none" w:sz="0" w:space="0" w:color="auto"/>
                      </w:divBdr>
                    </w:div>
                  </w:divsChild>
                </w:div>
                <w:div w:id="1187985301">
                  <w:marLeft w:val="0"/>
                  <w:marRight w:val="0"/>
                  <w:marTop w:val="0"/>
                  <w:marBottom w:val="0"/>
                  <w:divBdr>
                    <w:top w:val="none" w:sz="0" w:space="0" w:color="auto"/>
                    <w:left w:val="none" w:sz="0" w:space="0" w:color="auto"/>
                    <w:bottom w:val="none" w:sz="0" w:space="0" w:color="auto"/>
                    <w:right w:val="none" w:sz="0" w:space="0" w:color="auto"/>
                  </w:divBdr>
                  <w:divsChild>
                    <w:div w:id="1045183274">
                      <w:marLeft w:val="0"/>
                      <w:marRight w:val="0"/>
                      <w:marTop w:val="0"/>
                      <w:marBottom w:val="0"/>
                      <w:divBdr>
                        <w:top w:val="none" w:sz="0" w:space="0" w:color="auto"/>
                        <w:left w:val="none" w:sz="0" w:space="0" w:color="auto"/>
                        <w:bottom w:val="none" w:sz="0" w:space="0" w:color="auto"/>
                        <w:right w:val="none" w:sz="0" w:space="0" w:color="auto"/>
                      </w:divBdr>
                    </w:div>
                  </w:divsChild>
                </w:div>
                <w:div w:id="1194223562">
                  <w:marLeft w:val="0"/>
                  <w:marRight w:val="0"/>
                  <w:marTop w:val="0"/>
                  <w:marBottom w:val="0"/>
                  <w:divBdr>
                    <w:top w:val="none" w:sz="0" w:space="0" w:color="auto"/>
                    <w:left w:val="none" w:sz="0" w:space="0" w:color="auto"/>
                    <w:bottom w:val="none" w:sz="0" w:space="0" w:color="auto"/>
                    <w:right w:val="none" w:sz="0" w:space="0" w:color="auto"/>
                  </w:divBdr>
                  <w:divsChild>
                    <w:div w:id="1380787181">
                      <w:marLeft w:val="0"/>
                      <w:marRight w:val="0"/>
                      <w:marTop w:val="0"/>
                      <w:marBottom w:val="0"/>
                      <w:divBdr>
                        <w:top w:val="none" w:sz="0" w:space="0" w:color="auto"/>
                        <w:left w:val="none" w:sz="0" w:space="0" w:color="auto"/>
                        <w:bottom w:val="none" w:sz="0" w:space="0" w:color="auto"/>
                        <w:right w:val="none" w:sz="0" w:space="0" w:color="auto"/>
                      </w:divBdr>
                    </w:div>
                  </w:divsChild>
                </w:div>
                <w:div w:id="1211112768">
                  <w:marLeft w:val="0"/>
                  <w:marRight w:val="0"/>
                  <w:marTop w:val="0"/>
                  <w:marBottom w:val="0"/>
                  <w:divBdr>
                    <w:top w:val="none" w:sz="0" w:space="0" w:color="auto"/>
                    <w:left w:val="none" w:sz="0" w:space="0" w:color="auto"/>
                    <w:bottom w:val="none" w:sz="0" w:space="0" w:color="auto"/>
                    <w:right w:val="none" w:sz="0" w:space="0" w:color="auto"/>
                  </w:divBdr>
                  <w:divsChild>
                    <w:div w:id="697777221">
                      <w:marLeft w:val="0"/>
                      <w:marRight w:val="0"/>
                      <w:marTop w:val="0"/>
                      <w:marBottom w:val="0"/>
                      <w:divBdr>
                        <w:top w:val="none" w:sz="0" w:space="0" w:color="auto"/>
                        <w:left w:val="none" w:sz="0" w:space="0" w:color="auto"/>
                        <w:bottom w:val="none" w:sz="0" w:space="0" w:color="auto"/>
                        <w:right w:val="none" w:sz="0" w:space="0" w:color="auto"/>
                      </w:divBdr>
                    </w:div>
                  </w:divsChild>
                </w:div>
                <w:div w:id="1237934408">
                  <w:marLeft w:val="0"/>
                  <w:marRight w:val="0"/>
                  <w:marTop w:val="0"/>
                  <w:marBottom w:val="0"/>
                  <w:divBdr>
                    <w:top w:val="none" w:sz="0" w:space="0" w:color="auto"/>
                    <w:left w:val="none" w:sz="0" w:space="0" w:color="auto"/>
                    <w:bottom w:val="none" w:sz="0" w:space="0" w:color="auto"/>
                    <w:right w:val="none" w:sz="0" w:space="0" w:color="auto"/>
                  </w:divBdr>
                  <w:divsChild>
                    <w:div w:id="1602180834">
                      <w:marLeft w:val="0"/>
                      <w:marRight w:val="0"/>
                      <w:marTop w:val="0"/>
                      <w:marBottom w:val="0"/>
                      <w:divBdr>
                        <w:top w:val="none" w:sz="0" w:space="0" w:color="auto"/>
                        <w:left w:val="none" w:sz="0" w:space="0" w:color="auto"/>
                        <w:bottom w:val="none" w:sz="0" w:space="0" w:color="auto"/>
                        <w:right w:val="none" w:sz="0" w:space="0" w:color="auto"/>
                      </w:divBdr>
                    </w:div>
                  </w:divsChild>
                </w:div>
                <w:div w:id="1240097927">
                  <w:marLeft w:val="0"/>
                  <w:marRight w:val="0"/>
                  <w:marTop w:val="0"/>
                  <w:marBottom w:val="0"/>
                  <w:divBdr>
                    <w:top w:val="none" w:sz="0" w:space="0" w:color="auto"/>
                    <w:left w:val="none" w:sz="0" w:space="0" w:color="auto"/>
                    <w:bottom w:val="none" w:sz="0" w:space="0" w:color="auto"/>
                    <w:right w:val="none" w:sz="0" w:space="0" w:color="auto"/>
                  </w:divBdr>
                  <w:divsChild>
                    <w:div w:id="957175996">
                      <w:marLeft w:val="0"/>
                      <w:marRight w:val="0"/>
                      <w:marTop w:val="0"/>
                      <w:marBottom w:val="0"/>
                      <w:divBdr>
                        <w:top w:val="none" w:sz="0" w:space="0" w:color="auto"/>
                        <w:left w:val="none" w:sz="0" w:space="0" w:color="auto"/>
                        <w:bottom w:val="none" w:sz="0" w:space="0" w:color="auto"/>
                        <w:right w:val="none" w:sz="0" w:space="0" w:color="auto"/>
                      </w:divBdr>
                    </w:div>
                  </w:divsChild>
                </w:div>
                <w:div w:id="1248229028">
                  <w:marLeft w:val="0"/>
                  <w:marRight w:val="0"/>
                  <w:marTop w:val="0"/>
                  <w:marBottom w:val="0"/>
                  <w:divBdr>
                    <w:top w:val="none" w:sz="0" w:space="0" w:color="auto"/>
                    <w:left w:val="none" w:sz="0" w:space="0" w:color="auto"/>
                    <w:bottom w:val="none" w:sz="0" w:space="0" w:color="auto"/>
                    <w:right w:val="none" w:sz="0" w:space="0" w:color="auto"/>
                  </w:divBdr>
                  <w:divsChild>
                    <w:div w:id="646280586">
                      <w:marLeft w:val="0"/>
                      <w:marRight w:val="0"/>
                      <w:marTop w:val="0"/>
                      <w:marBottom w:val="0"/>
                      <w:divBdr>
                        <w:top w:val="none" w:sz="0" w:space="0" w:color="auto"/>
                        <w:left w:val="none" w:sz="0" w:space="0" w:color="auto"/>
                        <w:bottom w:val="none" w:sz="0" w:space="0" w:color="auto"/>
                        <w:right w:val="none" w:sz="0" w:space="0" w:color="auto"/>
                      </w:divBdr>
                    </w:div>
                  </w:divsChild>
                </w:div>
                <w:div w:id="1263951854">
                  <w:marLeft w:val="0"/>
                  <w:marRight w:val="0"/>
                  <w:marTop w:val="0"/>
                  <w:marBottom w:val="0"/>
                  <w:divBdr>
                    <w:top w:val="none" w:sz="0" w:space="0" w:color="auto"/>
                    <w:left w:val="none" w:sz="0" w:space="0" w:color="auto"/>
                    <w:bottom w:val="none" w:sz="0" w:space="0" w:color="auto"/>
                    <w:right w:val="none" w:sz="0" w:space="0" w:color="auto"/>
                  </w:divBdr>
                  <w:divsChild>
                    <w:div w:id="979309004">
                      <w:marLeft w:val="0"/>
                      <w:marRight w:val="0"/>
                      <w:marTop w:val="0"/>
                      <w:marBottom w:val="0"/>
                      <w:divBdr>
                        <w:top w:val="none" w:sz="0" w:space="0" w:color="auto"/>
                        <w:left w:val="none" w:sz="0" w:space="0" w:color="auto"/>
                        <w:bottom w:val="none" w:sz="0" w:space="0" w:color="auto"/>
                        <w:right w:val="none" w:sz="0" w:space="0" w:color="auto"/>
                      </w:divBdr>
                    </w:div>
                  </w:divsChild>
                </w:div>
                <w:div w:id="1269502399">
                  <w:marLeft w:val="0"/>
                  <w:marRight w:val="0"/>
                  <w:marTop w:val="0"/>
                  <w:marBottom w:val="0"/>
                  <w:divBdr>
                    <w:top w:val="none" w:sz="0" w:space="0" w:color="auto"/>
                    <w:left w:val="none" w:sz="0" w:space="0" w:color="auto"/>
                    <w:bottom w:val="none" w:sz="0" w:space="0" w:color="auto"/>
                    <w:right w:val="none" w:sz="0" w:space="0" w:color="auto"/>
                  </w:divBdr>
                  <w:divsChild>
                    <w:div w:id="2087998472">
                      <w:marLeft w:val="0"/>
                      <w:marRight w:val="0"/>
                      <w:marTop w:val="0"/>
                      <w:marBottom w:val="0"/>
                      <w:divBdr>
                        <w:top w:val="none" w:sz="0" w:space="0" w:color="auto"/>
                        <w:left w:val="none" w:sz="0" w:space="0" w:color="auto"/>
                        <w:bottom w:val="none" w:sz="0" w:space="0" w:color="auto"/>
                        <w:right w:val="none" w:sz="0" w:space="0" w:color="auto"/>
                      </w:divBdr>
                    </w:div>
                  </w:divsChild>
                </w:div>
                <w:div w:id="1281759059">
                  <w:marLeft w:val="0"/>
                  <w:marRight w:val="0"/>
                  <w:marTop w:val="0"/>
                  <w:marBottom w:val="0"/>
                  <w:divBdr>
                    <w:top w:val="none" w:sz="0" w:space="0" w:color="auto"/>
                    <w:left w:val="none" w:sz="0" w:space="0" w:color="auto"/>
                    <w:bottom w:val="none" w:sz="0" w:space="0" w:color="auto"/>
                    <w:right w:val="none" w:sz="0" w:space="0" w:color="auto"/>
                  </w:divBdr>
                  <w:divsChild>
                    <w:div w:id="593048358">
                      <w:marLeft w:val="0"/>
                      <w:marRight w:val="0"/>
                      <w:marTop w:val="0"/>
                      <w:marBottom w:val="0"/>
                      <w:divBdr>
                        <w:top w:val="none" w:sz="0" w:space="0" w:color="auto"/>
                        <w:left w:val="none" w:sz="0" w:space="0" w:color="auto"/>
                        <w:bottom w:val="none" w:sz="0" w:space="0" w:color="auto"/>
                        <w:right w:val="none" w:sz="0" w:space="0" w:color="auto"/>
                      </w:divBdr>
                    </w:div>
                  </w:divsChild>
                </w:div>
                <w:div w:id="1336376927">
                  <w:marLeft w:val="0"/>
                  <w:marRight w:val="0"/>
                  <w:marTop w:val="0"/>
                  <w:marBottom w:val="0"/>
                  <w:divBdr>
                    <w:top w:val="none" w:sz="0" w:space="0" w:color="auto"/>
                    <w:left w:val="none" w:sz="0" w:space="0" w:color="auto"/>
                    <w:bottom w:val="none" w:sz="0" w:space="0" w:color="auto"/>
                    <w:right w:val="none" w:sz="0" w:space="0" w:color="auto"/>
                  </w:divBdr>
                  <w:divsChild>
                    <w:div w:id="1527477378">
                      <w:marLeft w:val="0"/>
                      <w:marRight w:val="0"/>
                      <w:marTop w:val="0"/>
                      <w:marBottom w:val="0"/>
                      <w:divBdr>
                        <w:top w:val="none" w:sz="0" w:space="0" w:color="auto"/>
                        <w:left w:val="none" w:sz="0" w:space="0" w:color="auto"/>
                        <w:bottom w:val="none" w:sz="0" w:space="0" w:color="auto"/>
                        <w:right w:val="none" w:sz="0" w:space="0" w:color="auto"/>
                      </w:divBdr>
                    </w:div>
                  </w:divsChild>
                </w:div>
                <w:div w:id="1350065854">
                  <w:marLeft w:val="0"/>
                  <w:marRight w:val="0"/>
                  <w:marTop w:val="0"/>
                  <w:marBottom w:val="0"/>
                  <w:divBdr>
                    <w:top w:val="none" w:sz="0" w:space="0" w:color="auto"/>
                    <w:left w:val="none" w:sz="0" w:space="0" w:color="auto"/>
                    <w:bottom w:val="none" w:sz="0" w:space="0" w:color="auto"/>
                    <w:right w:val="none" w:sz="0" w:space="0" w:color="auto"/>
                  </w:divBdr>
                  <w:divsChild>
                    <w:div w:id="2068186818">
                      <w:marLeft w:val="0"/>
                      <w:marRight w:val="0"/>
                      <w:marTop w:val="0"/>
                      <w:marBottom w:val="0"/>
                      <w:divBdr>
                        <w:top w:val="none" w:sz="0" w:space="0" w:color="auto"/>
                        <w:left w:val="none" w:sz="0" w:space="0" w:color="auto"/>
                        <w:bottom w:val="none" w:sz="0" w:space="0" w:color="auto"/>
                        <w:right w:val="none" w:sz="0" w:space="0" w:color="auto"/>
                      </w:divBdr>
                    </w:div>
                  </w:divsChild>
                </w:div>
                <w:div w:id="1350258022">
                  <w:marLeft w:val="0"/>
                  <w:marRight w:val="0"/>
                  <w:marTop w:val="0"/>
                  <w:marBottom w:val="0"/>
                  <w:divBdr>
                    <w:top w:val="none" w:sz="0" w:space="0" w:color="auto"/>
                    <w:left w:val="none" w:sz="0" w:space="0" w:color="auto"/>
                    <w:bottom w:val="none" w:sz="0" w:space="0" w:color="auto"/>
                    <w:right w:val="none" w:sz="0" w:space="0" w:color="auto"/>
                  </w:divBdr>
                  <w:divsChild>
                    <w:div w:id="1273905268">
                      <w:marLeft w:val="0"/>
                      <w:marRight w:val="0"/>
                      <w:marTop w:val="0"/>
                      <w:marBottom w:val="0"/>
                      <w:divBdr>
                        <w:top w:val="none" w:sz="0" w:space="0" w:color="auto"/>
                        <w:left w:val="none" w:sz="0" w:space="0" w:color="auto"/>
                        <w:bottom w:val="none" w:sz="0" w:space="0" w:color="auto"/>
                        <w:right w:val="none" w:sz="0" w:space="0" w:color="auto"/>
                      </w:divBdr>
                    </w:div>
                  </w:divsChild>
                </w:div>
                <w:div w:id="1377000309">
                  <w:marLeft w:val="0"/>
                  <w:marRight w:val="0"/>
                  <w:marTop w:val="0"/>
                  <w:marBottom w:val="0"/>
                  <w:divBdr>
                    <w:top w:val="none" w:sz="0" w:space="0" w:color="auto"/>
                    <w:left w:val="none" w:sz="0" w:space="0" w:color="auto"/>
                    <w:bottom w:val="none" w:sz="0" w:space="0" w:color="auto"/>
                    <w:right w:val="none" w:sz="0" w:space="0" w:color="auto"/>
                  </w:divBdr>
                  <w:divsChild>
                    <w:div w:id="39020710">
                      <w:marLeft w:val="0"/>
                      <w:marRight w:val="0"/>
                      <w:marTop w:val="0"/>
                      <w:marBottom w:val="0"/>
                      <w:divBdr>
                        <w:top w:val="none" w:sz="0" w:space="0" w:color="auto"/>
                        <w:left w:val="none" w:sz="0" w:space="0" w:color="auto"/>
                        <w:bottom w:val="none" w:sz="0" w:space="0" w:color="auto"/>
                        <w:right w:val="none" w:sz="0" w:space="0" w:color="auto"/>
                      </w:divBdr>
                    </w:div>
                  </w:divsChild>
                </w:div>
                <w:div w:id="1381780790">
                  <w:marLeft w:val="0"/>
                  <w:marRight w:val="0"/>
                  <w:marTop w:val="0"/>
                  <w:marBottom w:val="0"/>
                  <w:divBdr>
                    <w:top w:val="none" w:sz="0" w:space="0" w:color="auto"/>
                    <w:left w:val="none" w:sz="0" w:space="0" w:color="auto"/>
                    <w:bottom w:val="none" w:sz="0" w:space="0" w:color="auto"/>
                    <w:right w:val="none" w:sz="0" w:space="0" w:color="auto"/>
                  </w:divBdr>
                  <w:divsChild>
                    <w:div w:id="400300830">
                      <w:marLeft w:val="0"/>
                      <w:marRight w:val="0"/>
                      <w:marTop w:val="0"/>
                      <w:marBottom w:val="0"/>
                      <w:divBdr>
                        <w:top w:val="none" w:sz="0" w:space="0" w:color="auto"/>
                        <w:left w:val="none" w:sz="0" w:space="0" w:color="auto"/>
                        <w:bottom w:val="none" w:sz="0" w:space="0" w:color="auto"/>
                        <w:right w:val="none" w:sz="0" w:space="0" w:color="auto"/>
                      </w:divBdr>
                    </w:div>
                  </w:divsChild>
                </w:div>
                <w:div w:id="1407339744">
                  <w:marLeft w:val="0"/>
                  <w:marRight w:val="0"/>
                  <w:marTop w:val="0"/>
                  <w:marBottom w:val="0"/>
                  <w:divBdr>
                    <w:top w:val="none" w:sz="0" w:space="0" w:color="auto"/>
                    <w:left w:val="none" w:sz="0" w:space="0" w:color="auto"/>
                    <w:bottom w:val="none" w:sz="0" w:space="0" w:color="auto"/>
                    <w:right w:val="none" w:sz="0" w:space="0" w:color="auto"/>
                  </w:divBdr>
                  <w:divsChild>
                    <w:div w:id="2037388288">
                      <w:marLeft w:val="0"/>
                      <w:marRight w:val="0"/>
                      <w:marTop w:val="0"/>
                      <w:marBottom w:val="0"/>
                      <w:divBdr>
                        <w:top w:val="none" w:sz="0" w:space="0" w:color="auto"/>
                        <w:left w:val="none" w:sz="0" w:space="0" w:color="auto"/>
                        <w:bottom w:val="none" w:sz="0" w:space="0" w:color="auto"/>
                        <w:right w:val="none" w:sz="0" w:space="0" w:color="auto"/>
                      </w:divBdr>
                    </w:div>
                  </w:divsChild>
                </w:div>
                <w:div w:id="1431660492">
                  <w:marLeft w:val="0"/>
                  <w:marRight w:val="0"/>
                  <w:marTop w:val="0"/>
                  <w:marBottom w:val="0"/>
                  <w:divBdr>
                    <w:top w:val="none" w:sz="0" w:space="0" w:color="auto"/>
                    <w:left w:val="none" w:sz="0" w:space="0" w:color="auto"/>
                    <w:bottom w:val="none" w:sz="0" w:space="0" w:color="auto"/>
                    <w:right w:val="none" w:sz="0" w:space="0" w:color="auto"/>
                  </w:divBdr>
                  <w:divsChild>
                    <w:div w:id="1597712265">
                      <w:marLeft w:val="0"/>
                      <w:marRight w:val="0"/>
                      <w:marTop w:val="0"/>
                      <w:marBottom w:val="0"/>
                      <w:divBdr>
                        <w:top w:val="none" w:sz="0" w:space="0" w:color="auto"/>
                        <w:left w:val="none" w:sz="0" w:space="0" w:color="auto"/>
                        <w:bottom w:val="none" w:sz="0" w:space="0" w:color="auto"/>
                        <w:right w:val="none" w:sz="0" w:space="0" w:color="auto"/>
                      </w:divBdr>
                    </w:div>
                  </w:divsChild>
                </w:div>
                <w:div w:id="1433354106">
                  <w:marLeft w:val="0"/>
                  <w:marRight w:val="0"/>
                  <w:marTop w:val="0"/>
                  <w:marBottom w:val="0"/>
                  <w:divBdr>
                    <w:top w:val="none" w:sz="0" w:space="0" w:color="auto"/>
                    <w:left w:val="none" w:sz="0" w:space="0" w:color="auto"/>
                    <w:bottom w:val="none" w:sz="0" w:space="0" w:color="auto"/>
                    <w:right w:val="none" w:sz="0" w:space="0" w:color="auto"/>
                  </w:divBdr>
                  <w:divsChild>
                    <w:div w:id="988947701">
                      <w:marLeft w:val="0"/>
                      <w:marRight w:val="0"/>
                      <w:marTop w:val="0"/>
                      <w:marBottom w:val="0"/>
                      <w:divBdr>
                        <w:top w:val="none" w:sz="0" w:space="0" w:color="auto"/>
                        <w:left w:val="none" w:sz="0" w:space="0" w:color="auto"/>
                        <w:bottom w:val="none" w:sz="0" w:space="0" w:color="auto"/>
                        <w:right w:val="none" w:sz="0" w:space="0" w:color="auto"/>
                      </w:divBdr>
                    </w:div>
                  </w:divsChild>
                </w:div>
                <w:div w:id="1452238656">
                  <w:marLeft w:val="0"/>
                  <w:marRight w:val="0"/>
                  <w:marTop w:val="0"/>
                  <w:marBottom w:val="0"/>
                  <w:divBdr>
                    <w:top w:val="none" w:sz="0" w:space="0" w:color="auto"/>
                    <w:left w:val="none" w:sz="0" w:space="0" w:color="auto"/>
                    <w:bottom w:val="none" w:sz="0" w:space="0" w:color="auto"/>
                    <w:right w:val="none" w:sz="0" w:space="0" w:color="auto"/>
                  </w:divBdr>
                  <w:divsChild>
                    <w:div w:id="67121241">
                      <w:marLeft w:val="0"/>
                      <w:marRight w:val="0"/>
                      <w:marTop w:val="0"/>
                      <w:marBottom w:val="0"/>
                      <w:divBdr>
                        <w:top w:val="none" w:sz="0" w:space="0" w:color="auto"/>
                        <w:left w:val="none" w:sz="0" w:space="0" w:color="auto"/>
                        <w:bottom w:val="none" w:sz="0" w:space="0" w:color="auto"/>
                        <w:right w:val="none" w:sz="0" w:space="0" w:color="auto"/>
                      </w:divBdr>
                    </w:div>
                  </w:divsChild>
                </w:div>
                <w:div w:id="1453091462">
                  <w:marLeft w:val="0"/>
                  <w:marRight w:val="0"/>
                  <w:marTop w:val="0"/>
                  <w:marBottom w:val="0"/>
                  <w:divBdr>
                    <w:top w:val="none" w:sz="0" w:space="0" w:color="auto"/>
                    <w:left w:val="none" w:sz="0" w:space="0" w:color="auto"/>
                    <w:bottom w:val="none" w:sz="0" w:space="0" w:color="auto"/>
                    <w:right w:val="none" w:sz="0" w:space="0" w:color="auto"/>
                  </w:divBdr>
                  <w:divsChild>
                    <w:div w:id="1451392258">
                      <w:marLeft w:val="0"/>
                      <w:marRight w:val="0"/>
                      <w:marTop w:val="0"/>
                      <w:marBottom w:val="0"/>
                      <w:divBdr>
                        <w:top w:val="none" w:sz="0" w:space="0" w:color="auto"/>
                        <w:left w:val="none" w:sz="0" w:space="0" w:color="auto"/>
                        <w:bottom w:val="none" w:sz="0" w:space="0" w:color="auto"/>
                        <w:right w:val="none" w:sz="0" w:space="0" w:color="auto"/>
                      </w:divBdr>
                    </w:div>
                  </w:divsChild>
                </w:div>
                <w:div w:id="1455707764">
                  <w:marLeft w:val="0"/>
                  <w:marRight w:val="0"/>
                  <w:marTop w:val="0"/>
                  <w:marBottom w:val="0"/>
                  <w:divBdr>
                    <w:top w:val="none" w:sz="0" w:space="0" w:color="auto"/>
                    <w:left w:val="none" w:sz="0" w:space="0" w:color="auto"/>
                    <w:bottom w:val="none" w:sz="0" w:space="0" w:color="auto"/>
                    <w:right w:val="none" w:sz="0" w:space="0" w:color="auto"/>
                  </w:divBdr>
                  <w:divsChild>
                    <w:div w:id="172426850">
                      <w:marLeft w:val="0"/>
                      <w:marRight w:val="0"/>
                      <w:marTop w:val="0"/>
                      <w:marBottom w:val="0"/>
                      <w:divBdr>
                        <w:top w:val="none" w:sz="0" w:space="0" w:color="auto"/>
                        <w:left w:val="none" w:sz="0" w:space="0" w:color="auto"/>
                        <w:bottom w:val="none" w:sz="0" w:space="0" w:color="auto"/>
                        <w:right w:val="none" w:sz="0" w:space="0" w:color="auto"/>
                      </w:divBdr>
                    </w:div>
                  </w:divsChild>
                </w:div>
                <w:div w:id="1468235070">
                  <w:marLeft w:val="0"/>
                  <w:marRight w:val="0"/>
                  <w:marTop w:val="0"/>
                  <w:marBottom w:val="0"/>
                  <w:divBdr>
                    <w:top w:val="none" w:sz="0" w:space="0" w:color="auto"/>
                    <w:left w:val="none" w:sz="0" w:space="0" w:color="auto"/>
                    <w:bottom w:val="none" w:sz="0" w:space="0" w:color="auto"/>
                    <w:right w:val="none" w:sz="0" w:space="0" w:color="auto"/>
                  </w:divBdr>
                  <w:divsChild>
                    <w:div w:id="425998916">
                      <w:marLeft w:val="0"/>
                      <w:marRight w:val="0"/>
                      <w:marTop w:val="0"/>
                      <w:marBottom w:val="0"/>
                      <w:divBdr>
                        <w:top w:val="none" w:sz="0" w:space="0" w:color="auto"/>
                        <w:left w:val="none" w:sz="0" w:space="0" w:color="auto"/>
                        <w:bottom w:val="none" w:sz="0" w:space="0" w:color="auto"/>
                        <w:right w:val="none" w:sz="0" w:space="0" w:color="auto"/>
                      </w:divBdr>
                    </w:div>
                  </w:divsChild>
                </w:div>
                <w:div w:id="1473862587">
                  <w:marLeft w:val="0"/>
                  <w:marRight w:val="0"/>
                  <w:marTop w:val="0"/>
                  <w:marBottom w:val="0"/>
                  <w:divBdr>
                    <w:top w:val="none" w:sz="0" w:space="0" w:color="auto"/>
                    <w:left w:val="none" w:sz="0" w:space="0" w:color="auto"/>
                    <w:bottom w:val="none" w:sz="0" w:space="0" w:color="auto"/>
                    <w:right w:val="none" w:sz="0" w:space="0" w:color="auto"/>
                  </w:divBdr>
                  <w:divsChild>
                    <w:div w:id="1178736921">
                      <w:marLeft w:val="0"/>
                      <w:marRight w:val="0"/>
                      <w:marTop w:val="0"/>
                      <w:marBottom w:val="0"/>
                      <w:divBdr>
                        <w:top w:val="none" w:sz="0" w:space="0" w:color="auto"/>
                        <w:left w:val="none" w:sz="0" w:space="0" w:color="auto"/>
                        <w:bottom w:val="none" w:sz="0" w:space="0" w:color="auto"/>
                        <w:right w:val="none" w:sz="0" w:space="0" w:color="auto"/>
                      </w:divBdr>
                    </w:div>
                  </w:divsChild>
                </w:div>
                <w:div w:id="1478567407">
                  <w:marLeft w:val="0"/>
                  <w:marRight w:val="0"/>
                  <w:marTop w:val="0"/>
                  <w:marBottom w:val="0"/>
                  <w:divBdr>
                    <w:top w:val="none" w:sz="0" w:space="0" w:color="auto"/>
                    <w:left w:val="none" w:sz="0" w:space="0" w:color="auto"/>
                    <w:bottom w:val="none" w:sz="0" w:space="0" w:color="auto"/>
                    <w:right w:val="none" w:sz="0" w:space="0" w:color="auto"/>
                  </w:divBdr>
                  <w:divsChild>
                    <w:div w:id="1833373913">
                      <w:marLeft w:val="0"/>
                      <w:marRight w:val="0"/>
                      <w:marTop w:val="0"/>
                      <w:marBottom w:val="0"/>
                      <w:divBdr>
                        <w:top w:val="none" w:sz="0" w:space="0" w:color="auto"/>
                        <w:left w:val="none" w:sz="0" w:space="0" w:color="auto"/>
                        <w:bottom w:val="none" w:sz="0" w:space="0" w:color="auto"/>
                        <w:right w:val="none" w:sz="0" w:space="0" w:color="auto"/>
                      </w:divBdr>
                    </w:div>
                  </w:divsChild>
                </w:div>
                <w:div w:id="1483622911">
                  <w:marLeft w:val="0"/>
                  <w:marRight w:val="0"/>
                  <w:marTop w:val="0"/>
                  <w:marBottom w:val="0"/>
                  <w:divBdr>
                    <w:top w:val="none" w:sz="0" w:space="0" w:color="auto"/>
                    <w:left w:val="none" w:sz="0" w:space="0" w:color="auto"/>
                    <w:bottom w:val="none" w:sz="0" w:space="0" w:color="auto"/>
                    <w:right w:val="none" w:sz="0" w:space="0" w:color="auto"/>
                  </w:divBdr>
                  <w:divsChild>
                    <w:div w:id="1659650538">
                      <w:marLeft w:val="0"/>
                      <w:marRight w:val="0"/>
                      <w:marTop w:val="0"/>
                      <w:marBottom w:val="0"/>
                      <w:divBdr>
                        <w:top w:val="none" w:sz="0" w:space="0" w:color="auto"/>
                        <w:left w:val="none" w:sz="0" w:space="0" w:color="auto"/>
                        <w:bottom w:val="none" w:sz="0" w:space="0" w:color="auto"/>
                        <w:right w:val="none" w:sz="0" w:space="0" w:color="auto"/>
                      </w:divBdr>
                    </w:div>
                  </w:divsChild>
                </w:div>
                <w:div w:id="1500390969">
                  <w:marLeft w:val="0"/>
                  <w:marRight w:val="0"/>
                  <w:marTop w:val="0"/>
                  <w:marBottom w:val="0"/>
                  <w:divBdr>
                    <w:top w:val="none" w:sz="0" w:space="0" w:color="auto"/>
                    <w:left w:val="none" w:sz="0" w:space="0" w:color="auto"/>
                    <w:bottom w:val="none" w:sz="0" w:space="0" w:color="auto"/>
                    <w:right w:val="none" w:sz="0" w:space="0" w:color="auto"/>
                  </w:divBdr>
                  <w:divsChild>
                    <w:div w:id="333185386">
                      <w:marLeft w:val="0"/>
                      <w:marRight w:val="0"/>
                      <w:marTop w:val="0"/>
                      <w:marBottom w:val="0"/>
                      <w:divBdr>
                        <w:top w:val="none" w:sz="0" w:space="0" w:color="auto"/>
                        <w:left w:val="none" w:sz="0" w:space="0" w:color="auto"/>
                        <w:bottom w:val="none" w:sz="0" w:space="0" w:color="auto"/>
                        <w:right w:val="none" w:sz="0" w:space="0" w:color="auto"/>
                      </w:divBdr>
                    </w:div>
                  </w:divsChild>
                </w:div>
                <w:div w:id="1504198657">
                  <w:marLeft w:val="0"/>
                  <w:marRight w:val="0"/>
                  <w:marTop w:val="0"/>
                  <w:marBottom w:val="0"/>
                  <w:divBdr>
                    <w:top w:val="none" w:sz="0" w:space="0" w:color="auto"/>
                    <w:left w:val="none" w:sz="0" w:space="0" w:color="auto"/>
                    <w:bottom w:val="none" w:sz="0" w:space="0" w:color="auto"/>
                    <w:right w:val="none" w:sz="0" w:space="0" w:color="auto"/>
                  </w:divBdr>
                  <w:divsChild>
                    <w:div w:id="452865930">
                      <w:marLeft w:val="0"/>
                      <w:marRight w:val="0"/>
                      <w:marTop w:val="0"/>
                      <w:marBottom w:val="0"/>
                      <w:divBdr>
                        <w:top w:val="none" w:sz="0" w:space="0" w:color="auto"/>
                        <w:left w:val="none" w:sz="0" w:space="0" w:color="auto"/>
                        <w:bottom w:val="none" w:sz="0" w:space="0" w:color="auto"/>
                        <w:right w:val="none" w:sz="0" w:space="0" w:color="auto"/>
                      </w:divBdr>
                    </w:div>
                  </w:divsChild>
                </w:div>
                <w:div w:id="1536575582">
                  <w:marLeft w:val="0"/>
                  <w:marRight w:val="0"/>
                  <w:marTop w:val="0"/>
                  <w:marBottom w:val="0"/>
                  <w:divBdr>
                    <w:top w:val="none" w:sz="0" w:space="0" w:color="auto"/>
                    <w:left w:val="none" w:sz="0" w:space="0" w:color="auto"/>
                    <w:bottom w:val="none" w:sz="0" w:space="0" w:color="auto"/>
                    <w:right w:val="none" w:sz="0" w:space="0" w:color="auto"/>
                  </w:divBdr>
                  <w:divsChild>
                    <w:div w:id="1414931197">
                      <w:marLeft w:val="0"/>
                      <w:marRight w:val="0"/>
                      <w:marTop w:val="0"/>
                      <w:marBottom w:val="0"/>
                      <w:divBdr>
                        <w:top w:val="none" w:sz="0" w:space="0" w:color="auto"/>
                        <w:left w:val="none" w:sz="0" w:space="0" w:color="auto"/>
                        <w:bottom w:val="none" w:sz="0" w:space="0" w:color="auto"/>
                        <w:right w:val="none" w:sz="0" w:space="0" w:color="auto"/>
                      </w:divBdr>
                    </w:div>
                  </w:divsChild>
                </w:div>
                <w:div w:id="1546408641">
                  <w:marLeft w:val="0"/>
                  <w:marRight w:val="0"/>
                  <w:marTop w:val="0"/>
                  <w:marBottom w:val="0"/>
                  <w:divBdr>
                    <w:top w:val="none" w:sz="0" w:space="0" w:color="auto"/>
                    <w:left w:val="none" w:sz="0" w:space="0" w:color="auto"/>
                    <w:bottom w:val="none" w:sz="0" w:space="0" w:color="auto"/>
                    <w:right w:val="none" w:sz="0" w:space="0" w:color="auto"/>
                  </w:divBdr>
                  <w:divsChild>
                    <w:div w:id="1105154079">
                      <w:marLeft w:val="0"/>
                      <w:marRight w:val="0"/>
                      <w:marTop w:val="0"/>
                      <w:marBottom w:val="0"/>
                      <w:divBdr>
                        <w:top w:val="none" w:sz="0" w:space="0" w:color="auto"/>
                        <w:left w:val="none" w:sz="0" w:space="0" w:color="auto"/>
                        <w:bottom w:val="none" w:sz="0" w:space="0" w:color="auto"/>
                        <w:right w:val="none" w:sz="0" w:space="0" w:color="auto"/>
                      </w:divBdr>
                    </w:div>
                  </w:divsChild>
                </w:div>
                <w:div w:id="1567105899">
                  <w:marLeft w:val="0"/>
                  <w:marRight w:val="0"/>
                  <w:marTop w:val="0"/>
                  <w:marBottom w:val="0"/>
                  <w:divBdr>
                    <w:top w:val="none" w:sz="0" w:space="0" w:color="auto"/>
                    <w:left w:val="none" w:sz="0" w:space="0" w:color="auto"/>
                    <w:bottom w:val="none" w:sz="0" w:space="0" w:color="auto"/>
                    <w:right w:val="none" w:sz="0" w:space="0" w:color="auto"/>
                  </w:divBdr>
                  <w:divsChild>
                    <w:div w:id="474880134">
                      <w:marLeft w:val="0"/>
                      <w:marRight w:val="0"/>
                      <w:marTop w:val="0"/>
                      <w:marBottom w:val="0"/>
                      <w:divBdr>
                        <w:top w:val="none" w:sz="0" w:space="0" w:color="auto"/>
                        <w:left w:val="none" w:sz="0" w:space="0" w:color="auto"/>
                        <w:bottom w:val="none" w:sz="0" w:space="0" w:color="auto"/>
                        <w:right w:val="none" w:sz="0" w:space="0" w:color="auto"/>
                      </w:divBdr>
                    </w:div>
                  </w:divsChild>
                </w:div>
                <w:div w:id="1581064486">
                  <w:marLeft w:val="0"/>
                  <w:marRight w:val="0"/>
                  <w:marTop w:val="0"/>
                  <w:marBottom w:val="0"/>
                  <w:divBdr>
                    <w:top w:val="none" w:sz="0" w:space="0" w:color="auto"/>
                    <w:left w:val="none" w:sz="0" w:space="0" w:color="auto"/>
                    <w:bottom w:val="none" w:sz="0" w:space="0" w:color="auto"/>
                    <w:right w:val="none" w:sz="0" w:space="0" w:color="auto"/>
                  </w:divBdr>
                  <w:divsChild>
                    <w:div w:id="34157541">
                      <w:marLeft w:val="0"/>
                      <w:marRight w:val="0"/>
                      <w:marTop w:val="0"/>
                      <w:marBottom w:val="0"/>
                      <w:divBdr>
                        <w:top w:val="none" w:sz="0" w:space="0" w:color="auto"/>
                        <w:left w:val="none" w:sz="0" w:space="0" w:color="auto"/>
                        <w:bottom w:val="none" w:sz="0" w:space="0" w:color="auto"/>
                        <w:right w:val="none" w:sz="0" w:space="0" w:color="auto"/>
                      </w:divBdr>
                    </w:div>
                  </w:divsChild>
                </w:div>
                <w:div w:id="1586842256">
                  <w:marLeft w:val="0"/>
                  <w:marRight w:val="0"/>
                  <w:marTop w:val="0"/>
                  <w:marBottom w:val="0"/>
                  <w:divBdr>
                    <w:top w:val="none" w:sz="0" w:space="0" w:color="auto"/>
                    <w:left w:val="none" w:sz="0" w:space="0" w:color="auto"/>
                    <w:bottom w:val="none" w:sz="0" w:space="0" w:color="auto"/>
                    <w:right w:val="none" w:sz="0" w:space="0" w:color="auto"/>
                  </w:divBdr>
                  <w:divsChild>
                    <w:div w:id="1088574219">
                      <w:marLeft w:val="0"/>
                      <w:marRight w:val="0"/>
                      <w:marTop w:val="0"/>
                      <w:marBottom w:val="0"/>
                      <w:divBdr>
                        <w:top w:val="none" w:sz="0" w:space="0" w:color="auto"/>
                        <w:left w:val="none" w:sz="0" w:space="0" w:color="auto"/>
                        <w:bottom w:val="none" w:sz="0" w:space="0" w:color="auto"/>
                        <w:right w:val="none" w:sz="0" w:space="0" w:color="auto"/>
                      </w:divBdr>
                    </w:div>
                  </w:divsChild>
                </w:div>
                <w:div w:id="1592159057">
                  <w:marLeft w:val="0"/>
                  <w:marRight w:val="0"/>
                  <w:marTop w:val="0"/>
                  <w:marBottom w:val="0"/>
                  <w:divBdr>
                    <w:top w:val="none" w:sz="0" w:space="0" w:color="auto"/>
                    <w:left w:val="none" w:sz="0" w:space="0" w:color="auto"/>
                    <w:bottom w:val="none" w:sz="0" w:space="0" w:color="auto"/>
                    <w:right w:val="none" w:sz="0" w:space="0" w:color="auto"/>
                  </w:divBdr>
                  <w:divsChild>
                    <w:div w:id="55126004">
                      <w:marLeft w:val="0"/>
                      <w:marRight w:val="0"/>
                      <w:marTop w:val="0"/>
                      <w:marBottom w:val="0"/>
                      <w:divBdr>
                        <w:top w:val="none" w:sz="0" w:space="0" w:color="auto"/>
                        <w:left w:val="none" w:sz="0" w:space="0" w:color="auto"/>
                        <w:bottom w:val="none" w:sz="0" w:space="0" w:color="auto"/>
                        <w:right w:val="none" w:sz="0" w:space="0" w:color="auto"/>
                      </w:divBdr>
                    </w:div>
                  </w:divsChild>
                </w:div>
                <w:div w:id="1593124476">
                  <w:marLeft w:val="0"/>
                  <w:marRight w:val="0"/>
                  <w:marTop w:val="0"/>
                  <w:marBottom w:val="0"/>
                  <w:divBdr>
                    <w:top w:val="none" w:sz="0" w:space="0" w:color="auto"/>
                    <w:left w:val="none" w:sz="0" w:space="0" w:color="auto"/>
                    <w:bottom w:val="none" w:sz="0" w:space="0" w:color="auto"/>
                    <w:right w:val="none" w:sz="0" w:space="0" w:color="auto"/>
                  </w:divBdr>
                  <w:divsChild>
                    <w:div w:id="529143849">
                      <w:marLeft w:val="0"/>
                      <w:marRight w:val="0"/>
                      <w:marTop w:val="0"/>
                      <w:marBottom w:val="0"/>
                      <w:divBdr>
                        <w:top w:val="none" w:sz="0" w:space="0" w:color="auto"/>
                        <w:left w:val="none" w:sz="0" w:space="0" w:color="auto"/>
                        <w:bottom w:val="none" w:sz="0" w:space="0" w:color="auto"/>
                        <w:right w:val="none" w:sz="0" w:space="0" w:color="auto"/>
                      </w:divBdr>
                    </w:div>
                  </w:divsChild>
                </w:div>
                <w:div w:id="1609972071">
                  <w:marLeft w:val="0"/>
                  <w:marRight w:val="0"/>
                  <w:marTop w:val="0"/>
                  <w:marBottom w:val="0"/>
                  <w:divBdr>
                    <w:top w:val="none" w:sz="0" w:space="0" w:color="auto"/>
                    <w:left w:val="none" w:sz="0" w:space="0" w:color="auto"/>
                    <w:bottom w:val="none" w:sz="0" w:space="0" w:color="auto"/>
                    <w:right w:val="none" w:sz="0" w:space="0" w:color="auto"/>
                  </w:divBdr>
                  <w:divsChild>
                    <w:div w:id="2060784604">
                      <w:marLeft w:val="0"/>
                      <w:marRight w:val="0"/>
                      <w:marTop w:val="0"/>
                      <w:marBottom w:val="0"/>
                      <w:divBdr>
                        <w:top w:val="none" w:sz="0" w:space="0" w:color="auto"/>
                        <w:left w:val="none" w:sz="0" w:space="0" w:color="auto"/>
                        <w:bottom w:val="none" w:sz="0" w:space="0" w:color="auto"/>
                        <w:right w:val="none" w:sz="0" w:space="0" w:color="auto"/>
                      </w:divBdr>
                    </w:div>
                  </w:divsChild>
                </w:div>
                <w:div w:id="1612513827">
                  <w:marLeft w:val="0"/>
                  <w:marRight w:val="0"/>
                  <w:marTop w:val="0"/>
                  <w:marBottom w:val="0"/>
                  <w:divBdr>
                    <w:top w:val="none" w:sz="0" w:space="0" w:color="auto"/>
                    <w:left w:val="none" w:sz="0" w:space="0" w:color="auto"/>
                    <w:bottom w:val="none" w:sz="0" w:space="0" w:color="auto"/>
                    <w:right w:val="none" w:sz="0" w:space="0" w:color="auto"/>
                  </w:divBdr>
                  <w:divsChild>
                    <w:div w:id="667559020">
                      <w:marLeft w:val="0"/>
                      <w:marRight w:val="0"/>
                      <w:marTop w:val="0"/>
                      <w:marBottom w:val="0"/>
                      <w:divBdr>
                        <w:top w:val="none" w:sz="0" w:space="0" w:color="auto"/>
                        <w:left w:val="none" w:sz="0" w:space="0" w:color="auto"/>
                        <w:bottom w:val="none" w:sz="0" w:space="0" w:color="auto"/>
                        <w:right w:val="none" w:sz="0" w:space="0" w:color="auto"/>
                      </w:divBdr>
                    </w:div>
                  </w:divsChild>
                </w:div>
                <w:div w:id="1622344278">
                  <w:marLeft w:val="0"/>
                  <w:marRight w:val="0"/>
                  <w:marTop w:val="0"/>
                  <w:marBottom w:val="0"/>
                  <w:divBdr>
                    <w:top w:val="none" w:sz="0" w:space="0" w:color="auto"/>
                    <w:left w:val="none" w:sz="0" w:space="0" w:color="auto"/>
                    <w:bottom w:val="none" w:sz="0" w:space="0" w:color="auto"/>
                    <w:right w:val="none" w:sz="0" w:space="0" w:color="auto"/>
                  </w:divBdr>
                  <w:divsChild>
                    <w:div w:id="588540303">
                      <w:marLeft w:val="0"/>
                      <w:marRight w:val="0"/>
                      <w:marTop w:val="0"/>
                      <w:marBottom w:val="0"/>
                      <w:divBdr>
                        <w:top w:val="none" w:sz="0" w:space="0" w:color="auto"/>
                        <w:left w:val="none" w:sz="0" w:space="0" w:color="auto"/>
                        <w:bottom w:val="none" w:sz="0" w:space="0" w:color="auto"/>
                        <w:right w:val="none" w:sz="0" w:space="0" w:color="auto"/>
                      </w:divBdr>
                    </w:div>
                    <w:div w:id="615647314">
                      <w:marLeft w:val="0"/>
                      <w:marRight w:val="0"/>
                      <w:marTop w:val="0"/>
                      <w:marBottom w:val="0"/>
                      <w:divBdr>
                        <w:top w:val="none" w:sz="0" w:space="0" w:color="auto"/>
                        <w:left w:val="none" w:sz="0" w:space="0" w:color="auto"/>
                        <w:bottom w:val="none" w:sz="0" w:space="0" w:color="auto"/>
                        <w:right w:val="none" w:sz="0" w:space="0" w:color="auto"/>
                      </w:divBdr>
                    </w:div>
                    <w:div w:id="663243762">
                      <w:marLeft w:val="0"/>
                      <w:marRight w:val="0"/>
                      <w:marTop w:val="0"/>
                      <w:marBottom w:val="0"/>
                      <w:divBdr>
                        <w:top w:val="none" w:sz="0" w:space="0" w:color="auto"/>
                        <w:left w:val="none" w:sz="0" w:space="0" w:color="auto"/>
                        <w:bottom w:val="none" w:sz="0" w:space="0" w:color="auto"/>
                        <w:right w:val="none" w:sz="0" w:space="0" w:color="auto"/>
                      </w:divBdr>
                    </w:div>
                    <w:div w:id="784694032">
                      <w:marLeft w:val="0"/>
                      <w:marRight w:val="0"/>
                      <w:marTop w:val="0"/>
                      <w:marBottom w:val="0"/>
                      <w:divBdr>
                        <w:top w:val="none" w:sz="0" w:space="0" w:color="auto"/>
                        <w:left w:val="none" w:sz="0" w:space="0" w:color="auto"/>
                        <w:bottom w:val="none" w:sz="0" w:space="0" w:color="auto"/>
                        <w:right w:val="none" w:sz="0" w:space="0" w:color="auto"/>
                      </w:divBdr>
                    </w:div>
                    <w:div w:id="1122458141">
                      <w:marLeft w:val="0"/>
                      <w:marRight w:val="0"/>
                      <w:marTop w:val="0"/>
                      <w:marBottom w:val="0"/>
                      <w:divBdr>
                        <w:top w:val="none" w:sz="0" w:space="0" w:color="auto"/>
                        <w:left w:val="none" w:sz="0" w:space="0" w:color="auto"/>
                        <w:bottom w:val="none" w:sz="0" w:space="0" w:color="auto"/>
                        <w:right w:val="none" w:sz="0" w:space="0" w:color="auto"/>
                      </w:divBdr>
                    </w:div>
                    <w:div w:id="1404720370">
                      <w:marLeft w:val="0"/>
                      <w:marRight w:val="0"/>
                      <w:marTop w:val="0"/>
                      <w:marBottom w:val="0"/>
                      <w:divBdr>
                        <w:top w:val="none" w:sz="0" w:space="0" w:color="auto"/>
                        <w:left w:val="none" w:sz="0" w:space="0" w:color="auto"/>
                        <w:bottom w:val="none" w:sz="0" w:space="0" w:color="auto"/>
                        <w:right w:val="none" w:sz="0" w:space="0" w:color="auto"/>
                      </w:divBdr>
                    </w:div>
                  </w:divsChild>
                </w:div>
                <w:div w:id="1638561398">
                  <w:marLeft w:val="0"/>
                  <w:marRight w:val="0"/>
                  <w:marTop w:val="0"/>
                  <w:marBottom w:val="0"/>
                  <w:divBdr>
                    <w:top w:val="none" w:sz="0" w:space="0" w:color="auto"/>
                    <w:left w:val="none" w:sz="0" w:space="0" w:color="auto"/>
                    <w:bottom w:val="none" w:sz="0" w:space="0" w:color="auto"/>
                    <w:right w:val="none" w:sz="0" w:space="0" w:color="auto"/>
                  </w:divBdr>
                  <w:divsChild>
                    <w:div w:id="584875289">
                      <w:marLeft w:val="0"/>
                      <w:marRight w:val="0"/>
                      <w:marTop w:val="0"/>
                      <w:marBottom w:val="0"/>
                      <w:divBdr>
                        <w:top w:val="none" w:sz="0" w:space="0" w:color="auto"/>
                        <w:left w:val="none" w:sz="0" w:space="0" w:color="auto"/>
                        <w:bottom w:val="none" w:sz="0" w:space="0" w:color="auto"/>
                        <w:right w:val="none" w:sz="0" w:space="0" w:color="auto"/>
                      </w:divBdr>
                    </w:div>
                  </w:divsChild>
                </w:div>
                <w:div w:id="1646930732">
                  <w:marLeft w:val="0"/>
                  <w:marRight w:val="0"/>
                  <w:marTop w:val="0"/>
                  <w:marBottom w:val="0"/>
                  <w:divBdr>
                    <w:top w:val="none" w:sz="0" w:space="0" w:color="auto"/>
                    <w:left w:val="none" w:sz="0" w:space="0" w:color="auto"/>
                    <w:bottom w:val="none" w:sz="0" w:space="0" w:color="auto"/>
                    <w:right w:val="none" w:sz="0" w:space="0" w:color="auto"/>
                  </w:divBdr>
                  <w:divsChild>
                    <w:div w:id="689066079">
                      <w:marLeft w:val="0"/>
                      <w:marRight w:val="0"/>
                      <w:marTop w:val="0"/>
                      <w:marBottom w:val="0"/>
                      <w:divBdr>
                        <w:top w:val="none" w:sz="0" w:space="0" w:color="auto"/>
                        <w:left w:val="none" w:sz="0" w:space="0" w:color="auto"/>
                        <w:bottom w:val="none" w:sz="0" w:space="0" w:color="auto"/>
                        <w:right w:val="none" w:sz="0" w:space="0" w:color="auto"/>
                      </w:divBdr>
                    </w:div>
                  </w:divsChild>
                </w:div>
                <w:div w:id="1666782352">
                  <w:marLeft w:val="0"/>
                  <w:marRight w:val="0"/>
                  <w:marTop w:val="0"/>
                  <w:marBottom w:val="0"/>
                  <w:divBdr>
                    <w:top w:val="none" w:sz="0" w:space="0" w:color="auto"/>
                    <w:left w:val="none" w:sz="0" w:space="0" w:color="auto"/>
                    <w:bottom w:val="none" w:sz="0" w:space="0" w:color="auto"/>
                    <w:right w:val="none" w:sz="0" w:space="0" w:color="auto"/>
                  </w:divBdr>
                  <w:divsChild>
                    <w:div w:id="1668172621">
                      <w:marLeft w:val="0"/>
                      <w:marRight w:val="0"/>
                      <w:marTop w:val="0"/>
                      <w:marBottom w:val="0"/>
                      <w:divBdr>
                        <w:top w:val="none" w:sz="0" w:space="0" w:color="auto"/>
                        <w:left w:val="none" w:sz="0" w:space="0" w:color="auto"/>
                        <w:bottom w:val="none" w:sz="0" w:space="0" w:color="auto"/>
                        <w:right w:val="none" w:sz="0" w:space="0" w:color="auto"/>
                      </w:divBdr>
                    </w:div>
                  </w:divsChild>
                </w:div>
                <w:div w:id="1668707809">
                  <w:marLeft w:val="0"/>
                  <w:marRight w:val="0"/>
                  <w:marTop w:val="0"/>
                  <w:marBottom w:val="0"/>
                  <w:divBdr>
                    <w:top w:val="none" w:sz="0" w:space="0" w:color="auto"/>
                    <w:left w:val="none" w:sz="0" w:space="0" w:color="auto"/>
                    <w:bottom w:val="none" w:sz="0" w:space="0" w:color="auto"/>
                    <w:right w:val="none" w:sz="0" w:space="0" w:color="auto"/>
                  </w:divBdr>
                  <w:divsChild>
                    <w:div w:id="40911802">
                      <w:marLeft w:val="0"/>
                      <w:marRight w:val="0"/>
                      <w:marTop w:val="0"/>
                      <w:marBottom w:val="0"/>
                      <w:divBdr>
                        <w:top w:val="none" w:sz="0" w:space="0" w:color="auto"/>
                        <w:left w:val="none" w:sz="0" w:space="0" w:color="auto"/>
                        <w:bottom w:val="none" w:sz="0" w:space="0" w:color="auto"/>
                        <w:right w:val="none" w:sz="0" w:space="0" w:color="auto"/>
                      </w:divBdr>
                    </w:div>
                  </w:divsChild>
                </w:div>
                <w:div w:id="1684670424">
                  <w:marLeft w:val="0"/>
                  <w:marRight w:val="0"/>
                  <w:marTop w:val="0"/>
                  <w:marBottom w:val="0"/>
                  <w:divBdr>
                    <w:top w:val="none" w:sz="0" w:space="0" w:color="auto"/>
                    <w:left w:val="none" w:sz="0" w:space="0" w:color="auto"/>
                    <w:bottom w:val="none" w:sz="0" w:space="0" w:color="auto"/>
                    <w:right w:val="none" w:sz="0" w:space="0" w:color="auto"/>
                  </w:divBdr>
                  <w:divsChild>
                    <w:div w:id="247425754">
                      <w:marLeft w:val="0"/>
                      <w:marRight w:val="0"/>
                      <w:marTop w:val="0"/>
                      <w:marBottom w:val="0"/>
                      <w:divBdr>
                        <w:top w:val="none" w:sz="0" w:space="0" w:color="auto"/>
                        <w:left w:val="none" w:sz="0" w:space="0" w:color="auto"/>
                        <w:bottom w:val="none" w:sz="0" w:space="0" w:color="auto"/>
                        <w:right w:val="none" w:sz="0" w:space="0" w:color="auto"/>
                      </w:divBdr>
                    </w:div>
                  </w:divsChild>
                </w:div>
                <w:div w:id="1710689629">
                  <w:marLeft w:val="0"/>
                  <w:marRight w:val="0"/>
                  <w:marTop w:val="0"/>
                  <w:marBottom w:val="0"/>
                  <w:divBdr>
                    <w:top w:val="none" w:sz="0" w:space="0" w:color="auto"/>
                    <w:left w:val="none" w:sz="0" w:space="0" w:color="auto"/>
                    <w:bottom w:val="none" w:sz="0" w:space="0" w:color="auto"/>
                    <w:right w:val="none" w:sz="0" w:space="0" w:color="auto"/>
                  </w:divBdr>
                  <w:divsChild>
                    <w:div w:id="1905335230">
                      <w:marLeft w:val="0"/>
                      <w:marRight w:val="0"/>
                      <w:marTop w:val="0"/>
                      <w:marBottom w:val="0"/>
                      <w:divBdr>
                        <w:top w:val="none" w:sz="0" w:space="0" w:color="auto"/>
                        <w:left w:val="none" w:sz="0" w:space="0" w:color="auto"/>
                        <w:bottom w:val="none" w:sz="0" w:space="0" w:color="auto"/>
                        <w:right w:val="none" w:sz="0" w:space="0" w:color="auto"/>
                      </w:divBdr>
                    </w:div>
                  </w:divsChild>
                </w:div>
                <w:div w:id="1716083202">
                  <w:marLeft w:val="0"/>
                  <w:marRight w:val="0"/>
                  <w:marTop w:val="0"/>
                  <w:marBottom w:val="0"/>
                  <w:divBdr>
                    <w:top w:val="none" w:sz="0" w:space="0" w:color="auto"/>
                    <w:left w:val="none" w:sz="0" w:space="0" w:color="auto"/>
                    <w:bottom w:val="none" w:sz="0" w:space="0" w:color="auto"/>
                    <w:right w:val="none" w:sz="0" w:space="0" w:color="auto"/>
                  </w:divBdr>
                  <w:divsChild>
                    <w:div w:id="555701967">
                      <w:marLeft w:val="0"/>
                      <w:marRight w:val="0"/>
                      <w:marTop w:val="0"/>
                      <w:marBottom w:val="0"/>
                      <w:divBdr>
                        <w:top w:val="none" w:sz="0" w:space="0" w:color="auto"/>
                        <w:left w:val="none" w:sz="0" w:space="0" w:color="auto"/>
                        <w:bottom w:val="none" w:sz="0" w:space="0" w:color="auto"/>
                        <w:right w:val="none" w:sz="0" w:space="0" w:color="auto"/>
                      </w:divBdr>
                    </w:div>
                  </w:divsChild>
                </w:div>
                <w:div w:id="1717851094">
                  <w:marLeft w:val="0"/>
                  <w:marRight w:val="0"/>
                  <w:marTop w:val="0"/>
                  <w:marBottom w:val="0"/>
                  <w:divBdr>
                    <w:top w:val="none" w:sz="0" w:space="0" w:color="auto"/>
                    <w:left w:val="none" w:sz="0" w:space="0" w:color="auto"/>
                    <w:bottom w:val="none" w:sz="0" w:space="0" w:color="auto"/>
                    <w:right w:val="none" w:sz="0" w:space="0" w:color="auto"/>
                  </w:divBdr>
                  <w:divsChild>
                    <w:div w:id="1530414938">
                      <w:marLeft w:val="0"/>
                      <w:marRight w:val="0"/>
                      <w:marTop w:val="0"/>
                      <w:marBottom w:val="0"/>
                      <w:divBdr>
                        <w:top w:val="none" w:sz="0" w:space="0" w:color="auto"/>
                        <w:left w:val="none" w:sz="0" w:space="0" w:color="auto"/>
                        <w:bottom w:val="none" w:sz="0" w:space="0" w:color="auto"/>
                        <w:right w:val="none" w:sz="0" w:space="0" w:color="auto"/>
                      </w:divBdr>
                    </w:div>
                  </w:divsChild>
                </w:div>
                <w:div w:id="1723750888">
                  <w:marLeft w:val="0"/>
                  <w:marRight w:val="0"/>
                  <w:marTop w:val="0"/>
                  <w:marBottom w:val="0"/>
                  <w:divBdr>
                    <w:top w:val="none" w:sz="0" w:space="0" w:color="auto"/>
                    <w:left w:val="none" w:sz="0" w:space="0" w:color="auto"/>
                    <w:bottom w:val="none" w:sz="0" w:space="0" w:color="auto"/>
                    <w:right w:val="none" w:sz="0" w:space="0" w:color="auto"/>
                  </w:divBdr>
                  <w:divsChild>
                    <w:div w:id="358052217">
                      <w:marLeft w:val="0"/>
                      <w:marRight w:val="0"/>
                      <w:marTop w:val="0"/>
                      <w:marBottom w:val="0"/>
                      <w:divBdr>
                        <w:top w:val="none" w:sz="0" w:space="0" w:color="auto"/>
                        <w:left w:val="none" w:sz="0" w:space="0" w:color="auto"/>
                        <w:bottom w:val="none" w:sz="0" w:space="0" w:color="auto"/>
                        <w:right w:val="none" w:sz="0" w:space="0" w:color="auto"/>
                      </w:divBdr>
                    </w:div>
                  </w:divsChild>
                </w:div>
                <w:div w:id="1746295582">
                  <w:marLeft w:val="0"/>
                  <w:marRight w:val="0"/>
                  <w:marTop w:val="0"/>
                  <w:marBottom w:val="0"/>
                  <w:divBdr>
                    <w:top w:val="none" w:sz="0" w:space="0" w:color="auto"/>
                    <w:left w:val="none" w:sz="0" w:space="0" w:color="auto"/>
                    <w:bottom w:val="none" w:sz="0" w:space="0" w:color="auto"/>
                    <w:right w:val="none" w:sz="0" w:space="0" w:color="auto"/>
                  </w:divBdr>
                  <w:divsChild>
                    <w:div w:id="667832712">
                      <w:marLeft w:val="0"/>
                      <w:marRight w:val="0"/>
                      <w:marTop w:val="0"/>
                      <w:marBottom w:val="0"/>
                      <w:divBdr>
                        <w:top w:val="none" w:sz="0" w:space="0" w:color="auto"/>
                        <w:left w:val="none" w:sz="0" w:space="0" w:color="auto"/>
                        <w:bottom w:val="none" w:sz="0" w:space="0" w:color="auto"/>
                        <w:right w:val="none" w:sz="0" w:space="0" w:color="auto"/>
                      </w:divBdr>
                    </w:div>
                  </w:divsChild>
                </w:div>
                <w:div w:id="1746798593">
                  <w:marLeft w:val="0"/>
                  <w:marRight w:val="0"/>
                  <w:marTop w:val="0"/>
                  <w:marBottom w:val="0"/>
                  <w:divBdr>
                    <w:top w:val="none" w:sz="0" w:space="0" w:color="auto"/>
                    <w:left w:val="none" w:sz="0" w:space="0" w:color="auto"/>
                    <w:bottom w:val="none" w:sz="0" w:space="0" w:color="auto"/>
                    <w:right w:val="none" w:sz="0" w:space="0" w:color="auto"/>
                  </w:divBdr>
                  <w:divsChild>
                    <w:div w:id="1357537266">
                      <w:marLeft w:val="0"/>
                      <w:marRight w:val="0"/>
                      <w:marTop w:val="0"/>
                      <w:marBottom w:val="0"/>
                      <w:divBdr>
                        <w:top w:val="none" w:sz="0" w:space="0" w:color="auto"/>
                        <w:left w:val="none" w:sz="0" w:space="0" w:color="auto"/>
                        <w:bottom w:val="none" w:sz="0" w:space="0" w:color="auto"/>
                        <w:right w:val="none" w:sz="0" w:space="0" w:color="auto"/>
                      </w:divBdr>
                    </w:div>
                  </w:divsChild>
                </w:div>
                <w:div w:id="1768577902">
                  <w:marLeft w:val="0"/>
                  <w:marRight w:val="0"/>
                  <w:marTop w:val="0"/>
                  <w:marBottom w:val="0"/>
                  <w:divBdr>
                    <w:top w:val="none" w:sz="0" w:space="0" w:color="auto"/>
                    <w:left w:val="none" w:sz="0" w:space="0" w:color="auto"/>
                    <w:bottom w:val="none" w:sz="0" w:space="0" w:color="auto"/>
                    <w:right w:val="none" w:sz="0" w:space="0" w:color="auto"/>
                  </w:divBdr>
                  <w:divsChild>
                    <w:div w:id="1306469328">
                      <w:marLeft w:val="0"/>
                      <w:marRight w:val="0"/>
                      <w:marTop w:val="0"/>
                      <w:marBottom w:val="0"/>
                      <w:divBdr>
                        <w:top w:val="none" w:sz="0" w:space="0" w:color="auto"/>
                        <w:left w:val="none" w:sz="0" w:space="0" w:color="auto"/>
                        <w:bottom w:val="none" w:sz="0" w:space="0" w:color="auto"/>
                        <w:right w:val="none" w:sz="0" w:space="0" w:color="auto"/>
                      </w:divBdr>
                    </w:div>
                  </w:divsChild>
                </w:div>
                <w:div w:id="1777480389">
                  <w:marLeft w:val="0"/>
                  <w:marRight w:val="0"/>
                  <w:marTop w:val="0"/>
                  <w:marBottom w:val="0"/>
                  <w:divBdr>
                    <w:top w:val="none" w:sz="0" w:space="0" w:color="auto"/>
                    <w:left w:val="none" w:sz="0" w:space="0" w:color="auto"/>
                    <w:bottom w:val="none" w:sz="0" w:space="0" w:color="auto"/>
                    <w:right w:val="none" w:sz="0" w:space="0" w:color="auto"/>
                  </w:divBdr>
                  <w:divsChild>
                    <w:div w:id="128281840">
                      <w:marLeft w:val="0"/>
                      <w:marRight w:val="0"/>
                      <w:marTop w:val="0"/>
                      <w:marBottom w:val="0"/>
                      <w:divBdr>
                        <w:top w:val="none" w:sz="0" w:space="0" w:color="auto"/>
                        <w:left w:val="none" w:sz="0" w:space="0" w:color="auto"/>
                        <w:bottom w:val="none" w:sz="0" w:space="0" w:color="auto"/>
                        <w:right w:val="none" w:sz="0" w:space="0" w:color="auto"/>
                      </w:divBdr>
                    </w:div>
                    <w:div w:id="383724037">
                      <w:marLeft w:val="0"/>
                      <w:marRight w:val="0"/>
                      <w:marTop w:val="0"/>
                      <w:marBottom w:val="0"/>
                      <w:divBdr>
                        <w:top w:val="none" w:sz="0" w:space="0" w:color="auto"/>
                        <w:left w:val="none" w:sz="0" w:space="0" w:color="auto"/>
                        <w:bottom w:val="none" w:sz="0" w:space="0" w:color="auto"/>
                        <w:right w:val="none" w:sz="0" w:space="0" w:color="auto"/>
                      </w:divBdr>
                    </w:div>
                    <w:div w:id="448740289">
                      <w:marLeft w:val="0"/>
                      <w:marRight w:val="0"/>
                      <w:marTop w:val="0"/>
                      <w:marBottom w:val="0"/>
                      <w:divBdr>
                        <w:top w:val="none" w:sz="0" w:space="0" w:color="auto"/>
                        <w:left w:val="none" w:sz="0" w:space="0" w:color="auto"/>
                        <w:bottom w:val="none" w:sz="0" w:space="0" w:color="auto"/>
                        <w:right w:val="none" w:sz="0" w:space="0" w:color="auto"/>
                      </w:divBdr>
                    </w:div>
                    <w:div w:id="569342991">
                      <w:marLeft w:val="0"/>
                      <w:marRight w:val="0"/>
                      <w:marTop w:val="0"/>
                      <w:marBottom w:val="0"/>
                      <w:divBdr>
                        <w:top w:val="none" w:sz="0" w:space="0" w:color="auto"/>
                        <w:left w:val="none" w:sz="0" w:space="0" w:color="auto"/>
                        <w:bottom w:val="none" w:sz="0" w:space="0" w:color="auto"/>
                        <w:right w:val="none" w:sz="0" w:space="0" w:color="auto"/>
                      </w:divBdr>
                    </w:div>
                    <w:div w:id="858086820">
                      <w:marLeft w:val="0"/>
                      <w:marRight w:val="0"/>
                      <w:marTop w:val="0"/>
                      <w:marBottom w:val="0"/>
                      <w:divBdr>
                        <w:top w:val="none" w:sz="0" w:space="0" w:color="auto"/>
                        <w:left w:val="none" w:sz="0" w:space="0" w:color="auto"/>
                        <w:bottom w:val="none" w:sz="0" w:space="0" w:color="auto"/>
                        <w:right w:val="none" w:sz="0" w:space="0" w:color="auto"/>
                      </w:divBdr>
                    </w:div>
                    <w:div w:id="1248659857">
                      <w:marLeft w:val="0"/>
                      <w:marRight w:val="0"/>
                      <w:marTop w:val="0"/>
                      <w:marBottom w:val="0"/>
                      <w:divBdr>
                        <w:top w:val="none" w:sz="0" w:space="0" w:color="auto"/>
                        <w:left w:val="none" w:sz="0" w:space="0" w:color="auto"/>
                        <w:bottom w:val="none" w:sz="0" w:space="0" w:color="auto"/>
                        <w:right w:val="none" w:sz="0" w:space="0" w:color="auto"/>
                      </w:divBdr>
                    </w:div>
                    <w:div w:id="1382245746">
                      <w:marLeft w:val="0"/>
                      <w:marRight w:val="0"/>
                      <w:marTop w:val="0"/>
                      <w:marBottom w:val="0"/>
                      <w:divBdr>
                        <w:top w:val="none" w:sz="0" w:space="0" w:color="auto"/>
                        <w:left w:val="none" w:sz="0" w:space="0" w:color="auto"/>
                        <w:bottom w:val="none" w:sz="0" w:space="0" w:color="auto"/>
                        <w:right w:val="none" w:sz="0" w:space="0" w:color="auto"/>
                      </w:divBdr>
                    </w:div>
                    <w:div w:id="2016304098">
                      <w:marLeft w:val="0"/>
                      <w:marRight w:val="0"/>
                      <w:marTop w:val="0"/>
                      <w:marBottom w:val="0"/>
                      <w:divBdr>
                        <w:top w:val="none" w:sz="0" w:space="0" w:color="auto"/>
                        <w:left w:val="none" w:sz="0" w:space="0" w:color="auto"/>
                        <w:bottom w:val="none" w:sz="0" w:space="0" w:color="auto"/>
                        <w:right w:val="none" w:sz="0" w:space="0" w:color="auto"/>
                      </w:divBdr>
                    </w:div>
                  </w:divsChild>
                </w:div>
                <w:div w:id="1782338359">
                  <w:marLeft w:val="0"/>
                  <w:marRight w:val="0"/>
                  <w:marTop w:val="0"/>
                  <w:marBottom w:val="0"/>
                  <w:divBdr>
                    <w:top w:val="none" w:sz="0" w:space="0" w:color="auto"/>
                    <w:left w:val="none" w:sz="0" w:space="0" w:color="auto"/>
                    <w:bottom w:val="none" w:sz="0" w:space="0" w:color="auto"/>
                    <w:right w:val="none" w:sz="0" w:space="0" w:color="auto"/>
                  </w:divBdr>
                  <w:divsChild>
                    <w:div w:id="1086419015">
                      <w:marLeft w:val="0"/>
                      <w:marRight w:val="0"/>
                      <w:marTop w:val="0"/>
                      <w:marBottom w:val="0"/>
                      <w:divBdr>
                        <w:top w:val="none" w:sz="0" w:space="0" w:color="auto"/>
                        <w:left w:val="none" w:sz="0" w:space="0" w:color="auto"/>
                        <w:bottom w:val="none" w:sz="0" w:space="0" w:color="auto"/>
                        <w:right w:val="none" w:sz="0" w:space="0" w:color="auto"/>
                      </w:divBdr>
                    </w:div>
                  </w:divsChild>
                </w:div>
                <w:div w:id="1784299971">
                  <w:marLeft w:val="0"/>
                  <w:marRight w:val="0"/>
                  <w:marTop w:val="0"/>
                  <w:marBottom w:val="0"/>
                  <w:divBdr>
                    <w:top w:val="none" w:sz="0" w:space="0" w:color="auto"/>
                    <w:left w:val="none" w:sz="0" w:space="0" w:color="auto"/>
                    <w:bottom w:val="none" w:sz="0" w:space="0" w:color="auto"/>
                    <w:right w:val="none" w:sz="0" w:space="0" w:color="auto"/>
                  </w:divBdr>
                  <w:divsChild>
                    <w:div w:id="920604287">
                      <w:marLeft w:val="0"/>
                      <w:marRight w:val="0"/>
                      <w:marTop w:val="0"/>
                      <w:marBottom w:val="0"/>
                      <w:divBdr>
                        <w:top w:val="none" w:sz="0" w:space="0" w:color="auto"/>
                        <w:left w:val="none" w:sz="0" w:space="0" w:color="auto"/>
                        <w:bottom w:val="none" w:sz="0" w:space="0" w:color="auto"/>
                        <w:right w:val="none" w:sz="0" w:space="0" w:color="auto"/>
                      </w:divBdr>
                    </w:div>
                  </w:divsChild>
                </w:div>
                <w:div w:id="1812863713">
                  <w:marLeft w:val="0"/>
                  <w:marRight w:val="0"/>
                  <w:marTop w:val="0"/>
                  <w:marBottom w:val="0"/>
                  <w:divBdr>
                    <w:top w:val="none" w:sz="0" w:space="0" w:color="auto"/>
                    <w:left w:val="none" w:sz="0" w:space="0" w:color="auto"/>
                    <w:bottom w:val="none" w:sz="0" w:space="0" w:color="auto"/>
                    <w:right w:val="none" w:sz="0" w:space="0" w:color="auto"/>
                  </w:divBdr>
                  <w:divsChild>
                    <w:div w:id="599527054">
                      <w:marLeft w:val="0"/>
                      <w:marRight w:val="0"/>
                      <w:marTop w:val="0"/>
                      <w:marBottom w:val="0"/>
                      <w:divBdr>
                        <w:top w:val="none" w:sz="0" w:space="0" w:color="auto"/>
                        <w:left w:val="none" w:sz="0" w:space="0" w:color="auto"/>
                        <w:bottom w:val="none" w:sz="0" w:space="0" w:color="auto"/>
                        <w:right w:val="none" w:sz="0" w:space="0" w:color="auto"/>
                      </w:divBdr>
                    </w:div>
                  </w:divsChild>
                </w:div>
                <w:div w:id="1816290152">
                  <w:marLeft w:val="0"/>
                  <w:marRight w:val="0"/>
                  <w:marTop w:val="0"/>
                  <w:marBottom w:val="0"/>
                  <w:divBdr>
                    <w:top w:val="none" w:sz="0" w:space="0" w:color="auto"/>
                    <w:left w:val="none" w:sz="0" w:space="0" w:color="auto"/>
                    <w:bottom w:val="none" w:sz="0" w:space="0" w:color="auto"/>
                    <w:right w:val="none" w:sz="0" w:space="0" w:color="auto"/>
                  </w:divBdr>
                  <w:divsChild>
                    <w:div w:id="749156822">
                      <w:marLeft w:val="0"/>
                      <w:marRight w:val="0"/>
                      <w:marTop w:val="0"/>
                      <w:marBottom w:val="0"/>
                      <w:divBdr>
                        <w:top w:val="none" w:sz="0" w:space="0" w:color="auto"/>
                        <w:left w:val="none" w:sz="0" w:space="0" w:color="auto"/>
                        <w:bottom w:val="none" w:sz="0" w:space="0" w:color="auto"/>
                        <w:right w:val="none" w:sz="0" w:space="0" w:color="auto"/>
                      </w:divBdr>
                    </w:div>
                  </w:divsChild>
                </w:div>
                <w:div w:id="1819153683">
                  <w:marLeft w:val="0"/>
                  <w:marRight w:val="0"/>
                  <w:marTop w:val="0"/>
                  <w:marBottom w:val="0"/>
                  <w:divBdr>
                    <w:top w:val="none" w:sz="0" w:space="0" w:color="auto"/>
                    <w:left w:val="none" w:sz="0" w:space="0" w:color="auto"/>
                    <w:bottom w:val="none" w:sz="0" w:space="0" w:color="auto"/>
                    <w:right w:val="none" w:sz="0" w:space="0" w:color="auto"/>
                  </w:divBdr>
                  <w:divsChild>
                    <w:div w:id="1115055731">
                      <w:marLeft w:val="0"/>
                      <w:marRight w:val="0"/>
                      <w:marTop w:val="0"/>
                      <w:marBottom w:val="0"/>
                      <w:divBdr>
                        <w:top w:val="none" w:sz="0" w:space="0" w:color="auto"/>
                        <w:left w:val="none" w:sz="0" w:space="0" w:color="auto"/>
                        <w:bottom w:val="none" w:sz="0" w:space="0" w:color="auto"/>
                        <w:right w:val="none" w:sz="0" w:space="0" w:color="auto"/>
                      </w:divBdr>
                    </w:div>
                  </w:divsChild>
                </w:div>
                <w:div w:id="1821116566">
                  <w:marLeft w:val="0"/>
                  <w:marRight w:val="0"/>
                  <w:marTop w:val="0"/>
                  <w:marBottom w:val="0"/>
                  <w:divBdr>
                    <w:top w:val="none" w:sz="0" w:space="0" w:color="auto"/>
                    <w:left w:val="none" w:sz="0" w:space="0" w:color="auto"/>
                    <w:bottom w:val="none" w:sz="0" w:space="0" w:color="auto"/>
                    <w:right w:val="none" w:sz="0" w:space="0" w:color="auto"/>
                  </w:divBdr>
                  <w:divsChild>
                    <w:div w:id="313072638">
                      <w:marLeft w:val="0"/>
                      <w:marRight w:val="0"/>
                      <w:marTop w:val="0"/>
                      <w:marBottom w:val="0"/>
                      <w:divBdr>
                        <w:top w:val="none" w:sz="0" w:space="0" w:color="auto"/>
                        <w:left w:val="none" w:sz="0" w:space="0" w:color="auto"/>
                        <w:bottom w:val="none" w:sz="0" w:space="0" w:color="auto"/>
                        <w:right w:val="none" w:sz="0" w:space="0" w:color="auto"/>
                      </w:divBdr>
                    </w:div>
                  </w:divsChild>
                </w:div>
                <w:div w:id="1831748403">
                  <w:marLeft w:val="0"/>
                  <w:marRight w:val="0"/>
                  <w:marTop w:val="0"/>
                  <w:marBottom w:val="0"/>
                  <w:divBdr>
                    <w:top w:val="none" w:sz="0" w:space="0" w:color="auto"/>
                    <w:left w:val="none" w:sz="0" w:space="0" w:color="auto"/>
                    <w:bottom w:val="none" w:sz="0" w:space="0" w:color="auto"/>
                    <w:right w:val="none" w:sz="0" w:space="0" w:color="auto"/>
                  </w:divBdr>
                  <w:divsChild>
                    <w:div w:id="1178957695">
                      <w:marLeft w:val="0"/>
                      <w:marRight w:val="0"/>
                      <w:marTop w:val="0"/>
                      <w:marBottom w:val="0"/>
                      <w:divBdr>
                        <w:top w:val="none" w:sz="0" w:space="0" w:color="auto"/>
                        <w:left w:val="none" w:sz="0" w:space="0" w:color="auto"/>
                        <w:bottom w:val="none" w:sz="0" w:space="0" w:color="auto"/>
                        <w:right w:val="none" w:sz="0" w:space="0" w:color="auto"/>
                      </w:divBdr>
                    </w:div>
                  </w:divsChild>
                </w:div>
                <w:div w:id="1844971180">
                  <w:marLeft w:val="0"/>
                  <w:marRight w:val="0"/>
                  <w:marTop w:val="0"/>
                  <w:marBottom w:val="0"/>
                  <w:divBdr>
                    <w:top w:val="none" w:sz="0" w:space="0" w:color="auto"/>
                    <w:left w:val="none" w:sz="0" w:space="0" w:color="auto"/>
                    <w:bottom w:val="none" w:sz="0" w:space="0" w:color="auto"/>
                    <w:right w:val="none" w:sz="0" w:space="0" w:color="auto"/>
                  </w:divBdr>
                  <w:divsChild>
                    <w:div w:id="371005548">
                      <w:marLeft w:val="0"/>
                      <w:marRight w:val="0"/>
                      <w:marTop w:val="0"/>
                      <w:marBottom w:val="0"/>
                      <w:divBdr>
                        <w:top w:val="none" w:sz="0" w:space="0" w:color="auto"/>
                        <w:left w:val="none" w:sz="0" w:space="0" w:color="auto"/>
                        <w:bottom w:val="none" w:sz="0" w:space="0" w:color="auto"/>
                        <w:right w:val="none" w:sz="0" w:space="0" w:color="auto"/>
                      </w:divBdr>
                    </w:div>
                  </w:divsChild>
                </w:div>
                <w:div w:id="1847599076">
                  <w:marLeft w:val="0"/>
                  <w:marRight w:val="0"/>
                  <w:marTop w:val="0"/>
                  <w:marBottom w:val="0"/>
                  <w:divBdr>
                    <w:top w:val="none" w:sz="0" w:space="0" w:color="auto"/>
                    <w:left w:val="none" w:sz="0" w:space="0" w:color="auto"/>
                    <w:bottom w:val="none" w:sz="0" w:space="0" w:color="auto"/>
                    <w:right w:val="none" w:sz="0" w:space="0" w:color="auto"/>
                  </w:divBdr>
                  <w:divsChild>
                    <w:div w:id="1528910640">
                      <w:marLeft w:val="0"/>
                      <w:marRight w:val="0"/>
                      <w:marTop w:val="0"/>
                      <w:marBottom w:val="0"/>
                      <w:divBdr>
                        <w:top w:val="none" w:sz="0" w:space="0" w:color="auto"/>
                        <w:left w:val="none" w:sz="0" w:space="0" w:color="auto"/>
                        <w:bottom w:val="none" w:sz="0" w:space="0" w:color="auto"/>
                        <w:right w:val="none" w:sz="0" w:space="0" w:color="auto"/>
                      </w:divBdr>
                    </w:div>
                  </w:divsChild>
                </w:div>
                <w:div w:id="1867137056">
                  <w:marLeft w:val="0"/>
                  <w:marRight w:val="0"/>
                  <w:marTop w:val="0"/>
                  <w:marBottom w:val="0"/>
                  <w:divBdr>
                    <w:top w:val="none" w:sz="0" w:space="0" w:color="auto"/>
                    <w:left w:val="none" w:sz="0" w:space="0" w:color="auto"/>
                    <w:bottom w:val="none" w:sz="0" w:space="0" w:color="auto"/>
                    <w:right w:val="none" w:sz="0" w:space="0" w:color="auto"/>
                  </w:divBdr>
                  <w:divsChild>
                    <w:div w:id="2042318289">
                      <w:marLeft w:val="0"/>
                      <w:marRight w:val="0"/>
                      <w:marTop w:val="0"/>
                      <w:marBottom w:val="0"/>
                      <w:divBdr>
                        <w:top w:val="none" w:sz="0" w:space="0" w:color="auto"/>
                        <w:left w:val="none" w:sz="0" w:space="0" w:color="auto"/>
                        <w:bottom w:val="none" w:sz="0" w:space="0" w:color="auto"/>
                        <w:right w:val="none" w:sz="0" w:space="0" w:color="auto"/>
                      </w:divBdr>
                    </w:div>
                  </w:divsChild>
                </w:div>
                <w:div w:id="1899591624">
                  <w:marLeft w:val="0"/>
                  <w:marRight w:val="0"/>
                  <w:marTop w:val="0"/>
                  <w:marBottom w:val="0"/>
                  <w:divBdr>
                    <w:top w:val="none" w:sz="0" w:space="0" w:color="auto"/>
                    <w:left w:val="none" w:sz="0" w:space="0" w:color="auto"/>
                    <w:bottom w:val="none" w:sz="0" w:space="0" w:color="auto"/>
                    <w:right w:val="none" w:sz="0" w:space="0" w:color="auto"/>
                  </w:divBdr>
                  <w:divsChild>
                    <w:div w:id="233273375">
                      <w:marLeft w:val="0"/>
                      <w:marRight w:val="0"/>
                      <w:marTop w:val="0"/>
                      <w:marBottom w:val="0"/>
                      <w:divBdr>
                        <w:top w:val="none" w:sz="0" w:space="0" w:color="auto"/>
                        <w:left w:val="none" w:sz="0" w:space="0" w:color="auto"/>
                        <w:bottom w:val="none" w:sz="0" w:space="0" w:color="auto"/>
                        <w:right w:val="none" w:sz="0" w:space="0" w:color="auto"/>
                      </w:divBdr>
                    </w:div>
                  </w:divsChild>
                </w:div>
                <w:div w:id="1917591658">
                  <w:marLeft w:val="0"/>
                  <w:marRight w:val="0"/>
                  <w:marTop w:val="0"/>
                  <w:marBottom w:val="0"/>
                  <w:divBdr>
                    <w:top w:val="none" w:sz="0" w:space="0" w:color="auto"/>
                    <w:left w:val="none" w:sz="0" w:space="0" w:color="auto"/>
                    <w:bottom w:val="none" w:sz="0" w:space="0" w:color="auto"/>
                    <w:right w:val="none" w:sz="0" w:space="0" w:color="auto"/>
                  </w:divBdr>
                  <w:divsChild>
                    <w:div w:id="198711234">
                      <w:marLeft w:val="0"/>
                      <w:marRight w:val="0"/>
                      <w:marTop w:val="0"/>
                      <w:marBottom w:val="0"/>
                      <w:divBdr>
                        <w:top w:val="none" w:sz="0" w:space="0" w:color="auto"/>
                        <w:left w:val="none" w:sz="0" w:space="0" w:color="auto"/>
                        <w:bottom w:val="none" w:sz="0" w:space="0" w:color="auto"/>
                        <w:right w:val="none" w:sz="0" w:space="0" w:color="auto"/>
                      </w:divBdr>
                    </w:div>
                  </w:divsChild>
                </w:div>
                <w:div w:id="1928726326">
                  <w:marLeft w:val="0"/>
                  <w:marRight w:val="0"/>
                  <w:marTop w:val="0"/>
                  <w:marBottom w:val="0"/>
                  <w:divBdr>
                    <w:top w:val="none" w:sz="0" w:space="0" w:color="auto"/>
                    <w:left w:val="none" w:sz="0" w:space="0" w:color="auto"/>
                    <w:bottom w:val="none" w:sz="0" w:space="0" w:color="auto"/>
                    <w:right w:val="none" w:sz="0" w:space="0" w:color="auto"/>
                  </w:divBdr>
                  <w:divsChild>
                    <w:div w:id="1455756499">
                      <w:marLeft w:val="0"/>
                      <w:marRight w:val="0"/>
                      <w:marTop w:val="0"/>
                      <w:marBottom w:val="0"/>
                      <w:divBdr>
                        <w:top w:val="none" w:sz="0" w:space="0" w:color="auto"/>
                        <w:left w:val="none" w:sz="0" w:space="0" w:color="auto"/>
                        <w:bottom w:val="none" w:sz="0" w:space="0" w:color="auto"/>
                        <w:right w:val="none" w:sz="0" w:space="0" w:color="auto"/>
                      </w:divBdr>
                    </w:div>
                  </w:divsChild>
                </w:div>
                <w:div w:id="1962414838">
                  <w:marLeft w:val="0"/>
                  <w:marRight w:val="0"/>
                  <w:marTop w:val="0"/>
                  <w:marBottom w:val="0"/>
                  <w:divBdr>
                    <w:top w:val="none" w:sz="0" w:space="0" w:color="auto"/>
                    <w:left w:val="none" w:sz="0" w:space="0" w:color="auto"/>
                    <w:bottom w:val="none" w:sz="0" w:space="0" w:color="auto"/>
                    <w:right w:val="none" w:sz="0" w:space="0" w:color="auto"/>
                  </w:divBdr>
                  <w:divsChild>
                    <w:div w:id="1887570217">
                      <w:marLeft w:val="0"/>
                      <w:marRight w:val="0"/>
                      <w:marTop w:val="0"/>
                      <w:marBottom w:val="0"/>
                      <w:divBdr>
                        <w:top w:val="none" w:sz="0" w:space="0" w:color="auto"/>
                        <w:left w:val="none" w:sz="0" w:space="0" w:color="auto"/>
                        <w:bottom w:val="none" w:sz="0" w:space="0" w:color="auto"/>
                        <w:right w:val="none" w:sz="0" w:space="0" w:color="auto"/>
                      </w:divBdr>
                    </w:div>
                  </w:divsChild>
                </w:div>
                <w:div w:id="2045054876">
                  <w:marLeft w:val="0"/>
                  <w:marRight w:val="0"/>
                  <w:marTop w:val="0"/>
                  <w:marBottom w:val="0"/>
                  <w:divBdr>
                    <w:top w:val="none" w:sz="0" w:space="0" w:color="auto"/>
                    <w:left w:val="none" w:sz="0" w:space="0" w:color="auto"/>
                    <w:bottom w:val="none" w:sz="0" w:space="0" w:color="auto"/>
                    <w:right w:val="none" w:sz="0" w:space="0" w:color="auto"/>
                  </w:divBdr>
                  <w:divsChild>
                    <w:div w:id="522405462">
                      <w:marLeft w:val="0"/>
                      <w:marRight w:val="0"/>
                      <w:marTop w:val="0"/>
                      <w:marBottom w:val="0"/>
                      <w:divBdr>
                        <w:top w:val="none" w:sz="0" w:space="0" w:color="auto"/>
                        <w:left w:val="none" w:sz="0" w:space="0" w:color="auto"/>
                        <w:bottom w:val="none" w:sz="0" w:space="0" w:color="auto"/>
                        <w:right w:val="none" w:sz="0" w:space="0" w:color="auto"/>
                      </w:divBdr>
                    </w:div>
                  </w:divsChild>
                </w:div>
                <w:div w:id="2046902356">
                  <w:marLeft w:val="0"/>
                  <w:marRight w:val="0"/>
                  <w:marTop w:val="0"/>
                  <w:marBottom w:val="0"/>
                  <w:divBdr>
                    <w:top w:val="none" w:sz="0" w:space="0" w:color="auto"/>
                    <w:left w:val="none" w:sz="0" w:space="0" w:color="auto"/>
                    <w:bottom w:val="none" w:sz="0" w:space="0" w:color="auto"/>
                    <w:right w:val="none" w:sz="0" w:space="0" w:color="auto"/>
                  </w:divBdr>
                  <w:divsChild>
                    <w:div w:id="339820855">
                      <w:marLeft w:val="0"/>
                      <w:marRight w:val="0"/>
                      <w:marTop w:val="0"/>
                      <w:marBottom w:val="0"/>
                      <w:divBdr>
                        <w:top w:val="none" w:sz="0" w:space="0" w:color="auto"/>
                        <w:left w:val="none" w:sz="0" w:space="0" w:color="auto"/>
                        <w:bottom w:val="none" w:sz="0" w:space="0" w:color="auto"/>
                        <w:right w:val="none" w:sz="0" w:space="0" w:color="auto"/>
                      </w:divBdr>
                    </w:div>
                  </w:divsChild>
                </w:div>
                <w:div w:id="2049908942">
                  <w:marLeft w:val="0"/>
                  <w:marRight w:val="0"/>
                  <w:marTop w:val="0"/>
                  <w:marBottom w:val="0"/>
                  <w:divBdr>
                    <w:top w:val="none" w:sz="0" w:space="0" w:color="auto"/>
                    <w:left w:val="none" w:sz="0" w:space="0" w:color="auto"/>
                    <w:bottom w:val="none" w:sz="0" w:space="0" w:color="auto"/>
                    <w:right w:val="none" w:sz="0" w:space="0" w:color="auto"/>
                  </w:divBdr>
                  <w:divsChild>
                    <w:div w:id="793712721">
                      <w:marLeft w:val="0"/>
                      <w:marRight w:val="0"/>
                      <w:marTop w:val="0"/>
                      <w:marBottom w:val="0"/>
                      <w:divBdr>
                        <w:top w:val="none" w:sz="0" w:space="0" w:color="auto"/>
                        <w:left w:val="none" w:sz="0" w:space="0" w:color="auto"/>
                        <w:bottom w:val="none" w:sz="0" w:space="0" w:color="auto"/>
                        <w:right w:val="none" w:sz="0" w:space="0" w:color="auto"/>
                      </w:divBdr>
                    </w:div>
                  </w:divsChild>
                </w:div>
                <w:div w:id="2057731678">
                  <w:marLeft w:val="0"/>
                  <w:marRight w:val="0"/>
                  <w:marTop w:val="0"/>
                  <w:marBottom w:val="0"/>
                  <w:divBdr>
                    <w:top w:val="none" w:sz="0" w:space="0" w:color="auto"/>
                    <w:left w:val="none" w:sz="0" w:space="0" w:color="auto"/>
                    <w:bottom w:val="none" w:sz="0" w:space="0" w:color="auto"/>
                    <w:right w:val="none" w:sz="0" w:space="0" w:color="auto"/>
                  </w:divBdr>
                  <w:divsChild>
                    <w:div w:id="176971809">
                      <w:marLeft w:val="0"/>
                      <w:marRight w:val="0"/>
                      <w:marTop w:val="0"/>
                      <w:marBottom w:val="0"/>
                      <w:divBdr>
                        <w:top w:val="none" w:sz="0" w:space="0" w:color="auto"/>
                        <w:left w:val="none" w:sz="0" w:space="0" w:color="auto"/>
                        <w:bottom w:val="none" w:sz="0" w:space="0" w:color="auto"/>
                        <w:right w:val="none" w:sz="0" w:space="0" w:color="auto"/>
                      </w:divBdr>
                    </w:div>
                  </w:divsChild>
                </w:div>
                <w:div w:id="2069260104">
                  <w:marLeft w:val="0"/>
                  <w:marRight w:val="0"/>
                  <w:marTop w:val="0"/>
                  <w:marBottom w:val="0"/>
                  <w:divBdr>
                    <w:top w:val="none" w:sz="0" w:space="0" w:color="auto"/>
                    <w:left w:val="none" w:sz="0" w:space="0" w:color="auto"/>
                    <w:bottom w:val="none" w:sz="0" w:space="0" w:color="auto"/>
                    <w:right w:val="none" w:sz="0" w:space="0" w:color="auto"/>
                  </w:divBdr>
                  <w:divsChild>
                    <w:div w:id="815955279">
                      <w:marLeft w:val="0"/>
                      <w:marRight w:val="0"/>
                      <w:marTop w:val="0"/>
                      <w:marBottom w:val="0"/>
                      <w:divBdr>
                        <w:top w:val="none" w:sz="0" w:space="0" w:color="auto"/>
                        <w:left w:val="none" w:sz="0" w:space="0" w:color="auto"/>
                        <w:bottom w:val="none" w:sz="0" w:space="0" w:color="auto"/>
                        <w:right w:val="none" w:sz="0" w:space="0" w:color="auto"/>
                      </w:divBdr>
                    </w:div>
                  </w:divsChild>
                </w:div>
                <w:div w:id="2074041630">
                  <w:marLeft w:val="0"/>
                  <w:marRight w:val="0"/>
                  <w:marTop w:val="0"/>
                  <w:marBottom w:val="0"/>
                  <w:divBdr>
                    <w:top w:val="none" w:sz="0" w:space="0" w:color="auto"/>
                    <w:left w:val="none" w:sz="0" w:space="0" w:color="auto"/>
                    <w:bottom w:val="none" w:sz="0" w:space="0" w:color="auto"/>
                    <w:right w:val="none" w:sz="0" w:space="0" w:color="auto"/>
                  </w:divBdr>
                  <w:divsChild>
                    <w:div w:id="1011833192">
                      <w:marLeft w:val="0"/>
                      <w:marRight w:val="0"/>
                      <w:marTop w:val="0"/>
                      <w:marBottom w:val="0"/>
                      <w:divBdr>
                        <w:top w:val="none" w:sz="0" w:space="0" w:color="auto"/>
                        <w:left w:val="none" w:sz="0" w:space="0" w:color="auto"/>
                        <w:bottom w:val="none" w:sz="0" w:space="0" w:color="auto"/>
                        <w:right w:val="none" w:sz="0" w:space="0" w:color="auto"/>
                      </w:divBdr>
                    </w:div>
                  </w:divsChild>
                </w:div>
                <w:div w:id="2107266313">
                  <w:marLeft w:val="0"/>
                  <w:marRight w:val="0"/>
                  <w:marTop w:val="0"/>
                  <w:marBottom w:val="0"/>
                  <w:divBdr>
                    <w:top w:val="none" w:sz="0" w:space="0" w:color="auto"/>
                    <w:left w:val="none" w:sz="0" w:space="0" w:color="auto"/>
                    <w:bottom w:val="none" w:sz="0" w:space="0" w:color="auto"/>
                    <w:right w:val="none" w:sz="0" w:space="0" w:color="auto"/>
                  </w:divBdr>
                  <w:divsChild>
                    <w:div w:id="93939709">
                      <w:marLeft w:val="0"/>
                      <w:marRight w:val="0"/>
                      <w:marTop w:val="0"/>
                      <w:marBottom w:val="0"/>
                      <w:divBdr>
                        <w:top w:val="none" w:sz="0" w:space="0" w:color="auto"/>
                        <w:left w:val="none" w:sz="0" w:space="0" w:color="auto"/>
                        <w:bottom w:val="none" w:sz="0" w:space="0" w:color="auto"/>
                        <w:right w:val="none" w:sz="0" w:space="0" w:color="auto"/>
                      </w:divBdr>
                    </w:div>
                  </w:divsChild>
                </w:div>
                <w:div w:id="2126070773">
                  <w:marLeft w:val="0"/>
                  <w:marRight w:val="0"/>
                  <w:marTop w:val="0"/>
                  <w:marBottom w:val="0"/>
                  <w:divBdr>
                    <w:top w:val="none" w:sz="0" w:space="0" w:color="auto"/>
                    <w:left w:val="none" w:sz="0" w:space="0" w:color="auto"/>
                    <w:bottom w:val="none" w:sz="0" w:space="0" w:color="auto"/>
                    <w:right w:val="none" w:sz="0" w:space="0" w:color="auto"/>
                  </w:divBdr>
                  <w:divsChild>
                    <w:div w:id="1073315485">
                      <w:marLeft w:val="0"/>
                      <w:marRight w:val="0"/>
                      <w:marTop w:val="0"/>
                      <w:marBottom w:val="0"/>
                      <w:divBdr>
                        <w:top w:val="none" w:sz="0" w:space="0" w:color="auto"/>
                        <w:left w:val="none" w:sz="0" w:space="0" w:color="auto"/>
                        <w:bottom w:val="none" w:sz="0" w:space="0" w:color="auto"/>
                        <w:right w:val="none" w:sz="0" w:space="0" w:color="auto"/>
                      </w:divBdr>
                    </w:div>
                  </w:divsChild>
                </w:div>
                <w:div w:id="2133356012">
                  <w:marLeft w:val="0"/>
                  <w:marRight w:val="0"/>
                  <w:marTop w:val="0"/>
                  <w:marBottom w:val="0"/>
                  <w:divBdr>
                    <w:top w:val="none" w:sz="0" w:space="0" w:color="auto"/>
                    <w:left w:val="none" w:sz="0" w:space="0" w:color="auto"/>
                    <w:bottom w:val="none" w:sz="0" w:space="0" w:color="auto"/>
                    <w:right w:val="none" w:sz="0" w:space="0" w:color="auto"/>
                  </w:divBdr>
                  <w:divsChild>
                    <w:div w:id="1160273790">
                      <w:marLeft w:val="0"/>
                      <w:marRight w:val="0"/>
                      <w:marTop w:val="0"/>
                      <w:marBottom w:val="0"/>
                      <w:divBdr>
                        <w:top w:val="none" w:sz="0" w:space="0" w:color="auto"/>
                        <w:left w:val="none" w:sz="0" w:space="0" w:color="auto"/>
                        <w:bottom w:val="none" w:sz="0" w:space="0" w:color="auto"/>
                        <w:right w:val="none" w:sz="0" w:space="0" w:color="auto"/>
                      </w:divBdr>
                    </w:div>
                  </w:divsChild>
                </w:div>
                <w:div w:id="2133939882">
                  <w:marLeft w:val="0"/>
                  <w:marRight w:val="0"/>
                  <w:marTop w:val="0"/>
                  <w:marBottom w:val="0"/>
                  <w:divBdr>
                    <w:top w:val="none" w:sz="0" w:space="0" w:color="auto"/>
                    <w:left w:val="none" w:sz="0" w:space="0" w:color="auto"/>
                    <w:bottom w:val="none" w:sz="0" w:space="0" w:color="auto"/>
                    <w:right w:val="none" w:sz="0" w:space="0" w:color="auto"/>
                  </w:divBdr>
                  <w:divsChild>
                    <w:div w:id="1191379454">
                      <w:marLeft w:val="0"/>
                      <w:marRight w:val="0"/>
                      <w:marTop w:val="0"/>
                      <w:marBottom w:val="0"/>
                      <w:divBdr>
                        <w:top w:val="none" w:sz="0" w:space="0" w:color="auto"/>
                        <w:left w:val="none" w:sz="0" w:space="0" w:color="auto"/>
                        <w:bottom w:val="none" w:sz="0" w:space="0" w:color="auto"/>
                        <w:right w:val="none" w:sz="0" w:space="0" w:color="auto"/>
                      </w:divBdr>
                    </w:div>
                  </w:divsChild>
                </w:div>
                <w:div w:id="2137336445">
                  <w:marLeft w:val="0"/>
                  <w:marRight w:val="0"/>
                  <w:marTop w:val="0"/>
                  <w:marBottom w:val="0"/>
                  <w:divBdr>
                    <w:top w:val="none" w:sz="0" w:space="0" w:color="auto"/>
                    <w:left w:val="none" w:sz="0" w:space="0" w:color="auto"/>
                    <w:bottom w:val="none" w:sz="0" w:space="0" w:color="auto"/>
                    <w:right w:val="none" w:sz="0" w:space="0" w:color="auto"/>
                  </w:divBdr>
                  <w:divsChild>
                    <w:div w:id="111438171">
                      <w:marLeft w:val="0"/>
                      <w:marRight w:val="0"/>
                      <w:marTop w:val="0"/>
                      <w:marBottom w:val="0"/>
                      <w:divBdr>
                        <w:top w:val="none" w:sz="0" w:space="0" w:color="auto"/>
                        <w:left w:val="none" w:sz="0" w:space="0" w:color="auto"/>
                        <w:bottom w:val="none" w:sz="0" w:space="0" w:color="auto"/>
                        <w:right w:val="none" w:sz="0" w:space="0" w:color="auto"/>
                      </w:divBdr>
                    </w:div>
                  </w:divsChild>
                </w:div>
                <w:div w:id="2143689437">
                  <w:marLeft w:val="0"/>
                  <w:marRight w:val="0"/>
                  <w:marTop w:val="0"/>
                  <w:marBottom w:val="0"/>
                  <w:divBdr>
                    <w:top w:val="none" w:sz="0" w:space="0" w:color="auto"/>
                    <w:left w:val="none" w:sz="0" w:space="0" w:color="auto"/>
                    <w:bottom w:val="none" w:sz="0" w:space="0" w:color="auto"/>
                    <w:right w:val="none" w:sz="0" w:space="0" w:color="auto"/>
                  </w:divBdr>
                  <w:divsChild>
                    <w:div w:id="90199753">
                      <w:marLeft w:val="0"/>
                      <w:marRight w:val="0"/>
                      <w:marTop w:val="0"/>
                      <w:marBottom w:val="0"/>
                      <w:divBdr>
                        <w:top w:val="none" w:sz="0" w:space="0" w:color="auto"/>
                        <w:left w:val="none" w:sz="0" w:space="0" w:color="auto"/>
                        <w:bottom w:val="none" w:sz="0" w:space="0" w:color="auto"/>
                        <w:right w:val="none" w:sz="0" w:space="0" w:color="auto"/>
                      </w:divBdr>
                    </w:div>
                    <w:div w:id="171529448">
                      <w:marLeft w:val="0"/>
                      <w:marRight w:val="0"/>
                      <w:marTop w:val="0"/>
                      <w:marBottom w:val="0"/>
                      <w:divBdr>
                        <w:top w:val="none" w:sz="0" w:space="0" w:color="auto"/>
                        <w:left w:val="none" w:sz="0" w:space="0" w:color="auto"/>
                        <w:bottom w:val="none" w:sz="0" w:space="0" w:color="auto"/>
                        <w:right w:val="none" w:sz="0" w:space="0" w:color="auto"/>
                      </w:divBdr>
                    </w:div>
                    <w:div w:id="270599385">
                      <w:marLeft w:val="0"/>
                      <w:marRight w:val="0"/>
                      <w:marTop w:val="0"/>
                      <w:marBottom w:val="0"/>
                      <w:divBdr>
                        <w:top w:val="none" w:sz="0" w:space="0" w:color="auto"/>
                        <w:left w:val="none" w:sz="0" w:space="0" w:color="auto"/>
                        <w:bottom w:val="none" w:sz="0" w:space="0" w:color="auto"/>
                        <w:right w:val="none" w:sz="0" w:space="0" w:color="auto"/>
                      </w:divBdr>
                    </w:div>
                    <w:div w:id="1547179490">
                      <w:marLeft w:val="0"/>
                      <w:marRight w:val="0"/>
                      <w:marTop w:val="0"/>
                      <w:marBottom w:val="0"/>
                      <w:divBdr>
                        <w:top w:val="none" w:sz="0" w:space="0" w:color="auto"/>
                        <w:left w:val="none" w:sz="0" w:space="0" w:color="auto"/>
                        <w:bottom w:val="none" w:sz="0" w:space="0" w:color="auto"/>
                        <w:right w:val="none" w:sz="0" w:space="0" w:color="auto"/>
                      </w:divBdr>
                    </w:div>
                    <w:div w:id="1600986905">
                      <w:marLeft w:val="0"/>
                      <w:marRight w:val="0"/>
                      <w:marTop w:val="0"/>
                      <w:marBottom w:val="0"/>
                      <w:divBdr>
                        <w:top w:val="none" w:sz="0" w:space="0" w:color="auto"/>
                        <w:left w:val="none" w:sz="0" w:space="0" w:color="auto"/>
                        <w:bottom w:val="none" w:sz="0" w:space="0" w:color="auto"/>
                        <w:right w:val="none" w:sz="0" w:space="0" w:color="auto"/>
                      </w:divBdr>
                    </w:div>
                    <w:div w:id="1883319438">
                      <w:marLeft w:val="0"/>
                      <w:marRight w:val="0"/>
                      <w:marTop w:val="0"/>
                      <w:marBottom w:val="0"/>
                      <w:divBdr>
                        <w:top w:val="none" w:sz="0" w:space="0" w:color="auto"/>
                        <w:left w:val="none" w:sz="0" w:space="0" w:color="auto"/>
                        <w:bottom w:val="none" w:sz="0" w:space="0" w:color="auto"/>
                        <w:right w:val="none" w:sz="0" w:space="0" w:color="auto"/>
                      </w:divBdr>
                    </w:div>
                    <w:div w:id="20165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480255">
      <w:bodyDiv w:val="1"/>
      <w:marLeft w:val="0"/>
      <w:marRight w:val="0"/>
      <w:marTop w:val="0"/>
      <w:marBottom w:val="0"/>
      <w:divBdr>
        <w:top w:val="none" w:sz="0" w:space="0" w:color="auto"/>
        <w:left w:val="none" w:sz="0" w:space="0" w:color="auto"/>
        <w:bottom w:val="none" w:sz="0" w:space="0" w:color="auto"/>
        <w:right w:val="none" w:sz="0" w:space="0" w:color="auto"/>
      </w:divBdr>
    </w:div>
    <w:div w:id="768162639">
      <w:bodyDiv w:val="1"/>
      <w:marLeft w:val="0"/>
      <w:marRight w:val="0"/>
      <w:marTop w:val="0"/>
      <w:marBottom w:val="0"/>
      <w:divBdr>
        <w:top w:val="none" w:sz="0" w:space="0" w:color="auto"/>
        <w:left w:val="none" w:sz="0" w:space="0" w:color="auto"/>
        <w:bottom w:val="none" w:sz="0" w:space="0" w:color="auto"/>
        <w:right w:val="none" w:sz="0" w:space="0" w:color="auto"/>
      </w:divBdr>
    </w:div>
    <w:div w:id="784035518">
      <w:bodyDiv w:val="1"/>
      <w:marLeft w:val="0"/>
      <w:marRight w:val="0"/>
      <w:marTop w:val="0"/>
      <w:marBottom w:val="0"/>
      <w:divBdr>
        <w:top w:val="none" w:sz="0" w:space="0" w:color="auto"/>
        <w:left w:val="none" w:sz="0" w:space="0" w:color="auto"/>
        <w:bottom w:val="none" w:sz="0" w:space="0" w:color="auto"/>
        <w:right w:val="none" w:sz="0" w:space="0" w:color="auto"/>
      </w:divBdr>
      <w:divsChild>
        <w:div w:id="1426657657">
          <w:marLeft w:val="0"/>
          <w:marRight w:val="0"/>
          <w:marTop w:val="0"/>
          <w:marBottom w:val="0"/>
          <w:divBdr>
            <w:top w:val="none" w:sz="0" w:space="0" w:color="auto"/>
            <w:left w:val="none" w:sz="0" w:space="0" w:color="auto"/>
            <w:bottom w:val="none" w:sz="0" w:space="0" w:color="auto"/>
            <w:right w:val="none" w:sz="0" w:space="0" w:color="auto"/>
          </w:divBdr>
          <w:divsChild>
            <w:div w:id="40370207">
              <w:marLeft w:val="0"/>
              <w:marRight w:val="0"/>
              <w:marTop w:val="0"/>
              <w:marBottom w:val="0"/>
              <w:divBdr>
                <w:top w:val="none" w:sz="0" w:space="0" w:color="auto"/>
                <w:left w:val="none" w:sz="0" w:space="0" w:color="auto"/>
                <w:bottom w:val="none" w:sz="0" w:space="0" w:color="auto"/>
                <w:right w:val="none" w:sz="0" w:space="0" w:color="auto"/>
              </w:divBdr>
            </w:div>
            <w:div w:id="264923212">
              <w:marLeft w:val="0"/>
              <w:marRight w:val="0"/>
              <w:marTop w:val="0"/>
              <w:marBottom w:val="0"/>
              <w:divBdr>
                <w:top w:val="none" w:sz="0" w:space="0" w:color="auto"/>
                <w:left w:val="none" w:sz="0" w:space="0" w:color="auto"/>
                <w:bottom w:val="none" w:sz="0" w:space="0" w:color="auto"/>
                <w:right w:val="none" w:sz="0" w:space="0" w:color="auto"/>
              </w:divBdr>
            </w:div>
            <w:div w:id="334957638">
              <w:marLeft w:val="0"/>
              <w:marRight w:val="0"/>
              <w:marTop w:val="0"/>
              <w:marBottom w:val="0"/>
              <w:divBdr>
                <w:top w:val="none" w:sz="0" w:space="0" w:color="auto"/>
                <w:left w:val="none" w:sz="0" w:space="0" w:color="auto"/>
                <w:bottom w:val="none" w:sz="0" w:space="0" w:color="auto"/>
                <w:right w:val="none" w:sz="0" w:space="0" w:color="auto"/>
              </w:divBdr>
            </w:div>
            <w:div w:id="399716084">
              <w:marLeft w:val="0"/>
              <w:marRight w:val="0"/>
              <w:marTop w:val="0"/>
              <w:marBottom w:val="0"/>
              <w:divBdr>
                <w:top w:val="none" w:sz="0" w:space="0" w:color="auto"/>
                <w:left w:val="none" w:sz="0" w:space="0" w:color="auto"/>
                <w:bottom w:val="none" w:sz="0" w:space="0" w:color="auto"/>
                <w:right w:val="none" w:sz="0" w:space="0" w:color="auto"/>
              </w:divBdr>
            </w:div>
            <w:div w:id="467015915">
              <w:marLeft w:val="0"/>
              <w:marRight w:val="0"/>
              <w:marTop w:val="0"/>
              <w:marBottom w:val="0"/>
              <w:divBdr>
                <w:top w:val="none" w:sz="0" w:space="0" w:color="auto"/>
                <w:left w:val="none" w:sz="0" w:space="0" w:color="auto"/>
                <w:bottom w:val="none" w:sz="0" w:space="0" w:color="auto"/>
                <w:right w:val="none" w:sz="0" w:space="0" w:color="auto"/>
              </w:divBdr>
            </w:div>
            <w:div w:id="714164797">
              <w:marLeft w:val="0"/>
              <w:marRight w:val="0"/>
              <w:marTop w:val="0"/>
              <w:marBottom w:val="0"/>
              <w:divBdr>
                <w:top w:val="none" w:sz="0" w:space="0" w:color="auto"/>
                <w:left w:val="none" w:sz="0" w:space="0" w:color="auto"/>
                <w:bottom w:val="none" w:sz="0" w:space="0" w:color="auto"/>
                <w:right w:val="none" w:sz="0" w:space="0" w:color="auto"/>
              </w:divBdr>
            </w:div>
            <w:div w:id="750397104">
              <w:marLeft w:val="0"/>
              <w:marRight w:val="0"/>
              <w:marTop w:val="0"/>
              <w:marBottom w:val="0"/>
              <w:divBdr>
                <w:top w:val="none" w:sz="0" w:space="0" w:color="auto"/>
                <w:left w:val="none" w:sz="0" w:space="0" w:color="auto"/>
                <w:bottom w:val="none" w:sz="0" w:space="0" w:color="auto"/>
                <w:right w:val="none" w:sz="0" w:space="0" w:color="auto"/>
              </w:divBdr>
            </w:div>
            <w:div w:id="873812017">
              <w:marLeft w:val="0"/>
              <w:marRight w:val="0"/>
              <w:marTop w:val="0"/>
              <w:marBottom w:val="0"/>
              <w:divBdr>
                <w:top w:val="none" w:sz="0" w:space="0" w:color="auto"/>
                <w:left w:val="none" w:sz="0" w:space="0" w:color="auto"/>
                <w:bottom w:val="none" w:sz="0" w:space="0" w:color="auto"/>
                <w:right w:val="none" w:sz="0" w:space="0" w:color="auto"/>
              </w:divBdr>
            </w:div>
            <w:div w:id="902721251">
              <w:marLeft w:val="0"/>
              <w:marRight w:val="0"/>
              <w:marTop w:val="0"/>
              <w:marBottom w:val="0"/>
              <w:divBdr>
                <w:top w:val="none" w:sz="0" w:space="0" w:color="auto"/>
                <w:left w:val="none" w:sz="0" w:space="0" w:color="auto"/>
                <w:bottom w:val="none" w:sz="0" w:space="0" w:color="auto"/>
                <w:right w:val="none" w:sz="0" w:space="0" w:color="auto"/>
              </w:divBdr>
            </w:div>
            <w:div w:id="917055206">
              <w:marLeft w:val="0"/>
              <w:marRight w:val="0"/>
              <w:marTop w:val="0"/>
              <w:marBottom w:val="0"/>
              <w:divBdr>
                <w:top w:val="none" w:sz="0" w:space="0" w:color="auto"/>
                <w:left w:val="none" w:sz="0" w:space="0" w:color="auto"/>
                <w:bottom w:val="none" w:sz="0" w:space="0" w:color="auto"/>
                <w:right w:val="none" w:sz="0" w:space="0" w:color="auto"/>
              </w:divBdr>
            </w:div>
            <w:div w:id="928779243">
              <w:marLeft w:val="0"/>
              <w:marRight w:val="0"/>
              <w:marTop w:val="0"/>
              <w:marBottom w:val="0"/>
              <w:divBdr>
                <w:top w:val="none" w:sz="0" w:space="0" w:color="auto"/>
                <w:left w:val="none" w:sz="0" w:space="0" w:color="auto"/>
                <w:bottom w:val="none" w:sz="0" w:space="0" w:color="auto"/>
                <w:right w:val="none" w:sz="0" w:space="0" w:color="auto"/>
              </w:divBdr>
            </w:div>
            <w:div w:id="978269927">
              <w:marLeft w:val="0"/>
              <w:marRight w:val="0"/>
              <w:marTop w:val="0"/>
              <w:marBottom w:val="0"/>
              <w:divBdr>
                <w:top w:val="none" w:sz="0" w:space="0" w:color="auto"/>
                <w:left w:val="none" w:sz="0" w:space="0" w:color="auto"/>
                <w:bottom w:val="none" w:sz="0" w:space="0" w:color="auto"/>
                <w:right w:val="none" w:sz="0" w:space="0" w:color="auto"/>
              </w:divBdr>
            </w:div>
            <w:div w:id="1094546179">
              <w:marLeft w:val="0"/>
              <w:marRight w:val="0"/>
              <w:marTop w:val="0"/>
              <w:marBottom w:val="0"/>
              <w:divBdr>
                <w:top w:val="none" w:sz="0" w:space="0" w:color="auto"/>
                <w:left w:val="none" w:sz="0" w:space="0" w:color="auto"/>
                <w:bottom w:val="none" w:sz="0" w:space="0" w:color="auto"/>
                <w:right w:val="none" w:sz="0" w:space="0" w:color="auto"/>
              </w:divBdr>
            </w:div>
            <w:div w:id="1141265810">
              <w:marLeft w:val="0"/>
              <w:marRight w:val="0"/>
              <w:marTop w:val="0"/>
              <w:marBottom w:val="0"/>
              <w:divBdr>
                <w:top w:val="none" w:sz="0" w:space="0" w:color="auto"/>
                <w:left w:val="none" w:sz="0" w:space="0" w:color="auto"/>
                <w:bottom w:val="none" w:sz="0" w:space="0" w:color="auto"/>
                <w:right w:val="none" w:sz="0" w:space="0" w:color="auto"/>
              </w:divBdr>
            </w:div>
            <w:div w:id="1616062425">
              <w:marLeft w:val="0"/>
              <w:marRight w:val="0"/>
              <w:marTop w:val="0"/>
              <w:marBottom w:val="0"/>
              <w:divBdr>
                <w:top w:val="none" w:sz="0" w:space="0" w:color="auto"/>
                <w:left w:val="none" w:sz="0" w:space="0" w:color="auto"/>
                <w:bottom w:val="none" w:sz="0" w:space="0" w:color="auto"/>
                <w:right w:val="none" w:sz="0" w:space="0" w:color="auto"/>
              </w:divBdr>
            </w:div>
            <w:div w:id="1715496314">
              <w:marLeft w:val="0"/>
              <w:marRight w:val="0"/>
              <w:marTop w:val="0"/>
              <w:marBottom w:val="0"/>
              <w:divBdr>
                <w:top w:val="none" w:sz="0" w:space="0" w:color="auto"/>
                <w:left w:val="none" w:sz="0" w:space="0" w:color="auto"/>
                <w:bottom w:val="none" w:sz="0" w:space="0" w:color="auto"/>
                <w:right w:val="none" w:sz="0" w:space="0" w:color="auto"/>
              </w:divBdr>
            </w:div>
            <w:div w:id="1873954374">
              <w:marLeft w:val="0"/>
              <w:marRight w:val="0"/>
              <w:marTop w:val="0"/>
              <w:marBottom w:val="0"/>
              <w:divBdr>
                <w:top w:val="none" w:sz="0" w:space="0" w:color="auto"/>
                <w:left w:val="none" w:sz="0" w:space="0" w:color="auto"/>
                <w:bottom w:val="none" w:sz="0" w:space="0" w:color="auto"/>
                <w:right w:val="none" w:sz="0" w:space="0" w:color="auto"/>
              </w:divBdr>
            </w:div>
            <w:div w:id="1955742749">
              <w:marLeft w:val="0"/>
              <w:marRight w:val="0"/>
              <w:marTop w:val="0"/>
              <w:marBottom w:val="0"/>
              <w:divBdr>
                <w:top w:val="none" w:sz="0" w:space="0" w:color="auto"/>
                <w:left w:val="none" w:sz="0" w:space="0" w:color="auto"/>
                <w:bottom w:val="none" w:sz="0" w:space="0" w:color="auto"/>
                <w:right w:val="none" w:sz="0" w:space="0" w:color="auto"/>
              </w:divBdr>
            </w:div>
            <w:div w:id="2087217078">
              <w:marLeft w:val="0"/>
              <w:marRight w:val="0"/>
              <w:marTop w:val="0"/>
              <w:marBottom w:val="0"/>
              <w:divBdr>
                <w:top w:val="none" w:sz="0" w:space="0" w:color="auto"/>
                <w:left w:val="none" w:sz="0" w:space="0" w:color="auto"/>
                <w:bottom w:val="none" w:sz="0" w:space="0" w:color="auto"/>
                <w:right w:val="none" w:sz="0" w:space="0" w:color="auto"/>
              </w:divBdr>
            </w:div>
            <w:div w:id="2095128586">
              <w:marLeft w:val="0"/>
              <w:marRight w:val="0"/>
              <w:marTop w:val="0"/>
              <w:marBottom w:val="0"/>
              <w:divBdr>
                <w:top w:val="none" w:sz="0" w:space="0" w:color="auto"/>
                <w:left w:val="none" w:sz="0" w:space="0" w:color="auto"/>
                <w:bottom w:val="none" w:sz="0" w:space="0" w:color="auto"/>
                <w:right w:val="none" w:sz="0" w:space="0" w:color="auto"/>
              </w:divBdr>
            </w:div>
          </w:divsChild>
        </w:div>
        <w:div w:id="2111274591">
          <w:marLeft w:val="0"/>
          <w:marRight w:val="0"/>
          <w:marTop w:val="0"/>
          <w:marBottom w:val="0"/>
          <w:divBdr>
            <w:top w:val="none" w:sz="0" w:space="0" w:color="auto"/>
            <w:left w:val="none" w:sz="0" w:space="0" w:color="auto"/>
            <w:bottom w:val="none" w:sz="0" w:space="0" w:color="auto"/>
            <w:right w:val="none" w:sz="0" w:space="0" w:color="auto"/>
          </w:divBdr>
          <w:divsChild>
            <w:div w:id="218713229">
              <w:marLeft w:val="0"/>
              <w:marRight w:val="0"/>
              <w:marTop w:val="0"/>
              <w:marBottom w:val="0"/>
              <w:divBdr>
                <w:top w:val="none" w:sz="0" w:space="0" w:color="auto"/>
                <w:left w:val="none" w:sz="0" w:space="0" w:color="auto"/>
                <w:bottom w:val="none" w:sz="0" w:space="0" w:color="auto"/>
                <w:right w:val="none" w:sz="0" w:space="0" w:color="auto"/>
              </w:divBdr>
            </w:div>
            <w:div w:id="233708519">
              <w:marLeft w:val="0"/>
              <w:marRight w:val="0"/>
              <w:marTop w:val="0"/>
              <w:marBottom w:val="0"/>
              <w:divBdr>
                <w:top w:val="none" w:sz="0" w:space="0" w:color="auto"/>
                <w:left w:val="none" w:sz="0" w:space="0" w:color="auto"/>
                <w:bottom w:val="none" w:sz="0" w:space="0" w:color="auto"/>
                <w:right w:val="none" w:sz="0" w:space="0" w:color="auto"/>
              </w:divBdr>
            </w:div>
            <w:div w:id="258174764">
              <w:marLeft w:val="0"/>
              <w:marRight w:val="0"/>
              <w:marTop w:val="0"/>
              <w:marBottom w:val="0"/>
              <w:divBdr>
                <w:top w:val="none" w:sz="0" w:space="0" w:color="auto"/>
                <w:left w:val="none" w:sz="0" w:space="0" w:color="auto"/>
                <w:bottom w:val="none" w:sz="0" w:space="0" w:color="auto"/>
                <w:right w:val="none" w:sz="0" w:space="0" w:color="auto"/>
              </w:divBdr>
            </w:div>
            <w:div w:id="364446890">
              <w:marLeft w:val="0"/>
              <w:marRight w:val="0"/>
              <w:marTop w:val="0"/>
              <w:marBottom w:val="0"/>
              <w:divBdr>
                <w:top w:val="none" w:sz="0" w:space="0" w:color="auto"/>
                <w:left w:val="none" w:sz="0" w:space="0" w:color="auto"/>
                <w:bottom w:val="none" w:sz="0" w:space="0" w:color="auto"/>
                <w:right w:val="none" w:sz="0" w:space="0" w:color="auto"/>
              </w:divBdr>
            </w:div>
            <w:div w:id="446001856">
              <w:marLeft w:val="0"/>
              <w:marRight w:val="0"/>
              <w:marTop w:val="0"/>
              <w:marBottom w:val="0"/>
              <w:divBdr>
                <w:top w:val="none" w:sz="0" w:space="0" w:color="auto"/>
                <w:left w:val="none" w:sz="0" w:space="0" w:color="auto"/>
                <w:bottom w:val="none" w:sz="0" w:space="0" w:color="auto"/>
                <w:right w:val="none" w:sz="0" w:space="0" w:color="auto"/>
              </w:divBdr>
            </w:div>
            <w:div w:id="504053154">
              <w:marLeft w:val="0"/>
              <w:marRight w:val="0"/>
              <w:marTop w:val="0"/>
              <w:marBottom w:val="0"/>
              <w:divBdr>
                <w:top w:val="none" w:sz="0" w:space="0" w:color="auto"/>
                <w:left w:val="none" w:sz="0" w:space="0" w:color="auto"/>
                <w:bottom w:val="none" w:sz="0" w:space="0" w:color="auto"/>
                <w:right w:val="none" w:sz="0" w:space="0" w:color="auto"/>
              </w:divBdr>
            </w:div>
            <w:div w:id="849442676">
              <w:marLeft w:val="0"/>
              <w:marRight w:val="0"/>
              <w:marTop w:val="0"/>
              <w:marBottom w:val="0"/>
              <w:divBdr>
                <w:top w:val="none" w:sz="0" w:space="0" w:color="auto"/>
                <w:left w:val="none" w:sz="0" w:space="0" w:color="auto"/>
                <w:bottom w:val="none" w:sz="0" w:space="0" w:color="auto"/>
                <w:right w:val="none" w:sz="0" w:space="0" w:color="auto"/>
              </w:divBdr>
            </w:div>
            <w:div w:id="893539642">
              <w:marLeft w:val="0"/>
              <w:marRight w:val="0"/>
              <w:marTop w:val="0"/>
              <w:marBottom w:val="0"/>
              <w:divBdr>
                <w:top w:val="none" w:sz="0" w:space="0" w:color="auto"/>
                <w:left w:val="none" w:sz="0" w:space="0" w:color="auto"/>
                <w:bottom w:val="none" w:sz="0" w:space="0" w:color="auto"/>
                <w:right w:val="none" w:sz="0" w:space="0" w:color="auto"/>
              </w:divBdr>
            </w:div>
            <w:div w:id="1155486769">
              <w:marLeft w:val="0"/>
              <w:marRight w:val="0"/>
              <w:marTop w:val="0"/>
              <w:marBottom w:val="0"/>
              <w:divBdr>
                <w:top w:val="none" w:sz="0" w:space="0" w:color="auto"/>
                <w:left w:val="none" w:sz="0" w:space="0" w:color="auto"/>
                <w:bottom w:val="none" w:sz="0" w:space="0" w:color="auto"/>
                <w:right w:val="none" w:sz="0" w:space="0" w:color="auto"/>
              </w:divBdr>
            </w:div>
            <w:div w:id="1440300349">
              <w:marLeft w:val="0"/>
              <w:marRight w:val="0"/>
              <w:marTop w:val="0"/>
              <w:marBottom w:val="0"/>
              <w:divBdr>
                <w:top w:val="none" w:sz="0" w:space="0" w:color="auto"/>
                <w:left w:val="none" w:sz="0" w:space="0" w:color="auto"/>
                <w:bottom w:val="none" w:sz="0" w:space="0" w:color="auto"/>
                <w:right w:val="none" w:sz="0" w:space="0" w:color="auto"/>
              </w:divBdr>
            </w:div>
            <w:div w:id="1646158491">
              <w:marLeft w:val="0"/>
              <w:marRight w:val="0"/>
              <w:marTop w:val="0"/>
              <w:marBottom w:val="0"/>
              <w:divBdr>
                <w:top w:val="none" w:sz="0" w:space="0" w:color="auto"/>
                <w:left w:val="none" w:sz="0" w:space="0" w:color="auto"/>
                <w:bottom w:val="none" w:sz="0" w:space="0" w:color="auto"/>
                <w:right w:val="none" w:sz="0" w:space="0" w:color="auto"/>
              </w:divBdr>
            </w:div>
            <w:div w:id="1686058958">
              <w:marLeft w:val="0"/>
              <w:marRight w:val="0"/>
              <w:marTop w:val="0"/>
              <w:marBottom w:val="0"/>
              <w:divBdr>
                <w:top w:val="none" w:sz="0" w:space="0" w:color="auto"/>
                <w:left w:val="none" w:sz="0" w:space="0" w:color="auto"/>
                <w:bottom w:val="none" w:sz="0" w:space="0" w:color="auto"/>
                <w:right w:val="none" w:sz="0" w:space="0" w:color="auto"/>
              </w:divBdr>
            </w:div>
            <w:div w:id="1710254150">
              <w:marLeft w:val="0"/>
              <w:marRight w:val="0"/>
              <w:marTop w:val="0"/>
              <w:marBottom w:val="0"/>
              <w:divBdr>
                <w:top w:val="none" w:sz="0" w:space="0" w:color="auto"/>
                <w:left w:val="none" w:sz="0" w:space="0" w:color="auto"/>
                <w:bottom w:val="none" w:sz="0" w:space="0" w:color="auto"/>
                <w:right w:val="none" w:sz="0" w:space="0" w:color="auto"/>
              </w:divBdr>
            </w:div>
            <w:div w:id="1872721054">
              <w:marLeft w:val="0"/>
              <w:marRight w:val="0"/>
              <w:marTop w:val="0"/>
              <w:marBottom w:val="0"/>
              <w:divBdr>
                <w:top w:val="none" w:sz="0" w:space="0" w:color="auto"/>
                <w:left w:val="none" w:sz="0" w:space="0" w:color="auto"/>
                <w:bottom w:val="none" w:sz="0" w:space="0" w:color="auto"/>
                <w:right w:val="none" w:sz="0" w:space="0" w:color="auto"/>
              </w:divBdr>
            </w:div>
            <w:div w:id="1888637910">
              <w:marLeft w:val="0"/>
              <w:marRight w:val="0"/>
              <w:marTop w:val="0"/>
              <w:marBottom w:val="0"/>
              <w:divBdr>
                <w:top w:val="none" w:sz="0" w:space="0" w:color="auto"/>
                <w:left w:val="none" w:sz="0" w:space="0" w:color="auto"/>
                <w:bottom w:val="none" w:sz="0" w:space="0" w:color="auto"/>
                <w:right w:val="none" w:sz="0" w:space="0" w:color="auto"/>
              </w:divBdr>
            </w:div>
            <w:div w:id="1893273220">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 w:id="1937211251">
              <w:marLeft w:val="0"/>
              <w:marRight w:val="0"/>
              <w:marTop w:val="0"/>
              <w:marBottom w:val="0"/>
              <w:divBdr>
                <w:top w:val="none" w:sz="0" w:space="0" w:color="auto"/>
                <w:left w:val="none" w:sz="0" w:space="0" w:color="auto"/>
                <w:bottom w:val="none" w:sz="0" w:space="0" w:color="auto"/>
                <w:right w:val="none" w:sz="0" w:space="0" w:color="auto"/>
              </w:divBdr>
            </w:div>
            <w:div w:id="1963875862">
              <w:marLeft w:val="0"/>
              <w:marRight w:val="0"/>
              <w:marTop w:val="0"/>
              <w:marBottom w:val="0"/>
              <w:divBdr>
                <w:top w:val="none" w:sz="0" w:space="0" w:color="auto"/>
                <w:left w:val="none" w:sz="0" w:space="0" w:color="auto"/>
                <w:bottom w:val="none" w:sz="0" w:space="0" w:color="auto"/>
                <w:right w:val="none" w:sz="0" w:space="0" w:color="auto"/>
              </w:divBdr>
            </w:div>
            <w:div w:id="20729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2048">
      <w:bodyDiv w:val="1"/>
      <w:marLeft w:val="0"/>
      <w:marRight w:val="0"/>
      <w:marTop w:val="0"/>
      <w:marBottom w:val="0"/>
      <w:divBdr>
        <w:top w:val="none" w:sz="0" w:space="0" w:color="auto"/>
        <w:left w:val="none" w:sz="0" w:space="0" w:color="auto"/>
        <w:bottom w:val="none" w:sz="0" w:space="0" w:color="auto"/>
        <w:right w:val="none" w:sz="0" w:space="0" w:color="auto"/>
      </w:divBdr>
      <w:divsChild>
        <w:div w:id="50927825">
          <w:marLeft w:val="0"/>
          <w:marRight w:val="0"/>
          <w:marTop w:val="0"/>
          <w:marBottom w:val="0"/>
          <w:divBdr>
            <w:top w:val="none" w:sz="0" w:space="0" w:color="auto"/>
            <w:left w:val="none" w:sz="0" w:space="0" w:color="auto"/>
            <w:bottom w:val="none" w:sz="0" w:space="0" w:color="auto"/>
            <w:right w:val="none" w:sz="0" w:space="0" w:color="auto"/>
          </w:divBdr>
        </w:div>
        <w:div w:id="475729509">
          <w:marLeft w:val="0"/>
          <w:marRight w:val="0"/>
          <w:marTop w:val="0"/>
          <w:marBottom w:val="0"/>
          <w:divBdr>
            <w:top w:val="none" w:sz="0" w:space="0" w:color="auto"/>
            <w:left w:val="none" w:sz="0" w:space="0" w:color="auto"/>
            <w:bottom w:val="none" w:sz="0" w:space="0" w:color="auto"/>
            <w:right w:val="none" w:sz="0" w:space="0" w:color="auto"/>
          </w:divBdr>
        </w:div>
        <w:div w:id="512302417">
          <w:marLeft w:val="0"/>
          <w:marRight w:val="0"/>
          <w:marTop w:val="0"/>
          <w:marBottom w:val="0"/>
          <w:divBdr>
            <w:top w:val="none" w:sz="0" w:space="0" w:color="auto"/>
            <w:left w:val="none" w:sz="0" w:space="0" w:color="auto"/>
            <w:bottom w:val="none" w:sz="0" w:space="0" w:color="auto"/>
            <w:right w:val="none" w:sz="0" w:space="0" w:color="auto"/>
          </w:divBdr>
          <w:divsChild>
            <w:div w:id="47803017">
              <w:marLeft w:val="0"/>
              <w:marRight w:val="0"/>
              <w:marTop w:val="0"/>
              <w:marBottom w:val="0"/>
              <w:divBdr>
                <w:top w:val="none" w:sz="0" w:space="0" w:color="auto"/>
                <w:left w:val="none" w:sz="0" w:space="0" w:color="auto"/>
                <w:bottom w:val="none" w:sz="0" w:space="0" w:color="auto"/>
                <w:right w:val="none" w:sz="0" w:space="0" w:color="auto"/>
              </w:divBdr>
            </w:div>
            <w:div w:id="56633089">
              <w:marLeft w:val="0"/>
              <w:marRight w:val="0"/>
              <w:marTop w:val="0"/>
              <w:marBottom w:val="0"/>
              <w:divBdr>
                <w:top w:val="none" w:sz="0" w:space="0" w:color="auto"/>
                <w:left w:val="none" w:sz="0" w:space="0" w:color="auto"/>
                <w:bottom w:val="none" w:sz="0" w:space="0" w:color="auto"/>
                <w:right w:val="none" w:sz="0" w:space="0" w:color="auto"/>
              </w:divBdr>
            </w:div>
            <w:div w:id="132724669">
              <w:marLeft w:val="0"/>
              <w:marRight w:val="0"/>
              <w:marTop w:val="0"/>
              <w:marBottom w:val="0"/>
              <w:divBdr>
                <w:top w:val="none" w:sz="0" w:space="0" w:color="auto"/>
                <w:left w:val="none" w:sz="0" w:space="0" w:color="auto"/>
                <w:bottom w:val="none" w:sz="0" w:space="0" w:color="auto"/>
                <w:right w:val="none" w:sz="0" w:space="0" w:color="auto"/>
              </w:divBdr>
            </w:div>
            <w:div w:id="219248486">
              <w:marLeft w:val="0"/>
              <w:marRight w:val="0"/>
              <w:marTop w:val="0"/>
              <w:marBottom w:val="0"/>
              <w:divBdr>
                <w:top w:val="none" w:sz="0" w:space="0" w:color="auto"/>
                <w:left w:val="none" w:sz="0" w:space="0" w:color="auto"/>
                <w:bottom w:val="none" w:sz="0" w:space="0" w:color="auto"/>
                <w:right w:val="none" w:sz="0" w:space="0" w:color="auto"/>
              </w:divBdr>
            </w:div>
            <w:div w:id="361905256">
              <w:marLeft w:val="0"/>
              <w:marRight w:val="0"/>
              <w:marTop w:val="0"/>
              <w:marBottom w:val="0"/>
              <w:divBdr>
                <w:top w:val="none" w:sz="0" w:space="0" w:color="auto"/>
                <w:left w:val="none" w:sz="0" w:space="0" w:color="auto"/>
                <w:bottom w:val="none" w:sz="0" w:space="0" w:color="auto"/>
                <w:right w:val="none" w:sz="0" w:space="0" w:color="auto"/>
              </w:divBdr>
            </w:div>
            <w:div w:id="450831841">
              <w:marLeft w:val="0"/>
              <w:marRight w:val="0"/>
              <w:marTop w:val="0"/>
              <w:marBottom w:val="0"/>
              <w:divBdr>
                <w:top w:val="none" w:sz="0" w:space="0" w:color="auto"/>
                <w:left w:val="none" w:sz="0" w:space="0" w:color="auto"/>
                <w:bottom w:val="none" w:sz="0" w:space="0" w:color="auto"/>
                <w:right w:val="none" w:sz="0" w:space="0" w:color="auto"/>
              </w:divBdr>
            </w:div>
            <w:div w:id="691221570">
              <w:marLeft w:val="0"/>
              <w:marRight w:val="0"/>
              <w:marTop w:val="0"/>
              <w:marBottom w:val="0"/>
              <w:divBdr>
                <w:top w:val="none" w:sz="0" w:space="0" w:color="auto"/>
                <w:left w:val="none" w:sz="0" w:space="0" w:color="auto"/>
                <w:bottom w:val="none" w:sz="0" w:space="0" w:color="auto"/>
                <w:right w:val="none" w:sz="0" w:space="0" w:color="auto"/>
              </w:divBdr>
            </w:div>
            <w:div w:id="768702495">
              <w:marLeft w:val="0"/>
              <w:marRight w:val="0"/>
              <w:marTop w:val="0"/>
              <w:marBottom w:val="0"/>
              <w:divBdr>
                <w:top w:val="none" w:sz="0" w:space="0" w:color="auto"/>
                <w:left w:val="none" w:sz="0" w:space="0" w:color="auto"/>
                <w:bottom w:val="none" w:sz="0" w:space="0" w:color="auto"/>
                <w:right w:val="none" w:sz="0" w:space="0" w:color="auto"/>
              </w:divBdr>
            </w:div>
            <w:div w:id="906496110">
              <w:marLeft w:val="0"/>
              <w:marRight w:val="0"/>
              <w:marTop w:val="0"/>
              <w:marBottom w:val="0"/>
              <w:divBdr>
                <w:top w:val="none" w:sz="0" w:space="0" w:color="auto"/>
                <w:left w:val="none" w:sz="0" w:space="0" w:color="auto"/>
                <w:bottom w:val="none" w:sz="0" w:space="0" w:color="auto"/>
                <w:right w:val="none" w:sz="0" w:space="0" w:color="auto"/>
              </w:divBdr>
            </w:div>
            <w:div w:id="1021974415">
              <w:marLeft w:val="0"/>
              <w:marRight w:val="0"/>
              <w:marTop w:val="0"/>
              <w:marBottom w:val="0"/>
              <w:divBdr>
                <w:top w:val="none" w:sz="0" w:space="0" w:color="auto"/>
                <w:left w:val="none" w:sz="0" w:space="0" w:color="auto"/>
                <w:bottom w:val="none" w:sz="0" w:space="0" w:color="auto"/>
                <w:right w:val="none" w:sz="0" w:space="0" w:color="auto"/>
              </w:divBdr>
            </w:div>
            <w:div w:id="1270159636">
              <w:marLeft w:val="0"/>
              <w:marRight w:val="0"/>
              <w:marTop w:val="0"/>
              <w:marBottom w:val="0"/>
              <w:divBdr>
                <w:top w:val="none" w:sz="0" w:space="0" w:color="auto"/>
                <w:left w:val="none" w:sz="0" w:space="0" w:color="auto"/>
                <w:bottom w:val="none" w:sz="0" w:space="0" w:color="auto"/>
                <w:right w:val="none" w:sz="0" w:space="0" w:color="auto"/>
              </w:divBdr>
            </w:div>
            <w:div w:id="1379088781">
              <w:marLeft w:val="0"/>
              <w:marRight w:val="0"/>
              <w:marTop w:val="0"/>
              <w:marBottom w:val="0"/>
              <w:divBdr>
                <w:top w:val="none" w:sz="0" w:space="0" w:color="auto"/>
                <w:left w:val="none" w:sz="0" w:space="0" w:color="auto"/>
                <w:bottom w:val="none" w:sz="0" w:space="0" w:color="auto"/>
                <w:right w:val="none" w:sz="0" w:space="0" w:color="auto"/>
              </w:divBdr>
            </w:div>
            <w:div w:id="1401714674">
              <w:marLeft w:val="0"/>
              <w:marRight w:val="0"/>
              <w:marTop w:val="0"/>
              <w:marBottom w:val="0"/>
              <w:divBdr>
                <w:top w:val="none" w:sz="0" w:space="0" w:color="auto"/>
                <w:left w:val="none" w:sz="0" w:space="0" w:color="auto"/>
                <w:bottom w:val="none" w:sz="0" w:space="0" w:color="auto"/>
                <w:right w:val="none" w:sz="0" w:space="0" w:color="auto"/>
              </w:divBdr>
            </w:div>
            <w:div w:id="1403916928">
              <w:marLeft w:val="0"/>
              <w:marRight w:val="0"/>
              <w:marTop w:val="0"/>
              <w:marBottom w:val="0"/>
              <w:divBdr>
                <w:top w:val="none" w:sz="0" w:space="0" w:color="auto"/>
                <w:left w:val="none" w:sz="0" w:space="0" w:color="auto"/>
                <w:bottom w:val="none" w:sz="0" w:space="0" w:color="auto"/>
                <w:right w:val="none" w:sz="0" w:space="0" w:color="auto"/>
              </w:divBdr>
            </w:div>
            <w:div w:id="1576285484">
              <w:marLeft w:val="0"/>
              <w:marRight w:val="0"/>
              <w:marTop w:val="0"/>
              <w:marBottom w:val="0"/>
              <w:divBdr>
                <w:top w:val="none" w:sz="0" w:space="0" w:color="auto"/>
                <w:left w:val="none" w:sz="0" w:space="0" w:color="auto"/>
                <w:bottom w:val="none" w:sz="0" w:space="0" w:color="auto"/>
                <w:right w:val="none" w:sz="0" w:space="0" w:color="auto"/>
              </w:divBdr>
            </w:div>
            <w:div w:id="1668243882">
              <w:marLeft w:val="0"/>
              <w:marRight w:val="0"/>
              <w:marTop w:val="0"/>
              <w:marBottom w:val="0"/>
              <w:divBdr>
                <w:top w:val="none" w:sz="0" w:space="0" w:color="auto"/>
                <w:left w:val="none" w:sz="0" w:space="0" w:color="auto"/>
                <w:bottom w:val="none" w:sz="0" w:space="0" w:color="auto"/>
                <w:right w:val="none" w:sz="0" w:space="0" w:color="auto"/>
              </w:divBdr>
            </w:div>
            <w:div w:id="1777602577">
              <w:marLeft w:val="0"/>
              <w:marRight w:val="0"/>
              <w:marTop w:val="0"/>
              <w:marBottom w:val="0"/>
              <w:divBdr>
                <w:top w:val="none" w:sz="0" w:space="0" w:color="auto"/>
                <w:left w:val="none" w:sz="0" w:space="0" w:color="auto"/>
                <w:bottom w:val="none" w:sz="0" w:space="0" w:color="auto"/>
                <w:right w:val="none" w:sz="0" w:space="0" w:color="auto"/>
              </w:divBdr>
            </w:div>
            <w:div w:id="1951207076">
              <w:marLeft w:val="0"/>
              <w:marRight w:val="0"/>
              <w:marTop w:val="0"/>
              <w:marBottom w:val="0"/>
              <w:divBdr>
                <w:top w:val="none" w:sz="0" w:space="0" w:color="auto"/>
                <w:left w:val="none" w:sz="0" w:space="0" w:color="auto"/>
                <w:bottom w:val="none" w:sz="0" w:space="0" w:color="auto"/>
                <w:right w:val="none" w:sz="0" w:space="0" w:color="auto"/>
              </w:divBdr>
            </w:div>
          </w:divsChild>
        </w:div>
        <w:div w:id="729501176">
          <w:marLeft w:val="0"/>
          <w:marRight w:val="0"/>
          <w:marTop w:val="0"/>
          <w:marBottom w:val="0"/>
          <w:divBdr>
            <w:top w:val="none" w:sz="0" w:space="0" w:color="auto"/>
            <w:left w:val="none" w:sz="0" w:space="0" w:color="auto"/>
            <w:bottom w:val="none" w:sz="0" w:space="0" w:color="auto"/>
            <w:right w:val="none" w:sz="0" w:space="0" w:color="auto"/>
          </w:divBdr>
        </w:div>
        <w:div w:id="731001640">
          <w:marLeft w:val="0"/>
          <w:marRight w:val="0"/>
          <w:marTop w:val="0"/>
          <w:marBottom w:val="0"/>
          <w:divBdr>
            <w:top w:val="none" w:sz="0" w:space="0" w:color="auto"/>
            <w:left w:val="none" w:sz="0" w:space="0" w:color="auto"/>
            <w:bottom w:val="none" w:sz="0" w:space="0" w:color="auto"/>
            <w:right w:val="none" w:sz="0" w:space="0" w:color="auto"/>
          </w:divBdr>
        </w:div>
        <w:div w:id="758261229">
          <w:marLeft w:val="0"/>
          <w:marRight w:val="0"/>
          <w:marTop w:val="0"/>
          <w:marBottom w:val="0"/>
          <w:divBdr>
            <w:top w:val="none" w:sz="0" w:space="0" w:color="auto"/>
            <w:left w:val="none" w:sz="0" w:space="0" w:color="auto"/>
            <w:bottom w:val="none" w:sz="0" w:space="0" w:color="auto"/>
            <w:right w:val="none" w:sz="0" w:space="0" w:color="auto"/>
          </w:divBdr>
        </w:div>
        <w:div w:id="846559068">
          <w:marLeft w:val="0"/>
          <w:marRight w:val="0"/>
          <w:marTop w:val="0"/>
          <w:marBottom w:val="0"/>
          <w:divBdr>
            <w:top w:val="none" w:sz="0" w:space="0" w:color="auto"/>
            <w:left w:val="none" w:sz="0" w:space="0" w:color="auto"/>
            <w:bottom w:val="none" w:sz="0" w:space="0" w:color="auto"/>
            <w:right w:val="none" w:sz="0" w:space="0" w:color="auto"/>
          </w:divBdr>
        </w:div>
        <w:div w:id="1077822987">
          <w:marLeft w:val="0"/>
          <w:marRight w:val="0"/>
          <w:marTop w:val="0"/>
          <w:marBottom w:val="0"/>
          <w:divBdr>
            <w:top w:val="none" w:sz="0" w:space="0" w:color="auto"/>
            <w:left w:val="none" w:sz="0" w:space="0" w:color="auto"/>
            <w:bottom w:val="none" w:sz="0" w:space="0" w:color="auto"/>
            <w:right w:val="none" w:sz="0" w:space="0" w:color="auto"/>
          </w:divBdr>
        </w:div>
        <w:div w:id="1077938912">
          <w:marLeft w:val="0"/>
          <w:marRight w:val="0"/>
          <w:marTop w:val="0"/>
          <w:marBottom w:val="0"/>
          <w:divBdr>
            <w:top w:val="none" w:sz="0" w:space="0" w:color="auto"/>
            <w:left w:val="none" w:sz="0" w:space="0" w:color="auto"/>
            <w:bottom w:val="none" w:sz="0" w:space="0" w:color="auto"/>
            <w:right w:val="none" w:sz="0" w:space="0" w:color="auto"/>
          </w:divBdr>
        </w:div>
        <w:div w:id="1824850987">
          <w:marLeft w:val="0"/>
          <w:marRight w:val="0"/>
          <w:marTop w:val="0"/>
          <w:marBottom w:val="0"/>
          <w:divBdr>
            <w:top w:val="none" w:sz="0" w:space="0" w:color="auto"/>
            <w:left w:val="none" w:sz="0" w:space="0" w:color="auto"/>
            <w:bottom w:val="none" w:sz="0" w:space="0" w:color="auto"/>
            <w:right w:val="none" w:sz="0" w:space="0" w:color="auto"/>
          </w:divBdr>
        </w:div>
        <w:div w:id="2023626698">
          <w:marLeft w:val="0"/>
          <w:marRight w:val="0"/>
          <w:marTop w:val="0"/>
          <w:marBottom w:val="0"/>
          <w:divBdr>
            <w:top w:val="none" w:sz="0" w:space="0" w:color="auto"/>
            <w:left w:val="none" w:sz="0" w:space="0" w:color="auto"/>
            <w:bottom w:val="none" w:sz="0" w:space="0" w:color="auto"/>
            <w:right w:val="none" w:sz="0" w:space="0" w:color="auto"/>
          </w:divBdr>
        </w:div>
      </w:divsChild>
    </w:div>
    <w:div w:id="927082888">
      <w:bodyDiv w:val="1"/>
      <w:marLeft w:val="0"/>
      <w:marRight w:val="0"/>
      <w:marTop w:val="0"/>
      <w:marBottom w:val="0"/>
      <w:divBdr>
        <w:top w:val="none" w:sz="0" w:space="0" w:color="auto"/>
        <w:left w:val="none" w:sz="0" w:space="0" w:color="auto"/>
        <w:bottom w:val="none" w:sz="0" w:space="0" w:color="auto"/>
        <w:right w:val="none" w:sz="0" w:space="0" w:color="auto"/>
      </w:divBdr>
      <w:divsChild>
        <w:div w:id="83109164">
          <w:marLeft w:val="0"/>
          <w:marRight w:val="0"/>
          <w:marTop w:val="0"/>
          <w:marBottom w:val="0"/>
          <w:divBdr>
            <w:top w:val="none" w:sz="0" w:space="0" w:color="auto"/>
            <w:left w:val="none" w:sz="0" w:space="0" w:color="auto"/>
            <w:bottom w:val="none" w:sz="0" w:space="0" w:color="auto"/>
            <w:right w:val="none" w:sz="0" w:space="0" w:color="auto"/>
          </w:divBdr>
        </w:div>
        <w:div w:id="213079326">
          <w:marLeft w:val="0"/>
          <w:marRight w:val="0"/>
          <w:marTop w:val="0"/>
          <w:marBottom w:val="0"/>
          <w:divBdr>
            <w:top w:val="none" w:sz="0" w:space="0" w:color="auto"/>
            <w:left w:val="none" w:sz="0" w:space="0" w:color="auto"/>
            <w:bottom w:val="none" w:sz="0" w:space="0" w:color="auto"/>
            <w:right w:val="none" w:sz="0" w:space="0" w:color="auto"/>
          </w:divBdr>
        </w:div>
        <w:div w:id="233510506">
          <w:marLeft w:val="0"/>
          <w:marRight w:val="0"/>
          <w:marTop w:val="0"/>
          <w:marBottom w:val="0"/>
          <w:divBdr>
            <w:top w:val="none" w:sz="0" w:space="0" w:color="auto"/>
            <w:left w:val="none" w:sz="0" w:space="0" w:color="auto"/>
            <w:bottom w:val="none" w:sz="0" w:space="0" w:color="auto"/>
            <w:right w:val="none" w:sz="0" w:space="0" w:color="auto"/>
          </w:divBdr>
        </w:div>
        <w:div w:id="333605782">
          <w:marLeft w:val="0"/>
          <w:marRight w:val="0"/>
          <w:marTop w:val="0"/>
          <w:marBottom w:val="0"/>
          <w:divBdr>
            <w:top w:val="none" w:sz="0" w:space="0" w:color="auto"/>
            <w:left w:val="none" w:sz="0" w:space="0" w:color="auto"/>
            <w:bottom w:val="none" w:sz="0" w:space="0" w:color="auto"/>
            <w:right w:val="none" w:sz="0" w:space="0" w:color="auto"/>
          </w:divBdr>
        </w:div>
        <w:div w:id="512720569">
          <w:marLeft w:val="0"/>
          <w:marRight w:val="0"/>
          <w:marTop w:val="0"/>
          <w:marBottom w:val="0"/>
          <w:divBdr>
            <w:top w:val="none" w:sz="0" w:space="0" w:color="auto"/>
            <w:left w:val="none" w:sz="0" w:space="0" w:color="auto"/>
            <w:bottom w:val="none" w:sz="0" w:space="0" w:color="auto"/>
            <w:right w:val="none" w:sz="0" w:space="0" w:color="auto"/>
          </w:divBdr>
        </w:div>
        <w:div w:id="533273306">
          <w:marLeft w:val="0"/>
          <w:marRight w:val="0"/>
          <w:marTop w:val="0"/>
          <w:marBottom w:val="0"/>
          <w:divBdr>
            <w:top w:val="none" w:sz="0" w:space="0" w:color="auto"/>
            <w:left w:val="none" w:sz="0" w:space="0" w:color="auto"/>
            <w:bottom w:val="none" w:sz="0" w:space="0" w:color="auto"/>
            <w:right w:val="none" w:sz="0" w:space="0" w:color="auto"/>
          </w:divBdr>
        </w:div>
        <w:div w:id="649401979">
          <w:marLeft w:val="0"/>
          <w:marRight w:val="0"/>
          <w:marTop w:val="0"/>
          <w:marBottom w:val="0"/>
          <w:divBdr>
            <w:top w:val="none" w:sz="0" w:space="0" w:color="auto"/>
            <w:left w:val="none" w:sz="0" w:space="0" w:color="auto"/>
            <w:bottom w:val="none" w:sz="0" w:space="0" w:color="auto"/>
            <w:right w:val="none" w:sz="0" w:space="0" w:color="auto"/>
          </w:divBdr>
        </w:div>
        <w:div w:id="794637763">
          <w:marLeft w:val="0"/>
          <w:marRight w:val="0"/>
          <w:marTop w:val="0"/>
          <w:marBottom w:val="0"/>
          <w:divBdr>
            <w:top w:val="none" w:sz="0" w:space="0" w:color="auto"/>
            <w:left w:val="none" w:sz="0" w:space="0" w:color="auto"/>
            <w:bottom w:val="none" w:sz="0" w:space="0" w:color="auto"/>
            <w:right w:val="none" w:sz="0" w:space="0" w:color="auto"/>
          </w:divBdr>
        </w:div>
        <w:div w:id="858005818">
          <w:marLeft w:val="0"/>
          <w:marRight w:val="0"/>
          <w:marTop w:val="0"/>
          <w:marBottom w:val="0"/>
          <w:divBdr>
            <w:top w:val="none" w:sz="0" w:space="0" w:color="auto"/>
            <w:left w:val="none" w:sz="0" w:space="0" w:color="auto"/>
            <w:bottom w:val="none" w:sz="0" w:space="0" w:color="auto"/>
            <w:right w:val="none" w:sz="0" w:space="0" w:color="auto"/>
          </w:divBdr>
        </w:div>
        <w:div w:id="886769331">
          <w:marLeft w:val="0"/>
          <w:marRight w:val="0"/>
          <w:marTop w:val="0"/>
          <w:marBottom w:val="0"/>
          <w:divBdr>
            <w:top w:val="none" w:sz="0" w:space="0" w:color="auto"/>
            <w:left w:val="none" w:sz="0" w:space="0" w:color="auto"/>
            <w:bottom w:val="none" w:sz="0" w:space="0" w:color="auto"/>
            <w:right w:val="none" w:sz="0" w:space="0" w:color="auto"/>
          </w:divBdr>
        </w:div>
        <w:div w:id="925650084">
          <w:marLeft w:val="0"/>
          <w:marRight w:val="0"/>
          <w:marTop w:val="0"/>
          <w:marBottom w:val="0"/>
          <w:divBdr>
            <w:top w:val="none" w:sz="0" w:space="0" w:color="auto"/>
            <w:left w:val="none" w:sz="0" w:space="0" w:color="auto"/>
            <w:bottom w:val="none" w:sz="0" w:space="0" w:color="auto"/>
            <w:right w:val="none" w:sz="0" w:space="0" w:color="auto"/>
          </w:divBdr>
        </w:div>
        <w:div w:id="1092899022">
          <w:marLeft w:val="0"/>
          <w:marRight w:val="0"/>
          <w:marTop w:val="0"/>
          <w:marBottom w:val="0"/>
          <w:divBdr>
            <w:top w:val="none" w:sz="0" w:space="0" w:color="auto"/>
            <w:left w:val="none" w:sz="0" w:space="0" w:color="auto"/>
            <w:bottom w:val="none" w:sz="0" w:space="0" w:color="auto"/>
            <w:right w:val="none" w:sz="0" w:space="0" w:color="auto"/>
          </w:divBdr>
        </w:div>
        <w:div w:id="1338653940">
          <w:marLeft w:val="0"/>
          <w:marRight w:val="0"/>
          <w:marTop w:val="0"/>
          <w:marBottom w:val="0"/>
          <w:divBdr>
            <w:top w:val="none" w:sz="0" w:space="0" w:color="auto"/>
            <w:left w:val="none" w:sz="0" w:space="0" w:color="auto"/>
            <w:bottom w:val="none" w:sz="0" w:space="0" w:color="auto"/>
            <w:right w:val="none" w:sz="0" w:space="0" w:color="auto"/>
          </w:divBdr>
        </w:div>
        <w:div w:id="1480611043">
          <w:marLeft w:val="0"/>
          <w:marRight w:val="0"/>
          <w:marTop w:val="0"/>
          <w:marBottom w:val="0"/>
          <w:divBdr>
            <w:top w:val="none" w:sz="0" w:space="0" w:color="auto"/>
            <w:left w:val="none" w:sz="0" w:space="0" w:color="auto"/>
            <w:bottom w:val="none" w:sz="0" w:space="0" w:color="auto"/>
            <w:right w:val="none" w:sz="0" w:space="0" w:color="auto"/>
          </w:divBdr>
        </w:div>
        <w:div w:id="1767268918">
          <w:marLeft w:val="0"/>
          <w:marRight w:val="0"/>
          <w:marTop w:val="0"/>
          <w:marBottom w:val="0"/>
          <w:divBdr>
            <w:top w:val="none" w:sz="0" w:space="0" w:color="auto"/>
            <w:left w:val="none" w:sz="0" w:space="0" w:color="auto"/>
            <w:bottom w:val="none" w:sz="0" w:space="0" w:color="auto"/>
            <w:right w:val="none" w:sz="0" w:space="0" w:color="auto"/>
          </w:divBdr>
        </w:div>
        <w:div w:id="1801877603">
          <w:marLeft w:val="0"/>
          <w:marRight w:val="0"/>
          <w:marTop w:val="0"/>
          <w:marBottom w:val="0"/>
          <w:divBdr>
            <w:top w:val="none" w:sz="0" w:space="0" w:color="auto"/>
            <w:left w:val="none" w:sz="0" w:space="0" w:color="auto"/>
            <w:bottom w:val="none" w:sz="0" w:space="0" w:color="auto"/>
            <w:right w:val="none" w:sz="0" w:space="0" w:color="auto"/>
          </w:divBdr>
        </w:div>
        <w:div w:id="1818256834">
          <w:marLeft w:val="0"/>
          <w:marRight w:val="0"/>
          <w:marTop w:val="0"/>
          <w:marBottom w:val="0"/>
          <w:divBdr>
            <w:top w:val="none" w:sz="0" w:space="0" w:color="auto"/>
            <w:left w:val="none" w:sz="0" w:space="0" w:color="auto"/>
            <w:bottom w:val="none" w:sz="0" w:space="0" w:color="auto"/>
            <w:right w:val="none" w:sz="0" w:space="0" w:color="auto"/>
          </w:divBdr>
        </w:div>
        <w:div w:id="1899513415">
          <w:marLeft w:val="0"/>
          <w:marRight w:val="0"/>
          <w:marTop w:val="0"/>
          <w:marBottom w:val="0"/>
          <w:divBdr>
            <w:top w:val="none" w:sz="0" w:space="0" w:color="auto"/>
            <w:left w:val="none" w:sz="0" w:space="0" w:color="auto"/>
            <w:bottom w:val="none" w:sz="0" w:space="0" w:color="auto"/>
            <w:right w:val="none" w:sz="0" w:space="0" w:color="auto"/>
          </w:divBdr>
          <w:divsChild>
            <w:div w:id="30737444">
              <w:marLeft w:val="0"/>
              <w:marRight w:val="0"/>
              <w:marTop w:val="0"/>
              <w:marBottom w:val="0"/>
              <w:divBdr>
                <w:top w:val="none" w:sz="0" w:space="0" w:color="auto"/>
                <w:left w:val="none" w:sz="0" w:space="0" w:color="auto"/>
                <w:bottom w:val="none" w:sz="0" w:space="0" w:color="auto"/>
                <w:right w:val="none" w:sz="0" w:space="0" w:color="auto"/>
              </w:divBdr>
            </w:div>
            <w:div w:id="60447362">
              <w:marLeft w:val="0"/>
              <w:marRight w:val="0"/>
              <w:marTop w:val="0"/>
              <w:marBottom w:val="0"/>
              <w:divBdr>
                <w:top w:val="none" w:sz="0" w:space="0" w:color="auto"/>
                <w:left w:val="none" w:sz="0" w:space="0" w:color="auto"/>
                <w:bottom w:val="none" w:sz="0" w:space="0" w:color="auto"/>
                <w:right w:val="none" w:sz="0" w:space="0" w:color="auto"/>
              </w:divBdr>
            </w:div>
            <w:div w:id="224536691">
              <w:marLeft w:val="0"/>
              <w:marRight w:val="0"/>
              <w:marTop w:val="0"/>
              <w:marBottom w:val="0"/>
              <w:divBdr>
                <w:top w:val="none" w:sz="0" w:space="0" w:color="auto"/>
                <w:left w:val="none" w:sz="0" w:space="0" w:color="auto"/>
                <w:bottom w:val="none" w:sz="0" w:space="0" w:color="auto"/>
                <w:right w:val="none" w:sz="0" w:space="0" w:color="auto"/>
              </w:divBdr>
            </w:div>
            <w:div w:id="263193124">
              <w:marLeft w:val="0"/>
              <w:marRight w:val="0"/>
              <w:marTop w:val="0"/>
              <w:marBottom w:val="0"/>
              <w:divBdr>
                <w:top w:val="none" w:sz="0" w:space="0" w:color="auto"/>
                <w:left w:val="none" w:sz="0" w:space="0" w:color="auto"/>
                <w:bottom w:val="none" w:sz="0" w:space="0" w:color="auto"/>
                <w:right w:val="none" w:sz="0" w:space="0" w:color="auto"/>
              </w:divBdr>
            </w:div>
            <w:div w:id="272591543">
              <w:marLeft w:val="0"/>
              <w:marRight w:val="0"/>
              <w:marTop w:val="0"/>
              <w:marBottom w:val="0"/>
              <w:divBdr>
                <w:top w:val="none" w:sz="0" w:space="0" w:color="auto"/>
                <w:left w:val="none" w:sz="0" w:space="0" w:color="auto"/>
                <w:bottom w:val="none" w:sz="0" w:space="0" w:color="auto"/>
                <w:right w:val="none" w:sz="0" w:space="0" w:color="auto"/>
              </w:divBdr>
            </w:div>
            <w:div w:id="452479189">
              <w:marLeft w:val="0"/>
              <w:marRight w:val="0"/>
              <w:marTop w:val="0"/>
              <w:marBottom w:val="0"/>
              <w:divBdr>
                <w:top w:val="none" w:sz="0" w:space="0" w:color="auto"/>
                <w:left w:val="none" w:sz="0" w:space="0" w:color="auto"/>
                <w:bottom w:val="none" w:sz="0" w:space="0" w:color="auto"/>
                <w:right w:val="none" w:sz="0" w:space="0" w:color="auto"/>
              </w:divBdr>
            </w:div>
            <w:div w:id="516770281">
              <w:marLeft w:val="0"/>
              <w:marRight w:val="0"/>
              <w:marTop w:val="0"/>
              <w:marBottom w:val="0"/>
              <w:divBdr>
                <w:top w:val="none" w:sz="0" w:space="0" w:color="auto"/>
                <w:left w:val="none" w:sz="0" w:space="0" w:color="auto"/>
                <w:bottom w:val="none" w:sz="0" w:space="0" w:color="auto"/>
                <w:right w:val="none" w:sz="0" w:space="0" w:color="auto"/>
              </w:divBdr>
            </w:div>
            <w:div w:id="538664179">
              <w:marLeft w:val="0"/>
              <w:marRight w:val="0"/>
              <w:marTop w:val="0"/>
              <w:marBottom w:val="0"/>
              <w:divBdr>
                <w:top w:val="none" w:sz="0" w:space="0" w:color="auto"/>
                <w:left w:val="none" w:sz="0" w:space="0" w:color="auto"/>
                <w:bottom w:val="none" w:sz="0" w:space="0" w:color="auto"/>
                <w:right w:val="none" w:sz="0" w:space="0" w:color="auto"/>
              </w:divBdr>
            </w:div>
            <w:div w:id="816145900">
              <w:marLeft w:val="0"/>
              <w:marRight w:val="0"/>
              <w:marTop w:val="0"/>
              <w:marBottom w:val="0"/>
              <w:divBdr>
                <w:top w:val="none" w:sz="0" w:space="0" w:color="auto"/>
                <w:left w:val="none" w:sz="0" w:space="0" w:color="auto"/>
                <w:bottom w:val="none" w:sz="0" w:space="0" w:color="auto"/>
                <w:right w:val="none" w:sz="0" w:space="0" w:color="auto"/>
              </w:divBdr>
            </w:div>
            <w:div w:id="877812306">
              <w:marLeft w:val="0"/>
              <w:marRight w:val="0"/>
              <w:marTop w:val="0"/>
              <w:marBottom w:val="0"/>
              <w:divBdr>
                <w:top w:val="none" w:sz="0" w:space="0" w:color="auto"/>
                <w:left w:val="none" w:sz="0" w:space="0" w:color="auto"/>
                <w:bottom w:val="none" w:sz="0" w:space="0" w:color="auto"/>
                <w:right w:val="none" w:sz="0" w:space="0" w:color="auto"/>
              </w:divBdr>
            </w:div>
            <w:div w:id="965235657">
              <w:marLeft w:val="0"/>
              <w:marRight w:val="0"/>
              <w:marTop w:val="0"/>
              <w:marBottom w:val="0"/>
              <w:divBdr>
                <w:top w:val="none" w:sz="0" w:space="0" w:color="auto"/>
                <w:left w:val="none" w:sz="0" w:space="0" w:color="auto"/>
                <w:bottom w:val="none" w:sz="0" w:space="0" w:color="auto"/>
                <w:right w:val="none" w:sz="0" w:space="0" w:color="auto"/>
              </w:divBdr>
            </w:div>
            <w:div w:id="969432700">
              <w:marLeft w:val="0"/>
              <w:marRight w:val="0"/>
              <w:marTop w:val="0"/>
              <w:marBottom w:val="0"/>
              <w:divBdr>
                <w:top w:val="none" w:sz="0" w:space="0" w:color="auto"/>
                <w:left w:val="none" w:sz="0" w:space="0" w:color="auto"/>
                <w:bottom w:val="none" w:sz="0" w:space="0" w:color="auto"/>
                <w:right w:val="none" w:sz="0" w:space="0" w:color="auto"/>
              </w:divBdr>
            </w:div>
            <w:div w:id="1066881442">
              <w:marLeft w:val="0"/>
              <w:marRight w:val="0"/>
              <w:marTop w:val="0"/>
              <w:marBottom w:val="0"/>
              <w:divBdr>
                <w:top w:val="none" w:sz="0" w:space="0" w:color="auto"/>
                <w:left w:val="none" w:sz="0" w:space="0" w:color="auto"/>
                <w:bottom w:val="none" w:sz="0" w:space="0" w:color="auto"/>
                <w:right w:val="none" w:sz="0" w:space="0" w:color="auto"/>
              </w:divBdr>
            </w:div>
            <w:div w:id="1128082193">
              <w:marLeft w:val="0"/>
              <w:marRight w:val="0"/>
              <w:marTop w:val="0"/>
              <w:marBottom w:val="0"/>
              <w:divBdr>
                <w:top w:val="none" w:sz="0" w:space="0" w:color="auto"/>
                <w:left w:val="none" w:sz="0" w:space="0" w:color="auto"/>
                <w:bottom w:val="none" w:sz="0" w:space="0" w:color="auto"/>
                <w:right w:val="none" w:sz="0" w:space="0" w:color="auto"/>
              </w:divBdr>
            </w:div>
            <w:div w:id="1273322023">
              <w:marLeft w:val="0"/>
              <w:marRight w:val="0"/>
              <w:marTop w:val="0"/>
              <w:marBottom w:val="0"/>
              <w:divBdr>
                <w:top w:val="none" w:sz="0" w:space="0" w:color="auto"/>
                <w:left w:val="none" w:sz="0" w:space="0" w:color="auto"/>
                <w:bottom w:val="none" w:sz="0" w:space="0" w:color="auto"/>
                <w:right w:val="none" w:sz="0" w:space="0" w:color="auto"/>
              </w:divBdr>
            </w:div>
            <w:div w:id="1485127498">
              <w:marLeft w:val="0"/>
              <w:marRight w:val="0"/>
              <w:marTop w:val="0"/>
              <w:marBottom w:val="0"/>
              <w:divBdr>
                <w:top w:val="none" w:sz="0" w:space="0" w:color="auto"/>
                <w:left w:val="none" w:sz="0" w:space="0" w:color="auto"/>
                <w:bottom w:val="none" w:sz="0" w:space="0" w:color="auto"/>
                <w:right w:val="none" w:sz="0" w:space="0" w:color="auto"/>
              </w:divBdr>
            </w:div>
            <w:div w:id="1494297301">
              <w:marLeft w:val="0"/>
              <w:marRight w:val="0"/>
              <w:marTop w:val="0"/>
              <w:marBottom w:val="0"/>
              <w:divBdr>
                <w:top w:val="none" w:sz="0" w:space="0" w:color="auto"/>
                <w:left w:val="none" w:sz="0" w:space="0" w:color="auto"/>
                <w:bottom w:val="none" w:sz="0" w:space="0" w:color="auto"/>
                <w:right w:val="none" w:sz="0" w:space="0" w:color="auto"/>
              </w:divBdr>
            </w:div>
            <w:div w:id="1569653668">
              <w:marLeft w:val="0"/>
              <w:marRight w:val="0"/>
              <w:marTop w:val="0"/>
              <w:marBottom w:val="0"/>
              <w:divBdr>
                <w:top w:val="none" w:sz="0" w:space="0" w:color="auto"/>
                <w:left w:val="none" w:sz="0" w:space="0" w:color="auto"/>
                <w:bottom w:val="none" w:sz="0" w:space="0" w:color="auto"/>
                <w:right w:val="none" w:sz="0" w:space="0" w:color="auto"/>
              </w:divBdr>
            </w:div>
            <w:div w:id="1667855842">
              <w:marLeft w:val="0"/>
              <w:marRight w:val="0"/>
              <w:marTop w:val="0"/>
              <w:marBottom w:val="0"/>
              <w:divBdr>
                <w:top w:val="none" w:sz="0" w:space="0" w:color="auto"/>
                <w:left w:val="none" w:sz="0" w:space="0" w:color="auto"/>
                <w:bottom w:val="none" w:sz="0" w:space="0" w:color="auto"/>
                <w:right w:val="none" w:sz="0" w:space="0" w:color="auto"/>
              </w:divBdr>
            </w:div>
            <w:div w:id="2007971649">
              <w:marLeft w:val="0"/>
              <w:marRight w:val="0"/>
              <w:marTop w:val="0"/>
              <w:marBottom w:val="0"/>
              <w:divBdr>
                <w:top w:val="none" w:sz="0" w:space="0" w:color="auto"/>
                <w:left w:val="none" w:sz="0" w:space="0" w:color="auto"/>
                <w:bottom w:val="none" w:sz="0" w:space="0" w:color="auto"/>
                <w:right w:val="none" w:sz="0" w:space="0" w:color="auto"/>
              </w:divBdr>
            </w:div>
          </w:divsChild>
        </w:div>
        <w:div w:id="1971475234">
          <w:marLeft w:val="0"/>
          <w:marRight w:val="0"/>
          <w:marTop w:val="0"/>
          <w:marBottom w:val="0"/>
          <w:divBdr>
            <w:top w:val="none" w:sz="0" w:space="0" w:color="auto"/>
            <w:left w:val="none" w:sz="0" w:space="0" w:color="auto"/>
            <w:bottom w:val="none" w:sz="0" w:space="0" w:color="auto"/>
            <w:right w:val="none" w:sz="0" w:space="0" w:color="auto"/>
          </w:divBdr>
        </w:div>
        <w:div w:id="1978756242">
          <w:marLeft w:val="0"/>
          <w:marRight w:val="0"/>
          <w:marTop w:val="0"/>
          <w:marBottom w:val="0"/>
          <w:divBdr>
            <w:top w:val="none" w:sz="0" w:space="0" w:color="auto"/>
            <w:left w:val="none" w:sz="0" w:space="0" w:color="auto"/>
            <w:bottom w:val="none" w:sz="0" w:space="0" w:color="auto"/>
            <w:right w:val="none" w:sz="0" w:space="0" w:color="auto"/>
          </w:divBdr>
        </w:div>
        <w:div w:id="2021619467">
          <w:marLeft w:val="0"/>
          <w:marRight w:val="0"/>
          <w:marTop w:val="0"/>
          <w:marBottom w:val="0"/>
          <w:divBdr>
            <w:top w:val="none" w:sz="0" w:space="0" w:color="auto"/>
            <w:left w:val="none" w:sz="0" w:space="0" w:color="auto"/>
            <w:bottom w:val="none" w:sz="0" w:space="0" w:color="auto"/>
            <w:right w:val="none" w:sz="0" w:space="0" w:color="auto"/>
          </w:divBdr>
        </w:div>
        <w:div w:id="2057073797">
          <w:marLeft w:val="0"/>
          <w:marRight w:val="0"/>
          <w:marTop w:val="0"/>
          <w:marBottom w:val="0"/>
          <w:divBdr>
            <w:top w:val="none" w:sz="0" w:space="0" w:color="auto"/>
            <w:left w:val="none" w:sz="0" w:space="0" w:color="auto"/>
            <w:bottom w:val="none" w:sz="0" w:space="0" w:color="auto"/>
            <w:right w:val="none" w:sz="0" w:space="0" w:color="auto"/>
          </w:divBdr>
        </w:div>
        <w:div w:id="2061783294">
          <w:marLeft w:val="0"/>
          <w:marRight w:val="0"/>
          <w:marTop w:val="0"/>
          <w:marBottom w:val="0"/>
          <w:divBdr>
            <w:top w:val="none" w:sz="0" w:space="0" w:color="auto"/>
            <w:left w:val="none" w:sz="0" w:space="0" w:color="auto"/>
            <w:bottom w:val="none" w:sz="0" w:space="0" w:color="auto"/>
            <w:right w:val="none" w:sz="0" w:space="0" w:color="auto"/>
          </w:divBdr>
        </w:div>
      </w:divsChild>
    </w:div>
    <w:div w:id="1188788612">
      <w:bodyDiv w:val="1"/>
      <w:marLeft w:val="0"/>
      <w:marRight w:val="0"/>
      <w:marTop w:val="0"/>
      <w:marBottom w:val="0"/>
      <w:divBdr>
        <w:top w:val="none" w:sz="0" w:space="0" w:color="auto"/>
        <w:left w:val="none" w:sz="0" w:space="0" w:color="auto"/>
        <w:bottom w:val="none" w:sz="0" w:space="0" w:color="auto"/>
        <w:right w:val="none" w:sz="0" w:space="0" w:color="auto"/>
      </w:divBdr>
      <w:divsChild>
        <w:div w:id="247543451">
          <w:marLeft w:val="0"/>
          <w:marRight w:val="0"/>
          <w:marTop w:val="0"/>
          <w:marBottom w:val="0"/>
          <w:divBdr>
            <w:top w:val="none" w:sz="0" w:space="0" w:color="auto"/>
            <w:left w:val="none" w:sz="0" w:space="0" w:color="auto"/>
            <w:bottom w:val="none" w:sz="0" w:space="0" w:color="auto"/>
            <w:right w:val="none" w:sz="0" w:space="0" w:color="auto"/>
          </w:divBdr>
        </w:div>
        <w:div w:id="254678781">
          <w:marLeft w:val="0"/>
          <w:marRight w:val="0"/>
          <w:marTop w:val="0"/>
          <w:marBottom w:val="0"/>
          <w:divBdr>
            <w:top w:val="none" w:sz="0" w:space="0" w:color="auto"/>
            <w:left w:val="none" w:sz="0" w:space="0" w:color="auto"/>
            <w:bottom w:val="none" w:sz="0" w:space="0" w:color="auto"/>
            <w:right w:val="none" w:sz="0" w:space="0" w:color="auto"/>
          </w:divBdr>
        </w:div>
        <w:div w:id="604846827">
          <w:marLeft w:val="0"/>
          <w:marRight w:val="0"/>
          <w:marTop w:val="0"/>
          <w:marBottom w:val="0"/>
          <w:divBdr>
            <w:top w:val="none" w:sz="0" w:space="0" w:color="auto"/>
            <w:left w:val="none" w:sz="0" w:space="0" w:color="auto"/>
            <w:bottom w:val="none" w:sz="0" w:space="0" w:color="auto"/>
            <w:right w:val="none" w:sz="0" w:space="0" w:color="auto"/>
          </w:divBdr>
        </w:div>
        <w:div w:id="1114902453">
          <w:marLeft w:val="0"/>
          <w:marRight w:val="0"/>
          <w:marTop w:val="0"/>
          <w:marBottom w:val="0"/>
          <w:divBdr>
            <w:top w:val="none" w:sz="0" w:space="0" w:color="auto"/>
            <w:left w:val="none" w:sz="0" w:space="0" w:color="auto"/>
            <w:bottom w:val="none" w:sz="0" w:space="0" w:color="auto"/>
            <w:right w:val="none" w:sz="0" w:space="0" w:color="auto"/>
          </w:divBdr>
        </w:div>
        <w:div w:id="1312439257">
          <w:marLeft w:val="0"/>
          <w:marRight w:val="0"/>
          <w:marTop w:val="0"/>
          <w:marBottom w:val="0"/>
          <w:divBdr>
            <w:top w:val="none" w:sz="0" w:space="0" w:color="auto"/>
            <w:left w:val="none" w:sz="0" w:space="0" w:color="auto"/>
            <w:bottom w:val="none" w:sz="0" w:space="0" w:color="auto"/>
            <w:right w:val="none" w:sz="0" w:space="0" w:color="auto"/>
          </w:divBdr>
        </w:div>
        <w:div w:id="1586261155">
          <w:marLeft w:val="0"/>
          <w:marRight w:val="0"/>
          <w:marTop w:val="0"/>
          <w:marBottom w:val="0"/>
          <w:divBdr>
            <w:top w:val="none" w:sz="0" w:space="0" w:color="auto"/>
            <w:left w:val="none" w:sz="0" w:space="0" w:color="auto"/>
            <w:bottom w:val="none" w:sz="0" w:space="0" w:color="auto"/>
            <w:right w:val="none" w:sz="0" w:space="0" w:color="auto"/>
          </w:divBdr>
        </w:div>
        <w:div w:id="1670912080">
          <w:marLeft w:val="0"/>
          <w:marRight w:val="0"/>
          <w:marTop w:val="0"/>
          <w:marBottom w:val="0"/>
          <w:divBdr>
            <w:top w:val="none" w:sz="0" w:space="0" w:color="auto"/>
            <w:left w:val="none" w:sz="0" w:space="0" w:color="auto"/>
            <w:bottom w:val="none" w:sz="0" w:space="0" w:color="auto"/>
            <w:right w:val="none" w:sz="0" w:space="0" w:color="auto"/>
          </w:divBdr>
        </w:div>
        <w:div w:id="1954634993">
          <w:marLeft w:val="0"/>
          <w:marRight w:val="0"/>
          <w:marTop w:val="0"/>
          <w:marBottom w:val="0"/>
          <w:divBdr>
            <w:top w:val="none" w:sz="0" w:space="0" w:color="auto"/>
            <w:left w:val="none" w:sz="0" w:space="0" w:color="auto"/>
            <w:bottom w:val="none" w:sz="0" w:space="0" w:color="auto"/>
            <w:right w:val="none" w:sz="0" w:space="0" w:color="auto"/>
          </w:divBdr>
        </w:div>
      </w:divsChild>
    </w:div>
    <w:div w:id="1368333797">
      <w:bodyDiv w:val="1"/>
      <w:marLeft w:val="0"/>
      <w:marRight w:val="0"/>
      <w:marTop w:val="0"/>
      <w:marBottom w:val="0"/>
      <w:divBdr>
        <w:top w:val="none" w:sz="0" w:space="0" w:color="auto"/>
        <w:left w:val="none" w:sz="0" w:space="0" w:color="auto"/>
        <w:bottom w:val="none" w:sz="0" w:space="0" w:color="auto"/>
        <w:right w:val="none" w:sz="0" w:space="0" w:color="auto"/>
      </w:divBdr>
      <w:divsChild>
        <w:div w:id="183906600">
          <w:marLeft w:val="0"/>
          <w:marRight w:val="0"/>
          <w:marTop w:val="0"/>
          <w:marBottom w:val="0"/>
          <w:divBdr>
            <w:top w:val="none" w:sz="0" w:space="0" w:color="auto"/>
            <w:left w:val="none" w:sz="0" w:space="0" w:color="auto"/>
            <w:bottom w:val="none" w:sz="0" w:space="0" w:color="auto"/>
            <w:right w:val="none" w:sz="0" w:space="0" w:color="auto"/>
          </w:divBdr>
        </w:div>
        <w:div w:id="1240823440">
          <w:marLeft w:val="0"/>
          <w:marRight w:val="0"/>
          <w:marTop w:val="0"/>
          <w:marBottom w:val="0"/>
          <w:divBdr>
            <w:top w:val="none" w:sz="0" w:space="0" w:color="auto"/>
            <w:left w:val="none" w:sz="0" w:space="0" w:color="auto"/>
            <w:bottom w:val="none" w:sz="0" w:space="0" w:color="auto"/>
            <w:right w:val="none" w:sz="0" w:space="0" w:color="auto"/>
          </w:divBdr>
          <w:divsChild>
            <w:div w:id="1111512375">
              <w:marLeft w:val="-75"/>
              <w:marRight w:val="0"/>
              <w:marTop w:val="30"/>
              <w:marBottom w:val="30"/>
              <w:divBdr>
                <w:top w:val="none" w:sz="0" w:space="0" w:color="auto"/>
                <w:left w:val="none" w:sz="0" w:space="0" w:color="auto"/>
                <w:bottom w:val="none" w:sz="0" w:space="0" w:color="auto"/>
                <w:right w:val="none" w:sz="0" w:space="0" w:color="auto"/>
              </w:divBdr>
              <w:divsChild>
                <w:div w:id="3671392">
                  <w:marLeft w:val="0"/>
                  <w:marRight w:val="0"/>
                  <w:marTop w:val="0"/>
                  <w:marBottom w:val="0"/>
                  <w:divBdr>
                    <w:top w:val="none" w:sz="0" w:space="0" w:color="auto"/>
                    <w:left w:val="none" w:sz="0" w:space="0" w:color="auto"/>
                    <w:bottom w:val="none" w:sz="0" w:space="0" w:color="auto"/>
                    <w:right w:val="none" w:sz="0" w:space="0" w:color="auto"/>
                  </w:divBdr>
                  <w:divsChild>
                    <w:div w:id="1228418565">
                      <w:marLeft w:val="0"/>
                      <w:marRight w:val="0"/>
                      <w:marTop w:val="0"/>
                      <w:marBottom w:val="0"/>
                      <w:divBdr>
                        <w:top w:val="none" w:sz="0" w:space="0" w:color="auto"/>
                        <w:left w:val="none" w:sz="0" w:space="0" w:color="auto"/>
                        <w:bottom w:val="none" w:sz="0" w:space="0" w:color="auto"/>
                        <w:right w:val="none" w:sz="0" w:space="0" w:color="auto"/>
                      </w:divBdr>
                    </w:div>
                  </w:divsChild>
                </w:div>
                <w:div w:id="7488334">
                  <w:marLeft w:val="0"/>
                  <w:marRight w:val="0"/>
                  <w:marTop w:val="0"/>
                  <w:marBottom w:val="0"/>
                  <w:divBdr>
                    <w:top w:val="none" w:sz="0" w:space="0" w:color="auto"/>
                    <w:left w:val="none" w:sz="0" w:space="0" w:color="auto"/>
                    <w:bottom w:val="none" w:sz="0" w:space="0" w:color="auto"/>
                    <w:right w:val="none" w:sz="0" w:space="0" w:color="auto"/>
                  </w:divBdr>
                  <w:divsChild>
                    <w:div w:id="1619949690">
                      <w:marLeft w:val="0"/>
                      <w:marRight w:val="0"/>
                      <w:marTop w:val="0"/>
                      <w:marBottom w:val="0"/>
                      <w:divBdr>
                        <w:top w:val="none" w:sz="0" w:space="0" w:color="auto"/>
                        <w:left w:val="none" w:sz="0" w:space="0" w:color="auto"/>
                        <w:bottom w:val="none" w:sz="0" w:space="0" w:color="auto"/>
                        <w:right w:val="none" w:sz="0" w:space="0" w:color="auto"/>
                      </w:divBdr>
                    </w:div>
                  </w:divsChild>
                </w:div>
                <w:div w:id="31200735">
                  <w:marLeft w:val="0"/>
                  <w:marRight w:val="0"/>
                  <w:marTop w:val="0"/>
                  <w:marBottom w:val="0"/>
                  <w:divBdr>
                    <w:top w:val="none" w:sz="0" w:space="0" w:color="auto"/>
                    <w:left w:val="none" w:sz="0" w:space="0" w:color="auto"/>
                    <w:bottom w:val="none" w:sz="0" w:space="0" w:color="auto"/>
                    <w:right w:val="none" w:sz="0" w:space="0" w:color="auto"/>
                  </w:divBdr>
                  <w:divsChild>
                    <w:div w:id="205874083">
                      <w:marLeft w:val="0"/>
                      <w:marRight w:val="0"/>
                      <w:marTop w:val="0"/>
                      <w:marBottom w:val="0"/>
                      <w:divBdr>
                        <w:top w:val="none" w:sz="0" w:space="0" w:color="auto"/>
                        <w:left w:val="none" w:sz="0" w:space="0" w:color="auto"/>
                        <w:bottom w:val="none" w:sz="0" w:space="0" w:color="auto"/>
                        <w:right w:val="none" w:sz="0" w:space="0" w:color="auto"/>
                      </w:divBdr>
                    </w:div>
                  </w:divsChild>
                </w:div>
                <w:div w:id="33429957">
                  <w:marLeft w:val="0"/>
                  <w:marRight w:val="0"/>
                  <w:marTop w:val="0"/>
                  <w:marBottom w:val="0"/>
                  <w:divBdr>
                    <w:top w:val="none" w:sz="0" w:space="0" w:color="auto"/>
                    <w:left w:val="none" w:sz="0" w:space="0" w:color="auto"/>
                    <w:bottom w:val="none" w:sz="0" w:space="0" w:color="auto"/>
                    <w:right w:val="none" w:sz="0" w:space="0" w:color="auto"/>
                  </w:divBdr>
                  <w:divsChild>
                    <w:div w:id="1631785728">
                      <w:marLeft w:val="0"/>
                      <w:marRight w:val="0"/>
                      <w:marTop w:val="0"/>
                      <w:marBottom w:val="0"/>
                      <w:divBdr>
                        <w:top w:val="none" w:sz="0" w:space="0" w:color="auto"/>
                        <w:left w:val="none" w:sz="0" w:space="0" w:color="auto"/>
                        <w:bottom w:val="none" w:sz="0" w:space="0" w:color="auto"/>
                        <w:right w:val="none" w:sz="0" w:space="0" w:color="auto"/>
                      </w:divBdr>
                    </w:div>
                  </w:divsChild>
                </w:div>
                <w:div w:id="34475778">
                  <w:marLeft w:val="0"/>
                  <w:marRight w:val="0"/>
                  <w:marTop w:val="0"/>
                  <w:marBottom w:val="0"/>
                  <w:divBdr>
                    <w:top w:val="none" w:sz="0" w:space="0" w:color="auto"/>
                    <w:left w:val="none" w:sz="0" w:space="0" w:color="auto"/>
                    <w:bottom w:val="none" w:sz="0" w:space="0" w:color="auto"/>
                    <w:right w:val="none" w:sz="0" w:space="0" w:color="auto"/>
                  </w:divBdr>
                  <w:divsChild>
                    <w:div w:id="2014408281">
                      <w:marLeft w:val="0"/>
                      <w:marRight w:val="0"/>
                      <w:marTop w:val="0"/>
                      <w:marBottom w:val="0"/>
                      <w:divBdr>
                        <w:top w:val="none" w:sz="0" w:space="0" w:color="auto"/>
                        <w:left w:val="none" w:sz="0" w:space="0" w:color="auto"/>
                        <w:bottom w:val="none" w:sz="0" w:space="0" w:color="auto"/>
                        <w:right w:val="none" w:sz="0" w:space="0" w:color="auto"/>
                      </w:divBdr>
                    </w:div>
                  </w:divsChild>
                </w:div>
                <w:div w:id="45877298">
                  <w:marLeft w:val="0"/>
                  <w:marRight w:val="0"/>
                  <w:marTop w:val="0"/>
                  <w:marBottom w:val="0"/>
                  <w:divBdr>
                    <w:top w:val="none" w:sz="0" w:space="0" w:color="auto"/>
                    <w:left w:val="none" w:sz="0" w:space="0" w:color="auto"/>
                    <w:bottom w:val="none" w:sz="0" w:space="0" w:color="auto"/>
                    <w:right w:val="none" w:sz="0" w:space="0" w:color="auto"/>
                  </w:divBdr>
                  <w:divsChild>
                    <w:div w:id="784084912">
                      <w:marLeft w:val="0"/>
                      <w:marRight w:val="0"/>
                      <w:marTop w:val="0"/>
                      <w:marBottom w:val="0"/>
                      <w:divBdr>
                        <w:top w:val="none" w:sz="0" w:space="0" w:color="auto"/>
                        <w:left w:val="none" w:sz="0" w:space="0" w:color="auto"/>
                        <w:bottom w:val="none" w:sz="0" w:space="0" w:color="auto"/>
                        <w:right w:val="none" w:sz="0" w:space="0" w:color="auto"/>
                      </w:divBdr>
                    </w:div>
                  </w:divsChild>
                </w:div>
                <w:div w:id="46074072">
                  <w:marLeft w:val="0"/>
                  <w:marRight w:val="0"/>
                  <w:marTop w:val="0"/>
                  <w:marBottom w:val="0"/>
                  <w:divBdr>
                    <w:top w:val="none" w:sz="0" w:space="0" w:color="auto"/>
                    <w:left w:val="none" w:sz="0" w:space="0" w:color="auto"/>
                    <w:bottom w:val="none" w:sz="0" w:space="0" w:color="auto"/>
                    <w:right w:val="none" w:sz="0" w:space="0" w:color="auto"/>
                  </w:divBdr>
                  <w:divsChild>
                    <w:div w:id="587154163">
                      <w:marLeft w:val="0"/>
                      <w:marRight w:val="0"/>
                      <w:marTop w:val="0"/>
                      <w:marBottom w:val="0"/>
                      <w:divBdr>
                        <w:top w:val="none" w:sz="0" w:space="0" w:color="auto"/>
                        <w:left w:val="none" w:sz="0" w:space="0" w:color="auto"/>
                        <w:bottom w:val="none" w:sz="0" w:space="0" w:color="auto"/>
                        <w:right w:val="none" w:sz="0" w:space="0" w:color="auto"/>
                      </w:divBdr>
                    </w:div>
                  </w:divsChild>
                </w:div>
                <w:div w:id="46493494">
                  <w:marLeft w:val="0"/>
                  <w:marRight w:val="0"/>
                  <w:marTop w:val="0"/>
                  <w:marBottom w:val="0"/>
                  <w:divBdr>
                    <w:top w:val="none" w:sz="0" w:space="0" w:color="auto"/>
                    <w:left w:val="none" w:sz="0" w:space="0" w:color="auto"/>
                    <w:bottom w:val="none" w:sz="0" w:space="0" w:color="auto"/>
                    <w:right w:val="none" w:sz="0" w:space="0" w:color="auto"/>
                  </w:divBdr>
                  <w:divsChild>
                    <w:div w:id="1827476088">
                      <w:marLeft w:val="0"/>
                      <w:marRight w:val="0"/>
                      <w:marTop w:val="0"/>
                      <w:marBottom w:val="0"/>
                      <w:divBdr>
                        <w:top w:val="none" w:sz="0" w:space="0" w:color="auto"/>
                        <w:left w:val="none" w:sz="0" w:space="0" w:color="auto"/>
                        <w:bottom w:val="none" w:sz="0" w:space="0" w:color="auto"/>
                        <w:right w:val="none" w:sz="0" w:space="0" w:color="auto"/>
                      </w:divBdr>
                    </w:div>
                  </w:divsChild>
                </w:div>
                <w:div w:id="56628893">
                  <w:marLeft w:val="0"/>
                  <w:marRight w:val="0"/>
                  <w:marTop w:val="0"/>
                  <w:marBottom w:val="0"/>
                  <w:divBdr>
                    <w:top w:val="none" w:sz="0" w:space="0" w:color="auto"/>
                    <w:left w:val="none" w:sz="0" w:space="0" w:color="auto"/>
                    <w:bottom w:val="none" w:sz="0" w:space="0" w:color="auto"/>
                    <w:right w:val="none" w:sz="0" w:space="0" w:color="auto"/>
                  </w:divBdr>
                  <w:divsChild>
                    <w:div w:id="691958715">
                      <w:marLeft w:val="0"/>
                      <w:marRight w:val="0"/>
                      <w:marTop w:val="0"/>
                      <w:marBottom w:val="0"/>
                      <w:divBdr>
                        <w:top w:val="none" w:sz="0" w:space="0" w:color="auto"/>
                        <w:left w:val="none" w:sz="0" w:space="0" w:color="auto"/>
                        <w:bottom w:val="none" w:sz="0" w:space="0" w:color="auto"/>
                        <w:right w:val="none" w:sz="0" w:space="0" w:color="auto"/>
                      </w:divBdr>
                    </w:div>
                  </w:divsChild>
                </w:div>
                <w:div w:id="63451919">
                  <w:marLeft w:val="0"/>
                  <w:marRight w:val="0"/>
                  <w:marTop w:val="0"/>
                  <w:marBottom w:val="0"/>
                  <w:divBdr>
                    <w:top w:val="none" w:sz="0" w:space="0" w:color="auto"/>
                    <w:left w:val="none" w:sz="0" w:space="0" w:color="auto"/>
                    <w:bottom w:val="none" w:sz="0" w:space="0" w:color="auto"/>
                    <w:right w:val="none" w:sz="0" w:space="0" w:color="auto"/>
                  </w:divBdr>
                  <w:divsChild>
                    <w:div w:id="277950834">
                      <w:marLeft w:val="0"/>
                      <w:marRight w:val="0"/>
                      <w:marTop w:val="0"/>
                      <w:marBottom w:val="0"/>
                      <w:divBdr>
                        <w:top w:val="none" w:sz="0" w:space="0" w:color="auto"/>
                        <w:left w:val="none" w:sz="0" w:space="0" w:color="auto"/>
                        <w:bottom w:val="none" w:sz="0" w:space="0" w:color="auto"/>
                        <w:right w:val="none" w:sz="0" w:space="0" w:color="auto"/>
                      </w:divBdr>
                    </w:div>
                  </w:divsChild>
                </w:div>
                <w:div w:id="64650076">
                  <w:marLeft w:val="0"/>
                  <w:marRight w:val="0"/>
                  <w:marTop w:val="0"/>
                  <w:marBottom w:val="0"/>
                  <w:divBdr>
                    <w:top w:val="none" w:sz="0" w:space="0" w:color="auto"/>
                    <w:left w:val="none" w:sz="0" w:space="0" w:color="auto"/>
                    <w:bottom w:val="none" w:sz="0" w:space="0" w:color="auto"/>
                    <w:right w:val="none" w:sz="0" w:space="0" w:color="auto"/>
                  </w:divBdr>
                  <w:divsChild>
                    <w:div w:id="2049837093">
                      <w:marLeft w:val="0"/>
                      <w:marRight w:val="0"/>
                      <w:marTop w:val="0"/>
                      <w:marBottom w:val="0"/>
                      <w:divBdr>
                        <w:top w:val="none" w:sz="0" w:space="0" w:color="auto"/>
                        <w:left w:val="none" w:sz="0" w:space="0" w:color="auto"/>
                        <w:bottom w:val="none" w:sz="0" w:space="0" w:color="auto"/>
                        <w:right w:val="none" w:sz="0" w:space="0" w:color="auto"/>
                      </w:divBdr>
                    </w:div>
                  </w:divsChild>
                </w:div>
                <w:div w:id="73481302">
                  <w:marLeft w:val="0"/>
                  <w:marRight w:val="0"/>
                  <w:marTop w:val="0"/>
                  <w:marBottom w:val="0"/>
                  <w:divBdr>
                    <w:top w:val="none" w:sz="0" w:space="0" w:color="auto"/>
                    <w:left w:val="none" w:sz="0" w:space="0" w:color="auto"/>
                    <w:bottom w:val="none" w:sz="0" w:space="0" w:color="auto"/>
                    <w:right w:val="none" w:sz="0" w:space="0" w:color="auto"/>
                  </w:divBdr>
                  <w:divsChild>
                    <w:div w:id="1146971266">
                      <w:marLeft w:val="0"/>
                      <w:marRight w:val="0"/>
                      <w:marTop w:val="0"/>
                      <w:marBottom w:val="0"/>
                      <w:divBdr>
                        <w:top w:val="none" w:sz="0" w:space="0" w:color="auto"/>
                        <w:left w:val="none" w:sz="0" w:space="0" w:color="auto"/>
                        <w:bottom w:val="none" w:sz="0" w:space="0" w:color="auto"/>
                        <w:right w:val="none" w:sz="0" w:space="0" w:color="auto"/>
                      </w:divBdr>
                    </w:div>
                  </w:divsChild>
                </w:div>
                <w:div w:id="83649902">
                  <w:marLeft w:val="0"/>
                  <w:marRight w:val="0"/>
                  <w:marTop w:val="0"/>
                  <w:marBottom w:val="0"/>
                  <w:divBdr>
                    <w:top w:val="none" w:sz="0" w:space="0" w:color="auto"/>
                    <w:left w:val="none" w:sz="0" w:space="0" w:color="auto"/>
                    <w:bottom w:val="none" w:sz="0" w:space="0" w:color="auto"/>
                    <w:right w:val="none" w:sz="0" w:space="0" w:color="auto"/>
                  </w:divBdr>
                  <w:divsChild>
                    <w:div w:id="11422812">
                      <w:marLeft w:val="0"/>
                      <w:marRight w:val="0"/>
                      <w:marTop w:val="0"/>
                      <w:marBottom w:val="0"/>
                      <w:divBdr>
                        <w:top w:val="none" w:sz="0" w:space="0" w:color="auto"/>
                        <w:left w:val="none" w:sz="0" w:space="0" w:color="auto"/>
                        <w:bottom w:val="none" w:sz="0" w:space="0" w:color="auto"/>
                        <w:right w:val="none" w:sz="0" w:space="0" w:color="auto"/>
                      </w:divBdr>
                    </w:div>
                  </w:divsChild>
                </w:div>
                <w:div w:id="93718114">
                  <w:marLeft w:val="0"/>
                  <w:marRight w:val="0"/>
                  <w:marTop w:val="0"/>
                  <w:marBottom w:val="0"/>
                  <w:divBdr>
                    <w:top w:val="none" w:sz="0" w:space="0" w:color="auto"/>
                    <w:left w:val="none" w:sz="0" w:space="0" w:color="auto"/>
                    <w:bottom w:val="none" w:sz="0" w:space="0" w:color="auto"/>
                    <w:right w:val="none" w:sz="0" w:space="0" w:color="auto"/>
                  </w:divBdr>
                  <w:divsChild>
                    <w:div w:id="1013263346">
                      <w:marLeft w:val="0"/>
                      <w:marRight w:val="0"/>
                      <w:marTop w:val="0"/>
                      <w:marBottom w:val="0"/>
                      <w:divBdr>
                        <w:top w:val="none" w:sz="0" w:space="0" w:color="auto"/>
                        <w:left w:val="none" w:sz="0" w:space="0" w:color="auto"/>
                        <w:bottom w:val="none" w:sz="0" w:space="0" w:color="auto"/>
                        <w:right w:val="none" w:sz="0" w:space="0" w:color="auto"/>
                      </w:divBdr>
                    </w:div>
                  </w:divsChild>
                </w:div>
                <w:div w:id="95945374">
                  <w:marLeft w:val="0"/>
                  <w:marRight w:val="0"/>
                  <w:marTop w:val="0"/>
                  <w:marBottom w:val="0"/>
                  <w:divBdr>
                    <w:top w:val="none" w:sz="0" w:space="0" w:color="auto"/>
                    <w:left w:val="none" w:sz="0" w:space="0" w:color="auto"/>
                    <w:bottom w:val="none" w:sz="0" w:space="0" w:color="auto"/>
                    <w:right w:val="none" w:sz="0" w:space="0" w:color="auto"/>
                  </w:divBdr>
                  <w:divsChild>
                    <w:div w:id="1537083676">
                      <w:marLeft w:val="0"/>
                      <w:marRight w:val="0"/>
                      <w:marTop w:val="0"/>
                      <w:marBottom w:val="0"/>
                      <w:divBdr>
                        <w:top w:val="none" w:sz="0" w:space="0" w:color="auto"/>
                        <w:left w:val="none" w:sz="0" w:space="0" w:color="auto"/>
                        <w:bottom w:val="none" w:sz="0" w:space="0" w:color="auto"/>
                        <w:right w:val="none" w:sz="0" w:space="0" w:color="auto"/>
                      </w:divBdr>
                    </w:div>
                    <w:div w:id="1598321728">
                      <w:marLeft w:val="0"/>
                      <w:marRight w:val="0"/>
                      <w:marTop w:val="0"/>
                      <w:marBottom w:val="0"/>
                      <w:divBdr>
                        <w:top w:val="none" w:sz="0" w:space="0" w:color="auto"/>
                        <w:left w:val="none" w:sz="0" w:space="0" w:color="auto"/>
                        <w:bottom w:val="none" w:sz="0" w:space="0" w:color="auto"/>
                        <w:right w:val="none" w:sz="0" w:space="0" w:color="auto"/>
                      </w:divBdr>
                    </w:div>
                  </w:divsChild>
                </w:div>
                <w:div w:id="116334768">
                  <w:marLeft w:val="0"/>
                  <w:marRight w:val="0"/>
                  <w:marTop w:val="0"/>
                  <w:marBottom w:val="0"/>
                  <w:divBdr>
                    <w:top w:val="none" w:sz="0" w:space="0" w:color="auto"/>
                    <w:left w:val="none" w:sz="0" w:space="0" w:color="auto"/>
                    <w:bottom w:val="none" w:sz="0" w:space="0" w:color="auto"/>
                    <w:right w:val="none" w:sz="0" w:space="0" w:color="auto"/>
                  </w:divBdr>
                  <w:divsChild>
                    <w:div w:id="999311455">
                      <w:marLeft w:val="0"/>
                      <w:marRight w:val="0"/>
                      <w:marTop w:val="0"/>
                      <w:marBottom w:val="0"/>
                      <w:divBdr>
                        <w:top w:val="none" w:sz="0" w:space="0" w:color="auto"/>
                        <w:left w:val="none" w:sz="0" w:space="0" w:color="auto"/>
                        <w:bottom w:val="none" w:sz="0" w:space="0" w:color="auto"/>
                        <w:right w:val="none" w:sz="0" w:space="0" w:color="auto"/>
                      </w:divBdr>
                    </w:div>
                  </w:divsChild>
                </w:div>
                <w:div w:id="123354705">
                  <w:marLeft w:val="0"/>
                  <w:marRight w:val="0"/>
                  <w:marTop w:val="0"/>
                  <w:marBottom w:val="0"/>
                  <w:divBdr>
                    <w:top w:val="none" w:sz="0" w:space="0" w:color="auto"/>
                    <w:left w:val="none" w:sz="0" w:space="0" w:color="auto"/>
                    <w:bottom w:val="none" w:sz="0" w:space="0" w:color="auto"/>
                    <w:right w:val="none" w:sz="0" w:space="0" w:color="auto"/>
                  </w:divBdr>
                  <w:divsChild>
                    <w:div w:id="524900869">
                      <w:marLeft w:val="0"/>
                      <w:marRight w:val="0"/>
                      <w:marTop w:val="0"/>
                      <w:marBottom w:val="0"/>
                      <w:divBdr>
                        <w:top w:val="none" w:sz="0" w:space="0" w:color="auto"/>
                        <w:left w:val="none" w:sz="0" w:space="0" w:color="auto"/>
                        <w:bottom w:val="none" w:sz="0" w:space="0" w:color="auto"/>
                        <w:right w:val="none" w:sz="0" w:space="0" w:color="auto"/>
                      </w:divBdr>
                    </w:div>
                  </w:divsChild>
                </w:div>
                <w:div w:id="123735412">
                  <w:marLeft w:val="0"/>
                  <w:marRight w:val="0"/>
                  <w:marTop w:val="0"/>
                  <w:marBottom w:val="0"/>
                  <w:divBdr>
                    <w:top w:val="none" w:sz="0" w:space="0" w:color="auto"/>
                    <w:left w:val="none" w:sz="0" w:space="0" w:color="auto"/>
                    <w:bottom w:val="none" w:sz="0" w:space="0" w:color="auto"/>
                    <w:right w:val="none" w:sz="0" w:space="0" w:color="auto"/>
                  </w:divBdr>
                  <w:divsChild>
                    <w:div w:id="1037777244">
                      <w:marLeft w:val="0"/>
                      <w:marRight w:val="0"/>
                      <w:marTop w:val="0"/>
                      <w:marBottom w:val="0"/>
                      <w:divBdr>
                        <w:top w:val="none" w:sz="0" w:space="0" w:color="auto"/>
                        <w:left w:val="none" w:sz="0" w:space="0" w:color="auto"/>
                        <w:bottom w:val="none" w:sz="0" w:space="0" w:color="auto"/>
                        <w:right w:val="none" w:sz="0" w:space="0" w:color="auto"/>
                      </w:divBdr>
                    </w:div>
                  </w:divsChild>
                </w:div>
                <w:div w:id="130483078">
                  <w:marLeft w:val="0"/>
                  <w:marRight w:val="0"/>
                  <w:marTop w:val="0"/>
                  <w:marBottom w:val="0"/>
                  <w:divBdr>
                    <w:top w:val="none" w:sz="0" w:space="0" w:color="auto"/>
                    <w:left w:val="none" w:sz="0" w:space="0" w:color="auto"/>
                    <w:bottom w:val="none" w:sz="0" w:space="0" w:color="auto"/>
                    <w:right w:val="none" w:sz="0" w:space="0" w:color="auto"/>
                  </w:divBdr>
                  <w:divsChild>
                    <w:div w:id="1660691712">
                      <w:marLeft w:val="0"/>
                      <w:marRight w:val="0"/>
                      <w:marTop w:val="0"/>
                      <w:marBottom w:val="0"/>
                      <w:divBdr>
                        <w:top w:val="none" w:sz="0" w:space="0" w:color="auto"/>
                        <w:left w:val="none" w:sz="0" w:space="0" w:color="auto"/>
                        <w:bottom w:val="none" w:sz="0" w:space="0" w:color="auto"/>
                        <w:right w:val="none" w:sz="0" w:space="0" w:color="auto"/>
                      </w:divBdr>
                    </w:div>
                  </w:divsChild>
                </w:div>
                <w:div w:id="157157563">
                  <w:marLeft w:val="0"/>
                  <w:marRight w:val="0"/>
                  <w:marTop w:val="0"/>
                  <w:marBottom w:val="0"/>
                  <w:divBdr>
                    <w:top w:val="none" w:sz="0" w:space="0" w:color="auto"/>
                    <w:left w:val="none" w:sz="0" w:space="0" w:color="auto"/>
                    <w:bottom w:val="none" w:sz="0" w:space="0" w:color="auto"/>
                    <w:right w:val="none" w:sz="0" w:space="0" w:color="auto"/>
                  </w:divBdr>
                  <w:divsChild>
                    <w:div w:id="1697004441">
                      <w:marLeft w:val="0"/>
                      <w:marRight w:val="0"/>
                      <w:marTop w:val="0"/>
                      <w:marBottom w:val="0"/>
                      <w:divBdr>
                        <w:top w:val="none" w:sz="0" w:space="0" w:color="auto"/>
                        <w:left w:val="none" w:sz="0" w:space="0" w:color="auto"/>
                        <w:bottom w:val="none" w:sz="0" w:space="0" w:color="auto"/>
                        <w:right w:val="none" w:sz="0" w:space="0" w:color="auto"/>
                      </w:divBdr>
                    </w:div>
                  </w:divsChild>
                </w:div>
                <w:div w:id="163129453">
                  <w:marLeft w:val="0"/>
                  <w:marRight w:val="0"/>
                  <w:marTop w:val="0"/>
                  <w:marBottom w:val="0"/>
                  <w:divBdr>
                    <w:top w:val="none" w:sz="0" w:space="0" w:color="auto"/>
                    <w:left w:val="none" w:sz="0" w:space="0" w:color="auto"/>
                    <w:bottom w:val="none" w:sz="0" w:space="0" w:color="auto"/>
                    <w:right w:val="none" w:sz="0" w:space="0" w:color="auto"/>
                  </w:divBdr>
                  <w:divsChild>
                    <w:div w:id="1279218007">
                      <w:marLeft w:val="0"/>
                      <w:marRight w:val="0"/>
                      <w:marTop w:val="0"/>
                      <w:marBottom w:val="0"/>
                      <w:divBdr>
                        <w:top w:val="none" w:sz="0" w:space="0" w:color="auto"/>
                        <w:left w:val="none" w:sz="0" w:space="0" w:color="auto"/>
                        <w:bottom w:val="none" w:sz="0" w:space="0" w:color="auto"/>
                        <w:right w:val="none" w:sz="0" w:space="0" w:color="auto"/>
                      </w:divBdr>
                    </w:div>
                  </w:divsChild>
                </w:div>
                <w:div w:id="178203638">
                  <w:marLeft w:val="0"/>
                  <w:marRight w:val="0"/>
                  <w:marTop w:val="0"/>
                  <w:marBottom w:val="0"/>
                  <w:divBdr>
                    <w:top w:val="none" w:sz="0" w:space="0" w:color="auto"/>
                    <w:left w:val="none" w:sz="0" w:space="0" w:color="auto"/>
                    <w:bottom w:val="none" w:sz="0" w:space="0" w:color="auto"/>
                    <w:right w:val="none" w:sz="0" w:space="0" w:color="auto"/>
                  </w:divBdr>
                  <w:divsChild>
                    <w:div w:id="747002169">
                      <w:marLeft w:val="0"/>
                      <w:marRight w:val="0"/>
                      <w:marTop w:val="0"/>
                      <w:marBottom w:val="0"/>
                      <w:divBdr>
                        <w:top w:val="none" w:sz="0" w:space="0" w:color="auto"/>
                        <w:left w:val="none" w:sz="0" w:space="0" w:color="auto"/>
                        <w:bottom w:val="none" w:sz="0" w:space="0" w:color="auto"/>
                        <w:right w:val="none" w:sz="0" w:space="0" w:color="auto"/>
                      </w:divBdr>
                    </w:div>
                  </w:divsChild>
                </w:div>
                <w:div w:id="181089376">
                  <w:marLeft w:val="0"/>
                  <w:marRight w:val="0"/>
                  <w:marTop w:val="0"/>
                  <w:marBottom w:val="0"/>
                  <w:divBdr>
                    <w:top w:val="none" w:sz="0" w:space="0" w:color="auto"/>
                    <w:left w:val="none" w:sz="0" w:space="0" w:color="auto"/>
                    <w:bottom w:val="none" w:sz="0" w:space="0" w:color="auto"/>
                    <w:right w:val="none" w:sz="0" w:space="0" w:color="auto"/>
                  </w:divBdr>
                  <w:divsChild>
                    <w:div w:id="758675868">
                      <w:marLeft w:val="0"/>
                      <w:marRight w:val="0"/>
                      <w:marTop w:val="0"/>
                      <w:marBottom w:val="0"/>
                      <w:divBdr>
                        <w:top w:val="none" w:sz="0" w:space="0" w:color="auto"/>
                        <w:left w:val="none" w:sz="0" w:space="0" w:color="auto"/>
                        <w:bottom w:val="none" w:sz="0" w:space="0" w:color="auto"/>
                        <w:right w:val="none" w:sz="0" w:space="0" w:color="auto"/>
                      </w:divBdr>
                    </w:div>
                  </w:divsChild>
                </w:div>
                <w:div w:id="183710431">
                  <w:marLeft w:val="0"/>
                  <w:marRight w:val="0"/>
                  <w:marTop w:val="0"/>
                  <w:marBottom w:val="0"/>
                  <w:divBdr>
                    <w:top w:val="none" w:sz="0" w:space="0" w:color="auto"/>
                    <w:left w:val="none" w:sz="0" w:space="0" w:color="auto"/>
                    <w:bottom w:val="none" w:sz="0" w:space="0" w:color="auto"/>
                    <w:right w:val="none" w:sz="0" w:space="0" w:color="auto"/>
                  </w:divBdr>
                  <w:divsChild>
                    <w:div w:id="1550190239">
                      <w:marLeft w:val="0"/>
                      <w:marRight w:val="0"/>
                      <w:marTop w:val="0"/>
                      <w:marBottom w:val="0"/>
                      <w:divBdr>
                        <w:top w:val="none" w:sz="0" w:space="0" w:color="auto"/>
                        <w:left w:val="none" w:sz="0" w:space="0" w:color="auto"/>
                        <w:bottom w:val="none" w:sz="0" w:space="0" w:color="auto"/>
                        <w:right w:val="none" w:sz="0" w:space="0" w:color="auto"/>
                      </w:divBdr>
                    </w:div>
                  </w:divsChild>
                </w:div>
                <w:div w:id="190338698">
                  <w:marLeft w:val="0"/>
                  <w:marRight w:val="0"/>
                  <w:marTop w:val="0"/>
                  <w:marBottom w:val="0"/>
                  <w:divBdr>
                    <w:top w:val="none" w:sz="0" w:space="0" w:color="auto"/>
                    <w:left w:val="none" w:sz="0" w:space="0" w:color="auto"/>
                    <w:bottom w:val="none" w:sz="0" w:space="0" w:color="auto"/>
                    <w:right w:val="none" w:sz="0" w:space="0" w:color="auto"/>
                  </w:divBdr>
                  <w:divsChild>
                    <w:div w:id="120197665">
                      <w:marLeft w:val="0"/>
                      <w:marRight w:val="0"/>
                      <w:marTop w:val="0"/>
                      <w:marBottom w:val="0"/>
                      <w:divBdr>
                        <w:top w:val="none" w:sz="0" w:space="0" w:color="auto"/>
                        <w:left w:val="none" w:sz="0" w:space="0" w:color="auto"/>
                        <w:bottom w:val="none" w:sz="0" w:space="0" w:color="auto"/>
                        <w:right w:val="none" w:sz="0" w:space="0" w:color="auto"/>
                      </w:divBdr>
                    </w:div>
                  </w:divsChild>
                </w:div>
                <w:div w:id="216745766">
                  <w:marLeft w:val="0"/>
                  <w:marRight w:val="0"/>
                  <w:marTop w:val="0"/>
                  <w:marBottom w:val="0"/>
                  <w:divBdr>
                    <w:top w:val="none" w:sz="0" w:space="0" w:color="auto"/>
                    <w:left w:val="none" w:sz="0" w:space="0" w:color="auto"/>
                    <w:bottom w:val="none" w:sz="0" w:space="0" w:color="auto"/>
                    <w:right w:val="none" w:sz="0" w:space="0" w:color="auto"/>
                  </w:divBdr>
                  <w:divsChild>
                    <w:div w:id="1695494828">
                      <w:marLeft w:val="0"/>
                      <w:marRight w:val="0"/>
                      <w:marTop w:val="0"/>
                      <w:marBottom w:val="0"/>
                      <w:divBdr>
                        <w:top w:val="none" w:sz="0" w:space="0" w:color="auto"/>
                        <w:left w:val="none" w:sz="0" w:space="0" w:color="auto"/>
                        <w:bottom w:val="none" w:sz="0" w:space="0" w:color="auto"/>
                        <w:right w:val="none" w:sz="0" w:space="0" w:color="auto"/>
                      </w:divBdr>
                    </w:div>
                  </w:divsChild>
                </w:div>
                <w:div w:id="218978054">
                  <w:marLeft w:val="0"/>
                  <w:marRight w:val="0"/>
                  <w:marTop w:val="0"/>
                  <w:marBottom w:val="0"/>
                  <w:divBdr>
                    <w:top w:val="none" w:sz="0" w:space="0" w:color="auto"/>
                    <w:left w:val="none" w:sz="0" w:space="0" w:color="auto"/>
                    <w:bottom w:val="none" w:sz="0" w:space="0" w:color="auto"/>
                    <w:right w:val="none" w:sz="0" w:space="0" w:color="auto"/>
                  </w:divBdr>
                  <w:divsChild>
                    <w:div w:id="1452748570">
                      <w:marLeft w:val="0"/>
                      <w:marRight w:val="0"/>
                      <w:marTop w:val="0"/>
                      <w:marBottom w:val="0"/>
                      <w:divBdr>
                        <w:top w:val="none" w:sz="0" w:space="0" w:color="auto"/>
                        <w:left w:val="none" w:sz="0" w:space="0" w:color="auto"/>
                        <w:bottom w:val="none" w:sz="0" w:space="0" w:color="auto"/>
                        <w:right w:val="none" w:sz="0" w:space="0" w:color="auto"/>
                      </w:divBdr>
                    </w:div>
                  </w:divsChild>
                </w:div>
                <w:div w:id="230509134">
                  <w:marLeft w:val="0"/>
                  <w:marRight w:val="0"/>
                  <w:marTop w:val="0"/>
                  <w:marBottom w:val="0"/>
                  <w:divBdr>
                    <w:top w:val="none" w:sz="0" w:space="0" w:color="auto"/>
                    <w:left w:val="none" w:sz="0" w:space="0" w:color="auto"/>
                    <w:bottom w:val="none" w:sz="0" w:space="0" w:color="auto"/>
                    <w:right w:val="none" w:sz="0" w:space="0" w:color="auto"/>
                  </w:divBdr>
                  <w:divsChild>
                    <w:div w:id="70811457">
                      <w:marLeft w:val="0"/>
                      <w:marRight w:val="0"/>
                      <w:marTop w:val="0"/>
                      <w:marBottom w:val="0"/>
                      <w:divBdr>
                        <w:top w:val="none" w:sz="0" w:space="0" w:color="auto"/>
                        <w:left w:val="none" w:sz="0" w:space="0" w:color="auto"/>
                        <w:bottom w:val="none" w:sz="0" w:space="0" w:color="auto"/>
                        <w:right w:val="none" w:sz="0" w:space="0" w:color="auto"/>
                      </w:divBdr>
                    </w:div>
                  </w:divsChild>
                </w:div>
                <w:div w:id="236290014">
                  <w:marLeft w:val="0"/>
                  <w:marRight w:val="0"/>
                  <w:marTop w:val="0"/>
                  <w:marBottom w:val="0"/>
                  <w:divBdr>
                    <w:top w:val="none" w:sz="0" w:space="0" w:color="auto"/>
                    <w:left w:val="none" w:sz="0" w:space="0" w:color="auto"/>
                    <w:bottom w:val="none" w:sz="0" w:space="0" w:color="auto"/>
                    <w:right w:val="none" w:sz="0" w:space="0" w:color="auto"/>
                  </w:divBdr>
                  <w:divsChild>
                    <w:div w:id="113444818">
                      <w:marLeft w:val="0"/>
                      <w:marRight w:val="0"/>
                      <w:marTop w:val="0"/>
                      <w:marBottom w:val="0"/>
                      <w:divBdr>
                        <w:top w:val="none" w:sz="0" w:space="0" w:color="auto"/>
                        <w:left w:val="none" w:sz="0" w:space="0" w:color="auto"/>
                        <w:bottom w:val="none" w:sz="0" w:space="0" w:color="auto"/>
                        <w:right w:val="none" w:sz="0" w:space="0" w:color="auto"/>
                      </w:divBdr>
                    </w:div>
                    <w:div w:id="339551238">
                      <w:marLeft w:val="0"/>
                      <w:marRight w:val="0"/>
                      <w:marTop w:val="0"/>
                      <w:marBottom w:val="0"/>
                      <w:divBdr>
                        <w:top w:val="none" w:sz="0" w:space="0" w:color="auto"/>
                        <w:left w:val="none" w:sz="0" w:space="0" w:color="auto"/>
                        <w:bottom w:val="none" w:sz="0" w:space="0" w:color="auto"/>
                        <w:right w:val="none" w:sz="0" w:space="0" w:color="auto"/>
                      </w:divBdr>
                    </w:div>
                    <w:div w:id="657922393">
                      <w:marLeft w:val="0"/>
                      <w:marRight w:val="0"/>
                      <w:marTop w:val="0"/>
                      <w:marBottom w:val="0"/>
                      <w:divBdr>
                        <w:top w:val="none" w:sz="0" w:space="0" w:color="auto"/>
                        <w:left w:val="none" w:sz="0" w:space="0" w:color="auto"/>
                        <w:bottom w:val="none" w:sz="0" w:space="0" w:color="auto"/>
                        <w:right w:val="none" w:sz="0" w:space="0" w:color="auto"/>
                      </w:divBdr>
                    </w:div>
                    <w:div w:id="767506280">
                      <w:marLeft w:val="0"/>
                      <w:marRight w:val="0"/>
                      <w:marTop w:val="0"/>
                      <w:marBottom w:val="0"/>
                      <w:divBdr>
                        <w:top w:val="none" w:sz="0" w:space="0" w:color="auto"/>
                        <w:left w:val="none" w:sz="0" w:space="0" w:color="auto"/>
                        <w:bottom w:val="none" w:sz="0" w:space="0" w:color="auto"/>
                        <w:right w:val="none" w:sz="0" w:space="0" w:color="auto"/>
                      </w:divBdr>
                    </w:div>
                    <w:div w:id="807892665">
                      <w:marLeft w:val="0"/>
                      <w:marRight w:val="0"/>
                      <w:marTop w:val="0"/>
                      <w:marBottom w:val="0"/>
                      <w:divBdr>
                        <w:top w:val="none" w:sz="0" w:space="0" w:color="auto"/>
                        <w:left w:val="none" w:sz="0" w:space="0" w:color="auto"/>
                        <w:bottom w:val="none" w:sz="0" w:space="0" w:color="auto"/>
                        <w:right w:val="none" w:sz="0" w:space="0" w:color="auto"/>
                      </w:divBdr>
                    </w:div>
                    <w:div w:id="876550282">
                      <w:marLeft w:val="0"/>
                      <w:marRight w:val="0"/>
                      <w:marTop w:val="0"/>
                      <w:marBottom w:val="0"/>
                      <w:divBdr>
                        <w:top w:val="none" w:sz="0" w:space="0" w:color="auto"/>
                        <w:left w:val="none" w:sz="0" w:space="0" w:color="auto"/>
                        <w:bottom w:val="none" w:sz="0" w:space="0" w:color="auto"/>
                        <w:right w:val="none" w:sz="0" w:space="0" w:color="auto"/>
                      </w:divBdr>
                    </w:div>
                    <w:div w:id="1073505837">
                      <w:marLeft w:val="0"/>
                      <w:marRight w:val="0"/>
                      <w:marTop w:val="0"/>
                      <w:marBottom w:val="0"/>
                      <w:divBdr>
                        <w:top w:val="none" w:sz="0" w:space="0" w:color="auto"/>
                        <w:left w:val="none" w:sz="0" w:space="0" w:color="auto"/>
                        <w:bottom w:val="none" w:sz="0" w:space="0" w:color="auto"/>
                        <w:right w:val="none" w:sz="0" w:space="0" w:color="auto"/>
                      </w:divBdr>
                    </w:div>
                    <w:div w:id="1260988805">
                      <w:marLeft w:val="0"/>
                      <w:marRight w:val="0"/>
                      <w:marTop w:val="0"/>
                      <w:marBottom w:val="0"/>
                      <w:divBdr>
                        <w:top w:val="none" w:sz="0" w:space="0" w:color="auto"/>
                        <w:left w:val="none" w:sz="0" w:space="0" w:color="auto"/>
                        <w:bottom w:val="none" w:sz="0" w:space="0" w:color="auto"/>
                        <w:right w:val="none" w:sz="0" w:space="0" w:color="auto"/>
                      </w:divBdr>
                    </w:div>
                    <w:div w:id="1421490228">
                      <w:marLeft w:val="0"/>
                      <w:marRight w:val="0"/>
                      <w:marTop w:val="0"/>
                      <w:marBottom w:val="0"/>
                      <w:divBdr>
                        <w:top w:val="none" w:sz="0" w:space="0" w:color="auto"/>
                        <w:left w:val="none" w:sz="0" w:space="0" w:color="auto"/>
                        <w:bottom w:val="none" w:sz="0" w:space="0" w:color="auto"/>
                        <w:right w:val="none" w:sz="0" w:space="0" w:color="auto"/>
                      </w:divBdr>
                    </w:div>
                    <w:div w:id="1536431498">
                      <w:marLeft w:val="0"/>
                      <w:marRight w:val="0"/>
                      <w:marTop w:val="0"/>
                      <w:marBottom w:val="0"/>
                      <w:divBdr>
                        <w:top w:val="none" w:sz="0" w:space="0" w:color="auto"/>
                        <w:left w:val="none" w:sz="0" w:space="0" w:color="auto"/>
                        <w:bottom w:val="none" w:sz="0" w:space="0" w:color="auto"/>
                        <w:right w:val="none" w:sz="0" w:space="0" w:color="auto"/>
                      </w:divBdr>
                    </w:div>
                    <w:div w:id="1939677679">
                      <w:marLeft w:val="0"/>
                      <w:marRight w:val="0"/>
                      <w:marTop w:val="0"/>
                      <w:marBottom w:val="0"/>
                      <w:divBdr>
                        <w:top w:val="none" w:sz="0" w:space="0" w:color="auto"/>
                        <w:left w:val="none" w:sz="0" w:space="0" w:color="auto"/>
                        <w:bottom w:val="none" w:sz="0" w:space="0" w:color="auto"/>
                        <w:right w:val="none" w:sz="0" w:space="0" w:color="auto"/>
                      </w:divBdr>
                    </w:div>
                  </w:divsChild>
                </w:div>
                <w:div w:id="239406843">
                  <w:marLeft w:val="0"/>
                  <w:marRight w:val="0"/>
                  <w:marTop w:val="0"/>
                  <w:marBottom w:val="0"/>
                  <w:divBdr>
                    <w:top w:val="none" w:sz="0" w:space="0" w:color="auto"/>
                    <w:left w:val="none" w:sz="0" w:space="0" w:color="auto"/>
                    <w:bottom w:val="none" w:sz="0" w:space="0" w:color="auto"/>
                    <w:right w:val="none" w:sz="0" w:space="0" w:color="auto"/>
                  </w:divBdr>
                  <w:divsChild>
                    <w:div w:id="1219046934">
                      <w:marLeft w:val="0"/>
                      <w:marRight w:val="0"/>
                      <w:marTop w:val="0"/>
                      <w:marBottom w:val="0"/>
                      <w:divBdr>
                        <w:top w:val="none" w:sz="0" w:space="0" w:color="auto"/>
                        <w:left w:val="none" w:sz="0" w:space="0" w:color="auto"/>
                        <w:bottom w:val="none" w:sz="0" w:space="0" w:color="auto"/>
                        <w:right w:val="none" w:sz="0" w:space="0" w:color="auto"/>
                      </w:divBdr>
                    </w:div>
                  </w:divsChild>
                </w:div>
                <w:div w:id="244069972">
                  <w:marLeft w:val="0"/>
                  <w:marRight w:val="0"/>
                  <w:marTop w:val="0"/>
                  <w:marBottom w:val="0"/>
                  <w:divBdr>
                    <w:top w:val="none" w:sz="0" w:space="0" w:color="auto"/>
                    <w:left w:val="none" w:sz="0" w:space="0" w:color="auto"/>
                    <w:bottom w:val="none" w:sz="0" w:space="0" w:color="auto"/>
                    <w:right w:val="none" w:sz="0" w:space="0" w:color="auto"/>
                  </w:divBdr>
                  <w:divsChild>
                    <w:div w:id="1889144269">
                      <w:marLeft w:val="0"/>
                      <w:marRight w:val="0"/>
                      <w:marTop w:val="0"/>
                      <w:marBottom w:val="0"/>
                      <w:divBdr>
                        <w:top w:val="none" w:sz="0" w:space="0" w:color="auto"/>
                        <w:left w:val="none" w:sz="0" w:space="0" w:color="auto"/>
                        <w:bottom w:val="none" w:sz="0" w:space="0" w:color="auto"/>
                        <w:right w:val="none" w:sz="0" w:space="0" w:color="auto"/>
                      </w:divBdr>
                    </w:div>
                  </w:divsChild>
                </w:div>
                <w:div w:id="244262582">
                  <w:marLeft w:val="0"/>
                  <w:marRight w:val="0"/>
                  <w:marTop w:val="0"/>
                  <w:marBottom w:val="0"/>
                  <w:divBdr>
                    <w:top w:val="none" w:sz="0" w:space="0" w:color="auto"/>
                    <w:left w:val="none" w:sz="0" w:space="0" w:color="auto"/>
                    <w:bottom w:val="none" w:sz="0" w:space="0" w:color="auto"/>
                    <w:right w:val="none" w:sz="0" w:space="0" w:color="auto"/>
                  </w:divBdr>
                  <w:divsChild>
                    <w:div w:id="304554498">
                      <w:marLeft w:val="0"/>
                      <w:marRight w:val="0"/>
                      <w:marTop w:val="0"/>
                      <w:marBottom w:val="0"/>
                      <w:divBdr>
                        <w:top w:val="none" w:sz="0" w:space="0" w:color="auto"/>
                        <w:left w:val="none" w:sz="0" w:space="0" w:color="auto"/>
                        <w:bottom w:val="none" w:sz="0" w:space="0" w:color="auto"/>
                        <w:right w:val="none" w:sz="0" w:space="0" w:color="auto"/>
                      </w:divBdr>
                    </w:div>
                    <w:div w:id="1232081591">
                      <w:marLeft w:val="0"/>
                      <w:marRight w:val="0"/>
                      <w:marTop w:val="0"/>
                      <w:marBottom w:val="0"/>
                      <w:divBdr>
                        <w:top w:val="none" w:sz="0" w:space="0" w:color="auto"/>
                        <w:left w:val="none" w:sz="0" w:space="0" w:color="auto"/>
                        <w:bottom w:val="none" w:sz="0" w:space="0" w:color="auto"/>
                        <w:right w:val="none" w:sz="0" w:space="0" w:color="auto"/>
                      </w:divBdr>
                    </w:div>
                  </w:divsChild>
                </w:div>
                <w:div w:id="247354501">
                  <w:marLeft w:val="0"/>
                  <w:marRight w:val="0"/>
                  <w:marTop w:val="0"/>
                  <w:marBottom w:val="0"/>
                  <w:divBdr>
                    <w:top w:val="none" w:sz="0" w:space="0" w:color="auto"/>
                    <w:left w:val="none" w:sz="0" w:space="0" w:color="auto"/>
                    <w:bottom w:val="none" w:sz="0" w:space="0" w:color="auto"/>
                    <w:right w:val="none" w:sz="0" w:space="0" w:color="auto"/>
                  </w:divBdr>
                  <w:divsChild>
                    <w:div w:id="1548952716">
                      <w:marLeft w:val="0"/>
                      <w:marRight w:val="0"/>
                      <w:marTop w:val="0"/>
                      <w:marBottom w:val="0"/>
                      <w:divBdr>
                        <w:top w:val="none" w:sz="0" w:space="0" w:color="auto"/>
                        <w:left w:val="none" w:sz="0" w:space="0" w:color="auto"/>
                        <w:bottom w:val="none" w:sz="0" w:space="0" w:color="auto"/>
                        <w:right w:val="none" w:sz="0" w:space="0" w:color="auto"/>
                      </w:divBdr>
                    </w:div>
                  </w:divsChild>
                </w:div>
                <w:div w:id="257375324">
                  <w:marLeft w:val="0"/>
                  <w:marRight w:val="0"/>
                  <w:marTop w:val="0"/>
                  <w:marBottom w:val="0"/>
                  <w:divBdr>
                    <w:top w:val="none" w:sz="0" w:space="0" w:color="auto"/>
                    <w:left w:val="none" w:sz="0" w:space="0" w:color="auto"/>
                    <w:bottom w:val="none" w:sz="0" w:space="0" w:color="auto"/>
                    <w:right w:val="none" w:sz="0" w:space="0" w:color="auto"/>
                  </w:divBdr>
                  <w:divsChild>
                    <w:div w:id="344065183">
                      <w:marLeft w:val="0"/>
                      <w:marRight w:val="0"/>
                      <w:marTop w:val="0"/>
                      <w:marBottom w:val="0"/>
                      <w:divBdr>
                        <w:top w:val="none" w:sz="0" w:space="0" w:color="auto"/>
                        <w:left w:val="none" w:sz="0" w:space="0" w:color="auto"/>
                        <w:bottom w:val="none" w:sz="0" w:space="0" w:color="auto"/>
                        <w:right w:val="none" w:sz="0" w:space="0" w:color="auto"/>
                      </w:divBdr>
                    </w:div>
                    <w:div w:id="423578293">
                      <w:marLeft w:val="0"/>
                      <w:marRight w:val="0"/>
                      <w:marTop w:val="0"/>
                      <w:marBottom w:val="0"/>
                      <w:divBdr>
                        <w:top w:val="none" w:sz="0" w:space="0" w:color="auto"/>
                        <w:left w:val="none" w:sz="0" w:space="0" w:color="auto"/>
                        <w:bottom w:val="none" w:sz="0" w:space="0" w:color="auto"/>
                        <w:right w:val="none" w:sz="0" w:space="0" w:color="auto"/>
                      </w:divBdr>
                    </w:div>
                    <w:div w:id="493837614">
                      <w:marLeft w:val="0"/>
                      <w:marRight w:val="0"/>
                      <w:marTop w:val="0"/>
                      <w:marBottom w:val="0"/>
                      <w:divBdr>
                        <w:top w:val="none" w:sz="0" w:space="0" w:color="auto"/>
                        <w:left w:val="none" w:sz="0" w:space="0" w:color="auto"/>
                        <w:bottom w:val="none" w:sz="0" w:space="0" w:color="auto"/>
                        <w:right w:val="none" w:sz="0" w:space="0" w:color="auto"/>
                      </w:divBdr>
                    </w:div>
                    <w:div w:id="558126539">
                      <w:marLeft w:val="0"/>
                      <w:marRight w:val="0"/>
                      <w:marTop w:val="0"/>
                      <w:marBottom w:val="0"/>
                      <w:divBdr>
                        <w:top w:val="none" w:sz="0" w:space="0" w:color="auto"/>
                        <w:left w:val="none" w:sz="0" w:space="0" w:color="auto"/>
                        <w:bottom w:val="none" w:sz="0" w:space="0" w:color="auto"/>
                        <w:right w:val="none" w:sz="0" w:space="0" w:color="auto"/>
                      </w:divBdr>
                    </w:div>
                    <w:div w:id="756753677">
                      <w:marLeft w:val="0"/>
                      <w:marRight w:val="0"/>
                      <w:marTop w:val="0"/>
                      <w:marBottom w:val="0"/>
                      <w:divBdr>
                        <w:top w:val="none" w:sz="0" w:space="0" w:color="auto"/>
                        <w:left w:val="none" w:sz="0" w:space="0" w:color="auto"/>
                        <w:bottom w:val="none" w:sz="0" w:space="0" w:color="auto"/>
                        <w:right w:val="none" w:sz="0" w:space="0" w:color="auto"/>
                      </w:divBdr>
                    </w:div>
                    <w:div w:id="958150243">
                      <w:marLeft w:val="0"/>
                      <w:marRight w:val="0"/>
                      <w:marTop w:val="0"/>
                      <w:marBottom w:val="0"/>
                      <w:divBdr>
                        <w:top w:val="none" w:sz="0" w:space="0" w:color="auto"/>
                        <w:left w:val="none" w:sz="0" w:space="0" w:color="auto"/>
                        <w:bottom w:val="none" w:sz="0" w:space="0" w:color="auto"/>
                        <w:right w:val="none" w:sz="0" w:space="0" w:color="auto"/>
                      </w:divBdr>
                    </w:div>
                    <w:div w:id="1307709929">
                      <w:marLeft w:val="0"/>
                      <w:marRight w:val="0"/>
                      <w:marTop w:val="0"/>
                      <w:marBottom w:val="0"/>
                      <w:divBdr>
                        <w:top w:val="none" w:sz="0" w:space="0" w:color="auto"/>
                        <w:left w:val="none" w:sz="0" w:space="0" w:color="auto"/>
                        <w:bottom w:val="none" w:sz="0" w:space="0" w:color="auto"/>
                        <w:right w:val="none" w:sz="0" w:space="0" w:color="auto"/>
                      </w:divBdr>
                    </w:div>
                    <w:div w:id="1315990916">
                      <w:marLeft w:val="0"/>
                      <w:marRight w:val="0"/>
                      <w:marTop w:val="0"/>
                      <w:marBottom w:val="0"/>
                      <w:divBdr>
                        <w:top w:val="none" w:sz="0" w:space="0" w:color="auto"/>
                        <w:left w:val="none" w:sz="0" w:space="0" w:color="auto"/>
                        <w:bottom w:val="none" w:sz="0" w:space="0" w:color="auto"/>
                        <w:right w:val="none" w:sz="0" w:space="0" w:color="auto"/>
                      </w:divBdr>
                    </w:div>
                    <w:div w:id="1483236409">
                      <w:marLeft w:val="0"/>
                      <w:marRight w:val="0"/>
                      <w:marTop w:val="0"/>
                      <w:marBottom w:val="0"/>
                      <w:divBdr>
                        <w:top w:val="none" w:sz="0" w:space="0" w:color="auto"/>
                        <w:left w:val="none" w:sz="0" w:space="0" w:color="auto"/>
                        <w:bottom w:val="none" w:sz="0" w:space="0" w:color="auto"/>
                        <w:right w:val="none" w:sz="0" w:space="0" w:color="auto"/>
                      </w:divBdr>
                    </w:div>
                    <w:div w:id="2020764987">
                      <w:marLeft w:val="0"/>
                      <w:marRight w:val="0"/>
                      <w:marTop w:val="0"/>
                      <w:marBottom w:val="0"/>
                      <w:divBdr>
                        <w:top w:val="none" w:sz="0" w:space="0" w:color="auto"/>
                        <w:left w:val="none" w:sz="0" w:space="0" w:color="auto"/>
                        <w:bottom w:val="none" w:sz="0" w:space="0" w:color="auto"/>
                        <w:right w:val="none" w:sz="0" w:space="0" w:color="auto"/>
                      </w:divBdr>
                    </w:div>
                  </w:divsChild>
                </w:div>
                <w:div w:id="264964307">
                  <w:marLeft w:val="0"/>
                  <w:marRight w:val="0"/>
                  <w:marTop w:val="0"/>
                  <w:marBottom w:val="0"/>
                  <w:divBdr>
                    <w:top w:val="none" w:sz="0" w:space="0" w:color="auto"/>
                    <w:left w:val="none" w:sz="0" w:space="0" w:color="auto"/>
                    <w:bottom w:val="none" w:sz="0" w:space="0" w:color="auto"/>
                    <w:right w:val="none" w:sz="0" w:space="0" w:color="auto"/>
                  </w:divBdr>
                  <w:divsChild>
                    <w:div w:id="1533836607">
                      <w:marLeft w:val="0"/>
                      <w:marRight w:val="0"/>
                      <w:marTop w:val="0"/>
                      <w:marBottom w:val="0"/>
                      <w:divBdr>
                        <w:top w:val="none" w:sz="0" w:space="0" w:color="auto"/>
                        <w:left w:val="none" w:sz="0" w:space="0" w:color="auto"/>
                        <w:bottom w:val="none" w:sz="0" w:space="0" w:color="auto"/>
                        <w:right w:val="none" w:sz="0" w:space="0" w:color="auto"/>
                      </w:divBdr>
                    </w:div>
                  </w:divsChild>
                </w:div>
                <w:div w:id="287787743">
                  <w:marLeft w:val="0"/>
                  <w:marRight w:val="0"/>
                  <w:marTop w:val="0"/>
                  <w:marBottom w:val="0"/>
                  <w:divBdr>
                    <w:top w:val="none" w:sz="0" w:space="0" w:color="auto"/>
                    <w:left w:val="none" w:sz="0" w:space="0" w:color="auto"/>
                    <w:bottom w:val="none" w:sz="0" w:space="0" w:color="auto"/>
                    <w:right w:val="none" w:sz="0" w:space="0" w:color="auto"/>
                  </w:divBdr>
                  <w:divsChild>
                    <w:div w:id="1046904214">
                      <w:marLeft w:val="0"/>
                      <w:marRight w:val="0"/>
                      <w:marTop w:val="0"/>
                      <w:marBottom w:val="0"/>
                      <w:divBdr>
                        <w:top w:val="none" w:sz="0" w:space="0" w:color="auto"/>
                        <w:left w:val="none" w:sz="0" w:space="0" w:color="auto"/>
                        <w:bottom w:val="none" w:sz="0" w:space="0" w:color="auto"/>
                        <w:right w:val="none" w:sz="0" w:space="0" w:color="auto"/>
                      </w:divBdr>
                    </w:div>
                  </w:divsChild>
                </w:div>
                <w:div w:id="293487671">
                  <w:marLeft w:val="0"/>
                  <w:marRight w:val="0"/>
                  <w:marTop w:val="0"/>
                  <w:marBottom w:val="0"/>
                  <w:divBdr>
                    <w:top w:val="none" w:sz="0" w:space="0" w:color="auto"/>
                    <w:left w:val="none" w:sz="0" w:space="0" w:color="auto"/>
                    <w:bottom w:val="none" w:sz="0" w:space="0" w:color="auto"/>
                    <w:right w:val="none" w:sz="0" w:space="0" w:color="auto"/>
                  </w:divBdr>
                  <w:divsChild>
                    <w:div w:id="158469446">
                      <w:marLeft w:val="0"/>
                      <w:marRight w:val="0"/>
                      <w:marTop w:val="0"/>
                      <w:marBottom w:val="0"/>
                      <w:divBdr>
                        <w:top w:val="none" w:sz="0" w:space="0" w:color="auto"/>
                        <w:left w:val="none" w:sz="0" w:space="0" w:color="auto"/>
                        <w:bottom w:val="none" w:sz="0" w:space="0" w:color="auto"/>
                        <w:right w:val="none" w:sz="0" w:space="0" w:color="auto"/>
                      </w:divBdr>
                    </w:div>
                    <w:div w:id="944921512">
                      <w:marLeft w:val="0"/>
                      <w:marRight w:val="0"/>
                      <w:marTop w:val="0"/>
                      <w:marBottom w:val="0"/>
                      <w:divBdr>
                        <w:top w:val="none" w:sz="0" w:space="0" w:color="auto"/>
                        <w:left w:val="none" w:sz="0" w:space="0" w:color="auto"/>
                        <w:bottom w:val="none" w:sz="0" w:space="0" w:color="auto"/>
                        <w:right w:val="none" w:sz="0" w:space="0" w:color="auto"/>
                      </w:divBdr>
                    </w:div>
                    <w:div w:id="1452744850">
                      <w:marLeft w:val="0"/>
                      <w:marRight w:val="0"/>
                      <w:marTop w:val="0"/>
                      <w:marBottom w:val="0"/>
                      <w:divBdr>
                        <w:top w:val="none" w:sz="0" w:space="0" w:color="auto"/>
                        <w:left w:val="none" w:sz="0" w:space="0" w:color="auto"/>
                        <w:bottom w:val="none" w:sz="0" w:space="0" w:color="auto"/>
                        <w:right w:val="none" w:sz="0" w:space="0" w:color="auto"/>
                      </w:divBdr>
                    </w:div>
                  </w:divsChild>
                </w:div>
                <w:div w:id="300160024">
                  <w:marLeft w:val="0"/>
                  <w:marRight w:val="0"/>
                  <w:marTop w:val="0"/>
                  <w:marBottom w:val="0"/>
                  <w:divBdr>
                    <w:top w:val="none" w:sz="0" w:space="0" w:color="auto"/>
                    <w:left w:val="none" w:sz="0" w:space="0" w:color="auto"/>
                    <w:bottom w:val="none" w:sz="0" w:space="0" w:color="auto"/>
                    <w:right w:val="none" w:sz="0" w:space="0" w:color="auto"/>
                  </w:divBdr>
                  <w:divsChild>
                    <w:div w:id="78257651">
                      <w:marLeft w:val="0"/>
                      <w:marRight w:val="0"/>
                      <w:marTop w:val="0"/>
                      <w:marBottom w:val="0"/>
                      <w:divBdr>
                        <w:top w:val="none" w:sz="0" w:space="0" w:color="auto"/>
                        <w:left w:val="none" w:sz="0" w:space="0" w:color="auto"/>
                        <w:bottom w:val="none" w:sz="0" w:space="0" w:color="auto"/>
                        <w:right w:val="none" w:sz="0" w:space="0" w:color="auto"/>
                      </w:divBdr>
                    </w:div>
                  </w:divsChild>
                </w:div>
                <w:div w:id="304549083">
                  <w:marLeft w:val="0"/>
                  <w:marRight w:val="0"/>
                  <w:marTop w:val="0"/>
                  <w:marBottom w:val="0"/>
                  <w:divBdr>
                    <w:top w:val="none" w:sz="0" w:space="0" w:color="auto"/>
                    <w:left w:val="none" w:sz="0" w:space="0" w:color="auto"/>
                    <w:bottom w:val="none" w:sz="0" w:space="0" w:color="auto"/>
                    <w:right w:val="none" w:sz="0" w:space="0" w:color="auto"/>
                  </w:divBdr>
                  <w:divsChild>
                    <w:div w:id="399013383">
                      <w:marLeft w:val="0"/>
                      <w:marRight w:val="0"/>
                      <w:marTop w:val="0"/>
                      <w:marBottom w:val="0"/>
                      <w:divBdr>
                        <w:top w:val="none" w:sz="0" w:space="0" w:color="auto"/>
                        <w:left w:val="none" w:sz="0" w:space="0" w:color="auto"/>
                        <w:bottom w:val="none" w:sz="0" w:space="0" w:color="auto"/>
                        <w:right w:val="none" w:sz="0" w:space="0" w:color="auto"/>
                      </w:divBdr>
                    </w:div>
                  </w:divsChild>
                </w:div>
                <w:div w:id="305935138">
                  <w:marLeft w:val="0"/>
                  <w:marRight w:val="0"/>
                  <w:marTop w:val="0"/>
                  <w:marBottom w:val="0"/>
                  <w:divBdr>
                    <w:top w:val="none" w:sz="0" w:space="0" w:color="auto"/>
                    <w:left w:val="none" w:sz="0" w:space="0" w:color="auto"/>
                    <w:bottom w:val="none" w:sz="0" w:space="0" w:color="auto"/>
                    <w:right w:val="none" w:sz="0" w:space="0" w:color="auto"/>
                  </w:divBdr>
                  <w:divsChild>
                    <w:div w:id="769397048">
                      <w:marLeft w:val="0"/>
                      <w:marRight w:val="0"/>
                      <w:marTop w:val="0"/>
                      <w:marBottom w:val="0"/>
                      <w:divBdr>
                        <w:top w:val="none" w:sz="0" w:space="0" w:color="auto"/>
                        <w:left w:val="none" w:sz="0" w:space="0" w:color="auto"/>
                        <w:bottom w:val="none" w:sz="0" w:space="0" w:color="auto"/>
                        <w:right w:val="none" w:sz="0" w:space="0" w:color="auto"/>
                      </w:divBdr>
                    </w:div>
                  </w:divsChild>
                </w:div>
                <w:div w:id="310184193">
                  <w:marLeft w:val="0"/>
                  <w:marRight w:val="0"/>
                  <w:marTop w:val="0"/>
                  <w:marBottom w:val="0"/>
                  <w:divBdr>
                    <w:top w:val="none" w:sz="0" w:space="0" w:color="auto"/>
                    <w:left w:val="none" w:sz="0" w:space="0" w:color="auto"/>
                    <w:bottom w:val="none" w:sz="0" w:space="0" w:color="auto"/>
                    <w:right w:val="none" w:sz="0" w:space="0" w:color="auto"/>
                  </w:divBdr>
                  <w:divsChild>
                    <w:div w:id="207645821">
                      <w:marLeft w:val="0"/>
                      <w:marRight w:val="0"/>
                      <w:marTop w:val="0"/>
                      <w:marBottom w:val="0"/>
                      <w:divBdr>
                        <w:top w:val="none" w:sz="0" w:space="0" w:color="auto"/>
                        <w:left w:val="none" w:sz="0" w:space="0" w:color="auto"/>
                        <w:bottom w:val="none" w:sz="0" w:space="0" w:color="auto"/>
                        <w:right w:val="none" w:sz="0" w:space="0" w:color="auto"/>
                      </w:divBdr>
                    </w:div>
                  </w:divsChild>
                </w:div>
                <w:div w:id="336351779">
                  <w:marLeft w:val="0"/>
                  <w:marRight w:val="0"/>
                  <w:marTop w:val="0"/>
                  <w:marBottom w:val="0"/>
                  <w:divBdr>
                    <w:top w:val="none" w:sz="0" w:space="0" w:color="auto"/>
                    <w:left w:val="none" w:sz="0" w:space="0" w:color="auto"/>
                    <w:bottom w:val="none" w:sz="0" w:space="0" w:color="auto"/>
                    <w:right w:val="none" w:sz="0" w:space="0" w:color="auto"/>
                  </w:divBdr>
                  <w:divsChild>
                    <w:div w:id="174880573">
                      <w:marLeft w:val="0"/>
                      <w:marRight w:val="0"/>
                      <w:marTop w:val="0"/>
                      <w:marBottom w:val="0"/>
                      <w:divBdr>
                        <w:top w:val="none" w:sz="0" w:space="0" w:color="auto"/>
                        <w:left w:val="none" w:sz="0" w:space="0" w:color="auto"/>
                        <w:bottom w:val="none" w:sz="0" w:space="0" w:color="auto"/>
                        <w:right w:val="none" w:sz="0" w:space="0" w:color="auto"/>
                      </w:divBdr>
                    </w:div>
                  </w:divsChild>
                </w:div>
                <w:div w:id="344748633">
                  <w:marLeft w:val="0"/>
                  <w:marRight w:val="0"/>
                  <w:marTop w:val="0"/>
                  <w:marBottom w:val="0"/>
                  <w:divBdr>
                    <w:top w:val="none" w:sz="0" w:space="0" w:color="auto"/>
                    <w:left w:val="none" w:sz="0" w:space="0" w:color="auto"/>
                    <w:bottom w:val="none" w:sz="0" w:space="0" w:color="auto"/>
                    <w:right w:val="none" w:sz="0" w:space="0" w:color="auto"/>
                  </w:divBdr>
                  <w:divsChild>
                    <w:div w:id="407651500">
                      <w:marLeft w:val="0"/>
                      <w:marRight w:val="0"/>
                      <w:marTop w:val="0"/>
                      <w:marBottom w:val="0"/>
                      <w:divBdr>
                        <w:top w:val="none" w:sz="0" w:space="0" w:color="auto"/>
                        <w:left w:val="none" w:sz="0" w:space="0" w:color="auto"/>
                        <w:bottom w:val="none" w:sz="0" w:space="0" w:color="auto"/>
                        <w:right w:val="none" w:sz="0" w:space="0" w:color="auto"/>
                      </w:divBdr>
                    </w:div>
                  </w:divsChild>
                </w:div>
                <w:div w:id="381294910">
                  <w:marLeft w:val="0"/>
                  <w:marRight w:val="0"/>
                  <w:marTop w:val="0"/>
                  <w:marBottom w:val="0"/>
                  <w:divBdr>
                    <w:top w:val="none" w:sz="0" w:space="0" w:color="auto"/>
                    <w:left w:val="none" w:sz="0" w:space="0" w:color="auto"/>
                    <w:bottom w:val="none" w:sz="0" w:space="0" w:color="auto"/>
                    <w:right w:val="none" w:sz="0" w:space="0" w:color="auto"/>
                  </w:divBdr>
                  <w:divsChild>
                    <w:div w:id="1072387325">
                      <w:marLeft w:val="0"/>
                      <w:marRight w:val="0"/>
                      <w:marTop w:val="0"/>
                      <w:marBottom w:val="0"/>
                      <w:divBdr>
                        <w:top w:val="none" w:sz="0" w:space="0" w:color="auto"/>
                        <w:left w:val="none" w:sz="0" w:space="0" w:color="auto"/>
                        <w:bottom w:val="none" w:sz="0" w:space="0" w:color="auto"/>
                        <w:right w:val="none" w:sz="0" w:space="0" w:color="auto"/>
                      </w:divBdr>
                    </w:div>
                    <w:div w:id="1830052562">
                      <w:marLeft w:val="0"/>
                      <w:marRight w:val="0"/>
                      <w:marTop w:val="0"/>
                      <w:marBottom w:val="0"/>
                      <w:divBdr>
                        <w:top w:val="none" w:sz="0" w:space="0" w:color="auto"/>
                        <w:left w:val="none" w:sz="0" w:space="0" w:color="auto"/>
                        <w:bottom w:val="none" w:sz="0" w:space="0" w:color="auto"/>
                        <w:right w:val="none" w:sz="0" w:space="0" w:color="auto"/>
                      </w:divBdr>
                    </w:div>
                  </w:divsChild>
                </w:div>
                <w:div w:id="385031363">
                  <w:marLeft w:val="0"/>
                  <w:marRight w:val="0"/>
                  <w:marTop w:val="0"/>
                  <w:marBottom w:val="0"/>
                  <w:divBdr>
                    <w:top w:val="none" w:sz="0" w:space="0" w:color="auto"/>
                    <w:left w:val="none" w:sz="0" w:space="0" w:color="auto"/>
                    <w:bottom w:val="none" w:sz="0" w:space="0" w:color="auto"/>
                    <w:right w:val="none" w:sz="0" w:space="0" w:color="auto"/>
                  </w:divBdr>
                  <w:divsChild>
                    <w:div w:id="1200777020">
                      <w:marLeft w:val="0"/>
                      <w:marRight w:val="0"/>
                      <w:marTop w:val="0"/>
                      <w:marBottom w:val="0"/>
                      <w:divBdr>
                        <w:top w:val="none" w:sz="0" w:space="0" w:color="auto"/>
                        <w:left w:val="none" w:sz="0" w:space="0" w:color="auto"/>
                        <w:bottom w:val="none" w:sz="0" w:space="0" w:color="auto"/>
                        <w:right w:val="none" w:sz="0" w:space="0" w:color="auto"/>
                      </w:divBdr>
                    </w:div>
                  </w:divsChild>
                </w:div>
                <w:div w:id="398017874">
                  <w:marLeft w:val="0"/>
                  <w:marRight w:val="0"/>
                  <w:marTop w:val="0"/>
                  <w:marBottom w:val="0"/>
                  <w:divBdr>
                    <w:top w:val="none" w:sz="0" w:space="0" w:color="auto"/>
                    <w:left w:val="none" w:sz="0" w:space="0" w:color="auto"/>
                    <w:bottom w:val="none" w:sz="0" w:space="0" w:color="auto"/>
                    <w:right w:val="none" w:sz="0" w:space="0" w:color="auto"/>
                  </w:divBdr>
                  <w:divsChild>
                    <w:div w:id="261574712">
                      <w:marLeft w:val="0"/>
                      <w:marRight w:val="0"/>
                      <w:marTop w:val="0"/>
                      <w:marBottom w:val="0"/>
                      <w:divBdr>
                        <w:top w:val="none" w:sz="0" w:space="0" w:color="auto"/>
                        <w:left w:val="none" w:sz="0" w:space="0" w:color="auto"/>
                        <w:bottom w:val="none" w:sz="0" w:space="0" w:color="auto"/>
                        <w:right w:val="none" w:sz="0" w:space="0" w:color="auto"/>
                      </w:divBdr>
                    </w:div>
                  </w:divsChild>
                </w:div>
                <w:div w:id="406804212">
                  <w:marLeft w:val="0"/>
                  <w:marRight w:val="0"/>
                  <w:marTop w:val="0"/>
                  <w:marBottom w:val="0"/>
                  <w:divBdr>
                    <w:top w:val="none" w:sz="0" w:space="0" w:color="auto"/>
                    <w:left w:val="none" w:sz="0" w:space="0" w:color="auto"/>
                    <w:bottom w:val="none" w:sz="0" w:space="0" w:color="auto"/>
                    <w:right w:val="none" w:sz="0" w:space="0" w:color="auto"/>
                  </w:divBdr>
                  <w:divsChild>
                    <w:div w:id="805126679">
                      <w:marLeft w:val="0"/>
                      <w:marRight w:val="0"/>
                      <w:marTop w:val="0"/>
                      <w:marBottom w:val="0"/>
                      <w:divBdr>
                        <w:top w:val="none" w:sz="0" w:space="0" w:color="auto"/>
                        <w:left w:val="none" w:sz="0" w:space="0" w:color="auto"/>
                        <w:bottom w:val="none" w:sz="0" w:space="0" w:color="auto"/>
                        <w:right w:val="none" w:sz="0" w:space="0" w:color="auto"/>
                      </w:divBdr>
                    </w:div>
                  </w:divsChild>
                </w:div>
                <w:div w:id="411706880">
                  <w:marLeft w:val="0"/>
                  <w:marRight w:val="0"/>
                  <w:marTop w:val="0"/>
                  <w:marBottom w:val="0"/>
                  <w:divBdr>
                    <w:top w:val="none" w:sz="0" w:space="0" w:color="auto"/>
                    <w:left w:val="none" w:sz="0" w:space="0" w:color="auto"/>
                    <w:bottom w:val="none" w:sz="0" w:space="0" w:color="auto"/>
                    <w:right w:val="none" w:sz="0" w:space="0" w:color="auto"/>
                  </w:divBdr>
                  <w:divsChild>
                    <w:div w:id="1215238399">
                      <w:marLeft w:val="0"/>
                      <w:marRight w:val="0"/>
                      <w:marTop w:val="0"/>
                      <w:marBottom w:val="0"/>
                      <w:divBdr>
                        <w:top w:val="none" w:sz="0" w:space="0" w:color="auto"/>
                        <w:left w:val="none" w:sz="0" w:space="0" w:color="auto"/>
                        <w:bottom w:val="none" w:sz="0" w:space="0" w:color="auto"/>
                        <w:right w:val="none" w:sz="0" w:space="0" w:color="auto"/>
                      </w:divBdr>
                    </w:div>
                  </w:divsChild>
                </w:div>
                <w:div w:id="413169293">
                  <w:marLeft w:val="0"/>
                  <w:marRight w:val="0"/>
                  <w:marTop w:val="0"/>
                  <w:marBottom w:val="0"/>
                  <w:divBdr>
                    <w:top w:val="none" w:sz="0" w:space="0" w:color="auto"/>
                    <w:left w:val="none" w:sz="0" w:space="0" w:color="auto"/>
                    <w:bottom w:val="none" w:sz="0" w:space="0" w:color="auto"/>
                    <w:right w:val="none" w:sz="0" w:space="0" w:color="auto"/>
                  </w:divBdr>
                  <w:divsChild>
                    <w:div w:id="1476994031">
                      <w:marLeft w:val="0"/>
                      <w:marRight w:val="0"/>
                      <w:marTop w:val="0"/>
                      <w:marBottom w:val="0"/>
                      <w:divBdr>
                        <w:top w:val="none" w:sz="0" w:space="0" w:color="auto"/>
                        <w:left w:val="none" w:sz="0" w:space="0" w:color="auto"/>
                        <w:bottom w:val="none" w:sz="0" w:space="0" w:color="auto"/>
                        <w:right w:val="none" w:sz="0" w:space="0" w:color="auto"/>
                      </w:divBdr>
                    </w:div>
                  </w:divsChild>
                </w:div>
                <w:div w:id="419371320">
                  <w:marLeft w:val="0"/>
                  <w:marRight w:val="0"/>
                  <w:marTop w:val="0"/>
                  <w:marBottom w:val="0"/>
                  <w:divBdr>
                    <w:top w:val="none" w:sz="0" w:space="0" w:color="auto"/>
                    <w:left w:val="none" w:sz="0" w:space="0" w:color="auto"/>
                    <w:bottom w:val="none" w:sz="0" w:space="0" w:color="auto"/>
                    <w:right w:val="none" w:sz="0" w:space="0" w:color="auto"/>
                  </w:divBdr>
                  <w:divsChild>
                    <w:div w:id="1266427133">
                      <w:marLeft w:val="0"/>
                      <w:marRight w:val="0"/>
                      <w:marTop w:val="0"/>
                      <w:marBottom w:val="0"/>
                      <w:divBdr>
                        <w:top w:val="none" w:sz="0" w:space="0" w:color="auto"/>
                        <w:left w:val="none" w:sz="0" w:space="0" w:color="auto"/>
                        <w:bottom w:val="none" w:sz="0" w:space="0" w:color="auto"/>
                        <w:right w:val="none" w:sz="0" w:space="0" w:color="auto"/>
                      </w:divBdr>
                    </w:div>
                  </w:divsChild>
                </w:div>
                <w:div w:id="421419716">
                  <w:marLeft w:val="0"/>
                  <w:marRight w:val="0"/>
                  <w:marTop w:val="0"/>
                  <w:marBottom w:val="0"/>
                  <w:divBdr>
                    <w:top w:val="none" w:sz="0" w:space="0" w:color="auto"/>
                    <w:left w:val="none" w:sz="0" w:space="0" w:color="auto"/>
                    <w:bottom w:val="none" w:sz="0" w:space="0" w:color="auto"/>
                    <w:right w:val="none" w:sz="0" w:space="0" w:color="auto"/>
                  </w:divBdr>
                  <w:divsChild>
                    <w:div w:id="472407010">
                      <w:marLeft w:val="0"/>
                      <w:marRight w:val="0"/>
                      <w:marTop w:val="0"/>
                      <w:marBottom w:val="0"/>
                      <w:divBdr>
                        <w:top w:val="none" w:sz="0" w:space="0" w:color="auto"/>
                        <w:left w:val="none" w:sz="0" w:space="0" w:color="auto"/>
                        <w:bottom w:val="none" w:sz="0" w:space="0" w:color="auto"/>
                        <w:right w:val="none" w:sz="0" w:space="0" w:color="auto"/>
                      </w:divBdr>
                    </w:div>
                  </w:divsChild>
                </w:div>
                <w:div w:id="427847016">
                  <w:marLeft w:val="0"/>
                  <w:marRight w:val="0"/>
                  <w:marTop w:val="0"/>
                  <w:marBottom w:val="0"/>
                  <w:divBdr>
                    <w:top w:val="none" w:sz="0" w:space="0" w:color="auto"/>
                    <w:left w:val="none" w:sz="0" w:space="0" w:color="auto"/>
                    <w:bottom w:val="none" w:sz="0" w:space="0" w:color="auto"/>
                    <w:right w:val="none" w:sz="0" w:space="0" w:color="auto"/>
                  </w:divBdr>
                  <w:divsChild>
                    <w:div w:id="650866449">
                      <w:marLeft w:val="0"/>
                      <w:marRight w:val="0"/>
                      <w:marTop w:val="0"/>
                      <w:marBottom w:val="0"/>
                      <w:divBdr>
                        <w:top w:val="none" w:sz="0" w:space="0" w:color="auto"/>
                        <w:left w:val="none" w:sz="0" w:space="0" w:color="auto"/>
                        <w:bottom w:val="none" w:sz="0" w:space="0" w:color="auto"/>
                        <w:right w:val="none" w:sz="0" w:space="0" w:color="auto"/>
                      </w:divBdr>
                    </w:div>
                  </w:divsChild>
                </w:div>
                <w:div w:id="433942719">
                  <w:marLeft w:val="0"/>
                  <w:marRight w:val="0"/>
                  <w:marTop w:val="0"/>
                  <w:marBottom w:val="0"/>
                  <w:divBdr>
                    <w:top w:val="none" w:sz="0" w:space="0" w:color="auto"/>
                    <w:left w:val="none" w:sz="0" w:space="0" w:color="auto"/>
                    <w:bottom w:val="none" w:sz="0" w:space="0" w:color="auto"/>
                    <w:right w:val="none" w:sz="0" w:space="0" w:color="auto"/>
                  </w:divBdr>
                  <w:divsChild>
                    <w:div w:id="387728876">
                      <w:marLeft w:val="0"/>
                      <w:marRight w:val="0"/>
                      <w:marTop w:val="0"/>
                      <w:marBottom w:val="0"/>
                      <w:divBdr>
                        <w:top w:val="none" w:sz="0" w:space="0" w:color="auto"/>
                        <w:left w:val="none" w:sz="0" w:space="0" w:color="auto"/>
                        <w:bottom w:val="none" w:sz="0" w:space="0" w:color="auto"/>
                        <w:right w:val="none" w:sz="0" w:space="0" w:color="auto"/>
                      </w:divBdr>
                    </w:div>
                  </w:divsChild>
                </w:div>
                <w:div w:id="444349620">
                  <w:marLeft w:val="0"/>
                  <w:marRight w:val="0"/>
                  <w:marTop w:val="0"/>
                  <w:marBottom w:val="0"/>
                  <w:divBdr>
                    <w:top w:val="none" w:sz="0" w:space="0" w:color="auto"/>
                    <w:left w:val="none" w:sz="0" w:space="0" w:color="auto"/>
                    <w:bottom w:val="none" w:sz="0" w:space="0" w:color="auto"/>
                    <w:right w:val="none" w:sz="0" w:space="0" w:color="auto"/>
                  </w:divBdr>
                  <w:divsChild>
                    <w:div w:id="1039820471">
                      <w:marLeft w:val="0"/>
                      <w:marRight w:val="0"/>
                      <w:marTop w:val="0"/>
                      <w:marBottom w:val="0"/>
                      <w:divBdr>
                        <w:top w:val="none" w:sz="0" w:space="0" w:color="auto"/>
                        <w:left w:val="none" w:sz="0" w:space="0" w:color="auto"/>
                        <w:bottom w:val="none" w:sz="0" w:space="0" w:color="auto"/>
                        <w:right w:val="none" w:sz="0" w:space="0" w:color="auto"/>
                      </w:divBdr>
                    </w:div>
                  </w:divsChild>
                </w:div>
                <w:div w:id="447623485">
                  <w:marLeft w:val="0"/>
                  <w:marRight w:val="0"/>
                  <w:marTop w:val="0"/>
                  <w:marBottom w:val="0"/>
                  <w:divBdr>
                    <w:top w:val="none" w:sz="0" w:space="0" w:color="auto"/>
                    <w:left w:val="none" w:sz="0" w:space="0" w:color="auto"/>
                    <w:bottom w:val="none" w:sz="0" w:space="0" w:color="auto"/>
                    <w:right w:val="none" w:sz="0" w:space="0" w:color="auto"/>
                  </w:divBdr>
                  <w:divsChild>
                    <w:div w:id="1366296701">
                      <w:marLeft w:val="0"/>
                      <w:marRight w:val="0"/>
                      <w:marTop w:val="0"/>
                      <w:marBottom w:val="0"/>
                      <w:divBdr>
                        <w:top w:val="none" w:sz="0" w:space="0" w:color="auto"/>
                        <w:left w:val="none" w:sz="0" w:space="0" w:color="auto"/>
                        <w:bottom w:val="none" w:sz="0" w:space="0" w:color="auto"/>
                        <w:right w:val="none" w:sz="0" w:space="0" w:color="auto"/>
                      </w:divBdr>
                    </w:div>
                  </w:divsChild>
                </w:div>
                <w:div w:id="484981233">
                  <w:marLeft w:val="0"/>
                  <w:marRight w:val="0"/>
                  <w:marTop w:val="0"/>
                  <w:marBottom w:val="0"/>
                  <w:divBdr>
                    <w:top w:val="none" w:sz="0" w:space="0" w:color="auto"/>
                    <w:left w:val="none" w:sz="0" w:space="0" w:color="auto"/>
                    <w:bottom w:val="none" w:sz="0" w:space="0" w:color="auto"/>
                    <w:right w:val="none" w:sz="0" w:space="0" w:color="auto"/>
                  </w:divBdr>
                  <w:divsChild>
                    <w:div w:id="53623109">
                      <w:marLeft w:val="0"/>
                      <w:marRight w:val="0"/>
                      <w:marTop w:val="0"/>
                      <w:marBottom w:val="0"/>
                      <w:divBdr>
                        <w:top w:val="none" w:sz="0" w:space="0" w:color="auto"/>
                        <w:left w:val="none" w:sz="0" w:space="0" w:color="auto"/>
                        <w:bottom w:val="none" w:sz="0" w:space="0" w:color="auto"/>
                        <w:right w:val="none" w:sz="0" w:space="0" w:color="auto"/>
                      </w:divBdr>
                    </w:div>
                  </w:divsChild>
                </w:div>
                <w:div w:id="491457776">
                  <w:marLeft w:val="0"/>
                  <w:marRight w:val="0"/>
                  <w:marTop w:val="0"/>
                  <w:marBottom w:val="0"/>
                  <w:divBdr>
                    <w:top w:val="none" w:sz="0" w:space="0" w:color="auto"/>
                    <w:left w:val="none" w:sz="0" w:space="0" w:color="auto"/>
                    <w:bottom w:val="none" w:sz="0" w:space="0" w:color="auto"/>
                    <w:right w:val="none" w:sz="0" w:space="0" w:color="auto"/>
                  </w:divBdr>
                  <w:divsChild>
                    <w:div w:id="1086027591">
                      <w:marLeft w:val="0"/>
                      <w:marRight w:val="0"/>
                      <w:marTop w:val="0"/>
                      <w:marBottom w:val="0"/>
                      <w:divBdr>
                        <w:top w:val="none" w:sz="0" w:space="0" w:color="auto"/>
                        <w:left w:val="none" w:sz="0" w:space="0" w:color="auto"/>
                        <w:bottom w:val="none" w:sz="0" w:space="0" w:color="auto"/>
                        <w:right w:val="none" w:sz="0" w:space="0" w:color="auto"/>
                      </w:divBdr>
                    </w:div>
                  </w:divsChild>
                </w:div>
                <w:div w:id="501941465">
                  <w:marLeft w:val="0"/>
                  <w:marRight w:val="0"/>
                  <w:marTop w:val="0"/>
                  <w:marBottom w:val="0"/>
                  <w:divBdr>
                    <w:top w:val="none" w:sz="0" w:space="0" w:color="auto"/>
                    <w:left w:val="none" w:sz="0" w:space="0" w:color="auto"/>
                    <w:bottom w:val="none" w:sz="0" w:space="0" w:color="auto"/>
                    <w:right w:val="none" w:sz="0" w:space="0" w:color="auto"/>
                  </w:divBdr>
                  <w:divsChild>
                    <w:div w:id="677075695">
                      <w:marLeft w:val="0"/>
                      <w:marRight w:val="0"/>
                      <w:marTop w:val="0"/>
                      <w:marBottom w:val="0"/>
                      <w:divBdr>
                        <w:top w:val="none" w:sz="0" w:space="0" w:color="auto"/>
                        <w:left w:val="none" w:sz="0" w:space="0" w:color="auto"/>
                        <w:bottom w:val="none" w:sz="0" w:space="0" w:color="auto"/>
                        <w:right w:val="none" w:sz="0" w:space="0" w:color="auto"/>
                      </w:divBdr>
                    </w:div>
                  </w:divsChild>
                </w:div>
                <w:div w:id="507332455">
                  <w:marLeft w:val="0"/>
                  <w:marRight w:val="0"/>
                  <w:marTop w:val="0"/>
                  <w:marBottom w:val="0"/>
                  <w:divBdr>
                    <w:top w:val="none" w:sz="0" w:space="0" w:color="auto"/>
                    <w:left w:val="none" w:sz="0" w:space="0" w:color="auto"/>
                    <w:bottom w:val="none" w:sz="0" w:space="0" w:color="auto"/>
                    <w:right w:val="none" w:sz="0" w:space="0" w:color="auto"/>
                  </w:divBdr>
                  <w:divsChild>
                    <w:div w:id="1399085780">
                      <w:marLeft w:val="0"/>
                      <w:marRight w:val="0"/>
                      <w:marTop w:val="0"/>
                      <w:marBottom w:val="0"/>
                      <w:divBdr>
                        <w:top w:val="none" w:sz="0" w:space="0" w:color="auto"/>
                        <w:left w:val="none" w:sz="0" w:space="0" w:color="auto"/>
                        <w:bottom w:val="none" w:sz="0" w:space="0" w:color="auto"/>
                        <w:right w:val="none" w:sz="0" w:space="0" w:color="auto"/>
                      </w:divBdr>
                    </w:div>
                  </w:divsChild>
                </w:div>
                <w:div w:id="514223139">
                  <w:marLeft w:val="0"/>
                  <w:marRight w:val="0"/>
                  <w:marTop w:val="0"/>
                  <w:marBottom w:val="0"/>
                  <w:divBdr>
                    <w:top w:val="none" w:sz="0" w:space="0" w:color="auto"/>
                    <w:left w:val="none" w:sz="0" w:space="0" w:color="auto"/>
                    <w:bottom w:val="none" w:sz="0" w:space="0" w:color="auto"/>
                    <w:right w:val="none" w:sz="0" w:space="0" w:color="auto"/>
                  </w:divBdr>
                  <w:divsChild>
                    <w:div w:id="211620776">
                      <w:marLeft w:val="0"/>
                      <w:marRight w:val="0"/>
                      <w:marTop w:val="0"/>
                      <w:marBottom w:val="0"/>
                      <w:divBdr>
                        <w:top w:val="none" w:sz="0" w:space="0" w:color="auto"/>
                        <w:left w:val="none" w:sz="0" w:space="0" w:color="auto"/>
                        <w:bottom w:val="none" w:sz="0" w:space="0" w:color="auto"/>
                        <w:right w:val="none" w:sz="0" w:space="0" w:color="auto"/>
                      </w:divBdr>
                    </w:div>
                  </w:divsChild>
                </w:div>
                <w:div w:id="539785204">
                  <w:marLeft w:val="0"/>
                  <w:marRight w:val="0"/>
                  <w:marTop w:val="0"/>
                  <w:marBottom w:val="0"/>
                  <w:divBdr>
                    <w:top w:val="none" w:sz="0" w:space="0" w:color="auto"/>
                    <w:left w:val="none" w:sz="0" w:space="0" w:color="auto"/>
                    <w:bottom w:val="none" w:sz="0" w:space="0" w:color="auto"/>
                    <w:right w:val="none" w:sz="0" w:space="0" w:color="auto"/>
                  </w:divBdr>
                  <w:divsChild>
                    <w:div w:id="28070158">
                      <w:marLeft w:val="0"/>
                      <w:marRight w:val="0"/>
                      <w:marTop w:val="0"/>
                      <w:marBottom w:val="0"/>
                      <w:divBdr>
                        <w:top w:val="none" w:sz="0" w:space="0" w:color="auto"/>
                        <w:left w:val="none" w:sz="0" w:space="0" w:color="auto"/>
                        <w:bottom w:val="none" w:sz="0" w:space="0" w:color="auto"/>
                        <w:right w:val="none" w:sz="0" w:space="0" w:color="auto"/>
                      </w:divBdr>
                    </w:div>
                  </w:divsChild>
                </w:div>
                <w:div w:id="540560073">
                  <w:marLeft w:val="0"/>
                  <w:marRight w:val="0"/>
                  <w:marTop w:val="0"/>
                  <w:marBottom w:val="0"/>
                  <w:divBdr>
                    <w:top w:val="none" w:sz="0" w:space="0" w:color="auto"/>
                    <w:left w:val="none" w:sz="0" w:space="0" w:color="auto"/>
                    <w:bottom w:val="none" w:sz="0" w:space="0" w:color="auto"/>
                    <w:right w:val="none" w:sz="0" w:space="0" w:color="auto"/>
                  </w:divBdr>
                  <w:divsChild>
                    <w:div w:id="1947035683">
                      <w:marLeft w:val="0"/>
                      <w:marRight w:val="0"/>
                      <w:marTop w:val="0"/>
                      <w:marBottom w:val="0"/>
                      <w:divBdr>
                        <w:top w:val="none" w:sz="0" w:space="0" w:color="auto"/>
                        <w:left w:val="none" w:sz="0" w:space="0" w:color="auto"/>
                        <w:bottom w:val="none" w:sz="0" w:space="0" w:color="auto"/>
                        <w:right w:val="none" w:sz="0" w:space="0" w:color="auto"/>
                      </w:divBdr>
                    </w:div>
                  </w:divsChild>
                </w:div>
                <w:div w:id="545145730">
                  <w:marLeft w:val="0"/>
                  <w:marRight w:val="0"/>
                  <w:marTop w:val="0"/>
                  <w:marBottom w:val="0"/>
                  <w:divBdr>
                    <w:top w:val="none" w:sz="0" w:space="0" w:color="auto"/>
                    <w:left w:val="none" w:sz="0" w:space="0" w:color="auto"/>
                    <w:bottom w:val="none" w:sz="0" w:space="0" w:color="auto"/>
                    <w:right w:val="none" w:sz="0" w:space="0" w:color="auto"/>
                  </w:divBdr>
                  <w:divsChild>
                    <w:div w:id="338889349">
                      <w:marLeft w:val="0"/>
                      <w:marRight w:val="0"/>
                      <w:marTop w:val="0"/>
                      <w:marBottom w:val="0"/>
                      <w:divBdr>
                        <w:top w:val="none" w:sz="0" w:space="0" w:color="auto"/>
                        <w:left w:val="none" w:sz="0" w:space="0" w:color="auto"/>
                        <w:bottom w:val="none" w:sz="0" w:space="0" w:color="auto"/>
                        <w:right w:val="none" w:sz="0" w:space="0" w:color="auto"/>
                      </w:divBdr>
                    </w:div>
                  </w:divsChild>
                </w:div>
                <w:div w:id="547299706">
                  <w:marLeft w:val="0"/>
                  <w:marRight w:val="0"/>
                  <w:marTop w:val="0"/>
                  <w:marBottom w:val="0"/>
                  <w:divBdr>
                    <w:top w:val="none" w:sz="0" w:space="0" w:color="auto"/>
                    <w:left w:val="none" w:sz="0" w:space="0" w:color="auto"/>
                    <w:bottom w:val="none" w:sz="0" w:space="0" w:color="auto"/>
                    <w:right w:val="none" w:sz="0" w:space="0" w:color="auto"/>
                  </w:divBdr>
                  <w:divsChild>
                    <w:div w:id="478813567">
                      <w:marLeft w:val="0"/>
                      <w:marRight w:val="0"/>
                      <w:marTop w:val="0"/>
                      <w:marBottom w:val="0"/>
                      <w:divBdr>
                        <w:top w:val="none" w:sz="0" w:space="0" w:color="auto"/>
                        <w:left w:val="none" w:sz="0" w:space="0" w:color="auto"/>
                        <w:bottom w:val="none" w:sz="0" w:space="0" w:color="auto"/>
                        <w:right w:val="none" w:sz="0" w:space="0" w:color="auto"/>
                      </w:divBdr>
                    </w:div>
                  </w:divsChild>
                </w:div>
                <w:div w:id="549270387">
                  <w:marLeft w:val="0"/>
                  <w:marRight w:val="0"/>
                  <w:marTop w:val="0"/>
                  <w:marBottom w:val="0"/>
                  <w:divBdr>
                    <w:top w:val="none" w:sz="0" w:space="0" w:color="auto"/>
                    <w:left w:val="none" w:sz="0" w:space="0" w:color="auto"/>
                    <w:bottom w:val="none" w:sz="0" w:space="0" w:color="auto"/>
                    <w:right w:val="none" w:sz="0" w:space="0" w:color="auto"/>
                  </w:divBdr>
                  <w:divsChild>
                    <w:div w:id="177276285">
                      <w:marLeft w:val="0"/>
                      <w:marRight w:val="0"/>
                      <w:marTop w:val="0"/>
                      <w:marBottom w:val="0"/>
                      <w:divBdr>
                        <w:top w:val="none" w:sz="0" w:space="0" w:color="auto"/>
                        <w:left w:val="none" w:sz="0" w:space="0" w:color="auto"/>
                        <w:bottom w:val="none" w:sz="0" w:space="0" w:color="auto"/>
                        <w:right w:val="none" w:sz="0" w:space="0" w:color="auto"/>
                      </w:divBdr>
                    </w:div>
                  </w:divsChild>
                </w:div>
                <w:div w:id="565187590">
                  <w:marLeft w:val="0"/>
                  <w:marRight w:val="0"/>
                  <w:marTop w:val="0"/>
                  <w:marBottom w:val="0"/>
                  <w:divBdr>
                    <w:top w:val="none" w:sz="0" w:space="0" w:color="auto"/>
                    <w:left w:val="none" w:sz="0" w:space="0" w:color="auto"/>
                    <w:bottom w:val="none" w:sz="0" w:space="0" w:color="auto"/>
                    <w:right w:val="none" w:sz="0" w:space="0" w:color="auto"/>
                  </w:divBdr>
                  <w:divsChild>
                    <w:div w:id="1284262314">
                      <w:marLeft w:val="0"/>
                      <w:marRight w:val="0"/>
                      <w:marTop w:val="0"/>
                      <w:marBottom w:val="0"/>
                      <w:divBdr>
                        <w:top w:val="none" w:sz="0" w:space="0" w:color="auto"/>
                        <w:left w:val="none" w:sz="0" w:space="0" w:color="auto"/>
                        <w:bottom w:val="none" w:sz="0" w:space="0" w:color="auto"/>
                        <w:right w:val="none" w:sz="0" w:space="0" w:color="auto"/>
                      </w:divBdr>
                    </w:div>
                  </w:divsChild>
                </w:div>
                <w:div w:id="566182888">
                  <w:marLeft w:val="0"/>
                  <w:marRight w:val="0"/>
                  <w:marTop w:val="0"/>
                  <w:marBottom w:val="0"/>
                  <w:divBdr>
                    <w:top w:val="none" w:sz="0" w:space="0" w:color="auto"/>
                    <w:left w:val="none" w:sz="0" w:space="0" w:color="auto"/>
                    <w:bottom w:val="none" w:sz="0" w:space="0" w:color="auto"/>
                    <w:right w:val="none" w:sz="0" w:space="0" w:color="auto"/>
                  </w:divBdr>
                  <w:divsChild>
                    <w:div w:id="718670793">
                      <w:marLeft w:val="0"/>
                      <w:marRight w:val="0"/>
                      <w:marTop w:val="0"/>
                      <w:marBottom w:val="0"/>
                      <w:divBdr>
                        <w:top w:val="none" w:sz="0" w:space="0" w:color="auto"/>
                        <w:left w:val="none" w:sz="0" w:space="0" w:color="auto"/>
                        <w:bottom w:val="none" w:sz="0" w:space="0" w:color="auto"/>
                        <w:right w:val="none" w:sz="0" w:space="0" w:color="auto"/>
                      </w:divBdr>
                    </w:div>
                  </w:divsChild>
                </w:div>
                <w:div w:id="569467611">
                  <w:marLeft w:val="0"/>
                  <w:marRight w:val="0"/>
                  <w:marTop w:val="0"/>
                  <w:marBottom w:val="0"/>
                  <w:divBdr>
                    <w:top w:val="none" w:sz="0" w:space="0" w:color="auto"/>
                    <w:left w:val="none" w:sz="0" w:space="0" w:color="auto"/>
                    <w:bottom w:val="none" w:sz="0" w:space="0" w:color="auto"/>
                    <w:right w:val="none" w:sz="0" w:space="0" w:color="auto"/>
                  </w:divBdr>
                  <w:divsChild>
                    <w:div w:id="22904261">
                      <w:marLeft w:val="0"/>
                      <w:marRight w:val="0"/>
                      <w:marTop w:val="0"/>
                      <w:marBottom w:val="0"/>
                      <w:divBdr>
                        <w:top w:val="none" w:sz="0" w:space="0" w:color="auto"/>
                        <w:left w:val="none" w:sz="0" w:space="0" w:color="auto"/>
                        <w:bottom w:val="none" w:sz="0" w:space="0" w:color="auto"/>
                        <w:right w:val="none" w:sz="0" w:space="0" w:color="auto"/>
                      </w:divBdr>
                    </w:div>
                  </w:divsChild>
                </w:div>
                <w:div w:id="570312746">
                  <w:marLeft w:val="0"/>
                  <w:marRight w:val="0"/>
                  <w:marTop w:val="0"/>
                  <w:marBottom w:val="0"/>
                  <w:divBdr>
                    <w:top w:val="none" w:sz="0" w:space="0" w:color="auto"/>
                    <w:left w:val="none" w:sz="0" w:space="0" w:color="auto"/>
                    <w:bottom w:val="none" w:sz="0" w:space="0" w:color="auto"/>
                    <w:right w:val="none" w:sz="0" w:space="0" w:color="auto"/>
                  </w:divBdr>
                  <w:divsChild>
                    <w:div w:id="264847709">
                      <w:marLeft w:val="0"/>
                      <w:marRight w:val="0"/>
                      <w:marTop w:val="0"/>
                      <w:marBottom w:val="0"/>
                      <w:divBdr>
                        <w:top w:val="none" w:sz="0" w:space="0" w:color="auto"/>
                        <w:left w:val="none" w:sz="0" w:space="0" w:color="auto"/>
                        <w:bottom w:val="none" w:sz="0" w:space="0" w:color="auto"/>
                        <w:right w:val="none" w:sz="0" w:space="0" w:color="auto"/>
                      </w:divBdr>
                    </w:div>
                  </w:divsChild>
                </w:div>
                <w:div w:id="570889971">
                  <w:marLeft w:val="0"/>
                  <w:marRight w:val="0"/>
                  <w:marTop w:val="0"/>
                  <w:marBottom w:val="0"/>
                  <w:divBdr>
                    <w:top w:val="none" w:sz="0" w:space="0" w:color="auto"/>
                    <w:left w:val="none" w:sz="0" w:space="0" w:color="auto"/>
                    <w:bottom w:val="none" w:sz="0" w:space="0" w:color="auto"/>
                    <w:right w:val="none" w:sz="0" w:space="0" w:color="auto"/>
                  </w:divBdr>
                  <w:divsChild>
                    <w:div w:id="8797252">
                      <w:marLeft w:val="0"/>
                      <w:marRight w:val="0"/>
                      <w:marTop w:val="0"/>
                      <w:marBottom w:val="0"/>
                      <w:divBdr>
                        <w:top w:val="none" w:sz="0" w:space="0" w:color="auto"/>
                        <w:left w:val="none" w:sz="0" w:space="0" w:color="auto"/>
                        <w:bottom w:val="none" w:sz="0" w:space="0" w:color="auto"/>
                        <w:right w:val="none" w:sz="0" w:space="0" w:color="auto"/>
                      </w:divBdr>
                    </w:div>
                  </w:divsChild>
                </w:div>
                <w:div w:id="582374917">
                  <w:marLeft w:val="0"/>
                  <w:marRight w:val="0"/>
                  <w:marTop w:val="0"/>
                  <w:marBottom w:val="0"/>
                  <w:divBdr>
                    <w:top w:val="none" w:sz="0" w:space="0" w:color="auto"/>
                    <w:left w:val="none" w:sz="0" w:space="0" w:color="auto"/>
                    <w:bottom w:val="none" w:sz="0" w:space="0" w:color="auto"/>
                    <w:right w:val="none" w:sz="0" w:space="0" w:color="auto"/>
                  </w:divBdr>
                  <w:divsChild>
                    <w:div w:id="2129473093">
                      <w:marLeft w:val="0"/>
                      <w:marRight w:val="0"/>
                      <w:marTop w:val="0"/>
                      <w:marBottom w:val="0"/>
                      <w:divBdr>
                        <w:top w:val="none" w:sz="0" w:space="0" w:color="auto"/>
                        <w:left w:val="none" w:sz="0" w:space="0" w:color="auto"/>
                        <w:bottom w:val="none" w:sz="0" w:space="0" w:color="auto"/>
                        <w:right w:val="none" w:sz="0" w:space="0" w:color="auto"/>
                      </w:divBdr>
                    </w:div>
                  </w:divsChild>
                </w:div>
                <w:div w:id="582684499">
                  <w:marLeft w:val="0"/>
                  <w:marRight w:val="0"/>
                  <w:marTop w:val="0"/>
                  <w:marBottom w:val="0"/>
                  <w:divBdr>
                    <w:top w:val="none" w:sz="0" w:space="0" w:color="auto"/>
                    <w:left w:val="none" w:sz="0" w:space="0" w:color="auto"/>
                    <w:bottom w:val="none" w:sz="0" w:space="0" w:color="auto"/>
                    <w:right w:val="none" w:sz="0" w:space="0" w:color="auto"/>
                  </w:divBdr>
                  <w:divsChild>
                    <w:div w:id="96562394">
                      <w:marLeft w:val="0"/>
                      <w:marRight w:val="0"/>
                      <w:marTop w:val="0"/>
                      <w:marBottom w:val="0"/>
                      <w:divBdr>
                        <w:top w:val="none" w:sz="0" w:space="0" w:color="auto"/>
                        <w:left w:val="none" w:sz="0" w:space="0" w:color="auto"/>
                        <w:bottom w:val="none" w:sz="0" w:space="0" w:color="auto"/>
                        <w:right w:val="none" w:sz="0" w:space="0" w:color="auto"/>
                      </w:divBdr>
                    </w:div>
                  </w:divsChild>
                </w:div>
                <w:div w:id="612327708">
                  <w:marLeft w:val="0"/>
                  <w:marRight w:val="0"/>
                  <w:marTop w:val="0"/>
                  <w:marBottom w:val="0"/>
                  <w:divBdr>
                    <w:top w:val="none" w:sz="0" w:space="0" w:color="auto"/>
                    <w:left w:val="none" w:sz="0" w:space="0" w:color="auto"/>
                    <w:bottom w:val="none" w:sz="0" w:space="0" w:color="auto"/>
                    <w:right w:val="none" w:sz="0" w:space="0" w:color="auto"/>
                  </w:divBdr>
                  <w:divsChild>
                    <w:div w:id="542333409">
                      <w:marLeft w:val="0"/>
                      <w:marRight w:val="0"/>
                      <w:marTop w:val="0"/>
                      <w:marBottom w:val="0"/>
                      <w:divBdr>
                        <w:top w:val="none" w:sz="0" w:space="0" w:color="auto"/>
                        <w:left w:val="none" w:sz="0" w:space="0" w:color="auto"/>
                        <w:bottom w:val="none" w:sz="0" w:space="0" w:color="auto"/>
                        <w:right w:val="none" w:sz="0" w:space="0" w:color="auto"/>
                      </w:divBdr>
                    </w:div>
                  </w:divsChild>
                </w:div>
                <w:div w:id="614026067">
                  <w:marLeft w:val="0"/>
                  <w:marRight w:val="0"/>
                  <w:marTop w:val="0"/>
                  <w:marBottom w:val="0"/>
                  <w:divBdr>
                    <w:top w:val="none" w:sz="0" w:space="0" w:color="auto"/>
                    <w:left w:val="none" w:sz="0" w:space="0" w:color="auto"/>
                    <w:bottom w:val="none" w:sz="0" w:space="0" w:color="auto"/>
                    <w:right w:val="none" w:sz="0" w:space="0" w:color="auto"/>
                  </w:divBdr>
                  <w:divsChild>
                    <w:div w:id="1541934899">
                      <w:marLeft w:val="0"/>
                      <w:marRight w:val="0"/>
                      <w:marTop w:val="0"/>
                      <w:marBottom w:val="0"/>
                      <w:divBdr>
                        <w:top w:val="none" w:sz="0" w:space="0" w:color="auto"/>
                        <w:left w:val="none" w:sz="0" w:space="0" w:color="auto"/>
                        <w:bottom w:val="none" w:sz="0" w:space="0" w:color="auto"/>
                        <w:right w:val="none" w:sz="0" w:space="0" w:color="auto"/>
                      </w:divBdr>
                    </w:div>
                  </w:divsChild>
                </w:div>
                <w:div w:id="620303834">
                  <w:marLeft w:val="0"/>
                  <w:marRight w:val="0"/>
                  <w:marTop w:val="0"/>
                  <w:marBottom w:val="0"/>
                  <w:divBdr>
                    <w:top w:val="none" w:sz="0" w:space="0" w:color="auto"/>
                    <w:left w:val="none" w:sz="0" w:space="0" w:color="auto"/>
                    <w:bottom w:val="none" w:sz="0" w:space="0" w:color="auto"/>
                    <w:right w:val="none" w:sz="0" w:space="0" w:color="auto"/>
                  </w:divBdr>
                  <w:divsChild>
                    <w:div w:id="1780640122">
                      <w:marLeft w:val="0"/>
                      <w:marRight w:val="0"/>
                      <w:marTop w:val="0"/>
                      <w:marBottom w:val="0"/>
                      <w:divBdr>
                        <w:top w:val="none" w:sz="0" w:space="0" w:color="auto"/>
                        <w:left w:val="none" w:sz="0" w:space="0" w:color="auto"/>
                        <w:bottom w:val="none" w:sz="0" w:space="0" w:color="auto"/>
                        <w:right w:val="none" w:sz="0" w:space="0" w:color="auto"/>
                      </w:divBdr>
                    </w:div>
                  </w:divsChild>
                </w:div>
                <w:div w:id="621039849">
                  <w:marLeft w:val="0"/>
                  <w:marRight w:val="0"/>
                  <w:marTop w:val="0"/>
                  <w:marBottom w:val="0"/>
                  <w:divBdr>
                    <w:top w:val="none" w:sz="0" w:space="0" w:color="auto"/>
                    <w:left w:val="none" w:sz="0" w:space="0" w:color="auto"/>
                    <w:bottom w:val="none" w:sz="0" w:space="0" w:color="auto"/>
                    <w:right w:val="none" w:sz="0" w:space="0" w:color="auto"/>
                  </w:divBdr>
                  <w:divsChild>
                    <w:div w:id="252977969">
                      <w:marLeft w:val="0"/>
                      <w:marRight w:val="0"/>
                      <w:marTop w:val="0"/>
                      <w:marBottom w:val="0"/>
                      <w:divBdr>
                        <w:top w:val="none" w:sz="0" w:space="0" w:color="auto"/>
                        <w:left w:val="none" w:sz="0" w:space="0" w:color="auto"/>
                        <w:bottom w:val="none" w:sz="0" w:space="0" w:color="auto"/>
                        <w:right w:val="none" w:sz="0" w:space="0" w:color="auto"/>
                      </w:divBdr>
                    </w:div>
                  </w:divsChild>
                </w:div>
                <w:div w:id="623343839">
                  <w:marLeft w:val="0"/>
                  <w:marRight w:val="0"/>
                  <w:marTop w:val="0"/>
                  <w:marBottom w:val="0"/>
                  <w:divBdr>
                    <w:top w:val="none" w:sz="0" w:space="0" w:color="auto"/>
                    <w:left w:val="none" w:sz="0" w:space="0" w:color="auto"/>
                    <w:bottom w:val="none" w:sz="0" w:space="0" w:color="auto"/>
                    <w:right w:val="none" w:sz="0" w:space="0" w:color="auto"/>
                  </w:divBdr>
                  <w:divsChild>
                    <w:div w:id="22246346">
                      <w:marLeft w:val="0"/>
                      <w:marRight w:val="0"/>
                      <w:marTop w:val="0"/>
                      <w:marBottom w:val="0"/>
                      <w:divBdr>
                        <w:top w:val="none" w:sz="0" w:space="0" w:color="auto"/>
                        <w:left w:val="none" w:sz="0" w:space="0" w:color="auto"/>
                        <w:bottom w:val="none" w:sz="0" w:space="0" w:color="auto"/>
                        <w:right w:val="none" w:sz="0" w:space="0" w:color="auto"/>
                      </w:divBdr>
                    </w:div>
                  </w:divsChild>
                </w:div>
                <w:div w:id="627399735">
                  <w:marLeft w:val="0"/>
                  <w:marRight w:val="0"/>
                  <w:marTop w:val="0"/>
                  <w:marBottom w:val="0"/>
                  <w:divBdr>
                    <w:top w:val="none" w:sz="0" w:space="0" w:color="auto"/>
                    <w:left w:val="none" w:sz="0" w:space="0" w:color="auto"/>
                    <w:bottom w:val="none" w:sz="0" w:space="0" w:color="auto"/>
                    <w:right w:val="none" w:sz="0" w:space="0" w:color="auto"/>
                  </w:divBdr>
                  <w:divsChild>
                    <w:div w:id="1081834739">
                      <w:marLeft w:val="0"/>
                      <w:marRight w:val="0"/>
                      <w:marTop w:val="0"/>
                      <w:marBottom w:val="0"/>
                      <w:divBdr>
                        <w:top w:val="none" w:sz="0" w:space="0" w:color="auto"/>
                        <w:left w:val="none" w:sz="0" w:space="0" w:color="auto"/>
                        <w:bottom w:val="none" w:sz="0" w:space="0" w:color="auto"/>
                        <w:right w:val="none" w:sz="0" w:space="0" w:color="auto"/>
                      </w:divBdr>
                    </w:div>
                  </w:divsChild>
                </w:div>
                <w:div w:id="643315730">
                  <w:marLeft w:val="0"/>
                  <w:marRight w:val="0"/>
                  <w:marTop w:val="0"/>
                  <w:marBottom w:val="0"/>
                  <w:divBdr>
                    <w:top w:val="none" w:sz="0" w:space="0" w:color="auto"/>
                    <w:left w:val="none" w:sz="0" w:space="0" w:color="auto"/>
                    <w:bottom w:val="none" w:sz="0" w:space="0" w:color="auto"/>
                    <w:right w:val="none" w:sz="0" w:space="0" w:color="auto"/>
                  </w:divBdr>
                  <w:divsChild>
                    <w:div w:id="1515998488">
                      <w:marLeft w:val="0"/>
                      <w:marRight w:val="0"/>
                      <w:marTop w:val="0"/>
                      <w:marBottom w:val="0"/>
                      <w:divBdr>
                        <w:top w:val="none" w:sz="0" w:space="0" w:color="auto"/>
                        <w:left w:val="none" w:sz="0" w:space="0" w:color="auto"/>
                        <w:bottom w:val="none" w:sz="0" w:space="0" w:color="auto"/>
                        <w:right w:val="none" w:sz="0" w:space="0" w:color="auto"/>
                      </w:divBdr>
                    </w:div>
                  </w:divsChild>
                </w:div>
                <w:div w:id="650643861">
                  <w:marLeft w:val="0"/>
                  <w:marRight w:val="0"/>
                  <w:marTop w:val="0"/>
                  <w:marBottom w:val="0"/>
                  <w:divBdr>
                    <w:top w:val="none" w:sz="0" w:space="0" w:color="auto"/>
                    <w:left w:val="none" w:sz="0" w:space="0" w:color="auto"/>
                    <w:bottom w:val="none" w:sz="0" w:space="0" w:color="auto"/>
                    <w:right w:val="none" w:sz="0" w:space="0" w:color="auto"/>
                  </w:divBdr>
                  <w:divsChild>
                    <w:div w:id="1574730241">
                      <w:marLeft w:val="0"/>
                      <w:marRight w:val="0"/>
                      <w:marTop w:val="0"/>
                      <w:marBottom w:val="0"/>
                      <w:divBdr>
                        <w:top w:val="none" w:sz="0" w:space="0" w:color="auto"/>
                        <w:left w:val="none" w:sz="0" w:space="0" w:color="auto"/>
                        <w:bottom w:val="none" w:sz="0" w:space="0" w:color="auto"/>
                        <w:right w:val="none" w:sz="0" w:space="0" w:color="auto"/>
                      </w:divBdr>
                    </w:div>
                  </w:divsChild>
                </w:div>
                <w:div w:id="651954865">
                  <w:marLeft w:val="0"/>
                  <w:marRight w:val="0"/>
                  <w:marTop w:val="0"/>
                  <w:marBottom w:val="0"/>
                  <w:divBdr>
                    <w:top w:val="none" w:sz="0" w:space="0" w:color="auto"/>
                    <w:left w:val="none" w:sz="0" w:space="0" w:color="auto"/>
                    <w:bottom w:val="none" w:sz="0" w:space="0" w:color="auto"/>
                    <w:right w:val="none" w:sz="0" w:space="0" w:color="auto"/>
                  </w:divBdr>
                  <w:divsChild>
                    <w:div w:id="676463297">
                      <w:marLeft w:val="0"/>
                      <w:marRight w:val="0"/>
                      <w:marTop w:val="0"/>
                      <w:marBottom w:val="0"/>
                      <w:divBdr>
                        <w:top w:val="none" w:sz="0" w:space="0" w:color="auto"/>
                        <w:left w:val="none" w:sz="0" w:space="0" w:color="auto"/>
                        <w:bottom w:val="none" w:sz="0" w:space="0" w:color="auto"/>
                        <w:right w:val="none" w:sz="0" w:space="0" w:color="auto"/>
                      </w:divBdr>
                    </w:div>
                  </w:divsChild>
                </w:div>
                <w:div w:id="653217945">
                  <w:marLeft w:val="0"/>
                  <w:marRight w:val="0"/>
                  <w:marTop w:val="0"/>
                  <w:marBottom w:val="0"/>
                  <w:divBdr>
                    <w:top w:val="none" w:sz="0" w:space="0" w:color="auto"/>
                    <w:left w:val="none" w:sz="0" w:space="0" w:color="auto"/>
                    <w:bottom w:val="none" w:sz="0" w:space="0" w:color="auto"/>
                    <w:right w:val="none" w:sz="0" w:space="0" w:color="auto"/>
                  </w:divBdr>
                  <w:divsChild>
                    <w:div w:id="1722288663">
                      <w:marLeft w:val="0"/>
                      <w:marRight w:val="0"/>
                      <w:marTop w:val="0"/>
                      <w:marBottom w:val="0"/>
                      <w:divBdr>
                        <w:top w:val="none" w:sz="0" w:space="0" w:color="auto"/>
                        <w:left w:val="none" w:sz="0" w:space="0" w:color="auto"/>
                        <w:bottom w:val="none" w:sz="0" w:space="0" w:color="auto"/>
                        <w:right w:val="none" w:sz="0" w:space="0" w:color="auto"/>
                      </w:divBdr>
                    </w:div>
                  </w:divsChild>
                </w:div>
                <w:div w:id="655574207">
                  <w:marLeft w:val="0"/>
                  <w:marRight w:val="0"/>
                  <w:marTop w:val="0"/>
                  <w:marBottom w:val="0"/>
                  <w:divBdr>
                    <w:top w:val="none" w:sz="0" w:space="0" w:color="auto"/>
                    <w:left w:val="none" w:sz="0" w:space="0" w:color="auto"/>
                    <w:bottom w:val="none" w:sz="0" w:space="0" w:color="auto"/>
                    <w:right w:val="none" w:sz="0" w:space="0" w:color="auto"/>
                  </w:divBdr>
                  <w:divsChild>
                    <w:div w:id="599608900">
                      <w:marLeft w:val="0"/>
                      <w:marRight w:val="0"/>
                      <w:marTop w:val="0"/>
                      <w:marBottom w:val="0"/>
                      <w:divBdr>
                        <w:top w:val="none" w:sz="0" w:space="0" w:color="auto"/>
                        <w:left w:val="none" w:sz="0" w:space="0" w:color="auto"/>
                        <w:bottom w:val="none" w:sz="0" w:space="0" w:color="auto"/>
                        <w:right w:val="none" w:sz="0" w:space="0" w:color="auto"/>
                      </w:divBdr>
                    </w:div>
                  </w:divsChild>
                </w:div>
                <w:div w:id="662860608">
                  <w:marLeft w:val="0"/>
                  <w:marRight w:val="0"/>
                  <w:marTop w:val="0"/>
                  <w:marBottom w:val="0"/>
                  <w:divBdr>
                    <w:top w:val="none" w:sz="0" w:space="0" w:color="auto"/>
                    <w:left w:val="none" w:sz="0" w:space="0" w:color="auto"/>
                    <w:bottom w:val="none" w:sz="0" w:space="0" w:color="auto"/>
                    <w:right w:val="none" w:sz="0" w:space="0" w:color="auto"/>
                  </w:divBdr>
                  <w:divsChild>
                    <w:div w:id="1341157919">
                      <w:marLeft w:val="0"/>
                      <w:marRight w:val="0"/>
                      <w:marTop w:val="0"/>
                      <w:marBottom w:val="0"/>
                      <w:divBdr>
                        <w:top w:val="none" w:sz="0" w:space="0" w:color="auto"/>
                        <w:left w:val="none" w:sz="0" w:space="0" w:color="auto"/>
                        <w:bottom w:val="none" w:sz="0" w:space="0" w:color="auto"/>
                        <w:right w:val="none" w:sz="0" w:space="0" w:color="auto"/>
                      </w:divBdr>
                    </w:div>
                    <w:div w:id="1434324331">
                      <w:marLeft w:val="0"/>
                      <w:marRight w:val="0"/>
                      <w:marTop w:val="0"/>
                      <w:marBottom w:val="0"/>
                      <w:divBdr>
                        <w:top w:val="none" w:sz="0" w:space="0" w:color="auto"/>
                        <w:left w:val="none" w:sz="0" w:space="0" w:color="auto"/>
                        <w:bottom w:val="none" w:sz="0" w:space="0" w:color="auto"/>
                        <w:right w:val="none" w:sz="0" w:space="0" w:color="auto"/>
                      </w:divBdr>
                    </w:div>
                    <w:div w:id="1744831654">
                      <w:marLeft w:val="0"/>
                      <w:marRight w:val="0"/>
                      <w:marTop w:val="0"/>
                      <w:marBottom w:val="0"/>
                      <w:divBdr>
                        <w:top w:val="none" w:sz="0" w:space="0" w:color="auto"/>
                        <w:left w:val="none" w:sz="0" w:space="0" w:color="auto"/>
                        <w:bottom w:val="none" w:sz="0" w:space="0" w:color="auto"/>
                        <w:right w:val="none" w:sz="0" w:space="0" w:color="auto"/>
                      </w:divBdr>
                    </w:div>
                  </w:divsChild>
                </w:div>
                <w:div w:id="671875156">
                  <w:marLeft w:val="0"/>
                  <w:marRight w:val="0"/>
                  <w:marTop w:val="0"/>
                  <w:marBottom w:val="0"/>
                  <w:divBdr>
                    <w:top w:val="none" w:sz="0" w:space="0" w:color="auto"/>
                    <w:left w:val="none" w:sz="0" w:space="0" w:color="auto"/>
                    <w:bottom w:val="none" w:sz="0" w:space="0" w:color="auto"/>
                    <w:right w:val="none" w:sz="0" w:space="0" w:color="auto"/>
                  </w:divBdr>
                  <w:divsChild>
                    <w:div w:id="469980747">
                      <w:marLeft w:val="0"/>
                      <w:marRight w:val="0"/>
                      <w:marTop w:val="0"/>
                      <w:marBottom w:val="0"/>
                      <w:divBdr>
                        <w:top w:val="none" w:sz="0" w:space="0" w:color="auto"/>
                        <w:left w:val="none" w:sz="0" w:space="0" w:color="auto"/>
                        <w:bottom w:val="none" w:sz="0" w:space="0" w:color="auto"/>
                        <w:right w:val="none" w:sz="0" w:space="0" w:color="auto"/>
                      </w:divBdr>
                    </w:div>
                  </w:divsChild>
                </w:div>
                <w:div w:id="681129702">
                  <w:marLeft w:val="0"/>
                  <w:marRight w:val="0"/>
                  <w:marTop w:val="0"/>
                  <w:marBottom w:val="0"/>
                  <w:divBdr>
                    <w:top w:val="none" w:sz="0" w:space="0" w:color="auto"/>
                    <w:left w:val="none" w:sz="0" w:space="0" w:color="auto"/>
                    <w:bottom w:val="none" w:sz="0" w:space="0" w:color="auto"/>
                    <w:right w:val="none" w:sz="0" w:space="0" w:color="auto"/>
                  </w:divBdr>
                  <w:divsChild>
                    <w:div w:id="1154299425">
                      <w:marLeft w:val="0"/>
                      <w:marRight w:val="0"/>
                      <w:marTop w:val="0"/>
                      <w:marBottom w:val="0"/>
                      <w:divBdr>
                        <w:top w:val="none" w:sz="0" w:space="0" w:color="auto"/>
                        <w:left w:val="none" w:sz="0" w:space="0" w:color="auto"/>
                        <w:bottom w:val="none" w:sz="0" w:space="0" w:color="auto"/>
                        <w:right w:val="none" w:sz="0" w:space="0" w:color="auto"/>
                      </w:divBdr>
                    </w:div>
                  </w:divsChild>
                </w:div>
                <w:div w:id="683283542">
                  <w:marLeft w:val="0"/>
                  <w:marRight w:val="0"/>
                  <w:marTop w:val="0"/>
                  <w:marBottom w:val="0"/>
                  <w:divBdr>
                    <w:top w:val="none" w:sz="0" w:space="0" w:color="auto"/>
                    <w:left w:val="none" w:sz="0" w:space="0" w:color="auto"/>
                    <w:bottom w:val="none" w:sz="0" w:space="0" w:color="auto"/>
                    <w:right w:val="none" w:sz="0" w:space="0" w:color="auto"/>
                  </w:divBdr>
                  <w:divsChild>
                    <w:div w:id="678695404">
                      <w:marLeft w:val="0"/>
                      <w:marRight w:val="0"/>
                      <w:marTop w:val="0"/>
                      <w:marBottom w:val="0"/>
                      <w:divBdr>
                        <w:top w:val="none" w:sz="0" w:space="0" w:color="auto"/>
                        <w:left w:val="none" w:sz="0" w:space="0" w:color="auto"/>
                        <w:bottom w:val="none" w:sz="0" w:space="0" w:color="auto"/>
                        <w:right w:val="none" w:sz="0" w:space="0" w:color="auto"/>
                      </w:divBdr>
                    </w:div>
                  </w:divsChild>
                </w:div>
                <w:div w:id="683896991">
                  <w:marLeft w:val="0"/>
                  <w:marRight w:val="0"/>
                  <w:marTop w:val="0"/>
                  <w:marBottom w:val="0"/>
                  <w:divBdr>
                    <w:top w:val="none" w:sz="0" w:space="0" w:color="auto"/>
                    <w:left w:val="none" w:sz="0" w:space="0" w:color="auto"/>
                    <w:bottom w:val="none" w:sz="0" w:space="0" w:color="auto"/>
                    <w:right w:val="none" w:sz="0" w:space="0" w:color="auto"/>
                  </w:divBdr>
                  <w:divsChild>
                    <w:div w:id="1738359430">
                      <w:marLeft w:val="0"/>
                      <w:marRight w:val="0"/>
                      <w:marTop w:val="0"/>
                      <w:marBottom w:val="0"/>
                      <w:divBdr>
                        <w:top w:val="none" w:sz="0" w:space="0" w:color="auto"/>
                        <w:left w:val="none" w:sz="0" w:space="0" w:color="auto"/>
                        <w:bottom w:val="none" w:sz="0" w:space="0" w:color="auto"/>
                        <w:right w:val="none" w:sz="0" w:space="0" w:color="auto"/>
                      </w:divBdr>
                    </w:div>
                  </w:divsChild>
                </w:div>
                <w:div w:id="690569288">
                  <w:marLeft w:val="0"/>
                  <w:marRight w:val="0"/>
                  <w:marTop w:val="0"/>
                  <w:marBottom w:val="0"/>
                  <w:divBdr>
                    <w:top w:val="none" w:sz="0" w:space="0" w:color="auto"/>
                    <w:left w:val="none" w:sz="0" w:space="0" w:color="auto"/>
                    <w:bottom w:val="none" w:sz="0" w:space="0" w:color="auto"/>
                    <w:right w:val="none" w:sz="0" w:space="0" w:color="auto"/>
                  </w:divBdr>
                  <w:divsChild>
                    <w:div w:id="1857426488">
                      <w:marLeft w:val="0"/>
                      <w:marRight w:val="0"/>
                      <w:marTop w:val="0"/>
                      <w:marBottom w:val="0"/>
                      <w:divBdr>
                        <w:top w:val="none" w:sz="0" w:space="0" w:color="auto"/>
                        <w:left w:val="none" w:sz="0" w:space="0" w:color="auto"/>
                        <w:bottom w:val="none" w:sz="0" w:space="0" w:color="auto"/>
                        <w:right w:val="none" w:sz="0" w:space="0" w:color="auto"/>
                      </w:divBdr>
                    </w:div>
                  </w:divsChild>
                </w:div>
                <w:div w:id="694766080">
                  <w:marLeft w:val="0"/>
                  <w:marRight w:val="0"/>
                  <w:marTop w:val="0"/>
                  <w:marBottom w:val="0"/>
                  <w:divBdr>
                    <w:top w:val="none" w:sz="0" w:space="0" w:color="auto"/>
                    <w:left w:val="none" w:sz="0" w:space="0" w:color="auto"/>
                    <w:bottom w:val="none" w:sz="0" w:space="0" w:color="auto"/>
                    <w:right w:val="none" w:sz="0" w:space="0" w:color="auto"/>
                  </w:divBdr>
                  <w:divsChild>
                    <w:div w:id="1870949138">
                      <w:marLeft w:val="0"/>
                      <w:marRight w:val="0"/>
                      <w:marTop w:val="0"/>
                      <w:marBottom w:val="0"/>
                      <w:divBdr>
                        <w:top w:val="none" w:sz="0" w:space="0" w:color="auto"/>
                        <w:left w:val="none" w:sz="0" w:space="0" w:color="auto"/>
                        <w:bottom w:val="none" w:sz="0" w:space="0" w:color="auto"/>
                        <w:right w:val="none" w:sz="0" w:space="0" w:color="auto"/>
                      </w:divBdr>
                    </w:div>
                  </w:divsChild>
                </w:div>
                <w:div w:id="707026988">
                  <w:marLeft w:val="0"/>
                  <w:marRight w:val="0"/>
                  <w:marTop w:val="0"/>
                  <w:marBottom w:val="0"/>
                  <w:divBdr>
                    <w:top w:val="none" w:sz="0" w:space="0" w:color="auto"/>
                    <w:left w:val="none" w:sz="0" w:space="0" w:color="auto"/>
                    <w:bottom w:val="none" w:sz="0" w:space="0" w:color="auto"/>
                    <w:right w:val="none" w:sz="0" w:space="0" w:color="auto"/>
                  </w:divBdr>
                  <w:divsChild>
                    <w:div w:id="1281373846">
                      <w:marLeft w:val="0"/>
                      <w:marRight w:val="0"/>
                      <w:marTop w:val="0"/>
                      <w:marBottom w:val="0"/>
                      <w:divBdr>
                        <w:top w:val="none" w:sz="0" w:space="0" w:color="auto"/>
                        <w:left w:val="none" w:sz="0" w:space="0" w:color="auto"/>
                        <w:bottom w:val="none" w:sz="0" w:space="0" w:color="auto"/>
                        <w:right w:val="none" w:sz="0" w:space="0" w:color="auto"/>
                      </w:divBdr>
                    </w:div>
                  </w:divsChild>
                </w:div>
                <w:div w:id="711541862">
                  <w:marLeft w:val="0"/>
                  <w:marRight w:val="0"/>
                  <w:marTop w:val="0"/>
                  <w:marBottom w:val="0"/>
                  <w:divBdr>
                    <w:top w:val="none" w:sz="0" w:space="0" w:color="auto"/>
                    <w:left w:val="none" w:sz="0" w:space="0" w:color="auto"/>
                    <w:bottom w:val="none" w:sz="0" w:space="0" w:color="auto"/>
                    <w:right w:val="none" w:sz="0" w:space="0" w:color="auto"/>
                  </w:divBdr>
                  <w:divsChild>
                    <w:div w:id="364213758">
                      <w:marLeft w:val="0"/>
                      <w:marRight w:val="0"/>
                      <w:marTop w:val="0"/>
                      <w:marBottom w:val="0"/>
                      <w:divBdr>
                        <w:top w:val="none" w:sz="0" w:space="0" w:color="auto"/>
                        <w:left w:val="none" w:sz="0" w:space="0" w:color="auto"/>
                        <w:bottom w:val="none" w:sz="0" w:space="0" w:color="auto"/>
                        <w:right w:val="none" w:sz="0" w:space="0" w:color="auto"/>
                      </w:divBdr>
                    </w:div>
                  </w:divsChild>
                </w:div>
                <w:div w:id="713039788">
                  <w:marLeft w:val="0"/>
                  <w:marRight w:val="0"/>
                  <w:marTop w:val="0"/>
                  <w:marBottom w:val="0"/>
                  <w:divBdr>
                    <w:top w:val="none" w:sz="0" w:space="0" w:color="auto"/>
                    <w:left w:val="none" w:sz="0" w:space="0" w:color="auto"/>
                    <w:bottom w:val="none" w:sz="0" w:space="0" w:color="auto"/>
                    <w:right w:val="none" w:sz="0" w:space="0" w:color="auto"/>
                  </w:divBdr>
                  <w:divsChild>
                    <w:div w:id="1065251932">
                      <w:marLeft w:val="0"/>
                      <w:marRight w:val="0"/>
                      <w:marTop w:val="0"/>
                      <w:marBottom w:val="0"/>
                      <w:divBdr>
                        <w:top w:val="none" w:sz="0" w:space="0" w:color="auto"/>
                        <w:left w:val="none" w:sz="0" w:space="0" w:color="auto"/>
                        <w:bottom w:val="none" w:sz="0" w:space="0" w:color="auto"/>
                        <w:right w:val="none" w:sz="0" w:space="0" w:color="auto"/>
                      </w:divBdr>
                    </w:div>
                  </w:divsChild>
                </w:div>
                <w:div w:id="718821426">
                  <w:marLeft w:val="0"/>
                  <w:marRight w:val="0"/>
                  <w:marTop w:val="0"/>
                  <w:marBottom w:val="0"/>
                  <w:divBdr>
                    <w:top w:val="none" w:sz="0" w:space="0" w:color="auto"/>
                    <w:left w:val="none" w:sz="0" w:space="0" w:color="auto"/>
                    <w:bottom w:val="none" w:sz="0" w:space="0" w:color="auto"/>
                    <w:right w:val="none" w:sz="0" w:space="0" w:color="auto"/>
                  </w:divBdr>
                  <w:divsChild>
                    <w:div w:id="1759718004">
                      <w:marLeft w:val="0"/>
                      <w:marRight w:val="0"/>
                      <w:marTop w:val="0"/>
                      <w:marBottom w:val="0"/>
                      <w:divBdr>
                        <w:top w:val="none" w:sz="0" w:space="0" w:color="auto"/>
                        <w:left w:val="none" w:sz="0" w:space="0" w:color="auto"/>
                        <w:bottom w:val="none" w:sz="0" w:space="0" w:color="auto"/>
                        <w:right w:val="none" w:sz="0" w:space="0" w:color="auto"/>
                      </w:divBdr>
                    </w:div>
                  </w:divsChild>
                </w:div>
                <w:div w:id="730344061">
                  <w:marLeft w:val="0"/>
                  <w:marRight w:val="0"/>
                  <w:marTop w:val="0"/>
                  <w:marBottom w:val="0"/>
                  <w:divBdr>
                    <w:top w:val="none" w:sz="0" w:space="0" w:color="auto"/>
                    <w:left w:val="none" w:sz="0" w:space="0" w:color="auto"/>
                    <w:bottom w:val="none" w:sz="0" w:space="0" w:color="auto"/>
                    <w:right w:val="none" w:sz="0" w:space="0" w:color="auto"/>
                  </w:divBdr>
                  <w:divsChild>
                    <w:div w:id="1926378447">
                      <w:marLeft w:val="0"/>
                      <w:marRight w:val="0"/>
                      <w:marTop w:val="0"/>
                      <w:marBottom w:val="0"/>
                      <w:divBdr>
                        <w:top w:val="none" w:sz="0" w:space="0" w:color="auto"/>
                        <w:left w:val="none" w:sz="0" w:space="0" w:color="auto"/>
                        <w:bottom w:val="none" w:sz="0" w:space="0" w:color="auto"/>
                        <w:right w:val="none" w:sz="0" w:space="0" w:color="auto"/>
                      </w:divBdr>
                    </w:div>
                  </w:divsChild>
                </w:div>
                <w:div w:id="731927581">
                  <w:marLeft w:val="0"/>
                  <w:marRight w:val="0"/>
                  <w:marTop w:val="0"/>
                  <w:marBottom w:val="0"/>
                  <w:divBdr>
                    <w:top w:val="none" w:sz="0" w:space="0" w:color="auto"/>
                    <w:left w:val="none" w:sz="0" w:space="0" w:color="auto"/>
                    <w:bottom w:val="none" w:sz="0" w:space="0" w:color="auto"/>
                    <w:right w:val="none" w:sz="0" w:space="0" w:color="auto"/>
                  </w:divBdr>
                  <w:divsChild>
                    <w:div w:id="573977735">
                      <w:marLeft w:val="0"/>
                      <w:marRight w:val="0"/>
                      <w:marTop w:val="0"/>
                      <w:marBottom w:val="0"/>
                      <w:divBdr>
                        <w:top w:val="none" w:sz="0" w:space="0" w:color="auto"/>
                        <w:left w:val="none" w:sz="0" w:space="0" w:color="auto"/>
                        <w:bottom w:val="none" w:sz="0" w:space="0" w:color="auto"/>
                        <w:right w:val="none" w:sz="0" w:space="0" w:color="auto"/>
                      </w:divBdr>
                    </w:div>
                  </w:divsChild>
                </w:div>
                <w:div w:id="733897258">
                  <w:marLeft w:val="0"/>
                  <w:marRight w:val="0"/>
                  <w:marTop w:val="0"/>
                  <w:marBottom w:val="0"/>
                  <w:divBdr>
                    <w:top w:val="none" w:sz="0" w:space="0" w:color="auto"/>
                    <w:left w:val="none" w:sz="0" w:space="0" w:color="auto"/>
                    <w:bottom w:val="none" w:sz="0" w:space="0" w:color="auto"/>
                    <w:right w:val="none" w:sz="0" w:space="0" w:color="auto"/>
                  </w:divBdr>
                  <w:divsChild>
                    <w:div w:id="1023482342">
                      <w:marLeft w:val="0"/>
                      <w:marRight w:val="0"/>
                      <w:marTop w:val="0"/>
                      <w:marBottom w:val="0"/>
                      <w:divBdr>
                        <w:top w:val="none" w:sz="0" w:space="0" w:color="auto"/>
                        <w:left w:val="none" w:sz="0" w:space="0" w:color="auto"/>
                        <w:bottom w:val="none" w:sz="0" w:space="0" w:color="auto"/>
                        <w:right w:val="none" w:sz="0" w:space="0" w:color="auto"/>
                      </w:divBdr>
                    </w:div>
                  </w:divsChild>
                </w:div>
                <w:div w:id="739714172">
                  <w:marLeft w:val="0"/>
                  <w:marRight w:val="0"/>
                  <w:marTop w:val="0"/>
                  <w:marBottom w:val="0"/>
                  <w:divBdr>
                    <w:top w:val="none" w:sz="0" w:space="0" w:color="auto"/>
                    <w:left w:val="none" w:sz="0" w:space="0" w:color="auto"/>
                    <w:bottom w:val="none" w:sz="0" w:space="0" w:color="auto"/>
                    <w:right w:val="none" w:sz="0" w:space="0" w:color="auto"/>
                  </w:divBdr>
                  <w:divsChild>
                    <w:div w:id="8795654">
                      <w:marLeft w:val="0"/>
                      <w:marRight w:val="0"/>
                      <w:marTop w:val="0"/>
                      <w:marBottom w:val="0"/>
                      <w:divBdr>
                        <w:top w:val="none" w:sz="0" w:space="0" w:color="auto"/>
                        <w:left w:val="none" w:sz="0" w:space="0" w:color="auto"/>
                        <w:bottom w:val="none" w:sz="0" w:space="0" w:color="auto"/>
                        <w:right w:val="none" w:sz="0" w:space="0" w:color="auto"/>
                      </w:divBdr>
                    </w:div>
                  </w:divsChild>
                </w:div>
                <w:div w:id="750271796">
                  <w:marLeft w:val="0"/>
                  <w:marRight w:val="0"/>
                  <w:marTop w:val="0"/>
                  <w:marBottom w:val="0"/>
                  <w:divBdr>
                    <w:top w:val="none" w:sz="0" w:space="0" w:color="auto"/>
                    <w:left w:val="none" w:sz="0" w:space="0" w:color="auto"/>
                    <w:bottom w:val="none" w:sz="0" w:space="0" w:color="auto"/>
                    <w:right w:val="none" w:sz="0" w:space="0" w:color="auto"/>
                  </w:divBdr>
                  <w:divsChild>
                    <w:div w:id="1913662952">
                      <w:marLeft w:val="0"/>
                      <w:marRight w:val="0"/>
                      <w:marTop w:val="0"/>
                      <w:marBottom w:val="0"/>
                      <w:divBdr>
                        <w:top w:val="none" w:sz="0" w:space="0" w:color="auto"/>
                        <w:left w:val="none" w:sz="0" w:space="0" w:color="auto"/>
                        <w:bottom w:val="none" w:sz="0" w:space="0" w:color="auto"/>
                        <w:right w:val="none" w:sz="0" w:space="0" w:color="auto"/>
                      </w:divBdr>
                    </w:div>
                  </w:divsChild>
                </w:div>
                <w:div w:id="750735854">
                  <w:marLeft w:val="0"/>
                  <w:marRight w:val="0"/>
                  <w:marTop w:val="0"/>
                  <w:marBottom w:val="0"/>
                  <w:divBdr>
                    <w:top w:val="none" w:sz="0" w:space="0" w:color="auto"/>
                    <w:left w:val="none" w:sz="0" w:space="0" w:color="auto"/>
                    <w:bottom w:val="none" w:sz="0" w:space="0" w:color="auto"/>
                    <w:right w:val="none" w:sz="0" w:space="0" w:color="auto"/>
                  </w:divBdr>
                  <w:divsChild>
                    <w:div w:id="479347788">
                      <w:marLeft w:val="0"/>
                      <w:marRight w:val="0"/>
                      <w:marTop w:val="0"/>
                      <w:marBottom w:val="0"/>
                      <w:divBdr>
                        <w:top w:val="none" w:sz="0" w:space="0" w:color="auto"/>
                        <w:left w:val="none" w:sz="0" w:space="0" w:color="auto"/>
                        <w:bottom w:val="none" w:sz="0" w:space="0" w:color="auto"/>
                        <w:right w:val="none" w:sz="0" w:space="0" w:color="auto"/>
                      </w:divBdr>
                    </w:div>
                  </w:divsChild>
                </w:div>
                <w:div w:id="756709220">
                  <w:marLeft w:val="0"/>
                  <w:marRight w:val="0"/>
                  <w:marTop w:val="0"/>
                  <w:marBottom w:val="0"/>
                  <w:divBdr>
                    <w:top w:val="none" w:sz="0" w:space="0" w:color="auto"/>
                    <w:left w:val="none" w:sz="0" w:space="0" w:color="auto"/>
                    <w:bottom w:val="none" w:sz="0" w:space="0" w:color="auto"/>
                    <w:right w:val="none" w:sz="0" w:space="0" w:color="auto"/>
                  </w:divBdr>
                  <w:divsChild>
                    <w:div w:id="489097204">
                      <w:marLeft w:val="0"/>
                      <w:marRight w:val="0"/>
                      <w:marTop w:val="0"/>
                      <w:marBottom w:val="0"/>
                      <w:divBdr>
                        <w:top w:val="none" w:sz="0" w:space="0" w:color="auto"/>
                        <w:left w:val="none" w:sz="0" w:space="0" w:color="auto"/>
                        <w:bottom w:val="none" w:sz="0" w:space="0" w:color="auto"/>
                        <w:right w:val="none" w:sz="0" w:space="0" w:color="auto"/>
                      </w:divBdr>
                    </w:div>
                  </w:divsChild>
                </w:div>
                <w:div w:id="770316481">
                  <w:marLeft w:val="0"/>
                  <w:marRight w:val="0"/>
                  <w:marTop w:val="0"/>
                  <w:marBottom w:val="0"/>
                  <w:divBdr>
                    <w:top w:val="none" w:sz="0" w:space="0" w:color="auto"/>
                    <w:left w:val="none" w:sz="0" w:space="0" w:color="auto"/>
                    <w:bottom w:val="none" w:sz="0" w:space="0" w:color="auto"/>
                    <w:right w:val="none" w:sz="0" w:space="0" w:color="auto"/>
                  </w:divBdr>
                  <w:divsChild>
                    <w:div w:id="869221475">
                      <w:marLeft w:val="0"/>
                      <w:marRight w:val="0"/>
                      <w:marTop w:val="0"/>
                      <w:marBottom w:val="0"/>
                      <w:divBdr>
                        <w:top w:val="none" w:sz="0" w:space="0" w:color="auto"/>
                        <w:left w:val="none" w:sz="0" w:space="0" w:color="auto"/>
                        <w:bottom w:val="none" w:sz="0" w:space="0" w:color="auto"/>
                        <w:right w:val="none" w:sz="0" w:space="0" w:color="auto"/>
                      </w:divBdr>
                    </w:div>
                  </w:divsChild>
                </w:div>
                <w:div w:id="780343781">
                  <w:marLeft w:val="0"/>
                  <w:marRight w:val="0"/>
                  <w:marTop w:val="0"/>
                  <w:marBottom w:val="0"/>
                  <w:divBdr>
                    <w:top w:val="none" w:sz="0" w:space="0" w:color="auto"/>
                    <w:left w:val="none" w:sz="0" w:space="0" w:color="auto"/>
                    <w:bottom w:val="none" w:sz="0" w:space="0" w:color="auto"/>
                    <w:right w:val="none" w:sz="0" w:space="0" w:color="auto"/>
                  </w:divBdr>
                  <w:divsChild>
                    <w:div w:id="1349605086">
                      <w:marLeft w:val="0"/>
                      <w:marRight w:val="0"/>
                      <w:marTop w:val="0"/>
                      <w:marBottom w:val="0"/>
                      <w:divBdr>
                        <w:top w:val="none" w:sz="0" w:space="0" w:color="auto"/>
                        <w:left w:val="none" w:sz="0" w:space="0" w:color="auto"/>
                        <w:bottom w:val="none" w:sz="0" w:space="0" w:color="auto"/>
                        <w:right w:val="none" w:sz="0" w:space="0" w:color="auto"/>
                      </w:divBdr>
                    </w:div>
                  </w:divsChild>
                </w:div>
                <w:div w:id="794714742">
                  <w:marLeft w:val="0"/>
                  <w:marRight w:val="0"/>
                  <w:marTop w:val="0"/>
                  <w:marBottom w:val="0"/>
                  <w:divBdr>
                    <w:top w:val="none" w:sz="0" w:space="0" w:color="auto"/>
                    <w:left w:val="none" w:sz="0" w:space="0" w:color="auto"/>
                    <w:bottom w:val="none" w:sz="0" w:space="0" w:color="auto"/>
                    <w:right w:val="none" w:sz="0" w:space="0" w:color="auto"/>
                  </w:divBdr>
                  <w:divsChild>
                    <w:div w:id="711350239">
                      <w:marLeft w:val="0"/>
                      <w:marRight w:val="0"/>
                      <w:marTop w:val="0"/>
                      <w:marBottom w:val="0"/>
                      <w:divBdr>
                        <w:top w:val="none" w:sz="0" w:space="0" w:color="auto"/>
                        <w:left w:val="none" w:sz="0" w:space="0" w:color="auto"/>
                        <w:bottom w:val="none" w:sz="0" w:space="0" w:color="auto"/>
                        <w:right w:val="none" w:sz="0" w:space="0" w:color="auto"/>
                      </w:divBdr>
                    </w:div>
                  </w:divsChild>
                </w:div>
                <w:div w:id="811606095">
                  <w:marLeft w:val="0"/>
                  <w:marRight w:val="0"/>
                  <w:marTop w:val="0"/>
                  <w:marBottom w:val="0"/>
                  <w:divBdr>
                    <w:top w:val="none" w:sz="0" w:space="0" w:color="auto"/>
                    <w:left w:val="none" w:sz="0" w:space="0" w:color="auto"/>
                    <w:bottom w:val="none" w:sz="0" w:space="0" w:color="auto"/>
                    <w:right w:val="none" w:sz="0" w:space="0" w:color="auto"/>
                  </w:divBdr>
                  <w:divsChild>
                    <w:div w:id="1932465735">
                      <w:marLeft w:val="0"/>
                      <w:marRight w:val="0"/>
                      <w:marTop w:val="0"/>
                      <w:marBottom w:val="0"/>
                      <w:divBdr>
                        <w:top w:val="none" w:sz="0" w:space="0" w:color="auto"/>
                        <w:left w:val="none" w:sz="0" w:space="0" w:color="auto"/>
                        <w:bottom w:val="none" w:sz="0" w:space="0" w:color="auto"/>
                        <w:right w:val="none" w:sz="0" w:space="0" w:color="auto"/>
                      </w:divBdr>
                    </w:div>
                  </w:divsChild>
                </w:div>
                <w:div w:id="811680618">
                  <w:marLeft w:val="0"/>
                  <w:marRight w:val="0"/>
                  <w:marTop w:val="0"/>
                  <w:marBottom w:val="0"/>
                  <w:divBdr>
                    <w:top w:val="none" w:sz="0" w:space="0" w:color="auto"/>
                    <w:left w:val="none" w:sz="0" w:space="0" w:color="auto"/>
                    <w:bottom w:val="none" w:sz="0" w:space="0" w:color="auto"/>
                    <w:right w:val="none" w:sz="0" w:space="0" w:color="auto"/>
                  </w:divBdr>
                  <w:divsChild>
                    <w:div w:id="2062515667">
                      <w:marLeft w:val="0"/>
                      <w:marRight w:val="0"/>
                      <w:marTop w:val="0"/>
                      <w:marBottom w:val="0"/>
                      <w:divBdr>
                        <w:top w:val="none" w:sz="0" w:space="0" w:color="auto"/>
                        <w:left w:val="none" w:sz="0" w:space="0" w:color="auto"/>
                        <w:bottom w:val="none" w:sz="0" w:space="0" w:color="auto"/>
                        <w:right w:val="none" w:sz="0" w:space="0" w:color="auto"/>
                      </w:divBdr>
                    </w:div>
                  </w:divsChild>
                </w:div>
                <w:div w:id="812600971">
                  <w:marLeft w:val="0"/>
                  <w:marRight w:val="0"/>
                  <w:marTop w:val="0"/>
                  <w:marBottom w:val="0"/>
                  <w:divBdr>
                    <w:top w:val="none" w:sz="0" w:space="0" w:color="auto"/>
                    <w:left w:val="none" w:sz="0" w:space="0" w:color="auto"/>
                    <w:bottom w:val="none" w:sz="0" w:space="0" w:color="auto"/>
                    <w:right w:val="none" w:sz="0" w:space="0" w:color="auto"/>
                  </w:divBdr>
                  <w:divsChild>
                    <w:div w:id="463232685">
                      <w:marLeft w:val="0"/>
                      <w:marRight w:val="0"/>
                      <w:marTop w:val="0"/>
                      <w:marBottom w:val="0"/>
                      <w:divBdr>
                        <w:top w:val="none" w:sz="0" w:space="0" w:color="auto"/>
                        <w:left w:val="none" w:sz="0" w:space="0" w:color="auto"/>
                        <w:bottom w:val="none" w:sz="0" w:space="0" w:color="auto"/>
                        <w:right w:val="none" w:sz="0" w:space="0" w:color="auto"/>
                      </w:divBdr>
                    </w:div>
                  </w:divsChild>
                </w:div>
                <w:div w:id="812871382">
                  <w:marLeft w:val="0"/>
                  <w:marRight w:val="0"/>
                  <w:marTop w:val="0"/>
                  <w:marBottom w:val="0"/>
                  <w:divBdr>
                    <w:top w:val="none" w:sz="0" w:space="0" w:color="auto"/>
                    <w:left w:val="none" w:sz="0" w:space="0" w:color="auto"/>
                    <w:bottom w:val="none" w:sz="0" w:space="0" w:color="auto"/>
                    <w:right w:val="none" w:sz="0" w:space="0" w:color="auto"/>
                  </w:divBdr>
                  <w:divsChild>
                    <w:div w:id="187987327">
                      <w:marLeft w:val="0"/>
                      <w:marRight w:val="0"/>
                      <w:marTop w:val="0"/>
                      <w:marBottom w:val="0"/>
                      <w:divBdr>
                        <w:top w:val="none" w:sz="0" w:space="0" w:color="auto"/>
                        <w:left w:val="none" w:sz="0" w:space="0" w:color="auto"/>
                        <w:bottom w:val="none" w:sz="0" w:space="0" w:color="auto"/>
                        <w:right w:val="none" w:sz="0" w:space="0" w:color="auto"/>
                      </w:divBdr>
                    </w:div>
                  </w:divsChild>
                </w:div>
                <w:div w:id="816410260">
                  <w:marLeft w:val="0"/>
                  <w:marRight w:val="0"/>
                  <w:marTop w:val="0"/>
                  <w:marBottom w:val="0"/>
                  <w:divBdr>
                    <w:top w:val="none" w:sz="0" w:space="0" w:color="auto"/>
                    <w:left w:val="none" w:sz="0" w:space="0" w:color="auto"/>
                    <w:bottom w:val="none" w:sz="0" w:space="0" w:color="auto"/>
                    <w:right w:val="none" w:sz="0" w:space="0" w:color="auto"/>
                  </w:divBdr>
                  <w:divsChild>
                    <w:div w:id="1523930282">
                      <w:marLeft w:val="0"/>
                      <w:marRight w:val="0"/>
                      <w:marTop w:val="0"/>
                      <w:marBottom w:val="0"/>
                      <w:divBdr>
                        <w:top w:val="none" w:sz="0" w:space="0" w:color="auto"/>
                        <w:left w:val="none" w:sz="0" w:space="0" w:color="auto"/>
                        <w:bottom w:val="none" w:sz="0" w:space="0" w:color="auto"/>
                        <w:right w:val="none" w:sz="0" w:space="0" w:color="auto"/>
                      </w:divBdr>
                    </w:div>
                  </w:divsChild>
                </w:div>
                <w:div w:id="819660625">
                  <w:marLeft w:val="0"/>
                  <w:marRight w:val="0"/>
                  <w:marTop w:val="0"/>
                  <w:marBottom w:val="0"/>
                  <w:divBdr>
                    <w:top w:val="none" w:sz="0" w:space="0" w:color="auto"/>
                    <w:left w:val="none" w:sz="0" w:space="0" w:color="auto"/>
                    <w:bottom w:val="none" w:sz="0" w:space="0" w:color="auto"/>
                    <w:right w:val="none" w:sz="0" w:space="0" w:color="auto"/>
                  </w:divBdr>
                  <w:divsChild>
                    <w:div w:id="583609682">
                      <w:marLeft w:val="0"/>
                      <w:marRight w:val="0"/>
                      <w:marTop w:val="0"/>
                      <w:marBottom w:val="0"/>
                      <w:divBdr>
                        <w:top w:val="none" w:sz="0" w:space="0" w:color="auto"/>
                        <w:left w:val="none" w:sz="0" w:space="0" w:color="auto"/>
                        <w:bottom w:val="none" w:sz="0" w:space="0" w:color="auto"/>
                        <w:right w:val="none" w:sz="0" w:space="0" w:color="auto"/>
                      </w:divBdr>
                    </w:div>
                  </w:divsChild>
                </w:div>
                <w:div w:id="825244127">
                  <w:marLeft w:val="0"/>
                  <w:marRight w:val="0"/>
                  <w:marTop w:val="0"/>
                  <w:marBottom w:val="0"/>
                  <w:divBdr>
                    <w:top w:val="none" w:sz="0" w:space="0" w:color="auto"/>
                    <w:left w:val="none" w:sz="0" w:space="0" w:color="auto"/>
                    <w:bottom w:val="none" w:sz="0" w:space="0" w:color="auto"/>
                    <w:right w:val="none" w:sz="0" w:space="0" w:color="auto"/>
                  </w:divBdr>
                  <w:divsChild>
                    <w:div w:id="669064675">
                      <w:marLeft w:val="0"/>
                      <w:marRight w:val="0"/>
                      <w:marTop w:val="0"/>
                      <w:marBottom w:val="0"/>
                      <w:divBdr>
                        <w:top w:val="none" w:sz="0" w:space="0" w:color="auto"/>
                        <w:left w:val="none" w:sz="0" w:space="0" w:color="auto"/>
                        <w:bottom w:val="none" w:sz="0" w:space="0" w:color="auto"/>
                        <w:right w:val="none" w:sz="0" w:space="0" w:color="auto"/>
                      </w:divBdr>
                    </w:div>
                  </w:divsChild>
                </w:div>
                <w:div w:id="828441900">
                  <w:marLeft w:val="0"/>
                  <w:marRight w:val="0"/>
                  <w:marTop w:val="0"/>
                  <w:marBottom w:val="0"/>
                  <w:divBdr>
                    <w:top w:val="none" w:sz="0" w:space="0" w:color="auto"/>
                    <w:left w:val="none" w:sz="0" w:space="0" w:color="auto"/>
                    <w:bottom w:val="none" w:sz="0" w:space="0" w:color="auto"/>
                    <w:right w:val="none" w:sz="0" w:space="0" w:color="auto"/>
                  </w:divBdr>
                  <w:divsChild>
                    <w:div w:id="570579292">
                      <w:marLeft w:val="0"/>
                      <w:marRight w:val="0"/>
                      <w:marTop w:val="0"/>
                      <w:marBottom w:val="0"/>
                      <w:divBdr>
                        <w:top w:val="none" w:sz="0" w:space="0" w:color="auto"/>
                        <w:left w:val="none" w:sz="0" w:space="0" w:color="auto"/>
                        <w:bottom w:val="none" w:sz="0" w:space="0" w:color="auto"/>
                        <w:right w:val="none" w:sz="0" w:space="0" w:color="auto"/>
                      </w:divBdr>
                    </w:div>
                  </w:divsChild>
                </w:div>
                <w:div w:id="843058705">
                  <w:marLeft w:val="0"/>
                  <w:marRight w:val="0"/>
                  <w:marTop w:val="0"/>
                  <w:marBottom w:val="0"/>
                  <w:divBdr>
                    <w:top w:val="none" w:sz="0" w:space="0" w:color="auto"/>
                    <w:left w:val="none" w:sz="0" w:space="0" w:color="auto"/>
                    <w:bottom w:val="none" w:sz="0" w:space="0" w:color="auto"/>
                    <w:right w:val="none" w:sz="0" w:space="0" w:color="auto"/>
                  </w:divBdr>
                  <w:divsChild>
                    <w:div w:id="218979873">
                      <w:marLeft w:val="0"/>
                      <w:marRight w:val="0"/>
                      <w:marTop w:val="0"/>
                      <w:marBottom w:val="0"/>
                      <w:divBdr>
                        <w:top w:val="none" w:sz="0" w:space="0" w:color="auto"/>
                        <w:left w:val="none" w:sz="0" w:space="0" w:color="auto"/>
                        <w:bottom w:val="none" w:sz="0" w:space="0" w:color="auto"/>
                        <w:right w:val="none" w:sz="0" w:space="0" w:color="auto"/>
                      </w:divBdr>
                    </w:div>
                  </w:divsChild>
                </w:div>
                <w:div w:id="844053186">
                  <w:marLeft w:val="0"/>
                  <w:marRight w:val="0"/>
                  <w:marTop w:val="0"/>
                  <w:marBottom w:val="0"/>
                  <w:divBdr>
                    <w:top w:val="none" w:sz="0" w:space="0" w:color="auto"/>
                    <w:left w:val="none" w:sz="0" w:space="0" w:color="auto"/>
                    <w:bottom w:val="none" w:sz="0" w:space="0" w:color="auto"/>
                    <w:right w:val="none" w:sz="0" w:space="0" w:color="auto"/>
                  </w:divBdr>
                  <w:divsChild>
                    <w:div w:id="1539121929">
                      <w:marLeft w:val="0"/>
                      <w:marRight w:val="0"/>
                      <w:marTop w:val="0"/>
                      <w:marBottom w:val="0"/>
                      <w:divBdr>
                        <w:top w:val="none" w:sz="0" w:space="0" w:color="auto"/>
                        <w:left w:val="none" w:sz="0" w:space="0" w:color="auto"/>
                        <w:bottom w:val="none" w:sz="0" w:space="0" w:color="auto"/>
                        <w:right w:val="none" w:sz="0" w:space="0" w:color="auto"/>
                      </w:divBdr>
                    </w:div>
                  </w:divsChild>
                </w:div>
                <w:div w:id="847015263">
                  <w:marLeft w:val="0"/>
                  <w:marRight w:val="0"/>
                  <w:marTop w:val="0"/>
                  <w:marBottom w:val="0"/>
                  <w:divBdr>
                    <w:top w:val="none" w:sz="0" w:space="0" w:color="auto"/>
                    <w:left w:val="none" w:sz="0" w:space="0" w:color="auto"/>
                    <w:bottom w:val="none" w:sz="0" w:space="0" w:color="auto"/>
                    <w:right w:val="none" w:sz="0" w:space="0" w:color="auto"/>
                  </w:divBdr>
                  <w:divsChild>
                    <w:div w:id="1203202840">
                      <w:marLeft w:val="0"/>
                      <w:marRight w:val="0"/>
                      <w:marTop w:val="0"/>
                      <w:marBottom w:val="0"/>
                      <w:divBdr>
                        <w:top w:val="none" w:sz="0" w:space="0" w:color="auto"/>
                        <w:left w:val="none" w:sz="0" w:space="0" w:color="auto"/>
                        <w:bottom w:val="none" w:sz="0" w:space="0" w:color="auto"/>
                        <w:right w:val="none" w:sz="0" w:space="0" w:color="auto"/>
                      </w:divBdr>
                    </w:div>
                    <w:div w:id="2122407994">
                      <w:marLeft w:val="0"/>
                      <w:marRight w:val="0"/>
                      <w:marTop w:val="0"/>
                      <w:marBottom w:val="0"/>
                      <w:divBdr>
                        <w:top w:val="none" w:sz="0" w:space="0" w:color="auto"/>
                        <w:left w:val="none" w:sz="0" w:space="0" w:color="auto"/>
                        <w:bottom w:val="none" w:sz="0" w:space="0" w:color="auto"/>
                        <w:right w:val="none" w:sz="0" w:space="0" w:color="auto"/>
                      </w:divBdr>
                    </w:div>
                  </w:divsChild>
                </w:div>
                <w:div w:id="862784327">
                  <w:marLeft w:val="0"/>
                  <w:marRight w:val="0"/>
                  <w:marTop w:val="0"/>
                  <w:marBottom w:val="0"/>
                  <w:divBdr>
                    <w:top w:val="none" w:sz="0" w:space="0" w:color="auto"/>
                    <w:left w:val="none" w:sz="0" w:space="0" w:color="auto"/>
                    <w:bottom w:val="none" w:sz="0" w:space="0" w:color="auto"/>
                    <w:right w:val="none" w:sz="0" w:space="0" w:color="auto"/>
                  </w:divBdr>
                  <w:divsChild>
                    <w:div w:id="1105080241">
                      <w:marLeft w:val="0"/>
                      <w:marRight w:val="0"/>
                      <w:marTop w:val="0"/>
                      <w:marBottom w:val="0"/>
                      <w:divBdr>
                        <w:top w:val="none" w:sz="0" w:space="0" w:color="auto"/>
                        <w:left w:val="none" w:sz="0" w:space="0" w:color="auto"/>
                        <w:bottom w:val="none" w:sz="0" w:space="0" w:color="auto"/>
                        <w:right w:val="none" w:sz="0" w:space="0" w:color="auto"/>
                      </w:divBdr>
                    </w:div>
                  </w:divsChild>
                </w:div>
                <w:div w:id="865828337">
                  <w:marLeft w:val="0"/>
                  <w:marRight w:val="0"/>
                  <w:marTop w:val="0"/>
                  <w:marBottom w:val="0"/>
                  <w:divBdr>
                    <w:top w:val="none" w:sz="0" w:space="0" w:color="auto"/>
                    <w:left w:val="none" w:sz="0" w:space="0" w:color="auto"/>
                    <w:bottom w:val="none" w:sz="0" w:space="0" w:color="auto"/>
                    <w:right w:val="none" w:sz="0" w:space="0" w:color="auto"/>
                  </w:divBdr>
                  <w:divsChild>
                    <w:div w:id="766078978">
                      <w:marLeft w:val="0"/>
                      <w:marRight w:val="0"/>
                      <w:marTop w:val="0"/>
                      <w:marBottom w:val="0"/>
                      <w:divBdr>
                        <w:top w:val="none" w:sz="0" w:space="0" w:color="auto"/>
                        <w:left w:val="none" w:sz="0" w:space="0" w:color="auto"/>
                        <w:bottom w:val="none" w:sz="0" w:space="0" w:color="auto"/>
                        <w:right w:val="none" w:sz="0" w:space="0" w:color="auto"/>
                      </w:divBdr>
                    </w:div>
                  </w:divsChild>
                </w:div>
                <w:div w:id="869414179">
                  <w:marLeft w:val="0"/>
                  <w:marRight w:val="0"/>
                  <w:marTop w:val="0"/>
                  <w:marBottom w:val="0"/>
                  <w:divBdr>
                    <w:top w:val="none" w:sz="0" w:space="0" w:color="auto"/>
                    <w:left w:val="none" w:sz="0" w:space="0" w:color="auto"/>
                    <w:bottom w:val="none" w:sz="0" w:space="0" w:color="auto"/>
                    <w:right w:val="none" w:sz="0" w:space="0" w:color="auto"/>
                  </w:divBdr>
                  <w:divsChild>
                    <w:div w:id="1021009514">
                      <w:marLeft w:val="0"/>
                      <w:marRight w:val="0"/>
                      <w:marTop w:val="0"/>
                      <w:marBottom w:val="0"/>
                      <w:divBdr>
                        <w:top w:val="none" w:sz="0" w:space="0" w:color="auto"/>
                        <w:left w:val="none" w:sz="0" w:space="0" w:color="auto"/>
                        <w:bottom w:val="none" w:sz="0" w:space="0" w:color="auto"/>
                        <w:right w:val="none" w:sz="0" w:space="0" w:color="auto"/>
                      </w:divBdr>
                    </w:div>
                  </w:divsChild>
                </w:div>
                <w:div w:id="877086321">
                  <w:marLeft w:val="0"/>
                  <w:marRight w:val="0"/>
                  <w:marTop w:val="0"/>
                  <w:marBottom w:val="0"/>
                  <w:divBdr>
                    <w:top w:val="none" w:sz="0" w:space="0" w:color="auto"/>
                    <w:left w:val="none" w:sz="0" w:space="0" w:color="auto"/>
                    <w:bottom w:val="none" w:sz="0" w:space="0" w:color="auto"/>
                    <w:right w:val="none" w:sz="0" w:space="0" w:color="auto"/>
                  </w:divBdr>
                  <w:divsChild>
                    <w:div w:id="1906336703">
                      <w:marLeft w:val="0"/>
                      <w:marRight w:val="0"/>
                      <w:marTop w:val="0"/>
                      <w:marBottom w:val="0"/>
                      <w:divBdr>
                        <w:top w:val="none" w:sz="0" w:space="0" w:color="auto"/>
                        <w:left w:val="none" w:sz="0" w:space="0" w:color="auto"/>
                        <w:bottom w:val="none" w:sz="0" w:space="0" w:color="auto"/>
                        <w:right w:val="none" w:sz="0" w:space="0" w:color="auto"/>
                      </w:divBdr>
                    </w:div>
                  </w:divsChild>
                </w:div>
                <w:div w:id="878904216">
                  <w:marLeft w:val="0"/>
                  <w:marRight w:val="0"/>
                  <w:marTop w:val="0"/>
                  <w:marBottom w:val="0"/>
                  <w:divBdr>
                    <w:top w:val="none" w:sz="0" w:space="0" w:color="auto"/>
                    <w:left w:val="none" w:sz="0" w:space="0" w:color="auto"/>
                    <w:bottom w:val="none" w:sz="0" w:space="0" w:color="auto"/>
                    <w:right w:val="none" w:sz="0" w:space="0" w:color="auto"/>
                  </w:divBdr>
                  <w:divsChild>
                    <w:div w:id="1077560219">
                      <w:marLeft w:val="0"/>
                      <w:marRight w:val="0"/>
                      <w:marTop w:val="0"/>
                      <w:marBottom w:val="0"/>
                      <w:divBdr>
                        <w:top w:val="none" w:sz="0" w:space="0" w:color="auto"/>
                        <w:left w:val="none" w:sz="0" w:space="0" w:color="auto"/>
                        <w:bottom w:val="none" w:sz="0" w:space="0" w:color="auto"/>
                        <w:right w:val="none" w:sz="0" w:space="0" w:color="auto"/>
                      </w:divBdr>
                    </w:div>
                  </w:divsChild>
                </w:div>
                <w:div w:id="898633623">
                  <w:marLeft w:val="0"/>
                  <w:marRight w:val="0"/>
                  <w:marTop w:val="0"/>
                  <w:marBottom w:val="0"/>
                  <w:divBdr>
                    <w:top w:val="none" w:sz="0" w:space="0" w:color="auto"/>
                    <w:left w:val="none" w:sz="0" w:space="0" w:color="auto"/>
                    <w:bottom w:val="none" w:sz="0" w:space="0" w:color="auto"/>
                    <w:right w:val="none" w:sz="0" w:space="0" w:color="auto"/>
                  </w:divBdr>
                  <w:divsChild>
                    <w:div w:id="2028872958">
                      <w:marLeft w:val="0"/>
                      <w:marRight w:val="0"/>
                      <w:marTop w:val="0"/>
                      <w:marBottom w:val="0"/>
                      <w:divBdr>
                        <w:top w:val="none" w:sz="0" w:space="0" w:color="auto"/>
                        <w:left w:val="none" w:sz="0" w:space="0" w:color="auto"/>
                        <w:bottom w:val="none" w:sz="0" w:space="0" w:color="auto"/>
                        <w:right w:val="none" w:sz="0" w:space="0" w:color="auto"/>
                      </w:divBdr>
                    </w:div>
                  </w:divsChild>
                </w:div>
                <w:div w:id="910038965">
                  <w:marLeft w:val="0"/>
                  <w:marRight w:val="0"/>
                  <w:marTop w:val="0"/>
                  <w:marBottom w:val="0"/>
                  <w:divBdr>
                    <w:top w:val="none" w:sz="0" w:space="0" w:color="auto"/>
                    <w:left w:val="none" w:sz="0" w:space="0" w:color="auto"/>
                    <w:bottom w:val="none" w:sz="0" w:space="0" w:color="auto"/>
                    <w:right w:val="none" w:sz="0" w:space="0" w:color="auto"/>
                  </w:divBdr>
                  <w:divsChild>
                    <w:div w:id="176433827">
                      <w:marLeft w:val="0"/>
                      <w:marRight w:val="0"/>
                      <w:marTop w:val="0"/>
                      <w:marBottom w:val="0"/>
                      <w:divBdr>
                        <w:top w:val="none" w:sz="0" w:space="0" w:color="auto"/>
                        <w:left w:val="none" w:sz="0" w:space="0" w:color="auto"/>
                        <w:bottom w:val="none" w:sz="0" w:space="0" w:color="auto"/>
                        <w:right w:val="none" w:sz="0" w:space="0" w:color="auto"/>
                      </w:divBdr>
                    </w:div>
                  </w:divsChild>
                </w:div>
                <w:div w:id="910165394">
                  <w:marLeft w:val="0"/>
                  <w:marRight w:val="0"/>
                  <w:marTop w:val="0"/>
                  <w:marBottom w:val="0"/>
                  <w:divBdr>
                    <w:top w:val="none" w:sz="0" w:space="0" w:color="auto"/>
                    <w:left w:val="none" w:sz="0" w:space="0" w:color="auto"/>
                    <w:bottom w:val="none" w:sz="0" w:space="0" w:color="auto"/>
                    <w:right w:val="none" w:sz="0" w:space="0" w:color="auto"/>
                  </w:divBdr>
                  <w:divsChild>
                    <w:div w:id="1704400315">
                      <w:marLeft w:val="0"/>
                      <w:marRight w:val="0"/>
                      <w:marTop w:val="0"/>
                      <w:marBottom w:val="0"/>
                      <w:divBdr>
                        <w:top w:val="none" w:sz="0" w:space="0" w:color="auto"/>
                        <w:left w:val="none" w:sz="0" w:space="0" w:color="auto"/>
                        <w:bottom w:val="none" w:sz="0" w:space="0" w:color="auto"/>
                        <w:right w:val="none" w:sz="0" w:space="0" w:color="auto"/>
                      </w:divBdr>
                    </w:div>
                  </w:divsChild>
                </w:div>
                <w:div w:id="922298592">
                  <w:marLeft w:val="0"/>
                  <w:marRight w:val="0"/>
                  <w:marTop w:val="0"/>
                  <w:marBottom w:val="0"/>
                  <w:divBdr>
                    <w:top w:val="none" w:sz="0" w:space="0" w:color="auto"/>
                    <w:left w:val="none" w:sz="0" w:space="0" w:color="auto"/>
                    <w:bottom w:val="none" w:sz="0" w:space="0" w:color="auto"/>
                    <w:right w:val="none" w:sz="0" w:space="0" w:color="auto"/>
                  </w:divBdr>
                  <w:divsChild>
                    <w:div w:id="732041609">
                      <w:marLeft w:val="0"/>
                      <w:marRight w:val="0"/>
                      <w:marTop w:val="0"/>
                      <w:marBottom w:val="0"/>
                      <w:divBdr>
                        <w:top w:val="none" w:sz="0" w:space="0" w:color="auto"/>
                        <w:left w:val="none" w:sz="0" w:space="0" w:color="auto"/>
                        <w:bottom w:val="none" w:sz="0" w:space="0" w:color="auto"/>
                        <w:right w:val="none" w:sz="0" w:space="0" w:color="auto"/>
                      </w:divBdr>
                    </w:div>
                  </w:divsChild>
                </w:div>
                <w:div w:id="933127387">
                  <w:marLeft w:val="0"/>
                  <w:marRight w:val="0"/>
                  <w:marTop w:val="0"/>
                  <w:marBottom w:val="0"/>
                  <w:divBdr>
                    <w:top w:val="none" w:sz="0" w:space="0" w:color="auto"/>
                    <w:left w:val="none" w:sz="0" w:space="0" w:color="auto"/>
                    <w:bottom w:val="none" w:sz="0" w:space="0" w:color="auto"/>
                    <w:right w:val="none" w:sz="0" w:space="0" w:color="auto"/>
                  </w:divBdr>
                  <w:divsChild>
                    <w:div w:id="1306860944">
                      <w:marLeft w:val="0"/>
                      <w:marRight w:val="0"/>
                      <w:marTop w:val="0"/>
                      <w:marBottom w:val="0"/>
                      <w:divBdr>
                        <w:top w:val="none" w:sz="0" w:space="0" w:color="auto"/>
                        <w:left w:val="none" w:sz="0" w:space="0" w:color="auto"/>
                        <w:bottom w:val="none" w:sz="0" w:space="0" w:color="auto"/>
                        <w:right w:val="none" w:sz="0" w:space="0" w:color="auto"/>
                      </w:divBdr>
                    </w:div>
                  </w:divsChild>
                </w:div>
                <w:div w:id="933512900">
                  <w:marLeft w:val="0"/>
                  <w:marRight w:val="0"/>
                  <w:marTop w:val="0"/>
                  <w:marBottom w:val="0"/>
                  <w:divBdr>
                    <w:top w:val="none" w:sz="0" w:space="0" w:color="auto"/>
                    <w:left w:val="none" w:sz="0" w:space="0" w:color="auto"/>
                    <w:bottom w:val="none" w:sz="0" w:space="0" w:color="auto"/>
                    <w:right w:val="none" w:sz="0" w:space="0" w:color="auto"/>
                  </w:divBdr>
                  <w:divsChild>
                    <w:div w:id="1807039817">
                      <w:marLeft w:val="0"/>
                      <w:marRight w:val="0"/>
                      <w:marTop w:val="0"/>
                      <w:marBottom w:val="0"/>
                      <w:divBdr>
                        <w:top w:val="none" w:sz="0" w:space="0" w:color="auto"/>
                        <w:left w:val="none" w:sz="0" w:space="0" w:color="auto"/>
                        <w:bottom w:val="none" w:sz="0" w:space="0" w:color="auto"/>
                        <w:right w:val="none" w:sz="0" w:space="0" w:color="auto"/>
                      </w:divBdr>
                    </w:div>
                  </w:divsChild>
                </w:div>
                <w:div w:id="953361236">
                  <w:marLeft w:val="0"/>
                  <w:marRight w:val="0"/>
                  <w:marTop w:val="0"/>
                  <w:marBottom w:val="0"/>
                  <w:divBdr>
                    <w:top w:val="none" w:sz="0" w:space="0" w:color="auto"/>
                    <w:left w:val="none" w:sz="0" w:space="0" w:color="auto"/>
                    <w:bottom w:val="none" w:sz="0" w:space="0" w:color="auto"/>
                    <w:right w:val="none" w:sz="0" w:space="0" w:color="auto"/>
                  </w:divBdr>
                  <w:divsChild>
                    <w:div w:id="465396274">
                      <w:marLeft w:val="0"/>
                      <w:marRight w:val="0"/>
                      <w:marTop w:val="0"/>
                      <w:marBottom w:val="0"/>
                      <w:divBdr>
                        <w:top w:val="none" w:sz="0" w:space="0" w:color="auto"/>
                        <w:left w:val="none" w:sz="0" w:space="0" w:color="auto"/>
                        <w:bottom w:val="none" w:sz="0" w:space="0" w:color="auto"/>
                        <w:right w:val="none" w:sz="0" w:space="0" w:color="auto"/>
                      </w:divBdr>
                    </w:div>
                  </w:divsChild>
                </w:div>
                <w:div w:id="955332518">
                  <w:marLeft w:val="0"/>
                  <w:marRight w:val="0"/>
                  <w:marTop w:val="0"/>
                  <w:marBottom w:val="0"/>
                  <w:divBdr>
                    <w:top w:val="none" w:sz="0" w:space="0" w:color="auto"/>
                    <w:left w:val="none" w:sz="0" w:space="0" w:color="auto"/>
                    <w:bottom w:val="none" w:sz="0" w:space="0" w:color="auto"/>
                    <w:right w:val="none" w:sz="0" w:space="0" w:color="auto"/>
                  </w:divBdr>
                  <w:divsChild>
                    <w:div w:id="655376713">
                      <w:marLeft w:val="0"/>
                      <w:marRight w:val="0"/>
                      <w:marTop w:val="0"/>
                      <w:marBottom w:val="0"/>
                      <w:divBdr>
                        <w:top w:val="none" w:sz="0" w:space="0" w:color="auto"/>
                        <w:left w:val="none" w:sz="0" w:space="0" w:color="auto"/>
                        <w:bottom w:val="none" w:sz="0" w:space="0" w:color="auto"/>
                        <w:right w:val="none" w:sz="0" w:space="0" w:color="auto"/>
                      </w:divBdr>
                    </w:div>
                  </w:divsChild>
                </w:div>
                <w:div w:id="961809483">
                  <w:marLeft w:val="0"/>
                  <w:marRight w:val="0"/>
                  <w:marTop w:val="0"/>
                  <w:marBottom w:val="0"/>
                  <w:divBdr>
                    <w:top w:val="none" w:sz="0" w:space="0" w:color="auto"/>
                    <w:left w:val="none" w:sz="0" w:space="0" w:color="auto"/>
                    <w:bottom w:val="none" w:sz="0" w:space="0" w:color="auto"/>
                    <w:right w:val="none" w:sz="0" w:space="0" w:color="auto"/>
                  </w:divBdr>
                  <w:divsChild>
                    <w:div w:id="1163469211">
                      <w:marLeft w:val="0"/>
                      <w:marRight w:val="0"/>
                      <w:marTop w:val="0"/>
                      <w:marBottom w:val="0"/>
                      <w:divBdr>
                        <w:top w:val="none" w:sz="0" w:space="0" w:color="auto"/>
                        <w:left w:val="none" w:sz="0" w:space="0" w:color="auto"/>
                        <w:bottom w:val="none" w:sz="0" w:space="0" w:color="auto"/>
                        <w:right w:val="none" w:sz="0" w:space="0" w:color="auto"/>
                      </w:divBdr>
                    </w:div>
                  </w:divsChild>
                </w:div>
                <w:div w:id="973370439">
                  <w:marLeft w:val="0"/>
                  <w:marRight w:val="0"/>
                  <w:marTop w:val="0"/>
                  <w:marBottom w:val="0"/>
                  <w:divBdr>
                    <w:top w:val="none" w:sz="0" w:space="0" w:color="auto"/>
                    <w:left w:val="none" w:sz="0" w:space="0" w:color="auto"/>
                    <w:bottom w:val="none" w:sz="0" w:space="0" w:color="auto"/>
                    <w:right w:val="none" w:sz="0" w:space="0" w:color="auto"/>
                  </w:divBdr>
                  <w:divsChild>
                    <w:div w:id="548690415">
                      <w:marLeft w:val="0"/>
                      <w:marRight w:val="0"/>
                      <w:marTop w:val="0"/>
                      <w:marBottom w:val="0"/>
                      <w:divBdr>
                        <w:top w:val="none" w:sz="0" w:space="0" w:color="auto"/>
                        <w:left w:val="none" w:sz="0" w:space="0" w:color="auto"/>
                        <w:bottom w:val="none" w:sz="0" w:space="0" w:color="auto"/>
                        <w:right w:val="none" w:sz="0" w:space="0" w:color="auto"/>
                      </w:divBdr>
                    </w:div>
                  </w:divsChild>
                </w:div>
                <w:div w:id="976298518">
                  <w:marLeft w:val="0"/>
                  <w:marRight w:val="0"/>
                  <w:marTop w:val="0"/>
                  <w:marBottom w:val="0"/>
                  <w:divBdr>
                    <w:top w:val="none" w:sz="0" w:space="0" w:color="auto"/>
                    <w:left w:val="none" w:sz="0" w:space="0" w:color="auto"/>
                    <w:bottom w:val="none" w:sz="0" w:space="0" w:color="auto"/>
                    <w:right w:val="none" w:sz="0" w:space="0" w:color="auto"/>
                  </w:divBdr>
                  <w:divsChild>
                    <w:div w:id="985403211">
                      <w:marLeft w:val="0"/>
                      <w:marRight w:val="0"/>
                      <w:marTop w:val="0"/>
                      <w:marBottom w:val="0"/>
                      <w:divBdr>
                        <w:top w:val="none" w:sz="0" w:space="0" w:color="auto"/>
                        <w:left w:val="none" w:sz="0" w:space="0" w:color="auto"/>
                        <w:bottom w:val="none" w:sz="0" w:space="0" w:color="auto"/>
                        <w:right w:val="none" w:sz="0" w:space="0" w:color="auto"/>
                      </w:divBdr>
                    </w:div>
                  </w:divsChild>
                </w:div>
                <w:div w:id="991522532">
                  <w:marLeft w:val="0"/>
                  <w:marRight w:val="0"/>
                  <w:marTop w:val="0"/>
                  <w:marBottom w:val="0"/>
                  <w:divBdr>
                    <w:top w:val="none" w:sz="0" w:space="0" w:color="auto"/>
                    <w:left w:val="none" w:sz="0" w:space="0" w:color="auto"/>
                    <w:bottom w:val="none" w:sz="0" w:space="0" w:color="auto"/>
                    <w:right w:val="none" w:sz="0" w:space="0" w:color="auto"/>
                  </w:divBdr>
                  <w:divsChild>
                    <w:div w:id="721514212">
                      <w:marLeft w:val="0"/>
                      <w:marRight w:val="0"/>
                      <w:marTop w:val="0"/>
                      <w:marBottom w:val="0"/>
                      <w:divBdr>
                        <w:top w:val="none" w:sz="0" w:space="0" w:color="auto"/>
                        <w:left w:val="none" w:sz="0" w:space="0" w:color="auto"/>
                        <w:bottom w:val="none" w:sz="0" w:space="0" w:color="auto"/>
                        <w:right w:val="none" w:sz="0" w:space="0" w:color="auto"/>
                      </w:divBdr>
                    </w:div>
                  </w:divsChild>
                </w:div>
                <w:div w:id="992366769">
                  <w:marLeft w:val="0"/>
                  <w:marRight w:val="0"/>
                  <w:marTop w:val="0"/>
                  <w:marBottom w:val="0"/>
                  <w:divBdr>
                    <w:top w:val="none" w:sz="0" w:space="0" w:color="auto"/>
                    <w:left w:val="none" w:sz="0" w:space="0" w:color="auto"/>
                    <w:bottom w:val="none" w:sz="0" w:space="0" w:color="auto"/>
                    <w:right w:val="none" w:sz="0" w:space="0" w:color="auto"/>
                  </w:divBdr>
                  <w:divsChild>
                    <w:div w:id="1875729920">
                      <w:marLeft w:val="0"/>
                      <w:marRight w:val="0"/>
                      <w:marTop w:val="0"/>
                      <w:marBottom w:val="0"/>
                      <w:divBdr>
                        <w:top w:val="none" w:sz="0" w:space="0" w:color="auto"/>
                        <w:left w:val="none" w:sz="0" w:space="0" w:color="auto"/>
                        <w:bottom w:val="none" w:sz="0" w:space="0" w:color="auto"/>
                        <w:right w:val="none" w:sz="0" w:space="0" w:color="auto"/>
                      </w:divBdr>
                    </w:div>
                  </w:divsChild>
                </w:div>
                <w:div w:id="1006131248">
                  <w:marLeft w:val="0"/>
                  <w:marRight w:val="0"/>
                  <w:marTop w:val="0"/>
                  <w:marBottom w:val="0"/>
                  <w:divBdr>
                    <w:top w:val="none" w:sz="0" w:space="0" w:color="auto"/>
                    <w:left w:val="none" w:sz="0" w:space="0" w:color="auto"/>
                    <w:bottom w:val="none" w:sz="0" w:space="0" w:color="auto"/>
                    <w:right w:val="none" w:sz="0" w:space="0" w:color="auto"/>
                  </w:divBdr>
                  <w:divsChild>
                    <w:div w:id="617637913">
                      <w:marLeft w:val="0"/>
                      <w:marRight w:val="0"/>
                      <w:marTop w:val="0"/>
                      <w:marBottom w:val="0"/>
                      <w:divBdr>
                        <w:top w:val="none" w:sz="0" w:space="0" w:color="auto"/>
                        <w:left w:val="none" w:sz="0" w:space="0" w:color="auto"/>
                        <w:bottom w:val="none" w:sz="0" w:space="0" w:color="auto"/>
                        <w:right w:val="none" w:sz="0" w:space="0" w:color="auto"/>
                      </w:divBdr>
                    </w:div>
                  </w:divsChild>
                </w:div>
                <w:div w:id="1011226668">
                  <w:marLeft w:val="0"/>
                  <w:marRight w:val="0"/>
                  <w:marTop w:val="0"/>
                  <w:marBottom w:val="0"/>
                  <w:divBdr>
                    <w:top w:val="none" w:sz="0" w:space="0" w:color="auto"/>
                    <w:left w:val="none" w:sz="0" w:space="0" w:color="auto"/>
                    <w:bottom w:val="none" w:sz="0" w:space="0" w:color="auto"/>
                    <w:right w:val="none" w:sz="0" w:space="0" w:color="auto"/>
                  </w:divBdr>
                  <w:divsChild>
                    <w:div w:id="1147555547">
                      <w:marLeft w:val="0"/>
                      <w:marRight w:val="0"/>
                      <w:marTop w:val="0"/>
                      <w:marBottom w:val="0"/>
                      <w:divBdr>
                        <w:top w:val="none" w:sz="0" w:space="0" w:color="auto"/>
                        <w:left w:val="none" w:sz="0" w:space="0" w:color="auto"/>
                        <w:bottom w:val="none" w:sz="0" w:space="0" w:color="auto"/>
                        <w:right w:val="none" w:sz="0" w:space="0" w:color="auto"/>
                      </w:divBdr>
                    </w:div>
                  </w:divsChild>
                </w:div>
                <w:div w:id="1011882373">
                  <w:marLeft w:val="0"/>
                  <w:marRight w:val="0"/>
                  <w:marTop w:val="0"/>
                  <w:marBottom w:val="0"/>
                  <w:divBdr>
                    <w:top w:val="none" w:sz="0" w:space="0" w:color="auto"/>
                    <w:left w:val="none" w:sz="0" w:space="0" w:color="auto"/>
                    <w:bottom w:val="none" w:sz="0" w:space="0" w:color="auto"/>
                    <w:right w:val="none" w:sz="0" w:space="0" w:color="auto"/>
                  </w:divBdr>
                  <w:divsChild>
                    <w:div w:id="1417358444">
                      <w:marLeft w:val="0"/>
                      <w:marRight w:val="0"/>
                      <w:marTop w:val="0"/>
                      <w:marBottom w:val="0"/>
                      <w:divBdr>
                        <w:top w:val="none" w:sz="0" w:space="0" w:color="auto"/>
                        <w:left w:val="none" w:sz="0" w:space="0" w:color="auto"/>
                        <w:bottom w:val="none" w:sz="0" w:space="0" w:color="auto"/>
                        <w:right w:val="none" w:sz="0" w:space="0" w:color="auto"/>
                      </w:divBdr>
                    </w:div>
                  </w:divsChild>
                </w:div>
                <w:div w:id="1015885579">
                  <w:marLeft w:val="0"/>
                  <w:marRight w:val="0"/>
                  <w:marTop w:val="0"/>
                  <w:marBottom w:val="0"/>
                  <w:divBdr>
                    <w:top w:val="none" w:sz="0" w:space="0" w:color="auto"/>
                    <w:left w:val="none" w:sz="0" w:space="0" w:color="auto"/>
                    <w:bottom w:val="none" w:sz="0" w:space="0" w:color="auto"/>
                    <w:right w:val="none" w:sz="0" w:space="0" w:color="auto"/>
                  </w:divBdr>
                  <w:divsChild>
                    <w:div w:id="1726754921">
                      <w:marLeft w:val="0"/>
                      <w:marRight w:val="0"/>
                      <w:marTop w:val="0"/>
                      <w:marBottom w:val="0"/>
                      <w:divBdr>
                        <w:top w:val="none" w:sz="0" w:space="0" w:color="auto"/>
                        <w:left w:val="none" w:sz="0" w:space="0" w:color="auto"/>
                        <w:bottom w:val="none" w:sz="0" w:space="0" w:color="auto"/>
                        <w:right w:val="none" w:sz="0" w:space="0" w:color="auto"/>
                      </w:divBdr>
                    </w:div>
                  </w:divsChild>
                </w:div>
                <w:div w:id="1021976322">
                  <w:marLeft w:val="0"/>
                  <w:marRight w:val="0"/>
                  <w:marTop w:val="0"/>
                  <w:marBottom w:val="0"/>
                  <w:divBdr>
                    <w:top w:val="none" w:sz="0" w:space="0" w:color="auto"/>
                    <w:left w:val="none" w:sz="0" w:space="0" w:color="auto"/>
                    <w:bottom w:val="none" w:sz="0" w:space="0" w:color="auto"/>
                    <w:right w:val="none" w:sz="0" w:space="0" w:color="auto"/>
                  </w:divBdr>
                  <w:divsChild>
                    <w:div w:id="414399991">
                      <w:marLeft w:val="0"/>
                      <w:marRight w:val="0"/>
                      <w:marTop w:val="0"/>
                      <w:marBottom w:val="0"/>
                      <w:divBdr>
                        <w:top w:val="none" w:sz="0" w:space="0" w:color="auto"/>
                        <w:left w:val="none" w:sz="0" w:space="0" w:color="auto"/>
                        <w:bottom w:val="none" w:sz="0" w:space="0" w:color="auto"/>
                        <w:right w:val="none" w:sz="0" w:space="0" w:color="auto"/>
                      </w:divBdr>
                    </w:div>
                  </w:divsChild>
                </w:div>
                <w:div w:id="1023441272">
                  <w:marLeft w:val="0"/>
                  <w:marRight w:val="0"/>
                  <w:marTop w:val="0"/>
                  <w:marBottom w:val="0"/>
                  <w:divBdr>
                    <w:top w:val="none" w:sz="0" w:space="0" w:color="auto"/>
                    <w:left w:val="none" w:sz="0" w:space="0" w:color="auto"/>
                    <w:bottom w:val="none" w:sz="0" w:space="0" w:color="auto"/>
                    <w:right w:val="none" w:sz="0" w:space="0" w:color="auto"/>
                  </w:divBdr>
                  <w:divsChild>
                    <w:div w:id="2133283711">
                      <w:marLeft w:val="0"/>
                      <w:marRight w:val="0"/>
                      <w:marTop w:val="0"/>
                      <w:marBottom w:val="0"/>
                      <w:divBdr>
                        <w:top w:val="none" w:sz="0" w:space="0" w:color="auto"/>
                        <w:left w:val="none" w:sz="0" w:space="0" w:color="auto"/>
                        <w:bottom w:val="none" w:sz="0" w:space="0" w:color="auto"/>
                        <w:right w:val="none" w:sz="0" w:space="0" w:color="auto"/>
                      </w:divBdr>
                    </w:div>
                  </w:divsChild>
                </w:div>
                <w:div w:id="1026055916">
                  <w:marLeft w:val="0"/>
                  <w:marRight w:val="0"/>
                  <w:marTop w:val="0"/>
                  <w:marBottom w:val="0"/>
                  <w:divBdr>
                    <w:top w:val="none" w:sz="0" w:space="0" w:color="auto"/>
                    <w:left w:val="none" w:sz="0" w:space="0" w:color="auto"/>
                    <w:bottom w:val="none" w:sz="0" w:space="0" w:color="auto"/>
                    <w:right w:val="none" w:sz="0" w:space="0" w:color="auto"/>
                  </w:divBdr>
                  <w:divsChild>
                    <w:div w:id="632754802">
                      <w:marLeft w:val="0"/>
                      <w:marRight w:val="0"/>
                      <w:marTop w:val="0"/>
                      <w:marBottom w:val="0"/>
                      <w:divBdr>
                        <w:top w:val="none" w:sz="0" w:space="0" w:color="auto"/>
                        <w:left w:val="none" w:sz="0" w:space="0" w:color="auto"/>
                        <w:bottom w:val="none" w:sz="0" w:space="0" w:color="auto"/>
                        <w:right w:val="none" w:sz="0" w:space="0" w:color="auto"/>
                      </w:divBdr>
                    </w:div>
                  </w:divsChild>
                </w:div>
                <w:div w:id="1032608942">
                  <w:marLeft w:val="0"/>
                  <w:marRight w:val="0"/>
                  <w:marTop w:val="0"/>
                  <w:marBottom w:val="0"/>
                  <w:divBdr>
                    <w:top w:val="none" w:sz="0" w:space="0" w:color="auto"/>
                    <w:left w:val="none" w:sz="0" w:space="0" w:color="auto"/>
                    <w:bottom w:val="none" w:sz="0" w:space="0" w:color="auto"/>
                    <w:right w:val="none" w:sz="0" w:space="0" w:color="auto"/>
                  </w:divBdr>
                  <w:divsChild>
                    <w:div w:id="1109860649">
                      <w:marLeft w:val="0"/>
                      <w:marRight w:val="0"/>
                      <w:marTop w:val="0"/>
                      <w:marBottom w:val="0"/>
                      <w:divBdr>
                        <w:top w:val="none" w:sz="0" w:space="0" w:color="auto"/>
                        <w:left w:val="none" w:sz="0" w:space="0" w:color="auto"/>
                        <w:bottom w:val="none" w:sz="0" w:space="0" w:color="auto"/>
                        <w:right w:val="none" w:sz="0" w:space="0" w:color="auto"/>
                      </w:divBdr>
                    </w:div>
                  </w:divsChild>
                </w:div>
                <w:div w:id="1033842232">
                  <w:marLeft w:val="0"/>
                  <w:marRight w:val="0"/>
                  <w:marTop w:val="0"/>
                  <w:marBottom w:val="0"/>
                  <w:divBdr>
                    <w:top w:val="none" w:sz="0" w:space="0" w:color="auto"/>
                    <w:left w:val="none" w:sz="0" w:space="0" w:color="auto"/>
                    <w:bottom w:val="none" w:sz="0" w:space="0" w:color="auto"/>
                    <w:right w:val="none" w:sz="0" w:space="0" w:color="auto"/>
                  </w:divBdr>
                  <w:divsChild>
                    <w:div w:id="467667103">
                      <w:marLeft w:val="0"/>
                      <w:marRight w:val="0"/>
                      <w:marTop w:val="0"/>
                      <w:marBottom w:val="0"/>
                      <w:divBdr>
                        <w:top w:val="none" w:sz="0" w:space="0" w:color="auto"/>
                        <w:left w:val="none" w:sz="0" w:space="0" w:color="auto"/>
                        <w:bottom w:val="none" w:sz="0" w:space="0" w:color="auto"/>
                        <w:right w:val="none" w:sz="0" w:space="0" w:color="auto"/>
                      </w:divBdr>
                    </w:div>
                  </w:divsChild>
                </w:div>
                <w:div w:id="1046563483">
                  <w:marLeft w:val="0"/>
                  <w:marRight w:val="0"/>
                  <w:marTop w:val="0"/>
                  <w:marBottom w:val="0"/>
                  <w:divBdr>
                    <w:top w:val="none" w:sz="0" w:space="0" w:color="auto"/>
                    <w:left w:val="none" w:sz="0" w:space="0" w:color="auto"/>
                    <w:bottom w:val="none" w:sz="0" w:space="0" w:color="auto"/>
                    <w:right w:val="none" w:sz="0" w:space="0" w:color="auto"/>
                  </w:divBdr>
                  <w:divsChild>
                    <w:div w:id="716321093">
                      <w:marLeft w:val="0"/>
                      <w:marRight w:val="0"/>
                      <w:marTop w:val="0"/>
                      <w:marBottom w:val="0"/>
                      <w:divBdr>
                        <w:top w:val="none" w:sz="0" w:space="0" w:color="auto"/>
                        <w:left w:val="none" w:sz="0" w:space="0" w:color="auto"/>
                        <w:bottom w:val="none" w:sz="0" w:space="0" w:color="auto"/>
                        <w:right w:val="none" w:sz="0" w:space="0" w:color="auto"/>
                      </w:divBdr>
                    </w:div>
                  </w:divsChild>
                </w:div>
                <w:div w:id="1050494853">
                  <w:marLeft w:val="0"/>
                  <w:marRight w:val="0"/>
                  <w:marTop w:val="0"/>
                  <w:marBottom w:val="0"/>
                  <w:divBdr>
                    <w:top w:val="none" w:sz="0" w:space="0" w:color="auto"/>
                    <w:left w:val="none" w:sz="0" w:space="0" w:color="auto"/>
                    <w:bottom w:val="none" w:sz="0" w:space="0" w:color="auto"/>
                    <w:right w:val="none" w:sz="0" w:space="0" w:color="auto"/>
                  </w:divBdr>
                  <w:divsChild>
                    <w:div w:id="567770362">
                      <w:marLeft w:val="0"/>
                      <w:marRight w:val="0"/>
                      <w:marTop w:val="0"/>
                      <w:marBottom w:val="0"/>
                      <w:divBdr>
                        <w:top w:val="none" w:sz="0" w:space="0" w:color="auto"/>
                        <w:left w:val="none" w:sz="0" w:space="0" w:color="auto"/>
                        <w:bottom w:val="none" w:sz="0" w:space="0" w:color="auto"/>
                        <w:right w:val="none" w:sz="0" w:space="0" w:color="auto"/>
                      </w:divBdr>
                    </w:div>
                  </w:divsChild>
                </w:div>
                <w:div w:id="1050569103">
                  <w:marLeft w:val="0"/>
                  <w:marRight w:val="0"/>
                  <w:marTop w:val="0"/>
                  <w:marBottom w:val="0"/>
                  <w:divBdr>
                    <w:top w:val="none" w:sz="0" w:space="0" w:color="auto"/>
                    <w:left w:val="none" w:sz="0" w:space="0" w:color="auto"/>
                    <w:bottom w:val="none" w:sz="0" w:space="0" w:color="auto"/>
                    <w:right w:val="none" w:sz="0" w:space="0" w:color="auto"/>
                  </w:divBdr>
                  <w:divsChild>
                    <w:div w:id="1550454740">
                      <w:marLeft w:val="0"/>
                      <w:marRight w:val="0"/>
                      <w:marTop w:val="0"/>
                      <w:marBottom w:val="0"/>
                      <w:divBdr>
                        <w:top w:val="none" w:sz="0" w:space="0" w:color="auto"/>
                        <w:left w:val="none" w:sz="0" w:space="0" w:color="auto"/>
                        <w:bottom w:val="none" w:sz="0" w:space="0" w:color="auto"/>
                        <w:right w:val="none" w:sz="0" w:space="0" w:color="auto"/>
                      </w:divBdr>
                    </w:div>
                  </w:divsChild>
                </w:div>
                <w:div w:id="1053046692">
                  <w:marLeft w:val="0"/>
                  <w:marRight w:val="0"/>
                  <w:marTop w:val="0"/>
                  <w:marBottom w:val="0"/>
                  <w:divBdr>
                    <w:top w:val="none" w:sz="0" w:space="0" w:color="auto"/>
                    <w:left w:val="none" w:sz="0" w:space="0" w:color="auto"/>
                    <w:bottom w:val="none" w:sz="0" w:space="0" w:color="auto"/>
                    <w:right w:val="none" w:sz="0" w:space="0" w:color="auto"/>
                  </w:divBdr>
                  <w:divsChild>
                    <w:div w:id="443770825">
                      <w:marLeft w:val="0"/>
                      <w:marRight w:val="0"/>
                      <w:marTop w:val="0"/>
                      <w:marBottom w:val="0"/>
                      <w:divBdr>
                        <w:top w:val="none" w:sz="0" w:space="0" w:color="auto"/>
                        <w:left w:val="none" w:sz="0" w:space="0" w:color="auto"/>
                        <w:bottom w:val="none" w:sz="0" w:space="0" w:color="auto"/>
                        <w:right w:val="none" w:sz="0" w:space="0" w:color="auto"/>
                      </w:divBdr>
                    </w:div>
                  </w:divsChild>
                </w:div>
                <w:div w:id="1059866688">
                  <w:marLeft w:val="0"/>
                  <w:marRight w:val="0"/>
                  <w:marTop w:val="0"/>
                  <w:marBottom w:val="0"/>
                  <w:divBdr>
                    <w:top w:val="none" w:sz="0" w:space="0" w:color="auto"/>
                    <w:left w:val="none" w:sz="0" w:space="0" w:color="auto"/>
                    <w:bottom w:val="none" w:sz="0" w:space="0" w:color="auto"/>
                    <w:right w:val="none" w:sz="0" w:space="0" w:color="auto"/>
                  </w:divBdr>
                  <w:divsChild>
                    <w:div w:id="476605472">
                      <w:marLeft w:val="0"/>
                      <w:marRight w:val="0"/>
                      <w:marTop w:val="0"/>
                      <w:marBottom w:val="0"/>
                      <w:divBdr>
                        <w:top w:val="none" w:sz="0" w:space="0" w:color="auto"/>
                        <w:left w:val="none" w:sz="0" w:space="0" w:color="auto"/>
                        <w:bottom w:val="none" w:sz="0" w:space="0" w:color="auto"/>
                        <w:right w:val="none" w:sz="0" w:space="0" w:color="auto"/>
                      </w:divBdr>
                    </w:div>
                  </w:divsChild>
                </w:div>
                <w:div w:id="1062406160">
                  <w:marLeft w:val="0"/>
                  <w:marRight w:val="0"/>
                  <w:marTop w:val="0"/>
                  <w:marBottom w:val="0"/>
                  <w:divBdr>
                    <w:top w:val="none" w:sz="0" w:space="0" w:color="auto"/>
                    <w:left w:val="none" w:sz="0" w:space="0" w:color="auto"/>
                    <w:bottom w:val="none" w:sz="0" w:space="0" w:color="auto"/>
                    <w:right w:val="none" w:sz="0" w:space="0" w:color="auto"/>
                  </w:divBdr>
                  <w:divsChild>
                    <w:div w:id="2142140866">
                      <w:marLeft w:val="0"/>
                      <w:marRight w:val="0"/>
                      <w:marTop w:val="0"/>
                      <w:marBottom w:val="0"/>
                      <w:divBdr>
                        <w:top w:val="none" w:sz="0" w:space="0" w:color="auto"/>
                        <w:left w:val="none" w:sz="0" w:space="0" w:color="auto"/>
                        <w:bottom w:val="none" w:sz="0" w:space="0" w:color="auto"/>
                        <w:right w:val="none" w:sz="0" w:space="0" w:color="auto"/>
                      </w:divBdr>
                    </w:div>
                  </w:divsChild>
                </w:div>
                <w:div w:id="1065448012">
                  <w:marLeft w:val="0"/>
                  <w:marRight w:val="0"/>
                  <w:marTop w:val="0"/>
                  <w:marBottom w:val="0"/>
                  <w:divBdr>
                    <w:top w:val="none" w:sz="0" w:space="0" w:color="auto"/>
                    <w:left w:val="none" w:sz="0" w:space="0" w:color="auto"/>
                    <w:bottom w:val="none" w:sz="0" w:space="0" w:color="auto"/>
                    <w:right w:val="none" w:sz="0" w:space="0" w:color="auto"/>
                  </w:divBdr>
                  <w:divsChild>
                    <w:div w:id="1865095715">
                      <w:marLeft w:val="0"/>
                      <w:marRight w:val="0"/>
                      <w:marTop w:val="0"/>
                      <w:marBottom w:val="0"/>
                      <w:divBdr>
                        <w:top w:val="none" w:sz="0" w:space="0" w:color="auto"/>
                        <w:left w:val="none" w:sz="0" w:space="0" w:color="auto"/>
                        <w:bottom w:val="none" w:sz="0" w:space="0" w:color="auto"/>
                        <w:right w:val="none" w:sz="0" w:space="0" w:color="auto"/>
                      </w:divBdr>
                    </w:div>
                  </w:divsChild>
                </w:div>
                <w:div w:id="1070233443">
                  <w:marLeft w:val="0"/>
                  <w:marRight w:val="0"/>
                  <w:marTop w:val="0"/>
                  <w:marBottom w:val="0"/>
                  <w:divBdr>
                    <w:top w:val="none" w:sz="0" w:space="0" w:color="auto"/>
                    <w:left w:val="none" w:sz="0" w:space="0" w:color="auto"/>
                    <w:bottom w:val="none" w:sz="0" w:space="0" w:color="auto"/>
                    <w:right w:val="none" w:sz="0" w:space="0" w:color="auto"/>
                  </w:divBdr>
                  <w:divsChild>
                    <w:div w:id="17436958">
                      <w:marLeft w:val="0"/>
                      <w:marRight w:val="0"/>
                      <w:marTop w:val="0"/>
                      <w:marBottom w:val="0"/>
                      <w:divBdr>
                        <w:top w:val="none" w:sz="0" w:space="0" w:color="auto"/>
                        <w:left w:val="none" w:sz="0" w:space="0" w:color="auto"/>
                        <w:bottom w:val="none" w:sz="0" w:space="0" w:color="auto"/>
                        <w:right w:val="none" w:sz="0" w:space="0" w:color="auto"/>
                      </w:divBdr>
                    </w:div>
                  </w:divsChild>
                </w:div>
                <w:div w:id="1075474990">
                  <w:marLeft w:val="0"/>
                  <w:marRight w:val="0"/>
                  <w:marTop w:val="0"/>
                  <w:marBottom w:val="0"/>
                  <w:divBdr>
                    <w:top w:val="none" w:sz="0" w:space="0" w:color="auto"/>
                    <w:left w:val="none" w:sz="0" w:space="0" w:color="auto"/>
                    <w:bottom w:val="none" w:sz="0" w:space="0" w:color="auto"/>
                    <w:right w:val="none" w:sz="0" w:space="0" w:color="auto"/>
                  </w:divBdr>
                  <w:divsChild>
                    <w:div w:id="1025909994">
                      <w:marLeft w:val="0"/>
                      <w:marRight w:val="0"/>
                      <w:marTop w:val="0"/>
                      <w:marBottom w:val="0"/>
                      <w:divBdr>
                        <w:top w:val="none" w:sz="0" w:space="0" w:color="auto"/>
                        <w:left w:val="none" w:sz="0" w:space="0" w:color="auto"/>
                        <w:bottom w:val="none" w:sz="0" w:space="0" w:color="auto"/>
                        <w:right w:val="none" w:sz="0" w:space="0" w:color="auto"/>
                      </w:divBdr>
                    </w:div>
                  </w:divsChild>
                </w:div>
                <w:div w:id="1079979211">
                  <w:marLeft w:val="0"/>
                  <w:marRight w:val="0"/>
                  <w:marTop w:val="0"/>
                  <w:marBottom w:val="0"/>
                  <w:divBdr>
                    <w:top w:val="none" w:sz="0" w:space="0" w:color="auto"/>
                    <w:left w:val="none" w:sz="0" w:space="0" w:color="auto"/>
                    <w:bottom w:val="none" w:sz="0" w:space="0" w:color="auto"/>
                    <w:right w:val="none" w:sz="0" w:space="0" w:color="auto"/>
                  </w:divBdr>
                  <w:divsChild>
                    <w:div w:id="564335799">
                      <w:marLeft w:val="0"/>
                      <w:marRight w:val="0"/>
                      <w:marTop w:val="0"/>
                      <w:marBottom w:val="0"/>
                      <w:divBdr>
                        <w:top w:val="none" w:sz="0" w:space="0" w:color="auto"/>
                        <w:left w:val="none" w:sz="0" w:space="0" w:color="auto"/>
                        <w:bottom w:val="none" w:sz="0" w:space="0" w:color="auto"/>
                        <w:right w:val="none" w:sz="0" w:space="0" w:color="auto"/>
                      </w:divBdr>
                    </w:div>
                  </w:divsChild>
                </w:div>
                <w:div w:id="1080298873">
                  <w:marLeft w:val="0"/>
                  <w:marRight w:val="0"/>
                  <w:marTop w:val="0"/>
                  <w:marBottom w:val="0"/>
                  <w:divBdr>
                    <w:top w:val="none" w:sz="0" w:space="0" w:color="auto"/>
                    <w:left w:val="none" w:sz="0" w:space="0" w:color="auto"/>
                    <w:bottom w:val="none" w:sz="0" w:space="0" w:color="auto"/>
                    <w:right w:val="none" w:sz="0" w:space="0" w:color="auto"/>
                  </w:divBdr>
                  <w:divsChild>
                    <w:div w:id="2096705711">
                      <w:marLeft w:val="0"/>
                      <w:marRight w:val="0"/>
                      <w:marTop w:val="0"/>
                      <w:marBottom w:val="0"/>
                      <w:divBdr>
                        <w:top w:val="none" w:sz="0" w:space="0" w:color="auto"/>
                        <w:left w:val="none" w:sz="0" w:space="0" w:color="auto"/>
                        <w:bottom w:val="none" w:sz="0" w:space="0" w:color="auto"/>
                        <w:right w:val="none" w:sz="0" w:space="0" w:color="auto"/>
                      </w:divBdr>
                    </w:div>
                  </w:divsChild>
                </w:div>
                <w:div w:id="1090584795">
                  <w:marLeft w:val="0"/>
                  <w:marRight w:val="0"/>
                  <w:marTop w:val="0"/>
                  <w:marBottom w:val="0"/>
                  <w:divBdr>
                    <w:top w:val="none" w:sz="0" w:space="0" w:color="auto"/>
                    <w:left w:val="none" w:sz="0" w:space="0" w:color="auto"/>
                    <w:bottom w:val="none" w:sz="0" w:space="0" w:color="auto"/>
                    <w:right w:val="none" w:sz="0" w:space="0" w:color="auto"/>
                  </w:divBdr>
                  <w:divsChild>
                    <w:div w:id="1550067323">
                      <w:marLeft w:val="0"/>
                      <w:marRight w:val="0"/>
                      <w:marTop w:val="0"/>
                      <w:marBottom w:val="0"/>
                      <w:divBdr>
                        <w:top w:val="none" w:sz="0" w:space="0" w:color="auto"/>
                        <w:left w:val="none" w:sz="0" w:space="0" w:color="auto"/>
                        <w:bottom w:val="none" w:sz="0" w:space="0" w:color="auto"/>
                        <w:right w:val="none" w:sz="0" w:space="0" w:color="auto"/>
                      </w:divBdr>
                    </w:div>
                  </w:divsChild>
                </w:div>
                <w:div w:id="1095786496">
                  <w:marLeft w:val="0"/>
                  <w:marRight w:val="0"/>
                  <w:marTop w:val="0"/>
                  <w:marBottom w:val="0"/>
                  <w:divBdr>
                    <w:top w:val="none" w:sz="0" w:space="0" w:color="auto"/>
                    <w:left w:val="none" w:sz="0" w:space="0" w:color="auto"/>
                    <w:bottom w:val="none" w:sz="0" w:space="0" w:color="auto"/>
                    <w:right w:val="none" w:sz="0" w:space="0" w:color="auto"/>
                  </w:divBdr>
                  <w:divsChild>
                    <w:div w:id="71002234">
                      <w:marLeft w:val="0"/>
                      <w:marRight w:val="0"/>
                      <w:marTop w:val="0"/>
                      <w:marBottom w:val="0"/>
                      <w:divBdr>
                        <w:top w:val="none" w:sz="0" w:space="0" w:color="auto"/>
                        <w:left w:val="none" w:sz="0" w:space="0" w:color="auto"/>
                        <w:bottom w:val="none" w:sz="0" w:space="0" w:color="auto"/>
                        <w:right w:val="none" w:sz="0" w:space="0" w:color="auto"/>
                      </w:divBdr>
                    </w:div>
                  </w:divsChild>
                </w:div>
                <w:div w:id="1101030880">
                  <w:marLeft w:val="0"/>
                  <w:marRight w:val="0"/>
                  <w:marTop w:val="0"/>
                  <w:marBottom w:val="0"/>
                  <w:divBdr>
                    <w:top w:val="none" w:sz="0" w:space="0" w:color="auto"/>
                    <w:left w:val="none" w:sz="0" w:space="0" w:color="auto"/>
                    <w:bottom w:val="none" w:sz="0" w:space="0" w:color="auto"/>
                    <w:right w:val="none" w:sz="0" w:space="0" w:color="auto"/>
                  </w:divBdr>
                  <w:divsChild>
                    <w:div w:id="695354731">
                      <w:marLeft w:val="0"/>
                      <w:marRight w:val="0"/>
                      <w:marTop w:val="0"/>
                      <w:marBottom w:val="0"/>
                      <w:divBdr>
                        <w:top w:val="none" w:sz="0" w:space="0" w:color="auto"/>
                        <w:left w:val="none" w:sz="0" w:space="0" w:color="auto"/>
                        <w:bottom w:val="none" w:sz="0" w:space="0" w:color="auto"/>
                        <w:right w:val="none" w:sz="0" w:space="0" w:color="auto"/>
                      </w:divBdr>
                    </w:div>
                  </w:divsChild>
                </w:div>
                <w:div w:id="1104806642">
                  <w:marLeft w:val="0"/>
                  <w:marRight w:val="0"/>
                  <w:marTop w:val="0"/>
                  <w:marBottom w:val="0"/>
                  <w:divBdr>
                    <w:top w:val="none" w:sz="0" w:space="0" w:color="auto"/>
                    <w:left w:val="none" w:sz="0" w:space="0" w:color="auto"/>
                    <w:bottom w:val="none" w:sz="0" w:space="0" w:color="auto"/>
                    <w:right w:val="none" w:sz="0" w:space="0" w:color="auto"/>
                  </w:divBdr>
                  <w:divsChild>
                    <w:div w:id="2131512127">
                      <w:marLeft w:val="0"/>
                      <w:marRight w:val="0"/>
                      <w:marTop w:val="0"/>
                      <w:marBottom w:val="0"/>
                      <w:divBdr>
                        <w:top w:val="none" w:sz="0" w:space="0" w:color="auto"/>
                        <w:left w:val="none" w:sz="0" w:space="0" w:color="auto"/>
                        <w:bottom w:val="none" w:sz="0" w:space="0" w:color="auto"/>
                        <w:right w:val="none" w:sz="0" w:space="0" w:color="auto"/>
                      </w:divBdr>
                    </w:div>
                  </w:divsChild>
                </w:div>
                <w:div w:id="1107119598">
                  <w:marLeft w:val="0"/>
                  <w:marRight w:val="0"/>
                  <w:marTop w:val="0"/>
                  <w:marBottom w:val="0"/>
                  <w:divBdr>
                    <w:top w:val="none" w:sz="0" w:space="0" w:color="auto"/>
                    <w:left w:val="none" w:sz="0" w:space="0" w:color="auto"/>
                    <w:bottom w:val="none" w:sz="0" w:space="0" w:color="auto"/>
                    <w:right w:val="none" w:sz="0" w:space="0" w:color="auto"/>
                  </w:divBdr>
                  <w:divsChild>
                    <w:div w:id="417680401">
                      <w:marLeft w:val="0"/>
                      <w:marRight w:val="0"/>
                      <w:marTop w:val="0"/>
                      <w:marBottom w:val="0"/>
                      <w:divBdr>
                        <w:top w:val="none" w:sz="0" w:space="0" w:color="auto"/>
                        <w:left w:val="none" w:sz="0" w:space="0" w:color="auto"/>
                        <w:bottom w:val="none" w:sz="0" w:space="0" w:color="auto"/>
                        <w:right w:val="none" w:sz="0" w:space="0" w:color="auto"/>
                      </w:divBdr>
                    </w:div>
                  </w:divsChild>
                </w:div>
                <w:div w:id="1115561339">
                  <w:marLeft w:val="0"/>
                  <w:marRight w:val="0"/>
                  <w:marTop w:val="0"/>
                  <w:marBottom w:val="0"/>
                  <w:divBdr>
                    <w:top w:val="none" w:sz="0" w:space="0" w:color="auto"/>
                    <w:left w:val="none" w:sz="0" w:space="0" w:color="auto"/>
                    <w:bottom w:val="none" w:sz="0" w:space="0" w:color="auto"/>
                    <w:right w:val="none" w:sz="0" w:space="0" w:color="auto"/>
                  </w:divBdr>
                  <w:divsChild>
                    <w:div w:id="767577959">
                      <w:marLeft w:val="0"/>
                      <w:marRight w:val="0"/>
                      <w:marTop w:val="0"/>
                      <w:marBottom w:val="0"/>
                      <w:divBdr>
                        <w:top w:val="none" w:sz="0" w:space="0" w:color="auto"/>
                        <w:left w:val="none" w:sz="0" w:space="0" w:color="auto"/>
                        <w:bottom w:val="none" w:sz="0" w:space="0" w:color="auto"/>
                        <w:right w:val="none" w:sz="0" w:space="0" w:color="auto"/>
                      </w:divBdr>
                    </w:div>
                  </w:divsChild>
                </w:div>
                <w:div w:id="1116485844">
                  <w:marLeft w:val="0"/>
                  <w:marRight w:val="0"/>
                  <w:marTop w:val="0"/>
                  <w:marBottom w:val="0"/>
                  <w:divBdr>
                    <w:top w:val="none" w:sz="0" w:space="0" w:color="auto"/>
                    <w:left w:val="none" w:sz="0" w:space="0" w:color="auto"/>
                    <w:bottom w:val="none" w:sz="0" w:space="0" w:color="auto"/>
                    <w:right w:val="none" w:sz="0" w:space="0" w:color="auto"/>
                  </w:divBdr>
                  <w:divsChild>
                    <w:div w:id="1088189146">
                      <w:marLeft w:val="0"/>
                      <w:marRight w:val="0"/>
                      <w:marTop w:val="0"/>
                      <w:marBottom w:val="0"/>
                      <w:divBdr>
                        <w:top w:val="none" w:sz="0" w:space="0" w:color="auto"/>
                        <w:left w:val="none" w:sz="0" w:space="0" w:color="auto"/>
                        <w:bottom w:val="none" w:sz="0" w:space="0" w:color="auto"/>
                        <w:right w:val="none" w:sz="0" w:space="0" w:color="auto"/>
                      </w:divBdr>
                    </w:div>
                  </w:divsChild>
                </w:div>
                <w:div w:id="1117262736">
                  <w:marLeft w:val="0"/>
                  <w:marRight w:val="0"/>
                  <w:marTop w:val="0"/>
                  <w:marBottom w:val="0"/>
                  <w:divBdr>
                    <w:top w:val="none" w:sz="0" w:space="0" w:color="auto"/>
                    <w:left w:val="none" w:sz="0" w:space="0" w:color="auto"/>
                    <w:bottom w:val="none" w:sz="0" w:space="0" w:color="auto"/>
                    <w:right w:val="none" w:sz="0" w:space="0" w:color="auto"/>
                  </w:divBdr>
                  <w:divsChild>
                    <w:div w:id="1909924564">
                      <w:marLeft w:val="0"/>
                      <w:marRight w:val="0"/>
                      <w:marTop w:val="0"/>
                      <w:marBottom w:val="0"/>
                      <w:divBdr>
                        <w:top w:val="none" w:sz="0" w:space="0" w:color="auto"/>
                        <w:left w:val="none" w:sz="0" w:space="0" w:color="auto"/>
                        <w:bottom w:val="none" w:sz="0" w:space="0" w:color="auto"/>
                        <w:right w:val="none" w:sz="0" w:space="0" w:color="auto"/>
                      </w:divBdr>
                    </w:div>
                  </w:divsChild>
                </w:div>
                <w:div w:id="1123498275">
                  <w:marLeft w:val="0"/>
                  <w:marRight w:val="0"/>
                  <w:marTop w:val="0"/>
                  <w:marBottom w:val="0"/>
                  <w:divBdr>
                    <w:top w:val="none" w:sz="0" w:space="0" w:color="auto"/>
                    <w:left w:val="none" w:sz="0" w:space="0" w:color="auto"/>
                    <w:bottom w:val="none" w:sz="0" w:space="0" w:color="auto"/>
                    <w:right w:val="none" w:sz="0" w:space="0" w:color="auto"/>
                  </w:divBdr>
                  <w:divsChild>
                    <w:div w:id="1830517463">
                      <w:marLeft w:val="0"/>
                      <w:marRight w:val="0"/>
                      <w:marTop w:val="0"/>
                      <w:marBottom w:val="0"/>
                      <w:divBdr>
                        <w:top w:val="none" w:sz="0" w:space="0" w:color="auto"/>
                        <w:left w:val="none" w:sz="0" w:space="0" w:color="auto"/>
                        <w:bottom w:val="none" w:sz="0" w:space="0" w:color="auto"/>
                        <w:right w:val="none" w:sz="0" w:space="0" w:color="auto"/>
                      </w:divBdr>
                    </w:div>
                  </w:divsChild>
                </w:div>
                <w:div w:id="1137527767">
                  <w:marLeft w:val="0"/>
                  <w:marRight w:val="0"/>
                  <w:marTop w:val="0"/>
                  <w:marBottom w:val="0"/>
                  <w:divBdr>
                    <w:top w:val="none" w:sz="0" w:space="0" w:color="auto"/>
                    <w:left w:val="none" w:sz="0" w:space="0" w:color="auto"/>
                    <w:bottom w:val="none" w:sz="0" w:space="0" w:color="auto"/>
                    <w:right w:val="none" w:sz="0" w:space="0" w:color="auto"/>
                  </w:divBdr>
                  <w:divsChild>
                    <w:div w:id="168062809">
                      <w:marLeft w:val="0"/>
                      <w:marRight w:val="0"/>
                      <w:marTop w:val="0"/>
                      <w:marBottom w:val="0"/>
                      <w:divBdr>
                        <w:top w:val="none" w:sz="0" w:space="0" w:color="auto"/>
                        <w:left w:val="none" w:sz="0" w:space="0" w:color="auto"/>
                        <w:bottom w:val="none" w:sz="0" w:space="0" w:color="auto"/>
                        <w:right w:val="none" w:sz="0" w:space="0" w:color="auto"/>
                      </w:divBdr>
                    </w:div>
                    <w:div w:id="669257528">
                      <w:marLeft w:val="0"/>
                      <w:marRight w:val="0"/>
                      <w:marTop w:val="0"/>
                      <w:marBottom w:val="0"/>
                      <w:divBdr>
                        <w:top w:val="none" w:sz="0" w:space="0" w:color="auto"/>
                        <w:left w:val="none" w:sz="0" w:space="0" w:color="auto"/>
                        <w:bottom w:val="none" w:sz="0" w:space="0" w:color="auto"/>
                        <w:right w:val="none" w:sz="0" w:space="0" w:color="auto"/>
                      </w:divBdr>
                    </w:div>
                    <w:div w:id="1222903207">
                      <w:marLeft w:val="0"/>
                      <w:marRight w:val="0"/>
                      <w:marTop w:val="0"/>
                      <w:marBottom w:val="0"/>
                      <w:divBdr>
                        <w:top w:val="none" w:sz="0" w:space="0" w:color="auto"/>
                        <w:left w:val="none" w:sz="0" w:space="0" w:color="auto"/>
                        <w:bottom w:val="none" w:sz="0" w:space="0" w:color="auto"/>
                        <w:right w:val="none" w:sz="0" w:space="0" w:color="auto"/>
                      </w:divBdr>
                    </w:div>
                    <w:div w:id="1735156913">
                      <w:marLeft w:val="0"/>
                      <w:marRight w:val="0"/>
                      <w:marTop w:val="0"/>
                      <w:marBottom w:val="0"/>
                      <w:divBdr>
                        <w:top w:val="none" w:sz="0" w:space="0" w:color="auto"/>
                        <w:left w:val="none" w:sz="0" w:space="0" w:color="auto"/>
                        <w:bottom w:val="none" w:sz="0" w:space="0" w:color="auto"/>
                        <w:right w:val="none" w:sz="0" w:space="0" w:color="auto"/>
                      </w:divBdr>
                    </w:div>
                    <w:div w:id="1741754592">
                      <w:marLeft w:val="0"/>
                      <w:marRight w:val="0"/>
                      <w:marTop w:val="0"/>
                      <w:marBottom w:val="0"/>
                      <w:divBdr>
                        <w:top w:val="none" w:sz="0" w:space="0" w:color="auto"/>
                        <w:left w:val="none" w:sz="0" w:space="0" w:color="auto"/>
                        <w:bottom w:val="none" w:sz="0" w:space="0" w:color="auto"/>
                        <w:right w:val="none" w:sz="0" w:space="0" w:color="auto"/>
                      </w:divBdr>
                    </w:div>
                    <w:div w:id="1832720732">
                      <w:marLeft w:val="0"/>
                      <w:marRight w:val="0"/>
                      <w:marTop w:val="0"/>
                      <w:marBottom w:val="0"/>
                      <w:divBdr>
                        <w:top w:val="none" w:sz="0" w:space="0" w:color="auto"/>
                        <w:left w:val="none" w:sz="0" w:space="0" w:color="auto"/>
                        <w:bottom w:val="none" w:sz="0" w:space="0" w:color="auto"/>
                        <w:right w:val="none" w:sz="0" w:space="0" w:color="auto"/>
                      </w:divBdr>
                    </w:div>
                    <w:div w:id="1890215711">
                      <w:marLeft w:val="0"/>
                      <w:marRight w:val="0"/>
                      <w:marTop w:val="0"/>
                      <w:marBottom w:val="0"/>
                      <w:divBdr>
                        <w:top w:val="none" w:sz="0" w:space="0" w:color="auto"/>
                        <w:left w:val="none" w:sz="0" w:space="0" w:color="auto"/>
                        <w:bottom w:val="none" w:sz="0" w:space="0" w:color="auto"/>
                        <w:right w:val="none" w:sz="0" w:space="0" w:color="auto"/>
                      </w:divBdr>
                    </w:div>
                    <w:div w:id="1968076859">
                      <w:marLeft w:val="0"/>
                      <w:marRight w:val="0"/>
                      <w:marTop w:val="0"/>
                      <w:marBottom w:val="0"/>
                      <w:divBdr>
                        <w:top w:val="none" w:sz="0" w:space="0" w:color="auto"/>
                        <w:left w:val="none" w:sz="0" w:space="0" w:color="auto"/>
                        <w:bottom w:val="none" w:sz="0" w:space="0" w:color="auto"/>
                        <w:right w:val="none" w:sz="0" w:space="0" w:color="auto"/>
                      </w:divBdr>
                    </w:div>
                    <w:div w:id="2146464123">
                      <w:marLeft w:val="0"/>
                      <w:marRight w:val="0"/>
                      <w:marTop w:val="0"/>
                      <w:marBottom w:val="0"/>
                      <w:divBdr>
                        <w:top w:val="none" w:sz="0" w:space="0" w:color="auto"/>
                        <w:left w:val="none" w:sz="0" w:space="0" w:color="auto"/>
                        <w:bottom w:val="none" w:sz="0" w:space="0" w:color="auto"/>
                        <w:right w:val="none" w:sz="0" w:space="0" w:color="auto"/>
                      </w:divBdr>
                    </w:div>
                  </w:divsChild>
                </w:div>
                <w:div w:id="1137919501">
                  <w:marLeft w:val="0"/>
                  <w:marRight w:val="0"/>
                  <w:marTop w:val="0"/>
                  <w:marBottom w:val="0"/>
                  <w:divBdr>
                    <w:top w:val="none" w:sz="0" w:space="0" w:color="auto"/>
                    <w:left w:val="none" w:sz="0" w:space="0" w:color="auto"/>
                    <w:bottom w:val="none" w:sz="0" w:space="0" w:color="auto"/>
                    <w:right w:val="none" w:sz="0" w:space="0" w:color="auto"/>
                  </w:divBdr>
                  <w:divsChild>
                    <w:div w:id="345836880">
                      <w:marLeft w:val="0"/>
                      <w:marRight w:val="0"/>
                      <w:marTop w:val="0"/>
                      <w:marBottom w:val="0"/>
                      <w:divBdr>
                        <w:top w:val="none" w:sz="0" w:space="0" w:color="auto"/>
                        <w:left w:val="none" w:sz="0" w:space="0" w:color="auto"/>
                        <w:bottom w:val="none" w:sz="0" w:space="0" w:color="auto"/>
                        <w:right w:val="none" w:sz="0" w:space="0" w:color="auto"/>
                      </w:divBdr>
                    </w:div>
                  </w:divsChild>
                </w:div>
                <w:div w:id="1159273707">
                  <w:marLeft w:val="0"/>
                  <w:marRight w:val="0"/>
                  <w:marTop w:val="0"/>
                  <w:marBottom w:val="0"/>
                  <w:divBdr>
                    <w:top w:val="none" w:sz="0" w:space="0" w:color="auto"/>
                    <w:left w:val="none" w:sz="0" w:space="0" w:color="auto"/>
                    <w:bottom w:val="none" w:sz="0" w:space="0" w:color="auto"/>
                    <w:right w:val="none" w:sz="0" w:space="0" w:color="auto"/>
                  </w:divBdr>
                  <w:divsChild>
                    <w:div w:id="606960477">
                      <w:marLeft w:val="0"/>
                      <w:marRight w:val="0"/>
                      <w:marTop w:val="0"/>
                      <w:marBottom w:val="0"/>
                      <w:divBdr>
                        <w:top w:val="none" w:sz="0" w:space="0" w:color="auto"/>
                        <w:left w:val="none" w:sz="0" w:space="0" w:color="auto"/>
                        <w:bottom w:val="none" w:sz="0" w:space="0" w:color="auto"/>
                        <w:right w:val="none" w:sz="0" w:space="0" w:color="auto"/>
                      </w:divBdr>
                    </w:div>
                  </w:divsChild>
                </w:div>
                <w:div w:id="1160999668">
                  <w:marLeft w:val="0"/>
                  <w:marRight w:val="0"/>
                  <w:marTop w:val="0"/>
                  <w:marBottom w:val="0"/>
                  <w:divBdr>
                    <w:top w:val="none" w:sz="0" w:space="0" w:color="auto"/>
                    <w:left w:val="none" w:sz="0" w:space="0" w:color="auto"/>
                    <w:bottom w:val="none" w:sz="0" w:space="0" w:color="auto"/>
                    <w:right w:val="none" w:sz="0" w:space="0" w:color="auto"/>
                  </w:divBdr>
                  <w:divsChild>
                    <w:div w:id="125706411">
                      <w:marLeft w:val="0"/>
                      <w:marRight w:val="0"/>
                      <w:marTop w:val="0"/>
                      <w:marBottom w:val="0"/>
                      <w:divBdr>
                        <w:top w:val="none" w:sz="0" w:space="0" w:color="auto"/>
                        <w:left w:val="none" w:sz="0" w:space="0" w:color="auto"/>
                        <w:bottom w:val="none" w:sz="0" w:space="0" w:color="auto"/>
                        <w:right w:val="none" w:sz="0" w:space="0" w:color="auto"/>
                      </w:divBdr>
                    </w:div>
                  </w:divsChild>
                </w:div>
                <w:div w:id="1178500598">
                  <w:marLeft w:val="0"/>
                  <w:marRight w:val="0"/>
                  <w:marTop w:val="0"/>
                  <w:marBottom w:val="0"/>
                  <w:divBdr>
                    <w:top w:val="none" w:sz="0" w:space="0" w:color="auto"/>
                    <w:left w:val="none" w:sz="0" w:space="0" w:color="auto"/>
                    <w:bottom w:val="none" w:sz="0" w:space="0" w:color="auto"/>
                    <w:right w:val="none" w:sz="0" w:space="0" w:color="auto"/>
                  </w:divBdr>
                  <w:divsChild>
                    <w:div w:id="478377570">
                      <w:marLeft w:val="0"/>
                      <w:marRight w:val="0"/>
                      <w:marTop w:val="0"/>
                      <w:marBottom w:val="0"/>
                      <w:divBdr>
                        <w:top w:val="none" w:sz="0" w:space="0" w:color="auto"/>
                        <w:left w:val="none" w:sz="0" w:space="0" w:color="auto"/>
                        <w:bottom w:val="none" w:sz="0" w:space="0" w:color="auto"/>
                        <w:right w:val="none" w:sz="0" w:space="0" w:color="auto"/>
                      </w:divBdr>
                    </w:div>
                  </w:divsChild>
                </w:div>
                <w:div w:id="1180974196">
                  <w:marLeft w:val="0"/>
                  <w:marRight w:val="0"/>
                  <w:marTop w:val="0"/>
                  <w:marBottom w:val="0"/>
                  <w:divBdr>
                    <w:top w:val="none" w:sz="0" w:space="0" w:color="auto"/>
                    <w:left w:val="none" w:sz="0" w:space="0" w:color="auto"/>
                    <w:bottom w:val="none" w:sz="0" w:space="0" w:color="auto"/>
                    <w:right w:val="none" w:sz="0" w:space="0" w:color="auto"/>
                  </w:divBdr>
                  <w:divsChild>
                    <w:div w:id="1067268639">
                      <w:marLeft w:val="0"/>
                      <w:marRight w:val="0"/>
                      <w:marTop w:val="0"/>
                      <w:marBottom w:val="0"/>
                      <w:divBdr>
                        <w:top w:val="none" w:sz="0" w:space="0" w:color="auto"/>
                        <w:left w:val="none" w:sz="0" w:space="0" w:color="auto"/>
                        <w:bottom w:val="none" w:sz="0" w:space="0" w:color="auto"/>
                        <w:right w:val="none" w:sz="0" w:space="0" w:color="auto"/>
                      </w:divBdr>
                    </w:div>
                  </w:divsChild>
                </w:div>
                <w:div w:id="1181165701">
                  <w:marLeft w:val="0"/>
                  <w:marRight w:val="0"/>
                  <w:marTop w:val="0"/>
                  <w:marBottom w:val="0"/>
                  <w:divBdr>
                    <w:top w:val="none" w:sz="0" w:space="0" w:color="auto"/>
                    <w:left w:val="none" w:sz="0" w:space="0" w:color="auto"/>
                    <w:bottom w:val="none" w:sz="0" w:space="0" w:color="auto"/>
                    <w:right w:val="none" w:sz="0" w:space="0" w:color="auto"/>
                  </w:divBdr>
                  <w:divsChild>
                    <w:div w:id="2057653802">
                      <w:marLeft w:val="0"/>
                      <w:marRight w:val="0"/>
                      <w:marTop w:val="0"/>
                      <w:marBottom w:val="0"/>
                      <w:divBdr>
                        <w:top w:val="none" w:sz="0" w:space="0" w:color="auto"/>
                        <w:left w:val="none" w:sz="0" w:space="0" w:color="auto"/>
                        <w:bottom w:val="none" w:sz="0" w:space="0" w:color="auto"/>
                        <w:right w:val="none" w:sz="0" w:space="0" w:color="auto"/>
                      </w:divBdr>
                    </w:div>
                  </w:divsChild>
                </w:div>
                <w:div w:id="1183743398">
                  <w:marLeft w:val="0"/>
                  <w:marRight w:val="0"/>
                  <w:marTop w:val="0"/>
                  <w:marBottom w:val="0"/>
                  <w:divBdr>
                    <w:top w:val="none" w:sz="0" w:space="0" w:color="auto"/>
                    <w:left w:val="none" w:sz="0" w:space="0" w:color="auto"/>
                    <w:bottom w:val="none" w:sz="0" w:space="0" w:color="auto"/>
                    <w:right w:val="none" w:sz="0" w:space="0" w:color="auto"/>
                  </w:divBdr>
                  <w:divsChild>
                    <w:div w:id="616181245">
                      <w:marLeft w:val="0"/>
                      <w:marRight w:val="0"/>
                      <w:marTop w:val="0"/>
                      <w:marBottom w:val="0"/>
                      <w:divBdr>
                        <w:top w:val="none" w:sz="0" w:space="0" w:color="auto"/>
                        <w:left w:val="none" w:sz="0" w:space="0" w:color="auto"/>
                        <w:bottom w:val="none" w:sz="0" w:space="0" w:color="auto"/>
                        <w:right w:val="none" w:sz="0" w:space="0" w:color="auto"/>
                      </w:divBdr>
                    </w:div>
                  </w:divsChild>
                </w:div>
                <w:div w:id="1185560621">
                  <w:marLeft w:val="0"/>
                  <w:marRight w:val="0"/>
                  <w:marTop w:val="0"/>
                  <w:marBottom w:val="0"/>
                  <w:divBdr>
                    <w:top w:val="none" w:sz="0" w:space="0" w:color="auto"/>
                    <w:left w:val="none" w:sz="0" w:space="0" w:color="auto"/>
                    <w:bottom w:val="none" w:sz="0" w:space="0" w:color="auto"/>
                    <w:right w:val="none" w:sz="0" w:space="0" w:color="auto"/>
                  </w:divBdr>
                  <w:divsChild>
                    <w:div w:id="462963268">
                      <w:marLeft w:val="0"/>
                      <w:marRight w:val="0"/>
                      <w:marTop w:val="0"/>
                      <w:marBottom w:val="0"/>
                      <w:divBdr>
                        <w:top w:val="none" w:sz="0" w:space="0" w:color="auto"/>
                        <w:left w:val="none" w:sz="0" w:space="0" w:color="auto"/>
                        <w:bottom w:val="none" w:sz="0" w:space="0" w:color="auto"/>
                        <w:right w:val="none" w:sz="0" w:space="0" w:color="auto"/>
                      </w:divBdr>
                    </w:div>
                  </w:divsChild>
                </w:div>
                <w:div w:id="1192381901">
                  <w:marLeft w:val="0"/>
                  <w:marRight w:val="0"/>
                  <w:marTop w:val="0"/>
                  <w:marBottom w:val="0"/>
                  <w:divBdr>
                    <w:top w:val="none" w:sz="0" w:space="0" w:color="auto"/>
                    <w:left w:val="none" w:sz="0" w:space="0" w:color="auto"/>
                    <w:bottom w:val="none" w:sz="0" w:space="0" w:color="auto"/>
                    <w:right w:val="none" w:sz="0" w:space="0" w:color="auto"/>
                  </w:divBdr>
                  <w:divsChild>
                    <w:div w:id="1742478950">
                      <w:marLeft w:val="0"/>
                      <w:marRight w:val="0"/>
                      <w:marTop w:val="0"/>
                      <w:marBottom w:val="0"/>
                      <w:divBdr>
                        <w:top w:val="none" w:sz="0" w:space="0" w:color="auto"/>
                        <w:left w:val="none" w:sz="0" w:space="0" w:color="auto"/>
                        <w:bottom w:val="none" w:sz="0" w:space="0" w:color="auto"/>
                        <w:right w:val="none" w:sz="0" w:space="0" w:color="auto"/>
                      </w:divBdr>
                    </w:div>
                  </w:divsChild>
                </w:div>
                <w:div w:id="1192576152">
                  <w:marLeft w:val="0"/>
                  <w:marRight w:val="0"/>
                  <w:marTop w:val="0"/>
                  <w:marBottom w:val="0"/>
                  <w:divBdr>
                    <w:top w:val="none" w:sz="0" w:space="0" w:color="auto"/>
                    <w:left w:val="none" w:sz="0" w:space="0" w:color="auto"/>
                    <w:bottom w:val="none" w:sz="0" w:space="0" w:color="auto"/>
                    <w:right w:val="none" w:sz="0" w:space="0" w:color="auto"/>
                  </w:divBdr>
                  <w:divsChild>
                    <w:div w:id="915407727">
                      <w:marLeft w:val="0"/>
                      <w:marRight w:val="0"/>
                      <w:marTop w:val="0"/>
                      <w:marBottom w:val="0"/>
                      <w:divBdr>
                        <w:top w:val="none" w:sz="0" w:space="0" w:color="auto"/>
                        <w:left w:val="none" w:sz="0" w:space="0" w:color="auto"/>
                        <w:bottom w:val="none" w:sz="0" w:space="0" w:color="auto"/>
                        <w:right w:val="none" w:sz="0" w:space="0" w:color="auto"/>
                      </w:divBdr>
                    </w:div>
                  </w:divsChild>
                </w:div>
                <w:div w:id="1195078269">
                  <w:marLeft w:val="0"/>
                  <w:marRight w:val="0"/>
                  <w:marTop w:val="0"/>
                  <w:marBottom w:val="0"/>
                  <w:divBdr>
                    <w:top w:val="none" w:sz="0" w:space="0" w:color="auto"/>
                    <w:left w:val="none" w:sz="0" w:space="0" w:color="auto"/>
                    <w:bottom w:val="none" w:sz="0" w:space="0" w:color="auto"/>
                    <w:right w:val="none" w:sz="0" w:space="0" w:color="auto"/>
                  </w:divBdr>
                  <w:divsChild>
                    <w:div w:id="13655285">
                      <w:marLeft w:val="0"/>
                      <w:marRight w:val="0"/>
                      <w:marTop w:val="0"/>
                      <w:marBottom w:val="0"/>
                      <w:divBdr>
                        <w:top w:val="none" w:sz="0" w:space="0" w:color="auto"/>
                        <w:left w:val="none" w:sz="0" w:space="0" w:color="auto"/>
                        <w:bottom w:val="none" w:sz="0" w:space="0" w:color="auto"/>
                        <w:right w:val="none" w:sz="0" w:space="0" w:color="auto"/>
                      </w:divBdr>
                    </w:div>
                  </w:divsChild>
                </w:div>
                <w:div w:id="1197885708">
                  <w:marLeft w:val="0"/>
                  <w:marRight w:val="0"/>
                  <w:marTop w:val="0"/>
                  <w:marBottom w:val="0"/>
                  <w:divBdr>
                    <w:top w:val="none" w:sz="0" w:space="0" w:color="auto"/>
                    <w:left w:val="none" w:sz="0" w:space="0" w:color="auto"/>
                    <w:bottom w:val="none" w:sz="0" w:space="0" w:color="auto"/>
                    <w:right w:val="none" w:sz="0" w:space="0" w:color="auto"/>
                  </w:divBdr>
                  <w:divsChild>
                    <w:div w:id="878861961">
                      <w:marLeft w:val="0"/>
                      <w:marRight w:val="0"/>
                      <w:marTop w:val="0"/>
                      <w:marBottom w:val="0"/>
                      <w:divBdr>
                        <w:top w:val="none" w:sz="0" w:space="0" w:color="auto"/>
                        <w:left w:val="none" w:sz="0" w:space="0" w:color="auto"/>
                        <w:bottom w:val="none" w:sz="0" w:space="0" w:color="auto"/>
                        <w:right w:val="none" w:sz="0" w:space="0" w:color="auto"/>
                      </w:divBdr>
                    </w:div>
                  </w:divsChild>
                </w:div>
                <w:div w:id="1208252275">
                  <w:marLeft w:val="0"/>
                  <w:marRight w:val="0"/>
                  <w:marTop w:val="0"/>
                  <w:marBottom w:val="0"/>
                  <w:divBdr>
                    <w:top w:val="none" w:sz="0" w:space="0" w:color="auto"/>
                    <w:left w:val="none" w:sz="0" w:space="0" w:color="auto"/>
                    <w:bottom w:val="none" w:sz="0" w:space="0" w:color="auto"/>
                    <w:right w:val="none" w:sz="0" w:space="0" w:color="auto"/>
                  </w:divBdr>
                  <w:divsChild>
                    <w:div w:id="158663542">
                      <w:marLeft w:val="0"/>
                      <w:marRight w:val="0"/>
                      <w:marTop w:val="0"/>
                      <w:marBottom w:val="0"/>
                      <w:divBdr>
                        <w:top w:val="none" w:sz="0" w:space="0" w:color="auto"/>
                        <w:left w:val="none" w:sz="0" w:space="0" w:color="auto"/>
                        <w:bottom w:val="none" w:sz="0" w:space="0" w:color="auto"/>
                        <w:right w:val="none" w:sz="0" w:space="0" w:color="auto"/>
                      </w:divBdr>
                    </w:div>
                  </w:divsChild>
                </w:div>
                <w:div w:id="1209024886">
                  <w:marLeft w:val="0"/>
                  <w:marRight w:val="0"/>
                  <w:marTop w:val="0"/>
                  <w:marBottom w:val="0"/>
                  <w:divBdr>
                    <w:top w:val="none" w:sz="0" w:space="0" w:color="auto"/>
                    <w:left w:val="none" w:sz="0" w:space="0" w:color="auto"/>
                    <w:bottom w:val="none" w:sz="0" w:space="0" w:color="auto"/>
                    <w:right w:val="none" w:sz="0" w:space="0" w:color="auto"/>
                  </w:divBdr>
                  <w:divsChild>
                    <w:div w:id="1089813977">
                      <w:marLeft w:val="0"/>
                      <w:marRight w:val="0"/>
                      <w:marTop w:val="0"/>
                      <w:marBottom w:val="0"/>
                      <w:divBdr>
                        <w:top w:val="none" w:sz="0" w:space="0" w:color="auto"/>
                        <w:left w:val="none" w:sz="0" w:space="0" w:color="auto"/>
                        <w:bottom w:val="none" w:sz="0" w:space="0" w:color="auto"/>
                        <w:right w:val="none" w:sz="0" w:space="0" w:color="auto"/>
                      </w:divBdr>
                    </w:div>
                  </w:divsChild>
                </w:div>
                <w:div w:id="1222255547">
                  <w:marLeft w:val="0"/>
                  <w:marRight w:val="0"/>
                  <w:marTop w:val="0"/>
                  <w:marBottom w:val="0"/>
                  <w:divBdr>
                    <w:top w:val="none" w:sz="0" w:space="0" w:color="auto"/>
                    <w:left w:val="none" w:sz="0" w:space="0" w:color="auto"/>
                    <w:bottom w:val="none" w:sz="0" w:space="0" w:color="auto"/>
                    <w:right w:val="none" w:sz="0" w:space="0" w:color="auto"/>
                  </w:divBdr>
                  <w:divsChild>
                    <w:div w:id="1880895433">
                      <w:marLeft w:val="0"/>
                      <w:marRight w:val="0"/>
                      <w:marTop w:val="0"/>
                      <w:marBottom w:val="0"/>
                      <w:divBdr>
                        <w:top w:val="none" w:sz="0" w:space="0" w:color="auto"/>
                        <w:left w:val="none" w:sz="0" w:space="0" w:color="auto"/>
                        <w:bottom w:val="none" w:sz="0" w:space="0" w:color="auto"/>
                        <w:right w:val="none" w:sz="0" w:space="0" w:color="auto"/>
                      </w:divBdr>
                    </w:div>
                  </w:divsChild>
                </w:div>
                <w:div w:id="1224095949">
                  <w:marLeft w:val="0"/>
                  <w:marRight w:val="0"/>
                  <w:marTop w:val="0"/>
                  <w:marBottom w:val="0"/>
                  <w:divBdr>
                    <w:top w:val="none" w:sz="0" w:space="0" w:color="auto"/>
                    <w:left w:val="none" w:sz="0" w:space="0" w:color="auto"/>
                    <w:bottom w:val="none" w:sz="0" w:space="0" w:color="auto"/>
                    <w:right w:val="none" w:sz="0" w:space="0" w:color="auto"/>
                  </w:divBdr>
                  <w:divsChild>
                    <w:div w:id="1469666425">
                      <w:marLeft w:val="0"/>
                      <w:marRight w:val="0"/>
                      <w:marTop w:val="0"/>
                      <w:marBottom w:val="0"/>
                      <w:divBdr>
                        <w:top w:val="none" w:sz="0" w:space="0" w:color="auto"/>
                        <w:left w:val="none" w:sz="0" w:space="0" w:color="auto"/>
                        <w:bottom w:val="none" w:sz="0" w:space="0" w:color="auto"/>
                        <w:right w:val="none" w:sz="0" w:space="0" w:color="auto"/>
                      </w:divBdr>
                    </w:div>
                  </w:divsChild>
                </w:div>
                <w:div w:id="1226993209">
                  <w:marLeft w:val="0"/>
                  <w:marRight w:val="0"/>
                  <w:marTop w:val="0"/>
                  <w:marBottom w:val="0"/>
                  <w:divBdr>
                    <w:top w:val="none" w:sz="0" w:space="0" w:color="auto"/>
                    <w:left w:val="none" w:sz="0" w:space="0" w:color="auto"/>
                    <w:bottom w:val="none" w:sz="0" w:space="0" w:color="auto"/>
                    <w:right w:val="none" w:sz="0" w:space="0" w:color="auto"/>
                  </w:divBdr>
                  <w:divsChild>
                    <w:div w:id="1942029287">
                      <w:marLeft w:val="0"/>
                      <w:marRight w:val="0"/>
                      <w:marTop w:val="0"/>
                      <w:marBottom w:val="0"/>
                      <w:divBdr>
                        <w:top w:val="none" w:sz="0" w:space="0" w:color="auto"/>
                        <w:left w:val="none" w:sz="0" w:space="0" w:color="auto"/>
                        <w:bottom w:val="none" w:sz="0" w:space="0" w:color="auto"/>
                        <w:right w:val="none" w:sz="0" w:space="0" w:color="auto"/>
                      </w:divBdr>
                    </w:div>
                  </w:divsChild>
                </w:div>
                <w:div w:id="1228490659">
                  <w:marLeft w:val="0"/>
                  <w:marRight w:val="0"/>
                  <w:marTop w:val="0"/>
                  <w:marBottom w:val="0"/>
                  <w:divBdr>
                    <w:top w:val="none" w:sz="0" w:space="0" w:color="auto"/>
                    <w:left w:val="none" w:sz="0" w:space="0" w:color="auto"/>
                    <w:bottom w:val="none" w:sz="0" w:space="0" w:color="auto"/>
                    <w:right w:val="none" w:sz="0" w:space="0" w:color="auto"/>
                  </w:divBdr>
                  <w:divsChild>
                    <w:div w:id="537663488">
                      <w:marLeft w:val="0"/>
                      <w:marRight w:val="0"/>
                      <w:marTop w:val="0"/>
                      <w:marBottom w:val="0"/>
                      <w:divBdr>
                        <w:top w:val="none" w:sz="0" w:space="0" w:color="auto"/>
                        <w:left w:val="none" w:sz="0" w:space="0" w:color="auto"/>
                        <w:bottom w:val="none" w:sz="0" w:space="0" w:color="auto"/>
                        <w:right w:val="none" w:sz="0" w:space="0" w:color="auto"/>
                      </w:divBdr>
                    </w:div>
                  </w:divsChild>
                </w:div>
                <w:div w:id="1229850476">
                  <w:marLeft w:val="0"/>
                  <w:marRight w:val="0"/>
                  <w:marTop w:val="0"/>
                  <w:marBottom w:val="0"/>
                  <w:divBdr>
                    <w:top w:val="none" w:sz="0" w:space="0" w:color="auto"/>
                    <w:left w:val="none" w:sz="0" w:space="0" w:color="auto"/>
                    <w:bottom w:val="none" w:sz="0" w:space="0" w:color="auto"/>
                    <w:right w:val="none" w:sz="0" w:space="0" w:color="auto"/>
                  </w:divBdr>
                  <w:divsChild>
                    <w:div w:id="2032609151">
                      <w:marLeft w:val="0"/>
                      <w:marRight w:val="0"/>
                      <w:marTop w:val="0"/>
                      <w:marBottom w:val="0"/>
                      <w:divBdr>
                        <w:top w:val="none" w:sz="0" w:space="0" w:color="auto"/>
                        <w:left w:val="none" w:sz="0" w:space="0" w:color="auto"/>
                        <w:bottom w:val="none" w:sz="0" w:space="0" w:color="auto"/>
                        <w:right w:val="none" w:sz="0" w:space="0" w:color="auto"/>
                      </w:divBdr>
                    </w:div>
                  </w:divsChild>
                </w:div>
                <w:div w:id="1230917973">
                  <w:marLeft w:val="0"/>
                  <w:marRight w:val="0"/>
                  <w:marTop w:val="0"/>
                  <w:marBottom w:val="0"/>
                  <w:divBdr>
                    <w:top w:val="none" w:sz="0" w:space="0" w:color="auto"/>
                    <w:left w:val="none" w:sz="0" w:space="0" w:color="auto"/>
                    <w:bottom w:val="none" w:sz="0" w:space="0" w:color="auto"/>
                    <w:right w:val="none" w:sz="0" w:space="0" w:color="auto"/>
                  </w:divBdr>
                  <w:divsChild>
                    <w:div w:id="1695226166">
                      <w:marLeft w:val="0"/>
                      <w:marRight w:val="0"/>
                      <w:marTop w:val="0"/>
                      <w:marBottom w:val="0"/>
                      <w:divBdr>
                        <w:top w:val="none" w:sz="0" w:space="0" w:color="auto"/>
                        <w:left w:val="none" w:sz="0" w:space="0" w:color="auto"/>
                        <w:bottom w:val="none" w:sz="0" w:space="0" w:color="auto"/>
                        <w:right w:val="none" w:sz="0" w:space="0" w:color="auto"/>
                      </w:divBdr>
                    </w:div>
                  </w:divsChild>
                </w:div>
                <w:div w:id="1246766727">
                  <w:marLeft w:val="0"/>
                  <w:marRight w:val="0"/>
                  <w:marTop w:val="0"/>
                  <w:marBottom w:val="0"/>
                  <w:divBdr>
                    <w:top w:val="none" w:sz="0" w:space="0" w:color="auto"/>
                    <w:left w:val="none" w:sz="0" w:space="0" w:color="auto"/>
                    <w:bottom w:val="none" w:sz="0" w:space="0" w:color="auto"/>
                    <w:right w:val="none" w:sz="0" w:space="0" w:color="auto"/>
                  </w:divBdr>
                  <w:divsChild>
                    <w:div w:id="309600293">
                      <w:marLeft w:val="0"/>
                      <w:marRight w:val="0"/>
                      <w:marTop w:val="0"/>
                      <w:marBottom w:val="0"/>
                      <w:divBdr>
                        <w:top w:val="none" w:sz="0" w:space="0" w:color="auto"/>
                        <w:left w:val="none" w:sz="0" w:space="0" w:color="auto"/>
                        <w:bottom w:val="none" w:sz="0" w:space="0" w:color="auto"/>
                        <w:right w:val="none" w:sz="0" w:space="0" w:color="auto"/>
                      </w:divBdr>
                    </w:div>
                  </w:divsChild>
                </w:div>
                <w:div w:id="1247884301">
                  <w:marLeft w:val="0"/>
                  <w:marRight w:val="0"/>
                  <w:marTop w:val="0"/>
                  <w:marBottom w:val="0"/>
                  <w:divBdr>
                    <w:top w:val="none" w:sz="0" w:space="0" w:color="auto"/>
                    <w:left w:val="none" w:sz="0" w:space="0" w:color="auto"/>
                    <w:bottom w:val="none" w:sz="0" w:space="0" w:color="auto"/>
                    <w:right w:val="none" w:sz="0" w:space="0" w:color="auto"/>
                  </w:divBdr>
                  <w:divsChild>
                    <w:div w:id="694354836">
                      <w:marLeft w:val="0"/>
                      <w:marRight w:val="0"/>
                      <w:marTop w:val="0"/>
                      <w:marBottom w:val="0"/>
                      <w:divBdr>
                        <w:top w:val="none" w:sz="0" w:space="0" w:color="auto"/>
                        <w:left w:val="none" w:sz="0" w:space="0" w:color="auto"/>
                        <w:bottom w:val="none" w:sz="0" w:space="0" w:color="auto"/>
                        <w:right w:val="none" w:sz="0" w:space="0" w:color="auto"/>
                      </w:divBdr>
                    </w:div>
                  </w:divsChild>
                </w:div>
                <w:div w:id="1258100906">
                  <w:marLeft w:val="0"/>
                  <w:marRight w:val="0"/>
                  <w:marTop w:val="0"/>
                  <w:marBottom w:val="0"/>
                  <w:divBdr>
                    <w:top w:val="none" w:sz="0" w:space="0" w:color="auto"/>
                    <w:left w:val="none" w:sz="0" w:space="0" w:color="auto"/>
                    <w:bottom w:val="none" w:sz="0" w:space="0" w:color="auto"/>
                    <w:right w:val="none" w:sz="0" w:space="0" w:color="auto"/>
                  </w:divBdr>
                  <w:divsChild>
                    <w:div w:id="1598518839">
                      <w:marLeft w:val="0"/>
                      <w:marRight w:val="0"/>
                      <w:marTop w:val="0"/>
                      <w:marBottom w:val="0"/>
                      <w:divBdr>
                        <w:top w:val="none" w:sz="0" w:space="0" w:color="auto"/>
                        <w:left w:val="none" w:sz="0" w:space="0" w:color="auto"/>
                        <w:bottom w:val="none" w:sz="0" w:space="0" w:color="auto"/>
                        <w:right w:val="none" w:sz="0" w:space="0" w:color="auto"/>
                      </w:divBdr>
                    </w:div>
                  </w:divsChild>
                </w:div>
                <w:div w:id="1258832997">
                  <w:marLeft w:val="0"/>
                  <w:marRight w:val="0"/>
                  <w:marTop w:val="0"/>
                  <w:marBottom w:val="0"/>
                  <w:divBdr>
                    <w:top w:val="none" w:sz="0" w:space="0" w:color="auto"/>
                    <w:left w:val="none" w:sz="0" w:space="0" w:color="auto"/>
                    <w:bottom w:val="none" w:sz="0" w:space="0" w:color="auto"/>
                    <w:right w:val="none" w:sz="0" w:space="0" w:color="auto"/>
                  </w:divBdr>
                  <w:divsChild>
                    <w:div w:id="733896856">
                      <w:marLeft w:val="0"/>
                      <w:marRight w:val="0"/>
                      <w:marTop w:val="0"/>
                      <w:marBottom w:val="0"/>
                      <w:divBdr>
                        <w:top w:val="none" w:sz="0" w:space="0" w:color="auto"/>
                        <w:left w:val="none" w:sz="0" w:space="0" w:color="auto"/>
                        <w:bottom w:val="none" w:sz="0" w:space="0" w:color="auto"/>
                        <w:right w:val="none" w:sz="0" w:space="0" w:color="auto"/>
                      </w:divBdr>
                    </w:div>
                  </w:divsChild>
                </w:div>
                <w:div w:id="1265766895">
                  <w:marLeft w:val="0"/>
                  <w:marRight w:val="0"/>
                  <w:marTop w:val="0"/>
                  <w:marBottom w:val="0"/>
                  <w:divBdr>
                    <w:top w:val="none" w:sz="0" w:space="0" w:color="auto"/>
                    <w:left w:val="none" w:sz="0" w:space="0" w:color="auto"/>
                    <w:bottom w:val="none" w:sz="0" w:space="0" w:color="auto"/>
                    <w:right w:val="none" w:sz="0" w:space="0" w:color="auto"/>
                  </w:divBdr>
                  <w:divsChild>
                    <w:div w:id="1291014358">
                      <w:marLeft w:val="0"/>
                      <w:marRight w:val="0"/>
                      <w:marTop w:val="0"/>
                      <w:marBottom w:val="0"/>
                      <w:divBdr>
                        <w:top w:val="none" w:sz="0" w:space="0" w:color="auto"/>
                        <w:left w:val="none" w:sz="0" w:space="0" w:color="auto"/>
                        <w:bottom w:val="none" w:sz="0" w:space="0" w:color="auto"/>
                        <w:right w:val="none" w:sz="0" w:space="0" w:color="auto"/>
                      </w:divBdr>
                    </w:div>
                  </w:divsChild>
                </w:div>
                <w:div w:id="1269312742">
                  <w:marLeft w:val="0"/>
                  <w:marRight w:val="0"/>
                  <w:marTop w:val="0"/>
                  <w:marBottom w:val="0"/>
                  <w:divBdr>
                    <w:top w:val="none" w:sz="0" w:space="0" w:color="auto"/>
                    <w:left w:val="none" w:sz="0" w:space="0" w:color="auto"/>
                    <w:bottom w:val="none" w:sz="0" w:space="0" w:color="auto"/>
                    <w:right w:val="none" w:sz="0" w:space="0" w:color="auto"/>
                  </w:divBdr>
                  <w:divsChild>
                    <w:div w:id="869532751">
                      <w:marLeft w:val="0"/>
                      <w:marRight w:val="0"/>
                      <w:marTop w:val="0"/>
                      <w:marBottom w:val="0"/>
                      <w:divBdr>
                        <w:top w:val="none" w:sz="0" w:space="0" w:color="auto"/>
                        <w:left w:val="none" w:sz="0" w:space="0" w:color="auto"/>
                        <w:bottom w:val="none" w:sz="0" w:space="0" w:color="auto"/>
                        <w:right w:val="none" w:sz="0" w:space="0" w:color="auto"/>
                      </w:divBdr>
                    </w:div>
                  </w:divsChild>
                </w:div>
                <w:div w:id="1271739708">
                  <w:marLeft w:val="0"/>
                  <w:marRight w:val="0"/>
                  <w:marTop w:val="0"/>
                  <w:marBottom w:val="0"/>
                  <w:divBdr>
                    <w:top w:val="none" w:sz="0" w:space="0" w:color="auto"/>
                    <w:left w:val="none" w:sz="0" w:space="0" w:color="auto"/>
                    <w:bottom w:val="none" w:sz="0" w:space="0" w:color="auto"/>
                    <w:right w:val="none" w:sz="0" w:space="0" w:color="auto"/>
                  </w:divBdr>
                  <w:divsChild>
                    <w:div w:id="499656855">
                      <w:marLeft w:val="0"/>
                      <w:marRight w:val="0"/>
                      <w:marTop w:val="0"/>
                      <w:marBottom w:val="0"/>
                      <w:divBdr>
                        <w:top w:val="none" w:sz="0" w:space="0" w:color="auto"/>
                        <w:left w:val="none" w:sz="0" w:space="0" w:color="auto"/>
                        <w:bottom w:val="none" w:sz="0" w:space="0" w:color="auto"/>
                        <w:right w:val="none" w:sz="0" w:space="0" w:color="auto"/>
                      </w:divBdr>
                    </w:div>
                  </w:divsChild>
                </w:div>
                <w:div w:id="1275213707">
                  <w:marLeft w:val="0"/>
                  <w:marRight w:val="0"/>
                  <w:marTop w:val="0"/>
                  <w:marBottom w:val="0"/>
                  <w:divBdr>
                    <w:top w:val="none" w:sz="0" w:space="0" w:color="auto"/>
                    <w:left w:val="none" w:sz="0" w:space="0" w:color="auto"/>
                    <w:bottom w:val="none" w:sz="0" w:space="0" w:color="auto"/>
                    <w:right w:val="none" w:sz="0" w:space="0" w:color="auto"/>
                  </w:divBdr>
                  <w:divsChild>
                    <w:div w:id="1816406614">
                      <w:marLeft w:val="0"/>
                      <w:marRight w:val="0"/>
                      <w:marTop w:val="0"/>
                      <w:marBottom w:val="0"/>
                      <w:divBdr>
                        <w:top w:val="none" w:sz="0" w:space="0" w:color="auto"/>
                        <w:left w:val="none" w:sz="0" w:space="0" w:color="auto"/>
                        <w:bottom w:val="none" w:sz="0" w:space="0" w:color="auto"/>
                        <w:right w:val="none" w:sz="0" w:space="0" w:color="auto"/>
                      </w:divBdr>
                    </w:div>
                  </w:divsChild>
                </w:div>
                <w:div w:id="1279752700">
                  <w:marLeft w:val="0"/>
                  <w:marRight w:val="0"/>
                  <w:marTop w:val="0"/>
                  <w:marBottom w:val="0"/>
                  <w:divBdr>
                    <w:top w:val="none" w:sz="0" w:space="0" w:color="auto"/>
                    <w:left w:val="none" w:sz="0" w:space="0" w:color="auto"/>
                    <w:bottom w:val="none" w:sz="0" w:space="0" w:color="auto"/>
                    <w:right w:val="none" w:sz="0" w:space="0" w:color="auto"/>
                  </w:divBdr>
                  <w:divsChild>
                    <w:div w:id="16926934">
                      <w:marLeft w:val="0"/>
                      <w:marRight w:val="0"/>
                      <w:marTop w:val="0"/>
                      <w:marBottom w:val="0"/>
                      <w:divBdr>
                        <w:top w:val="none" w:sz="0" w:space="0" w:color="auto"/>
                        <w:left w:val="none" w:sz="0" w:space="0" w:color="auto"/>
                        <w:bottom w:val="none" w:sz="0" w:space="0" w:color="auto"/>
                        <w:right w:val="none" w:sz="0" w:space="0" w:color="auto"/>
                      </w:divBdr>
                    </w:div>
                  </w:divsChild>
                </w:div>
                <w:div w:id="1283223121">
                  <w:marLeft w:val="0"/>
                  <w:marRight w:val="0"/>
                  <w:marTop w:val="0"/>
                  <w:marBottom w:val="0"/>
                  <w:divBdr>
                    <w:top w:val="none" w:sz="0" w:space="0" w:color="auto"/>
                    <w:left w:val="none" w:sz="0" w:space="0" w:color="auto"/>
                    <w:bottom w:val="none" w:sz="0" w:space="0" w:color="auto"/>
                    <w:right w:val="none" w:sz="0" w:space="0" w:color="auto"/>
                  </w:divBdr>
                  <w:divsChild>
                    <w:div w:id="852381480">
                      <w:marLeft w:val="0"/>
                      <w:marRight w:val="0"/>
                      <w:marTop w:val="0"/>
                      <w:marBottom w:val="0"/>
                      <w:divBdr>
                        <w:top w:val="none" w:sz="0" w:space="0" w:color="auto"/>
                        <w:left w:val="none" w:sz="0" w:space="0" w:color="auto"/>
                        <w:bottom w:val="none" w:sz="0" w:space="0" w:color="auto"/>
                        <w:right w:val="none" w:sz="0" w:space="0" w:color="auto"/>
                      </w:divBdr>
                    </w:div>
                  </w:divsChild>
                </w:div>
                <w:div w:id="1287814759">
                  <w:marLeft w:val="0"/>
                  <w:marRight w:val="0"/>
                  <w:marTop w:val="0"/>
                  <w:marBottom w:val="0"/>
                  <w:divBdr>
                    <w:top w:val="none" w:sz="0" w:space="0" w:color="auto"/>
                    <w:left w:val="none" w:sz="0" w:space="0" w:color="auto"/>
                    <w:bottom w:val="none" w:sz="0" w:space="0" w:color="auto"/>
                    <w:right w:val="none" w:sz="0" w:space="0" w:color="auto"/>
                  </w:divBdr>
                  <w:divsChild>
                    <w:div w:id="1306275151">
                      <w:marLeft w:val="0"/>
                      <w:marRight w:val="0"/>
                      <w:marTop w:val="0"/>
                      <w:marBottom w:val="0"/>
                      <w:divBdr>
                        <w:top w:val="none" w:sz="0" w:space="0" w:color="auto"/>
                        <w:left w:val="none" w:sz="0" w:space="0" w:color="auto"/>
                        <w:bottom w:val="none" w:sz="0" w:space="0" w:color="auto"/>
                        <w:right w:val="none" w:sz="0" w:space="0" w:color="auto"/>
                      </w:divBdr>
                    </w:div>
                  </w:divsChild>
                </w:div>
                <w:div w:id="1293289699">
                  <w:marLeft w:val="0"/>
                  <w:marRight w:val="0"/>
                  <w:marTop w:val="0"/>
                  <w:marBottom w:val="0"/>
                  <w:divBdr>
                    <w:top w:val="none" w:sz="0" w:space="0" w:color="auto"/>
                    <w:left w:val="none" w:sz="0" w:space="0" w:color="auto"/>
                    <w:bottom w:val="none" w:sz="0" w:space="0" w:color="auto"/>
                    <w:right w:val="none" w:sz="0" w:space="0" w:color="auto"/>
                  </w:divBdr>
                  <w:divsChild>
                    <w:div w:id="608051908">
                      <w:marLeft w:val="0"/>
                      <w:marRight w:val="0"/>
                      <w:marTop w:val="0"/>
                      <w:marBottom w:val="0"/>
                      <w:divBdr>
                        <w:top w:val="none" w:sz="0" w:space="0" w:color="auto"/>
                        <w:left w:val="none" w:sz="0" w:space="0" w:color="auto"/>
                        <w:bottom w:val="none" w:sz="0" w:space="0" w:color="auto"/>
                        <w:right w:val="none" w:sz="0" w:space="0" w:color="auto"/>
                      </w:divBdr>
                    </w:div>
                  </w:divsChild>
                </w:div>
                <w:div w:id="1293973216">
                  <w:marLeft w:val="0"/>
                  <w:marRight w:val="0"/>
                  <w:marTop w:val="0"/>
                  <w:marBottom w:val="0"/>
                  <w:divBdr>
                    <w:top w:val="none" w:sz="0" w:space="0" w:color="auto"/>
                    <w:left w:val="none" w:sz="0" w:space="0" w:color="auto"/>
                    <w:bottom w:val="none" w:sz="0" w:space="0" w:color="auto"/>
                    <w:right w:val="none" w:sz="0" w:space="0" w:color="auto"/>
                  </w:divBdr>
                  <w:divsChild>
                    <w:div w:id="664210892">
                      <w:marLeft w:val="0"/>
                      <w:marRight w:val="0"/>
                      <w:marTop w:val="0"/>
                      <w:marBottom w:val="0"/>
                      <w:divBdr>
                        <w:top w:val="none" w:sz="0" w:space="0" w:color="auto"/>
                        <w:left w:val="none" w:sz="0" w:space="0" w:color="auto"/>
                        <w:bottom w:val="none" w:sz="0" w:space="0" w:color="auto"/>
                        <w:right w:val="none" w:sz="0" w:space="0" w:color="auto"/>
                      </w:divBdr>
                    </w:div>
                  </w:divsChild>
                </w:div>
                <w:div w:id="1299065348">
                  <w:marLeft w:val="0"/>
                  <w:marRight w:val="0"/>
                  <w:marTop w:val="0"/>
                  <w:marBottom w:val="0"/>
                  <w:divBdr>
                    <w:top w:val="none" w:sz="0" w:space="0" w:color="auto"/>
                    <w:left w:val="none" w:sz="0" w:space="0" w:color="auto"/>
                    <w:bottom w:val="none" w:sz="0" w:space="0" w:color="auto"/>
                    <w:right w:val="none" w:sz="0" w:space="0" w:color="auto"/>
                  </w:divBdr>
                  <w:divsChild>
                    <w:div w:id="703213273">
                      <w:marLeft w:val="0"/>
                      <w:marRight w:val="0"/>
                      <w:marTop w:val="0"/>
                      <w:marBottom w:val="0"/>
                      <w:divBdr>
                        <w:top w:val="none" w:sz="0" w:space="0" w:color="auto"/>
                        <w:left w:val="none" w:sz="0" w:space="0" w:color="auto"/>
                        <w:bottom w:val="none" w:sz="0" w:space="0" w:color="auto"/>
                        <w:right w:val="none" w:sz="0" w:space="0" w:color="auto"/>
                      </w:divBdr>
                    </w:div>
                  </w:divsChild>
                </w:div>
                <w:div w:id="1305963519">
                  <w:marLeft w:val="0"/>
                  <w:marRight w:val="0"/>
                  <w:marTop w:val="0"/>
                  <w:marBottom w:val="0"/>
                  <w:divBdr>
                    <w:top w:val="none" w:sz="0" w:space="0" w:color="auto"/>
                    <w:left w:val="none" w:sz="0" w:space="0" w:color="auto"/>
                    <w:bottom w:val="none" w:sz="0" w:space="0" w:color="auto"/>
                    <w:right w:val="none" w:sz="0" w:space="0" w:color="auto"/>
                  </w:divBdr>
                  <w:divsChild>
                    <w:div w:id="1981036263">
                      <w:marLeft w:val="0"/>
                      <w:marRight w:val="0"/>
                      <w:marTop w:val="0"/>
                      <w:marBottom w:val="0"/>
                      <w:divBdr>
                        <w:top w:val="none" w:sz="0" w:space="0" w:color="auto"/>
                        <w:left w:val="none" w:sz="0" w:space="0" w:color="auto"/>
                        <w:bottom w:val="none" w:sz="0" w:space="0" w:color="auto"/>
                        <w:right w:val="none" w:sz="0" w:space="0" w:color="auto"/>
                      </w:divBdr>
                    </w:div>
                  </w:divsChild>
                </w:div>
                <w:div w:id="1308973829">
                  <w:marLeft w:val="0"/>
                  <w:marRight w:val="0"/>
                  <w:marTop w:val="0"/>
                  <w:marBottom w:val="0"/>
                  <w:divBdr>
                    <w:top w:val="none" w:sz="0" w:space="0" w:color="auto"/>
                    <w:left w:val="none" w:sz="0" w:space="0" w:color="auto"/>
                    <w:bottom w:val="none" w:sz="0" w:space="0" w:color="auto"/>
                    <w:right w:val="none" w:sz="0" w:space="0" w:color="auto"/>
                  </w:divBdr>
                  <w:divsChild>
                    <w:div w:id="688216316">
                      <w:marLeft w:val="0"/>
                      <w:marRight w:val="0"/>
                      <w:marTop w:val="0"/>
                      <w:marBottom w:val="0"/>
                      <w:divBdr>
                        <w:top w:val="none" w:sz="0" w:space="0" w:color="auto"/>
                        <w:left w:val="none" w:sz="0" w:space="0" w:color="auto"/>
                        <w:bottom w:val="none" w:sz="0" w:space="0" w:color="auto"/>
                        <w:right w:val="none" w:sz="0" w:space="0" w:color="auto"/>
                      </w:divBdr>
                    </w:div>
                  </w:divsChild>
                </w:div>
                <w:div w:id="1311203926">
                  <w:marLeft w:val="0"/>
                  <w:marRight w:val="0"/>
                  <w:marTop w:val="0"/>
                  <w:marBottom w:val="0"/>
                  <w:divBdr>
                    <w:top w:val="none" w:sz="0" w:space="0" w:color="auto"/>
                    <w:left w:val="none" w:sz="0" w:space="0" w:color="auto"/>
                    <w:bottom w:val="none" w:sz="0" w:space="0" w:color="auto"/>
                    <w:right w:val="none" w:sz="0" w:space="0" w:color="auto"/>
                  </w:divBdr>
                  <w:divsChild>
                    <w:div w:id="2086880620">
                      <w:marLeft w:val="0"/>
                      <w:marRight w:val="0"/>
                      <w:marTop w:val="0"/>
                      <w:marBottom w:val="0"/>
                      <w:divBdr>
                        <w:top w:val="none" w:sz="0" w:space="0" w:color="auto"/>
                        <w:left w:val="none" w:sz="0" w:space="0" w:color="auto"/>
                        <w:bottom w:val="none" w:sz="0" w:space="0" w:color="auto"/>
                        <w:right w:val="none" w:sz="0" w:space="0" w:color="auto"/>
                      </w:divBdr>
                    </w:div>
                  </w:divsChild>
                </w:div>
                <w:div w:id="1322923100">
                  <w:marLeft w:val="0"/>
                  <w:marRight w:val="0"/>
                  <w:marTop w:val="0"/>
                  <w:marBottom w:val="0"/>
                  <w:divBdr>
                    <w:top w:val="none" w:sz="0" w:space="0" w:color="auto"/>
                    <w:left w:val="none" w:sz="0" w:space="0" w:color="auto"/>
                    <w:bottom w:val="none" w:sz="0" w:space="0" w:color="auto"/>
                    <w:right w:val="none" w:sz="0" w:space="0" w:color="auto"/>
                  </w:divBdr>
                  <w:divsChild>
                    <w:div w:id="1379627768">
                      <w:marLeft w:val="0"/>
                      <w:marRight w:val="0"/>
                      <w:marTop w:val="0"/>
                      <w:marBottom w:val="0"/>
                      <w:divBdr>
                        <w:top w:val="none" w:sz="0" w:space="0" w:color="auto"/>
                        <w:left w:val="none" w:sz="0" w:space="0" w:color="auto"/>
                        <w:bottom w:val="none" w:sz="0" w:space="0" w:color="auto"/>
                        <w:right w:val="none" w:sz="0" w:space="0" w:color="auto"/>
                      </w:divBdr>
                    </w:div>
                  </w:divsChild>
                </w:div>
                <w:div w:id="1325626284">
                  <w:marLeft w:val="0"/>
                  <w:marRight w:val="0"/>
                  <w:marTop w:val="0"/>
                  <w:marBottom w:val="0"/>
                  <w:divBdr>
                    <w:top w:val="none" w:sz="0" w:space="0" w:color="auto"/>
                    <w:left w:val="none" w:sz="0" w:space="0" w:color="auto"/>
                    <w:bottom w:val="none" w:sz="0" w:space="0" w:color="auto"/>
                    <w:right w:val="none" w:sz="0" w:space="0" w:color="auto"/>
                  </w:divBdr>
                  <w:divsChild>
                    <w:div w:id="15467365">
                      <w:marLeft w:val="0"/>
                      <w:marRight w:val="0"/>
                      <w:marTop w:val="0"/>
                      <w:marBottom w:val="0"/>
                      <w:divBdr>
                        <w:top w:val="none" w:sz="0" w:space="0" w:color="auto"/>
                        <w:left w:val="none" w:sz="0" w:space="0" w:color="auto"/>
                        <w:bottom w:val="none" w:sz="0" w:space="0" w:color="auto"/>
                        <w:right w:val="none" w:sz="0" w:space="0" w:color="auto"/>
                      </w:divBdr>
                    </w:div>
                  </w:divsChild>
                </w:div>
                <w:div w:id="1353023420">
                  <w:marLeft w:val="0"/>
                  <w:marRight w:val="0"/>
                  <w:marTop w:val="0"/>
                  <w:marBottom w:val="0"/>
                  <w:divBdr>
                    <w:top w:val="none" w:sz="0" w:space="0" w:color="auto"/>
                    <w:left w:val="none" w:sz="0" w:space="0" w:color="auto"/>
                    <w:bottom w:val="none" w:sz="0" w:space="0" w:color="auto"/>
                    <w:right w:val="none" w:sz="0" w:space="0" w:color="auto"/>
                  </w:divBdr>
                  <w:divsChild>
                    <w:div w:id="961813351">
                      <w:marLeft w:val="0"/>
                      <w:marRight w:val="0"/>
                      <w:marTop w:val="0"/>
                      <w:marBottom w:val="0"/>
                      <w:divBdr>
                        <w:top w:val="none" w:sz="0" w:space="0" w:color="auto"/>
                        <w:left w:val="none" w:sz="0" w:space="0" w:color="auto"/>
                        <w:bottom w:val="none" w:sz="0" w:space="0" w:color="auto"/>
                        <w:right w:val="none" w:sz="0" w:space="0" w:color="auto"/>
                      </w:divBdr>
                    </w:div>
                  </w:divsChild>
                </w:div>
                <w:div w:id="1354578930">
                  <w:marLeft w:val="0"/>
                  <w:marRight w:val="0"/>
                  <w:marTop w:val="0"/>
                  <w:marBottom w:val="0"/>
                  <w:divBdr>
                    <w:top w:val="none" w:sz="0" w:space="0" w:color="auto"/>
                    <w:left w:val="none" w:sz="0" w:space="0" w:color="auto"/>
                    <w:bottom w:val="none" w:sz="0" w:space="0" w:color="auto"/>
                    <w:right w:val="none" w:sz="0" w:space="0" w:color="auto"/>
                  </w:divBdr>
                  <w:divsChild>
                    <w:div w:id="1703357608">
                      <w:marLeft w:val="0"/>
                      <w:marRight w:val="0"/>
                      <w:marTop w:val="0"/>
                      <w:marBottom w:val="0"/>
                      <w:divBdr>
                        <w:top w:val="none" w:sz="0" w:space="0" w:color="auto"/>
                        <w:left w:val="none" w:sz="0" w:space="0" w:color="auto"/>
                        <w:bottom w:val="none" w:sz="0" w:space="0" w:color="auto"/>
                        <w:right w:val="none" w:sz="0" w:space="0" w:color="auto"/>
                      </w:divBdr>
                    </w:div>
                  </w:divsChild>
                </w:div>
                <w:div w:id="1356081760">
                  <w:marLeft w:val="0"/>
                  <w:marRight w:val="0"/>
                  <w:marTop w:val="0"/>
                  <w:marBottom w:val="0"/>
                  <w:divBdr>
                    <w:top w:val="none" w:sz="0" w:space="0" w:color="auto"/>
                    <w:left w:val="none" w:sz="0" w:space="0" w:color="auto"/>
                    <w:bottom w:val="none" w:sz="0" w:space="0" w:color="auto"/>
                    <w:right w:val="none" w:sz="0" w:space="0" w:color="auto"/>
                  </w:divBdr>
                  <w:divsChild>
                    <w:div w:id="495152685">
                      <w:marLeft w:val="0"/>
                      <w:marRight w:val="0"/>
                      <w:marTop w:val="0"/>
                      <w:marBottom w:val="0"/>
                      <w:divBdr>
                        <w:top w:val="none" w:sz="0" w:space="0" w:color="auto"/>
                        <w:left w:val="none" w:sz="0" w:space="0" w:color="auto"/>
                        <w:bottom w:val="none" w:sz="0" w:space="0" w:color="auto"/>
                        <w:right w:val="none" w:sz="0" w:space="0" w:color="auto"/>
                      </w:divBdr>
                    </w:div>
                  </w:divsChild>
                </w:div>
                <w:div w:id="1364939003">
                  <w:marLeft w:val="0"/>
                  <w:marRight w:val="0"/>
                  <w:marTop w:val="0"/>
                  <w:marBottom w:val="0"/>
                  <w:divBdr>
                    <w:top w:val="none" w:sz="0" w:space="0" w:color="auto"/>
                    <w:left w:val="none" w:sz="0" w:space="0" w:color="auto"/>
                    <w:bottom w:val="none" w:sz="0" w:space="0" w:color="auto"/>
                    <w:right w:val="none" w:sz="0" w:space="0" w:color="auto"/>
                  </w:divBdr>
                  <w:divsChild>
                    <w:div w:id="316500621">
                      <w:marLeft w:val="0"/>
                      <w:marRight w:val="0"/>
                      <w:marTop w:val="0"/>
                      <w:marBottom w:val="0"/>
                      <w:divBdr>
                        <w:top w:val="none" w:sz="0" w:space="0" w:color="auto"/>
                        <w:left w:val="none" w:sz="0" w:space="0" w:color="auto"/>
                        <w:bottom w:val="none" w:sz="0" w:space="0" w:color="auto"/>
                        <w:right w:val="none" w:sz="0" w:space="0" w:color="auto"/>
                      </w:divBdr>
                    </w:div>
                  </w:divsChild>
                </w:div>
                <w:div w:id="1399477738">
                  <w:marLeft w:val="0"/>
                  <w:marRight w:val="0"/>
                  <w:marTop w:val="0"/>
                  <w:marBottom w:val="0"/>
                  <w:divBdr>
                    <w:top w:val="none" w:sz="0" w:space="0" w:color="auto"/>
                    <w:left w:val="none" w:sz="0" w:space="0" w:color="auto"/>
                    <w:bottom w:val="none" w:sz="0" w:space="0" w:color="auto"/>
                    <w:right w:val="none" w:sz="0" w:space="0" w:color="auto"/>
                  </w:divBdr>
                  <w:divsChild>
                    <w:div w:id="191891625">
                      <w:marLeft w:val="0"/>
                      <w:marRight w:val="0"/>
                      <w:marTop w:val="0"/>
                      <w:marBottom w:val="0"/>
                      <w:divBdr>
                        <w:top w:val="none" w:sz="0" w:space="0" w:color="auto"/>
                        <w:left w:val="none" w:sz="0" w:space="0" w:color="auto"/>
                        <w:bottom w:val="none" w:sz="0" w:space="0" w:color="auto"/>
                        <w:right w:val="none" w:sz="0" w:space="0" w:color="auto"/>
                      </w:divBdr>
                    </w:div>
                  </w:divsChild>
                </w:div>
                <w:div w:id="1423339597">
                  <w:marLeft w:val="0"/>
                  <w:marRight w:val="0"/>
                  <w:marTop w:val="0"/>
                  <w:marBottom w:val="0"/>
                  <w:divBdr>
                    <w:top w:val="none" w:sz="0" w:space="0" w:color="auto"/>
                    <w:left w:val="none" w:sz="0" w:space="0" w:color="auto"/>
                    <w:bottom w:val="none" w:sz="0" w:space="0" w:color="auto"/>
                    <w:right w:val="none" w:sz="0" w:space="0" w:color="auto"/>
                  </w:divBdr>
                  <w:divsChild>
                    <w:div w:id="403572645">
                      <w:marLeft w:val="0"/>
                      <w:marRight w:val="0"/>
                      <w:marTop w:val="0"/>
                      <w:marBottom w:val="0"/>
                      <w:divBdr>
                        <w:top w:val="none" w:sz="0" w:space="0" w:color="auto"/>
                        <w:left w:val="none" w:sz="0" w:space="0" w:color="auto"/>
                        <w:bottom w:val="none" w:sz="0" w:space="0" w:color="auto"/>
                        <w:right w:val="none" w:sz="0" w:space="0" w:color="auto"/>
                      </w:divBdr>
                    </w:div>
                  </w:divsChild>
                </w:div>
                <w:div w:id="1440027243">
                  <w:marLeft w:val="0"/>
                  <w:marRight w:val="0"/>
                  <w:marTop w:val="0"/>
                  <w:marBottom w:val="0"/>
                  <w:divBdr>
                    <w:top w:val="none" w:sz="0" w:space="0" w:color="auto"/>
                    <w:left w:val="none" w:sz="0" w:space="0" w:color="auto"/>
                    <w:bottom w:val="none" w:sz="0" w:space="0" w:color="auto"/>
                    <w:right w:val="none" w:sz="0" w:space="0" w:color="auto"/>
                  </w:divBdr>
                  <w:divsChild>
                    <w:div w:id="1000236655">
                      <w:marLeft w:val="0"/>
                      <w:marRight w:val="0"/>
                      <w:marTop w:val="0"/>
                      <w:marBottom w:val="0"/>
                      <w:divBdr>
                        <w:top w:val="none" w:sz="0" w:space="0" w:color="auto"/>
                        <w:left w:val="none" w:sz="0" w:space="0" w:color="auto"/>
                        <w:bottom w:val="none" w:sz="0" w:space="0" w:color="auto"/>
                        <w:right w:val="none" w:sz="0" w:space="0" w:color="auto"/>
                      </w:divBdr>
                    </w:div>
                  </w:divsChild>
                </w:div>
                <w:div w:id="1442649644">
                  <w:marLeft w:val="0"/>
                  <w:marRight w:val="0"/>
                  <w:marTop w:val="0"/>
                  <w:marBottom w:val="0"/>
                  <w:divBdr>
                    <w:top w:val="none" w:sz="0" w:space="0" w:color="auto"/>
                    <w:left w:val="none" w:sz="0" w:space="0" w:color="auto"/>
                    <w:bottom w:val="none" w:sz="0" w:space="0" w:color="auto"/>
                    <w:right w:val="none" w:sz="0" w:space="0" w:color="auto"/>
                  </w:divBdr>
                  <w:divsChild>
                    <w:div w:id="661474151">
                      <w:marLeft w:val="0"/>
                      <w:marRight w:val="0"/>
                      <w:marTop w:val="0"/>
                      <w:marBottom w:val="0"/>
                      <w:divBdr>
                        <w:top w:val="none" w:sz="0" w:space="0" w:color="auto"/>
                        <w:left w:val="none" w:sz="0" w:space="0" w:color="auto"/>
                        <w:bottom w:val="none" w:sz="0" w:space="0" w:color="auto"/>
                        <w:right w:val="none" w:sz="0" w:space="0" w:color="auto"/>
                      </w:divBdr>
                    </w:div>
                  </w:divsChild>
                </w:div>
                <w:div w:id="1442799639">
                  <w:marLeft w:val="0"/>
                  <w:marRight w:val="0"/>
                  <w:marTop w:val="0"/>
                  <w:marBottom w:val="0"/>
                  <w:divBdr>
                    <w:top w:val="none" w:sz="0" w:space="0" w:color="auto"/>
                    <w:left w:val="none" w:sz="0" w:space="0" w:color="auto"/>
                    <w:bottom w:val="none" w:sz="0" w:space="0" w:color="auto"/>
                    <w:right w:val="none" w:sz="0" w:space="0" w:color="auto"/>
                  </w:divBdr>
                  <w:divsChild>
                    <w:div w:id="1392004193">
                      <w:marLeft w:val="0"/>
                      <w:marRight w:val="0"/>
                      <w:marTop w:val="0"/>
                      <w:marBottom w:val="0"/>
                      <w:divBdr>
                        <w:top w:val="none" w:sz="0" w:space="0" w:color="auto"/>
                        <w:left w:val="none" w:sz="0" w:space="0" w:color="auto"/>
                        <w:bottom w:val="none" w:sz="0" w:space="0" w:color="auto"/>
                        <w:right w:val="none" w:sz="0" w:space="0" w:color="auto"/>
                      </w:divBdr>
                    </w:div>
                  </w:divsChild>
                </w:div>
                <w:div w:id="1444224723">
                  <w:marLeft w:val="0"/>
                  <w:marRight w:val="0"/>
                  <w:marTop w:val="0"/>
                  <w:marBottom w:val="0"/>
                  <w:divBdr>
                    <w:top w:val="none" w:sz="0" w:space="0" w:color="auto"/>
                    <w:left w:val="none" w:sz="0" w:space="0" w:color="auto"/>
                    <w:bottom w:val="none" w:sz="0" w:space="0" w:color="auto"/>
                    <w:right w:val="none" w:sz="0" w:space="0" w:color="auto"/>
                  </w:divBdr>
                  <w:divsChild>
                    <w:div w:id="1129124824">
                      <w:marLeft w:val="0"/>
                      <w:marRight w:val="0"/>
                      <w:marTop w:val="0"/>
                      <w:marBottom w:val="0"/>
                      <w:divBdr>
                        <w:top w:val="none" w:sz="0" w:space="0" w:color="auto"/>
                        <w:left w:val="none" w:sz="0" w:space="0" w:color="auto"/>
                        <w:bottom w:val="none" w:sz="0" w:space="0" w:color="auto"/>
                        <w:right w:val="none" w:sz="0" w:space="0" w:color="auto"/>
                      </w:divBdr>
                    </w:div>
                  </w:divsChild>
                </w:div>
                <w:div w:id="1448353681">
                  <w:marLeft w:val="0"/>
                  <w:marRight w:val="0"/>
                  <w:marTop w:val="0"/>
                  <w:marBottom w:val="0"/>
                  <w:divBdr>
                    <w:top w:val="none" w:sz="0" w:space="0" w:color="auto"/>
                    <w:left w:val="none" w:sz="0" w:space="0" w:color="auto"/>
                    <w:bottom w:val="none" w:sz="0" w:space="0" w:color="auto"/>
                    <w:right w:val="none" w:sz="0" w:space="0" w:color="auto"/>
                  </w:divBdr>
                  <w:divsChild>
                    <w:div w:id="1421757601">
                      <w:marLeft w:val="0"/>
                      <w:marRight w:val="0"/>
                      <w:marTop w:val="0"/>
                      <w:marBottom w:val="0"/>
                      <w:divBdr>
                        <w:top w:val="none" w:sz="0" w:space="0" w:color="auto"/>
                        <w:left w:val="none" w:sz="0" w:space="0" w:color="auto"/>
                        <w:bottom w:val="none" w:sz="0" w:space="0" w:color="auto"/>
                        <w:right w:val="none" w:sz="0" w:space="0" w:color="auto"/>
                      </w:divBdr>
                    </w:div>
                  </w:divsChild>
                </w:div>
                <w:div w:id="1451628229">
                  <w:marLeft w:val="0"/>
                  <w:marRight w:val="0"/>
                  <w:marTop w:val="0"/>
                  <w:marBottom w:val="0"/>
                  <w:divBdr>
                    <w:top w:val="none" w:sz="0" w:space="0" w:color="auto"/>
                    <w:left w:val="none" w:sz="0" w:space="0" w:color="auto"/>
                    <w:bottom w:val="none" w:sz="0" w:space="0" w:color="auto"/>
                    <w:right w:val="none" w:sz="0" w:space="0" w:color="auto"/>
                  </w:divBdr>
                  <w:divsChild>
                    <w:div w:id="341202388">
                      <w:marLeft w:val="0"/>
                      <w:marRight w:val="0"/>
                      <w:marTop w:val="0"/>
                      <w:marBottom w:val="0"/>
                      <w:divBdr>
                        <w:top w:val="none" w:sz="0" w:space="0" w:color="auto"/>
                        <w:left w:val="none" w:sz="0" w:space="0" w:color="auto"/>
                        <w:bottom w:val="none" w:sz="0" w:space="0" w:color="auto"/>
                        <w:right w:val="none" w:sz="0" w:space="0" w:color="auto"/>
                      </w:divBdr>
                    </w:div>
                  </w:divsChild>
                </w:div>
                <w:div w:id="1467550576">
                  <w:marLeft w:val="0"/>
                  <w:marRight w:val="0"/>
                  <w:marTop w:val="0"/>
                  <w:marBottom w:val="0"/>
                  <w:divBdr>
                    <w:top w:val="none" w:sz="0" w:space="0" w:color="auto"/>
                    <w:left w:val="none" w:sz="0" w:space="0" w:color="auto"/>
                    <w:bottom w:val="none" w:sz="0" w:space="0" w:color="auto"/>
                    <w:right w:val="none" w:sz="0" w:space="0" w:color="auto"/>
                  </w:divBdr>
                  <w:divsChild>
                    <w:div w:id="1111782727">
                      <w:marLeft w:val="0"/>
                      <w:marRight w:val="0"/>
                      <w:marTop w:val="0"/>
                      <w:marBottom w:val="0"/>
                      <w:divBdr>
                        <w:top w:val="none" w:sz="0" w:space="0" w:color="auto"/>
                        <w:left w:val="none" w:sz="0" w:space="0" w:color="auto"/>
                        <w:bottom w:val="none" w:sz="0" w:space="0" w:color="auto"/>
                        <w:right w:val="none" w:sz="0" w:space="0" w:color="auto"/>
                      </w:divBdr>
                    </w:div>
                  </w:divsChild>
                </w:div>
                <w:div w:id="1467772000">
                  <w:marLeft w:val="0"/>
                  <w:marRight w:val="0"/>
                  <w:marTop w:val="0"/>
                  <w:marBottom w:val="0"/>
                  <w:divBdr>
                    <w:top w:val="none" w:sz="0" w:space="0" w:color="auto"/>
                    <w:left w:val="none" w:sz="0" w:space="0" w:color="auto"/>
                    <w:bottom w:val="none" w:sz="0" w:space="0" w:color="auto"/>
                    <w:right w:val="none" w:sz="0" w:space="0" w:color="auto"/>
                  </w:divBdr>
                  <w:divsChild>
                    <w:div w:id="663364049">
                      <w:marLeft w:val="0"/>
                      <w:marRight w:val="0"/>
                      <w:marTop w:val="0"/>
                      <w:marBottom w:val="0"/>
                      <w:divBdr>
                        <w:top w:val="none" w:sz="0" w:space="0" w:color="auto"/>
                        <w:left w:val="none" w:sz="0" w:space="0" w:color="auto"/>
                        <w:bottom w:val="none" w:sz="0" w:space="0" w:color="auto"/>
                        <w:right w:val="none" w:sz="0" w:space="0" w:color="auto"/>
                      </w:divBdr>
                    </w:div>
                  </w:divsChild>
                </w:div>
                <w:div w:id="1487555396">
                  <w:marLeft w:val="0"/>
                  <w:marRight w:val="0"/>
                  <w:marTop w:val="0"/>
                  <w:marBottom w:val="0"/>
                  <w:divBdr>
                    <w:top w:val="none" w:sz="0" w:space="0" w:color="auto"/>
                    <w:left w:val="none" w:sz="0" w:space="0" w:color="auto"/>
                    <w:bottom w:val="none" w:sz="0" w:space="0" w:color="auto"/>
                    <w:right w:val="none" w:sz="0" w:space="0" w:color="auto"/>
                  </w:divBdr>
                  <w:divsChild>
                    <w:div w:id="1802918667">
                      <w:marLeft w:val="0"/>
                      <w:marRight w:val="0"/>
                      <w:marTop w:val="0"/>
                      <w:marBottom w:val="0"/>
                      <w:divBdr>
                        <w:top w:val="none" w:sz="0" w:space="0" w:color="auto"/>
                        <w:left w:val="none" w:sz="0" w:space="0" w:color="auto"/>
                        <w:bottom w:val="none" w:sz="0" w:space="0" w:color="auto"/>
                        <w:right w:val="none" w:sz="0" w:space="0" w:color="auto"/>
                      </w:divBdr>
                    </w:div>
                  </w:divsChild>
                </w:div>
                <w:div w:id="1488593962">
                  <w:marLeft w:val="0"/>
                  <w:marRight w:val="0"/>
                  <w:marTop w:val="0"/>
                  <w:marBottom w:val="0"/>
                  <w:divBdr>
                    <w:top w:val="none" w:sz="0" w:space="0" w:color="auto"/>
                    <w:left w:val="none" w:sz="0" w:space="0" w:color="auto"/>
                    <w:bottom w:val="none" w:sz="0" w:space="0" w:color="auto"/>
                    <w:right w:val="none" w:sz="0" w:space="0" w:color="auto"/>
                  </w:divBdr>
                  <w:divsChild>
                    <w:div w:id="520632766">
                      <w:marLeft w:val="0"/>
                      <w:marRight w:val="0"/>
                      <w:marTop w:val="0"/>
                      <w:marBottom w:val="0"/>
                      <w:divBdr>
                        <w:top w:val="none" w:sz="0" w:space="0" w:color="auto"/>
                        <w:left w:val="none" w:sz="0" w:space="0" w:color="auto"/>
                        <w:bottom w:val="none" w:sz="0" w:space="0" w:color="auto"/>
                        <w:right w:val="none" w:sz="0" w:space="0" w:color="auto"/>
                      </w:divBdr>
                    </w:div>
                  </w:divsChild>
                </w:div>
                <w:div w:id="1491942125">
                  <w:marLeft w:val="0"/>
                  <w:marRight w:val="0"/>
                  <w:marTop w:val="0"/>
                  <w:marBottom w:val="0"/>
                  <w:divBdr>
                    <w:top w:val="none" w:sz="0" w:space="0" w:color="auto"/>
                    <w:left w:val="none" w:sz="0" w:space="0" w:color="auto"/>
                    <w:bottom w:val="none" w:sz="0" w:space="0" w:color="auto"/>
                    <w:right w:val="none" w:sz="0" w:space="0" w:color="auto"/>
                  </w:divBdr>
                  <w:divsChild>
                    <w:div w:id="934554329">
                      <w:marLeft w:val="0"/>
                      <w:marRight w:val="0"/>
                      <w:marTop w:val="0"/>
                      <w:marBottom w:val="0"/>
                      <w:divBdr>
                        <w:top w:val="none" w:sz="0" w:space="0" w:color="auto"/>
                        <w:left w:val="none" w:sz="0" w:space="0" w:color="auto"/>
                        <w:bottom w:val="none" w:sz="0" w:space="0" w:color="auto"/>
                        <w:right w:val="none" w:sz="0" w:space="0" w:color="auto"/>
                      </w:divBdr>
                    </w:div>
                  </w:divsChild>
                </w:div>
                <w:div w:id="1491949023">
                  <w:marLeft w:val="0"/>
                  <w:marRight w:val="0"/>
                  <w:marTop w:val="0"/>
                  <w:marBottom w:val="0"/>
                  <w:divBdr>
                    <w:top w:val="none" w:sz="0" w:space="0" w:color="auto"/>
                    <w:left w:val="none" w:sz="0" w:space="0" w:color="auto"/>
                    <w:bottom w:val="none" w:sz="0" w:space="0" w:color="auto"/>
                    <w:right w:val="none" w:sz="0" w:space="0" w:color="auto"/>
                  </w:divBdr>
                  <w:divsChild>
                    <w:div w:id="1956136930">
                      <w:marLeft w:val="0"/>
                      <w:marRight w:val="0"/>
                      <w:marTop w:val="0"/>
                      <w:marBottom w:val="0"/>
                      <w:divBdr>
                        <w:top w:val="none" w:sz="0" w:space="0" w:color="auto"/>
                        <w:left w:val="none" w:sz="0" w:space="0" w:color="auto"/>
                        <w:bottom w:val="none" w:sz="0" w:space="0" w:color="auto"/>
                        <w:right w:val="none" w:sz="0" w:space="0" w:color="auto"/>
                      </w:divBdr>
                    </w:div>
                  </w:divsChild>
                </w:div>
                <w:div w:id="1501770850">
                  <w:marLeft w:val="0"/>
                  <w:marRight w:val="0"/>
                  <w:marTop w:val="0"/>
                  <w:marBottom w:val="0"/>
                  <w:divBdr>
                    <w:top w:val="none" w:sz="0" w:space="0" w:color="auto"/>
                    <w:left w:val="none" w:sz="0" w:space="0" w:color="auto"/>
                    <w:bottom w:val="none" w:sz="0" w:space="0" w:color="auto"/>
                    <w:right w:val="none" w:sz="0" w:space="0" w:color="auto"/>
                  </w:divBdr>
                  <w:divsChild>
                    <w:div w:id="72364727">
                      <w:marLeft w:val="0"/>
                      <w:marRight w:val="0"/>
                      <w:marTop w:val="0"/>
                      <w:marBottom w:val="0"/>
                      <w:divBdr>
                        <w:top w:val="none" w:sz="0" w:space="0" w:color="auto"/>
                        <w:left w:val="none" w:sz="0" w:space="0" w:color="auto"/>
                        <w:bottom w:val="none" w:sz="0" w:space="0" w:color="auto"/>
                        <w:right w:val="none" w:sz="0" w:space="0" w:color="auto"/>
                      </w:divBdr>
                    </w:div>
                    <w:div w:id="362635492">
                      <w:marLeft w:val="0"/>
                      <w:marRight w:val="0"/>
                      <w:marTop w:val="0"/>
                      <w:marBottom w:val="0"/>
                      <w:divBdr>
                        <w:top w:val="none" w:sz="0" w:space="0" w:color="auto"/>
                        <w:left w:val="none" w:sz="0" w:space="0" w:color="auto"/>
                        <w:bottom w:val="none" w:sz="0" w:space="0" w:color="auto"/>
                        <w:right w:val="none" w:sz="0" w:space="0" w:color="auto"/>
                      </w:divBdr>
                    </w:div>
                    <w:div w:id="479884573">
                      <w:marLeft w:val="0"/>
                      <w:marRight w:val="0"/>
                      <w:marTop w:val="0"/>
                      <w:marBottom w:val="0"/>
                      <w:divBdr>
                        <w:top w:val="none" w:sz="0" w:space="0" w:color="auto"/>
                        <w:left w:val="none" w:sz="0" w:space="0" w:color="auto"/>
                        <w:bottom w:val="none" w:sz="0" w:space="0" w:color="auto"/>
                        <w:right w:val="none" w:sz="0" w:space="0" w:color="auto"/>
                      </w:divBdr>
                    </w:div>
                    <w:div w:id="593904947">
                      <w:marLeft w:val="0"/>
                      <w:marRight w:val="0"/>
                      <w:marTop w:val="0"/>
                      <w:marBottom w:val="0"/>
                      <w:divBdr>
                        <w:top w:val="none" w:sz="0" w:space="0" w:color="auto"/>
                        <w:left w:val="none" w:sz="0" w:space="0" w:color="auto"/>
                        <w:bottom w:val="none" w:sz="0" w:space="0" w:color="auto"/>
                        <w:right w:val="none" w:sz="0" w:space="0" w:color="auto"/>
                      </w:divBdr>
                    </w:div>
                    <w:div w:id="978460001">
                      <w:marLeft w:val="0"/>
                      <w:marRight w:val="0"/>
                      <w:marTop w:val="0"/>
                      <w:marBottom w:val="0"/>
                      <w:divBdr>
                        <w:top w:val="none" w:sz="0" w:space="0" w:color="auto"/>
                        <w:left w:val="none" w:sz="0" w:space="0" w:color="auto"/>
                        <w:bottom w:val="none" w:sz="0" w:space="0" w:color="auto"/>
                        <w:right w:val="none" w:sz="0" w:space="0" w:color="auto"/>
                      </w:divBdr>
                    </w:div>
                    <w:div w:id="1260218037">
                      <w:marLeft w:val="0"/>
                      <w:marRight w:val="0"/>
                      <w:marTop w:val="0"/>
                      <w:marBottom w:val="0"/>
                      <w:divBdr>
                        <w:top w:val="none" w:sz="0" w:space="0" w:color="auto"/>
                        <w:left w:val="none" w:sz="0" w:space="0" w:color="auto"/>
                        <w:bottom w:val="none" w:sz="0" w:space="0" w:color="auto"/>
                        <w:right w:val="none" w:sz="0" w:space="0" w:color="auto"/>
                      </w:divBdr>
                    </w:div>
                    <w:div w:id="1271820031">
                      <w:marLeft w:val="0"/>
                      <w:marRight w:val="0"/>
                      <w:marTop w:val="0"/>
                      <w:marBottom w:val="0"/>
                      <w:divBdr>
                        <w:top w:val="none" w:sz="0" w:space="0" w:color="auto"/>
                        <w:left w:val="none" w:sz="0" w:space="0" w:color="auto"/>
                        <w:bottom w:val="none" w:sz="0" w:space="0" w:color="auto"/>
                        <w:right w:val="none" w:sz="0" w:space="0" w:color="auto"/>
                      </w:divBdr>
                    </w:div>
                    <w:div w:id="1384451233">
                      <w:marLeft w:val="0"/>
                      <w:marRight w:val="0"/>
                      <w:marTop w:val="0"/>
                      <w:marBottom w:val="0"/>
                      <w:divBdr>
                        <w:top w:val="none" w:sz="0" w:space="0" w:color="auto"/>
                        <w:left w:val="none" w:sz="0" w:space="0" w:color="auto"/>
                        <w:bottom w:val="none" w:sz="0" w:space="0" w:color="auto"/>
                        <w:right w:val="none" w:sz="0" w:space="0" w:color="auto"/>
                      </w:divBdr>
                    </w:div>
                    <w:div w:id="1615676661">
                      <w:marLeft w:val="0"/>
                      <w:marRight w:val="0"/>
                      <w:marTop w:val="0"/>
                      <w:marBottom w:val="0"/>
                      <w:divBdr>
                        <w:top w:val="none" w:sz="0" w:space="0" w:color="auto"/>
                        <w:left w:val="none" w:sz="0" w:space="0" w:color="auto"/>
                        <w:bottom w:val="none" w:sz="0" w:space="0" w:color="auto"/>
                        <w:right w:val="none" w:sz="0" w:space="0" w:color="auto"/>
                      </w:divBdr>
                    </w:div>
                    <w:div w:id="1832789581">
                      <w:marLeft w:val="0"/>
                      <w:marRight w:val="0"/>
                      <w:marTop w:val="0"/>
                      <w:marBottom w:val="0"/>
                      <w:divBdr>
                        <w:top w:val="none" w:sz="0" w:space="0" w:color="auto"/>
                        <w:left w:val="none" w:sz="0" w:space="0" w:color="auto"/>
                        <w:bottom w:val="none" w:sz="0" w:space="0" w:color="auto"/>
                        <w:right w:val="none" w:sz="0" w:space="0" w:color="auto"/>
                      </w:divBdr>
                    </w:div>
                    <w:div w:id="1889563064">
                      <w:marLeft w:val="0"/>
                      <w:marRight w:val="0"/>
                      <w:marTop w:val="0"/>
                      <w:marBottom w:val="0"/>
                      <w:divBdr>
                        <w:top w:val="none" w:sz="0" w:space="0" w:color="auto"/>
                        <w:left w:val="none" w:sz="0" w:space="0" w:color="auto"/>
                        <w:bottom w:val="none" w:sz="0" w:space="0" w:color="auto"/>
                        <w:right w:val="none" w:sz="0" w:space="0" w:color="auto"/>
                      </w:divBdr>
                    </w:div>
                    <w:div w:id="1949893058">
                      <w:marLeft w:val="0"/>
                      <w:marRight w:val="0"/>
                      <w:marTop w:val="0"/>
                      <w:marBottom w:val="0"/>
                      <w:divBdr>
                        <w:top w:val="none" w:sz="0" w:space="0" w:color="auto"/>
                        <w:left w:val="none" w:sz="0" w:space="0" w:color="auto"/>
                        <w:bottom w:val="none" w:sz="0" w:space="0" w:color="auto"/>
                        <w:right w:val="none" w:sz="0" w:space="0" w:color="auto"/>
                      </w:divBdr>
                    </w:div>
                    <w:div w:id="1984892123">
                      <w:marLeft w:val="0"/>
                      <w:marRight w:val="0"/>
                      <w:marTop w:val="0"/>
                      <w:marBottom w:val="0"/>
                      <w:divBdr>
                        <w:top w:val="none" w:sz="0" w:space="0" w:color="auto"/>
                        <w:left w:val="none" w:sz="0" w:space="0" w:color="auto"/>
                        <w:bottom w:val="none" w:sz="0" w:space="0" w:color="auto"/>
                        <w:right w:val="none" w:sz="0" w:space="0" w:color="auto"/>
                      </w:divBdr>
                    </w:div>
                  </w:divsChild>
                </w:div>
                <w:div w:id="1512641277">
                  <w:marLeft w:val="0"/>
                  <w:marRight w:val="0"/>
                  <w:marTop w:val="0"/>
                  <w:marBottom w:val="0"/>
                  <w:divBdr>
                    <w:top w:val="none" w:sz="0" w:space="0" w:color="auto"/>
                    <w:left w:val="none" w:sz="0" w:space="0" w:color="auto"/>
                    <w:bottom w:val="none" w:sz="0" w:space="0" w:color="auto"/>
                    <w:right w:val="none" w:sz="0" w:space="0" w:color="auto"/>
                  </w:divBdr>
                  <w:divsChild>
                    <w:div w:id="24211316">
                      <w:marLeft w:val="0"/>
                      <w:marRight w:val="0"/>
                      <w:marTop w:val="0"/>
                      <w:marBottom w:val="0"/>
                      <w:divBdr>
                        <w:top w:val="none" w:sz="0" w:space="0" w:color="auto"/>
                        <w:left w:val="none" w:sz="0" w:space="0" w:color="auto"/>
                        <w:bottom w:val="none" w:sz="0" w:space="0" w:color="auto"/>
                        <w:right w:val="none" w:sz="0" w:space="0" w:color="auto"/>
                      </w:divBdr>
                    </w:div>
                  </w:divsChild>
                </w:div>
                <w:div w:id="1527257985">
                  <w:marLeft w:val="0"/>
                  <w:marRight w:val="0"/>
                  <w:marTop w:val="0"/>
                  <w:marBottom w:val="0"/>
                  <w:divBdr>
                    <w:top w:val="none" w:sz="0" w:space="0" w:color="auto"/>
                    <w:left w:val="none" w:sz="0" w:space="0" w:color="auto"/>
                    <w:bottom w:val="none" w:sz="0" w:space="0" w:color="auto"/>
                    <w:right w:val="none" w:sz="0" w:space="0" w:color="auto"/>
                  </w:divBdr>
                  <w:divsChild>
                    <w:div w:id="851454341">
                      <w:marLeft w:val="0"/>
                      <w:marRight w:val="0"/>
                      <w:marTop w:val="0"/>
                      <w:marBottom w:val="0"/>
                      <w:divBdr>
                        <w:top w:val="none" w:sz="0" w:space="0" w:color="auto"/>
                        <w:left w:val="none" w:sz="0" w:space="0" w:color="auto"/>
                        <w:bottom w:val="none" w:sz="0" w:space="0" w:color="auto"/>
                        <w:right w:val="none" w:sz="0" w:space="0" w:color="auto"/>
                      </w:divBdr>
                    </w:div>
                  </w:divsChild>
                </w:div>
                <w:div w:id="1528374320">
                  <w:marLeft w:val="0"/>
                  <w:marRight w:val="0"/>
                  <w:marTop w:val="0"/>
                  <w:marBottom w:val="0"/>
                  <w:divBdr>
                    <w:top w:val="none" w:sz="0" w:space="0" w:color="auto"/>
                    <w:left w:val="none" w:sz="0" w:space="0" w:color="auto"/>
                    <w:bottom w:val="none" w:sz="0" w:space="0" w:color="auto"/>
                    <w:right w:val="none" w:sz="0" w:space="0" w:color="auto"/>
                  </w:divBdr>
                  <w:divsChild>
                    <w:div w:id="1848134083">
                      <w:marLeft w:val="0"/>
                      <w:marRight w:val="0"/>
                      <w:marTop w:val="0"/>
                      <w:marBottom w:val="0"/>
                      <w:divBdr>
                        <w:top w:val="none" w:sz="0" w:space="0" w:color="auto"/>
                        <w:left w:val="none" w:sz="0" w:space="0" w:color="auto"/>
                        <w:bottom w:val="none" w:sz="0" w:space="0" w:color="auto"/>
                        <w:right w:val="none" w:sz="0" w:space="0" w:color="auto"/>
                      </w:divBdr>
                    </w:div>
                  </w:divsChild>
                </w:div>
                <w:div w:id="1530289725">
                  <w:marLeft w:val="0"/>
                  <w:marRight w:val="0"/>
                  <w:marTop w:val="0"/>
                  <w:marBottom w:val="0"/>
                  <w:divBdr>
                    <w:top w:val="none" w:sz="0" w:space="0" w:color="auto"/>
                    <w:left w:val="none" w:sz="0" w:space="0" w:color="auto"/>
                    <w:bottom w:val="none" w:sz="0" w:space="0" w:color="auto"/>
                    <w:right w:val="none" w:sz="0" w:space="0" w:color="auto"/>
                  </w:divBdr>
                  <w:divsChild>
                    <w:div w:id="1648852796">
                      <w:marLeft w:val="0"/>
                      <w:marRight w:val="0"/>
                      <w:marTop w:val="0"/>
                      <w:marBottom w:val="0"/>
                      <w:divBdr>
                        <w:top w:val="none" w:sz="0" w:space="0" w:color="auto"/>
                        <w:left w:val="none" w:sz="0" w:space="0" w:color="auto"/>
                        <w:bottom w:val="none" w:sz="0" w:space="0" w:color="auto"/>
                        <w:right w:val="none" w:sz="0" w:space="0" w:color="auto"/>
                      </w:divBdr>
                    </w:div>
                  </w:divsChild>
                </w:div>
                <w:div w:id="1537501607">
                  <w:marLeft w:val="0"/>
                  <w:marRight w:val="0"/>
                  <w:marTop w:val="0"/>
                  <w:marBottom w:val="0"/>
                  <w:divBdr>
                    <w:top w:val="none" w:sz="0" w:space="0" w:color="auto"/>
                    <w:left w:val="none" w:sz="0" w:space="0" w:color="auto"/>
                    <w:bottom w:val="none" w:sz="0" w:space="0" w:color="auto"/>
                    <w:right w:val="none" w:sz="0" w:space="0" w:color="auto"/>
                  </w:divBdr>
                  <w:divsChild>
                    <w:div w:id="892816578">
                      <w:marLeft w:val="0"/>
                      <w:marRight w:val="0"/>
                      <w:marTop w:val="0"/>
                      <w:marBottom w:val="0"/>
                      <w:divBdr>
                        <w:top w:val="none" w:sz="0" w:space="0" w:color="auto"/>
                        <w:left w:val="none" w:sz="0" w:space="0" w:color="auto"/>
                        <w:bottom w:val="none" w:sz="0" w:space="0" w:color="auto"/>
                        <w:right w:val="none" w:sz="0" w:space="0" w:color="auto"/>
                      </w:divBdr>
                    </w:div>
                  </w:divsChild>
                </w:div>
                <w:div w:id="1551383728">
                  <w:marLeft w:val="0"/>
                  <w:marRight w:val="0"/>
                  <w:marTop w:val="0"/>
                  <w:marBottom w:val="0"/>
                  <w:divBdr>
                    <w:top w:val="none" w:sz="0" w:space="0" w:color="auto"/>
                    <w:left w:val="none" w:sz="0" w:space="0" w:color="auto"/>
                    <w:bottom w:val="none" w:sz="0" w:space="0" w:color="auto"/>
                    <w:right w:val="none" w:sz="0" w:space="0" w:color="auto"/>
                  </w:divBdr>
                  <w:divsChild>
                    <w:div w:id="187256193">
                      <w:marLeft w:val="0"/>
                      <w:marRight w:val="0"/>
                      <w:marTop w:val="0"/>
                      <w:marBottom w:val="0"/>
                      <w:divBdr>
                        <w:top w:val="none" w:sz="0" w:space="0" w:color="auto"/>
                        <w:left w:val="none" w:sz="0" w:space="0" w:color="auto"/>
                        <w:bottom w:val="none" w:sz="0" w:space="0" w:color="auto"/>
                        <w:right w:val="none" w:sz="0" w:space="0" w:color="auto"/>
                      </w:divBdr>
                    </w:div>
                  </w:divsChild>
                </w:div>
                <w:div w:id="1554464281">
                  <w:marLeft w:val="0"/>
                  <w:marRight w:val="0"/>
                  <w:marTop w:val="0"/>
                  <w:marBottom w:val="0"/>
                  <w:divBdr>
                    <w:top w:val="none" w:sz="0" w:space="0" w:color="auto"/>
                    <w:left w:val="none" w:sz="0" w:space="0" w:color="auto"/>
                    <w:bottom w:val="none" w:sz="0" w:space="0" w:color="auto"/>
                    <w:right w:val="none" w:sz="0" w:space="0" w:color="auto"/>
                  </w:divBdr>
                  <w:divsChild>
                    <w:div w:id="1825194444">
                      <w:marLeft w:val="0"/>
                      <w:marRight w:val="0"/>
                      <w:marTop w:val="0"/>
                      <w:marBottom w:val="0"/>
                      <w:divBdr>
                        <w:top w:val="none" w:sz="0" w:space="0" w:color="auto"/>
                        <w:left w:val="none" w:sz="0" w:space="0" w:color="auto"/>
                        <w:bottom w:val="none" w:sz="0" w:space="0" w:color="auto"/>
                        <w:right w:val="none" w:sz="0" w:space="0" w:color="auto"/>
                      </w:divBdr>
                    </w:div>
                  </w:divsChild>
                </w:div>
                <w:div w:id="1554926109">
                  <w:marLeft w:val="0"/>
                  <w:marRight w:val="0"/>
                  <w:marTop w:val="0"/>
                  <w:marBottom w:val="0"/>
                  <w:divBdr>
                    <w:top w:val="none" w:sz="0" w:space="0" w:color="auto"/>
                    <w:left w:val="none" w:sz="0" w:space="0" w:color="auto"/>
                    <w:bottom w:val="none" w:sz="0" w:space="0" w:color="auto"/>
                    <w:right w:val="none" w:sz="0" w:space="0" w:color="auto"/>
                  </w:divBdr>
                  <w:divsChild>
                    <w:div w:id="664211283">
                      <w:marLeft w:val="0"/>
                      <w:marRight w:val="0"/>
                      <w:marTop w:val="0"/>
                      <w:marBottom w:val="0"/>
                      <w:divBdr>
                        <w:top w:val="none" w:sz="0" w:space="0" w:color="auto"/>
                        <w:left w:val="none" w:sz="0" w:space="0" w:color="auto"/>
                        <w:bottom w:val="none" w:sz="0" w:space="0" w:color="auto"/>
                        <w:right w:val="none" w:sz="0" w:space="0" w:color="auto"/>
                      </w:divBdr>
                    </w:div>
                  </w:divsChild>
                </w:div>
                <w:div w:id="1556042454">
                  <w:marLeft w:val="0"/>
                  <w:marRight w:val="0"/>
                  <w:marTop w:val="0"/>
                  <w:marBottom w:val="0"/>
                  <w:divBdr>
                    <w:top w:val="none" w:sz="0" w:space="0" w:color="auto"/>
                    <w:left w:val="none" w:sz="0" w:space="0" w:color="auto"/>
                    <w:bottom w:val="none" w:sz="0" w:space="0" w:color="auto"/>
                    <w:right w:val="none" w:sz="0" w:space="0" w:color="auto"/>
                  </w:divBdr>
                  <w:divsChild>
                    <w:div w:id="1683584224">
                      <w:marLeft w:val="0"/>
                      <w:marRight w:val="0"/>
                      <w:marTop w:val="0"/>
                      <w:marBottom w:val="0"/>
                      <w:divBdr>
                        <w:top w:val="none" w:sz="0" w:space="0" w:color="auto"/>
                        <w:left w:val="none" w:sz="0" w:space="0" w:color="auto"/>
                        <w:bottom w:val="none" w:sz="0" w:space="0" w:color="auto"/>
                        <w:right w:val="none" w:sz="0" w:space="0" w:color="auto"/>
                      </w:divBdr>
                    </w:div>
                  </w:divsChild>
                </w:div>
                <w:div w:id="1566598046">
                  <w:marLeft w:val="0"/>
                  <w:marRight w:val="0"/>
                  <w:marTop w:val="0"/>
                  <w:marBottom w:val="0"/>
                  <w:divBdr>
                    <w:top w:val="none" w:sz="0" w:space="0" w:color="auto"/>
                    <w:left w:val="none" w:sz="0" w:space="0" w:color="auto"/>
                    <w:bottom w:val="none" w:sz="0" w:space="0" w:color="auto"/>
                    <w:right w:val="none" w:sz="0" w:space="0" w:color="auto"/>
                  </w:divBdr>
                  <w:divsChild>
                    <w:div w:id="23333387">
                      <w:marLeft w:val="0"/>
                      <w:marRight w:val="0"/>
                      <w:marTop w:val="0"/>
                      <w:marBottom w:val="0"/>
                      <w:divBdr>
                        <w:top w:val="none" w:sz="0" w:space="0" w:color="auto"/>
                        <w:left w:val="none" w:sz="0" w:space="0" w:color="auto"/>
                        <w:bottom w:val="none" w:sz="0" w:space="0" w:color="auto"/>
                        <w:right w:val="none" w:sz="0" w:space="0" w:color="auto"/>
                      </w:divBdr>
                    </w:div>
                    <w:div w:id="1470853952">
                      <w:marLeft w:val="0"/>
                      <w:marRight w:val="0"/>
                      <w:marTop w:val="0"/>
                      <w:marBottom w:val="0"/>
                      <w:divBdr>
                        <w:top w:val="none" w:sz="0" w:space="0" w:color="auto"/>
                        <w:left w:val="none" w:sz="0" w:space="0" w:color="auto"/>
                        <w:bottom w:val="none" w:sz="0" w:space="0" w:color="auto"/>
                        <w:right w:val="none" w:sz="0" w:space="0" w:color="auto"/>
                      </w:divBdr>
                    </w:div>
                  </w:divsChild>
                </w:div>
                <w:div w:id="1571109495">
                  <w:marLeft w:val="0"/>
                  <w:marRight w:val="0"/>
                  <w:marTop w:val="0"/>
                  <w:marBottom w:val="0"/>
                  <w:divBdr>
                    <w:top w:val="none" w:sz="0" w:space="0" w:color="auto"/>
                    <w:left w:val="none" w:sz="0" w:space="0" w:color="auto"/>
                    <w:bottom w:val="none" w:sz="0" w:space="0" w:color="auto"/>
                    <w:right w:val="none" w:sz="0" w:space="0" w:color="auto"/>
                  </w:divBdr>
                  <w:divsChild>
                    <w:div w:id="1219241399">
                      <w:marLeft w:val="0"/>
                      <w:marRight w:val="0"/>
                      <w:marTop w:val="0"/>
                      <w:marBottom w:val="0"/>
                      <w:divBdr>
                        <w:top w:val="none" w:sz="0" w:space="0" w:color="auto"/>
                        <w:left w:val="none" w:sz="0" w:space="0" w:color="auto"/>
                        <w:bottom w:val="none" w:sz="0" w:space="0" w:color="auto"/>
                        <w:right w:val="none" w:sz="0" w:space="0" w:color="auto"/>
                      </w:divBdr>
                    </w:div>
                  </w:divsChild>
                </w:div>
                <w:div w:id="1578593250">
                  <w:marLeft w:val="0"/>
                  <w:marRight w:val="0"/>
                  <w:marTop w:val="0"/>
                  <w:marBottom w:val="0"/>
                  <w:divBdr>
                    <w:top w:val="none" w:sz="0" w:space="0" w:color="auto"/>
                    <w:left w:val="none" w:sz="0" w:space="0" w:color="auto"/>
                    <w:bottom w:val="none" w:sz="0" w:space="0" w:color="auto"/>
                    <w:right w:val="none" w:sz="0" w:space="0" w:color="auto"/>
                  </w:divBdr>
                  <w:divsChild>
                    <w:div w:id="1821969154">
                      <w:marLeft w:val="0"/>
                      <w:marRight w:val="0"/>
                      <w:marTop w:val="0"/>
                      <w:marBottom w:val="0"/>
                      <w:divBdr>
                        <w:top w:val="none" w:sz="0" w:space="0" w:color="auto"/>
                        <w:left w:val="none" w:sz="0" w:space="0" w:color="auto"/>
                        <w:bottom w:val="none" w:sz="0" w:space="0" w:color="auto"/>
                        <w:right w:val="none" w:sz="0" w:space="0" w:color="auto"/>
                      </w:divBdr>
                    </w:div>
                  </w:divsChild>
                </w:div>
                <w:div w:id="1579515689">
                  <w:marLeft w:val="0"/>
                  <w:marRight w:val="0"/>
                  <w:marTop w:val="0"/>
                  <w:marBottom w:val="0"/>
                  <w:divBdr>
                    <w:top w:val="none" w:sz="0" w:space="0" w:color="auto"/>
                    <w:left w:val="none" w:sz="0" w:space="0" w:color="auto"/>
                    <w:bottom w:val="none" w:sz="0" w:space="0" w:color="auto"/>
                    <w:right w:val="none" w:sz="0" w:space="0" w:color="auto"/>
                  </w:divBdr>
                  <w:divsChild>
                    <w:div w:id="1013727846">
                      <w:marLeft w:val="0"/>
                      <w:marRight w:val="0"/>
                      <w:marTop w:val="0"/>
                      <w:marBottom w:val="0"/>
                      <w:divBdr>
                        <w:top w:val="none" w:sz="0" w:space="0" w:color="auto"/>
                        <w:left w:val="none" w:sz="0" w:space="0" w:color="auto"/>
                        <w:bottom w:val="none" w:sz="0" w:space="0" w:color="auto"/>
                        <w:right w:val="none" w:sz="0" w:space="0" w:color="auto"/>
                      </w:divBdr>
                    </w:div>
                  </w:divsChild>
                </w:div>
                <w:div w:id="1584492692">
                  <w:marLeft w:val="0"/>
                  <w:marRight w:val="0"/>
                  <w:marTop w:val="0"/>
                  <w:marBottom w:val="0"/>
                  <w:divBdr>
                    <w:top w:val="none" w:sz="0" w:space="0" w:color="auto"/>
                    <w:left w:val="none" w:sz="0" w:space="0" w:color="auto"/>
                    <w:bottom w:val="none" w:sz="0" w:space="0" w:color="auto"/>
                    <w:right w:val="none" w:sz="0" w:space="0" w:color="auto"/>
                  </w:divBdr>
                  <w:divsChild>
                    <w:div w:id="962925128">
                      <w:marLeft w:val="0"/>
                      <w:marRight w:val="0"/>
                      <w:marTop w:val="0"/>
                      <w:marBottom w:val="0"/>
                      <w:divBdr>
                        <w:top w:val="none" w:sz="0" w:space="0" w:color="auto"/>
                        <w:left w:val="none" w:sz="0" w:space="0" w:color="auto"/>
                        <w:bottom w:val="none" w:sz="0" w:space="0" w:color="auto"/>
                        <w:right w:val="none" w:sz="0" w:space="0" w:color="auto"/>
                      </w:divBdr>
                    </w:div>
                    <w:div w:id="1375693286">
                      <w:marLeft w:val="0"/>
                      <w:marRight w:val="0"/>
                      <w:marTop w:val="0"/>
                      <w:marBottom w:val="0"/>
                      <w:divBdr>
                        <w:top w:val="none" w:sz="0" w:space="0" w:color="auto"/>
                        <w:left w:val="none" w:sz="0" w:space="0" w:color="auto"/>
                        <w:bottom w:val="none" w:sz="0" w:space="0" w:color="auto"/>
                        <w:right w:val="none" w:sz="0" w:space="0" w:color="auto"/>
                      </w:divBdr>
                    </w:div>
                  </w:divsChild>
                </w:div>
                <w:div w:id="1586963395">
                  <w:marLeft w:val="0"/>
                  <w:marRight w:val="0"/>
                  <w:marTop w:val="0"/>
                  <w:marBottom w:val="0"/>
                  <w:divBdr>
                    <w:top w:val="none" w:sz="0" w:space="0" w:color="auto"/>
                    <w:left w:val="none" w:sz="0" w:space="0" w:color="auto"/>
                    <w:bottom w:val="none" w:sz="0" w:space="0" w:color="auto"/>
                    <w:right w:val="none" w:sz="0" w:space="0" w:color="auto"/>
                  </w:divBdr>
                  <w:divsChild>
                    <w:div w:id="743571635">
                      <w:marLeft w:val="0"/>
                      <w:marRight w:val="0"/>
                      <w:marTop w:val="0"/>
                      <w:marBottom w:val="0"/>
                      <w:divBdr>
                        <w:top w:val="none" w:sz="0" w:space="0" w:color="auto"/>
                        <w:left w:val="none" w:sz="0" w:space="0" w:color="auto"/>
                        <w:bottom w:val="none" w:sz="0" w:space="0" w:color="auto"/>
                        <w:right w:val="none" w:sz="0" w:space="0" w:color="auto"/>
                      </w:divBdr>
                    </w:div>
                  </w:divsChild>
                </w:div>
                <w:div w:id="1587307030">
                  <w:marLeft w:val="0"/>
                  <w:marRight w:val="0"/>
                  <w:marTop w:val="0"/>
                  <w:marBottom w:val="0"/>
                  <w:divBdr>
                    <w:top w:val="none" w:sz="0" w:space="0" w:color="auto"/>
                    <w:left w:val="none" w:sz="0" w:space="0" w:color="auto"/>
                    <w:bottom w:val="none" w:sz="0" w:space="0" w:color="auto"/>
                    <w:right w:val="none" w:sz="0" w:space="0" w:color="auto"/>
                  </w:divBdr>
                  <w:divsChild>
                    <w:div w:id="1629630890">
                      <w:marLeft w:val="0"/>
                      <w:marRight w:val="0"/>
                      <w:marTop w:val="0"/>
                      <w:marBottom w:val="0"/>
                      <w:divBdr>
                        <w:top w:val="none" w:sz="0" w:space="0" w:color="auto"/>
                        <w:left w:val="none" w:sz="0" w:space="0" w:color="auto"/>
                        <w:bottom w:val="none" w:sz="0" w:space="0" w:color="auto"/>
                        <w:right w:val="none" w:sz="0" w:space="0" w:color="auto"/>
                      </w:divBdr>
                    </w:div>
                  </w:divsChild>
                </w:div>
                <w:div w:id="1590653625">
                  <w:marLeft w:val="0"/>
                  <w:marRight w:val="0"/>
                  <w:marTop w:val="0"/>
                  <w:marBottom w:val="0"/>
                  <w:divBdr>
                    <w:top w:val="none" w:sz="0" w:space="0" w:color="auto"/>
                    <w:left w:val="none" w:sz="0" w:space="0" w:color="auto"/>
                    <w:bottom w:val="none" w:sz="0" w:space="0" w:color="auto"/>
                    <w:right w:val="none" w:sz="0" w:space="0" w:color="auto"/>
                  </w:divBdr>
                  <w:divsChild>
                    <w:div w:id="977297574">
                      <w:marLeft w:val="0"/>
                      <w:marRight w:val="0"/>
                      <w:marTop w:val="0"/>
                      <w:marBottom w:val="0"/>
                      <w:divBdr>
                        <w:top w:val="none" w:sz="0" w:space="0" w:color="auto"/>
                        <w:left w:val="none" w:sz="0" w:space="0" w:color="auto"/>
                        <w:bottom w:val="none" w:sz="0" w:space="0" w:color="auto"/>
                        <w:right w:val="none" w:sz="0" w:space="0" w:color="auto"/>
                      </w:divBdr>
                    </w:div>
                  </w:divsChild>
                </w:div>
                <w:div w:id="1595821403">
                  <w:marLeft w:val="0"/>
                  <w:marRight w:val="0"/>
                  <w:marTop w:val="0"/>
                  <w:marBottom w:val="0"/>
                  <w:divBdr>
                    <w:top w:val="none" w:sz="0" w:space="0" w:color="auto"/>
                    <w:left w:val="none" w:sz="0" w:space="0" w:color="auto"/>
                    <w:bottom w:val="none" w:sz="0" w:space="0" w:color="auto"/>
                    <w:right w:val="none" w:sz="0" w:space="0" w:color="auto"/>
                  </w:divBdr>
                  <w:divsChild>
                    <w:div w:id="2100178840">
                      <w:marLeft w:val="0"/>
                      <w:marRight w:val="0"/>
                      <w:marTop w:val="0"/>
                      <w:marBottom w:val="0"/>
                      <w:divBdr>
                        <w:top w:val="none" w:sz="0" w:space="0" w:color="auto"/>
                        <w:left w:val="none" w:sz="0" w:space="0" w:color="auto"/>
                        <w:bottom w:val="none" w:sz="0" w:space="0" w:color="auto"/>
                        <w:right w:val="none" w:sz="0" w:space="0" w:color="auto"/>
                      </w:divBdr>
                    </w:div>
                  </w:divsChild>
                </w:div>
                <w:div w:id="1601142741">
                  <w:marLeft w:val="0"/>
                  <w:marRight w:val="0"/>
                  <w:marTop w:val="0"/>
                  <w:marBottom w:val="0"/>
                  <w:divBdr>
                    <w:top w:val="none" w:sz="0" w:space="0" w:color="auto"/>
                    <w:left w:val="none" w:sz="0" w:space="0" w:color="auto"/>
                    <w:bottom w:val="none" w:sz="0" w:space="0" w:color="auto"/>
                    <w:right w:val="none" w:sz="0" w:space="0" w:color="auto"/>
                  </w:divBdr>
                  <w:divsChild>
                    <w:div w:id="1432623518">
                      <w:marLeft w:val="0"/>
                      <w:marRight w:val="0"/>
                      <w:marTop w:val="0"/>
                      <w:marBottom w:val="0"/>
                      <w:divBdr>
                        <w:top w:val="none" w:sz="0" w:space="0" w:color="auto"/>
                        <w:left w:val="none" w:sz="0" w:space="0" w:color="auto"/>
                        <w:bottom w:val="none" w:sz="0" w:space="0" w:color="auto"/>
                        <w:right w:val="none" w:sz="0" w:space="0" w:color="auto"/>
                      </w:divBdr>
                    </w:div>
                  </w:divsChild>
                </w:div>
                <w:div w:id="1618443003">
                  <w:marLeft w:val="0"/>
                  <w:marRight w:val="0"/>
                  <w:marTop w:val="0"/>
                  <w:marBottom w:val="0"/>
                  <w:divBdr>
                    <w:top w:val="none" w:sz="0" w:space="0" w:color="auto"/>
                    <w:left w:val="none" w:sz="0" w:space="0" w:color="auto"/>
                    <w:bottom w:val="none" w:sz="0" w:space="0" w:color="auto"/>
                    <w:right w:val="none" w:sz="0" w:space="0" w:color="auto"/>
                  </w:divBdr>
                  <w:divsChild>
                    <w:div w:id="478811537">
                      <w:marLeft w:val="0"/>
                      <w:marRight w:val="0"/>
                      <w:marTop w:val="0"/>
                      <w:marBottom w:val="0"/>
                      <w:divBdr>
                        <w:top w:val="none" w:sz="0" w:space="0" w:color="auto"/>
                        <w:left w:val="none" w:sz="0" w:space="0" w:color="auto"/>
                        <w:bottom w:val="none" w:sz="0" w:space="0" w:color="auto"/>
                        <w:right w:val="none" w:sz="0" w:space="0" w:color="auto"/>
                      </w:divBdr>
                    </w:div>
                  </w:divsChild>
                </w:div>
                <w:div w:id="1623999974">
                  <w:marLeft w:val="0"/>
                  <w:marRight w:val="0"/>
                  <w:marTop w:val="0"/>
                  <w:marBottom w:val="0"/>
                  <w:divBdr>
                    <w:top w:val="none" w:sz="0" w:space="0" w:color="auto"/>
                    <w:left w:val="none" w:sz="0" w:space="0" w:color="auto"/>
                    <w:bottom w:val="none" w:sz="0" w:space="0" w:color="auto"/>
                    <w:right w:val="none" w:sz="0" w:space="0" w:color="auto"/>
                  </w:divBdr>
                  <w:divsChild>
                    <w:div w:id="1366372942">
                      <w:marLeft w:val="0"/>
                      <w:marRight w:val="0"/>
                      <w:marTop w:val="0"/>
                      <w:marBottom w:val="0"/>
                      <w:divBdr>
                        <w:top w:val="none" w:sz="0" w:space="0" w:color="auto"/>
                        <w:left w:val="none" w:sz="0" w:space="0" w:color="auto"/>
                        <w:bottom w:val="none" w:sz="0" w:space="0" w:color="auto"/>
                        <w:right w:val="none" w:sz="0" w:space="0" w:color="auto"/>
                      </w:divBdr>
                    </w:div>
                  </w:divsChild>
                </w:div>
                <w:div w:id="1633292337">
                  <w:marLeft w:val="0"/>
                  <w:marRight w:val="0"/>
                  <w:marTop w:val="0"/>
                  <w:marBottom w:val="0"/>
                  <w:divBdr>
                    <w:top w:val="none" w:sz="0" w:space="0" w:color="auto"/>
                    <w:left w:val="none" w:sz="0" w:space="0" w:color="auto"/>
                    <w:bottom w:val="none" w:sz="0" w:space="0" w:color="auto"/>
                    <w:right w:val="none" w:sz="0" w:space="0" w:color="auto"/>
                  </w:divBdr>
                  <w:divsChild>
                    <w:div w:id="1342708053">
                      <w:marLeft w:val="0"/>
                      <w:marRight w:val="0"/>
                      <w:marTop w:val="0"/>
                      <w:marBottom w:val="0"/>
                      <w:divBdr>
                        <w:top w:val="none" w:sz="0" w:space="0" w:color="auto"/>
                        <w:left w:val="none" w:sz="0" w:space="0" w:color="auto"/>
                        <w:bottom w:val="none" w:sz="0" w:space="0" w:color="auto"/>
                        <w:right w:val="none" w:sz="0" w:space="0" w:color="auto"/>
                      </w:divBdr>
                    </w:div>
                  </w:divsChild>
                </w:div>
                <w:div w:id="1640843327">
                  <w:marLeft w:val="0"/>
                  <w:marRight w:val="0"/>
                  <w:marTop w:val="0"/>
                  <w:marBottom w:val="0"/>
                  <w:divBdr>
                    <w:top w:val="none" w:sz="0" w:space="0" w:color="auto"/>
                    <w:left w:val="none" w:sz="0" w:space="0" w:color="auto"/>
                    <w:bottom w:val="none" w:sz="0" w:space="0" w:color="auto"/>
                    <w:right w:val="none" w:sz="0" w:space="0" w:color="auto"/>
                  </w:divBdr>
                  <w:divsChild>
                    <w:div w:id="292906504">
                      <w:marLeft w:val="0"/>
                      <w:marRight w:val="0"/>
                      <w:marTop w:val="0"/>
                      <w:marBottom w:val="0"/>
                      <w:divBdr>
                        <w:top w:val="none" w:sz="0" w:space="0" w:color="auto"/>
                        <w:left w:val="none" w:sz="0" w:space="0" w:color="auto"/>
                        <w:bottom w:val="none" w:sz="0" w:space="0" w:color="auto"/>
                        <w:right w:val="none" w:sz="0" w:space="0" w:color="auto"/>
                      </w:divBdr>
                    </w:div>
                  </w:divsChild>
                </w:div>
                <w:div w:id="1642495933">
                  <w:marLeft w:val="0"/>
                  <w:marRight w:val="0"/>
                  <w:marTop w:val="0"/>
                  <w:marBottom w:val="0"/>
                  <w:divBdr>
                    <w:top w:val="none" w:sz="0" w:space="0" w:color="auto"/>
                    <w:left w:val="none" w:sz="0" w:space="0" w:color="auto"/>
                    <w:bottom w:val="none" w:sz="0" w:space="0" w:color="auto"/>
                    <w:right w:val="none" w:sz="0" w:space="0" w:color="auto"/>
                  </w:divBdr>
                  <w:divsChild>
                    <w:div w:id="1856338425">
                      <w:marLeft w:val="0"/>
                      <w:marRight w:val="0"/>
                      <w:marTop w:val="0"/>
                      <w:marBottom w:val="0"/>
                      <w:divBdr>
                        <w:top w:val="none" w:sz="0" w:space="0" w:color="auto"/>
                        <w:left w:val="none" w:sz="0" w:space="0" w:color="auto"/>
                        <w:bottom w:val="none" w:sz="0" w:space="0" w:color="auto"/>
                        <w:right w:val="none" w:sz="0" w:space="0" w:color="auto"/>
                      </w:divBdr>
                    </w:div>
                  </w:divsChild>
                </w:div>
                <w:div w:id="1647314754">
                  <w:marLeft w:val="0"/>
                  <w:marRight w:val="0"/>
                  <w:marTop w:val="0"/>
                  <w:marBottom w:val="0"/>
                  <w:divBdr>
                    <w:top w:val="none" w:sz="0" w:space="0" w:color="auto"/>
                    <w:left w:val="none" w:sz="0" w:space="0" w:color="auto"/>
                    <w:bottom w:val="none" w:sz="0" w:space="0" w:color="auto"/>
                    <w:right w:val="none" w:sz="0" w:space="0" w:color="auto"/>
                  </w:divBdr>
                  <w:divsChild>
                    <w:div w:id="1088887549">
                      <w:marLeft w:val="0"/>
                      <w:marRight w:val="0"/>
                      <w:marTop w:val="0"/>
                      <w:marBottom w:val="0"/>
                      <w:divBdr>
                        <w:top w:val="none" w:sz="0" w:space="0" w:color="auto"/>
                        <w:left w:val="none" w:sz="0" w:space="0" w:color="auto"/>
                        <w:bottom w:val="none" w:sz="0" w:space="0" w:color="auto"/>
                        <w:right w:val="none" w:sz="0" w:space="0" w:color="auto"/>
                      </w:divBdr>
                    </w:div>
                  </w:divsChild>
                </w:div>
                <w:div w:id="1653943090">
                  <w:marLeft w:val="0"/>
                  <w:marRight w:val="0"/>
                  <w:marTop w:val="0"/>
                  <w:marBottom w:val="0"/>
                  <w:divBdr>
                    <w:top w:val="none" w:sz="0" w:space="0" w:color="auto"/>
                    <w:left w:val="none" w:sz="0" w:space="0" w:color="auto"/>
                    <w:bottom w:val="none" w:sz="0" w:space="0" w:color="auto"/>
                    <w:right w:val="none" w:sz="0" w:space="0" w:color="auto"/>
                  </w:divBdr>
                  <w:divsChild>
                    <w:div w:id="425922026">
                      <w:marLeft w:val="0"/>
                      <w:marRight w:val="0"/>
                      <w:marTop w:val="0"/>
                      <w:marBottom w:val="0"/>
                      <w:divBdr>
                        <w:top w:val="none" w:sz="0" w:space="0" w:color="auto"/>
                        <w:left w:val="none" w:sz="0" w:space="0" w:color="auto"/>
                        <w:bottom w:val="none" w:sz="0" w:space="0" w:color="auto"/>
                        <w:right w:val="none" w:sz="0" w:space="0" w:color="auto"/>
                      </w:divBdr>
                    </w:div>
                  </w:divsChild>
                </w:div>
                <w:div w:id="1654336232">
                  <w:marLeft w:val="0"/>
                  <w:marRight w:val="0"/>
                  <w:marTop w:val="0"/>
                  <w:marBottom w:val="0"/>
                  <w:divBdr>
                    <w:top w:val="none" w:sz="0" w:space="0" w:color="auto"/>
                    <w:left w:val="none" w:sz="0" w:space="0" w:color="auto"/>
                    <w:bottom w:val="none" w:sz="0" w:space="0" w:color="auto"/>
                    <w:right w:val="none" w:sz="0" w:space="0" w:color="auto"/>
                  </w:divBdr>
                  <w:divsChild>
                    <w:div w:id="1272709666">
                      <w:marLeft w:val="0"/>
                      <w:marRight w:val="0"/>
                      <w:marTop w:val="0"/>
                      <w:marBottom w:val="0"/>
                      <w:divBdr>
                        <w:top w:val="none" w:sz="0" w:space="0" w:color="auto"/>
                        <w:left w:val="none" w:sz="0" w:space="0" w:color="auto"/>
                        <w:bottom w:val="none" w:sz="0" w:space="0" w:color="auto"/>
                        <w:right w:val="none" w:sz="0" w:space="0" w:color="auto"/>
                      </w:divBdr>
                    </w:div>
                  </w:divsChild>
                </w:div>
                <w:div w:id="1654527847">
                  <w:marLeft w:val="0"/>
                  <w:marRight w:val="0"/>
                  <w:marTop w:val="0"/>
                  <w:marBottom w:val="0"/>
                  <w:divBdr>
                    <w:top w:val="none" w:sz="0" w:space="0" w:color="auto"/>
                    <w:left w:val="none" w:sz="0" w:space="0" w:color="auto"/>
                    <w:bottom w:val="none" w:sz="0" w:space="0" w:color="auto"/>
                    <w:right w:val="none" w:sz="0" w:space="0" w:color="auto"/>
                  </w:divBdr>
                  <w:divsChild>
                    <w:div w:id="1553733616">
                      <w:marLeft w:val="0"/>
                      <w:marRight w:val="0"/>
                      <w:marTop w:val="0"/>
                      <w:marBottom w:val="0"/>
                      <w:divBdr>
                        <w:top w:val="none" w:sz="0" w:space="0" w:color="auto"/>
                        <w:left w:val="none" w:sz="0" w:space="0" w:color="auto"/>
                        <w:bottom w:val="none" w:sz="0" w:space="0" w:color="auto"/>
                        <w:right w:val="none" w:sz="0" w:space="0" w:color="auto"/>
                      </w:divBdr>
                    </w:div>
                  </w:divsChild>
                </w:div>
                <w:div w:id="1655572869">
                  <w:marLeft w:val="0"/>
                  <w:marRight w:val="0"/>
                  <w:marTop w:val="0"/>
                  <w:marBottom w:val="0"/>
                  <w:divBdr>
                    <w:top w:val="none" w:sz="0" w:space="0" w:color="auto"/>
                    <w:left w:val="none" w:sz="0" w:space="0" w:color="auto"/>
                    <w:bottom w:val="none" w:sz="0" w:space="0" w:color="auto"/>
                    <w:right w:val="none" w:sz="0" w:space="0" w:color="auto"/>
                  </w:divBdr>
                  <w:divsChild>
                    <w:div w:id="24185412">
                      <w:marLeft w:val="0"/>
                      <w:marRight w:val="0"/>
                      <w:marTop w:val="0"/>
                      <w:marBottom w:val="0"/>
                      <w:divBdr>
                        <w:top w:val="none" w:sz="0" w:space="0" w:color="auto"/>
                        <w:left w:val="none" w:sz="0" w:space="0" w:color="auto"/>
                        <w:bottom w:val="none" w:sz="0" w:space="0" w:color="auto"/>
                        <w:right w:val="none" w:sz="0" w:space="0" w:color="auto"/>
                      </w:divBdr>
                    </w:div>
                  </w:divsChild>
                </w:div>
                <w:div w:id="1656571095">
                  <w:marLeft w:val="0"/>
                  <w:marRight w:val="0"/>
                  <w:marTop w:val="0"/>
                  <w:marBottom w:val="0"/>
                  <w:divBdr>
                    <w:top w:val="none" w:sz="0" w:space="0" w:color="auto"/>
                    <w:left w:val="none" w:sz="0" w:space="0" w:color="auto"/>
                    <w:bottom w:val="none" w:sz="0" w:space="0" w:color="auto"/>
                    <w:right w:val="none" w:sz="0" w:space="0" w:color="auto"/>
                  </w:divBdr>
                  <w:divsChild>
                    <w:div w:id="1779636145">
                      <w:marLeft w:val="0"/>
                      <w:marRight w:val="0"/>
                      <w:marTop w:val="0"/>
                      <w:marBottom w:val="0"/>
                      <w:divBdr>
                        <w:top w:val="none" w:sz="0" w:space="0" w:color="auto"/>
                        <w:left w:val="none" w:sz="0" w:space="0" w:color="auto"/>
                        <w:bottom w:val="none" w:sz="0" w:space="0" w:color="auto"/>
                        <w:right w:val="none" w:sz="0" w:space="0" w:color="auto"/>
                      </w:divBdr>
                    </w:div>
                  </w:divsChild>
                </w:div>
                <w:div w:id="1663313030">
                  <w:marLeft w:val="0"/>
                  <w:marRight w:val="0"/>
                  <w:marTop w:val="0"/>
                  <w:marBottom w:val="0"/>
                  <w:divBdr>
                    <w:top w:val="none" w:sz="0" w:space="0" w:color="auto"/>
                    <w:left w:val="none" w:sz="0" w:space="0" w:color="auto"/>
                    <w:bottom w:val="none" w:sz="0" w:space="0" w:color="auto"/>
                    <w:right w:val="none" w:sz="0" w:space="0" w:color="auto"/>
                  </w:divBdr>
                  <w:divsChild>
                    <w:div w:id="768814493">
                      <w:marLeft w:val="0"/>
                      <w:marRight w:val="0"/>
                      <w:marTop w:val="0"/>
                      <w:marBottom w:val="0"/>
                      <w:divBdr>
                        <w:top w:val="none" w:sz="0" w:space="0" w:color="auto"/>
                        <w:left w:val="none" w:sz="0" w:space="0" w:color="auto"/>
                        <w:bottom w:val="none" w:sz="0" w:space="0" w:color="auto"/>
                        <w:right w:val="none" w:sz="0" w:space="0" w:color="auto"/>
                      </w:divBdr>
                    </w:div>
                  </w:divsChild>
                </w:div>
                <w:div w:id="1666398422">
                  <w:marLeft w:val="0"/>
                  <w:marRight w:val="0"/>
                  <w:marTop w:val="0"/>
                  <w:marBottom w:val="0"/>
                  <w:divBdr>
                    <w:top w:val="none" w:sz="0" w:space="0" w:color="auto"/>
                    <w:left w:val="none" w:sz="0" w:space="0" w:color="auto"/>
                    <w:bottom w:val="none" w:sz="0" w:space="0" w:color="auto"/>
                    <w:right w:val="none" w:sz="0" w:space="0" w:color="auto"/>
                  </w:divBdr>
                  <w:divsChild>
                    <w:div w:id="32927110">
                      <w:marLeft w:val="0"/>
                      <w:marRight w:val="0"/>
                      <w:marTop w:val="0"/>
                      <w:marBottom w:val="0"/>
                      <w:divBdr>
                        <w:top w:val="none" w:sz="0" w:space="0" w:color="auto"/>
                        <w:left w:val="none" w:sz="0" w:space="0" w:color="auto"/>
                        <w:bottom w:val="none" w:sz="0" w:space="0" w:color="auto"/>
                        <w:right w:val="none" w:sz="0" w:space="0" w:color="auto"/>
                      </w:divBdr>
                    </w:div>
                  </w:divsChild>
                </w:div>
                <w:div w:id="1666668210">
                  <w:marLeft w:val="0"/>
                  <w:marRight w:val="0"/>
                  <w:marTop w:val="0"/>
                  <w:marBottom w:val="0"/>
                  <w:divBdr>
                    <w:top w:val="none" w:sz="0" w:space="0" w:color="auto"/>
                    <w:left w:val="none" w:sz="0" w:space="0" w:color="auto"/>
                    <w:bottom w:val="none" w:sz="0" w:space="0" w:color="auto"/>
                    <w:right w:val="none" w:sz="0" w:space="0" w:color="auto"/>
                  </w:divBdr>
                  <w:divsChild>
                    <w:div w:id="1093210079">
                      <w:marLeft w:val="0"/>
                      <w:marRight w:val="0"/>
                      <w:marTop w:val="0"/>
                      <w:marBottom w:val="0"/>
                      <w:divBdr>
                        <w:top w:val="none" w:sz="0" w:space="0" w:color="auto"/>
                        <w:left w:val="none" w:sz="0" w:space="0" w:color="auto"/>
                        <w:bottom w:val="none" w:sz="0" w:space="0" w:color="auto"/>
                        <w:right w:val="none" w:sz="0" w:space="0" w:color="auto"/>
                      </w:divBdr>
                    </w:div>
                  </w:divsChild>
                </w:div>
                <w:div w:id="1679186476">
                  <w:marLeft w:val="0"/>
                  <w:marRight w:val="0"/>
                  <w:marTop w:val="0"/>
                  <w:marBottom w:val="0"/>
                  <w:divBdr>
                    <w:top w:val="none" w:sz="0" w:space="0" w:color="auto"/>
                    <w:left w:val="none" w:sz="0" w:space="0" w:color="auto"/>
                    <w:bottom w:val="none" w:sz="0" w:space="0" w:color="auto"/>
                    <w:right w:val="none" w:sz="0" w:space="0" w:color="auto"/>
                  </w:divBdr>
                  <w:divsChild>
                    <w:div w:id="323440078">
                      <w:marLeft w:val="0"/>
                      <w:marRight w:val="0"/>
                      <w:marTop w:val="0"/>
                      <w:marBottom w:val="0"/>
                      <w:divBdr>
                        <w:top w:val="none" w:sz="0" w:space="0" w:color="auto"/>
                        <w:left w:val="none" w:sz="0" w:space="0" w:color="auto"/>
                        <w:bottom w:val="none" w:sz="0" w:space="0" w:color="auto"/>
                        <w:right w:val="none" w:sz="0" w:space="0" w:color="auto"/>
                      </w:divBdr>
                    </w:div>
                  </w:divsChild>
                </w:div>
                <w:div w:id="1686786863">
                  <w:marLeft w:val="0"/>
                  <w:marRight w:val="0"/>
                  <w:marTop w:val="0"/>
                  <w:marBottom w:val="0"/>
                  <w:divBdr>
                    <w:top w:val="none" w:sz="0" w:space="0" w:color="auto"/>
                    <w:left w:val="none" w:sz="0" w:space="0" w:color="auto"/>
                    <w:bottom w:val="none" w:sz="0" w:space="0" w:color="auto"/>
                    <w:right w:val="none" w:sz="0" w:space="0" w:color="auto"/>
                  </w:divBdr>
                  <w:divsChild>
                    <w:div w:id="90787171">
                      <w:marLeft w:val="0"/>
                      <w:marRight w:val="0"/>
                      <w:marTop w:val="0"/>
                      <w:marBottom w:val="0"/>
                      <w:divBdr>
                        <w:top w:val="none" w:sz="0" w:space="0" w:color="auto"/>
                        <w:left w:val="none" w:sz="0" w:space="0" w:color="auto"/>
                        <w:bottom w:val="none" w:sz="0" w:space="0" w:color="auto"/>
                        <w:right w:val="none" w:sz="0" w:space="0" w:color="auto"/>
                      </w:divBdr>
                    </w:div>
                  </w:divsChild>
                </w:div>
                <w:div w:id="1703047207">
                  <w:marLeft w:val="0"/>
                  <w:marRight w:val="0"/>
                  <w:marTop w:val="0"/>
                  <w:marBottom w:val="0"/>
                  <w:divBdr>
                    <w:top w:val="none" w:sz="0" w:space="0" w:color="auto"/>
                    <w:left w:val="none" w:sz="0" w:space="0" w:color="auto"/>
                    <w:bottom w:val="none" w:sz="0" w:space="0" w:color="auto"/>
                    <w:right w:val="none" w:sz="0" w:space="0" w:color="auto"/>
                  </w:divBdr>
                  <w:divsChild>
                    <w:div w:id="1892882516">
                      <w:marLeft w:val="0"/>
                      <w:marRight w:val="0"/>
                      <w:marTop w:val="0"/>
                      <w:marBottom w:val="0"/>
                      <w:divBdr>
                        <w:top w:val="none" w:sz="0" w:space="0" w:color="auto"/>
                        <w:left w:val="none" w:sz="0" w:space="0" w:color="auto"/>
                        <w:bottom w:val="none" w:sz="0" w:space="0" w:color="auto"/>
                        <w:right w:val="none" w:sz="0" w:space="0" w:color="auto"/>
                      </w:divBdr>
                    </w:div>
                  </w:divsChild>
                </w:div>
                <w:div w:id="1704943022">
                  <w:marLeft w:val="0"/>
                  <w:marRight w:val="0"/>
                  <w:marTop w:val="0"/>
                  <w:marBottom w:val="0"/>
                  <w:divBdr>
                    <w:top w:val="none" w:sz="0" w:space="0" w:color="auto"/>
                    <w:left w:val="none" w:sz="0" w:space="0" w:color="auto"/>
                    <w:bottom w:val="none" w:sz="0" w:space="0" w:color="auto"/>
                    <w:right w:val="none" w:sz="0" w:space="0" w:color="auto"/>
                  </w:divBdr>
                  <w:divsChild>
                    <w:div w:id="1184901045">
                      <w:marLeft w:val="0"/>
                      <w:marRight w:val="0"/>
                      <w:marTop w:val="0"/>
                      <w:marBottom w:val="0"/>
                      <w:divBdr>
                        <w:top w:val="none" w:sz="0" w:space="0" w:color="auto"/>
                        <w:left w:val="none" w:sz="0" w:space="0" w:color="auto"/>
                        <w:bottom w:val="none" w:sz="0" w:space="0" w:color="auto"/>
                        <w:right w:val="none" w:sz="0" w:space="0" w:color="auto"/>
                      </w:divBdr>
                    </w:div>
                  </w:divsChild>
                </w:div>
                <w:div w:id="1707637298">
                  <w:marLeft w:val="0"/>
                  <w:marRight w:val="0"/>
                  <w:marTop w:val="0"/>
                  <w:marBottom w:val="0"/>
                  <w:divBdr>
                    <w:top w:val="none" w:sz="0" w:space="0" w:color="auto"/>
                    <w:left w:val="none" w:sz="0" w:space="0" w:color="auto"/>
                    <w:bottom w:val="none" w:sz="0" w:space="0" w:color="auto"/>
                    <w:right w:val="none" w:sz="0" w:space="0" w:color="auto"/>
                  </w:divBdr>
                  <w:divsChild>
                    <w:div w:id="1603146929">
                      <w:marLeft w:val="0"/>
                      <w:marRight w:val="0"/>
                      <w:marTop w:val="0"/>
                      <w:marBottom w:val="0"/>
                      <w:divBdr>
                        <w:top w:val="none" w:sz="0" w:space="0" w:color="auto"/>
                        <w:left w:val="none" w:sz="0" w:space="0" w:color="auto"/>
                        <w:bottom w:val="none" w:sz="0" w:space="0" w:color="auto"/>
                        <w:right w:val="none" w:sz="0" w:space="0" w:color="auto"/>
                      </w:divBdr>
                    </w:div>
                  </w:divsChild>
                </w:div>
                <w:div w:id="1709332353">
                  <w:marLeft w:val="0"/>
                  <w:marRight w:val="0"/>
                  <w:marTop w:val="0"/>
                  <w:marBottom w:val="0"/>
                  <w:divBdr>
                    <w:top w:val="none" w:sz="0" w:space="0" w:color="auto"/>
                    <w:left w:val="none" w:sz="0" w:space="0" w:color="auto"/>
                    <w:bottom w:val="none" w:sz="0" w:space="0" w:color="auto"/>
                    <w:right w:val="none" w:sz="0" w:space="0" w:color="auto"/>
                  </w:divBdr>
                  <w:divsChild>
                    <w:div w:id="1063679617">
                      <w:marLeft w:val="0"/>
                      <w:marRight w:val="0"/>
                      <w:marTop w:val="0"/>
                      <w:marBottom w:val="0"/>
                      <w:divBdr>
                        <w:top w:val="none" w:sz="0" w:space="0" w:color="auto"/>
                        <w:left w:val="none" w:sz="0" w:space="0" w:color="auto"/>
                        <w:bottom w:val="none" w:sz="0" w:space="0" w:color="auto"/>
                        <w:right w:val="none" w:sz="0" w:space="0" w:color="auto"/>
                      </w:divBdr>
                    </w:div>
                  </w:divsChild>
                </w:div>
                <w:div w:id="1719208235">
                  <w:marLeft w:val="0"/>
                  <w:marRight w:val="0"/>
                  <w:marTop w:val="0"/>
                  <w:marBottom w:val="0"/>
                  <w:divBdr>
                    <w:top w:val="none" w:sz="0" w:space="0" w:color="auto"/>
                    <w:left w:val="none" w:sz="0" w:space="0" w:color="auto"/>
                    <w:bottom w:val="none" w:sz="0" w:space="0" w:color="auto"/>
                    <w:right w:val="none" w:sz="0" w:space="0" w:color="auto"/>
                  </w:divBdr>
                  <w:divsChild>
                    <w:div w:id="648486483">
                      <w:marLeft w:val="0"/>
                      <w:marRight w:val="0"/>
                      <w:marTop w:val="0"/>
                      <w:marBottom w:val="0"/>
                      <w:divBdr>
                        <w:top w:val="none" w:sz="0" w:space="0" w:color="auto"/>
                        <w:left w:val="none" w:sz="0" w:space="0" w:color="auto"/>
                        <w:bottom w:val="none" w:sz="0" w:space="0" w:color="auto"/>
                        <w:right w:val="none" w:sz="0" w:space="0" w:color="auto"/>
                      </w:divBdr>
                    </w:div>
                  </w:divsChild>
                </w:div>
                <w:div w:id="1731343468">
                  <w:marLeft w:val="0"/>
                  <w:marRight w:val="0"/>
                  <w:marTop w:val="0"/>
                  <w:marBottom w:val="0"/>
                  <w:divBdr>
                    <w:top w:val="none" w:sz="0" w:space="0" w:color="auto"/>
                    <w:left w:val="none" w:sz="0" w:space="0" w:color="auto"/>
                    <w:bottom w:val="none" w:sz="0" w:space="0" w:color="auto"/>
                    <w:right w:val="none" w:sz="0" w:space="0" w:color="auto"/>
                  </w:divBdr>
                  <w:divsChild>
                    <w:div w:id="554901782">
                      <w:marLeft w:val="0"/>
                      <w:marRight w:val="0"/>
                      <w:marTop w:val="0"/>
                      <w:marBottom w:val="0"/>
                      <w:divBdr>
                        <w:top w:val="none" w:sz="0" w:space="0" w:color="auto"/>
                        <w:left w:val="none" w:sz="0" w:space="0" w:color="auto"/>
                        <w:bottom w:val="none" w:sz="0" w:space="0" w:color="auto"/>
                        <w:right w:val="none" w:sz="0" w:space="0" w:color="auto"/>
                      </w:divBdr>
                    </w:div>
                  </w:divsChild>
                </w:div>
                <w:div w:id="1737435492">
                  <w:marLeft w:val="0"/>
                  <w:marRight w:val="0"/>
                  <w:marTop w:val="0"/>
                  <w:marBottom w:val="0"/>
                  <w:divBdr>
                    <w:top w:val="none" w:sz="0" w:space="0" w:color="auto"/>
                    <w:left w:val="none" w:sz="0" w:space="0" w:color="auto"/>
                    <w:bottom w:val="none" w:sz="0" w:space="0" w:color="auto"/>
                    <w:right w:val="none" w:sz="0" w:space="0" w:color="auto"/>
                  </w:divBdr>
                  <w:divsChild>
                    <w:div w:id="331762222">
                      <w:marLeft w:val="0"/>
                      <w:marRight w:val="0"/>
                      <w:marTop w:val="0"/>
                      <w:marBottom w:val="0"/>
                      <w:divBdr>
                        <w:top w:val="none" w:sz="0" w:space="0" w:color="auto"/>
                        <w:left w:val="none" w:sz="0" w:space="0" w:color="auto"/>
                        <w:bottom w:val="none" w:sz="0" w:space="0" w:color="auto"/>
                        <w:right w:val="none" w:sz="0" w:space="0" w:color="auto"/>
                      </w:divBdr>
                    </w:div>
                  </w:divsChild>
                </w:div>
                <w:div w:id="1743716441">
                  <w:marLeft w:val="0"/>
                  <w:marRight w:val="0"/>
                  <w:marTop w:val="0"/>
                  <w:marBottom w:val="0"/>
                  <w:divBdr>
                    <w:top w:val="none" w:sz="0" w:space="0" w:color="auto"/>
                    <w:left w:val="none" w:sz="0" w:space="0" w:color="auto"/>
                    <w:bottom w:val="none" w:sz="0" w:space="0" w:color="auto"/>
                    <w:right w:val="none" w:sz="0" w:space="0" w:color="auto"/>
                  </w:divBdr>
                  <w:divsChild>
                    <w:div w:id="769548251">
                      <w:marLeft w:val="0"/>
                      <w:marRight w:val="0"/>
                      <w:marTop w:val="0"/>
                      <w:marBottom w:val="0"/>
                      <w:divBdr>
                        <w:top w:val="none" w:sz="0" w:space="0" w:color="auto"/>
                        <w:left w:val="none" w:sz="0" w:space="0" w:color="auto"/>
                        <w:bottom w:val="none" w:sz="0" w:space="0" w:color="auto"/>
                        <w:right w:val="none" w:sz="0" w:space="0" w:color="auto"/>
                      </w:divBdr>
                    </w:div>
                  </w:divsChild>
                </w:div>
                <w:div w:id="1750614945">
                  <w:marLeft w:val="0"/>
                  <w:marRight w:val="0"/>
                  <w:marTop w:val="0"/>
                  <w:marBottom w:val="0"/>
                  <w:divBdr>
                    <w:top w:val="none" w:sz="0" w:space="0" w:color="auto"/>
                    <w:left w:val="none" w:sz="0" w:space="0" w:color="auto"/>
                    <w:bottom w:val="none" w:sz="0" w:space="0" w:color="auto"/>
                    <w:right w:val="none" w:sz="0" w:space="0" w:color="auto"/>
                  </w:divBdr>
                  <w:divsChild>
                    <w:div w:id="375277219">
                      <w:marLeft w:val="0"/>
                      <w:marRight w:val="0"/>
                      <w:marTop w:val="0"/>
                      <w:marBottom w:val="0"/>
                      <w:divBdr>
                        <w:top w:val="none" w:sz="0" w:space="0" w:color="auto"/>
                        <w:left w:val="none" w:sz="0" w:space="0" w:color="auto"/>
                        <w:bottom w:val="none" w:sz="0" w:space="0" w:color="auto"/>
                        <w:right w:val="none" w:sz="0" w:space="0" w:color="auto"/>
                      </w:divBdr>
                    </w:div>
                  </w:divsChild>
                </w:div>
                <w:div w:id="1762139902">
                  <w:marLeft w:val="0"/>
                  <w:marRight w:val="0"/>
                  <w:marTop w:val="0"/>
                  <w:marBottom w:val="0"/>
                  <w:divBdr>
                    <w:top w:val="none" w:sz="0" w:space="0" w:color="auto"/>
                    <w:left w:val="none" w:sz="0" w:space="0" w:color="auto"/>
                    <w:bottom w:val="none" w:sz="0" w:space="0" w:color="auto"/>
                    <w:right w:val="none" w:sz="0" w:space="0" w:color="auto"/>
                  </w:divBdr>
                  <w:divsChild>
                    <w:div w:id="1007320676">
                      <w:marLeft w:val="0"/>
                      <w:marRight w:val="0"/>
                      <w:marTop w:val="0"/>
                      <w:marBottom w:val="0"/>
                      <w:divBdr>
                        <w:top w:val="none" w:sz="0" w:space="0" w:color="auto"/>
                        <w:left w:val="none" w:sz="0" w:space="0" w:color="auto"/>
                        <w:bottom w:val="none" w:sz="0" w:space="0" w:color="auto"/>
                        <w:right w:val="none" w:sz="0" w:space="0" w:color="auto"/>
                      </w:divBdr>
                    </w:div>
                  </w:divsChild>
                </w:div>
                <w:div w:id="1765690122">
                  <w:marLeft w:val="0"/>
                  <w:marRight w:val="0"/>
                  <w:marTop w:val="0"/>
                  <w:marBottom w:val="0"/>
                  <w:divBdr>
                    <w:top w:val="none" w:sz="0" w:space="0" w:color="auto"/>
                    <w:left w:val="none" w:sz="0" w:space="0" w:color="auto"/>
                    <w:bottom w:val="none" w:sz="0" w:space="0" w:color="auto"/>
                    <w:right w:val="none" w:sz="0" w:space="0" w:color="auto"/>
                  </w:divBdr>
                  <w:divsChild>
                    <w:div w:id="1313633327">
                      <w:marLeft w:val="0"/>
                      <w:marRight w:val="0"/>
                      <w:marTop w:val="0"/>
                      <w:marBottom w:val="0"/>
                      <w:divBdr>
                        <w:top w:val="none" w:sz="0" w:space="0" w:color="auto"/>
                        <w:left w:val="none" w:sz="0" w:space="0" w:color="auto"/>
                        <w:bottom w:val="none" w:sz="0" w:space="0" w:color="auto"/>
                        <w:right w:val="none" w:sz="0" w:space="0" w:color="auto"/>
                      </w:divBdr>
                    </w:div>
                  </w:divsChild>
                </w:div>
                <w:div w:id="1802571732">
                  <w:marLeft w:val="0"/>
                  <w:marRight w:val="0"/>
                  <w:marTop w:val="0"/>
                  <w:marBottom w:val="0"/>
                  <w:divBdr>
                    <w:top w:val="none" w:sz="0" w:space="0" w:color="auto"/>
                    <w:left w:val="none" w:sz="0" w:space="0" w:color="auto"/>
                    <w:bottom w:val="none" w:sz="0" w:space="0" w:color="auto"/>
                    <w:right w:val="none" w:sz="0" w:space="0" w:color="auto"/>
                  </w:divBdr>
                  <w:divsChild>
                    <w:div w:id="611327044">
                      <w:marLeft w:val="0"/>
                      <w:marRight w:val="0"/>
                      <w:marTop w:val="0"/>
                      <w:marBottom w:val="0"/>
                      <w:divBdr>
                        <w:top w:val="none" w:sz="0" w:space="0" w:color="auto"/>
                        <w:left w:val="none" w:sz="0" w:space="0" w:color="auto"/>
                        <w:bottom w:val="none" w:sz="0" w:space="0" w:color="auto"/>
                        <w:right w:val="none" w:sz="0" w:space="0" w:color="auto"/>
                      </w:divBdr>
                    </w:div>
                  </w:divsChild>
                </w:div>
                <w:div w:id="1815950794">
                  <w:marLeft w:val="0"/>
                  <w:marRight w:val="0"/>
                  <w:marTop w:val="0"/>
                  <w:marBottom w:val="0"/>
                  <w:divBdr>
                    <w:top w:val="none" w:sz="0" w:space="0" w:color="auto"/>
                    <w:left w:val="none" w:sz="0" w:space="0" w:color="auto"/>
                    <w:bottom w:val="none" w:sz="0" w:space="0" w:color="auto"/>
                    <w:right w:val="none" w:sz="0" w:space="0" w:color="auto"/>
                  </w:divBdr>
                  <w:divsChild>
                    <w:div w:id="1758162995">
                      <w:marLeft w:val="0"/>
                      <w:marRight w:val="0"/>
                      <w:marTop w:val="0"/>
                      <w:marBottom w:val="0"/>
                      <w:divBdr>
                        <w:top w:val="none" w:sz="0" w:space="0" w:color="auto"/>
                        <w:left w:val="none" w:sz="0" w:space="0" w:color="auto"/>
                        <w:bottom w:val="none" w:sz="0" w:space="0" w:color="auto"/>
                        <w:right w:val="none" w:sz="0" w:space="0" w:color="auto"/>
                      </w:divBdr>
                    </w:div>
                  </w:divsChild>
                </w:div>
                <w:div w:id="1820031589">
                  <w:marLeft w:val="0"/>
                  <w:marRight w:val="0"/>
                  <w:marTop w:val="0"/>
                  <w:marBottom w:val="0"/>
                  <w:divBdr>
                    <w:top w:val="none" w:sz="0" w:space="0" w:color="auto"/>
                    <w:left w:val="none" w:sz="0" w:space="0" w:color="auto"/>
                    <w:bottom w:val="none" w:sz="0" w:space="0" w:color="auto"/>
                    <w:right w:val="none" w:sz="0" w:space="0" w:color="auto"/>
                  </w:divBdr>
                  <w:divsChild>
                    <w:div w:id="1854831247">
                      <w:marLeft w:val="0"/>
                      <w:marRight w:val="0"/>
                      <w:marTop w:val="0"/>
                      <w:marBottom w:val="0"/>
                      <w:divBdr>
                        <w:top w:val="none" w:sz="0" w:space="0" w:color="auto"/>
                        <w:left w:val="none" w:sz="0" w:space="0" w:color="auto"/>
                        <w:bottom w:val="none" w:sz="0" w:space="0" w:color="auto"/>
                        <w:right w:val="none" w:sz="0" w:space="0" w:color="auto"/>
                      </w:divBdr>
                    </w:div>
                  </w:divsChild>
                </w:div>
                <w:div w:id="1820222248">
                  <w:marLeft w:val="0"/>
                  <w:marRight w:val="0"/>
                  <w:marTop w:val="0"/>
                  <w:marBottom w:val="0"/>
                  <w:divBdr>
                    <w:top w:val="none" w:sz="0" w:space="0" w:color="auto"/>
                    <w:left w:val="none" w:sz="0" w:space="0" w:color="auto"/>
                    <w:bottom w:val="none" w:sz="0" w:space="0" w:color="auto"/>
                    <w:right w:val="none" w:sz="0" w:space="0" w:color="auto"/>
                  </w:divBdr>
                  <w:divsChild>
                    <w:div w:id="811795569">
                      <w:marLeft w:val="0"/>
                      <w:marRight w:val="0"/>
                      <w:marTop w:val="0"/>
                      <w:marBottom w:val="0"/>
                      <w:divBdr>
                        <w:top w:val="none" w:sz="0" w:space="0" w:color="auto"/>
                        <w:left w:val="none" w:sz="0" w:space="0" w:color="auto"/>
                        <w:bottom w:val="none" w:sz="0" w:space="0" w:color="auto"/>
                        <w:right w:val="none" w:sz="0" w:space="0" w:color="auto"/>
                      </w:divBdr>
                    </w:div>
                  </w:divsChild>
                </w:div>
                <w:div w:id="1820883328">
                  <w:marLeft w:val="0"/>
                  <w:marRight w:val="0"/>
                  <w:marTop w:val="0"/>
                  <w:marBottom w:val="0"/>
                  <w:divBdr>
                    <w:top w:val="none" w:sz="0" w:space="0" w:color="auto"/>
                    <w:left w:val="none" w:sz="0" w:space="0" w:color="auto"/>
                    <w:bottom w:val="none" w:sz="0" w:space="0" w:color="auto"/>
                    <w:right w:val="none" w:sz="0" w:space="0" w:color="auto"/>
                  </w:divBdr>
                  <w:divsChild>
                    <w:div w:id="723716256">
                      <w:marLeft w:val="0"/>
                      <w:marRight w:val="0"/>
                      <w:marTop w:val="0"/>
                      <w:marBottom w:val="0"/>
                      <w:divBdr>
                        <w:top w:val="none" w:sz="0" w:space="0" w:color="auto"/>
                        <w:left w:val="none" w:sz="0" w:space="0" w:color="auto"/>
                        <w:bottom w:val="none" w:sz="0" w:space="0" w:color="auto"/>
                        <w:right w:val="none" w:sz="0" w:space="0" w:color="auto"/>
                      </w:divBdr>
                    </w:div>
                  </w:divsChild>
                </w:div>
                <w:div w:id="1821118362">
                  <w:marLeft w:val="0"/>
                  <w:marRight w:val="0"/>
                  <w:marTop w:val="0"/>
                  <w:marBottom w:val="0"/>
                  <w:divBdr>
                    <w:top w:val="none" w:sz="0" w:space="0" w:color="auto"/>
                    <w:left w:val="none" w:sz="0" w:space="0" w:color="auto"/>
                    <w:bottom w:val="none" w:sz="0" w:space="0" w:color="auto"/>
                    <w:right w:val="none" w:sz="0" w:space="0" w:color="auto"/>
                  </w:divBdr>
                  <w:divsChild>
                    <w:div w:id="1737505305">
                      <w:marLeft w:val="0"/>
                      <w:marRight w:val="0"/>
                      <w:marTop w:val="0"/>
                      <w:marBottom w:val="0"/>
                      <w:divBdr>
                        <w:top w:val="none" w:sz="0" w:space="0" w:color="auto"/>
                        <w:left w:val="none" w:sz="0" w:space="0" w:color="auto"/>
                        <w:bottom w:val="none" w:sz="0" w:space="0" w:color="auto"/>
                        <w:right w:val="none" w:sz="0" w:space="0" w:color="auto"/>
                      </w:divBdr>
                    </w:div>
                  </w:divsChild>
                </w:div>
                <w:div w:id="1821533699">
                  <w:marLeft w:val="0"/>
                  <w:marRight w:val="0"/>
                  <w:marTop w:val="0"/>
                  <w:marBottom w:val="0"/>
                  <w:divBdr>
                    <w:top w:val="none" w:sz="0" w:space="0" w:color="auto"/>
                    <w:left w:val="none" w:sz="0" w:space="0" w:color="auto"/>
                    <w:bottom w:val="none" w:sz="0" w:space="0" w:color="auto"/>
                    <w:right w:val="none" w:sz="0" w:space="0" w:color="auto"/>
                  </w:divBdr>
                  <w:divsChild>
                    <w:div w:id="1791589481">
                      <w:marLeft w:val="0"/>
                      <w:marRight w:val="0"/>
                      <w:marTop w:val="0"/>
                      <w:marBottom w:val="0"/>
                      <w:divBdr>
                        <w:top w:val="none" w:sz="0" w:space="0" w:color="auto"/>
                        <w:left w:val="none" w:sz="0" w:space="0" w:color="auto"/>
                        <w:bottom w:val="none" w:sz="0" w:space="0" w:color="auto"/>
                        <w:right w:val="none" w:sz="0" w:space="0" w:color="auto"/>
                      </w:divBdr>
                    </w:div>
                  </w:divsChild>
                </w:div>
                <w:div w:id="1822699395">
                  <w:marLeft w:val="0"/>
                  <w:marRight w:val="0"/>
                  <w:marTop w:val="0"/>
                  <w:marBottom w:val="0"/>
                  <w:divBdr>
                    <w:top w:val="none" w:sz="0" w:space="0" w:color="auto"/>
                    <w:left w:val="none" w:sz="0" w:space="0" w:color="auto"/>
                    <w:bottom w:val="none" w:sz="0" w:space="0" w:color="auto"/>
                    <w:right w:val="none" w:sz="0" w:space="0" w:color="auto"/>
                  </w:divBdr>
                  <w:divsChild>
                    <w:div w:id="176164401">
                      <w:marLeft w:val="0"/>
                      <w:marRight w:val="0"/>
                      <w:marTop w:val="0"/>
                      <w:marBottom w:val="0"/>
                      <w:divBdr>
                        <w:top w:val="none" w:sz="0" w:space="0" w:color="auto"/>
                        <w:left w:val="none" w:sz="0" w:space="0" w:color="auto"/>
                        <w:bottom w:val="none" w:sz="0" w:space="0" w:color="auto"/>
                        <w:right w:val="none" w:sz="0" w:space="0" w:color="auto"/>
                      </w:divBdr>
                    </w:div>
                    <w:div w:id="1189489217">
                      <w:marLeft w:val="0"/>
                      <w:marRight w:val="0"/>
                      <w:marTop w:val="0"/>
                      <w:marBottom w:val="0"/>
                      <w:divBdr>
                        <w:top w:val="none" w:sz="0" w:space="0" w:color="auto"/>
                        <w:left w:val="none" w:sz="0" w:space="0" w:color="auto"/>
                        <w:bottom w:val="none" w:sz="0" w:space="0" w:color="auto"/>
                        <w:right w:val="none" w:sz="0" w:space="0" w:color="auto"/>
                      </w:divBdr>
                    </w:div>
                    <w:div w:id="1956787880">
                      <w:marLeft w:val="0"/>
                      <w:marRight w:val="0"/>
                      <w:marTop w:val="0"/>
                      <w:marBottom w:val="0"/>
                      <w:divBdr>
                        <w:top w:val="none" w:sz="0" w:space="0" w:color="auto"/>
                        <w:left w:val="none" w:sz="0" w:space="0" w:color="auto"/>
                        <w:bottom w:val="none" w:sz="0" w:space="0" w:color="auto"/>
                        <w:right w:val="none" w:sz="0" w:space="0" w:color="auto"/>
                      </w:divBdr>
                    </w:div>
                  </w:divsChild>
                </w:div>
                <w:div w:id="1835142006">
                  <w:marLeft w:val="0"/>
                  <w:marRight w:val="0"/>
                  <w:marTop w:val="0"/>
                  <w:marBottom w:val="0"/>
                  <w:divBdr>
                    <w:top w:val="none" w:sz="0" w:space="0" w:color="auto"/>
                    <w:left w:val="none" w:sz="0" w:space="0" w:color="auto"/>
                    <w:bottom w:val="none" w:sz="0" w:space="0" w:color="auto"/>
                    <w:right w:val="none" w:sz="0" w:space="0" w:color="auto"/>
                  </w:divBdr>
                  <w:divsChild>
                    <w:div w:id="631600306">
                      <w:marLeft w:val="0"/>
                      <w:marRight w:val="0"/>
                      <w:marTop w:val="0"/>
                      <w:marBottom w:val="0"/>
                      <w:divBdr>
                        <w:top w:val="none" w:sz="0" w:space="0" w:color="auto"/>
                        <w:left w:val="none" w:sz="0" w:space="0" w:color="auto"/>
                        <w:bottom w:val="none" w:sz="0" w:space="0" w:color="auto"/>
                        <w:right w:val="none" w:sz="0" w:space="0" w:color="auto"/>
                      </w:divBdr>
                    </w:div>
                  </w:divsChild>
                </w:div>
                <w:div w:id="1843009748">
                  <w:marLeft w:val="0"/>
                  <w:marRight w:val="0"/>
                  <w:marTop w:val="0"/>
                  <w:marBottom w:val="0"/>
                  <w:divBdr>
                    <w:top w:val="none" w:sz="0" w:space="0" w:color="auto"/>
                    <w:left w:val="none" w:sz="0" w:space="0" w:color="auto"/>
                    <w:bottom w:val="none" w:sz="0" w:space="0" w:color="auto"/>
                    <w:right w:val="none" w:sz="0" w:space="0" w:color="auto"/>
                  </w:divBdr>
                  <w:divsChild>
                    <w:div w:id="871573193">
                      <w:marLeft w:val="0"/>
                      <w:marRight w:val="0"/>
                      <w:marTop w:val="0"/>
                      <w:marBottom w:val="0"/>
                      <w:divBdr>
                        <w:top w:val="none" w:sz="0" w:space="0" w:color="auto"/>
                        <w:left w:val="none" w:sz="0" w:space="0" w:color="auto"/>
                        <w:bottom w:val="none" w:sz="0" w:space="0" w:color="auto"/>
                        <w:right w:val="none" w:sz="0" w:space="0" w:color="auto"/>
                      </w:divBdr>
                    </w:div>
                  </w:divsChild>
                </w:div>
                <w:div w:id="1865555259">
                  <w:marLeft w:val="0"/>
                  <w:marRight w:val="0"/>
                  <w:marTop w:val="0"/>
                  <w:marBottom w:val="0"/>
                  <w:divBdr>
                    <w:top w:val="none" w:sz="0" w:space="0" w:color="auto"/>
                    <w:left w:val="none" w:sz="0" w:space="0" w:color="auto"/>
                    <w:bottom w:val="none" w:sz="0" w:space="0" w:color="auto"/>
                    <w:right w:val="none" w:sz="0" w:space="0" w:color="auto"/>
                  </w:divBdr>
                  <w:divsChild>
                    <w:div w:id="1641956126">
                      <w:marLeft w:val="0"/>
                      <w:marRight w:val="0"/>
                      <w:marTop w:val="0"/>
                      <w:marBottom w:val="0"/>
                      <w:divBdr>
                        <w:top w:val="none" w:sz="0" w:space="0" w:color="auto"/>
                        <w:left w:val="none" w:sz="0" w:space="0" w:color="auto"/>
                        <w:bottom w:val="none" w:sz="0" w:space="0" w:color="auto"/>
                        <w:right w:val="none" w:sz="0" w:space="0" w:color="auto"/>
                      </w:divBdr>
                    </w:div>
                  </w:divsChild>
                </w:div>
                <w:div w:id="1868981375">
                  <w:marLeft w:val="0"/>
                  <w:marRight w:val="0"/>
                  <w:marTop w:val="0"/>
                  <w:marBottom w:val="0"/>
                  <w:divBdr>
                    <w:top w:val="none" w:sz="0" w:space="0" w:color="auto"/>
                    <w:left w:val="none" w:sz="0" w:space="0" w:color="auto"/>
                    <w:bottom w:val="none" w:sz="0" w:space="0" w:color="auto"/>
                    <w:right w:val="none" w:sz="0" w:space="0" w:color="auto"/>
                  </w:divBdr>
                  <w:divsChild>
                    <w:div w:id="341009678">
                      <w:marLeft w:val="0"/>
                      <w:marRight w:val="0"/>
                      <w:marTop w:val="0"/>
                      <w:marBottom w:val="0"/>
                      <w:divBdr>
                        <w:top w:val="none" w:sz="0" w:space="0" w:color="auto"/>
                        <w:left w:val="none" w:sz="0" w:space="0" w:color="auto"/>
                        <w:bottom w:val="none" w:sz="0" w:space="0" w:color="auto"/>
                        <w:right w:val="none" w:sz="0" w:space="0" w:color="auto"/>
                      </w:divBdr>
                    </w:div>
                  </w:divsChild>
                </w:div>
                <w:div w:id="1882133346">
                  <w:marLeft w:val="0"/>
                  <w:marRight w:val="0"/>
                  <w:marTop w:val="0"/>
                  <w:marBottom w:val="0"/>
                  <w:divBdr>
                    <w:top w:val="none" w:sz="0" w:space="0" w:color="auto"/>
                    <w:left w:val="none" w:sz="0" w:space="0" w:color="auto"/>
                    <w:bottom w:val="none" w:sz="0" w:space="0" w:color="auto"/>
                    <w:right w:val="none" w:sz="0" w:space="0" w:color="auto"/>
                  </w:divBdr>
                  <w:divsChild>
                    <w:div w:id="468594601">
                      <w:marLeft w:val="0"/>
                      <w:marRight w:val="0"/>
                      <w:marTop w:val="0"/>
                      <w:marBottom w:val="0"/>
                      <w:divBdr>
                        <w:top w:val="none" w:sz="0" w:space="0" w:color="auto"/>
                        <w:left w:val="none" w:sz="0" w:space="0" w:color="auto"/>
                        <w:bottom w:val="none" w:sz="0" w:space="0" w:color="auto"/>
                        <w:right w:val="none" w:sz="0" w:space="0" w:color="auto"/>
                      </w:divBdr>
                    </w:div>
                  </w:divsChild>
                </w:div>
                <w:div w:id="1884101387">
                  <w:marLeft w:val="0"/>
                  <w:marRight w:val="0"/>
                  <w:marTop w:val="0"/>
                  <w:marBottom w:val="0"/>
                  <w:divBdr>
                    <w:top w:val="none" w:sz="0" w:space="0" w:color="auto"/>
                    <w:left w:val="none" w:sz="0" w:space="0" w:color="auto"/>
                    <w:bottom w:val="none" w:sz="0" w:space="0" w:color="auto"/>
                    <w:right w:val="none" w:sz="0" w:space="0" w:color="auto"/>
                  </w:divBdr>
                  <w:divsChild>
                    <w:div w:id="1781024943">
                      <w:marLeft w:val="0"/>
                      <w:marRight w:val="0"/>
                      <w:marTop w:val="0"/>
                      <w:marBottom w:val="0"/>
                      <w:divBdr>
                        <w:top w:val="none" w:sz="0" w:space="0" w:color="auto"/>
                        <w:left w:val="none" w:sz="0" w:space="0" w:color="auto"/>
                        <w:bottom w:val="none" w:sz="0" w:space="0" w:color="auto"/>
                        <w:right w:val="none" w:sz="0" w:space="0" w:color="auto"/>
                      </w:divBdr>
                    </w:div>
                  </w:divsChild>
                </w:div>
                <w:div w:id="1897274809">
                  <w:marLeft w:val="0"/>
                  <w:marRight w:val="0"/>
                  <w:marTop w:val="0"/>
                  <w:marBottom w:val="0"/>
                  <w:divBdr>
                    <w:top w:val="none" w:sz="0" w:space="0" w:color="auto"/>
                    <w:left w:val="none" w:sz="0" w:space="0" w:color="auto"/>
                    <w:bottom w:val="none" w:sz="0" w:space="0" w:color="auto"/>
                    <w:right w:val="none" w:sz="0" w:space="0" w:color="auto"/>
                  </w:divBdr>
                  <w:divsChild>
                    <w:div w:id="44572937">
                      <w:marLeft w:val="0"/>
                      <w:marRight w:val="0"/>
                      <w:marTop w:val="0"/>
                      <w:marBottom w:val="0"/>
                      <w:divBdr>
                        <w:top w:val="none" w:sz="0" w:space="0" w:color="auto"/>
                        <w:left w:val="none" w:sz="0" w:space="0" w:color="auto"/>
                        <w:bottom w:val="none" w:sz="0" w:space="0" w:color="auto"/>
                        <w:right w:val="none" w:sz="0" w:space="0" w:color="auto"/>
                      </w:divBdr>
                    </w:div>
                  </w:divsChild>
                </w:div>
                <w:div w:id="1900091967">
                  <w:marLeft w:val="0"/>
                  <w:marRight w:val="0"/>
                  <w:marTop w:val="0"/>
                  <w:marBottom w:val="0"/>
                  <w:divBdr>
                    <w:top w:val="none" w:sz="0" w:space="0" w:color="auto"/>
                    <w:left w:val="none" w:sz="0" w:space="0" w:color="auto"/>
                    <w:bottom w:val="none" w:sz="0" w:space="0" w:color="auto"/>
                    <w:right w:val="none" w:sz="0" w:space="0" w:color="auto"/>
                  </w:divBdr>
                  <w:divsChild>
                    <w:div w:id="577521245">
                      <w:marLeft w:val="0"/>
                      <w:marRight w:val="0"/>
                      <w:marTop w:val="0"/>
                      <w:marBottom w:val="0"/>
                      <w:divBdr>
                        <w:top w:val="none" w:sz="0" w:space="0" w:color="auto"/>
                        <w:left w:val="none" w:sz="0" w:space="0" w:color="auto"/>
                        <w:bottom w:val="none" w:sz="0" w:space="0" w:color="auto"/>
                        <w:right w:val="none" w:sz="0" w:space="0" w:color="auto"/>
                      </w:divBdr>
                    </w:div>
                  </w:divsChild>
                </w:div>
                <w:div w:id="1901280360">
                  <w:marLeft w:val="0"/>
                  <w:marRight w:val="0"/>
                  <w:marTop w:val="0"/>
                  <w:marBottom w:val="0"/>
                  <w:divBdr>
                    <w:top w:val="none" w:sz="0" w:space="0" w:color="auto"/>
                    <w:left w:val="none" w:sz="0" w:space="0" w:color="auto"/>
                    <w:bottom w:val="none" w:sz="0" w:space="0" w:color="auto"/>
                    <w:right w:val="none" w:sz="0" w:space="0" w:color="auto"/>
                  </w:divBdr>
                  <w:divsChild>
                    <w:div w:id="164323331">
                      <w:marLeft w:val="0"/>
                      <w:marRight w:val="0"/>
                      <w:marTop w:val="0"/>
                      <w:marBottom w:val="0"/>
                      <w:divBdr>
                        <w:top w:val="none" w:sz="0" w:space="0" w:color="auto"/>
                        <w:left w:val="none" w:sz="0" w:space="0" w:color="auto"/>
                        <w:bottom w:val="none" w:sz="0" w:space="0" w:color="auto"/>
                        <w:right w:val="none" w:sz="0" w:space="0" w:color="auto"/>
                      </w:divBdr>
                    </w:div>
                  </w:divsChild>
                </w:div>
                <w:div w:id="1902515078">
                  <w:marLeft w:val="0"/>
                  <w:marRight w:val="0"/>
                  <w:marTop w:val="0"/>
                  <w:marBottom w:val="0"/>
                  <w:divBdr>
                    <w:top w:val="none" w:sz="0" w:space="0" w:color="auto"/>
                    <w:left w:val="none" w:sz="0" w:space="0" w:color="auto"/>
                    <w:bottom w:val="none" w:sz="0" w:space="0" w:color="auto"/>
                    <w:right w:val="none" w:sz="0" w:space="0" w:color="auto"/>
                  </w:divBdr>
                  <w:divsChild>
                    <w:div w:id="556628923">
                      <w:marLeft w:val="0"/>
                      <w:marRight w:val="0"/>
                      <w:marTop w:val="0"/>
                      <w:marBottom w:val="0"/>
                      <w:divBdr>
                        <w:top w:val="none" w:sz="0" w:space="0" w:color="auto"/>
                        <w:left w:val="none" w:sz="0" w:space="0" w:color="auto"/>
                        <w:bottom w:val="none" w:sz="0" w:space="0" w:color="auto"/>
                        <w:right w:val="none" w:sz="0" w:space="0" w:color="auto"/>
                      </w:divBdr>
                    </w:div>
                  </w:divsChild>
                </w:div>
                <w:div w:id="1905987977">
                  <w:marLeft w:val="0"/>
                  <w:marRight w:val="0"/>
                  <w:marTop w:val="0"/>
                  <w:marBottom w:val="0"/>
                  <w:divBdr>
                    <w:top w:val="none" w:sz="0" w:space="0" w:color="auto"/>
                    <w:left w:val="none" w:sz="0" w:space="0" w:color="auto"/>
                    <w:bottom w:val="none" w:sz="0" w:space="0" w:color="auto"/>
                    <w:right w:val="none" w:sz="0" w:space="0" w:color="auto"/>
                  </w:divBdr>
                  <w:divsChild>
                    <w:div w:id="1857842413">
                      <w:marLeft w:val="0"/>
                      <w:marRight w:val="0"/>
                      <w:marTop w:val="0"/>
                      <w:marBottom w:val="0"/>
                      <w:divBdr>
                        <w:top w:val="none" w:sz="0" w:space="0" w:color="auto"/>
                        <w:left w:val="none" w:sz="0" w:space="0" w:color="auto"/>
                        <w:bottom w:val="none" w:sz="0" w:space="0" w:color="auto"/>
                        <w:right w:val="none" w:sz="0" w:space="0" w:color="auto"/>
                      </w:divBdr>
                    </w:div>
                  </w:divsChild>
                </w:div>
                <w:div w:id="1906257727">
                  <w:marLeft w:val="0"/>
                  <w:marRight w:val="0"/>
                  <w:marTop w:val="0"/>
                  <w:marBottom w:val="0"/>
                  <w:divBdr>
                    <w:top w:val="none" w:sz="0" w:space="0" w:color="auto"/>
                    <w:left w:val="none" w:sz="0" w:space="0" w:color="auto"/>
                    <w:bottom w:val="none" w:sz="0" w:space="0" w:color="auto"/>
                    <w:right w:val="none" w:sz="0" w:space="0" w:color="auto"/>
                  </w:divBdr>
                  <w:divsChild>
                    <w:div w:id="119617486">
                      <w:marLeft w:val="0"/>
                      <w:marRight w:val="0"/>
                      <w:marTop w:val="0"/>
                      <w:marBottom w:val="0"/>
                      <w:divBdr>
                        <w:top w:val="none" w:sz="0" w:space="0" w:color="auto"/>
                        <w:left w:val="none" w:sz="0" w:space="0" w:color="auto"/>
                        <w:bottom w:val="none" w:sz="0" w:space="0" w:color="auto"/>
                        <w:right w:val="none" w:sz="0" w:space="0" w:color="auto"/>
                      </w:divBdr>
                    </w:div>
                  </w:divsChild>
                </w:div>
                <w:div w:id="1934432563">
                  <w:marLeft w:val="0"/>
                  <w:marRight w:val="0"/>
                  <w:marTop w:val="0"/>
                  <w:marBottom w:val="0"/>
                  <w:divBdr>
                    <w:top w:val="none" w:sz="0" w:space="0" w:color="auto"/>
                    <w:left w:val="none" w:sz="0" w:space="0" w:color="auto"/>
                    <w:bottom w:val="none" w:sz="0" w:space="0" w:color="auto"/>
                    <w:right w:val="none" w:sz="0" w:space="0" w:color="auto"/>
                  </w:divBdr>
                  <w:divsChild>
                    <w:div w:id="1596135422">
                      <w:marLeft w:val="0"/>
                      <w:marRight w:val="0"/>
                      <w:marTop w:val="0"/>
                      <w:marBottom w:val="0"/>
                      <w:divBdr>
                        <w:top w:val="none" w:sz="0" w:space="0" w:color="auto"/>
                        <w:left w:val="none" w:sz="0" w:space="0" w:color="auto"/>
                        <w:bottom w:val="none" w:sz="0" w:space="0" w:color="auto"/>
                        <w:right w:val="none" w:sz="0" w:space="0" w:color="auto"/>
                      </w:divBdr>
                    </w:div>
                  </w:divsChild>
                </w:div>
                <w:div w:id="1943757685">
                  <w:marLeft w:val="0"/>
                  <w:marRight w:val="0"/>
                  <w:marTop w:val="0"/>
                  <w:marBottom w:val="0"/>
                  <w:divBdr>
                    <w:top w:val="none" w:sz="0" w:space="0" w:color="auto"/>
                    <w:left w:val="none" w:sz="0" w:space="0" w:color="auto"/>
                    <w:bottom w:val="none" w:sz="0" w:space="0" w:color="auto"/>
                    <w:right w:val="none" w:sz="0" w:space="0" w:color="auto"/>
                  </w:divBdr>
                  <w:divsChild>
                    <w:div w:id="376122748">
                      <w:marLeft w:val="0"/>
                      <w:marRight w:val="0"/>
                      <w:marTop w:val="0"/>
                      <w:marBottom w:val="0"/>
                      <w:divBdr>
                        <w:top w:val="none" w:sz="0" w:space="0" w:color="auto"/>
                        <w:left w:val="none" w:sz="0" w:space="0" w:color="auto"/>
                        <w:bottom w:val="none" w:sz="0" w:space="0" w:color="auto"/>
                        <w:right w:val="none" w:sz="0" w:space="0" w:color="auto"/>
                      </w:divBdr>
                    </w:div>
                  </w:divsChild>
                </w:div>
                <w:div w:id="1954818889">
                  <w:marLeft w:val="0"/>
                  <w:marRight w:val="0"/>
                  <w:marTop w:val="0"/>
                  <w:marBottom w:val="0"/>
                  <w:divBdr>
                    <w:top w:val="none" w:sz="0" w:space="0" w:color="auto"/>
                    <w:left w:val="none" w:sz="0" w:space="0" w:color="auto"/>
                    <w:bottom w:val="none" w:sz="0" w:space="0" w:color="auto"/>
                    <w:right w:val="none" w:sz="0" w:space="0" w:color="auto"/>
                  </w:divBdr>
                  <w:divsChild>
                    <w:div w:id="1746220165">
                      <w:marLeft w:val="0"/>
                      <w:marRight w:val="0"/>
                      <w:marTop w:val="0"/>
                      <w:marBottom w:val="0"/>
                      <w:divBdr>
                        <w:top w:val="none" w:sz="0" w:space="0" w:color="auto"/>
                        <w:left w:val="none" w:sz="0" w:space="0" w:color="auto"/>
                        <w:bottom w:val="none" w:sz="0" w:space="0" w:color="auto"/>
                        <w:right w:val="none" w:sz="0" w:space="0" w:color="auto"/>
                      </w:divBdr>
                    </w:div>
                  </w:divsChild>
                </w:div>
                <w:div w:id="1957133342">
                  <w:marLeft w:val="0"/>
                  <w:marRight w:val="0"/>
                  <w:marTop w:val="0"/>
                  <w:marBottom w:val="0"/>
                  <w:divBdr>
                    <w:top w:val="none" w:sz="0" w:space="0" w:color="auto"/>
                    <w:left w:val="none" w:sz="0" w:space="0" w:color="auto"/>
                    <w:bottom w:val="none" w:sz="0" w:space="0" w:color="auto"/>
                    <w:right w:val="none" w:sz="0" w:space="0" w:color="auto"/>
                  </w:divBdr>
                  <w:divsChild>
                    <w:div w:id="1458912497">
                      <w:marLeft w:val="0"/>
                      <w:marRight w:val="0"/>
                      <w:marTop w:val="0"/>
                      <w:marBottom w:val="0"/>
                      <w:divBdr>
                        <w:top w:val="none" w:sz="0" w:space="0" w:color="auto"/>
                        <w:left w:val="none" w:sz="0" w:space="0" w:color="auto"/>
                        <w:bottom w:val="none" w:sz="0" w:space="0" w:color="auto"/>
                        <w:right w:val="none" w:sz="0" w:space="0" w:color="auto"/>
                      </w:divBdr>
                    </w:div>
                  </w:divsChild>
                </w:div>
                <w:div w:id="1958292142">
                  <w:marLeft w:val="0"/>
                  <w:marRight w:val="0"/>
                  <w:marTop w:val="0"/>
                  <w:marBottom w:val="0"/>
                  <w:divBdr>
                    <w:top w:val="none" w:sz="0" w:space="0" w:color="auto"/>
                    <w:left w:val="none" w:sz="0" w:space="0" w:color="auto"/>
                    <w:bottom w:val="none" w:sz="0" w:space="0" w:color="auto"/>
                    <w:right w:val="none" w:sz="0" w:space="0" w:color="auto"/>
                  </w:divBdr>
                  <w:divsChild>
                    <w:div w:id="149372158">
                      <w:marLeft w:val="0"/>
                      <w:marRight w:val="0"/>
                      <w:marTop w:val="0"/>
                      <w:marBottom w:val="0"/>
                      <w:divBdr>
                        <w:top w:val="none" w:sz="0" w:space="0" w:color="auto"/>
                        <w:left w:val="none" w:sz="0" w:space="0" w:color="auto"/>
                        <w:bottom w:val="none" w:sz="0" w:space="0" w:color="auto"/>
                        <w:right w:val="none" w:sz="0" w:space="0" w:color="auto"/>
                      </w:divBdr>
                    </w:div>
                  </w:divsChild>
                </w:div>
                <w:div w:id="1960647730">
                  <w:marLeft w:val="0"/>
                  <w:marRight w:val="0"/>
                  <w:marTop w:val="0"/>
                  <w:marBottom w:val="0"/>
                  <w:divBdr>
                    <w:top w:val="none" w:sz="0" w:space="0" w:color="auto"/>
                    <w:left w:val="none" w:sz="0" w:space="0" w:color="auto"/>
                    <w:bottom w:val="none" w:sz="0" w:space="0" w:color="auto"/>
                    <w:right w:val="none" w:sz="0" w:space="0" w:color="auto"/>
                  </w:divBdr>
                  <w:divsChild>
                    <w:div w:id="1059862902">
                      <w:marLeft w:val="0"/>
                      <w:marRight w:val="0"/>
                      <w:marTop w:val="0"/>
                      <w:marBottom w:val="0"/>
                      <w:divBdr>
                        <w:top w:val="none" w:sz="0" w:space="0" w:color="auto"/>
                        <w:left w:val="none" w:sz="0" w:space="0" w:color="auto"/>
                        <w:bottom w:val="none" w:sz="0" w:space="0" w:color="auto"/>
                        <w:right w:val="none" w:sz="0" w:space="0" w:color="auto"/>
                      </w:divBdr>
                    </w:div>
                  </w:divsChild>
                </w:div>
                <w:div w:id="1961066274">
                  <w:marLeft w:val="0"/>
                  <w:marRight w:val="0"/>
                  <w:marTop w:val="0"/>
                  <w:marBottom w:val="0"/>
                  <w:divBdr>
                    <w:top w:val="none" w:sz="0" w:space="0" w:color="auto"/>
                    <w:left w:val="none" w:sz="0" w:space="0" w:color="auto"/>
                    <w:bottom w:val="none" w:sz="0" w:space="0" w:color="auto"/>
                    <w:right w:val="none" w:sz="0" w:space="0" w:color="auto"/>
                  </w:divBdr>
                  <w:divsChild>
                    <w:div w:id="1599682370">
                      <w:marLeft w:val="0"/>
                      <w:marRight w:val="0"/>
                      <w:marTop w:val="0"/>
                      <w:marBottom w:val="0"/>
                      <w:divBdr>
                        <w:top w:val="none" w:sz="0" w:space="0" w:color="auto"/>
                        <w:left w:val="none" w:sz="0" w:space="0" w:color="auto"/>
                        <w:bottom w:val="none" w:sz="0" w:space="0" w:color="auto"/>
                        <w:right w:val="none" w:sz="0" w:space="0" w:color="auto"/>
                      </w:divBdr>
                    </w:div>
                  </w:divsChild>
                </w:div>
                <w:div w:id="1964459150">
                  <w:marLeft w:val="0"/>
                  <w:marRight w:val="0"/>
                  <w:marTop w:val="0"/>
                  <w:marBottom w:val="0"/>
                  <w:divBdr>
                    <w:top w:val="none" w:sz="0" w:space="0" w:color="auto"/>
                    <w:left w:val="none" w:sz="0" w:space="0" w:color="auto"/>
                    <w:bottom w:val="none" w:sz="0" w:space="0" w:color="auto"/>
                    <w:right w:val="none" w:sz="0" w:space="0" w:color="auto"/>
                  </w:divBdr>
                  <w:divsChild>
                    <w:div w:id="572354104">
                      <w:marLeft w:val="0"/>
                      <w:marRight w:val="0"/>
                      <w:marTop w:val="0"/>
                      <w:marBottom w:val="0"/>
                      <w:divBdr>
                        <w:top w:val="none" w:sz="0" w:space="0" w:color="auto"/>
                        <w:left w:val="none" w:sz="0" w:space="0" w:color="auto"/>
                        <w:bottom w:val="none" w:sz="0" w:space="0" w:color="auto"/>
                        <w:right w:val="none" w:sz="0" w:space="0" w:color="auto"/>
                      </w:divBdr>
                    </w:div>
                  </w:divsChild>
                </w:div>
                <w:div w:id="1967589622">
                  <w:marLeft w:val="0"/>
                  <w:marRight w:val="0"/>
                  <w:marTop w:val="0"/>
                  <w:marBottom w:val="0"/>
                  <w:divBdr>
                    <w:top w:val="none" w:sz="0" w:space="0" w:color="auto"/>
                    <w:left w:val="none" w:sz="0" w:space="0" w:color="auto"/>
                    <w:bottom w:val="none" w:sz="0" w:space="0" w:color="auto"/>
                    <w:right w:val="none" w:sz="0" w:space="0" w:color="auto"/>
                  </w:divBdr>
                  <w:divsChild>
                    <w:div w:id="1817650041">
                      <w:marLeft w:val="0"/>
                      <w:marRight w:val="0"/>
                      <w:marTop w:val="0"/>
                      <w:marBottom w:val="0"/>
                      <w:divBdr>
                        <w:top w:val="none" w:sz="0" w:space="0" w:color="auto"/>
                        <w:left w:val="none" w:sz="0" w:space="0" w:color="auto"/>
                        <w:bottom w:val="none" w:sz="0" w:space="0" w:color="auto"/>
                        <w:right w:val="none" w:sz="0" w:space="0" w:color="auto"/>
                      </w:divBdr>
                    </w:div>
                  </w:divsChild>
                </w:div>
                <w:div w:id="1969163622">
                  <w:marLeft w:val="0"/>
                  <w:marRight w:val="0"/>
                  <w:marTop w:val="0"/>
                  <w:marBottom w:val="0"/>
                  <w:divBdr>
                    <w:top w:val="none" w:sz="0" w:space="0" w:color="auto"/>
                    <w:left w:val="none" w:sz="0" w:space="0" w:color="auto"/>
                    <w:bottom w:val="none" w:sz="0" w:space="0" w:color="auto"/>
                    <w:right w:val="none" w:sz="0" w:space="0" w:color="auto"/>
                  </w:divBdr>
                  <w:divsChild>
                    <w:div w:id="721294914">
                      <w:marLeft w:val="0"/>
                      <w:marRight w:val="0"/>
                      <w:marTop w:val="0"/>
                      <w:marBottom w:val="0"/>
                      <w:divBdr>
                        <w:top w:val="none" w:sz="0" w:space="0" w:color="auto"/>
                        <w:left w:val="none" w:sz="0" w:space="0" w:color="auto"/>
                        <w:bottom w:val="none" w:sz="0" w:space="0" w:color="auto"/>
                        <w:right w:val="none" w:sz="0" w:space="0" w:color="auto"/>
                      </w:divBdr>
                    </w:div>
                  </w:divsChild>
                </w:div>
                <w:div w:id="1969237042">
                  <w:marLeft w:val="0"/>
                  <w:marRight w:val="0"/>
                  <w:marTop w:val="0"/>
                  <w:marBottom w:val="0"/>
                  <w:divBdr>
                    <w:top w:val="none" w:sz="0" w:space="0" w:color="auto"/>
                    <w:left w:val="none" w:sz="0" w:space="0" w:color="auto"/>
                    <w:bottom w:val="none" w:sz="0" w:space="0" w:color="auto"/>
                    <w:right w:val="none" w:sz="0" w:space="0" w:color="auto"/>
                  </w:divBdr>
                  <w:divsChild>
                    <w:div w:id="1076047651">
                      <w:marLeft w:val="0"/>
                      <w:marRight w:val="0"/>
                      <w:marTop w:val="0"/>
                      <w:marBottom w:val="0"/>
                      <w:divBdr>
                        <w:top w:val="none" w:sz="0" w:space="0" w:color="auto"/>
                        <w:left w:val="none" w:sz="0" w:space="0" w:color="auto"/>
                        <w:bottom w:val="none" w:sz="0" w:space="0" w:color="auto"/>
                        <w:right w:val="none" w:sz="0" w:space="0" w:color="auto"/>
                      </w:divBdr>
                    </w:div>
                  </w:divsChild>
                </w:div>
                <w:div w:id="1993555165">
                  <w:marLeft w:val="0"/>
                  <w:marRight w:val="0"/>
                  <w:marTop w:val="0"/>
                  <w:marBottom w:val="0"/>
                  <w:divBdr>
                    <w:top w:val="none" w:sz="0" w:space="0" w:color="auto"/>
                    <w:left w:val="none" w:sz="0" w:space="0" w:color="auto"/>
                    <w:bottom w:val="none" w:sz="0" w:space="0" w:color="auto"/>
                    <w:right w:val="none" w:sz="0" w:space="0" w:color="auto"/>
                  </w:divBdr>
                  <w:divsChild>
                    <w:div w:id="690496271">
                      <w:marLeft w:val="0"/>
                      <w:marRight w:val="0"/>
                      <w:marTop w:val="0"/>
                      <w:marBottom w:val="0"/>
                      <w:divBdr>
                        <w:top w:val="none" w:sz="0" w:space="0" w:color="auto"/>
                        <w:left w:val="none" w:sz="0" w:space="0" w:color="auto"/>
                        <w:bottom w:val="none" w:sz="0" w:space="0" w:color="auto"/>
                        <w:right w:val="none" w:sz="0" w:space="0" w:color="auto"/>
                      </w:divBdr>
                    </w:div>
                  </w:divsChild>
                </w:div>
                <w:div w:id="2016229475">
                  <w:marLeft w:val="0"/>
                  <w:marRight w:val="0"/>
                  <w:marTop w:val="0"/>
                  <w:marBottom w:val="0"/>
                  <w:divBdr>
                    <w:top w:val="none" w:sz="0" w:space="0" w:color="auto"/>
                    <w:left w:val="none" w:sz="0" w:space="0" w:color="auto"/>
                    <w:bottom w:val="none" w:sz="0" w:space="0" w:color="auto"/>
                    <w:right w:val="none" w:sz="0" w:space="0" w:color="auto"/>
                  </w:divBdr>
                  <w:divsChild>
                    <w:div w:id="1547595807">
                      <w:marLeft w:val="0"/>
                      <w:marRight w:val="0"/>
                      <w:marTop w:val="0"/>
                      <w:marBottom w:val="0"/>
                      <w:divBdr>
                        <w:top w:val="none" w:sz="0" w:space="0" w:color="auto"/>
                        <w:left w:val="none" w:sz="0" w:space="0" w:color="auto"/>
                        <w:bottom w:val="none" w:sz="0" w:space="0" w:color="auto"/>
                        <w:right w:val="none" w:sz="0" w:space="0" w:color="auto"/>
                      </w:divBdr>
                    </w:div>
                  </w:divsChild>
                </w:div>
                <w:div w:id="2033526457">
                  <w:marLeft w:val="0"/>
                  <w:marRight w:val="0"/>
                  <w:marTop w:val="0"/>
                  <w:marBottom w:val="0"/>
                  <w:divBdr>
                    <w:top w:val="none" w:sz="0" w:space="0" w:color="auto"/>
                    <w:left w:val="none" w:sz="0" w:space="0" w:color="auto"/>
                    <w:bottom w:val="none" w:sz="0" w:space="0" w:color="auto"/>
                    <w:right w:val="none" w:sz="0" w:space="0" w:color="auto"/>
                  </w:divBdr>
                  <w:divsChild>
                    <w:div w:id="1250580462">
                      <w:marLeft w:val="0"/>
                      <w:marRight w:val="0"/>
                      <w:marTop w:val="0"/>
                      <w:marBottom w:val="0"/>
                      <w:divBdr>
                        <w:top w:val="none" w:sz="0" w:space="0" w:color="auto"/>
                        <w:left w:val="none" w:sz="0" w:space="0" w:color="auto"/>
                        <w:bottom w:val="none" w:sz="0" w:space="0" w:color="auto"/>
                        <w:right w:val="none" w:sz="0" w:space="0" w:color="auto"/>
                      </w:divBdr>
                    </w:div>
                  </w:divsChild>
                </w:div>
                <w:div w:id="2042896186">
                  <w:marLeft w:val="0"/>
                  <w:marRight w:val="0"/>
                  <w:marTop w:val="0"/>
                  <w:marBottom w:val="0"/>
                  <w:divBdr>
                    <w:top w:val="none" w:sz="0" w:space="0" w:color="auto"/>
                    <w:left w:val="none" w:sz="0" w:space="0" w:color="auto"/>
                    <w:bottom w:val="none" w:sz="0" w:space="0" w:color="auto"/>
                    <w:right w:val="none" w:sz="0" w:space="0" w:color="auto"/>
                  </w:divBdr>
                  <w:divsChild>
                    <w:div w:id="795485223">
                      <w:marLeft w:val="0"/>
                      <w:marRight w:val="0"/>
                      <w:marTop w:val="0"/>
                      <w:marBottom w:val="0"/>
                      <w:divBdr>
                        <w:top w:val="none" w:sz="0" w:space="0" w:color="auto"/>
                        <w:left w:val="none" w:sz="0" w:space="0" w:color="auto"/>
                        <w:bottom w:val="none" w:sz="0" w:space="0" w:color="auto"/>
                        <w:right w:val="none" w:sz="0" w:space="0" w:color="auto"/>
                      </w:divBdr>
                    </w:div>
                  </w:divsChild>
                </w:div>
                <w:div w:id="2056850514">
                  <w:marLeft w:val="0"/>
                  <w:marRight w:val="0"/>
                  <w:marTop w:val="0"/>
                  <w:marBottom w:val="0"/>
                  <w:divBdr>
                    <w:top w:val="none" w:sz="0" w:space="0" w:color="auto"/>
                    <w:left w:val="none" w:sz="0" w:space="0" w:color="auto"/>
                    <w:bottom w:val="none" w:sz="0" w:space="0" w:color="auto"/>
                    <w:right w:val="none" w:sz="0" w:space="0" w:color="auto"/>
                  </w:divBdr>
                  <w:divsChild>
                    <w:div w:id="454911830">
                      <w:marLeft w:val="0"/>
                      <w:marRight w:val="0"/>
                      <w:marTop w:val="0"/>
                      <w:marBottom w:val="0"/>
                      <w:divBdr>
                        <w:top w:val="none" w:sz="0" w:space="0" w:color="auto"/>
                        <w:left w:val="none" w:sz="0" w:space="0" w:color="auto"/>
                        <w:bottom w:val="none" w:sz="0" w:space="0" w:color="auto"/>
                        <w:right w:val="none" w:sz="0" w:space="0" w:color="auto"/>
                      </w:divBdr>
                    </w:div>
                  </w:divsChild>
                </w:div>
                <w:div w:id="2062825406">
                  <w:marLeft w:val="0"/>
                  <w:marRight w:val="0"/>
                  <w:marTop w:val="0"/>
                  <w:marBottom w:val="0"/>
                  <w:divBdr>
                    <w:top w:val="none" w:sz="0" w:space="0" w:color="auto"/>
                    <w:left w:val="none" w:sz="0" w:space="0" w:color="auto"/>
                    <w:bottom w:val="none" w:sz="0" w:space="0" w:color="auto"/>
                    <w:right w:val="none" w:sz="0" w:space="0" w:color="auto"/>
                  </w:divBdr>
                  <w:divsChild>
                    <w:div w:id="1482237884">
                      <w:marLeft w:val="0"/>
                      <w:marRight w:val="0"/>
                      <w:marTop w:val="0"/>
                      <w:marBottom w:val="0"/>
                      <w:divBdr>
                        <w:top w:val="none" w:sz="0" w:space="0" w:color="auto"/>
                        <w:left w:val="none" w:sz="0" w:space="0" w:color="auto"/>
                        <w:bottom w:val="none" w:sz="0" w:space="0" w:color="auto"/>
                        <w:right w:val="none" w:sz="0" w:space="0" w:color="auto"/>
                      </w:divBdr>
                    </w:div>
                  </w:divsChild>
                </w:div>
                <w:div w:id="2067026443">
                  <w:marLeft w:val="0"/>
                  <w:marRight w:val="0"/>
                  <w:marTop w:val="0"/>
                  <w:marBottom w:val="0"/>
                  <w:divBdr>
                    <w:top w:val="none" w:sz="0" w:space="0" w:color="auto"/>
                    <w:left w:val="none" w:sz="0" w:space="0" w:color="auto"/>
                    <w:bottom w:val="none" w:sz="0" w:space="0" w:color="auto"/>
                    <w:right w:val="none" w:sz="0" w:space="0" w:color="auto"/>
                  </w:divBdr>
                  <w:divsChild>
                    <w:div w:id="1791510786">
                      <w:marLeft w:val="0"/>
                      <w:marRight w:val="0"/>
                      <w:marTop w:val="0"/>
                      <w:marBottom w:val="0"/>
                      <w:divBdr>
                        <w:top w:val="none" w:sz="0" w:space="0" w:color="auto"/>
                        <w:left w:val="none" w:sz="0" w:space="0" w:color="auto"/>
                        <w:bottom w:val="none" w:sz="0" w:space="0" w:color="auto"/>
                        <w:right w:val="none" w:sz="0" w:space="0" w:color="auto"/>
                      </w:divBdr>
                    </w:div>
                  </w:divsChild>
                </w:div>
                <w:div w:id="2073310977">
                  <w:marLeft w:val="0"/>
                  <w:marRight w:val="0"/>
                  <w:marTop w:val="0"/>
                  <w:marBottom w:val="0"/>
                  <w:divBdr>
                    <w:top w:val="none" w:sz="0" w:space="0" w:color="auto"/>
                    <w:left w:val="none" w:sz="0" w:space="0" w:color="auto"/>
                    <w:bottom w:val="none" w:sz="0" w:space="0" w:color="auto"/>
                    <w:right w:val="none" w:sz="0" w:space="0" w:color="auto"/>
                  </w:divBdr>
                  <w:divsChild>
                    <w:div w:id="1054087073">
                      <w:marLeft w:val="0"/>
                      <w:marRight w:val="0"/>
                      <w:marTop w:val="0"/>
                      <w:marBottom w:val="0"/>
                      <w:divBdr>
                        <w:top w:val="none" w:sz="0" w:space="0" w:color="auto"/>
                        <w:left w:val="none" w:sz="0" w:space="0" w:color="auto"/>
                        <w:bottom w:val="none" w:sz="0" w:space="0" w:color="auto"/>
                        <w:right w:val="none" w:sz="0" w:space="0" w:color="auto"/>
                      </w:divBdr>
                    </w:div>
                  </w:divsChild>
                </w:div>
                <w:div w:id="2074504176">
                  <w:marLeft w:val="0"/>
                  <w:marRight w:val="0"/>
                  <w:marTop w:val="0"/>
                  <w:marBottom w:val="0"/>
                  <w:divBdr>
                    <w:top w:val="none" w:sz="0" w:space="0" w:color="auto"/>
                    <w:left w:val="none" w:sz="0" w:space="0" w:color="auto"/>
                    <w:bottom w:val="none" w:sz="0" w:space="0" w:color="auto"/>
                    <w:right w:val="none" w:sz="0" w:space="0" w:color="auto"/>
                  </w:divBdr>
                  <w:divsChild>
                    <w:div w:id="388111115">
                      <w:marLeft w:val="0"/>
                      <w:marRight w:val="0"/>
                      <w:marTop w:val="0"/>
                      <w:marBottom w:val="0"/>
                      <w:divBdr>
                        <w:top w:val="none" w:sz="0" w:space="0" w:color="auto"/>
                        <w:left w:val="none" w:sz="0" w:space="0" w:color="auto"/>
                        <w:bottom w:val="none" w:sz="0" w:space="0" w:color="auto"/>
                        <w:right w:val="none" w:sz="0" w:space="0" w:color="auto"/>
                      </w:divBdr>
                    </w:div>
                  </w:divsChild>
                </w:div>
                <w:div w:id="2084333211">
                  <w:marLeft w:val="0"/>
                  <w:marRight w:val="0"/>
                  <w:marTop w:val="0"/>
                  <w:marBottom w:val="0"/>
                  <w:divBdr>
                    <w:top w:val="none" w:sz="0" w:space="0" w:color="auto"/>
                    <w:left w:val="none" w:sz="0" w:space="0" w:color="auto"/>
                    <w:bottom w:val="none" w:sz="0" w:space="0" w:color="auto"/>
                    <w:right w:val="none" w:sz="0" w:space="0" w:color="auto"/>
                  </w:divBdr>
                  <w:divsChild>
                    <w:div w:id="593559648">
                      <w:marLeft w:val="0"/>
                      <w:marRight w:val="0"/>
                      <w:marTop w:val="0"/>
                      <w:marBottom w:val="0"/>
                      <w:divBdr>
                        <w:top w:val="none" w:sz="0" w:space="0" w:color="auto"/>
                        <w:left w:val="none" w:sz="0" w:space="0" w:color="auto"/>
                        <w:bottom w:val="none" w:sz="0" w:space="0" w:color="auto"/>
                        <w:right w:val="none" w:sz="0" w:space="0" w:color="auto"/>
                      </w:divBdr>
                    </w:div>
                  </w:divsChild>
                </w:div>
                <w:div w:id="2085561166">
                  <w:marLeft w:val="0"/>
                  <w:marRight w:val="0"/>
                  <w:marTop w:val="0"/>
                  <w:marBottom w:val="0"/>
                  <w:divBdr>
                    <w:top w:val="none" w:sz="0" w:space="0" w:color="auto"/>
                    <w:left w:val="none" w:sz="0" w:space="0" w:color="auto"/>
                    <w:bottom w:val="none" w:sz="0" w:space="0" w:color="auto"/>
                    <w:right w:val="none" w:sz="0" w:space="0" w:color="auto"/>
                  </w:divBdr>
                  <w:divsChild>
                    <w:div w:id="2143307364">
                      <w:marLeft w:val="0"/>
                      <w:marRight w:val="0"/>
                      <w:marTop w:val="0"/>
                      <w:marBottom w:val="0"/>
                      <w:divBdr>
                        <w:top w:val="none" w:sz="0" w:space="0" w:color="auto"/>
                        <w:left w:val="none" w:sz="0" w:space="0" w:color="auto"/>
                        <w:bottom w:val="none" w:sz="0" w:space="0" w:color="auto"/>
                        <w:right w:val="none" w:sz="0" w:space="0" w:color="auto"/>
                      </w:divBdr>
                    </w:div>
                  </w:divsChild>
                </w:div>
                <w:div w:id="2102097909">
                  <w:marLeft w:val="0"/>
                  <w:marRight w:val="0"/>
                  <w:marTop w:val="0"/>
                  <w:marBottom w:val="0"/>
                  <w:divBdr>
                    <w:top w:val="none" w:sz="0" w:space="0" w:color="auto"/>
                    <w:left w:val="none" w:sz="0" w:space="0" w:color="auto"/>
                    <w:bottom w:val="none" w:sz="0" w:space="0" w:color="auto"/>
                    <w:right w:val="none" w:sz="0" w:space="0" w:color="auto"/>
                  </w:divBdr>
                  <w:divsChild>
                    <w:div w:id="1499536689">
                      <w:marLeft w:val="0"/>
                      <w:marRight w:val="0"/>
                      <w:marTop w:val="0"/>
                      <w:marBottom w:val="0"/>
                      <w:divBdr>
                        <w:top w:val="none" w:sz="0" w:space="0" w:color="auto"/>
                        <w:left w:val="none" w:sz="0" w:space="0" w:color="auto"/>
                        <w:bottom w:val="none" w:sz="0" w:space="0" w:color="auto"/>
                        <w:right w:val="none" w:sz="0" w:space="0" w:color="auto"/>
                      </w:divBdr>
                    </w:div>
                  </w:divsChild>
                </w:div>
                <w:div w:id="2102944752">
                  <w:marLeft w:val="0"/>
                  <w:marRight w:val="0"/>
                  <w:marTop w:val="0"/>
                  <w:marBottom w:val="0"/>
                  <w:divBdr>
                    <w:top w:val="none" w:sz="0" w:space="0" w:color="auto"/>
                    <w:left w:val="none" w:sz="0" w:space="0" w:color="auto"/>
                    <w:bottom w:val="none" w:sz="0" w:space="0" w:color="auto"/>
                    <w:right w:val="none" w:sz="0" w:space="0" w:color="auto"/>
                  </w:divBdr>
                  <w:divsChild>
                    <w:div w:id="1456682731">
                      <w:marLeft w:val="0"/>
                      <w:marRight w:val="0"/>
                      <w:marTop w:val="0"/>
                      <w:marBottom w:val="0"/>
                      <w:divBdr>
                        <w:top w:val="none" w:sz="0" w:space="0" w:color="auto"/>
                        <w:left w:val="none" w:sz="0" w:space="0" w:color="auto"/>
                        <w:bottom w:val="none" w:sz="0" w:space="0" w:color="auto"/>
                        <w:right w:val="none" w:sz="0" w:space="0" w:color="auto"/>
                      </w:divBdr>
                    </w:div>
                  </w:divsChild>
                </w:div>
                <w:div w:id="2108191709">
                  <w:marLeft w:val="0"/>
                  <w:marRight w:val="0"/>
                  <w:marTop w:val="0"/>
                  <w:marBottom w:val="0"/>
                  <w:divBdr>
                    <w:top w:val="none" w:sz="0" w:space="0" w:color="auto"/>
                    <w:left w:val="none" w:sz="0" w:space="0" w:color="auto"/>
                    <w:bottom w:val="none" w:sz="0" w:space="0" w:color="auto"/>
                    <w:right w:val="none" w:sz="0" w:space="0" w:color="auto"/>
                  </w:divBdr>
                  <w:divsChild>
                    <w:div w:id="1563757262">
                      <w:marLeft w:val="0"/>
                      <w:marRight w:val="0"/>
                      <w:marTop w:val="0"/>
                      <w:marBottom w:val="0"/>
                      <w:divBdr>
                        <w:top w:val="none" w:sz="0" w:space="0" w:color="auto"/>
                        <w:left w:val="none" w:sz="0" w:space="0" w:color="auto"/>
                        <w:bottom w:val="none" w:sz="0" w:space="0" w:color="auto"/>
                        <w:right w:val="none" w:sz="0" w:space="0" w:color="auto"/>
                      </w:divBdr>
                    </w:div>
                  </w:divsChild>
                </w:div>
                <w:div w:id="2111318312">
                  <w:marLeft w:val="0"/>
                  <w:marRight w:val="0"/>
                  <w:marTop w:val="0"/>
                  <w:marBottom w:val="0"/>
                  <w:divBdr>
                    <w:top w:val="none" w:sz="0" w:space="0" w:color="auto"/>
                    <w:left w:val="none" w:sz="0" w:space="0" w:color="auto"/>
                    <w:bottom w:val="none" w:sz="0" w:space="0" w:color="auto"/>
                    <w:right w:val="none" w:sz="0" w:space="0" w:color="auto"/>
                  </w:divBdr>
                  <w:divsChild>
                    <w:div w:id="1728872350">
                      <w:marLeft w:val="0"/>
                      <w:marRight w:val="0"/>
                      <w:marTop w:val="0"/>
                      <w:marBottom w:val="0"/>
                      <w:divBdr>
                        <w:top w:val="none" w:sz="0" w:space="0" w:color="auto"/>
                        <w:left w:val="none" w:sz="0" w:space="0" w:color="auto"/>
                        <w:bottom w:val="none" w:sz="0" w:space="0" w:color="auto"/>
                        <w:right w:val="none" w:sz="0" w:space="0" w:color="auto"/>
                      </w:divBdr>
                    </w:div>
                  </w:divsChild>
                </w:div>
                <w:div w:id="2119715013">
                  <w:marLeft w:val="0"/>
                  <w:marRight w:val="0"/>
                  <w:marTop w:val="0"/>
                  <w:marBottom w:val="0"/>
                  <w:divBdr>
                    <w:top w:val="none" w:sz="0" w:space="0" w:color="auto"/>
                    <w:left w:val="none" w:sz="0" w:space="0" w:color="auto"/>
                    <w:bottom w:val="none" w:sz="0" w:space="0" w:color="auto"/>
                    <w:right w:val="none" w:sz="0" w:space="0" w:color="auto"/>
                  </w:divBdr>
                  <w:divsChild>
                    <w:div w:id="785855074">
                      <w:marLeft w:val="0"/>
                      <w:marRight w:val="0"/>
                      <w:marTop w:val="0"/>
                      <w:marBottom w:val="0"/>
                      <w:divBdr>
                        <w:top w:val="none" w:sz="0" w:space="0" w:color="auto"/>
                        <w:left w:val="none" w:sz="0" w:space="0" w:color="auto"/>
                        <w:bottom w:val="none" w:sz="0" w:space="0" w:color="auto"/>
                        <w:right w:val="none" w:sz="0" w:space="0" w:color="auto"/>
                      </w:divBdr>
                    </w:div>
                  </w:divsChild>
                </w:div>
                <w:div w:id="2121027458">
                  <w:marLeft w:val="0"/>
                  <w:marRight w:val="0"/>
                  <w:marTop w:val="0"/>
                  <w:marBottom w:val="0"/>
                  <w:divBdr>
                    <w:top w:val="none" w:sz="0" w:space="0" w:color="auto"/>
                    <w:left w:val="none" w:sz="0" w:space="0" w:color="auto"/>
                    <w:bottom w:val="none" w:sz="0" w:space="0" w:color="auto"/>
                    <w:right w:val="none" w:sz="0" w:space="0" w:color="auto"/>
                  </w:divBdr>
                  <w:divsChild>
                    <w:div w:id="677394165">
                      <w:marLeft w:val="0"/>
                      <w:marRight w:val="0"/>
                      <w:marTop w:val="0"/>
                      <w:marBottom w:val="0"/>
                      <w:divBdr>
                        <w:top w:val="none" w:sz="0" w:space="0" w:color="auto"/>
                        <w:left w:val="none" w:sz="0" w:space="0" w:color="auto"/>
                        <w:bottom w:val="none" w:sz="0" w:space="0" w:color="auto"/>
                        <w:right w:val="none" w:sz="0" w:space="0" w:color="auto"/>
                      </w:divBdr>
                    </w:div>
                  </w:divsChild>
                </w:div>
                <w:div w:id="2123575946">
                  <w:marLeft w:val="0"/>
                  <w:marRight w:val="0"/>
                  <w:marTop w:val="0"/>
                  <w:marBottom w:val="0"/>
                  <w:divBdr>
                    <w:top w:val="none" w:sz="0" w:space="0" w:color="auto"/>
                    <w:left w:val="none" w:sz="0" w:space="0" w:color="auto"/>
                    <w:bottom w:val="none" w:sz="0" w:space="0" w:color="auto"/>
                    <w:right w:val="none" w:sz="0" w:space="0" w:color="auto"/>
                  </w:divBdr>
                  <w:divsChild>
                    <w:div w:id="670259443">
                      <w:marLeft w:val="0"/>
                      <w:marRight w:val="0"/>
                      <w:marTop w:val="0"/>
                      <w:marBottom w:val="0"/>
                      <w:divBdr>
                        <w:top w:val="none" w:sz="0" w:space="0" w:color="auto"/>
                        <w:left w:val="none" w:sz="0" w:space="0" w:color="auto"/>
                        <w:bottom w:val="none" w:sz="0" w:space="0" w:color="auto"/>
                        <w:right w:val="none" w:sz="0" w:space="0" w:color="auto"/>
                      </w:divBdr>
                    </w:div>
                  </w:divsChild>
                </w:div>
                <w:div w:id="2125151987">
                  <w:marLeft w:val="0"/>
                  <w:marRight w:val="0"/>
                  <w:marTop w:val="0"/>
                  <w:marBottom w:val="0"/>
                  <w:divBdr>
                    <w:top w:val="none" w:sz="0" w:space="0" w:color="auto"/>
                    <w:left w:val="none" w:sz="0" w:space="0" w:color="auto"/>
                    <w:bottom w:val="none" w:sz="0" w:space="0" w:color="auto"/>
                    <w:right w:val="none" w:sz="0" w:space="0" w:color="auto"/>
                  </w:divBdr>
                  <w:divsChild>
                    <w:div w:id="194660824">
                      <w:marLeft w:val="0"/>
                      <w:marRight w:val="0"/>
                      <w:marTop w:val="0"/>
                      <w:marBottom w:val="0"/>
                      <w:divBdr>
                        <w:top w:val="none" w:sz="0" w:space="0" w:color="auto"/>
                        <w:left w:val="none" w:sz="0" w:space="0" w:color="auto"/>
                        <w:bottom w:val="none" w:sz="0" w:space="0" w:color="auto"/>
                        <w:right w:val="none" w:sz="0" w:space="0" w:color="auto"/>
                      </w:divBdr>
                    </w:div>
                  </w:divsChild>
                </w:div>
                <w:div w:id="2145347389">
                  <w:marLeft w:val="0"/>
                  <w:marRight w:val="0"/>
                  <w:marTop w:val="0"/>
                  <w:marBottom w:val="0"/>
                  <w:divBdr>
                    <w:top w:val="none" w:sz="0" w:space="0" w:color="auto"/>
                    <w:left w:val="none" w:sz="0" w:space="0" w:color="auto"/>
                    <w:bottom w:val="none" w:sz="0" w:space="0" w:color="auto"/>
                    <w:right w:val="none" w:sz="0" w:space="0" w:color="auto"/>
                  </w:divBdr>
                  <w:divsChild>
                    <w:div w:id="212012513">
                      <w:marLeft w:val="0"/>
                      <w:marRight w:val="0"/>
                      <w:marTop w:val="0"/>
                      <w:marBottom w:val="0"/>
                      <w:divBdr>
                        <w:top w:val="none" w:sz="0" w:space="0" w:color="auto"/>
                        <w:left w:val="none" w:sz="0" w:space="0" w:color="auto"/>
                        <w:bottom w:val="none" w:sz="0" w:space="0" w:color="auto"/>
                        <w:right w:val="none" w:sz="0" w:space="0" w:color="auto"/>
                      </w:divBdr>
                    </w:div>
                  </w:divsChild>
                </w:div>
                <w:div w:id="2145416756">
                  <w:marLeft w:val="0"/>
                  <w:marRight w:val="0"/>
                  <w:marTop w:val="0"/>
                  <w:marBottom w:val="0"/>
                  <w:divBdr>
                    <w:top w:val="none" w:sz="0" w:space="0" w:color="auto"/>
                    <w:left w:val="none" w:sz="0" w:space="0" w:color="auto"/>
                    <w:bottom w:val="none" w:sz="0" w:space="0" w:color="auto"/>
                    <w:right w:val="none" w:sz="0" w:space="0" w:color="auto"/>
                  </w:divBdr>
                  <w:divsChild>
                    <w:div w:id="16320471">
                      <w:marLeft w:val="0"/>
                      <w:marRight w:val="0"/>
                      <w:marTop w:val="0"/>
                      <w:marBottom w:val="0"/>
                      <w:divBdr>
                        <w:top w:val="none" w:sz="0" w:space="0" w:color="auto"/>
                        <w:left w:val="none" w:sz="0" w:space="0" w:color="auto"/>
                        <w:bottom w:val="none" w:sz="0" w:space="0" w:color="auto"/>
                        <w:right w:val="none" w:sz="0" w:space="0" w:color="auto"/>
                      </w:divBdr>
                    </w:div>
                    <w:div w:id="22292922">
                      <w:marLeft w:val="0"/>
                      <w:marRight w:val="0"/>
                      <w:marTop w:val="0"/>
                      <w:marBottom w:val="0"/>
                      <w:divBdr>
                        <w:top w:val="none" w:sz="0" w:space="0" w:color="auto"/>
                        <w:left w:val="none" w:sz="0" w:space="0" w:color="auto"/>
                        <w:bottom w:val="none" w:sz="0" w:space="0" w:color="auto"/>
                        <w:right w:val="none" w:sz="0" w:space="0" w:color="auto"/>
                      </w:divBdr>
                    </w:div>
                    <w:div w:id="171529564">
                      <w:marLeft w:val="0"/>
                      <w:marRight w:val="0"/>
                      <w:marTop w:val="0"/>
                      <w:marBottom w:val="0"/>
                      <w:divBdr>
                        <w:top w:val="none" w:sz="0" w:space="0" w:color="auto"/>
                        <w:left w:val="none" w:sz="0" w:space="0" w:color="auto"/>
                        <w:bottom w:val="none" w:sz="0" w:space="0" w:color="auto"/>
                        <w:right w:val="none" w:sz="0" w:space="0" w:color="auto"/>
                      </w:divBdr>
                    </w:div>
                    <w:div w:id="187571786">
                      <w:marLeft w:val="0"/>
                      <w:marRight w:val="0"/>
                      <w:marTop w:val="0"/>
                      <w:marBottom w:val="0"/>
                      <w:divBdr>
                        <w:top w:val="none" w:sz="0" w:space="0" w:color="auto"/>
                        <w:left w:val="none" w:sz="0" w:space="0" w:color="auto"/>
                        <w:bottom w:val="none" w:sz="0" w:space="0" w:color="auto"/>
                        <w:right w:val="none" w:sz="0" w:space="0" w:color="auto"/>
                      </w:divBdr>
                    </w:div>
                    <w:div w:id="315497856">
                      <w:marLeft w:val="0"/>
                      <w:marRight w:val="0"/>
                      <w:marTop w:val="0"/>
                      <w:marBottom w:val="0"/>
                      <w:divBdr>
                        <w:top w:val="none" w:sz="0" w:space="0" w:color="auto"/>
                        <w:left w:val="none" w:sz="0" w:space="0" w:color="auto"/>
                        <w:bottom w:val="none" w:sz="0" w:space="0" w:color="auto"/>
                        <w:right w:val="none" w:sz="0" w:space="0" w:color="auto"/>
                      </w:divBdr>
                    </w:div>
                    <w:div w:id="562183754">
                      <w:marLeft w:val="0"/>
                      <w:marRight w:val="0"/>
                      <w:marTop w:val="0"/>
                      <w:marBottom w:val="0"/>
                      <w:divBdr>
                        <w:top w:val="none" w:sz="0" w:space="0" w:color="auto"/>
                        <w:left w:val="none" w:sz="0" w:space="0" w:color="auto"/>
                        <w:bottom w:val="none" w:sz="0" w:space="0" w:color="auto"/>
                        <w:right w:val="none" w:sz="0" w:space="0" w:color="auto"/>
                      </w:divBdr>
                    </w:div>
                    <w:div w:id="573781439">
                      <w:marLeft w:val="0"/>
                      <w:marRight w:val="0"/>
                      <w:marTop w:val="0"/>
                      <w:marBottom w:val="0"/>
                      <w:divBdr>
                        <w:top w:val="none" w:sz="0" w:space="0" w:color="auto"/>
                        <w:left w:val="none" w:sz="0" w:space="0" w:color="auto"/>
                        <w:bottom w:val="none" w:sz="0" w:space="0" w:color="auto"/>
                        <w:right w:val="none" w:sz="0" w:space="0" w:color="auto"/>
                      </w:divBdr>
                    </w:div>
                    <w:div w:id="933710280">
                      <w:marLeft w:val="0"/>
                      <w:marRight w:val="0"/>
                      <w:marTop w:val="0"/>
                      <w:marBottom w:val="0"/>
                      <w:divBdr>
                        <w:top w:val="none" w:sz="0" w:space="0" w:color="auto"/>
                        <w:left w:val="none" w:sz="0" w:space="0" w:color="auto"/>
                        <w:bottom w:val="none" w:sz="0" w:space="0" w:color="auto"/>
                        <w:right w:val="none" w:sz="0" w:space="0" w:color="auto"/>
                      </w:divBdr>
                    </w:div>
                    <w:div w:id="1022584869">
                      <w:marLeft w:val="0"/>
                      <w:marRight w:val="0"/>
                      <w:marTop w:val="0"/>
                      <w:marBottom w:val="0"/>
                      <w:divBdr>
                        <w:top w:val="none" w:sz="0" w:space="0" w:color="auto"/>
                        <w:left w:val="none" w:sz="0" w:space="0" w:color="auto"/>
                        <w:bottom w:val="none" w:sz="0" w:space="0" w:color="auto"/>
                        <w:right w:val="none" w:sz="0" w:space="0" w:color="auto"/>
                      </w:divBdr>
                    </w:div>
                    <w:div w:id="1105464335">
                      <w:marLeft w:val="0"/>
                      <w:marRight w:val="0"/>
                      <w:marTop w:val="0"/>
                      <w:marBottom w:val="0"/>
                      <w:divBdr>
                        <w:top w:val="none" w:sz="0" w:space="0" w:color="auto"/>
                        <w:left w:val="none" w:sz="0" w:space="0" w:color="auto"/>
                        <w:bottom w:val="none" w:sz="0" w:space="0" w:color="auto"/>
                        <w:right w:val="none" w:sz="0" w:space="0" w:color="auto"/>
                      </w:divBdr>
                    </w:div>
                    <w:div w:id="1155143191">
                      <w:marLeft w:val="0"/>
                      <w:marRight w:val="0"/>
                      <w:marTop w:val="0"/>
                      <w:marBottom w:val="0"/>
                      <w:divBdr>
                        <w:top w:val="none" w:sz="0" w:space="0" w:color="auto"/>
                        <w:left w:val="none" w:sz="0" w:space="0" w:color="auto"/>
                        <w:bottom w:val="none" w:sz="0" w:space="0" w:color="auto"/>
                        <w:right w:val="none" w:sz="0" w:space="0" w:color="auto"/>
                      </w:divBdr>
                    </w:div>
                    <w:div w:id="1213810439">
                      <w:marLeft w:val="0"/>
                      <w:marRight w:val="0"/>
                      <w:marTop w:val="0"/>
                      <w:marBottom w:val="0"/>
                      <w:divBdr>
                        <w:top w:val="none" w:sz="0" w:space="0" w:color="auto"/>
                        <w:left w:val="none" w:sz="0" w:space="0" w:color="auto"/>
                        <w:bottom w:val="none" w:sz="0" w:space="0" w:color="auto"/>
                        <w:right w:val="none" w:sz="0" w:space="0" w:color="auto"/>
                      </w:divBdr>
                    </w:div>
                    <w:div w:id="1344437442">
                      <w:marLeft w:val="0"/>
                      <w:marRight w:val="0"/>
                      <w:marTop w:val="0"/>
                      <w:marBottom w:val="0"/>
                      <w:divBdr>
                        <w:top w:val="none" w:sz="0" w:space="0" w:color="auto"/>
                        <w:left w:val="none" w:sz="0" w:space="0" w:color="auto"/>
                        <w:bottom w:val="none" w:sz="0" w:space="0" w:color="auto"/>
                        <w:right w:val="none" w:sz="0" w:space="0" w:color="auto"/>
                      </w:divBdr>
                    </w:div>
                    <w:div w:id="1398480909">
                      <w:marLeft w:val="0"/>
                      <w:marRight w:val="0"/>
                      <w:marTop w:val="0"/>
                      <w:marBottom w:val="0"/>
                      <w:divBdr>
                        <w:top w:val="none" w:sz="0" w:space="0" w:color="auto"/>
                        <w:left w:val="none" w:sz="0" w:space="0" w:color="auto"/>
                        <w:bottom w:val="none" w:sz="0" w:space="0" w:color="auto"/>
                        <w:right w:val="none" w:sz="0" w:space="0" w:color="auto"/>
                      </w:divBdr>
                    </w:div>
                    <w:div w:id="1522933676">
                      <w:marLeft w:val="0"/>
                      <w:marRight w:val="0"/>
                      <w:marTop w:val="0"/>
                      <w:marBottom w:val="0"/>
                      <w:divBdr>
                        <w:top w:val="none" w:sz="0" w:space="0" w:color="auto"/>
                        <w:left w:val="none" w:sz="0" w:space="0" w:color="auto"/>
                        <w:bottom w:val="none" w:sz="0" w:space="0" w:color="auto"/>
                        <w:right w:val="none" w:sz="0" w:space="0" w:color="auto"/>
                      </w:divBdr>
                    </w:div>
                  </w:divsChild>
                </w:div>
                <w:div w:id="2146582987">
                  <w:marLeft w:val="0"/>
                  <w:marRight w:val="0"/>
                  <w:marTop w:val="0"/>
                  <w:marBottom w:val="0"/>
                  <w:divBdr>
                    <w:top w:val="none" w:sz="0" w:space="0" w:color="auto"/>
                    <w:left w:val="none" w:sz="0" w:space="0" w:color="auto"/>
                    <w:bottom w:val="none" w:sz="0" w:space="0" w:color="auto"/>
                    <w:right w:val="none" w:sz="0" w:space="0" w:color="auto"/>
                  </w:divBdr>
                  <w:divsChild>
                    <w:div w:id="63768426">
                      <w:marLeft w:val="0"/>
                      <w:marRight w:val="0"/>
                      <w:marTop w:val="0"/>
                      <w:marBottom w:val="0"/>
                      <w:divBdr>
                        <w:top w:val="none" w:sz="0" w:space="0" w:color="auto"/>
                        <w:left w:val="none" w:sz="0" w:space="0" w:color="auto"/>
                        <w:bottom w:val="none" w:sz="0" w:space="0" w:color="auto"/>
                        <w:right w:val="none" w:sz="0" w:space="0" w:color="auto"/>
                      </w:divBdr>
                    </w:div>
                  </w:divsChild>
                </w:div>
                <w:div w:id="2146845265">
                  <w:marLeft w:val="0"/>
                  <w:marRight w:val="0"/>
                  <w:marTop w:val="0"/>
                  <w:marBottom w:val="0"/>
                  <w:divBdr>
                    <w:top w:val="none" w:sz="0" w:space="0" w:color="auto"/>
                    <w:left w:val="none" w:sz="0" w:space="0" w:color="auto"/>
                    <w:bottom w:val="none" w:sz="0" w:space="0" w:color="auto"/>
                    <w:right w:val="none" w:sz="0" w:space="0" w:color="auto"/>
                  </w:divBdr>
                  <w:divsChild>
                    <w:div w:id="1481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74936">
          <w:marLeft w:val="0"/>
          <w:marRight w:val="0"/>
          <w:marTop w:val="0"/>
          <w:marBottom w:val="0"/>
          <w:divBdr>
            <w:top w:val="none" w:sz="0" w:space="0" w:color="auto"/>
            <w:left w:val="none" w:sz="0" w:space="0" w:color="auto"/>
            <w:bottom w:val="none" w:sz="0" w:space="0" w:color="auto"/>
            <w:right w:val="none" w:sz="0" w:space="0" w:color="auto"/>
          </w:divBdr>
        </w:div>
      </w:divsChild>
    </w:div>
    <w:div w:id="1385065350">
      <w:bodyDiv w:val="1"/>
      <w:marLeft w:val="0"/>
      <w:marRight w:val="0"/>
      <w:marTop w:val="0"/>
      <w:marBottom w:val="0"/>
      <w:divBdr>
        <w:top w:val="none" w:sz="0" w:space="0" w:color="auto"/>
        <w:left w:val="none" w:sz="0" w:space="0" w:color="auto"/>
        <w:bottom w:val="none" w:sz="0" w:space="0" w:color="auto"/>
        <w:right w:val="none" w:sz="0" w:space="0" w:color="auto"/>
      </w:divBdr>
      <w:divsChild>
        <w:div w:id="553124236">
          <w:marLeft w:val="0"/>
          <w:marRight w:val="0"/>
          <w:marTop w:val="0"/>
          <w:marBottom w:val="0"/>
          <w:divBdr>
            <w:top w:val="none" w:sz="0" w:space="0" w:color="auto"/>
            <w:left w:val="none" w:sz="0" w:space="0" w:color="auto"/>
            <w:bottom w:val="none" w:sz="0" w:space="0" w:color="auto"/>
            <w:right w:val="none" w:sz="0" w:space="0" w:color="auto"/>
          </w:divBdr>
        </w:div>
        <w:div w:id="721371009">
          <w:marLeft w:val="0"/>
          <w:marRight w:val="0"/>
          <w:marTop w:val="0"/>
          <w:marBottom w:val="0"/>
          <w:divBdr>
            <w:top w:val="none" w:sz="0" w:space="0" w:color="auto"/>
            <w:left w:val="none" w:sz="0" w:space="0" w:color="auto"/>
            <w:bottom w:val="none" w:sz="0" w:space="0" w:color="auto"/>
            <w:right w:val="none" w:sz="0" w:space="0" w:color="auto"/>
          </w:divBdr>
        </w:div>
        <w:div w:id="1229615423">
          <w:marLeft w:val="0"/>
          <w:marRight w:val="0"/>
          <w:marTop w:val="0"/>
          <w:marBottom w:val="0"/>
          <w:divBdr>
            <w:top w:val="none" w:sz="0" w:space="0" w:color="auto"/>
            <w:left w:val="none" w:sz="0" w:space="0" w:color="auto"/>
            <w:bottom w:val="none" w:sz="0" w:space="0" w:color="auto"/>
            <w:right w:val="none" w:sz="0" w:space="0" w:color="auto"/>
          </w:divBdr>
          <w:divsChild>
            <w:div w:id="1576238918">
              <w:marLeft w:val="-75"/>
              <w:marRight w:val="0"/>
              <w:marTop w:val="30"/>
              <w:marBottom w:val="30"/>
              <w:divBdr>
                <w:top w:val="none" w:sz="0" w:space="0" w:color="auto"/>
                <w:left w:val="none" w:sz="0" w:space="0" w:color="auto"/>
                <w:bottom w:val="none" w:sz="0" w:space="0" w:color="auto"/>
                <w:right w:val="none" w:sz="0" w:space="0" w:color="auto"/>
              </w:divBdr>
              <w:divsChild>
                <w:div w:id="6567536">
                  <w:marLeft w:val="0"/>
                  <w:marRight w:val="0"/>
                  <w:marTop w:val="0"/>
                  <w:marBottom w:val="0"/>
                  <w:divBdr>
                    <w:top w:val="none" w:sz="0" w:space="0" w:color="auto"/>
                    <w:left w:val="none" w:sz="0" w:space="0" w:color="auto"/>
                    <w:bottom w:val="none" w:sz="0" w:space="0" w:color="auto"/>
                    <w:right w:val="none" w:sz="0" w:space="0" w:color="auto"/>
                  </w:divBdr>
                  <w:divsChild>
                    <w:div w:id="324482252">
                      <w:marLeft w:val="0"/>
                      <w:marRight w:val="0"/>
                      <w:marTop w:val="0"/>
                      <w:marBottom w:val="0"/>
                      <w:divBdr>
                        <w:top w:val="none" w:sz="0" w:space="0" w:color="auto"/>
                        <w:left w:val="none" w:sz="0" w:space="0" w:color="auto"/>
                        <w:bottom w:val="none" w:sz="0" w:space="0" w:color="auto"/>
                        <w:right w:val="none" w:sz="0" w:space="0" w:color="auto"/>
                      </w:divBdr>
                    </w:div>
                  </w:divsChild>
                </w:div>
                <w:div w:id="13966657">
                  <w:marLeft w:val="0"/>
                  <w:marRight w:val="0"/>
                  <w:marTop w:val="0"/>
                  <w:marBottom w:val="0"/>
                  <w:divBdr>
                    <w:top w:val="none" w:sz="0" w:space="0" w:color="auto"/>
                    <w:left w:val="none" w:sz="0" w:space="0" w:color="auto"/>
                    <w:bottom w:val="none" w:sz="0" w:space="0" w:color="auto"/>
                    <w:right w:val="none" w:sz="0" w:space="0" w:color="auto"/>
                  </w:divBdr>
                  <w:divsChild>
                    <w:div w:id="1521430144">
                      <w:marLeft w:val="0"/>
                      <w:marRight w:val="0"/>
                      <w:marTop w:val="0"/>
                      <w:marBottom w:val="0"/>
                      <w:divBdr>
                        <w:top w:val="none" w:sz="0" w:space="0" w:color="auto"/>
                        <w:left w:val="none" w:sz="0" w:space="0" w:color="auto"/>
                        <w:bottom w:val="none" w:sz="0" w:space="0" w:color="auto"/>
                        <w:right w:val="none" w:sz="0" w:space="0" w:color="auto"/>
                      </w:divBdr>
                    </w:div>
                  </w:divsChild>
                </w:div>
                <w:div w:id="14892947">
                  <w:marLeft w:val="0"/>
                  <w:marRight w:val="0"/>
                  <w:marTop w:val="0"/>
                  <w:marBottom w:val="0"/>
                  <w:divBdr>
                    <w:top w:val="none" w:sz="0" w:space="0" w:color="auto"/>
                    <w:left w:val="none" w:sz="0" w:space="0" w:color="auto"/>
                    <w:bottom w:val="none" w:sz="0" w:space="0" w:color="auto"/>
                    <w:right w:val="none" w:sz="0" w:space="0" w:color="auto"/>
                  </w:divBdr>
                  <w:divsChild>
                    <w:div w:id="698942244">
                      <w:marLeft w:val="0"/>
                      <w:marRight w:val="0"/>
                      <w:marTop w:val="0"/>
                      <w:marBottom w:val="0"/>
                      <w:divBdr>
                        <w:top w:val="none" w:sz="0" w:space="0" w:color="auto"/>
                        <w:left w:val="none" w:sz="0" w:space="0" w:color="auto"/>
                        <w:bottom w:val="none" w:sz="0" w:space="0" w:color="auto"/>
                        <w:right w:val="none" w:sz="0" w:space="0" w:color="auto"/>
                      </w:divBdr>
                    </w:div>
                  </w:divsChild>
                </w:div>
                <w:div w:id="37779278">
                  <w:marLeft w:val="0"/>
                  <w:marRight w:val="0"/>
                  <w:marTop w:val="0"/>
                  <w:marBottom w:val="0"/>
                  <w:divBdr>
                    <w:top w:val="none" w:sz="0" w:space="0" w:color="auto"/>
                    <w:left w:val="none" w:sz="0" w:space="0" w:color="auto"/>
                    <w:bottom w:val="none" w:sz="0" w:space="0" w:color="auto"/>
                    <w:right w:val="none" w:sz="0" w:space="0" w:color="auto"/>
                  </w:divBdr>
                  <w:divsChild>
                    <w:div w:id="912157033">
                      <w:marLeft w:val="0"/>
                      <w:marRight w:val="0"/>
                      <w:marTop w:val="0"/>
                      <w:marBottom w:val="0"/>
                      <w:divBdr>
                        <w:top w:val="none" w:sz="0" w:space="0" w:color="auto"/>
                        <w:left w:val="none" w:sz="0" w:space="0" w:color="auto"/>
                        <w:bottom w:val="none" w:sz="0" w:space="0" w:color="auto"/>
                        <w:right w:val="none" w:sz="0" w:space="0" w:color="auto"/>
                      </w:divBdr>
                    </w:div>
                  </w:divsChild>
                </w:div>
                <w:div w:id="43604162">
                  <w:marLeft w:val="0"/>
                  <w:marRight w:val="0"/>
                  <w:marTop w:val="0"/>
                  <w:marBottom w:val="0"/>
                  <w:divBdr>
                    <w:top w:val="none" w:sz="0" w:space="0" w:color="auto"/>
                    <w:left w:val="none" w:sz="0" w:space="0" w:color="auto"/>
                    <w:bottom w:val="none" w:sz="0" w:space="0" w:color="auto"/>
                    <w:right w:val="none" w:sz="0" w:space="0" w:color="auto"/>
                  </w:divBdr>
                  <w:divsChild>
                    <w:div w:id="128666436">
                      <w:marLeft w:val="0"/>
                      <w:marRight w:val="0"/>
                      <w:marTop w:val="0"/>
                      <w:marBottom w:val="0"/>
                      <w:divBdr>
                        <w:top w:val="none" w:sz="0" w:space="0" w:color="auto"/>
                        <w:left w:val="none" w:sz="0" w:space="0" w:color="auto"/>
                        <w:bottom w:val="none" w:sz="0" w:space="0" w:color="auto"/>
                        <w:right w:val="none" w:sz="0" w:space="0" w:color="auto"/>
                      </w:divBdr>
                    </w:div>
                  </w:divsChild>
                </w:div>
                <w:div w:id="50928534">
                  <w:marLeft w:val="0"/>
                  <w:marRight w:val="0"/>
                  <w:marTop w:val="0"/>
                  <w:marBottom w:val="0"/>
                  <w:divBdr>
                    <w:top w:val="none" w:sz="0" w:space="0" w:color="auto"/>
                    <w:left w:val="none" w:sz="0" w:space="0" w:color="auto"/>
                    <w:bottom w:val="none" w:sz="0" w:space="0" w:color="auto"/>
                    <w:right w:val="none" w:sz="0" w:space="0" w:color="auto"/>
                  </w:divBdr>
                  <w:divsChild>
                    <w:div w:id="1692875780">
                      <w:marLeft w:val="0"/>
                      <w:marRight w:val="0"/>
                      <w:marTop w:val="0"/>
                      <w:marBottom w:val="0"/>
                      <w:divBdr>
                        <w:top w:val="none" w:sz="0" w:space="0" w:color="auto"/>
                        <w:left w:val="none" w:sz="0" w:space="0" w:color="auto"/>
                        <w:bottom w:val="none" w:sz="0" w:space="0" w:color="auto"/>
                        <w:right w:val="none" w:sz="0" w:space="0" w:color="auto"/>
                      </w:divBdr>
                    </w:div>
                  </w:divsChild>
                </w:div>
                <w:div w:id="77799078">
                  <w:marLeft w:val="0"/>
                  <w:marRight w:val="0"/>
                  <w:marTop w:val="0"/>
                  <w:marBottom w:val="0"/>
                  <w:divBdr>
                    <w:top w:val="none" w:sz="0" w:space="0" w:color="auto"/>
                    <w:left w:val="none" w:sz="0" w:space="0" w:color="auto"/>
                    <w:bottom w:val="none" w:sz="0" w:space="0" w:color="auto"/>
                    <w:right w:val="none" w:sz="0" w:space="0" w:color="auto"/>
                  </w:divBdr>
                  <w:divsChild>
                    <w:div w:id="1562326787">
                      <w:marLeft w:val="0"/>
                      <w:marRight w:val="0"/>
                      <w:marTop w:val="0"/>
                      <w:marBottom w:val="0"/>
                      <w:divBdr>
                        <w:top w:val="none" w:sz="0" w:space="0" w:color="auto"/>
                        <w:left w:val="none" w:sz="0" w:space="0" w:color="auto"/>
                        <w:bottom w:val="none" w:sz="0" w:space="0" w:color="auto"/>
                        <w:right w:val="none" w:sz="0" w:space="0" w:color="auto"/>
                      </w:divBdr>
                    </w:div>
                  </w:divsChild>
                </w:div>
                <w:div w:id="78841258">
                  <w:marLeft w:val="0"/>
                  <w:marRight w:val="0"/>
                  <w:marTop w:val="0"/>
                  <w:marBottom w:val="0"/>
                  <w:divBdr>
                    <w:top w:val="none" w:sz="0" w:space="0" w:color="auto"/>
                    <w:left w:val="none" w:sz="0" w:space="0" w:color="auto"/>
                    <w:bottom w:val="none" w:sz="0" w:space="0" w:color="auto"/>
                    <w:right w:val="none" w:sz="0" w:space="0" w:color="auto"/>
                  </w:divBdr>
                  <w:divsChild>
                    <w:div w:id="1839228792">
                      <w:marLeft w:val="0"/>
                      <w:marRight w:val="0"/>
                      <w:marTop w:val="0"/>
                      <w:marBottom w:val="0"/>
                      <w:divBdr>
                        <w:top w:val="none" w:sz="0" w:space="0" w:color="auto"/>
                        <w:left w:val="none" w:sz="0" w:space="0" w:color="auto"/>
                        <w:bottom w:val="none" w:sz="0" w:space="0" w:color="auto"/>
                        <w:right w:val="none" w:sz="0" w:space="0" w:color="auto"/>
                      </w:divBdr>
                    </w:div>
                  </w:divsChild>
                </w:div>
                <w:div w:id="129396883">
                  <w:marLeft w:val="0"/>
                  <w:marRight w:val="0"/>
                  <w:marTop w:val="0"/>
                  <w:marBottom w:val="0"/>
                  <w:divBdr>
                    <w:top w:val="none" w:sz="0" w:space="0" w:color="auto"/>
                    <w:left w:val="none" w:sz="0" w:space="0" w:color="auto"/>
                    <w:bottom w:val="none" w:sz="0" w:space="0" w:color="auto"/>
                    <w:right w:val="none" w:sz="0" w:space="0" w:color="auto"/>
                  </w:divBdr>
                  <w:divsChild>
                    <w:div w:id="545876706">
                      <w:marLeft w:val="0"/>
                      <w:marRight w:val="0"/>
                      <w:marTop w:val="0"/>
                      <w:marBottom w:val="0"/>
                      <w:divBdr>
                        <w:top w:val="none" w:sz="0" w:space="0" w:color="auto"/>
                        <w:left w:val="none" w:sz="0" w:space="0" w:color="auto"/>
                        <w:bottom w:val="none" w:sz="0" w:space="0" w:color="auto"/>
                        <w:right w:val="none" w:sz="0" w:space="0" w:color="auto"/>
                      </w:divBdr>
                    </w:div>
                  </w:divsChild>
                </w:div>
                <w:div w:id="159583652">
                  <w:marLeft w:val="0"/>
                  <w:marRight w:val="0"/>
                  <w:marTop w:val="0"/>
                  <w:marBottom w:val="0"/>
                  <w:divBdr>
                    <w:top w:val="none" w:sz="0" w:space="0" w:color="auto"/>
                    <w:left w:val="none" w:sz="0" w:space="0" w:color="auto"/>
                    <w:bottom w:val="none" w:sz="0" w:space="0" w:color="auto"/>
                    <w:right w:val="none" w:sz="0" w:space="0" w:color="auto"/>
                  </w:divBdr>
                  <w:divsChild>
                    <w:div w:id="954557447">
                      <w:marLeft w:val="0"/>
                      <w:marRight w:val="0"/>
                      <w:marTop w:val="0"/>
                      <w:marBottom w:val="0"/>
                      <w:divBdr>
                        <w:top w:val="none" w:sz="0" w:space="0" w:color="auto"/>
                        <w:left w:val="none" w:sz="0" w:space="0" w:color="auto"/>
                        <w:bottom w:val="none" w:sz="0" w:space="0" w:color="auto"/>
                        <w:right w:val="none" w:sz="0" w:space="0" w:color="auto"/>
                      </w:divBdr>
                    </w:div>
                  </w:divsChild>
                </w:div>
                <w:div w:id="161897148">
                  <w:marLeft w:val="0"/>
                  <w:marRight w:val="0"/>
                  <w:marTop w:val="0"/>
                  <w:marBottom w:val="0"/>
                  <w:divBdr>
                    <w:top w:val="none" w:sz="0" w:space="0" w:color="auto"/>
                    <w:left w:val="none" w:sz="0" w:space="0" w:color="auto"/>
                    <w:bottom w:val="none" w:sz="0" w:space="0" w:color="auto"/>
                    <w:right w:val="none" w:sz="0" w:space="0" w:color="auto"/>
                  </w:divBdr>
                  <w:divsChild>
                    <w:div w:id="270285778">
                      <w:marLeft w:val="0"/>
                      <w:marRight w:val="0"/>
                      <w:marTop w:val="0"/>
                      <w:marBottom w:val="0"/>
                      <w:divBdr>
                        <w:top w:val="none" w:sz="0" w:space="0" w:color="auto"/>
                        <w:left w:val="none" w:sz="0" w:space="0" w:color="auto"/>
                        <w:bottom w:val="none" w:sz="0" w:space="0" w:color="auto"/>
                        <w:right w:val="none" w:sz="0" w:space="0" w:color="auto"/>
                      </w:divBdr>
                    </w:div>
                  </w:divsChild>
                </w:div>
                <w:div w:id="177740364">
                  <w:marLeft w:val="0"/>
                  <w:marRight w:val="0"/>
                  <w:marTop w:val="0"/>
                  <w:marBottom w:val="0"/>
                  <w:divBdr>
                    <w:top w:val="none" w:sz="0" w:space="0" w:color="auto"/>
                    <w:left w:val="none" w:sz="0" w:space="0" w:color="auto"/>
                    <w:bottom w:val="none" w:sz="0" w:space="0" w:color="auto"/>
                    <w:right w:val="none" w:sz="0" w:space="0" w:color="auto"/>
                  </w:divBdr>
                  <w:divsChild>
                    <w:div w:id="1400787687">
                      <w:marLeft w:val="0"/>
                      <w:marRight w:val="0"/>
                      <w:marTop w:val="0"/>
                      <w:marBottom w:val="0"/>
                      <w:divBdr>
                        <w:top w:val="none" w:sz="0" w:space="0" w:color="auto"/>
                        <w:left w:val="none" w:sz="0" w:space="0" w:color="auto"/>
                        <w:bottom w:val="none" w:sz="0" w:space="0" w:color="auto"/>
                        <w:right w:val="none" w:sz="0" w:space="0" w:color="auto"/>
                      </w:divBdr>
                    </w:div>
                  </w:divsChild>
                </w:div>
                <w:div w:id="185339759">
                  <w:marLeft w:val="0"/>
                  <w:marRight w:val="0"/>
                  <w:marTop w:val="0"/>
                  <w:marBottom w:val="0"/>
                  <w:divBdr>
                    <w:top w:val="none" w:sz="0" w:space="0" w:color="auto"/>
                    <w:left w:val="none" w:sz="0" w:space="0" w:color="auto"/>
                    <w:bottom w:val="none" w:sz="0" w:space="0" w:color="auto"/>
                    <w:right w:val="none" w:sz="0" w:space="0" w:color="auto"/>
                  </w:divBdr>
                  <w:divsChild>
                    <w:div w:id="223874119">
                      <w:marLeft w:val="0"/>
                      <w:marRight w:val="0"/>
                      <w:marTop w:val="0"/>
                      <w:marBottom w:val="0"/>
                      <w:divBdr>
                        <w:top w:val="none" w:sz="0" w:space="0" w:color="auto"/>
                        <w:left w:val="none" w:sz="0" w:space="0" w:color="auto"/>
                        <w:bottom w:val="none" w:sz="0" w:space="0" w:color="auto"/>
                        <w:right w:val="none" w:sz="0" w:space="0" w:color="auto"/>
                      </w:divBdr>
                    </w:div>
                  </w:divsChild>
                </w:div>
                <w:div w:id="188643854">
                  <w:marLeft w:val="0"/>
                  <w:marRight w:val="0"/>
                  <w:marTop w:val="0"/>
                  <w:marBottom w:val="0"/>
                  <w:divBdr>
                    <w:top w:val="none" w:sz="0" w:space="0" w:color="auto"/>
                    <w:left w:val="none" w:sz="0" w:space="0" w:color="auto"/>
                    <w:bottom w:val="none" w:sz="0" w:space="0" w:color="auto"/>
                    <w:right w:val="none" w:sz="0" w:space="0" w:color="auto"/>
                  </w:divBdr>
                  <w:divsChild>
                    <w:div w:id="611327604">
                      <w:marLeft w:val="0"/>
                      <w:marRight w:val="0"/>
                      <w:marTop w:val="0"/>
                      <w:marBottom w:val="0"/>
                      <w:divBdr>
                        <w:top w:val="none" w:sz="0" w:space="0" w:color="auto"/>
                        <w:left w:val="none" w:sz="0" w:space="0" w:color="auto"/>
                        <w:bottom w:val="none" w:sz="0" w:space="0" w:color="auto"/>
                        <w:right w:val="none" w:sz="0" w:space="0" w:color="auto"/>
                      </w:divBdr>
                    </w:div>
                    <w:div w:id="913667519">
                      <w:marLeft w:val="0"/>
                      <w:marRight w:val="0"/>
                      <w:marTop w:val="0"/>
                      <w:marBottom w:val="0"/>
                      <w:divBdr>
                        <w:top w:val="none" w:sz="0" w:space="0" w:color="auto"/>
                        <w:left w:val="none" w:sz="0" w:space="0" w:color="auto"/>
                        <w:bottom w:val="none" w:sz="0" w:space="0" w:color="auto"/>
                        <w:right w:val="none" w:sz="0" w:space="0" w:color="auto"/>
                      </w:divBdr>
                    </w:div>
                    <w:div w:id="1227566156">
                      <w:marLeft w:val="0"/>
                      <w:marRight w:val="0"/>
                      <w:marTop w:val="0"/>
                      <w:marBottom w:val="0"/>
                      <w:divBdr>
                        <w:top w:val="none" w:sz="0" w:space="0" w:color="auto"/>
                        <w:left w:val="none" w:sz="0" w:space="0" w:color="auto"/>
                        <w:bottom w:val="none" w:sz="0" w:space="0" w:color="auto"/>
                        <w:right w:val="none" w:sz="0" w:space="0" w:color="auto"/>
                      </w:divBdr>
                    </w:div>
                    <w:div w:id="1285768154">
                      <w:marLeft w:val="0"/>
                      <w:marRight w:val="0"/>
                      <w:marTop w:val="0"/>
                      <w:marBottom w:val="0"/>
                      <w:divBdr>
                        <w:top w:val="none" w:sz="0" w:space="0" w:color="auto"/>
                        <w:left w:val="none" w:sz="0" w:space="0" w:color="auto"/>
                        <w:bottom w:val="none" w:sz="0" w:space="0" w:color="auto"/>
                        <w:right w:val="none" w:sz="0" w:space="0" w:color="auto"/>
                      </w:divBdr>
                    </w:div>
                    <w:div w:id="1301810198">
                      <w:marLeft w:val="0"/>
                      <w:marRight w:val="0"/>
                      <w:marTop w:val="0"/>
                      <w:marBottom w:val="0"/>
                      <w:divBdr>
                        <w:top w:val="none" w:sz="0" w:space="0" w:color="auto"/>
                        <w:left w:val="none" w:sz="0" w:space="0" w:color="auto"/>
                        <w:bottom w:val="none" w:sz="0" w:space="0" w:color="auto"/>
                        <w:right w:val="none" w:sz="0" w:space="0" w:color="auto"/>
                      </w:divBdr>
                    </w:div>
                    <w:div w:id="1404524410">
                      <w:marLeft w:val="0"/>
                      <w:marRight w:val="0"/>
                      <w:marTop w:val="0"/>
                      <w:marBottom w:val="0"/>
                      <w:divBdr>
                        <w:top w:val="none" w:sz="0" w:space="0" w:color="auto"/>
                        <w:left w:val="none" w:sz="0" w:space="0" w:color="auto"/>
                        <w:bottom w:val="none" w:sz="0" w:space="0" w:color="auto"/>
                        <w:right w:val="none" w:sz="0" w:space="0" w:color="auto"/>
                      </w:divBdr>
                    </w:div>
                    <w:div w:id="1974675142">
                      <w:marLeft w:val="0"/>
                      <w:marRight w:val="0"/>
                      <w:marTop w:val="0"/>
                      <w:marBottom w:val="0"/>
                      <w:divBdr>
                        <w:top w:val="none" w:sz="0" w:space="0" w:color="auto"/>
                        <w:left w:val="none" w:sz="0" w:space="0" w:color="auto"/>
                        <w:bottom w:val="none" w:sz="0" w:space="0" w:color="auto"/>
                        <w:right w:val="none" w:sz="0" w:space="0" w:color="auto"/>
                      </w:divBdr>
                    </w:div>
                  </w:divsChild>
                </w:div>
                <w:div w:id="198015523">
                  <w:marLeft w:val="0"/>
                  <w:marRight w:val="0"/>
                  <w:marTop w:val="0"/>
                  <w:marBottom w:val="0"/>
                  <w:divBdr>
                    <w:top w:val="none" w:sz="0" w:space="0" w:color="auto"/>
                    <w:left w:val="none" w:sz="0" w:space="0" w:color="auto"/>
                    <w:bottom w:val="none" w:sz="0" w:space="0" w:color="auto"/>
                    <w:right w:val="none" w:sz="0" w:space="0" w:color="auto"/>
                  </w:divBdr>
                  <w:divsChild>
                    <w:div w:id="263193834">
                      <w:marLeft w:val="0"/>
                      <w:marRight w:val="0"/>
                      <w:marTop w:val="0"/>
                      <w:marBottom w:val="0"/>
                      <w:divBdr>
                        <w:top w:val="none" w:sz="0" w:space="0" w:color="auto"/>
                        <w:left w:val="none" w:sz="0" w:space="0" w:color="auto"/>
                        <w:bottom w:val="none" w:sz="0" w:space="0" w:color="auto"/>
                        <w:right w:val="none" w:sz="0" w:space="0" w:color="auto"/>
                      </w:divBdr>
                    </w:div>
                  </w:divsChild>
                </w:div>
                <w:div w:id="205333342">
                  <w:marLeft w:val="0"/>
                  <w:marRight w:val="0"/>
                  <w:marTop w:val="0"/>
                  <w:marBottom w:val="0"/>
                  <w:divBdr>
                    <w:top w:val="none" w:sz="0" w:space="0" w:color="auto"/>
                    <w:left w:val="none" w:sz="0" w:space="0" w:color="auto"/>
                    <w:bottom w:val="none" w:sz="0" w:space="0" w:color="auto"/>
                    <w:right w:val="none" w:sz="0" w:space="0" w:color="auto"/>
                  </w:divBdr>
                  <w:divsChild>
                    <w:div w:id="503669377">
                      <w:marLeft w:val="0"/>
                      <w:marRight w:val="0"/>
                      <w:marTop w:val="0"/>
                      <w:marBottom w:val="0"/>
                      <w:divBdr>
                        <w:top w:val="none" w:sz="0" w:space="0" w:color="auto"/>
                        <w:left w:val="none" w:sz="0" w:space="0" w:color="auto"/>
                        <w:bottom w:val="none" w:sz="0" w:space="0" w:color="auto"/>
                        <w:right w:val="none" w:sz="0" w:space="0" w:color="auto"/>
                      </w:divBdr>
                    </w:div>
                  </w:divsChild>
                </w:div>
                <w:div w:id="210311495">
                  <w:marLeft w:val="0"/>
                  <w:marRight w:val="0"/>
                  <w:marTop w:val="0"/>
                  <w:marBottom w:val="0"/>
                  <w:divBdr>
                    <w:top w:val="none" w:sz="0" w:space="0" w:color="auto"/>
                    <w:left w:val="none" w:sz="0" w:space="0" w:color="auto"/>
                    <w:bottom w:val="none" w:sz="0" w:space="0" w:color="auto"/>
                    <w:right w:val="none" w:sz="0" w:space="0" w:color="auto"/>
                  </w:divBdr>
                  <w:divsChild>
                    <w:div w:id="1453204760">
                      <w:marLeft w:val="0"/>
                      <w:marRight w:val="0"/>
                      <w:marTop w:val="0"/>
                      <w:marBottom w:val="0"/>
                      <w:divBdr>
                        <w:top w:val="none" w:sz="0" w:space="0" w:color="auto"/>
                        <w:left w:val="none" w:sz="0" w:space="0" w:color="auto"/>
                        <w:bottom w:val="none" w:sz="0" w:space="0" w:color="auto"/>
                        <w:right w:val="none" w:sz="0" w:space="0" w:color="auto"/>
                      </w:divBdr>
                    </w:div>
                  </w:divsChild>
                </w:div>
                <w:div w:id="215246354">
                  <w:marLeft w:val="0"/>
                  <w:marRight w:val="0"/>
                  <w:marTop w:val="0"/>
                  <w:marBottom w:val="0"/>
                  <w:divBdr>
                    <w:top w:val="none" w:sz="0" w:space="0" w:color="auto"/>
                    <w:left w:val="none" w:sz="0" w:space="0" w:color="auto"/>
                    <w:bottom w:val="none" w:sz="0" w:space="0" w:color="auto"/>
                    <w:right w:val="none" w:sz="0" w:space="0" w:color="auto"/>
                  </w:divBdr>
                  <w:divsChild>
                    <w:div w:id="1925065284">
                      <w:marLeft w:val="0"/>
                      <w:marRight w:val="0"/>
                      <w:marTop w:val="0"/>
                      <w:marBottom w:val="0"/>
                      <w:divBdr>
                        <w:top w:val="none" w:sz="0" w:space="0" w:color="auto"/>
                        <w:left w:val="none" w:sz="0" w:space="0" w:color="auto"/>
                        <w:bottom w:val="none" w:sz="0" w:space="0" w:color="auto"/>
                        <w:right w:val="none" w:sz="0" w:space="0" w:color="auto"/>
                      </w:divBdr>
                    </w:div>
                  </w:divsChild>
                </w:div>
                <w:div w:id="240255397">
                  <w:marLeft w:val="0"/>
                  <w:marRight w:val="0"/>
                  <w:marTop w:val="0"/>
                  <w:marBottom w:val="0"/>
                  <w:divBdr>
                    <w:top w:val="none" w:sz="0" w:space="0" w:color="auto"/>
                    <w:left w:val="none" w:sz="0" w:space="0" w:color="auto"/>
                    <w:bottom w:val="none" w:sz="0" w:space="0" w:color="auto"/>
                    <w:right w:val="none" w:sz="0" w:space="0" w:color="auto"/>
                  </w:divBdr>
                  <w:divsChild>
                    <w:div w:id="145630995">
                      <w:marLeft w:val="0"/>
                      <w:marRight w:val="0"/>
                      <w:marTop w:val="0"/>
                      <w:marBottom w:val="0"/>
                      <w:divBdr>
                        <w:top w:val="none" w:sz="0" w:space="0" w:color="auto"/>
                        <w:left w:val="none" w:sz="0" w:space="0" w:color="auto"/>
                        <w:bottom w:val="none" w:sz="0" w:space="0" w:color="auto"/>
                        <w:right w:val="none" w:sz="0" w:space="0" w:color="auto"/>
                      </w:divBdr>
                    </w:div>
                  </w:divsChild>
                </w:div>
                <w:div w:id="244188875">
                  <w:marLeft w:val="0"/>
                  <w:marRight w:val="0"/>
                  <w:marTop w:val="0"/>
                  <w:marBottom w:val="0"/>
                  <w:divBdr>
                    <w:top w:val="none" w:sz="0" w:space="0" w:color="auto"/>
                    <w:left w:val="none" w:sz="0" w:space="0" w:color="auto"/>
                    <w:bottom w:val="none" w:sz="0" w:space="0" w:color="auto"/>
                    <w:right w:val="none" w:sz="0" w:space="0" w:color="auto"/>
                  </w:divBdr>
                  <w:divsChild>
                    <w:div w:id="600837204">
                      <w:marLeft w:val="0"/>
                      <w:marRight w:val="0"/>
                      <w:marTop w:val="0"/>
                      <w:marBottom w:val="0"/>
                      <w:divBdr>
                        <w:top w:val="none" w:sz="0" w:space="0" w:color="auto"/>
                        <w:left w:val="none" w:sz="0" w:space="0" w:color="auto"/>
                        <w:bottom w:val="none" w:sz="0" w:space="0" w:color="auto"/>
                        <w:right w:val="none" w:sz="0" w:space="0" w:color="auto"/>
                      </w:divBdr>
                    </w:div>
                  </w:divsChild>
                </w:div>
                <w:div w:id="258023362">
                  <w:marLeft w:val="0"/>
                  <w:marRight w:val="0"/>
                  <w:marTop w:val="0"/>
                  <w:marBottom w:val="0"/>
                  <w:divBdr>
                    <w:top w:val="none" w:sz="0" w:space="0" w:color="auto"/>
                    <w:left w:val="none" w:sz="0" w:space="0" w:color="auto"/>
                    <w:bottom w:val="none" w:sz="0" w:space="0" w:color="auto"/>
                    <w:right w:val="none" w:sz="0" w:space="0" w:color="auto"/>
                  </w:divBdr>
                  <w:divsChild>
                    <w:div w:id="42676925">
                      <w:marLeft w:val="0"/>
                      <w:marRight w:val="0"/>
                      <w:marTop w:val="0"/>
                      <w:marBottom w:val="0"/>
                      <w:divBdr>
                        <w:top w:val="none" w:sz="0" w:space="0" w:color="auto"/>
                        <w:left w:val="none" w:sz="0" w:space="0" w:color="auto"/>
                        <w:bottom w:val="none" w:sz="0" w:space="0" w:color="auto"/>
                        <w:right w:val="none" w:sz="0" w:space="0" w:color="auto"/>
                      </w:divBdr>
                    </w:div>
                  </w:divsChild>
                </w:div>
                <w:div w:id="298993695">
                  <w:marLeft w:val="0"/>
                  <w:marRight w:val="0"/>
                  <w:marTop w:val="0"/>
                  <w:marBottom w:val="0"/>
                  <w:divBdr>
                    <w:top w:val="none" w:sz="0" w:space="0" w:color="auto"/>
                    <w:left w:val="none" w:sz="0" w:space="0" w:color="auto"/>
                    <w:bottom w:val="none" w:sz="0" w:space="0" w:color="auto"/>
                    <w:right w:val="none" w:sz="0" w:space="0" w:color="auto"/>
                  </w:divBdr>
                  <w:divsChild>
                    <w:div w:id="846795914">
                      <w:marLeft w:val="0"/>
                      <w:marRight w:val="0"/>
                      <w:marTop w:val="0"/>
                      <w:marBottom w:val="0"/>
                      <w:divBdr>
                        <w:top w:val="none" w:sz="0" w:space="0" w:color="auto"/>
                        <w:left w:val="none" w:sz="0" w:space="0" w:color="auto"/>
                        <w:bottom w:val="none" w:sz="0" w:space="0" w:color="auto"/>
                        <w:right w:val="none" w:sz="0" w:space="0" w:color="auto"/>
                      </w:divBdr>
                    </w:div>
                  </w:divsChild>
                </w:div>
                <w:div w:id="301859163">
                  <w:marLeft w:val="0"/>
                  <w:marRight w:val="0"/>
                  <w:marTop w:val="0"/>
                  <w:marBottom w:val="0"/>
                  <w:divBdr>
                    <w:top w:val="none" w:sz="0" w:space="0" w:color="auto"/>
                    <w:left w:val="none" w:sz="0" w:space="0" w:color="auto"/>
                    <w:bottom w:val="none" w:sz="0" w:space="0" w:color="auto"/>
                    <w:right w:val="none" w:sz="0" w:space="0" w:color="auto"/>
                  </w:divBdr>
                  <w:divsChild>
                    <w:div w:id="1477213393">
                      <w:marLeft w:val="0"/>
                      <w:marRight w:val="0"/>
                      <w:marTop w:val="0"/>
                      <w:marBottom w:val="0"/>
                      <w:divBdr>
                        <w:top w:val="none" w:sz="0" w:space="0" w:color="auto"/>
                        <w:left w:val="none" w:sz="0" w:space="0" w:color="auto"/>
                        <w:bottom w:val="none" w:sz="0" w:space="0" w:color="auto"/>
                        <w:right w:val="none" w:sz="0" w:space="0" w:color="auto"/>
                      </w:divBdr>
                    </w:div>
                  </w:divsChild>
                </w:div>
                <w:div w:id="335571840">
                  <w:marLeft w:val="0"/>
                  <w:marRight w:val="0"/>
                  <w:marTop w:val="0"/>
                  <w:marBottom w:val="0"/>
                  <w:divBdr>
                    <w:top w:val="none" w:sz="0" w:space="0" w:color="auto"/>
                    <w:left w:val="none" w:sz="0" w:space="0" w:color="auto"/>
                    <w:bottom w:val="none" w:sz="0" w:space="0" w:color="auto"/>
                    <w:right w:val="none" w:sz="0" w:space="0" w:color="auto"/>
                  </w:divBdr>
                  <w:divsChild>
                    <w:div w:id="2123305248">
                      <w:marLeft w:val="0"/>
                      <w:marRight w:val="0"/>
                      <w:marTop w:val="0"/>
                      <w:marBottom w:val="0"/>
                      <w:divBdr>
                        <w:top w:val="none" w:sz="0" w:space="0" w:color="auto"/>
                        <w:left w:val="none" w:sz="0" w:space="0" w:color="auto"/>
                        <w:bottom w:val="none" w:sz="0" w:space="0" w:color="auto"/>
                        <w:right w:val="none" w:sz="0" w:space="0" w:color="auto"/>
                      </w:divBdr>
                    </w:div>
                  </w:divsChild>
                </w:div>
                <w:div w:id="340206968">
                  <w:marLeft w:val="0"/>
                  <w:marRight w:val="0"/>
                  <w:marTop w:val="0"/>
                  <w:marBottom w:val="0"/>
                  <w:divBdr>
                    <w:top w:val="none" w:sz="0" w:space="0" w:color="auto"/>
                    <w:left w:val="none" w:sz="0" w:space="0" w:color="auto"/>
                    <w:bottom w:val="none" w:sz="0" w:space="0" w:color="auto"/>
                    <w:right w:val="none" w:sz="0" w:space="0" w:color="auto"/>
                  </w:divBdr>
                  <w:divsChild>
                    <w:div w:id="236551774">
                      <w:marLeft w:val="0"/>
                      <w:marRight w:val="0"/>
                      <w:marTop w:val="0"/>
                      <w:marBottom w:val="0"/>
                      <w:divBdr>
                        <w:top w:val="none" w:sz="0" w:space="0" w:color="auto"/>
                        <w:left w:val="none" w:sz="0" w:space="0" w:color="auto"/>
                        <w:bottom w:val="none" w:sz="0" w:space="0" w:color="auto"/>
                        <w:right w:val="none" w:sz="0" w:space="0" w:color="auto"/>
                      </w:divBdr>
                    </w:div>
                  </w:divsChild>
                </w:div>
                <w:div w:id="367072684">
                  <w:marLeft w:val="0"/>
                  <w:marRight w:val="0"/>
                  <w:marTop w:val="0"/>
                  <w:marBottom w:val="0"/>
                  <w:divBdr>
                    <w:top w:val="none" w:sz="0" w:space="0" w:color="auto"/>
                    <w:left w:val="none" w:sz="0" w:space="0" w:color="auto"/>
                    <w:bottom w:val="none" w:sz="0" w:space="0" w:color="auto"/>
                    <w:right w:val="none" w:sz="0" w:space="0" w:color="auto"/>
                  </w:divBdr>
                  <w:divsChild>
                    <w:div w:id="1674646199">
                      <w:marLeft w:val="0"/>
                      <w:marRight w:val="0"/>
                      <w:marTop w:val="0"/>
                      <w:marBottom w:val="0"/>
                      <w:divBdr>
                        <w:top w:val="none" w:sz="0" w:space="0" w:color="auto"/>
                        <w:left w:val="none" w:sz="0" w:space="0" w:color="auto"/>
                        <w:bottom w:val="none" w:sz="0" w:space="0" w:color="auto"/>
                        <w:right w:val="none" w:sz="0" w:space="0" w:color="auto"/>
                      </w:divBdr>
                    </w:div>
                  </w:divsChild>
                </w:div>
                <w:div w:id="370614935">
                  <w:marLeft w:val="0"/>
                  <w:marRight w:val="0"/>
                  <w:marTop w:val="0"/>
                  <w:marBottom w:val="0"/>
                  <w:divBdr>
                    <w:top w:val="none" w:sz="0" w:space="0" w:color="auto"/>
                    <w:left w:val="none" w:sz="0" w:space="0" w:color="auto"/>
                    <w:bottom w:val="none" w:sz="0" w:space="0" w:color="auto"/>
                    <w:right w:val="none" w:sz="0" w:space="0" w:color="auto"/>
                  </w:divBdr>
                  <w:divsChild>
                    <w:div w:id="834805125">
                      <w:marLeft w:val="0"/>
                      <w:marRight w:val="0"/>
                      <w:marTop w:val="0"/>
                      <w:marBottom w:val="0"/>
                      <w:divBdr>
                        <w:top w:val="none" w:sz="0" w:space="0" w:color="auto"/>
                        <w:left w:val="none" w:sz="0" w:space="0" w:color="auto"/>
                        <w:bottom w:val="none" w:sz="0" w:space="0" w:color="auto"/>
                        <w:right w:val="none" w:sz="0" w:space="0" w:color="auto"/>
                      </w:divBdr>
                    </w:div>
                  </w:divsChild>
                </w:div>
                <w:div w:id="382412588">
                  <w:marLeft w:val="0"/>
                  <w:marRight w:val="0"/>
                  <w:marTop w:val="0"/>
                  <w:marBottom w:val="0"/>
                  <w:divBdr>
                    <w:top w:val="none" w:sz="0" w:space="0" w:color="auto"/>
                    <w:left w:val="none" w:sz="0" w:space="0" w:color="auto"/>
                    <w:bottom w:val="none" w:sz="0" w:space="0" w:color="auto"/>
                    <w:right w:val="none" w:sz="0" w:space="0" w:color="auto"/>
                  </w:divBdr>
                  <w:divsChild>
                    <w:div w:id="1970040523">
                      <w:marLeft w:val="0"/>
                      <w:marRight w:val="0"/>
                      <w:marTop w:val="0"/>
                      <w:marBottom w:val="0"/>
                      <w:divBdr>
                        <w:top w:val="none" w:sz="0" w:space="0" w:color="auto"/>
                        <w:left w:val="none" w:sz="0" w:space="0" w:color="auto"/>
                        <w:bottom w:val="none" w:sz="0" w:space="0" w:color="auto"/>
                        <w:right w:val="none" w:sz="0" w:space="0" w:color="auto"/>
                      </w:divBdr>
                    </w:div>
                  </w:divsChild>
                </w:div>
                <w:div w:id="386729235">
                  <w:marLeft w:val="0"/>
                  <w:marRight w:val="0"/>
                  <w:marTop w:val="0"/>
                  <w:marBottom w:val="0"/>
                  <w:divBdr>
                    <w:top w:val="none" w:sz="0" w:space="0" w:color="auto"/>
                    <w:left w:val="none" w:sz="0" w:space="0" w:color="auto"/>
                    <w:bottom w:val="none" w:sz="0" w:space="0" w:color="auto"/>
                    <w:right w:val="none" w:sz="0" w:space="0" w:color="auto"/>
                  </w:divBdr>
                  <w:divsChild>
                    <w:div w:id="500656816">
                      <w:marLeft w:val="0"/>
                      <w:marRight w:val="0"/>
                      <w:marTop w:val="0"/>
                      <w:marBottom w:val="0"/>
                      <w:divBdr>
                        <w:top w:val="none" w:sz="0" w:space="0" w:color="auto"/>
                        <w:left w:val="none" w:sz="0" w:space="0" w:color="auto"/>
                        <w:bottom w:val="none" w:sz="0" w:space="0" w:color="auto"/>
                        <w:right w:val="none" w:sz="0" w:space="0" w:color="auto"/>
                      </w:divBdr>
                    </w:div>
                  </w:divsChild>
                </w:div>
                <w:div w:id="389812573">
                  <w:marLeft w:val="0"/>
                  <w:marRight w:val="0"/>
                  <w:marTop w:val="0"/>
                  <w:marBottom w:val="0"/>
                  <w:divBdr>
                    <w:top w:val="none" w:sz="0" w:space="0" w:color="auto"/>
                    <w:left w:val="none" w:sz="0" w:space="0" w:color="auto"/>
                    <w:bottom w:val="none" w:sz="0" w:space="0" w:color="auto"/>
                    <w:right w:val="none" w:sz="0" w:space="0" w:color="auto"/>
                  </w:divBdr>
                  <w:divsChild>
                    <w:div w:id="1819809030">
                      <w:marLeft w:val="0"/>
                      <w:marRight w:val="0"/>
                      <w:marTop w:val="0"/>
                      <w:marBottom w:val="0"/>
                      <w:divBdr>
                        <w:top w:val="none" w:sz="0" w:space="0" w:color="auto"/>
                        <w:left w:val="none" w:sz="0" w:space="0" w:color="auto"/>
                        <w:bottom w:val="none" w:sz="0" w:space="0" w:color="auto"/>
                        <w:right w:val="none" w:sz="0" w:space="0" w:color="auto"/>
                      </w:divBdr>
                    </w:div>
                  </w:divsChild>
                </w:div>
                <w:div w:id="424346710">
                  <w:marLeft w:val="0"/>
                  <w:marRight w:val="0"/>
                  <w:marTop w:val="0"/>
                  <w:marBottom w:val="0"/>
                  <w:divBdr>
                    <w:top w:val="none" w:sz="0" w:space="0" w:color="auto"/>
                    <w:left w:val="none" w:sz="0" w:space="0" w:color="auto"/>
                    <w:bottom w:val="none" w:sz="0" w:space="0" w:color="auto"/>
                    <w:right w:val="none" w:sz="0" w:space="0" w:color="auto"/>
                  </w:divBdr>
                  <w:divsChild>
                    <w:div w:id="1728450795">
                      <w:marLeft w:val="0"/>
                      <w:marRight w:val="0"/>
                      <w:marTop w:val="0"/>
                      <w:marBottom w:val="0"/>
                      <w:divBdr>
                        <w:top w:val="none" w:sz="0" w:space="0" w:color="auto"/>
                        <w:left w:val="none" w:sz="0" w:space="0" w:color="auto"/>
                        <w:bottom w:val="none" w:sz="0" w:space="0" w:color="auto"/>
                        <w:right w:val="none" w:sz="0" w:space="0" w:color="auto"/>
                      </w:divBdr>
                    </w:div>
                  </w:divsChild>
                </w:div>
                <w:div w:id="431777940">
                  <w:marLeft w:val="0"/>
                  <w:marRight w:val="0"/>
                  <w:marTop w:val="0"/>
                  <w:marBottom w:val="0"/>
                  <w:divBdr>
                    <w:top w:val="none" w:sz="0" w:space="0" w:color="auto"/>
                    <w:left w:val="none" w:sz="0" w:space="0" w:color="auto"/>
                    <w:bottom w:val="none" w:sz="0" w:space="0" w:color="auto"/>
                    <w:right w:val="none" w:sz="0" w:space="0" w:color="auto"/>
                  </w:divBdr>
                  <w:divsChild>
                    <w:div w:id="1092748342">
                      <w:marLeft w:val="0"/>
                      <w:marRight w:val="0"/>
                      <w:marTop w:val="0"/>
                      <w:marBottom w:val="0"/>
                      <w:divBdr>
                        <w:top w:val="none" w:sz="0" w:space="0" w:color="auto"/>
                        <w:left w:val="none" w:sz="0" w:space="0" w:color="auto"/>
                        <w:bottom w:val="none" w:sz="0" w:space="0" w:color="auto"/>
                        <w:right w:val="none" w:sz="0" w:space="0" w:color="auto"/>
                      </w:divBdr>
                    </w:div>
                  </w:divsChild>
                </w:div>
                <w:div w:id="432626148">
                  <w:marLeft w:val="0"/>
                  <w:marRight w:val="0"/>
                  <w:marTop w:val="0"/>
                  <w:marBottom w:val="0"/>
                  <w:divBdr>
                    <w:top w:val="none" w:sz="0" w:space="0" w:color="auto"/>
                    <w:left w:val="none" w:sz="0" w:space="0" w:color="auto"/>
                    <w:bottom w:val="none" w:sz="0" w:space="0" w:color="auto"/>
                    <w:right w:val="none" w:sz="0" w:space="0" w:color="auto"/>
                  </w:divBdr>
                  <w:divsChild>
                    <w:div w:id="619533292">
                      <w:marLeft w:val="0"/>
                      <w:marRight w:val="0"/>
                      <w:marTop w:val="0"/>
                      <w:marBottom w:val="0"/>
                      <w:divBdr>
                        <w:top w:val="none" w:sz="0" w:space="0" w:color="auto"/>
                        <w:left w:val="none" w:sz="0" w:space="0" w:color="auto"/>
                        <w:bottom w:val="none" w:sz="0" w:space="0" w:color="auto"/>
                        <w:right w:val="none" w:sz="0" w:space="0" w:color="auto"/>
                      </w:divBdr>
                    </w:div>
                  </w:divsChild>
                </w:div>
                <w:div w:id="435560469">
                  <w:marLeft w:val="0"/>
                  <w:marRight w:val="0"/>
                  <w:marTop w:val="0"/>
                  <w:marBottom w:val="0"/>
                  <w:divBdr>
                    <w:top w:val="none" w:sz="0" w:space="0" w:color="auto"/>
                    <w:left w:val="none" w:sz="0" w:space="0" w:color="auto"/>
                    <w:bottom w:val="none" w:sz="0" w:space="0" w:color="auto"/>
                    <w:right w:val="none" w:sz="0" w:space="0" w:color="auto"/>
                  </w:divBdr>
                  <w:divsChild>
                    <w:div w:id="1726100911">
                      <w:marLeft w:val="0"/>
                      <w:marRight w:val="0"/>
                      <w:marTop w:val="0"/>
                      <w:marBottom w:val="0"/>
                      <w:divBdr>
                        <w:top w:val="none" w:sz="0" w:space="0" w:color="auto"/>
                        <w:left w:val="none" w:sz="0" w:space="0" w:color="auto"/>
                        <w:bottom w:val="none" w:sz="0" w:space="0" w:color="auto"/>
                        <w:right w:val="none" w:sz="0" w:space="0" w:color="auto"/>
                      </w:divBdr>
                    </w:div>
                  </w:divsChild>
                </w:div>
                <w:div w:id="438456156">
                  <w:marLeft w:val="0"/>
                  <w:marRight w:val="0"/>
                  <w:marTop w:val="0"/>
                  <w:marBottom w:val="0"/>
                  <w:divBdr>
                    <w:top w:val="none" w:sz="0" w:space="0" w:color="auto"/>
                    <w:left w:val="none" w:sz="0" w:space="0" w:color="auto"/>
                    <w:bottom w:val="none" w:sz="0" w:space="0" w:color="auto"/>
                    <w:right w:val="none" w:sz="0" w:space="0" w:color="auto"/>
                  </w:divBdr>
                  <w:divsChild>
                    <w:div w:id="773983630">
                      <w:marLeft w:val="0"/>
                      <w:marRight w:val="0"/>
                      <w:marTop w:val="0"/>
                      <w:marBottom w:val="0"/>
                      <w:divBdr>
                        <w:top w:val="none" w:sz="0" w:space="0" w:color="auto"/>
                        <w:left w:val="none" w:sz="0" w:space="0" w:color="auto"/>
                        <w:bottom w:val="none" w:sz="0" w:space="0" w:color="auto"/>
                        <w:right w:val="none" w:sz="0" w:space="0" w:color="auto"/>
                      </w:divBdr>
                    </w:div>
                  </w:divsChild>
                </w:div>
                <w:div w:id="439104394">
                  <w:marLeft w:val="0"/>
                  <w:marRight w:val="0"/>
                  <w:marTop w:val="0"/>
                  <w:marBottom w:val="0"/>
                  <w:divBdr>
                    <w:top w:val="none" w:sz="0" w:space="0" w:color="auto"/>
                    <w:left w:val="none" w:sz="0" w:space="0" w:color="auto"/>
                    <w:bottom w:val="none" w:sz="0" w:space="0" w:color="auto"/>
                    <w:right w:val="none" w:sz="0" w:space="0" w:color="auto"/>
                  </w:divBdr>
                  <w:divsChild>
                    <w:div w:id="338697639">
                      <w:marLeft w:val="0"/>
                      <w:marRight w:val="0"/>
                      <w:marTop w:val="0"/>
                      <w:marBottom w:val="0"/>
                      <w:divBdr>
                        <w:top w:val="none" w:sz="0" w:space="0" w:color="auto"/>
                        <w:left w:val="none" w:sz="0" w:space="0" w:color="auto"/>
                        <w:bottom w:val="none" w:sz="0" w:space="0" w:color="auto"/>
                        <w:right w:val="none" w:sz="0" w:space="0" w:color="auto"/>
                      </w:divBdr>
                    </w:div>
                  </w:divsChild>
                </w:div>
                <w:div w:id="440154314">
                  <w:marLeft w:val="0"/>
                  <w:marRight w:val="0"/>
                  <w:marTop w:val="0"/>
                  <w:marBottom w:val="0"/>
                  <w:divBdr>
                    <w:top w:val="none" w:sz="0" w:space="0" w:color="auto"/>
                    <w:left w:val="none" w:sz="0" w:space="0" w:color="auto"/>
                    <w:bottom w:val="none" w:sz="0" w:space="0" w:color="auto"/>
                    <w:right w:val="none" w:sz="0" w:space="0" w:color="auto"/>
                  </w:divBdr>
                  <w:divsChild>
                    <w:div w:id="1058167692">
                      <w:marLeft w:val="0"/>
                      <w:marRight w:val="0"/>
                      <w:marTop w:val="0"/>
                      <w:marBottom w:val="0"/>
                      <w:divBdr>
                        <w:top w:val="none" w:sz="0" w:space="0" w:color="auto"/>
                        <w:left w:val="none" w:sz="0" w:space="0" w:color="auto"/>
                        <w:bottom w:val="none" w:sz="0" w:space="0" w:color="auto"/>
                        <w:right w:val="none" w:sz="0" w:space="0" w:color="auto"/>
                      </w:divBdr>
                    </w:div>
                  </w:divsChild>
                </w:div>
                <w:div w:id="445151441">
                  <w:marLeft w:val="0"/>
                  <w:marRight w:val="0"/>
                  <w:marTop w:val="0"/>
                  <w:marBottom w:val="0"/>
                  <w:divBdr>
                    <w:top w:val="none" w:sz="0" w:space="0" w:color="auto"/>
                    <w:left w:val="none" w:sz="0" w:space="0" w:color="auto"/>
                    <w:bottom w:val="none" w:sz="0" w:space="0" w:color="auto"/>
                    <w:right w:val="none" w:sz="0" w:space="0" w:color="auto"/>
                  </w:divBdr>
                  <w:divsChild>
                    <w:div w:id="695354243">
                      <w:marLeft w:val="0"/>
                      <w:marRight w:val="0"/>
                      <w:marTop w:val="0"/>
                      <w:marBottom w:val="0"/>
                      <w:divBdr>
                        <w:top w:val="none" w:sz="0" w:space="0" w:color="auto"/>
                        <w:left w:val="none" w:sz="0" w:space="0" w:color="auto"/>
                        <w:bottom w:val="none" w:sz="0" w:space="0" w:color="auto"/>
                        <w:right w:val="none" w:sz="0" w:space="0" w:color="auto"/>
                      </w:divBdr>
                    </w:div>
                  </w:divsChild>
                </w:div>
                <w:div w:id="455418306">
                  <w:marLeft w:val="0"/>
                  <w:marRight w:val="0"/>
                  <w:marTop w:val="0"/>
                  <w:marBottom w:val="0"/>
                  <w:divBdr>
                    <w:top w:val="none" w:sz="0" w:space="0" w:color="auto"/>
                    <w:left w:val="none" w:sz="0" w:space="0" w:color="auto"/>
                    <w:bottom w:val="none" w:sz="0" w:space="0" w:color="auto"/>
                    <w:right w:val="none" w:sz="0" w:space="0" w:color="auto"/>
                  </w:divBdr>
                  <w:divsChild>
                    <w:div w:id="1245728120">
                      <w:marLeft w:val="0"/>
                      <w:marRight w:val="0"/>
                      <w:marTop w:val="0"/>
                      <w:marBottom w:val="0"/>
                      <w:divBdr>
                        <w:top w:val="none" w:sz="0" w:space="0" w:color="auto"/>
                        <w:left w:val="none" w:sz="0" w:space="0" w:color="auto"/>
                        <w:bottom w:val="none" w:sz="0" w:space="0" w:color="auto"/>
                        <w:right w:val="none" w:sz="0" w:space="0" w:color="auto"/>
                      </w:divBdr>
                    </w:div>
                  </w:divsChild>
                </w:div>
                <w:div w:id="456223926">
                  <w:marLeft w:val="0"/>
                  <w:marRight w:val="0"/>
                  <w:marTop w:val="0"/>
                  <w:marBottom w:val="0"/>
                  <w:divBdr>
                    <w:top w:val="none" w:sz="0" w:space="0" w:color="auto"/>
                    <w:left w:val="none" w:sz="0" w:space="0" w:color="auto"/>
                    <w:bottom w:val="none" w:sz="0" w:space="0" w:color="auto"/>
                    <w:right w:val="none" w:sz="0" w:space="0" w:color="auto"/>
                  </w:divBdr>
                  <w:divsChild>
                    <w:div w:id="658385406">
                      <w:marLeft w:val="0"/>
                      <w:marRight w:val="0"/>
                      <w:marTop w:val="0"/>
                      <w:marBottom w:val="0"/>
                      <w:divBdr>
                        <w:top w:val="none" w:sz="0" w:space="0" w:color="auto"/>
                        <w:left w:val="none" w:sz="0" w:space="0" w:color="auto"/>
                        <w:bottom w:val="none" w:sz="0" w:space="0" w:color="auto"/>
                        <w:right w:val="none" w:sz="0" w:space="0" w:color="auto"/>
                      </w:divBdr>
                    </w:div>
                  </w:divsChild>
                </w:div>
                <w:div w:id="476841553">
                  <w:marLeft w:val="0"/>
                  <w:marRight w:val="0"/>
                  <w:marTop w:val="0"/>
                  <w:marBottom w:val="0"/>
                  <w:divBdr>
                    <w:top w:val="none" w:sz="0" w:space="0" w:color="auto"/>
                    <w:left w:val="none" w:sz="0" w:space="0" w:color="auto"/>
                    <w:bottom w:val="none" w:sz="0" w:space="0" w:color="auto"/>
                    <w:right w:val="none" w:sz="0" w:space="0" w:color="auto"/>
                  </w:divBdr>
                  <w:divsChild>
                    <w:div w:id="1474787093">
                      <w:marLeft w:val="0"/>
                      <w:marRight w:val="0"/>
                      <w:marTop w:val="0"/>
                      <w:marBottom w:val="0"/>
                      <w:divBdr>
                        <w:top w:val="none" w:sz="0" w:space="0" w:color="auto"/>
                        <w:left w:val="none" w:sz="0" w:space="0" w:color="auto"/>
                        <w:bottom w:val="none" w:sz="0" w:space="0" w:color="auto"/>
                        <w:right w:val="none" w:sz="0" w:space="0" w:color="auto"/>
                      </w:divBdr>
                    </w:div>
                  </w:divsChild>
                </w:div>
                <w:div w:id="535044720">
                  <w:marLeft w:val="0"/>
                  <w:marRight w:val="0"/>
                  <w:marTop w:val="0"/>
                  <w:marBottom w:val="0"/>
                  <w:divBdr>
                    <w:top w:val="none" w:sz="0" w:space="0" w:color="auto"/>
                    <w:left w:val="none" w:sz="0" w:space="0" w:color="auto"/>
                    <w:bottom w:val="none" w:sz="0" w:space="0" w:color="auto"/>
                    <w:right w:val="none" w:sz="0" w:space="0" w:color="auto"/>
                  </w:divBdr>
                  <w:divsChild>
                    <w:div w:id="835807907">
                      <w:marLeft w:val="0"/>
                      <w:marRight w:val="0"/>
                      <w:marTop w:val="0"/>
                      <w:marBottom w:val="0"/>
                      <w:divBdr>
                        <w:top w:val="none" w:sz="0" w:space="0" w:color="auto"/>
                        <w:left w:val="none" w:sz="0" w:space="0" w:color="auto"/>
                        <w:bottom w:val="none" w:sz="0" w:space="0" w:color="auto"/>
                        <w:right w:val="none" w:sz="0" w:space="0" w:color="auto"/>
                      </w:divBdr>
                    </w:div>
                  </w:divsChild>
                </w:div>
                <w:div w:id="545721577">
                  <w:marLeft w:val="0"/>
                  <w:marRight w:val="0"/>
                  <w:marTop w:val="0"/>
                  <w:marBottom w:val="0"/>
                  <w:divBdr>
                    <w:top w:val="none" w:sz="0" w:space="0" w:color="auto"/>
                    <w:left w:val="none" w:sz="0" w:space="0" w:color="auto"/>
                    <w:bottom w:val="none" w:sz="0" w:space="0" w:color="auto"/>
                    <w:right w:val="none" w:sz="0" w:space="0" w:color="auto"/>
                  </w:divBdr>
                  <w:divsChild>
                    <w:div w:id="807632065">
                      <w:marLeft w:val="0"/>
                      <w:marRight w:val="0"/>
                      <w:marTop w:val="0"/>
                      <w:marBottom w:val="0"/>
                      <w:divBdr>
                        <w:top w:val="none" w:sz="0" w:space="0" w:color="auto"/>
                        <w:left w:val="none" w:sz="0" w:space="0" w:color="auto"/>
                        <w:bottom w:val="none" w:sz="0" w:space="0" w:color="auto"/>
                        <w:right w:val="none" w:sz="0" w:space="0" w:color="auto"/>
                      </w:divBdr>
                    </w:div>
                  </w:divsChild>
                </w:div>
                <w:div w:id="557282063">
                  <w:marLeft w:val="0"/>
                  <w:marRight w:val="0"/>
                  <w:marTop w:val="0"/>
                  <w:marBottom w:val="0"/>
                  <w:divBdr>
                    <w:top w:val="none" w:sz="0" w:space="0" w:color="auto"/>
                    <w:left w:val="none" w:sz="0" w:space="0" w:color="auto"/>
                    <w:bottom w:val="none" w:sz="0" w:space="0" w:color="auto"/>
                    <w:right w:val="none" w:sz="0" w:space="0" w:color="auto"/>
                  </w:divBdr>
                  <w:divsChild>
                    <w:div w:id="50423146">
                      <w:marLeft w:val="0"/>
                      <w:marRight w:val="0"/>
                      <w:marTop w:val="0"/>
                      <w:marBottom w:val="0"/>
                      <w:divBdr>
                        <w:top w:val="none" w:sz="0" w:space="0" w:color="auto"/>
                        <w:left w:val="none" w:sz="0" w:space="0" w:color="auto"/>
                        <w:bottom w:val="none" w:sz="0" w:space="0" w:color="auto"/>
                        <w:right w:val="none" w:sz="0" w:space="0" w:color="auto"/>
                      </w:divBdr>
                    </w:div>
                    <w:div w:id="565148831">
                      <w:marLeft w:val="0"/>
                      <w:marRight w:val="0"/>
                      <w:marTop w:val="0"/>
                      <w:marBottom w:val="0"/>
                      <w:divBdr>
                        <w:top w:val="none" w:sz="0" w:space="0" w:color="auto"/>
                        <w:left w:val="none" w:sz="0" w:space="0" w:color="auto"/>
                        <w:bottom w:val="none" w:sz="0" w:space="0" w:color="auto"/>
                        <w:right w:val="none" w:sz="0" w:space="0" w:color="auto"/>
                      </w:divBdr>
                    </w:div>
                    <w:div w:id="694960578">
                      <w:marLeft w:val="0"/>
                      <w:marRight w:val="0"/>
                      <w:marTop w:val="0"/>
                      <w:marBottom w:val="0"/>
                      <w:divBdr>
                        <w:top w:val="none" w:sz="0" w:space="0" w:color="auto"/>
                        <w:left w:val="none" w:sz="0" w:space="0" w:color="auto"/>
                        <w:bottom w:val="none" w:sz="0" w:space="0" w:color="auto"/>
                        <w:right w:val="none" w:sz="0" w:space="0" w:color="auto"/>
                      </w:divBdr>
                    </w:div>
                    <w:div w:id="977540091">
                      <w:marLeft w:val="0"/>
                      <w:marRight w:val="0"/>
                      <w:marTop w:val="0"/>
                      <w:marBottom w:val="0"/>
                      <w:divBdr>
                        <w:top w:val="none" w:sz="0" w:space="0" w:color="auto"/>
                        <w:left w:val="none" w:sz="0" w:space="0" w:color="auto"/>
                        <w:bottom w:val="none" w:sz="0" w:space="0" w:color="auto"/>
                        <w:right w:val="none" w:sz="0" w:space="0" w:color="auto"/>
                      </w:divBdr>
                    </w:div>
                    <w:div w:id="1205630460">
                      <w:marLeft w:val="0"/>
                      <w:marRight w:val="0"/>
                      <w:marTop w:val="0"/>
                      <w:marBottom w:val="0"/>
                      <w:divBdr>
                        <w:top w:val="none" w:sz="0" w:space="0" w:color="auto"/>
                        <w:left w:val="none" w:sz="0" w:space="0" w:color="auto"/>
                        <w:bottom w:val="none" w:sz="0" w:space="0" w:color="auto"/>
                        <w:right w:val="none" w:sz="0" w:space="0" w:color="auto"/>
                      </w:divBdr>
                    </w:div>
                    <w:div w:id="2013950899">
                      <w:marLeft w:val="0"/>
                      <w:marRight w:val="0"/>
                      <w:marTop w:val="0"/>
                      <w:marBottom w:val="0"/>
                      <w:divBdr>
                        <w:top w:val="none" w:sz="0" w:space="0" w:color="auto"/>
                        <w:left w:val="none" w:sz="0" w:space="0" w:color="auto"/>
                        <w:bottom w:val="none" w:sz="0" w:space="0" w:color="auto"/>
                        <w:right w:val="none" w:sz="0" w:space="0" w:color="auto"/>
                      </w:divBdr>
                    </w:div>
                    <w:div w:id="2047102999">
                      <w:marLeft w:val="0"/>
                      <w:marRight w:val="0"/>
                      <w:marTop w:val="0"/>
                      <w:marBottom w:val="0"/>
                      <w:divBdr>
                        <w:top w:val="none" w:sz="0" w:space="0" w:color="auto"/>
                        <w:left w:val="none" w:sz="0" w:space="0" w:color="auto"/>
                        <w:bottom w:val="none" w:sz="0" w:space="0" w:color="auto"/>
                        <w:right w:val="none" w:sz="0" w:space="0" w:color="auto"/>
                      </w:divBdr>
                    </w:div>
                  </w:divsChild>
                </w:div>
                <w:div w:id="558245750">
                  <w:marLeft w:val="0"/>
                  <w:marRight w:val="0"/>
                  <w:marTop w:val="0"/>
                  <w:marBottom w:val="0"/>
                  <w:divBdr>
                    <w:top w:val="none" w:sz="0" w:space="0" w:color="auto"/>
                    <w:left w:val="none" w:sz="0" w:space="0" w:color="auto"/>
                    <w:bottom w:val="none" w:sz="0" w:space="0" w:color="auto"/>
                    <w:right w:val="none" w:sz="0" w:space="0" w:color="auto"/>
                  </w:divBdr>
                  <w:divsChild>
                    <w:div w:id="265969268">
                      <w:marLeft w:val="0"/>
                      <w:marRight w:val="0"/>
                      <w:marTop w:val="0"/>
                      <w:marBottom w:val="0"/>
                      <w:divBdr>
                        <w:top w:val="none" w:sz="0" w:space="0" w:color="auto"/>
                        <w:left w:val="none" w:sz="0" w:space="0" w:color="auto"/>
                        <w:bottom w:val="none" w:sz="0" w:space="0" w:color="auto"/>
                        <w:right w:val="none" w:sz="0" w:space="0" w:color="auto"/>
                      </w:divBdr>
                    </w:div>
                  </w:divsChild>
                </w:div>
                <w:div w:id="576208653">
                  <w:marLeft w:val="0"/>
                  <w:marRight w:val="0"/>
                  <w:marTop w:val="0"/>
                  <w:marBottom w:val="0"/>
                  <w:divBdr>
                    <w:top w:val="none" w:sz="0" w:space="0" w:color="auto"/>
                    <w:left w:val="none" w:sz="0" w:space="0" w:color="auto"/>
                    <w:bottom w:val="none" w:sz="0" w:space="0" w:color="auto"/>
                    <w:right w:val="none" w:sz="0" w:space="0" w:color="auto"/>
                  </w:divBdr>
                  <w:divsChild>
                    <w:div w:id="1984430531">
                      <w:marLeft w:val="0"/>
                      <w:marRight w:val="0"/>
                      <w:marTop w:val="0"/>
                      <w:marBottom w:val="0"/>
                      <w:divBdr>
                        <w:top w:val="none" w:sz="0" w:space="0" w:color="auto"/>
                        <w:left w:val="none" w:sz="0" w:space="0" w:color="auto"/>
                        <w:bottom w:val="none" w:sz="0" w:space="0" w:color="auto"/>
                        <w:right w:val="none" w:sz="0" w:space="0" w:color="auto"/>
                      </w:divBdr>
                    </w:div>
                  </w:divsChild>
                </w:div>
                <w:div w:id="576979720">
                  <w:marLeft w:val="0"/>
                  <w:marRight w:val="0"/>
                  <w:marTop w:val="0"/>
                  <w:marBottom w:val="0"/>
                  <w:divBdr>
                    <w:top w:val="none" w:sz="0" w:space="0" w:color="auto"/>
                    <w:left w:val="none" w:sz="0" w:space="0" w:color="auto"/>
                    <w:bottom w:val="none" w:sz="0" w:space="0" w:color="auto"/>
                    <w:right w:val="none" w:sz="0" w:space="0" w:color="auto"/>
                  </w:divBdr>
                  <w:divsChild>
                    <w:div w:id="1656106211">
                      <w:marLeft w:val="0"/>
                      <w:marRight w:val="0"/>
                      <w:marTop w:val="0"/>
                      <w:marBottom w:val="0"/>
                      <w:divBdr>
                        <w:top w:val="none" w:sz="0" w:space="0" w:color="auto"/>
                        <w:left w:val="none" w:sz="0" w:space="0" w:color="auto"/>
                        <w:bottom w:val="none" w:sz="0" w:space="0" w:color="auto"/>
                        <w:right w:val="none" w:sz="0" w:space="0" w:color="auto"/>
                      </w:divBdr>
                    </w:div>
                  </w:divsChild>
                </w:div>
                <w:div w:id="632910887">
                  <w:marLeft w:val="0"/>
                  <w:marRight w:val="0"/>
                  <w:marTop w:val="0"/>
                  <w:marBottom w:val="0"/>
                  <w:divBdr>
                    <w:top w:val="none" w:sz="0" w:space="0" w:color="auto"/>
                    <w:left w:val="none" w:sz="0" w:space="0" w:color="auto"/>
                    <w:bottom w:val="none" w:sz="0" w:space="0" w:color="auto"/>
                    <w:right w:val="none" w:sz="0" w:space="0" w:color="auto"/>
                  </w:divBdr>
                  <w:divsChild>
                    <w:div w:id="416830551">
                      <w:marLeft w:val="0"/>
                      <w:marRight w:val="0"/>
                      <w:marTop w:val="0"/>
                      <w:marBottom w:val="0"/>
                      <w:divBdr>
                        <w:top w:val="none" w:sz="0" w:space="0" w:color="auto"/>
                        <w:left w:val="none" w:sz="0" w:space="0" w:color="auto"/>
                        <w:bottom w:val="none" w:sz="0" w:space="0" w:color="auto"/>
                        <w:right w:val="none" w:sz="0" w:space="0" w:color="auto"/>
                      </w:divBdr>
                    </w:div>
                  </w:divsChild>
                </w:div>
                <w:div w:id="634717308">
                  <w:marLeft w:val="0"/>
                  <w:marRight w:val="0"/>
                  <w:marTop w:val="0"/>
                  <w:marBottom w:val="0"/>
                  <w:divBdr>
                    <w:top w:val="none" w:sz="0" w:space="0" w:color="auto"/>
                    <w:left w:val="none" w:sz="0" w:space="0" w:color="auto"/>
                    <w:bottom w:val="none" w:sz="0" w:space="0" w:color="auto"/>
                    <w:right w:val="none" w:sz="0" w:space="0" w:color="auto"/>
                  </w:divBdr>
                  <w:divsChild>
                    <w:div w:id="1586495933">
                      <w:marLeft w:val="0"/>
                      <w:marRight w:val="0"/>
                      <w:marTop w:val="0"/>
                      <w:marBottom w:val="0"/>
                      <w:divBdr>
                        <w:top w:val="none" w:sz="0" w:space="0" w:color="auto"/>
                        <w:left w:val="none" w:sz="0" w:space="0" w:color="auto"/>
                        <w:bottom w:val="none" w:sz="0" w:space="0" w:color="auto"/>
                        <w:right w:val="none" w:sz="0" w:space="0" w:color="auto"/>
                      </w:divBdr>
                    </w:div>
                  </w:divsChild>
                </w:div>
                <w:div w:id="642395986">
                  <w:marLeft w:val="0"/>
                  <w:marRight w:val="0"/>
                  <w:marTop w:val="0"/>
                  <w:marBottom w:val="0"/>
                  <w:divBdr>
                    <w:top w:val="none" w:sz="0" w:space="0" w:color="auto"/>
                    <w:left w:val="none" w:sz="0" w:space="0" w:color="auto"/>
                    <w:bottom w:val="none" w:sz="0" w:space="0" w:color="auto"/>
                    <w:right w:val="none" w:sz="0" w:space="0" w:color="auto"/>
                  </w:divBdr>
                  <w:divsChild>
                    <w:div w:id="659501320">
                      <w:marLeft w:val="0"/>
                      <w:marRight w:val="0"/>
                      <w:marTop w:val="0"/>
                      <w:marBottom w:val="0"/>
                      <w:divBdr>
                        <w:top w:val="none" w:sz="0" w:space="0" w:color="auto"/>
                        <w:left w:val="none" w:sz="0" w:space="0" w:color="auto"/>
                        <w:bottom w:val="none" w:sz="0" w:space="0" w:color="auto"/>
                        <w:right w:val="none" w:sz="0" w:space="0" w:color="auto"/>
                      </w:divBdr>
                    </w:div>
                  </w:divsChild>
                </w:div>
                <w:div w:id="648486917">
                  <w:marLeft w:val="0"/>
                  <w:marRight w:val="0"/>
                  <w:marTop w:val="0"/>
                  <w:marBottom w:val="0"/>
                  <w:divBdr>
                    <w:top w:val="none" w:sz="0" w:space="0" w:color="auto"/>
                    <w:left w:val="none" w:sz="0" w:space="0" w:color="auto"/>
                    <w:bottom w:val="none" w:sz="0" w:space="0" w:color="auto"/>
                    <w:right w:val="none" w:sz="0" w:space="0" w:color="auto"/>
                  </w:divBdr>
                  <w:divsChild>
                    <w:div w:id="1083600781">
                      <w:marLeft w:val="0"/>
                      <w:marRight w:val="0"/>
                      <w:marTop w:val="0"/>
                      <w:marBottom w:val="0"/>
                      <w:divBdr>
                        <w:top w:val="none" w:sz="0" w:space="0" w:color="auto"/>
                        <w:left w:val="none" w:sz="0" w:space="0" w:color="auto"/>
                        <w:bottom w:val="none" w:sz="0" w:space="0" w:color="auto"/>
                        <w:right w:val="none" w:sz="0" w:space="0" w:color="auto"/>
                      </w:divBdr>
                    </w:div>
                  </w:divsChild>
                </w:div>
                <w:div w:id="654801841">
                  <w:marLeft w:val="0"/>
                  <w:marRight w:val="0"/>
                  <w:marTop w:val="0"/>
                  <w:marBottom w:val="0"/>
                  <w:divBdr>
                    <w:top w:val="none" w:sz="0" w:space="0" w:color="auto"/>
                    <w:left w:val="none" w:sz="0" w:space="0" w:color="auto"/>
                    <w:bottom w:val="none" w:sz="0" w:space="0" w:color="auto"/>
                    <w:right w:val="none" w:sz="0" w:space="0" w:color="auto"/>
                  </w:divBdr>
                  <w:divsChild>
                    <w:div w:id="1581138930">
                      <w:marLeft w:val="0"/>
                      <w:marRight w:val="0"/>
                      <w:marTop w:val="0"/>
                      <w:marBottom w:val="0"/>
                      <w:divBdr>
                        <w:top w:val="none" w:sz="0" w:space="0" w:color="auto"/>
                        <w:left w:val="none" w:sz="0" w:space="0" w:color="auto"/>
                        <w:bottom w:val="none" w:sz="0" w:space="0" w:color="auto"/>
                        <w:right w:val="none" w:sz="0" w:space="0" w:color="auto"/>
                      </w:divBdr>
                    </w:div>
                  </w:divsChild>
                </w:div>
                <w:div w:id="661929342">
                  <w:marLeft w:val="0"/>
                  <w:marRight w:val="0"/>
                  <w:marTop w:val="0"/>
                  <w:marBottom w:val="0"/>
                  <w:divBdr>
                    <w:top w:val="none" w:sz="0" w:space="0" w:color="auto"/>
                    <w:left w:val="none" w:sz="0" w:space="0" w:color="auto"/>
                    <w:bottom w:val="none" w:sz="0" w:space="0" w:color="auto"/>
                    <w:right w:val="none" w:sz="0" w:space="0" w:color="auto"/>
                  </w:divBdr>
                  <w:divsChild>
                    <w:div w:id="1023167024">
                      <w:marLeft w:val="0"/>
                      <w:marRight w:val="0"/>
                      <w:marTop w:val="0"/>
                      <w:marBottom w:val="0"/>
                      <w:divBdr>
                        <w:top w:val="none" w:sz="0" w:space="0" w:color="auto"/>
                        <w:left w:val="none" w:sz="0" w:space="0" w:color="auto"/>
                        <w:bottom w:val="none" w:sz="0" w:space="0" w:color="auto"/>
                        <w:right w:val="none" w:sz="0" w:space="0" w:color="auto"/>
                      </w:divBdr>
                    </w:div>
                  </w:divsChild>
                </w:div>
                <w:div w:id="668293955">
                  <w:marLeft w:val="0"/>
                  <w:marRight w:val="0"/>
                  <w:marTop w:val="0"/>
                  <w:marBottom w:val="0"/>
                  <w:divBdr>
                    <w:top w:val="none" w:sz="0" w:space="0" w:color="auto"/>
                    <w:left w:val="none" w:sz="0" w:space="0" w:color="auto"/>
                    <w:bottom w:val="none" w:sz="0" w:space="0" w:color="auto"/>
                    <w:right w:val="none" w:sz="0" w:space="0" w:color="auto"/>
                  </w:divBdr>
                  <w:divsChild>
                    <w:div w:id="1536309393">
                      <w:marLeft w:val="0"/>
                      <w:marRight w:val="0"/>
                      <w:marTop w:val="0"/>
                      <w:marBottom w:val="0"/>
                      <w:divBdr>
                        <w:top w:val="none" w:sz="0" w:space="0" w:color="auto"/>
                        <w:left w:val="none" w:sz="0" w:space="0" w:color="auto"/>
                        <w:bottom w:val="none" w:sz="0" w:space="0" w:color="auto"/>
                        <w:right w:val="none" w:sz="0" w:space="0" w:color="auto"/>
                      </w:divBdr>
                    </w:div>
                  </w:divsChild>
                </w:div>
                <w:div w:id="672607270">
                  <w:marLeft w:val="0"/>
                  <w:marRight w:val="0"/>
                  <w:marTop w:val="0"/>
                  <w:marBottom w:val="0"/>
                  <w:divBdr>
                    <w:top w:val="none" w:sz="0" w:space="0" w:color="auto"/>
                    <w:left w:val="none" w:sz="0" w:space="0" w:color="auto"/>
                    <w:bottom w:val="none" w:sz="0" w:space="0" w:color="auto"/>
                    <w:right w:val="none" w:sz="0" w:space="0" w:color="auto"/>
                  </w:divBdr>
                  <w:divsChild>
                    <w:div w:id="316307572">
                      <w:marLeft w:val="0"/>
                      <w:marRight w:val="0"/>
                      <w:marTop w:val="0"/>
                      <w:marBottom w:val="0"/>
                      <w:divBdr>
                        <w:top w:val="none" w:sz="0" w:space="0" w:color="auto"/>
                        <w:left w:val="none" w:sz="0" w:space="0" w:color="auto"/>
                        <w:bottom w:val="none" w:sz="0" w:space="0" w:color="auto"/>
                        <w:right w:val="none" w:sz="0" w:space="0" w:color="auto"/>
                      </w:divBdr>
                    </w:div>
                  </w:divsChild>
                </w:div>
                <w:div w:id="682435979">
                  <w:marLeft w:val="0"/>
                  <w:marRight w:val="0"/>
                  <w:marTop w:val="0"/>
                  <w:marBottom w:val="0"/>
                  <w:divBdr>
                    <w:top w:val="none" w:sz="0" w:space="0" w:color="auto"/>
                    <w:left w:val="none" w:sz="0" w:space="0" w:color="auto"/>
                    <w:bottom w:val="none" w:sz="0" w:space="0" w:color="auto"/>
                    <w:right w:val="none" w:sz="0" w:space="0" w:color="auto"/>
                  </w:divBdr>
                  <w:divsChild>
                    <w:div w:id="1730302923">
                      <w:marLeft w:val="0"/>
                      <w:marRight w:val="0"/>
                      <w:marTop w:val="0"/>
                      <w:marBottom w:val="0"/>
                      <w:divBdr>
                        <w:top w:val="none" w:sz="0" w:space="0" w:color="auto"/>
                        <w:left w:val="none" w:sz="0" w:space="0" w:color="auto"/>
                        <w:bottom w:val="none" w:sz="0" w:space="0" w:color="auto"/>
                        <w:right w:val="none" w:sz="0" w:space="0" w:color="auto"/>
                      </w:divBdr>
                    </w:div>
                  </w:divsChild>
                </w:div>
                <w:div w:id="696391119">
                  <w:marLeft w:val="0"/>
                  <w:marRight w:val="0"/>
                  <w:marTop w:val="0"/>
                  <w:marBottom w:val="0"/>
                  <w:divBdr>
                    <w:top w:val="none" w:sz="0" w:space="0" w:color="auto"/>
                    <w:left w:val="none" w:sz="0" w:space="0" w:color="auto"/>
                    <w:bottom w:val="none" w:sz="0" w:space="0" w:color="auto"/>
                    <w:right w:val="none" w:sz="0" w:space="0" w:color="auto"/>
                  </w:divBdr>
                  <w:divsChild>
                    <w:div w:id="1069112948">
                      <w:marLeft w:val="0"/>
                      <w:marRight w:val="0"/>
                      <w:marTop w:val="0"/>
                      <w:marBottom w:val="0"/>
                      <w:divBdr>
                        <w:top w:val="none" w:sz="0" w:space="0" w:color="auto"/>
                        <w:left w:val="none" w:sz="0" w:space="0" w:color="auto"/>
                        <w:bottom w:val="none" w:sz="0" w:space="0" w:color="auto"/>
                        <w:right w:val="none" w:sz="0" w:space="0" w:color="auto"/>
                      </w:divBdr>
                    </w:div>
                  </w:divsChild>
                </w:div>
                <w:div w:id="699286419">
                  <w:marLeft w:val="0"/>
                  <w:marRight w:val="0"/>
                  <w:marTop w:val="0"/>
                  <w:marBottom w:val="0"/>
                  <w:divBdr>
                    <w:top w:val="none" w:sz="0" w:space="0" w:color="auto"/>
                    <w:left w:val="none" w:sz="0" w:space="0" w:color="auto"/>
                    <w:bottom w:val="none" w:sz="0" w:space="0" w:color="auto"/>
                    <w:right w:val="none" w:sz="0" w:space="0" w:color="auto"/>
                  </w:divBdr>
                  <w:divsChild>
                    <w:div w:id="1194461903">
                      <w:marLeft w:val="0"/>
                      <w:marRight w:val="0"/>
                      <w:marTop w:val="0"/>
                      <w:marBottom w:val="0"/>
                      <w:divBdr>
                        <w:top w:val="none" w:sz="0" w:space="0" w:color="auto"/>
                        <w:left w:val="none" w:sz="0" w:space="0" w:color="auto"/>
                        <w:bottom w:val="none" w:sz="0" w:space="0" w:color="auto"/>
                        <w:right w:val="none" w:sz="0" w:space="0" w:color="auto"/>
                      </w:divBdr>
                    </w:div>
                  </w:divsChild>
                </w:div>
                <w:div w:id="700283374">
                  <w:marLeft w:val="0"/>
                  <w:marRight w:val="0"/>
                  <w:marTop w:val="0"/>
                  <w:marBottom w:val="0"/>
                  <w:divBdr>
                    <w:top w:val="none" w:sz="0" w:space="0" w:color="auto"/>
                    <w:left w:val="none" w:sz="0" w:space="0" w:color="auto"/>
                    <w:bottom w:val="none" w:sz="0" w:space="0" w:color="auto"/>
                    <w:right w:val="none" w:sz="0" w:space="0" w:color="auto"/>
                  </w:divBdr>
                  <w:divsChild>
                    <w:div w:id="254943592">
                      <w:marLeft w:val="0"/>
                      <w:marRight w:val="0"/>
                      <w:marTop w:val="0"/>
                      <w:marBottom w:val="0"/>
                      <w:divBdr>
                        <w:top w:val="none" w:sz="0" w:space="0" w:color="auto"/>
                        <w:left w:val="none" w:sz="0" w:space="0" w:color="auto"/>
                        <w:bottom w:val="none" w:sz="0" w:space="0" w:color="auto"/>
                        <w:right w:val="none" w:sz="0" w:space="0" w:color="auto"/>
                      </w:divBdr>
                    </w:div>
                  </w:divsChild>
                </w:div>
                <w:div w:id="704210222">
                  <w:marLeft w:val="0"/>
                  <w:marRight w:val="0"/>
                  <w:marTop w:val="0"/>
                  <w:marBottom w:val="0"/>
                  <w:divBdr>
                    <w:top w:val="none" w:sz="0" w:space="0" w:color="auto"/>
                    <w:left w:val="none" w:sz="0" w:space="0" w:color="auto"/>
                    <w:bottom w:val="none" w:sz="0" w:space="0" w:color="auto"/>
                    <w:right w:val="none" w:sz="0" w:space="0" w:color="auto"/>
                  </w:divBdr>
                  <w:divsChild>
                    <w:div w:id="1445997345">
                      <w:marLeft w:val="0"/>
                      <w:marRight w:val="0"/>
                      <w:marTop w:val="0"/>
                      <w:marBottom w:val="0"/>
                      <w:divBdr>
                        <w:top w:val="none" w:sz="0" w:space="0" w:color="auto"/>
                        <w:left w:val="none" w:sz="0" w:space="0" w:color="auto"/>
                        <w:bottom w:val="none" w:sz="0" w:space="0" w:color="auto"/>
                        <w:right w:val="none" w:sz="0" w:space="0" w:color="auto"/>
                      </w:divBdr>
                    </w:div>
                  </w:divsChild>
                </w:div>
                <w:div w:id="720789906">
                  <w:marLeft w:val="0"/>
                  <w:marRight w:val="0"/>
                  <w:marTop w:val="0"/>
                  <w:marBottom w:val="0"/>
                  <w:divBdr>
                    <w:top w:val="none" w:sz="0" w:space="0" w:color="auto"/>
                    <w:left w:val="none" w:sz="0" w:space="0" w:color="auto"/>
                    <w:bottom w:val="none" w:sz="0" w:space="0" w:color="auto"/>
                    <w:right w:val="none" w:sz="0" w:space="0" w:color="auto"/>
                  </w:divBdr>
                  <w:divsChild>
                    <w:div w:id="426971422">
                      <w:marLeft w:val="0"/>
                      <w:marRight w:val="0"/>
                      <w:marTop w:val="0"/>
                      <w:marBottom w:val="0"/>
                      <w:divBdr>
                        <w:top w:val="none" w:sz="0" w:space="0" w:color="auto"/>
                        <w:left w:val="none" w:sz="0" w:space="0" w:color="auto"/>
                        <w:bottom w:val="none" w:sz="0" w:space="0" w:color="auto"/>
                        <w:right w:val="none" w:sz="0" w:space="0" w:color="auto"/>
                      </w:divBdr>
                    </w:div>
                  </w:divsChild>
                </w:div>
                <w:div w:id="729692213">
                  <w:marLeft w:val="0"/>
                  <w:marRight w:val="0"/>
                  <w:marTop w:val="0"/>
                  <w:marBottom w:val="0"/>
                  <w:divBdr>
                    <w:top w:val="none" w:sz="0" w:space="0" w:color="auto"/>
                    <w:left w:val="none" w:sz="0" w:space="0" w:color="auto"/>
                    <w:bottom w:val="none" w:sz="0" w:space="0" w:color="auto"/>
                    <w:right w:val="none" w:sz="0" w:space="0" w:color="auto"/>
                  </w:divBdr>
                  <w:divsChild>
                    <w:div w:id="342242766">
                      <w:marLeft w:val="0"/>
                      <w:marRight w:val="0"/>
                      <w:marTop w:val="0"/>
                      <w:marBottom w:val="0"/>
                      <w:divBdr>
                        <w:top w:val="none" w:sz="0" w:space="0" w:color="auto"/>
                        <w:left w:val="none" w:sz="0" w:space="0" w:color="auto"/>
                        <w:bottom w:val="none" w:sz="0" w:space="0" w:color="auto"/>
                        <w:right w:val="none" w:sz="0" w:space="0" w:color="auto"/>
                      </w:divBdr>
                    </w:div>
                  </w:divsChild>
                </w:div>
                <w:div w:id="738868716">
                  <w:marLeft w:val="0"/>
                  <w:marRight w:val="0"/>
                  <w:marTop w:val="0"/>
                  <w:marBottom w:val="0"/>
                  <w:divBdr>
                    <w:top w:val="none" w:sz="0" w:space="0" w:color="auto"/>
                    <w:left w:val="none" w:sz="0" w:space="0" w:color="auto"/>
                    <w:bottom w:val="none" w:sz="0" w:space="0" w:color="auto"/>
                    <w:right w:val="none" w:sz="0" w:space="0" w:color="auto"/>
                  </w:divBdr>
                  <w:divsChild>
                    <w:div w:id="1460371272">
                      <w:marLeft w:val="0"/>
                      <w:marRight w:val="0"/>
                      <w:marTop w:val="0"/>
                      <w:marBottom w:val="0"/>
                      <w:divBdr>
                        <w:top w:val="none" w:sz="0" w:space="0" w:color="auto"/>
                        <w:left w:val="none" w:sz="0" w:space="0" w:color="auto"/>
                        <w:bottom w:val="none" w:sz="0" w:space="0" w:color="auto"/>
                        <w:right w:val="none" w:sz="0" w:space="0" w:color="auto"/>
                      </w:divBdr>
                    </w:div>
                  </w:divsChild>
                </w:div>
                <w:div w:id="742340663">
                  <w:marLeft w:val="0"/>
                  <w:marRight w:val="0"/>
                  <w:marTop w:val="0"/>
                  <w:marBottom w:val="0"/>
                  <w:divBdr>
                    <w:top w:val="none" w:sz="0" w:space="0" w:color="auto"/>
                    <w:left w:val="none" w:sz="0" w:space="0" w:color="auto"/>
                    <w:bottom w:val="none" w:sz="0" w:space="0" w:color="auto"/>
                    <w:right w:val="none" w:sz="0" w:space="0" w:color="auto"/>
                  </w:divBdr>
                  <w:divsChild>
                    <w:div w:id="1331056026">
                      <w:marLeft w:val="0"/>
                      <w:marRight w:val="0"/>
                      <w:marTop w:val="0"/>
                      <w:marBottom w:val="0"/>
                      <w:divBdr>
                        <w:top w:val="none" w:sz="0" w:space="0" w:color="auto"/>
                        <w:left w:val="none" w:sz="0" w:space="0" w:color="auto"/>
                        <w:bottom w:val="none" w:sz="0" w:space="0" w:color="auto"/>
                        <w:right w:val="none" w:sz="0" w:space="0" w:color="auto"/>
                      </w:divBdr>
                    </w:div>
                  </w:divsChild>
                </w:div>
                <w:div w:id="751580824">
                  <w:marLeft w:val="0"/>
                  <w:marRight w:val="0"/>
                  <w:marTop w:val="0"/>
                  <w:marBottom w:val="0"/>
                  <w:divBdr>
                    <w:top w:val="none" w:sz="0" w:space="0" w:color="auto"/>
                    <w:left w:val="none" w:sz="0" w:space="0" w:color="auto"/>
                    <w:bottom w:val="none" w:sz="0" w:space="0" w:color="auto"/>
                    <w:right w:val="none" w:sz="0" w:space="0" w:color="auto"/>
                  </w:divBdr>
                  <w:divsChild>
                    <w:div w:id="1329022752">
                      <w:marLeft w:val="0"/>
                      <w:marRight w:val="0"/>
                      <w:marTop w:val="0"/>
                      <w:marBottom w:val="0"/>
                      <w:divBdr>
                        <w:top w:val="none" w:sz="0" w:space="0" w:color="auto"/>
                        <w:left w:val="none" w:sz="0" w:space="0" w:color="auto"/>
                        <w:bottom w:val="none" w:sz="0" w:space="0" w:color="auto"/>
                        <w:right w:val="none" w:sz="0" w:space="0" w:color="auto"/>
                      </w:divBdr>
                    </w:div>
                  </w:divsChild>
                </w:div>
                <w:div w:id="778838321">
                  <w:marLeft w:val="0"/>
                  <w:marRight w:val="0"/>
                  <w:marTop w:val="0"/>
                  <w:marBottom w:val="0"/>
                  <w:divBdr>
                    <w:top w:val="none" w:sz="0" w:space="0" w:color="auto"/>
                    <w:left w:val="none" w:sz="0" w:space="0" w:color="auto"/>
                    <w:bottom w:val="none" w:sz="0" w:space="0" w:color="auto"/>
                    <w:right w:val="none" w:sz="0" w:space="0" w:color="auto"/>
                  </w:divBdr>
                  <w:divsChild>
                    <w:div w:id="1429347982">
                      <w:marLeft w:val="0"/>
                      <w:marRight w:val="0"/>
                      <w:marTop w:val="0"/>
                      <w:marBottom w:val="0"/>
                      <w:divBdr>
                        <w:top w:val="none" w:sz="0" w:space="0" w:color="auto"/>
                        <w:left w:val="none" w:sz="0" w:space="0" w:color="auto"/>
                        <w:bottom w:val="none" w:sz="0" w:space="0" w:color="auto"/>
                        <w:right w:val="none" w:sz="0" w:space="0" w:color="auto"/>
                      </w:divBdr>
                    </w:div>
                  </w:divsChild>
                </w:div>
                <w:div w:id="790396311">
                  <w:marLeft w:val="0"/>
                  <w:marRight w:val="0"/>
                  <w:marTop w:val="0"/>
                  <w:marBottom w:val="0"/>
                  <w:divBdr>
                    <w:top w:val="none" w:sz="0" w:space="0" w:color="auto"/>
                    <w:left w:val="none" w:sz="0" w:space="0" w:color="auto"/>
                    <w:bottom w:val="none" w:sz="0" w:space="0" w:color="auto"/>
                    <w:right w:val="none" w:sz="0" w:space="0" w:color="auto"/>
                  </w:divBdr>
                  <w:divsChild>
                    <w:div w:id="623197263">
                      <w:marLeft w:val="0"/>
                      <w:marRight w:val="0"/>
                      <w:marTop w:val="0"/>
                      <w:marBottom w:val="0"/>
                      <w:divBdr>
                        <w:top w:val="none" w:sz="0" w:space="0" w:color="auto"/>
                        <w:left w:val="none" w:sz="0" w:space="0" w:color="auto"/>
                        <w:bottom w:val="none" w:sz="0" w:space="0" w:color="auto"/>
                        <w:right w:val="none" w:sz="0" w:space="0" w:color="auto"/>
                      </w:divBdr>
                    </w:div>
                  </w:divsChild>
                </w:div>
                <w:div w:id="791944049">
                  <w:marLeft w:val="0"/>
                  <w:marRight w:val="0"/>
                  <w:marTop w:val="0"/>
                  <w:marBottom w:val="0"/>
                  <w:divBdr>
                    <w:top w:val="none" w:sz="0" w:space="0" w:color="auto"/>
                    <w:left w:val="none" w:sz="0" w:space="0" w:color="auto"/>
                    <w:bottom w:val="none" w:sz="0" w:space="0" w:color="auto"/>
                    <w:right w:val="none" w:sz="0" w:space="0" w:color="auto"/>
                  </w:divBdr>
                  <w:divsChild>
                    <w:div w:id="757294118">
                      <w:marLeft w:val="0"/>
                      <w:marRight w:val="0"/>
                      <w:marTop w:val="0"/>
                      <w:marBottom w:val="0"/>
                      <w:divBdr>
                        <w:top w:val="none" w:sz="0" w:space="0" w:color="auto"/>
                        <w:left w:val="none" w:sz="0" w:space="0" w:color="auto"/>
                        <w:bottom w:val="none" w:sz="0" w:space="0" w:color="auto"/>
                        <w:right w:val="none" w:sz="0" w:space="0" w:color="auto"/>
                      </w:divBdr>
                    </w:div>
                  </w:divsChild>
                </w:div>
                <w:div w:id="801464481">
                  <w:marLeft w:val="0"/>
                  <w:marRight w:val="0"/>
                  <w:marTop w:val="0"/>
                  <w:marBottom w:val="0"/>
                  <w:divBdr>
                    <w:top w:val="none" w:sz="0" w:space="0" w:color="auto"/>
                    <w:left w:val="none" w:sz="0" w:space="0" w:color="auto"/>
                    <w:bottom w:val="none" w:sz="0" w:space="0" w:color="auto"/>
                    <w:right w:val="none" w:sz="0" w:space="0" w:color="auto"/>
                  </w:divBdr>
                  <w:divsChild>
                    <w:div w:id="1033725073">
                      <w:marLeft w:val="0"/>
                      <w:marRight w:val="0"/>
                      <w:marTop w:val="0"/>
                      <w:marBottom w:val="0"/>
                      <w:divBdr>
                        <w:top w:val="none" w:sz="0" w:space="0" w:color="auto"/>
                        <w:left w:val="none" w:sz="0" w:space="0" w:color="auto"/>
                        <w:bottom w:val="none" w:sz="0" w:space="0" w:color="auto"/>
                        <w:right w:val="none" w:sz="0" w:space="0" w:color="auto"/>
                      </w:divBdr>
                    </w:div>
                  </w:divsChild>
                </w:div>
                <w:div w:id="803620437">
                  <w:marLeft w:val="0"/>
                  <w:marRight w:val="0"/>
                  <w:marTop w:val="0"/>
                  <w:marBottom w:val="0"/>
                  <w:divBdr>
                    <w:top w:val="none" w:sz="0" w:space="0" w:color="auto"/>
                    <w:left w:val="none" w:sz="0" w:space="0" w:color="auto"/>
                    <w:bottom w:val="none" w:sz="0" w:space="0" w:color="auto"/>
                    <w:right w:val="none" w:sz="0" w:space="0" w:color="auto"/>
                  </w:divBdr>
                  <w:divsChild>
                    <w:div w:id="624459009">
                      <w:marLeft w:val="0"/>
                      <w:marRight w:val="0"/>
                      <w:marTop w:val="0"/>
                      <w:marBottom w:val="0"/>
                      <w:divBdr>
                        <w:top w:val="none" w:sz="0" w:space="0" w:color="auto"/>
                        <w:left w:val="none" w:sz="0" w:space="0" w:color="auto"/>
                        <w:bottom w:val="none" w:sz="0" w:space="0" w:color="auto"/>
                        <w:right w:val="none" w:sz="0" w:space="0" w:color="auto"/>
                      </w:divBdr>
                    </w:div>
                  </w:divsChild>
                </w:div>
                <w:div w:id="808549804">
                  <w:marLeft w:val="0"/>
                  <w:marRight w:val="0"/>
                  <w:marTop w:val="0"/>
                  <w:marBottom w:val="0"/>
                  <w:divBdr>
                    <w:top w:val="none" w:sz="0" w:space="0" w:color="auto"/>
                    <w:left w:val="none" w:sz="0" w:space="0" w:color="auto"/>
                    <w:bottom w:val="none" w:sz="0" w:space="0" w:color="auto"/>
                    <w:right w:val="none" w:sz="0" w:space="0" w:color="auto"/>
                  </w:divBdr>
                  <w:divsChild>
                    <w:div w:id="1558516592">
                      <w:marLeft w:val="0"/>
                      <w:marRight w:val="0"/>
                      <w:marTop w:val="0"/>
                      <w:marBottom w:val="0"/>
                      <w:divBdr>
                        <w:top w:val="none" w:sz="0" w:space="0" w:color="auto"/>
                        <w:left w:val="none" w:sz="0" w:space="0" w:color="auto"/>
                        <w:bottom w:val="none" w:sz="0" w:space="0" w:color="auto"/>
                        <w:right w:val="none" w:sz="0" w:space="0" w:color="auto"/>
                      </w:divBdr>
                    </w:div>
                  </w:divsChild>
                </w:div>
                <w:div w:id="821506740">
                  <w:marLeft w:val="0"/>
                  <w:marRight w:val="0"/>
                  <w:marTop w:val="0"/>
                  <w:marBottom w:val="0"/>
                  <w:divBdr>
                    <w:top w:val="none" w:sz="0" w:space="0" w:color="auto"/>
                    <w:left w:val="none" w:sz="0" w:space="0" w:color="auto"/>
                    <w:bottom w:val="none" w:sz="0" w:space="0" w:color="auto"/>
                    <w:right w:val="none" w:sz="0" w:space="0" w:color="auto"/>
                  </w:divBdr>
                  <w:divsChild>
                    <w:div w:id="1485732440">
                      <w:marLeft w:val="0"/>
                      <w:marRight w:val="0"/>
                      <w:marTop w:val="0"/>
                      <w:marBottom w:val="0"/>
                      <w:divBdr>
                        <w:top w:val="none" w:sz="0" w:space="0" w:color="auto"/>
                        <w:left w:val="none" w:sz="0" w:space="0" w:color="auto"/>
                        <w:bottom w:val="none" w:sz="0" w:space="0" w:color="auto"/>
                        <w:right w:val="none" w:sz="0" w:space="0" w:color="auto"/>
                      </w:divBdr>
                    </w:div>
                  </w:divsChild>
                </w:div>
                <w:div w:id="853346620">
                  <w:marLeft w:val="0"/>
                  <w:marRight w:val="0"/>
                  <w:marTop w:val="0"/>
                  <w:marBottom w:val="0"/>
                  <w:divBdr>
                    <w:top w:val="none" w:sz="0" w:space="0" w:color="auto"/>
                    <w:left w:val="none" w:sz="0" w:space="0" w:color="auto"/>
                    <w:bottom w:val="none" w:sz="0" w:space="0" w:color="auto"/>
                    <w:right w:val="none" w:sz="0" w:space="0" w:color="auto"/>
                  </w:divBdr>
                  <w:divsChild>
                    <w:div w:id="1430814230">
                      <w:marLeft w:val="0"/>
                      <w:marRight w:val="0"/>
                      <w:marTop w:val="0"/>
                      <w:marBottom w:val="0"/>
                      <w:divBdr>
                        <w:top w:val="none" w:sz="0" w:space="0" w:color="auto"/>
                        <w:left w:val="none" w:sz="0" w:space="0" w:color="auto"/>
                        <w:bottom w:val="none" w:sz="0" w:space="0" w:color="auto"/>
                        <w:right w:val="none" w:sz="0" w:space="0" w:color="auto"/>
                      </w:divBdr>
                    </w:div>
                  </w:divsChild>
                </w:div>
                <w:div w:id="874199134">
                  <w:marLeft w:val="0"/>
                  <w:marRight w:val="0"/>
                  <w:marTop w:val="0"/>
                  <w:marBottom w:val="0"/>
                  <w:divBdr>
                    <w:top w:val="none" w:sz="0" w:space="0" w:color="auto"/>
                    <w:left w:val="none" w:sz="0" w:space="0" w:color="auto"/>
                    <w:bottom w:val="none" w:sz="0" w:space="0" w:color="auto"/>
                    <w:right w:val="none" w:sz="0" w:space="0" w:color="auto"/>
                  </w:divBdr>
                  <w:divsChild>
                    <w:div w:id="211384847">
                      <w:marLeft w:val="0"/>
                      <w:marRight w:val="0"/>
                      <w:marTop w:val="0"/>
                      <w:marBottom w:val="0"/>
                      <w:divBdr>
                        <w:top w:val="none" w:sz="0" w:space="0" w:color="auto"/>
                        <w:left w:val="none" w:sz="0" w:space="0" w:color="auto"/>
                        <w:bottom w:val="none" w:sz="0" w:space="0" w:color="auto"/>
                        <w:right w:val="none" w:sz="0" w:space="0" w:color="auto"/>
                      </w:divBdr>
                    </w:div>
                  </w:divsChild>
                </w:div>
                <w:div w:id="898901858">
                  <w:marLeft w:val="0"/>
                  <w:marRight w:val="0"/>
                  <w:marTop w:val="0"/>
                  <w:marBottom w:val="0"/>
                  <w:divBdr>
                    <w:top w:val="none" w:sz="0" w:space="0" w:color="auto"/>
                    <w:left w:val="none" w:sz="0" w:space="0" w:color="auto"/>
                    <w:bottom w:val="none" w:sz="0" w:space="0" w:color="auto"/>
                    <w:right w:val="none" w:sz="0" w:space="0" w:color="auto"/>
                  </w:divBdr>
                  <w:divsChild>
                    <w:div w:id="1762796094">
                      <w:marLeft w:val="0"/>
                      <w:marRight w:val="0"/>
                      <w:marTop w:val="0"/>
                      <w:marBottom w:val="0"/>
                      <w:divBdr>
                        <w:top w:val="none" w:sz="0" w:space="0" w:color="auto"/>
                        <w:left w:val="none" w:sz="0" w:space="0" w:color="auto"/>
                        <w:bottom w:val="none" w:sz="0" w:space="0" w:color="auto"/>
                        <w:right w:val="none" w:sz="0" w:space="0" w:color="auto"/>
                      </w:divBdr>
                    </w:div>
                  </w:divsChild>
                </w:div>
                <w:div w:id="899443229">
                  <w:marLeft w:val="0"/>
                  <w:marRight w:val="0"/>
                  <w:marTop w:val="0"/>
                  <w:marBottom w:val="0"/>
                  <w:divBdr>
                    <w:top w:val="none" w:sz="0" w:space="0" w:color="auto"/>
                    <w:left w:val="none" w:sz="0" w:space="0" w:color="auto"/>
                    <w:bottom w:val="none" w:sz="0" w:space="0" w:color="auto"/>
                    <w:right w:val="none" w:sz="0" w:space="0" w:color="auto"/>
                  </w:divBdr>
                  <w:divsChild>
                    <w:div w:id="1024403984">
                      <w:marLeft w:val="0"/>
                      <w:marRight w:val="0"/>
                      <w:marTop w:val="0"/>
                      <w:marBottom w:val="0"/>
                      <w:divBdr>
                        <w:top w:val="none" w:sz="0" w:space="0" w:color="auto"/>
                        <w:left w:val="none" w:sz="0" w:space="0" w:color="auto"/>
                        <w:bottom w:val="none" w:sz="0" w:space="0" w:color="auto"/>
                        <w:right w:val="none" w:sz="0" w:space="0" w:color="auto"/>
                      </w:divBdr>
                    </w:div>
                  </w:divsChild>
                </w:div>
                <w:div w:id="902644881">
                  <w:marLeft w:val="0"/>
                  <w:marRight w:val="0"/>
                  <w:marTop w:val="0"/>
                  <w:marBottom w:val="0"/>
                  <w:divBdr>
                    <w:top w:val="none" w:sz="0" w:space="0" w:color="auto"/>
                    <w:left w:val="none" w:sz="0" w:space="0" w:color="auto"/>
                    <w:bottom w:val="none" w:sz="0" w:space="0" w:color="auto"/>
                    <w:right w:val="none" w:sz="0" w:space="0" w:color="auto"/>
                  </w:divBdr>
                  <w:divsChild>
                    <w:div w:id="2070224409">
                      <w:marLeft w:val="0"/>
                      <w:marRight w:val="0"/>
                      <w:marTop w:val="0"/>
                      <w:marBottom w:val="0"/>
                      <w:divBdr>
                        <w:top w:val="none" w:sz="0" w:space="0" w:color="auto"/>
                        <w:left w:val="none" w:sz="0" w:space="0" w:color="auto"/>
                        <w:bottom w:val="none" w:sz="0" w:space="0" w:color="auto"/>
                        <w:right w:val="none" w:sz="0" w:space="0" w:color="auto"/>
                      </w:divBdr>
                    </w:div>
                  </w:divsChild>
                </w:div>
                <w:div w:id="931550865">
                  <w:marLeft w:val="0"/>
                  <w:marRight w:val="0"/>
                  <w:marTop w:val="0"/>
                  <w:marBottom w:val="0"/>
                  <w:divBdr>
                    <w:top w:val="none" w:sz="0" w:space="0" w:color="auto"/>
                    <w:left w:val="none" w:sz="0" w:space="0" w:color="auto"/>
                    <w:bottom w:val="none" w:sz="0" w:space="0" w:color="auto"/>
                    <w:right w:val="none" w:sz="0" w:space="0" w:color="auto"/>
                  </w:divBdr>
                  <w:divsChild>
                    <w:div w:id="615067616">
                      <w:marLeft w:val="0"/>
                      <w:marRight w:val="0"/>
                      <w:marTop w:val="0"/>
                      <w:marBottom w:val="0"/>
                      <w:divBdr>
                        <w:top w:val="none" w:sz="0" w:space="0" w:color="auto"/>
                        <w:left w:val="none" w:sz="0" w:space="0" w:color="auto"/>
                        <w:bottom w:val="none" w:sz="0" w:space="0" w:color="auto"/>
                        <w:right w:val="none" w:sz="0" w:space="0" w:color="auto"/>
                      </w:divBdr>
                    </w:div>
                  </w:divsChild>
                </w:div>
                <w:div w:id="935284337">
                  <w:marLeft w:val="0"/>
                  <w:marRight w:val="0"/>
                  <w:marTop w:val="0"/>
                  <w:marBottom w:val="0"/>
                  <w:divBdr>
                    <w:top w:val="none" w:sz="0" w:space="0" w:color="auto"/>
                    <w:left w:val="none" w:sz="0" w:space="0" w:color="auto"/>
                    <w:bottom w:val="none" w:sz="0" w:space="0" w:color="auto"/>
                    <w:right w:val="none" w:sz="0" w:space="0" w:color="auto"/>
                  </w:divBdr>
                  <w:divsChild>
                    <w:div w:id="106431199">
                      <w:marLeft w:val="0"/>
                      <w:marRight w:val="0"/>
                      <w:marTop w:val="0"/>
                      <w:marBottom w:val="0"/>
                      <w:divBdr>
                        <w:top w:val="none" w:sz="0" w:space="0" w:color="auto"/>
                        <w:left w:val="none" w:sz="0" w:space="0" w:color="auto"/>
                        <w:bottom w:val="none" w:sz="0" w:space="0" w:color="auto"/>
                        <w:right w:val="none" w:sz="0" w:space="0" w:color="auto"/>
                      </w:divBdr>
                    </w:div>
                  </w:divsChild>
                </w:div>
                <w:div w:id="937634763">
                  <w:marLeft w:val="0"/>
                  <w:marRight w:val="0"/>
                  <w:marTop w:val="0"/>
                  <w:marBottom w:val="0"/>
                  <w:divBdr>
                    <w:top w:val="none" w:sz="0" w:space="0" w:color="auto"/>
                    <w:left w:val="none" w:sz="0" w:space="0" w:color="auto"/>
                    <w:bottom w:val="none" w:sz="0" w:space="0" w:color="auto"/>
                    <w:right w:val="none" w:sz="0" w:space="0" w:color="auto"/>
                  </w:divBdr>
                  <w:divsChild>
                    <w:div w:id="1324550166">
                      <w:marLeft w:val="0"/>
                      <w:marRight w:val="0"/>
                      <w:marTop w:val="0"/>
                      <w:marBottom w:val="0"/>
                      <w:divBdr>
                        <w:top w:val="none" w:sz="0" w:space="0" w:color="auto"/>
                        <w:left w:val="none" w:sz="0" w:space="0" w:color="auto"/>
                        <w:bottom w:val="none" w:sz="0" w:space="0" w:color="auto"/>
                        <w:right w:val="none" w:sz="0" w:space="0" w:color="auto"/>
                      </w:divBdr>
                    </w:div>
                  </w:divsChild>
                </w:div>
                <w:div w:id="967007643">
                  <w:marLeft w:val="0"/>
                  <w:marRight w:val="0"/>
                  <w:marTop w:val="0"/>
                  <w:marBottom w:val="0"/>
                  <w:divBdr>
                    <w:top w:val="none" w:sz="0" w:space="0" w:color="auto"/>
                    <w:left w:val="none" w:sz="0" w:space="0" w:color="auto"/>
                    <w:bottom w:val="none" w:sz="0" w:space="0" w:color="auto"/>
                    <w:right w:val="none" w:sz="0" w:space="0" w:color="auto"/>
                  </w:divBdr>
                  <w:divsChild>
                    <w:div w:id="231235165">
                      <w:marLeft w:val="0"/>
                      <w:marRight w:val="0"/>
                      <w:marTop w:val="0"/>
                      <w:marBottom w:val="0"/>
                      <w:divBdr>
                        <w:top w:val="none" w:sz="0" w:space="0" w:color="auto"/>
                        <w:left w:val="none" w:sz="0" w:space="0" w:color="auto"/>
                        <w:bottom w:val="none" w:sz="0" w:space="0" w:color="auto"/>
                        <w:right w:val="none" w:sz="0" w:space="0" w:color="auto"/>
                      </w:divBdr>
                    </w:div>
                  </w:divsChild>
                </w:div>
                <w:div w:id="979503681">
                  <w:marLeft w:val="0"/>
                  <w:marRight w:val="0"/>
                  <w:marTop w:val="0"/>
                  <w:marBottom w:val="0"/>
                  <w:divBdr>
                    <w:top w:val="none" w:sz="0" w:space="0" w:color="auto"/>
                    <w:left w:val="none" w:sz="0" w:space="0" w:color="auto"/>
                    <w:bottom w:val="none" w:sz="0" w:space="0" w:color="auto"/>
                    <w:right w:val="none" w:sz="0" w:space="0" w:color="auto"/>
                  </w:divBdr>
                  <w:divsChild>
                    <w:div w:id="2067221771">
                      <w:marLeft w:val="0"/>
                      <w:marRight w:val="0"/>
                      <w:marTop w:val="0"/>
                      <w:marBottom w:val="0"/>
                      <w:divBdr>
                        <w:top w:val="none" w:sz="0" w:space="0" w:color="auto"/>
                        <w:left w:val="none" w:sz="0" w:space="0" w:color="auto"/>
                        <w:bottom w:val="none" w:sz="0" w:space="0" w:color="auto"/>
                        <w:right w:val="none" w:sz="0" w:space="0" w:color="auto"/>
                      </w:divBdr>
                    </w:div>
                  </w:divsChild>
                </w:div>
                <w:div w:id="992102699">
                  <w:marLeft w:val="0"/>
                  <w:marRight w:val="0"/>
                  <w:marTop w:val="0"/>
                  <w:marBottom w:val="0"/>
                  <w:divBdr>
                    <w:top w:val="none" w:sz="0" w:space="0" w:color="auto"/>
                    <w:left w:val="none" w:sz="0" w:space="0" w:color="auto"/>
                    <w:bottom w:val="none" w:sz="0" w:space="0" w:color="auto"/>
                    <w:right w:val="none" w:sz="0" w:space="0" w:color="auto"/>
                  </w:divBdr>
                  <w:divsChild>
                    <w:div w:id="1573930664">
                      <w:marLeft w:val="0"/>
                      <w:marRight w:val="0"/>
                      <w:marTop w:val="0"/>
                      <w:marBottom w:val="0"/>
                      <w:divBdr>
                        <w:top w:val="none" w:sz="0" w:space="0" w:color="auto"/>
                        <w:left w:val="none" w:sz="0" w:space="0" w:color="auto"/>
                        <w:bottom w:val="none" w:sz="0" w:space="0" w:color="auto"/>
                        <w:right w:val="none" w:sz="0" w:space="0" w:color="auto"/>
                      </w:divBdr>
                    </w:div>
                  </w:divsChild>
                </w:div>
                <w:div w:id="995839663">
                  <w:marLeft w:val="0"/>
                  <w:marRight w:val="0"/>
                  <w:marTop w:val="0"/>
                  <w:marBottom w:val="0"/>
                  <w:divBdr>
                    <w:top w:val="none" w:sz="0" w:space="0" w:color="auto"/>
                    <w:left w:val="none" w:sz="0" w:space="0" w:color="auto"/>
                    <w:bottom w:val="none" w:sz="0" w:space="0" w:color="auto"/>
                    <w:right w:val="none" w:sz="0" w:space="0" w:color="auto"/>
                  </w:divBdr>
                  <w:divsChild>
                    <w:div w:id="1594586238">
                      <w:marLeft w:val="0"/>
                      <w:marRight w:val="0"/>
                      <w:marTop w:val="0"/>
                      <w:marBottom w:val="0"/>
                      <w:divBdr>
                        <w:top w:val="none" w:sz="0" w:space="0" w:color="auto"/>
                        <w:left w:val="none" w:sz="0" w:space="0" w:color="auto"/>
                        <w:bottom w:val="none" w:sz="0" w:space="0" w:color="auto"/>
                        <w:right w:val="none" w:sz="0" w:space="0" w:color="auto"/>
                      </w:divBdr>
                    </w:div>
                  </w:divsChild>
                </w:div>
                <w:div w:id="1020161774">
                  <w:marLeft w:val="0"/>
                  <w:marRight w:val="0"/>
                  <w:marTop w:val="0"/>
                  <w:marBottom w:val="0"/>
                  <w:divBdr>
                    <w:top w:val="none" w:sz="0" w:space="0" w:color="auto"/>
                    <w:left w:val="none" w:sz="0" w:space="0" w:color="auto"/>
                    <w:bottom w:val="none" w:sz="0" w:space="0" w:color="auto"/>
                    <w:right w:val="none" w:sz="0" w:space="0" w:color="auto"/>
                  </w:divBdr>
                  <w:divsChild>
                    <w:div w:id="1884442594">
                      <w:marLeft w:val="0"/>
                      <w:marRight w:val="0"/>
                      <w:marTop w:val="0"/>
                      <w:marBottom w:val="0"/>
                      <w:divBdr>
                        <w:top w:val="none" w:sz="0" w:space="0" w:color="auto"/>
                        <w:left w:val="none" w:sz="0" w:space="0" w:color="auto"/>
                        <w:bottom w:val="none" w:sz="0" w:space="0" w:color="auto"/>
                        <w:right w:val="none" w:sz="0" w:space="0" w:color="auto"/>
                      </w:divBdr>
                    </w:div>
                  </w:divsChild>
                </w:div>
                <w:div w:id="1028217716">
                  <w:marLeft w:val="0"/>
                  <w:marRight w:val="0"/>
                  <w:marTop w:val="0"/>
                  <w:marBottom w:val="0"/>
                  <w:divBdr>
                    <w:top w:val="none" w:sz="0" w:space="0" w:color="auto"/>
                    <w:left w:val="none" w:sz="0" w:space="0" w:color="auto"/>
                    <w:bottom w:val="none" w:sz="0" w:space="0" w:color="auto"/>
                    <w:right w:val="none" w:sz="0" w:space="0" w:color="auto"/>
                  </w:divBdr>
                  <w:divsChild>
                    <w:div w:id="788738013">
                      <w:marLeft w:val="0"/>
                      <w:marRight w:val="0"/>
                      <w:marTop w:val="0"/>
                      <w:marBottom w:val="0"/>
                      <w:divBdr>
                        <w:top w:val="none" w:sz="0" w:space="0" w:color="auto"/>
                        <w:left w:val="none" w:sz="0" w:space="0" w:color="auto"/>
                        <w:bottom w:val="none" w:sz="0" w:space="0" w:color="auto"/>
                        <w:right w:val="none" w:sz="0" w:space="0" w:color="auto"/>
                      </w:divBdr>
                    </w:div>
                  </w:divsChild>
                </w:div>
                <w:div w:id="1074666106">
                  <w:marLeft w:val="0"/>
                  <w:marRight w:val="0"/>
                  <w:marTop w:val="0"/>
                  <w:marBottom w:val="0"/>
                  <w:divBdr>
                    <w:top w:val="none" w:sz="0" w:space="0" w:color="auto"/>
                    <w:left w:val="none" w:sz="0" w:space="0" w:color="auto"/>
                    <w:bottom w:val="none" w:sz="0" w:space="0" w:color="auto"/>
                    <w:right w:val="none" w:sz="0" w:space="0" w:color="auto"/>
                  </w:divBdr>
                  <w:divsChild>
                    <w:div w:id="1250165018">
                      <w:marLeft w:val="0"/>
                      <w:marRight w:val="0"/>
                      <w:marTop w:val="0"/>
                      <w:marBottom w:val="0"/>
                      <w:divBdr>
                        <w:top w:val="none" w:sz="0" w:space="0" w:color="auto"/>
                        <w:left w:val="none" w:sz="0" w:space="0" w:color="auto"/>
                        <w:bottom w:val="none" w:sz="0" w:space="0" w:color="auto"/>
                        <w:right w:val="none" w:sz="0" w:space="0" w:color="auto"/>
                      </w:divBdr>
                    </w:div>
                  </w:divsChild>
                </w:div>
                <w:div w:id="1095246872">
                  <w:marLeft w:val="0"/>
                  <w:marRight w:val="0"/>
                  <w:marTop w:val="0"/>
                  <w:marBottom w:val="0"/>
                  <w:divBdr>
                    <w:top w:val="none" w:sz="0" w:space="0" w:color="auto"/>
                    <w:left w:val="none" w:sz="0" w:space="0" w:color="auto"/>
                    <w:bottom w:val="none" w:sz="0" w:space="0" w:color="auto"/>
                    <w:right w:val="none" w:sz="0" w:space="0" w:color="auto"/>
                  </w:divBdr>
                  <w:divsChild>
                    <w:div w:id="2133740000">
                      <w:marLeft w:val="0"/>
                      <w:marRight w:val="0"/>
                      <w:marTop w:val="0"/>
                      <w:marBottom w:val="0"/>
                      <w:divBdr>
                        <w:top w:val="none" w:sz="0" w:space="0" w:color="auto"/>
                        <w:left w:val="none" w:sz="0" w:space="0" w:color="auto"/>
                        <w:bottom w:val="none" w:sz="0" w:space="0" w:color="auto"/>
                        <w:right w:val="none" w:sz="0" w:space="0" w:color="auto"/>
                      </w:divBdr>
                    </w:div>
                  </w:divsChild>
                </w:div>
                <w:div w:id="1114858708">
                  <w:marLeft w:val="0"/>
                  <w:marRight w:val="0"/>
                  <w:marTop w:val="0"/>
                  <w:marBottom w:val="0"/>
                  <w:divBdr>
                    <w:top w:val="none" w:sz="0" w:space="0" w:color="auto"/>
                    <w:left w:val="none" w:sz="0" w:space="0" w:color="auto"/>
                    <w:bottom w:val="none" w:sz="0" w:space="0" w:color="auto"/>
                    <w:right w:val="none" w:sz="0" w:space="0" w:color="auto"/>
                  </w:divBdr>
                  <w:divsChild>
                    <w:div w:id="1110584822">
                      <w:marLeft w:val="0"/>
                      <w:marRight w:val="0"/>
                      <w:marTop w:val="0"/>
                      <w:marBottom w:val="0"/>
                      <w:divBdr>
                        <w:top w:val="none" w:sz="0" w:space="0" w:color="auto"/>
                        <w:left w:val="none" w:sz="0" w:space="0" w:color="auto"/>
                        <w:bottom w:val="none" w:sz="0" w:space="0" w:color="auto"/>
                        <w:right w:val="none" w:sz="0" w:space="0" w:color="auto"/>
                      </w:divBdr>
                    </w:div>
                  </w:divsChild>
                </w:div>
                <w:div w:id="1117917891">
                  <w:marLeft w:val="0"/>
                  <w:marRight w:val="0"/>
                  <w:marTop w:val="0"/>
                  <w:marBottom w:val="0"/>
                  <w:divBdr>
                    <w:top w:val="none" w:sz="0" w:space="0" w:color="auto"/>
                    <w:left w:val="none" w:sz="0" w:space="0" w:color="auto"/>
                    <w:bottom w:val="none" w:sz="0" w:space="0" w:color="auto"/>
                    <w:right w:val="none" w:sz="0" w:space="0" w:color="auto"/>
                  </w:divBdr>
                  <w:divsChild>
                    <w:div w:id="2106923759">
                      <w:marLeft w:val="0"/>
                      <w:marRight w:val="0"/>
                      <w:marTop w:val="0"/>
                      <w:marBottom w:val="0"/>
                      <w:divBdr>
                        <w:top w:val="none" w:sz="0" w:space="0" w:color="auto"/>
                        <w:left w:val="none" w:sz="0" w:space="0" w:color="auto"/>
                        <w:bottom w:val="none" w:sz="0" w:space="0" w:color="auto"/>
                        <w:right w:val="none" w:sz="0" w:space="0" w:color="auto"/>
                      </w:divBdr>
                    </w:div>
                  </w:divsChild>
                </w:div>
                <w:div w:id="1122533014">
                  <w:marLeft w:val="0"/>
                  <w:marRight w:val="0"/>
                  <w:marTop w:val="0"/>
                  <w:marBottom w:val="0"/>
                  <w:divBdr>
                    <w:top w:val="none" w:sz="0" w:space="0" w:color="auto"/>
                    <w:left w:val="none" w:sz="0" w:space="0" w:color="auto"/>
                    <w:bottom w:val="none" w:sz="0" w:space="0" w:color="auto"/>
                    <w:right w:val="none" w:sz="0" w:space="0" w:color="auto"/>
                  </w:divBdr>
                  <w:divsChild>
                    <w:div w:id="1834561271">
                      <w:marLeft w:val="0"/>
                      <w:marRight w:val="0"/>
                      <w:marTop w:val="0"/>
                      <w:marBottom w:val="0"/>
                      <w:divBdr>
                        <w:top w:val="none" w:sz="0" w:space="0" w:color="auto"/>
                        <w:left w:val="none" w:sz="0" w:space="0" w:color="auto"/>
                        <w:bottom w:val="none" w:sz="0" w:space="0" w:color="auto"/>
                        <w:right w:val="none" w:sz="0" w:space="0" w:color="auto"/>
                      </w:divBdr>
                    </w:div>
                  </w:divsChild>
                </w:div>
                <w:div w:id="1125393925">
                  <w:marLeft w:val="0"/>
                  <w:marRight w:val="0"/>
                  <w:marTop w:val="0"/>
                  <w:marBottom w:val="0"/>
                  <w:divBdr>
                    <w:top w:val="none" w:sz="0" w:space="0" w:color="auto"/>
                    <w:left w:val="none" w:sz="0" w:space="0" w:color="auto"/>
                    <w:bottom w:val="none" w:sz="0" w:space="0" w:color="auto"/>
                    <w:right w:val="none" w:sz="0" w:space="0" w:color="auto"/>
                  </w:divBdr>
                  <w:divsChild>
                    <w:div w:id="850147050">
                      <w:marLeft w:val="0"/>
                      <w:marRight w:val="0"/>
                      <w:marTop w:val="0"/>
                      <w:marBottom w:val="0"/>
                      <w:divBdr>
                        <w:top w:val="none" w:sz="0" w:space="0" w:color="auto"/>
                        <w:left w:val="none" w:sz="0" w:space="0" w:color="auto"/>
                        <w:bottom w:val="none" w:sz="0" w:space="0" w:color="auto"/>
                        <w:right w:val="none" w:sz="0" w:space="0" w:color="auto"/>
                      </w:divBdr>
                    </w:div>
                  </w:divsChild>
                </w:div>
                <w:div w:id="1127579060">
                  <w:marLeft w:val="0"/>
                  <w:marRight w:val="0"/>
                  <w:marTop w:val="0"/>
                  <w:marBottom w:val="0"/>
                  <w:divBdr>
                    <w:top w:val="none" w:sz="0" w:space="0" w:color="auto"/>
                    <w:left w:val="none" w:sz="0" w:space="0" w:color="auto"/>
                    <w:bottom w:val="none" w:sz="0" w:space="0" w:color="auto"/>
                    <w:right w:val="none" w:sz="0" w:space="0" w:color="auto"/>
                  </w:divBdr>
                  <w:divsChild>
                    <w:div w:id="870260616">
                      <w:marLeft w:val="0"/>
                      <w:marRight w:val="0"/>
                      <w:marTop w:val="0"/>
                      <w:marBottom w:val="0"/>
                      <w:divBdr>
                        <w:top w:val="none" w:sz="0" w:space="0" w:color="auto"/>
                        <w:left w:val="none" w:sz="0" w:space="0" w:color="auto"/>
                        <w:bottom w:val="none" w:sz="0" w:space="0" w:color="auto"/>
                        <w:right w:val="none" w:sz="0" w:space="0" w:color="auto"/>
                      </w:divBdr>
                    </w:div>
                  </w:divsChild>
                </w:div>
                <w:div w:id="1182821575">
                  <w:marLeft w:val="0"/>
                  <w:marRight w:val="0"/>
                  <w:marTop w:val="0"/>
                  <w:marBottom w:val="0"/>
                  <w:divBdr>
                    <w:top w:val="none" w:sz="0" w:space="0" w:color="auto"/>
                    <w:left w:val="none" w:sz="0" w:space="0" w:color="auto"/>
                    <w:bottom w:val="none" w:sz="0" w:space="0" w:color="auto"/>
                    <w:right w:val="none" w:sz="0" w:space="0" w:color="auto"/>
                  </w:divBdr>
                  <w:divsChild>
                    <w:div w:id="976489631">
                      <w:marLeft w:val="0"/>
                      <w:marRight w:val="0"/>
                      <w:marTop w:val="0"/>
                      <w:marBottom w:val="0"/>
                      <w:divBdr>
                        <w:top w:val="none" w:sz="0" w:space="0" w:color="auto"/>
                        <w:left w:val="none" w:sz="0" w:space="0" w:color="auto"/>
                        <w:bottom w:val="none" w:sz="0" w:space="0" w:color="auto"/>
                        <w:right w:val="none" w:sz="0" w:space="0" w:color="auto"/>
                      </w:divBdr>
                    </w:div>
                  </w:divsChild>
                </w:div>
                <w:div w:id="1217932999">
                  <w:marLeft w:val="0"/>
                  <w:marRight w:val="0"/>
                  <w:marTop w:val="0"/>
                  <w:marBottom w:val="0"/>
                  <w:divBdr>
                    <w:top w:val="none" w:sz="0" w:space="0" w:color="auto"/>
                    <w:left w:val="none" w:sz="0" w:space="0" w:color="auto"/>
                    <w:bottom w:val="none" w:sz="0" w:space="0" w:color="auto"/>
                    <w:right w:val="none" w:sz="0" w:space="0" w:color="auto"/>
                  </w:divBdr>
                  <w:divsChild>
                    <w:div w:id="1908803663">
                      <w:marLeft w:val="0"/>
                      <w:marRight w:val="0"/>
                      <w:marTop w:val="0"/>
                      <w:marBottom w:val="0"/>
                      <w:divBdr>
                        <w:top w:val="none" w:sz="0" w:space="0" w:color="auto"/>
                        <w:left w:val="none" w:sz="0" w:space="0" w:color="auto"/>
                        <w:bottom w:val="none" w:sz="0" w:space="0" w:color="auto"/>
                        <w:right w:val="none" w:sz="0" w:space="0" w:color="auto"/>
                      </w:divBdr>
                    </w:div>
                  </w:divsChild>
                </w:div>
                <w:div w:id="1223563552">
                  <w:marLeft w:val="0"/>
                  <w:marRight w:val="0"/>
                  <w:marTop w:val="0"/>
                  <w:marBottom w:val="0"/>
                  <w:divBdr>
                    <w:top w:val="none" w:sz="0" w:space="0" w:color="auto"/>
                    <w:left w:val="none" w:sz="0" w:space="0" w:color="auto"/>
                    <w:bottom w:val="none" w:sz="0" w:space="0" w:color="auto"/>
                    <w:right w:val="none" w:sz="0" w:space="0" w:color="auto"/>
                  </w:divBdr>
                  <w:divsChild>
                    <w:div w:id="379868527">
                      <w:marLeft w:val="0"/>
                      <w:marRight w:val="0"/>
                      <w:marTop w:val="0"/>
                      <w:marBottom w:val="0"/>
                      <w:divBdr>
                        <w:top w:val="none" w:sz="0" w:space="0" w:color="auto"/>
                        <w:left w:val="none" w:sz="0" w:space="0" w:color="auto"/>
                        <w:bottom w:val="none" w:sz="0" w:space="0" w:color="auto"/>
                        <w:right w:val="none" w:sz="0" w:space="0" w:color="auto"/>
                      </w:divBdr>
                    </w:div>
                    <w:div w:id="418603728">
                      <w:marLeft w:val="0"/>
                      <w:marRight w:val="0"/>
                      <w:marTop w:val="0"/>
                      <w:marBottom w:val="0"/>
                      <w:divBdr>
                        <w:top w:val="none" w:sz="0" w:space="0" w:color="auto"/>
                        <w:left w:val="none" w:sz="0" w:space="0" w:color="auto"/>
                        <w:bottom w:val="none" w:sz="0" w:space="0" w:color="auto"/>
                        <w:right w:val="none" w:sz="0" w:space="0" w:color="auto"/>
                      </w:divBdr>
                    </w:div>
                    <w:div w:id="814835995">
                      <w:marLeft w:val="0"/>
                      <w:marRight w:val="0"/>
                      <w:marTop w:val="0"/>
                      <w:marBottom w:val="0"/>
                      <w:divBdr>
                        <w:top w:val="none" w:sz="0" w:space="0" w:color="auto"/>
                        <w:left w:val="none" w:sz="0" w:space="0" w:color="auto"/>
                        <w:bottom w:val="none" w:sz="0" w:space="0" w:color="auto"/>
                        <w:right w:val="none" w:sz="0" w:space="0" w:color="auto"/>
                      </w:divBdr>
                    </w:div>
                    <w:div w:id="894657397">
                      <w:marLeft w:val="0"/>
                      <w:marRight w:val="0"/>
                      <w:marTop w:val="0"/>
                      <w:marBottom w:val="0"/>
                      <w:divBdr>
                        <w:top w:val="none" w:sz="0" w:space="0" w:color="auto"/>
                        <w:left w:val="none" w:sz="0" w:space="0" w:color="auto"/>
                        <w:bottom w:val="none" w:sz="0" w:space="0" w:color="auto"/>
                        <w:right w:val="none" w:sz="0" w:space="0" w:color="auto"/>
                      </w:divBdr>
                    </w:div>
                    <w:div w:id="951594055">
                      <w:marLeft w:val="0"/>
                      <w:marRight w:val="0"/>
                      <w:marTop w:val="0"/>
                      <w:marBottom w:val="0"/>
                      <w:divBdr>
                        <w:top w:val="none" w:sz="0" w:space="0" w:color="auto"/>
                        <w:left w:val="none" w:sz="0" w:space="0" w:color="auto"/>
                        <w:bottom w:val="none" w:sz="0" w:space="0" w:color="auto"/>
                        <w:right w:val="none" w:sz="0" w:space="0" w:color="auto"/>
                      </w:divBdr>
                    </w:div>
                    <w:div w:id="1311903140">
                      <w:marLeft w:val="0"/>
                      <w:marRight w:val="0"/>
                      <w:marTop w:val="0"/>
                      <w:marBottom w:val="0"/>
                      <w:divBdr>
                        <w:top w:val="none" w:sz="0" w:space="0" w:color="auto"/>
                        <w:left w:val="none" w:sz="0" w:space="0" w:color="auto"/>
                        <w:bottom w:val="none" w:sz="0" w:space="0" w:color="auto"/>
                        <w:right w:val="none" w:sz="0" w:space="0" w:color="auto"/>
                      </w:divBdr>
                    </w:div>
                    <w:div w:id="1433938235">
                      <w:marLeft w:val="0"/>
                      <w:marRight w:val="0"/>
                      <w:marTop w:val="0"/>
                      <w:marBottom w:val="0"/>
                      <w:divBdr>
                        <w:top w:val="none" w:sz="0" w:space="0" w:color="auto"/>
                        <w:left w:val="none" w:sz="0" w:space="0" w:color="auto"/>
                        <w:bottom w:val="none" w:sz="0" w:space="0" w:color="auto"/>
                        <w:right w:val="none" w:sz="0" w:space="0" w:color="auto"/>
                      </w:divBdr>
                    </w:div>
                    <w:div w:id="1561792452">
                      <w:marLeft w:val="0"/>
                      <w:marRight w:val="0"/>
                      <w:marTop w:val="0"/>
                      <w:marBottom w:val="0"/>
                      <w:divBdr>
                        <w:top w:val="none" w:sz="0" w:space="0" w:color="auto"/>
                        <w:left w:val="none" w:sz="0" w:space="0" w:color="auto"/>
                        <w:bottom w:val="none" w:sz="0" w:space="0" w:color="auto"/>
                        <w:right w:val="none" w:sz="0" w:space="0" w:color="auto"/>
                      </w:divBdr>
                    </w:div>
                    <w:div w:id="1607616842">
                      <w:marLeft w:val="0"/>
                      <w:marRight w:val="0"/>
                      <w:marTop w:val="0"/>
                      <w:marBottom w:val="0"/>
                      <w:divBdr>
                        <w:top w:val="none" w:sz="0" w:space="0" w:color="auto"/>
                        <w:left w:val="none" w:sz="0" w:space="0" w:color="auto"/>
                        <w:bottom w:val="none" w:sz="0" w:space="0" w:color="auto"/>
                        <w:right w:val="none" w:sz="0" w:space="0" w:color="auto"/>
                      </w:divBdr>
                    </w:div>
                    <w:div w:id="1641230118">
                      <w:marLeft w:val="0"/>
                      <w:marRight w:val="0"/>
                      <w:marTop w:val="0"/>
                      <w:marBottom w:val="0"/>
                      <w:divBdr>
                        <w:top w:val="none" w:sz="0" w:space="0" w:color="auto"/>
                        <w:left w:val="none" w:sz="0" w:space="0" w:color="auto"/>
                        <w:bottom w:val="none" w:sz="0" w:space="0" w:color="auto"/>
                        <w:right w:val="none" w:sz="0" w:space="0" w:color="auto"/>
                      </w:divBdr>
                    </w:div>
                  </w:divsChild>
                </w:div>
                <w:div w:id="1232235673">
                  <w:marLeft w:val="0"/>
                  <w:marRight w:val="0"/>
                  <w:marTop w:val="0"/>
                  <w:marBottom w:val="0"/>
                  <w:divBdr>
                    <w:top w:val="none" w:sz="0" w:space="0" w:color="auto"/>
                    <w:left w:val="none" w:sz="0" w:space="0" w:color="auto"/>
                    <w:bottom w:val="none" w:sz="0" w:space="0" w:color="auto"/>
                    <w:right w:val="none" w:sz="0" w:space="0" w:color="auto"/>
                  </w:divBdr>
                  <w:divsChild>
                    <w:div w:id="979651197">
                      <w:marLeft w:val="0"/>
                      <w:marRight w:val="0"/>
                      <w:marTop w:val="0"/>
                      <w:marBottom w:val="0"/>
                      <w:divBdr>
                        <w:top w:val="none" w:sz="0" w:space="0" w:color="auto"/>
                        <w:left w:val="none" w:sz="0" w:space="0" w:color="auto"/>
                        <w:bottom w:val="none" w:sz="0" w:space="0" w:color="auto"/>
                        <w:right w:val="none" w:sz="0" w:space="0" w:color="auto"/>
                      </w:divBdr>
                    </w:div>
                  </w:divsChild>
                </w:div>
                <w:div w:id="1241717062">
                  <w:marLeft w:val="0"/>
                  <w:marRight w:val="0"/>
                  <w:marTop w:val="0"/>
                  <w:marBottom w:val="0"/>
                  <w:divBdr>
                    <w:top w:val="none" w:sz="0" w:space="0" w:color="auto"/>
                    <w:left w:val="none" w:sz="0" w:space="0" w:color="auto"/>
                    <w:bottom w:val="none" w:sz="0" w:space="0" w:color="auto"/>
                    <w:right w:val="none" w:sz="0" w:space="0" w:color="auto"/>
                  </w:divBdr>
                  <w:divsChild>
                    <w:div w:id="183566668">
                      <w:marLeft w:val="0"/>
                      <w:marRight w:val="0"/>
                      <w:marTop w:val="0"/>
                      <w:marBottom w:val="0"/>
                      <w:divBdr>
                        <w:top w:val="none" w:sz="0" w:space="0" w:color="auto"/>
                        <w:left w:val="none" w:sz="0" w:space="0" w:color="auto"/>
                        <w:bottom w:val="none" w:sz="0" w:space="0" w:color="auto"/>
                        <w:right w:val="none" w:sz="0" w:space="0" w:color="auto"/>
                      </w:divBdr>
                    </w:div>
                  </w:divsChild>
                </w:div>
                <w:div w:id="1279947207">
                  <w:marLeft w:val="0"/>
                  <w:marRight w:val="0"/>
                  <w:marTop w:val="0"/>
                  <w:marBottom w:val="0"/>
                  <w:divBdr>
                    <w:top w:val="none" w:sz="0" w:space="0" w:color="auto"/>
                    <w:left w:val="none" w:sz="0" w:space="0" w:color="auto"/>
                    <w:bottom w:val="none" w:sz="0" w:space="0" w:color="auto"/>
                    <w:right w:val="none" w:sz="0" w:space="0" w:color="auto"/>
                  </w:divBdr>
                  <w:divsChild>
                    <w:div w:id="1481340938">
                      <w:marLeft w:val="0"/>
                      <w:marRight w:val="0"/>
                      <w:marTop w:val="0"/>
                      <w:marBottom w:val="0"/>
                      <w:divBdr>
                        <w:top w:val="none" w:sz="0" w:space="0" w:color="auto"/>
                        <w:left w:val="none" w:sz="0" w:space="0" w:color="auto"/>
                        <w:bottom w:val="none" w:sz="0" w:space="0" w:color="auto"/>
                        <w:right w:val="none" w:sz="0" w:space="0" w:color="auto"/>
                      </w:divBdr>
                    </w:div>
                  </w:divsChild>
                </w:div>
                <w:div w:id="1283806539">
                  <w:marLeft w:val="0"/>
                  <w:marRight w:val="0"/>
                  <w:marTop w:val="0"/>
                  <w:marBottom w:val="0"/>
                  <w:divBdr>
                    <w:top w:val="none" w:sz="0" w:space="0" w:color="auto"/>
                    <w:left w:val="none" w:sz="0" w:space="0" w:color="auto"/>
                    <w:bottom w:val="none" w:sz="0" w:space="0" w:color="auto"/>
                    <w:right w:val="none" w:sz="0" w:space="0" w:color="auto"/>
                  </w:divBdr>
                  <w:divsChild>
                    <w:div w:id="744106633">
                      <w:marLeft w:val="0"/>
                      <w:marRight w:val="0"/>
                      <w:marTop w:val="0"/>
                      <w:marBottom w:val="0"/>
                      <w:divBdr>
                        <w:top w:val="none" w:sz="0" w:space="0" w:color="auto"/>
                        <w:left w:val="none" w:sz="0" w:space="0" w:color="auto"/>
                        <w:bottom w:val="none" w:sz="0" w:space="0" w:color="auto"/>
                        <w:right w:val="none" w:sz="0" w:space="0" w:color="auto"/>
                      </w:divBdr>
                    </w:div>
                  </w:divsChild>
                </w:div>
                <w:div w:id="1297174915">
                  <w:marLeft w:val="0"/>
                  <w:marRight w:val="0"/>
                  <w:marTop w:val="0"/>
                  <w:marBottom w:val="0"/>
                  <w:divBdr>
                    <w:top w:val="none" w:sz="0" w:space="0" w:color="auto"/>
                    <w:left w:val="none" w:sz="0" w:space="0" w:color="auto"/>
                    <w:bottom w:val="none" w:sz="0" w:space="0" w:color="auto"/>
                    <w:right w:val="none" w:sz="0" w:space="0" w:color="auto"/>
                  </w:divBdr>
                  <w:divsChild>
                    <w:div w:id="726146375">
                      <w:marLeft w:val="0"/>
                      <w:marRight w:val="0"/>
                      <w:marTop w:val="0"/>
                      <w:marBottom w:val="0"/>
                      <w:divBdr>
                        <w:top w:val="none" w:sz="0" w:space="0" w:color="auto"/>
                        <w:left w:val="none" w:sz="0" w:space="0" w:color="auto"/>
                        <w:bottom w:val="none" w:sz="0" w:space="0" w:color="auto"/>
                        <w:right w:val="none" w:sz="0" w:space="0" w:color="auto"/>
                      </w:divBdr>
                    </w:div>
                  </w:divsChild>
                </w:div>
                <w:div w:id="1302075341">
                  <w:marLeft w:val="0"/>
                  <w:marRight w:val="0"/>
                  <w:marTop w:val="0"/>
                  <w:marBottom w:val="0"/>
                  <w:divBdr>
                    <w:top w:val="none" w:sz="0" w:space="0" w:color="auto"/>
                    <w:left w:val="none" w:sz="0" w:space="0" w:color="auto"/>
                    <w:bottom w:val="none" w:sz="0" w:space="0" w:color="auto"/>
                    <w:right w:val="none" w:sz="0" w:space="0" w:color="auto"/>
                  </w:divBdr>
                  <w:divsChild>
                    <w:div w:id="491335782">
                      <w:marLeft w:val="0"/>
                      <w:marRight w:val="0"/>
                      <w:marTop w:val="0"/>
                      <w:marBottom w:val="0"/>
                      <w:divBdr>
                        <w:top w:val="none" w:sz="0" w:space="0" w:color="auto"/>
                        <w:left w:val="none" w:sz="0" w:space="0" w:color="auto"/>
                        <w:bottom w:val="none" w:sz="0" w:space="0" w:color="auto"/>
                        <w:right w:val="none" w:sz="0" w:space="0" w:color="auto"/>
                      </w:divBdr>
                    </w:div>
                  </w:divsChild>
                </w:div>
                <w:div w:id="1325813956">
                  <w:marLeft w:val="0"/>
                  <w:marRight w:val="0"/>
                  <w:marTop w:val="0"/>
                  <w:marBottom w:val="0"/>
                  <w:divBdr>
                    <w:top w:val="none" w:sz="0" w:space="0" w:color="auto"/>
                    <w:left w:val="none" w:sz="0" w:space="0" w:color="auto"/>
                    <w:bottom w:val="none" w:sz="0" w:space="0" w:color="auto"/>
                    <w:right w:val="none" w:sz="0" w:space="0" w:color="auto"/>
                  </w:divBdr>
                  <w:divsChild>
                    <w:div w:id="619841195">
                      <w:marLeft w:val="0"/>
                      <w:marRight w:val="0"/>
                      <w:marTop w:val="0"/>
                      <w:marBottom w:val="0"/>
                      <w:divBdr>
                        <w:top w:val="none" w:sz="0" w:space="0" w:color="auto"/>
                        <w:left w:val="none" w:sz="0" w:space="0" w:color="auto"/>
                        <w:bottom w:val="none" w:sz="0" w:space="0" w:color="auto"/>
                        <w:right w:val="none" w:sz="0" w:space="0" w:color="auto"/>
                      </w:divBdr>
                    </w:div>
                  </w:divsChild>
                </w:div>
                <w:div w:id="1353149709">
                  <w:marLeft w:val="0"/>
                  <w:marRight w:val="0"/>
                  <w:marTop w:val="0"/>
                  <w:marBottom w:val="0"/>
                  <w:divBdr>
                    <w:top w:val="none" w:sz="0" w:space="0" w:color="auto"/>
                    <w:left w:val="none" w:sz="0" w:space="0" w:color="auto"/>
                    <w:bottom w:val="none" w:sz="0" w:space="0" w:color="auto"/>
                    <w:right w:val="none" w:sz="0" w:space="0" w:color="auto"/>
                  </w:divBdr>
                  <w:divsChild>
                    <w:div w:id="858809353">
                      <w:marLeft w:val="0"/>
                      <w:marRight w:val="0"/>
                      <w:marTop w:val="0"/>
                      <w:marBottom w:val="0"/>
                      <w:divBdr>
                        <w:top w:val="none" w:sz="0" w:space="0" w:color="auto"/>
                        <w:left w:val="none" w:sz="0" w:space="0" w:color="auto"/>
                        <w:bottom w:val="none" w:sz="0" w:space="0" w:color="auto"/>
                        <w:right w:val="none" w:sz="0" w:space="0" w:color="auto"/>
                      </w:divBdr>
                    </w:div>
                  </w:divsChild>
                </w:div>
                <w:div w:id="1359158542">
                  <w:marLeft w:val="0"/>
                  <w:marRight w:val="0"/>
                  <w:marTop w:val="0"/>
                  <w:marBottom w:val="0"/>
                  <w:divBdr>
                    <w:top w:val="none" w:sz="0" w:space="0" w:color="auto"/>
                    <w:left w:val="none" w:sz="0" w:space="0" w:color="auto"/>
                    <w:bottom w:val="none" w:sz="0" w:space="0" w:color="auto"/>
                    <w:right w:val="none" w:sz="0" w:space="0" w:color="auto"/>
                  </w:divBdr>
                  <w:divsChild>
                    <w:div w:id="1165320985">
                      <w:marLeft w:val="0"/>
                      <w:marRight w:val="0"/>
                      <w:marTop w:val="0"/>
                      <w:marBottom w:val="0"/>
                      <w:divBdr>
                        <w:top w:val="none" w:sz="0" w:space="0" w:color="auto"/>
                        <w:left w:val="none" w:sz="0" w:space="0" w:color="auto"/>
                        <w:bottom w:val="none" w:sz="0" w:space="0" w:color="auto"/>
                        <w:right w:val="none" w:sz="0" w:space="0" w:color="auto"/>
                      </w:divBdr>
                    </w:div>
                  </w:divsChild>
                </w:div>
                <w:div w:id="1363896191">
                  <w:marLeft w:val="0"/>
                  <w:marRight w:val="0"/>
                  <w:marTop w:val="0"/>
                  <w:marBottom w:val="0"/>
                  <w:divBdr>
                    <w:top w:val="none" w:sz="0" w:space="0" w:color="auto"/>
                    <w:left w:val="none" w:sz="0" w:space="0" w:color="auto"/>
                    <w:bottom w:val="none" w:sz="0" w:space="0" w:color="auto"/>
                    <w:right w:val="none" w:sz="0" w:space="0" w:color="auto"/>
                  </w:divBdr>
                  <w:divsChild>
                    <w:div w:id="499464775">
                      <w:marLeft w:val="0"/>
                      <w:marRight w:val="0"/>
                      <w:marTop w:val="0"/>
                      <w:marBottom w:val="0"/>
                      <w:divBdr>
                        <w:top w:val="none" w:sz="0" w:space="0" w:color="auto"/>
                        <w:left w:val="none" w:sz="0" w:space="0" w:color="auto"/>
                        <w:bottom w:val="none" w:sz="0" w:space="0" w:color="auto"/>
                        <w:right w:val="none" w:sz="0" w:space="0" w:color="auto"/>
                      </w:divBdr>
                    </w:div>
                    <w:div w:id="812218992">
                      <w:marLeft w:val="0"/>
                      <w:marRight w:val="0"/>
                      <w:marTop w:val="0"/>
                      <w:marBottom w:val="0"/>
                      <w:divBdr>
                        <w:top w:val="none" w:sz="0" w:space="0" w:color="auto"/>
                        <w:left w:val="none" w:sz="0" w:space="0" w:color="auto"/>
                        <w:bottom w:val="none" w:sz="0" w:space="0" w:color="auto"/>
                        <w:right w:val="none" w:sz="0" w:space="0" w:color="auto"/>
                      </w:divBdr>
                    </w:div>
                    <w:div w:id="1245186036">
                      <w:marLeft w:val="0"/>
                      <w:marRight w:val="0"/>
                      <w:marTop w:val="0"/>
                      <w:marBottom w:val="0"/>
                      <w:divBdr>
                        <w:top w:val="none" w:sz="0" w:space="0" w:color="auto"/>
                        <w:left w:val="none" w:sz="0" w:space="0" w:color="auto"/>
                        <w:bottom w:val="none" w:sz="0" w:space="0" w:color="auto"/>
                        <w:right w:val="none" w:sz="0" w:space="0" w:color="auto"/>
                      </w:divBdr>
                    </w:div>
                    <w:div w:id="1574048355">
                      <w:marLeft w:val="0"/>
                      <w:marRight w:val="0"/>
                      <w:marTop w:val="0"/>
                      <w:marBottom w:val="0"/>
                      <w:divBdr>
                        <w:top w:val="none" w:sz="0" w:space="0" w:color="auto"/>
                        <w:left w:val="none" w:sz="0" w:space="0" w:color="auto"/>
                        <w:bottom w:val="none" w:sz="0" w:space="0" w:color="auto"/>
                        <w:right w:val="none" w:sz="0" w:space="0" w:color="auto"/>
                      </w:divBdr>
                    </w:div>
                    <w:div w:id="1934973905">
                      <w:marLeft w:val="0"/>
                      <w:marRight w:val="0"/>
                      <w:marTop w:val="0"/>
                      <w:marBottom w:val="0"/>
                      <w:divBdr>
                        <w:top w:val="none" w:sz="0" w:space="0" w:color="auto"/>
                        <w:left w:val="none" w:sz="0" w:space="0" w:color="auto"/>
                        <w:bottom w:val="none" w:sz="0" w:space="0" w:color="auto"/>
                        <w:right w:val="none" w:sz="0" w:space="0" w:color="auto"/>
                      </w:divBdr>
                    </w:div>
                    <w:div w:id="2100059654">
                      <w:marLeft w:val="0"/>
                      <w:marRight w:val="0"/>
                      <w:marTop w:val="0"/>
                      <w:marBottom w:val="0"/>
                      <w:divBdr>
                        <w:top w:val="none" w:sz="0" w:space="0" w:color="auto"/>
                        <w:left w:val="none" w:sz="0" w:space="0" w:color="auto"/>
                        <w:bottom w:val="none" w:sz="0" w:space="0" w:color="auto"/>
                        <w:right w:val="none" w:sz="0" w:space="0" w:color="auto"/>
                      </w:divBdr>
                    </w:div>
                  </w:divsChild>
                </w:div>
                <w:div w:id="1366981739">
                  <w:marLeft w:val="0"/>
                  <w:marRight w:val="0"/>
                  <w:marTop w:val="0"/>
                  <w:marBottom w:val="0"/>
                  <w:divBdr>
                    <w:top w:val="none" w:sz="0" w:space="0" w:color="auto"/>
                    <w:left w:val="none" w:sz="0" w:space="0" w:color="auto"/>
                    <w:bottom w:val="none" w:sz="0" w:space="0" w:color="auto"/>
                    <w:right w:val="none" w:sz="0" w:space="0" w:color="auto"/>
                  </w:divBdr>
                  <w:divsChild>
                    <w:div w:id="576937335">
                      <w:marLeft w:val="0"/>
                      <w:marRight w:val="0"/>
                      <w:marTop w:val="0"/>
                      <w:marBottom w:val="0"/>
                      <w:divBdr>
                        <w:top w:val="none" w:sz="0" w:space="0" w:color="auto"/>
                        <w:left w:val="none" w:sz="0" w:space="0" w:color="auto"/>
                        <w:bottom w:val="none" w:sz="0" w:space="0" w:color="auto"/>
                        <w:right w:val="none" w:sz="0" w:space="0" w:color="auto"/>
                      </w:divBdr>
                    </w:div>
                  </w:divsChild>
                </w:div>
                <w:div w:id="1375883638">
                  <w:marLeft w:val="0"/>
                  <w:marRight w:val="0"/>
                  <w:marTop w:val="0"/>
                  <w:marBottom w:val="0"/>
                  <w:divBdr>
                    <w:top w:val="none" w:sz="0" w:space="0" w:color="auto"/>
                    <w:left w:val="none" w:sz="0" w:space="0" w:color="auto"/>
                    <w:bottom w:val="none" w:sz="0" w:space="0" w:color="auto"/>
                    <w:right w:val="none" w:sz="0" w:space="0" w:color="auto"/>
                  </w:divBdr>
                  <w:divsChild>
                    <w:div w:id="1096169872">
                      <w:marLeft w:val="0"/>
                      <w:marRight w:val="0"/>
                      <w:marTop w:val="0"/>
                      <w:marBottom w:val="0"/>
                      <w:divBdr>
                        <w:top w:val="none" w:sz="0" w:space="0" w:color="auto"/>
                        <w:left w:val="none" w:sz="0" w:space="0" w:color="auto"/>
                        <w:bottom w:val="none" w:sz="0" w:space="0" w:color="auto"/>
                        <w:right w:val="none" w:sz="0" w:space="0" w:color="auto"/>
                      </w:divBdr>
                    </w:div>
                  </w:divsChild>
                </w:div>
                <w:div w:id="1391542222">
                  <w:marLeft w:val="0"/>
                  <w:marRight w:val="0"/>
                  <w:marTop w:val="0"/>
                  <w:marBottom w:val="0"/>
                  <w:divBdr>
                    <w:top w:val="none" w:sz="0" w:space="0" w:color="auto"/>
                    <w:left w:val="none" w:sz="0" w:space="0" w:color="auto"/>
                    <w:bottom w:val="none" w:sz="0" w:space="0" w:color="auto"/>
                    <w:right w:val="none" w:sz="0" w:space="0" w:color="auto"/>
                  </w:divBdr>
                  <w:divsChild>
                    <w:div w:id="833255785">
                      <w:marLeft w:val="0"/>
                      <w:marRight w:val="0"/>
                      <w:marTop w:val="0"/>
                      <w:marBottom w:val="0"/>
                      <w:divBdr>
                        <w:top w:val="none" w:sz="0" w:space="0" w:color="auto"/>
                        <w:left w:val="none" w:sz="0" w:space="0" w:color="auto"/>
                        <w:bottom w:val="none" w:sz="0" w:space="0" w:color="auto"/>
                        <w:right w:val="none" w:sz="0" w:space="0" w:color="auto"/>
                      </w:divBdr>
                    </w:div>
                  </w:divsChild>
                </w:div>
                <w:div w:id="1406607102">
                  <w:marLeft w:val="0"/>
                  <w:marRight w:val="0"/>
                  <w:marTop w:val="0"/>
                  <w:marBottom w:val="0"/>
                  <w:divBdr>
                    <w:top w:val="none" w:sz="0" w:space="0" w:color="auto"/>
                    <w:left w:val="none" w:sz="0" w:space="0" w:color="auto"/>
                    <w:bottom w:val="none" w:sz="0" w:space="0" w:color="auto"/>
                    <w:right w:val="none" w:sz="0" w:space="0" w:color="auto"/>
                  </w:divBdr>
                  <w:divsChild>
                    <w:div w:id="474764363">
                      <w:marLeft w:val="0"/>
                      <w:marRight w:val="0"/>
                      <w:marTop w:val="0"/>
                      <w:marBottom w:val="0"/>
                      <w:divBdr>
                        <w:top w:val="none" w:sz="0" w:space="0" w:color="auto"/>
                        <w:left w:val="none" w:sz="0" w:space="0" w:color="auto"/>
                        <w:bottom w:val="none" w:sz="0" w:space="0" w:color="auto"/>
                        <w:right w:val="none" w:sz="0" w:space="0" w:color="auto"/>
                      </w:divBdr>
                    </w:div>
                  </w:divsChild>
                </w:div>
                <w:div w:id="1407804648">
                  <w:marLeft w:val="0"/>
                  <w:marRight w:val="0"/>
                  <w:marTop w:val="0"/>
                  <w:marBottom w:val="0"/>
                  <w:divBdr>
                    <w:top w:val="none" w:sz="0" w:space="0" w:color="auto"/>
                    <w:left w:val="none" w:sz="0" w:space="0" w:color="auto"/>
                    <w:bottom w:val="none" w:sz="0" w:space="0" w:color="auto"/>
                    <w:right w:val="none" w:sz="0" w:space="0" w:color="auto"/>
                  </w:divBdr>
                  <w:divsChild>
                    <w:div w:id="343098061">
                      <w:marLeft w:val="0"/>
                      <w:marRight w:val="0"/>
                      <w:marTop w:val="0"/>
                      <w:marBottom w:val="0"/>
                      <w:divBdr>
                        <w:top w:val="none" w:sz="0" w:space="0" w:color="auto"/>
                        <w:left w:val="none" w:sz="0" w:space="0" w:color="auto"/>
                        <w:bottom w:val="none" w:sz="0" w:space="0" w:color="auto"/>
                        <w:right w:val="none" w:sz="0" w:space="0" w:color="auto"/>
                      </w:divBdr>
                    </w:div>
                  </w:divsChild>
                </w:div>
                <w:div w:id="1421368503">
                  <w:marLeft w:val="0"/>
                  <w:marRight w:val="0"/>
                  <w:marTop w:val="0"/>
                  <w:marBottom w:val="0"/>
                  <w:divBdr>
                    <w:top w:val="none" w:sz="0" w:space="0" w:color="auto"/>
                    <w:left w:val="none" w:sz="0" w:space="0" w:color="auto"/>
                    <w:bottom w:val="none" w:sz="0" w:space="0" w:color="auto"/>
                    <w:right w:val="none" w:sz="0" w:space="0" w:color="auto"/>
                  </w:divBdr>
                  <w:divsChild>
                    <w:div w:id="1564947455">
                      <w:marLeft w:val="0"/>
                      <w:marRight w:val="0"/>
                      <w:marTop w:val="0"/>
                      <w:marBottom w:val="0"/>
                      <w:divBdr>
                        <w:top w:val="none" w:sz="0" w:space="0" w:color="auto"/>
                        <w:left w:val="none" w:sz="0" w:space="0" w:color="auto"/>
                        <w:bottom w:val="none" w:sz="0" w:space="0" w:color="auto"/>
                        <w:right w:val="none" w:sz="0" w:space="0" w:color="auto"/>
                      </w:divBdr>
                    </w:div>
                  </w:divsChild>
                </w:div>
                <w:div w:id="1437478153">
                  <w:marLeft w:val="0"/>
                  <w:marRight w:val="0"/>
                  <w:marTop w:val="0"/>
                  <w:marBottom w:val="0"/>
                  <w:divBdr>
                    <w:top w:val="none" w:sz="0" w:space="0" w:color="auto"/>
                    <w:left w:val="none" w:sz="0" w:space="0" w:color="auto"/>
                    <w:bottom w:val="none" w:sz="0" w:space="0" w:color="auto"/>
                    <w:right w:val="none" w:sz="0" w:space="0" w:color="auto"/>
                  </w:divBdr>
                  <w:divsChild>
                    <w:div w:id="1222521358">
                      <w:marLeft w:val="0"/>
                      <w:marRight w:val="0"/>
                      <w:marTop w:val="0"/>
                      <w:marBottom w:val="0"/>
                      <w:divBdr>
                        <w:top w:val="none" w:sz="0" w:space="0" w:color="auto"/>
                        <w:left w:val="none" w:sz="0" w:space="0" w:color="auto"/>
                        <w:bottom w:val="none" w:sz="0" w:space="0" w:color="auto"/>
                        <w:right w:val="none" w:sz="0" w:space="0" w:color="auto"/>
                      </w:divBdr>
                    </w:div>
                  </w:divsChild>
                </w:div>
                <w:div w:id="1456489247">
                  <w:marLeft w:val="0"/>
                  <w:marRight w:val="0"/>
                  <w:marTop w:val="0"/>
                  <w:marBottom w:val="0"/>
                  <w:divBdr>
                    <w:top w:val="none" w:sz="0" w:space="0" w:color="auto"/>
                    <w:left w:val="none" w:sz="0" w:space="0" w:color="auto"/>
                    <w:bottom w:val="none" w:sz="0" w:space="0" w:color="auto"/>
                    <w:right w:val="none" w:sz="0" w:space="0" w:color="auto"/>
                  </w:divBdr>
                  <w:divsChild>
                    <w:div w:id="1996451890">
                      <w:marLeft w:val="0"/>
                      <w:marRight w:val="0"/>
                      <w:marTop w:val="0"/>
                      <w:marBottom w:val="0"/>
                      <w:divBdr>
                        <w:top w:val="none" w:sz="0" w:space="0" w:color="auto"/>
                        <w:left w:val="none" w:sz="0" w:space="0" w:color="auto"/>
                        <w:bottom w:val="none" w:sz="0" w:space="0" w:color="auto"/>
                        <w:right w:val="none" w:sz="0" w:space="0" w:color="auto"/>
                      </w:divBdr>
                    </w:div>
                  </w:divsChild>
                </w:div>
                <w:div w:id="1485387142">
                  <w:marLeft w:val="0"/>
                  <w:marRight w:val="0"/>
                  <w:marTop w:val="0"/>
                  <w:marBottom w:val="0"/>
                  <w:divBdr>
                    <w:top w:val="none" w:sz="0" w:space="0" w:color="auto"/>
                    <w:left w:val="none" w:sz="0" w:space="0" w:color="auto"/>
                    <w:bottom w:val="none" w:sz="0" w:space="0" w:color="auto"/>
                    <w:right w:val="none" w:sz="0" w:space="0" w:color="auto"/>
                  </w:divBdr>
                  <w:divsChild>
                    <w:div w:id="1847016391">
                      <w:marLeft w:val="0"/>
                      <w:marRight w:val="0"/>
                      <w:marTop w:val="0"/>
                      <w:marBottom w:val="0"/>
                      <w:divBdr>
                        <w:top w:val="none" w:sz="0" w:space="0" w:color="auto"/>
                        <w:left w:val="none" w:sz="0" w:space="0" w:color="auto"/>
                        <w:bottom w:val="none" w:sz="0" w:space="0" w:color="auto"/>
                        <w:right w:val="none" w:sz="0" w:space="0" w:color="auto"/>
                      </w:divBdr>
                    </w:div>
                  </w:divsChild>
                </w:div>
                <w:div w:id="1491217485">
                  <w:marLeft w:val="0"/>
                  <w:marRight w:val="0"/>
                  <w:marTop w:val="0"/>
                  <w:marBottom w:val="0"/>
                  <w:divBdr>
                    <w:top w:val="none" w:sz="0" w:space="0" w:color="auto"/>
                    <w:left w:val="none" w:sz="0" w:space="0" w:color="auto"/>
                    <w:bottom w:val="none" w:sz="0" w:space="0" w:color="auto"/>
                    <w:right w:val="none" w:sz="0" w:space="0" w:color="auto"/>
                  </w:divBdr>
                  <w:divsChild>
                    <w:div w:id="1369990857">
                      <w:marLeft w:val="0"/>
                      <w:marRight w:val="0"/>
                      <w:marTop w:val="0"/>
                      <w:marBottom w:val="0"/>
                      <w:divBdr>
                        <w:top w:val="none" w:sz="0" w:space="0" w:color="auto"/>
                        <w:left w:val="none" w:sz="0" w:space="0" w:color="auto"/>
                        <w:bottom w:val="none" w:sz="0" w:space="0" w:color="auto"/>
                        <w:right w:val="none" w:sz="0" w:space="0" w:color="auto"/>
                      </w:divBdr>
                    </w:div>
                  </w:divsChild>
                </w:div>
                <w:div w:id="1491679024">
                  <w:marLeft w:val="0"/>
                  <w:marRight w:val="0"/>
                  <w:marTop w:val="0"/>
                  <w:marBottom w:val="0"/>
                  <w:divBdr>
                    <w:top w:val="none" w:sz="0" w:space="0" w:color="auto"/>
                    <w:left w:val="none" w:sz="0" w:space="0" w:color="auto"/>
                    <w:bottom w:val="none" w:sz="0" w:space="0" w:color="auto"/>
                    <w:right w:val="none" w:sz="0" w:space="0" w:color="auto"/>
                  </w:divBdr>
                  <w:divsChild>
                    <w:div w:id="378601531">
                      <w:marLeft w:val="0"/>
                      <w:marRight w:val="0"/>
                      <w:marTop w:val="0"/>
                      <w:marBottom w:val="0"/>
                      <w:divBdr>
                        <w:top w:val="none" w:sz="0" w:space="0" w:color="auto"/>
                        <w:left w:val="none" w:sz="0" w:space="0" w:color="auto"/>
                        <w:bottom w:val="none" w:sz="0" w:space="0" w:color="auto"/>
                        <w:right w:val="none" w:sz="0" w:space="0" w:color="auto"/>
                      </w:divBdr>
                    </w:div>
                  </w:divsChild>
                </w:div>
                <w:div w:id="1510943605">
                  <w:marLeft w:val="0"/>
                  <w:marRight w:val="0"/>
                  <w:marTop w:val="0"/>
                  <w:marBottom w:val="0"/>
                  <w:divBdr>
                    <w:top w:val="none" w:sz="0" w:space="0" w:color="auto"/>
                    <w:left w:val="none" w:sz="0" w:space="0" w:color="auto"/>
                    <w:bottom w:val="none" w:sz="0" w:space="0" w:color="auto"/>
                    <w:right w:val="none" w:sz="0" w:space="0" w:color="auto"/>
                  </w:divBdr>
                  <w:divsChild>
                    <w:div w:id="1228608045">
                      <w:marLeft w:val="0"/>
                      <w:marRight w:val="0"/>
                      <w:marTop w:val="0"/>
                      <w:marBottom w:val="0"/>
                      <w:divBdr>
                        <w:top w:val="none" w:sz="0" w:space="0" w:color="auto"/>
                        <w:left w:val="none" w:sz="0" w:space="0" w:color="auto"/>
                        <w:bottom w:val="none" w:sz="0" w:space="0" w:color="auto"/>
                        <w:right w:val="none" w:sz="0" w:space="0" w:color="auto"/>
                      </w:divBdr>
                    </w:div>
                  </w:divsChild>
                </w:div>
                <w:div w:id="1524317213">
                  <w:marLeft w:val="0"/>
                  <w:marRight w:val="0"/>
                  <w:marTop w:val="0"/>
                  <w:marBottom w:val="0"/>
                  <w:divBdr>
                    <w:top w:val="none" w:sz="0" w:space="0" w:color="auto"/>
                    <w:left w:val="none" w:sz="0" w:space="0" w:color="auto"/>
                    <w:bottom w:val="none" w:sz="0" w:space="0" w:color="auto"/>
                    <w:right w:val="none" w:sz="0" w:space="0" w:color="auto"/>
                  </w:divBdr>
                  <w:divsChild>
                    <w:div w:id="2094625232">
                      <w:marLeft w:val="0"/>
                      <w:marRight w:val="0"/>
                      <w:marTop w:val="0"/>
                      <w:marBottom w:val="0"/>
                      <w:divBdr>
                        <w:top w:val="none" w:sz="0" w:space="0" w:color="auto"/>
                        <w:left w:val="none" w:sz="0" w:space="0" w:color="auto"/>
                        <w:bottom w:val="none" w:sz="0" w:space="0" w:color="auto"/>
                        <w:right w:val="none" w:sz="0" w:space="0" w:color="auto"/>
                      </w:divBdr>
                    </w:div>
                  </w:divsChild>
                </w:div>
                <w:div w:id="1524438873">
                  <w:marLeft w:val="0"/>
                  <w:marRight w:val="0"/>
                  <w:marTop w:val="0"/>
                  <w:marBottom w:val="0"/>
                  <w:divBdr>
                    <w:top w:val="none" w:sz="0" w:space="0" w:color="auto"/>
                    <w:left w:val="none" w:sz="0" w:space="0" w:color="auto"/>
                    <w:bottom w:val="none" w:sz="0" w:space="0" w:color="auto"/>
                    <w:right w:val="none" w:sz="0" w:space="0" w:color="auto"/>
                  </w:divBdr>
                  <w:divsChild>
                    <w:div w:id="696084493">
                      <w:marLeft w:val="0"/>
                      <w:marRight w:val="0"/>
                      <w:marTop w:val="0"/>
                      <w:marBottom w:val="0"/>
                      <w:divBdr>
                        <w:top w:val="none" w:sz="0" w:space="0" w:color="auto"/>
                        <w:left w:val="none" w:sz="0" w:space="0" w:color="auto"/>
                        <w:bottom w:val="none" w:sz="0" w:space="0" w:color="auto"/>
                        <w:right w:val="none" w:sz="0" w:space="0" w:color="auto"/>
                      </w:divBdr>
                    </w:div>
                  </w:divsChild>
                </w:div>
                <w:div w:id="1531603911">
                  <w:marLeft w:val="0"/>
                  <w:marRight w:val="0"/>
                  <w:marTop w:val="0"/>
                  <w:marBottom w:val="0"/>
                  <w:divBdr>
                    <w:top w:val="none" w:sz="0" w:space="0" w:color="auto"/>
                    <w:left w:val="none" w:sz="0" w:space="0" w:color="auto"/>
                    <w:bottom w:val="none" w:sz="0" w:space="0" w:color="auto"/>
                    <w:right w:val="none" w:sz="0" w:space="0" w:color="auto"/>
                  </w:divBdr>
                  <w:divsChild>
                    <w:div w:id="646007592">
                      <w:marLeft w:val="0"/>
                      <w:marRight w:val="0"/>
                      <w:marTop w:val="0"/>
                      <w:marBottom w:val="0"/>
                      <w:divBdr>
                        <w:top w:val="none" w:sz="0" w:space="0" w:color="auto"/>
                        <w:left w:val="none" w:sz="0" w:space="0" w:color="auto"/>
                        <w:bottom w:val="none" w:sz="0" w:space="0" w:color="auto"/>
                        <w:right w:val="none" w:sz="0" w:space="0" w:color="auto"/>
                      </w:divBdr>
                    </w:div>
                  </w:divsChild>
                </w:div>
                <w:div w:id="1533306396">
                  <w:marLeft w:val="0"/>
                  <w:marRight w:val="0"/>
                  <w:marTop w:val="0"/>
                  <w:marBottom w:val="0"/>
                  <w:divBdr>
                    <w:top w:val="none" w:sz="0" w:space="0" w:color="auto"/>
                    <w:left w:val="none" w:sz="0" w:space="0" w:color="auto"/>
                    <w:bottom w:val="none" w:sz="0" w:space="0" w:color="auto"/>
                    <w:right w:val="none" w:sz="0" w:space="0" w:color="auto"/>
                  </w:divBdr>
                  <w:divsChild>
                    <w:div w:id="400759782">
                      <w:marLeft w:val="0"/>
                      <w:marRight w:val="0"/>
                      <w:marTop w:val="0"/>
                      <w:marBottom w:val="0"/>
                      <w:divBdr>
                        <w:top w:val="none" w:sz="0" w:space="0" w:color="auto"/>
                        <w:left w:val="none" w:sz="0" w:space="0" w:color="auto"/>
                        <w:bottom w:val="none" w:sz="0" w:space="0" w:color="auto"/>
                        <w:right w:val="none" w:sz="0" w:space="0" w:color="auto"/>
                      </w:divBdr>
                    </w:div>
                  </w:divsChild>
                </w:div>
                <w:div w:id="1558475329">
                  <w:marLeft w:val="0"/>
                  <w:marRight w:val="0"/>
                  <w:marTop w:val="0"/>
                  <w:marBottom w:val="0"/>
                  <w:divBdr>
                    <w:top w:val="none" w:sz="0" w:space="0" w:color="auto"/>
                    <w:left w:val="none" w:sz="0" w:space="0" w:color="auto"/>
                    <w:bottom w:val="none" w:sz="0" w:space="0" w:color="auto"/>
                    <w:right w:val="none" w:sz="0" w:space="0" w:color="auto"/>
                  </w:divBdr>
                  <w:divsChild>
                    <w:div w:id="844132963">
                      <w:marLeft w:val="0"/>
                      <w:marRight w:val="0"/>
                      <w:marTop w:val="0"/>
                      <w:marBottom w:val="0"/>
                      <w:divBdr>
                        <w:top w:val="none" w:sz="0" w:space="0" w:color="auto"/>
                        <w:left w:val="none" w:sz="0" w:space="0" w:color="auto"/>
                        <w:bottom w:val="none" w:sz="0" w:space="0" w:color="auto"/>
                        <w:right w:val="none" w:sz="0" w:space="0" w:color="auto"/>
                      </w:divBdr>
                    </w:div>
                  </w:divsChild>
                </w:div>
                <w:div w:id="1574316579">
                  <w:marLeft w:val="0"/>
                  <w:marRight w:val="0"/>
                  <w:marTop w:val="0"/>
                  <w:marBottom w:val="0"/>
                  <w:divBdr>
                    <w:top w:val="none" w:sz="0" w:space="0" w:color="auto"/>
                    <w:left w:val="none" w:sz="0" w:space="0" w:color="auto"/>
                    <w:bottom w:val="none" w:sz="0" w:space="0" w:color="auto"/>
                    <w:right w:val="none" w:sz="0" w:space="0" w:color="auto"/>
                  </w:divBdr>
                  <w:divsChild>
                    <w:div w:id="11223387">
                      <w:marLeft w:val="0"/>
                      <w:marRight w:val="0"/>
                      <w:marTop w:val="0"/>
                      <w:marBottom w:val="0"/>
                      <w:divBdr>
                        <w:top w:val="none" w:sz="0" w:space="0" w:color="auto"/>
                        <w:left w:val="none" w:sz="0" w:space="0" w:color="auto"/>
                        <w:bottom w:val="none" w:sz="0" w:space="0" w:color="auto"/>
                        <w:right w:val="none" w:sz="0" w:space="0" w:color="auto"/>
                      </w:divBdr>
                    </w:div>
                  </w:divsChild>
                </w:div>
                <w:div w:id="1576473061">
                  <w:marLeft w:val="0"/>
                  <w:marRight w:val="0"/>
                  <w:marTop w:val="0"/>
                  <w:marBottom w:val="0"/>
                  <w:divBdr>
                    <w:top w:val="none" w:sz="0" w:space="0" w:color="auto"/>
                    <w:left w:val="none" w:sz="0" w:space="0" w:color="auto"/>
                    <w:bottom w:val="none" w:sz="0" w:space="0" w:color="auto"/>
                    <w:right w:val="none" w:sz="0" w:space="0" w:color="auto"/>
                  </w:divBdr>
                  <w:divsChild>
                    <w:div w:id="592980447">
                      <w:marLeft w:val="0"/>
                      <w:marRight w:val="0"/>
                      <w:marTop w:val="0"/>
                      <w:marBottom w:val="0"/>
                      <w:divBdr>
                        <w:top w:val="none" w:sz="0" w:space="0" w:color="auto"/>
                        <w:left w:val="none" w:sz="0" w:space="0" w:color="auto"/>
                        <w:bottom w:val="none" w:sz="0" w:space="0" w:color="auto"/>
                        <w:right w:val="none" w:sz="0" w:space="0" w:color="auto"/>
                      </w:divBdr>
                    </w:div>
                  </w:divsChild>
                </w:div>
                <w:div w:id="1579248008">
                  <w:marLeft w:val="0"/>
                  <w:marRight w:val="0"/>
                  <w:marTop w:val="0"/>
                  <w:marBottom w:val="0"/>
                  <w:divBdr>
                    <w:top w:val="none" w:sz="0" w:space="0" w:color="auto"/>
                    <w:left w:val="none" w:sz="0" w:space="0" w:color="auto"/>
                    <w:bottom w:val="none" w:sz="0" w:space="0" w:color="auto"/>
                    <w:right w:val="none" w:sz="0" w:space="0" w:color="auto"/>
                  </w:divBdr>
                  <w:divsChild>
                    <w:div w:id="255017020">
                      <w:marLeft w:val="0"/>
                      <w:marRight w:val="0"/>
                      <w:marTop w:val="0"/>
                      <w:marBottom w:val="0"/>
                      <w:divBdr>
                        <w:top w:val="none" w:sz="0" w:space="0" w:color="auto"/>
                        <w:left w:val="none" w:sz="0" w:space="0" w:color="auto"/>
                        <w:bottom w:val="none" w:sz="0" w:space="0" w:color="auto"/>
                        <w:right w:val="none" w:sz="0" w:space="0" w:color="auto"/>
                      </w:divBdr>
                    </w:div>
                  </w:divsChild>
                </w:div>
                <w:div w:id="1581327014">
                  <w:marLeft w:val="0"/>
                  <w:marRight w:val="0"/>
                  <w:marTop w:val="0"/>
                  <w:marBottom w:val="0"/>
                  <w:divBdr>
                    <w:top w:val="none" w:sz="0" w:space="0" w:color="auto"/>
                    <w:left w:val="none" w:sz="0" w:space="0" w:color="auto"/>
                    <w:bottom w:val="none" w:sz="0" w:space="0" w:color="auto"/>
                    <w:right w:val="none" w:sz="0" w:space="0" w:color="auto"/>
                  </w:divBdr>
                  <w:divsChild>
                    <w:div w:id="1719283591">
                      <w:marLeft w:val="0"/>
                      <w:marRight w:val="0"/>
                      <w:marTop w:val="0"/>
                      <w:marBottom w:val="0"/>
                      <w:divBdr>
                        <w:top w:val="none" w:sz="0" w:space="0" w:color="auto"/>
                        <w:left w:val="none" w:sz="0" w:space="0" w:color="auto"/>
                        <w:bottom w:val="none" w:sz="0" w:space="0" w:color="auto"/>
                        <w:right w:val="none" w:sz="0" w:space="0" w:color="auto"/>
                      </w:divBdr>
                    </w:div>
                  </w:divsChild>
                </w:div>
                <w:div w:id="1602109602">
                  <w:marLeft w:val="0"/>
                  <w:marRight w:val="0"/>
                  <w:marTop w:val="0"/>
                  <w:marBottom w:val="0"/>
                  <w:divBdr>
                    <w:top w:val="none" w:sz="0" w:space="0" w:color="auto"/>
                    <w:left w:val="none" w:sz="0" w:space="0" w:color="auto"/>
                    <w:bottom w:val="none" w:sz="0" w:space="0" w:color="auto"/>
                    <w:right w:val="none" w:sz="0" w:space="0" w:color="auto"/>
                  </w:divBdr>
                  <w:divsChild>
                    <w:div w:id="1956981428">
                      <w:marLeft w:val="0"/>
                      <w:marRight w:val="0"/>
                      <w:marTop w:val="0"/>
                      <w:marBottom w:val="0"/>
                      <w:divBdr>
                        <w:top w:val="none" w:sz="0" w:space="0" w:color="auto"/>
                        <w:left w:val="none" w:sz="0" w:space="0" w:color="auto"/>
                        <w:bottom w:val="none" w:sz="0" w:space="0" w:color="auto"/>
                        <w:right w:val="none" w:sz="0" w:space="0" w:color="auto"/>
                      </w:divBdr>
                    </w:div>
                  </w:divsChild>
                </w:div>
                <w:div w:id="1614285511">
                  <w:marLeft w:val="0"/>
                  <w:marRight w:val="0"/>
                  <w:marTop w:val="0"/>
                  <w:marBottom w:val="0"/>
                  <w:divBdr>
                    <w:top w:val="none" w:sz="0" w:space="0" w:color="auto"/>
                    <w:left w:val="none" w:sz="0" w:space="0" w:color="auto"/>
                    <w:bottom w:val="none" w:sz="0" w:space="0" w:color="auto"/>
                    <w:right w:val="none" w:sz="0" w:space="0" w:color="auto"/>
                  </w:divBdr>
                  <w:divsChild>
                    <w:div w:id="821892066">
                      <w:marLeft w:val="0"/>
                      <w:marRight w:val="0"/>
                      <w:marTop w:val="0"/>
                      <w:marBottom w:val="0"/>
                      <w:divBdr>
                        <w:top w:val="none" w:sz="0" w:space="0" w:color="auto"/>
                        <w:left w:val="none" w:sz="0" w:space="0" w:color="auto"/>
                        <w:bottom w:val="none" w:sz="0" w:space="0" w:color="auto"/>
                        <w:right w:val="none" w:sz="0" w:space="0" w:color="auto"/>
                      </w:divBdr>
                    </w:div>
                  </w:divsChild>
                </w:div>
                <w:div w:id="1621104713">
                  <w:marLeft w:val="0"/>
                  <w:marRight w:val="0"/>
                  <w:marTop w:val="0"/>
                  <w:marBottom w:val="0"/>
                  <w:divBdr>
                    <w:top w:val="none" w:sz="0" w:space="0" w:color="auto"/>
                    <w:left w:val="none" w:sz="0" w:space="0" w:color="auto"/>
                    <w:bottom w:val="none" w:sz="0" w:space="0" w:color="auto"/>
                    <w:right w:val="none" w:sz="0" w:space="0" w:color="auto"/>
                  </w:divBdr>
                  <w:divsChild>
                    <w:div w:id="20401467">
                      <w:marLeft w:val="0"/>
                      <w:marRight w:val="0"/>
                      <w:marTop w:val="0"/>
                      <w:marBottom w:val="0"/>
                      <w:divBdr>
                        <w:top w:val="none" w:sz="0" w:space="0" w:color="auto"/>
                        <w:left w:val="none" w:sz="0" w:space="0" w:color="auto"/>
                        <w:bottom w:val="none" w:sz="0" w:space="0" w:color="auto"/>
                        <w:right w:val="none" w:sz="0" w:space="0" w:color="auto"/>
                      </w:divBdr>
                    </w:div>
                  </w:divsChild>
                </w:div>
                <w:div w:id="1633826370">
                  <w:marLeft w:val="0"/>
                  <w:marRight w:val="0"/>
                  <w:marTop w:val="0"/>
                  <w:marBottom w:val="0"/>
                  <w:divBdr>
                    <w:top w:val="none" w:sz="0" w:space="0" w:color="auto"/>
                    <w:left w:val="none" w:sz="0" w:space="0" w:color="auto"/>
                    <w:bottom w:val="none" w:sz="0" w:space="0" w:color="auto"/>
                    <w:right w:val="none" w:sz="0" w:space="0" w:color="auto"/>
                  </w:divBdr>
                  <w:divsChild>
                    <w:div w:id="1409614333">
                      <w:marLeft w:val="0"/>
                      <w:marRight w:val="0"/>
                      <w:marTop w:val="0"/>
                      <w:marBottom w:val="0"/>
                      <w:divBdr>
                        <w:top w:val="none" w:sz="0" w:space="0" w:color="auto"/>
                        <w:left w:val="none" w:sz="0" w:space="0" w:color="auto"/>
                        <w:bottom w:val="none" w:sz="0" w:space="0" w:color="auto"/>
                        <w:right w:val="none" w:sz="0" w:space="0" w:color="auto"/>
                      </w:divBdr>
                    </w:div>
                  </w:divsChild>
                </w:div>
                <w:div w:id="1634361397">
                  <w:marLeft w:val="0"/>
                  <w:marRight w:val="0"/>
                  <w:marTop w:val="0"/>
                  <w:marBottom w:val="0"/>
                  <w:divBdr>
                    <w:top w:val="none" w:sz="0" w:space="0" w:color="auto"/>
                    <w:left w:val="none" w:sz="0" w:space="0" w:color="auto"/>
                    <w:bottom w:val="none" w:sz="0" w:space="0" w:color="auto"/>
                    <w:right w:val="none" w:sz="0" w:space="0" w:color="auto"/>
                  </w:divBdr>
                  <w:divsChild>
                    <w:div w:id="1202356145">
                      <w:marLeft w:val="0"/>
                      <w:marRight w:val="0"/>
                      <w:marTop w:val="0"/>
                      <w:marBottom w:val="0"/>
                      <w:divBdr>
                        <w:top w:val="none" w:sz="0" w:space="0" w:color="auto"/>
                        <w:left w:val="none" w:sz="0" w:space="0" w:color="auto"/>
                        <w:bottom w:val="none" w:sz="0" w:space="0" w:color="auto"/>
                        <w:right w:val="none" w:sz="0" w:space="0" w:color="auto"/>
                      </w:divBdr>
                    </w:div>
                  </w:divsChild>
                </w:div>
                <w:div w:id="1641960137">
                  <w:marLeft w:val="0"/>
                  <w:marRight w:val="0"/>
                  <w:marTop w:val="0"/>
                  <w:marBottom w:val="0"/>
                  <w:divBdr>
                    <w:top w:val="none" w:sz="0" w:space="0" w:color="auto"/>
                    <w:left w:val="none" w:sz="0" w:space="0" w:color="auto"/>
                    <w:bottom w:val="none" w:sz="0" w:space="0" w:color="auto"/>
                    <w:right w:val="none" w:sz="0" w:space="0" w:color="auto"/>
                  </w:divBdr>
                  <w:divsChild>
                    <w:div w:id="556861616">
                      <w:marLeft w:val="0"/>
                      <w:marRight w:val="0"/>
                      <w:marTop w:val="0"/>
                      <w:marBottom w:val="0"/>
                      <w:divBdr>
                        <w:top w:val="none" w:sz="0" w:space="0" w:color="auto"/>
                        <w:left w:val="none" w:sz="0" w:space="0" w:color="auto"/>
                        <w:bottom w:val="none" w:sz="0" w:space="0" w:color="auto"/>
                        <w:right w:val="none" w:sz="0" w:space="0" w:color="auto"/>
                      </w:divBdr>
                    </w:div>
                  </w:divsChild>
                </w:div>
                <w:div w:id="1643580960">
                  <w:marLeft w:val="0"/>
                  <w:marRight w:val="0"/>
                  <w:marTop w:val="0"/>
                  <w:marBottom w:val="0"/>
                  <w:divBdr>
                    <w:top w:val="none" w:sz="0" w:space="0" w:color="auto"/>
                    <w:left w:val="none" w:sz="0" w:space="0" w:color="auto"/>
                    <w:bottom w:val="none" w:sz="0" w:space="0" w:color="auto"/>
                    <w:right w:val="none" w:sz="0" w:space="0" w:color="auto"/>
                  </w:divBdr>
                  <w:divsChild>
                    <w:div w:id="222102584">
                      <w:marLeft w:val="0"/>
                      <w:marRight w:val="0"/>
                      <w:marTop w:val="0"/>
                      <w:marBottom w:val="0"/>
                      <w:divBdr>
                        <w:top w:val="none" w:sz="0" w:space="0" w:color="auto"/>
                        <w:left w:val="none" w:sz="0" w:space="0" w:color="auto"/>
                        <w:bottom w:val="none" w:sz="0" w:space="0" w:color="auto"/>
                        <w:right w:val="none" w:sz="0" w:space="0" w:color="auto"/>
                      </w:divBdr>
                    </w:div>
                  </w:divsChild>
                </w:div>
                <w:div w:id="1645814217">
                  <w:marLeft w:val="0"/>
                  <w:marRight w:val="0"/>
                  <w:marTop w:val="0"/>
                  <w:marBottom w:val="0"/>
                  <w:divBdr>
                    <w:top w:val="none" w:sz="0" w:space="0" w:color="auto"/>
                    <w:left w:val="none" w:sz="0" w:space="0" w:color="auto"/>
                    <w:bottom w:val="none" w:sz="0" w:space="0" w:color="auto"/>
                    <w:right w:val="none" w:sz="0" w:space="0" w:color="auto"/>
                  </w:divBdr>
                  <w:divsChild>
                    <w:div w:id="289408413">
                      <w:marLeft w:val="0"/>
                      <w:marRight w:val="0"/>
                      <w:marTop w:val="0"/>
                      <w:marBottom w:val="0"/>
                      <w:divBdr>
                        <w:top w:val="none" w:sz="0" w:space="0" w:color="auto"/>
                        <w:left w:val="none" w:sz="0" w:space="0" w:color="auto"/>
                        <w:bottom w:val="none" w:sz="0" w:space="0" w:color="auto"/>
                        <w:right w:val="none" w:sz="0" w:space="0" w:color="auto"/>
                      </w:divBdr>
                    </w:div>
                  </w:divsChild>
                </w:div>
                <w:div w:id="1681541052">
                  <w:marLeft w:val="0"/>
                  <w:marRight w:val="0"/>
                  <w:marTop w:val="0"/>
                  <w:marBottom w:val="0"/>
                  <w:divBdr>
                    <w:top w:val="none" w:sz="0" w:space="0" w:color="auto"/>
                    <w:left w:val="none" w:sz="0" w:space="0" w:color="auto"/>
                    <w:bottom w:val="none" w:sz="0" w:space="0" w:color="auto"/>
                    <w:right w:val="none" w:sz="0" w:space="0" w:color="auto"/>
                  </w:divBdr>
                  <w:divsChild>
                    <w:div w:id="2049327992">
                      <w:marLeft w:val="0"/>
                      <w:marRight w:val="0"/>
                      <w:marTop w:val="0"/>
                      <w:marBottom w:val="0"/>
                      <w:divBdr>
                        <w:top w:val="none" w:sz="0" w:space="0" w:color="auto"/>
                        <w:left w:val="none" w:sz="0" w:space="0" w:color="auto"/>
                        <w:bottom w:val="none" w:sz="0" w:space="0" w:color="auto"/>
                        <w:right w:val="none" w:sz="0" w:space="0" w:color="auto"/>
                      </w:divBdr>
                    </w:div>
                  </w:divsChild>
                </w:div>
                <w:div w:id="1709254667">
                  <w:marLeft w:val="0"/>
                  <w:marRight w:val="0"/>
                  <w:marTop w:val="0"/>
                  <w:marBottom w:val="0"/>
                  <w:divBdr>
                    <w:top w:val="none" w:sz="0" w:space="0" w:color="auto"/>
                    <w:left w:val="none" w:sz="0" w:space="0" w:color="auto"/>
                    <w:bottom w:val="none" w:sz="0" w:space="0" w:color="auto"/>
                    <w:right w:val="none" w:sz="0" w:space="0" w:color="auto"/>
                  </w:divBdr>
                  <w:divsChild>
                    <w:div w:id="160511726">
                      <w:marLeft w:val="0"/>
                      <w:marRight w:val="0"/>
                      <w:marTop w:val="0"/>
                      <w:marBottom w:val="0"/>
                      <w:divBdr>
                        <w:top w:val="none" w:sz="0" w:space="0" w:color="auto"/>
                        <w:left w:val="none" w:sz="0" w:space="0" w:color="auto"/>
                        <w:bottom w:val="none" w:sz="0" w:space="0" w:color="auto"/>
                        <w:right w:val="none" w:sz="0" w:space="0" w:color="auto"/>
                      </w:divBdr>
                    </w:div>
                  </w:divsChild>
                </w:div>
                <w:div w:id="1711109792">
                  <w:marLeft w:val="0"/>
                  <w:marRight w:val="0"/>
                  <w:marTop w:val="0"/>
                  <w:marBottom w:val="0"/>
                  <w:divBdr>
                    <w:top w:val="none" w:sz="0" w:space="0" w:color="auto"/>
                    <w:left w:val="none" w:sz="0" w:space="0" w:color="auto"/>
                    <w:bottom w:val="none" w:sz="0" w:space="0" w:color="auto"/>
                    <w:right w:val="none" w:sz="0" w:space="0" w:color="auto"/>
                  </w:divBdr>
                  <w:divsChild>
                    <w:div w:id="1159420740">
                      <w:marLeft w:val="0"/>
                      <w:marRight w:val="0"/>
                      <w:marTop w:val="0"/>
                      <w:marBottom w:val="0"/>
                      <w:divBdr>
                        <w:top w:val="none" w:sz="0" w:space="0" w:color="auto"/>
                        <w:left w:val="none" w:sz="0" w:space="0" w:color="auto"/>
                        <w:bottom w:val="none" w:sz="0" w:space="0" w:color="auto"/>
                        <w:right w:val="none" w:sz="0" w:space="0" w:color="auto"/>
                      </w:divBdr>
                    </w:div>
                  </w:divsChild>
                </w:div>
                <w:div w:id="1714960302">
                  <w:marLeft w:val="0"/>
                  <w:marRight w:val="0"/>
                  <w:marTop w:val="0"/>
                  <w:marBottom w:val="0"/>
                  <w:divBdr>
                    <w:top w:val="none" w:sz="0" w:space="0" w:color="auto"/>
                    <w:left w:val="none" w:sz="0" w:space="0" w:color="auto"/>
                    <w:bottom w:val="none" w:sz="0" w:space="0" w:color="auto"/>
                    <w:right w:val="none" w:sz="0" w:space="0" w:color="auto"/>
                  </w:divBdr>
                  <w:divsChild>
                    <w:div w:id="342318746">
                      <w:marLeft w:val="0"/>
                      <w:marRight w:val="0"/>
                      <w:marTop w:val="0"/>
                      <w:marBottom w:val="0"/>
                      <w:divBdr>
                        <w:top w:val="none" w:sz="0" w:space="0" w:color="auto"/>
                        <w:left w:val="none" w:sz="0" w:space="0" w:color="auto"/>
                        <w:bottom w:val="none" w:sz="0" w:space="0" w:color="auto"/>
                        <w:right w:val="none" w:sz="0" w:space="0" w:color="auto"/>
                      </w:divBdr>
                    </w:div>
                  </w:divsChild>
                </w:div>
                <w:div w:id="1722289728">
                  <w:marLeft w:val="0"/>
                  <w:marRight w:val="0"/>
                  <w:marTop w:val="0"/>
                  <w:marBottom w:val="0"/>
                  <w:divBdr>
                    <w:top w:val="none" w:sz="0" w:space="0" w:color="auto"/>
                    <w:left w:val="none" w:sz="0" w:space="0" w:color="auto"/>
                    <w:bottom w:val="none" w:sz="0" w:space="0" w:color="auto"/>
                    <w:right w:val="none" w:sz="0" w:space="0" w:color="auto"/>
                  </w:divBdr>
                  <w:divsChild>
                    <w:div w:id="1282034209">
                      <w:marLeft w:val="0"/>
                      <w:marRight w:val="0"/>
                      <w:marTop w:val="0"/>
                      <w:marBottom w:val="0"/>
                      <w:divBdr>
                        <w:top w:val="none" w:sz="0" w:space="0" w:color="auto"/>
                        <w:left w:val="none" w:sz="0" w:space="0" w:color="auto"/>
                        <w:bottom w:val="none" w:sz="0" w:space="0" w:color="auto"/>
                        <w:right w:val="none" w:sz="0" w:space="0" w:color="auto"/>
                      </w:divBdr>
                    </w:div>
                  </w:divsChild>
                </w:div>
                <w:div w:id="1758404825">
                  <w:marLeft w:val="0"/>
                  <w:marRight w:val="0"/>
                  <w:marTop w:val="0"/>
                  <w:marBottom w:val="0"/>
                  <w:divBdr>
                    <w:top w:val="none" w:sz="0" w:space="0" w:color="auto"/>
                    <w:left w:val="none" w:sz="0" w:space="0" w:color="auto"/>
                    <w:bottom w:val="none" w:sz="0" w:space="0" w:color="auto"/>
                    <w:right w:val="none" w:sz="0" w:space="0" w:color="auto"/>
                  </w:divBdr>
                  <w:divsChild>
                    <w:div w:id="1400715754">
                      <w:marLeft w:val="0"/>
                      <w:marRight w:val="0"/>
                      <w:marTop w:val="0"/>
                      <w:marBottom w:val="0"/>
                      <w:divBdr>
                        <w:top w:val="none" w:sz="0" w:space="0" w:color="auto"/>
                        <w:left w:val="none" w:sz="0" w:space="0" w:color="auto"/>
                        <w:bottom w:val="none" w:sz="0" w:space="0" w:color="auto"/>
                        <w:right w:val="none" w:sz="0" w:space="0" w:color="auto"/>
                      </w:divBdr>
                    </w:div>
                  </w:divsChild>
                </w:div>
                <w:div w:id="1760248475">
                  <w:marLeft w:val="0"/>
                  <w:marRight w:val="0"/>
                  <w:marTop w:val="0"/>
                  <w:marBottom w:val="0"/>
                  <w:divBdr>
                    <w:top w:val="none" w:sz="0" w:space="0" w:color="auto"/>
                    <w:left w:val="none" w:sz="0" w:space="0" w:color="auto"/>
                    <w:bottom w:val="none" w:sz="0" w:space="0" w:color="auto"/>
                    <w:right w:val="none" w:sz="0" w:space="0" w:color="auto"/>
                  </w:divBdr>
                  <w:divsChild>
                    <w:div w:id="1637105377">
                      <w:marLeft w:val="0"/>
                      <w:marRight w:val="0"/>
                      <w:marTop w:val="0"/>
                      <w:marBottom w:val="0"/>
                      <w:divBdr>
                        <w:top w:val="none" w:sz="0" w:space="0" w:color="auto"/>
                        <w:left w:val="none" w:sz="0" w:space="0" w:color="auto"/>
                        <w:bottom w:val="none" w:sz="0" w:space="0" w:color="auto"/>
                        <w:right w:val="none" w:sz="0" w:space="0" w:color="auto"/>
                      </w:divBdr>
                    </w:div>
                  </w:divsChild>
                </w:div>
                <w:div w:id="1765226854">
                  <w:marLeft w:val="0"/>
                  <w:marRight w:val="0"/>
                  <w:marTop w:val="0"/>
                  <w:marBottom w:val="0"/>
                  <w:divBdr>
                    <w:top w:val="none" w:sz="0" w:space="0" w:color="auto"/>
                    <w:left w:val="none" w:sz="0" w:space="0" w:color="auto"/>
                    <w:bottom w:val="none" w:sz="0" w:space="0" w:color="auto"/>
                    <w:right w:val="none" w:sz="0" w:space="0" w:color="auto"/>
                  </w:divBdr>
                  <w:divsChild>
                    <w:div w:id="1684555156">
                      <w:marLeft w:val="0"/>
                      <w:marRight w:val="0"/>
                      <w:marTop w:val="0"/>
                      <w:marBottom w:val="0"/>
                      <w:divBdr>
                        <w:top w:val="none" w:sz="0" w:space="0" w:color="auto"/>
                        <w:left w:val="none" w:sz="0" w:space="0" w:color="auto"/>
                        <w:bottom w:val="none" w:sz="0" w:space="0" w:color="auto"/>
                        <w:right w:val="none" w:sz="0" w:space="0" w:color="auto"/>
                      </w:divBdr>
                    </w:div>
                  </w:divsChild>
                </w:div>
                <w:div w:id="1803841024">
                  <w:marLeft w:val="0"/>
                  <w:marRight w:val="0"/>
                  <w:marTop w:val="0"/>
                  <w:marBottom w:val="0"/>
                  <w:divBdr>
                    <w:top w:val="none" w:sz="0" w:space="0" w:color="auto"/>
                    <w:left w:val="none" w:sz="0" w:space="0" w:color="auto"/>
                    <w:bottom w:val="none" w:sz="0" w:space="0" w:color="auto"/>
                    <w:right w:val="none" w:sz="0" w:space="0" w:color="auto"/>
                  </w:divBdr>
                  <w:divsChild>
                    <w:div w:id="860633902">
                      <w:marLeft w:val="0"/>
                      <w:marRight w:val="0"/>
                      <w:marTop w:val="0"/>
                      <w:marBottom w:val="0"/>
                      <w:divBdr>
                        <w:top w:val="none" w:sz="0" w:space="0" w:color="auto"/>
                        <w:left w:val="none" w:sz="0" w:space="0" w:color="auto"/>
                        <w:bottom w:val="none" w:sz="0" w:space="0" w:color="auto"/>
                        <w:right w:val="none" w:sz="0" w:space="0" w:color="auto"/>
                      </w:divBdr>
                    </w:div>
                  </w:divsChild>
                </w:div>
                <w:div w:id="1816950898">
                  <w:marLeft w:val="0"/>
                  <w:marRight w:val="0"/>
                  <w:marTop w:val="0"/>
                  <w:marBottom w:val="0"/>
                  <w:divBdr>
                    <w:top w:val="none" w:sz="0" w:space="0" w:color="auto"/>
                    <w:left w:val="none" w:sz="0" w:space="0" w:color="auto"/>
                    <w:bottom w:val="none" w:sz="0" w:space="0" w:color="auto"/>
                    <w:right w:val="none" w:sz="0" w:space="0" w:color="auto"/>
                  </w:divBdr>
                  <w:divsChild>
                    <w:div w:id="1404792846">
                      <w:marLeft w:val="0"/>
                      <w:marRight w:val="0"/>
                      <w:marTop w:val="0"/>
                      <w:marBottom w:val="0"/>
                      <w:divBdr>
                        <w:top w:val="none" w:sz="0" w:space="0" w:color="auto"/>
                        <w:left w:val="none" w:sz="0" w:space="0" w:color="auto"/>
                        <w:bottom w:val="none" w:sz="0" w:space="0" w:color="auto"/>
                        <w:right w:val="none" w:sz="0" w:space="0" w:color="auto"/>
                      </w:divBdr>
                    </w:div>
                  </w:divsChild>
                </w:div>
                <w:div w:id="1818064683">
                  <w:marLeft w:val="0"/>
                  <w:marRight w:val="0"/>
                  <w:marTop w:val="0"/>
                  <w:marBottom w:val="0"/>
                  <w:divBdr>
                    <w:top w:val="none" w:sz="0" w:space="0" w:color="auto"/>
                    <w:left w:val="none" w:sz="0" w:space="0" w:color="auto"/>
                    <w:bottom w:val="none" w:sz="0" w:space="0" w:color="auto"/>
                    <w:right w:val="none" w:sz="0" w:space="0" w:color="auto"/>
                  </w:divBdr>
                  <w:divsChild>
                    <w:div w:id="301808283">
                      <w:marLeft w:val="0"/>
                      <w:marRight w:val="0"/>
                      <w:marTop w:val="0"/>
                      <w:marBottom w:val="0"/>
                      <w:divBdr>
                        <w:top w:val="none" w:sz="0" w:space="0" w:color="auto"/>
                        <w:left w:val="none" w:sz="0" w:space="0" w:color="auto"/>
                        <w:bottom w:val="none" w:sz="0" w:space="0" w:color="auto"/>
                        <w:right w:val="none" w:sz="0" w:space="0" w:color="auto"/>
                      </w:divBdr>
                    </w:div>
                  </w:divsChild>
                </w:div>
                <w:div w:id="1823963413">
                  <w:marLeft w:val="0"/>
                  <w:marRight w:val="0"/>
                  <w:marTop w:val="0"/>
                  <w:marBottom w:val="0"/>
                  <w:divBdr>
                    <w:top w:val="none" w:sz="0" w:space="0" w:color="auto"/>
                    <w:left w:val="none" w:sz="0" w:space="0" w:color="auto"/>
                    <w:bottom w:val="none" w:sz="0" w:space="0" w:color="auto"/>
                    <w:right w:val="none" w:sz="0" w:space="0" w:color="auto"/>
                  </w:divBdr>
                  <w:divsChild>
                    <w:div w:id="1568687155">
                      <w:marLeft w:val="0"/>
                      <w:marRight w:val="0"/>
                      <w:marTop w:val="0"/>
                      <w:marBottom w:val="0"/>
                      <w:divBdr>
                        <w:top w:val="none" w:sz="0" w:space="0" w:color="auto"/>
                        <w:left w:val="none" w:sz="0" w:space="0" w:color="auto"/>
                        <w:bottom w:val="none" w:sz="0" w:space="0" w:color="auto"/>
                        <w:right w:val="none" w:sz="0" w:space="0" w:color="auto"/>
                      </w:divBdr>
                    </w:div>
                  </w:divsChild>
                </w:div>
                <w:div w:id="1824664953">
                  <w:marLeft w:val="0"/>
                  <w:marRight w:val="0"/>
                  <w:marTop w:val="0"/>
                  <w:marBottom w:val="0"/>
                  <w:divBdr>
                    <w:top w:val="none" w:sz="0" w:space="0" w:color="auto"/>
                    <w:left w:val="none" w:sz="0" w:space="0" w:color="auto"/>
                    <w:bottom w:val="none" w:sz="0" w:space="0" w:color="auto"/>
                    <w:right w:val="none" w:sz="0" w:space="0" w:color="auto"/>
                  </w:divBdr>
                  <w:divsChild>
                    <w:div w:id="964385174">
                      <w:marLeft w:val="0"/>
                      <w:marRight w:val="0"/>
                      <w:marTop w:val="0"/>
                      <w:marBottom w:val="0"/>
                      <w:divBdr>
                        <w:top w:val="none" w:sz="0" w:space="0" w:color="auto"/>
                        <w:left w:val="none" w:sz="0" w:space="0" w:color="auto"/>
                        <w:bottom w:val="none" w:sz="0" w:space="0" w:color="auto"/>
                        <w:right w:val="none" w:sz="0" w:space="0" w:color="auto"/>
                      </w:divBdr>
                    </w:div>
                  </w:divsChild>
                </w:div>
                <w:div w:id="1844977966">
                  <w:marLeft w:val="0"/>
                  <w:marRight w:val="0"/>
                  <w:marTop w:val="0"/>
                  <w:marBottom w:val="0"/>
                  <w:divBdr>
                    <w:top w:val="none" w:sz="0" w:space="0" w:color="auto"/>
                    <w:left w:val="none" w:sz="0" w:space="0" w:color="auto"/>
                    <w:bottom w:val="none" w:sz="0" w:space="0" w:color="auto"/>
                    <w:right w:val="none" w:sz="0" w:space="0" w:color="auto"/>
                  </w:divBdr>
                  <w:divsChild>
                    <w:div w:id="803933031">
                      <w:marLeft w:val="0"/>
                      <w:marRight w:val="0"/>
                      <w:marTop w:val="0"/>
                      <w:marBottom w:val="0"/>
                      <w:divBdr>
                        <w:top w:val="none" w:sz="0" w:space="0" w:color="auto"/>
                        <w:left w:val="none" w:sz="0" w:space="0" w:color="auto"/>
                        <w:bottom w:val="none" w:sz="0" w:space="0" w:color="auto"/>
                        <w:right w:val="none" w:sz="0" w:space="0" w:color="auto"/>
                      </w:divBdr>
                    </w:div>
                  </w:divsChild>
                </w:div>
                <w:div w:id="1854145275">
                  <w:marLeft w:val="0"/>
                  <w:marRight w:val="0"/>
                  <w:marTop w:val="0"/>
                  <w:marBottom w:val="0"/>
                  <w:divBdr>
                    <w:top w:val="none" w:sz="0" w:space="0" w:color="auto"/>
                    <w:left w:val="none" w:sz="0" w:space="0" w:color="auto"/>
                    <w:bottom w:val="none" w:sz="0" w:space="0" w:color="auto"/>
                    <w:right w:val="none" w:sz="0" w:space="0" w:color="auto"/>
                  </w:divBdr>
                  <w:divsChild>
                    <w:div w:id="1860776446">
                      <w:marLeft w:val="0"/>
                      <w:marRight w:val="0"/>
                      <w:marTop w:val="0"/>
                      <w:marBottom w:val="0"/>
                      <w:divBdr>
                        <w:top w:val="none" w:sz="0" w:space="0" w:color="auto"/>
                        <w:left w:val="none" w:sz="0" w:space="0" w:color="auto"/>
                        <w:bottom w:val="none" w:sz="0" w:space="0" w:color="auto"/>
                        <w:right w:val="none" w:sz="0" w:space="0" w:color="auto"/>
                      </w:divBdr>
                    </w:div>
                  </w:divsChild>
                </w:div>
                <w:div w:id="1855268557">
                  <w:marLeft w:val="0"/>
                  <w:marRight w:val="0"/>
                  <w:marTop w:val="0"/>
                  <w:marBottom w:val="0"/>
                  <w:divBdr>
                    <w:top w:val="none" w:sz="0" w:space="0" w:color="auto"/>
                    <w:left w:val="none" w:sz="0" w:space="0" w:color="auto"/>
                    <w:bottom w:val="none" w:sz="0" w:space="0" w:color="auto"/>
                    <w:right w:val="none" w:sz="0" w:space="0" w:color="auto"/>
                  </w:divBdr>
                  <w:divsChild>
                    <w:div w:id="2128699181">
                      <w:marLeft w:val="0"/>
                      <w:marRight w:val="0"/>
                      <w:marTop w:val="0"/>
                      <w:marBottom w:val="0"/>
                      <w:divBdr>
                        <w:top w:val="none" w:sz="0" w:space="0" w:color="auto"/>
                        <w:left w:val="none" w:sz="0" w:space="0" w:color="auto"/>
                        <w:bottom w:val="none" w:sz="0" w:space="0" w:color="auto"/>
                        <w:right w:val="none" w:sz="0" w:space="0" w:color="auto"/>
                      </w:divBdr>
                    </w:div>
                  </w:divsChild>
                </w:div>
                <w:div w:id="1861121800">
                  <w:marLeft w:val="0"/>
                  <w:marRight w:val="0"/>
                  <w:marTop w:val="0"/>
                  <w:marBottom w:val="0"/>
                  <w:divBdr>
                    <w:top w:val="none" w:sz="0" w:space="0" w:color="auto"/>
                    <w:left w:val="none" w:sz="0" w:space="0" w:color="auto"/>
                    <w:bottom w:val="none" w:sz="0" w:space="0" w:color="auto"/>
                    <w:right w:val="none" w:sz="0" w:space="0" w:color="auto"/>
                  </w:divBdr>
                  <w:divsChild>
                    <w:div w:id="1114713201">
                      <w:marLeft w:val="0"/>
                      <w:marRight w:val="0"/>
                      <w:marTop w:val="0"/>
                      <w:marBottom w:val="0"/>
                      <w:divBdr>
                        <w:top w:val="none" w:sz="0" w:space="0" w:color="auto"/>
                        <w:left w:val="none" w:sz="0" w:space="0" w:color="auto"/>
                        <w:bottom w:val="none" w:sz="0" w:space="0" w:color="auto"/>
                        <w:right w:val="none" w:sz="0" w:space="0" w:color="auto"/>
                      </w:divBdr>
                    </w:div>
                  </w:divsChild>
                </w:div>
                <w:div w:id="1862160207">
                  <w:marLeft w:val="0"/>
                  <w:marRight w:val="0"/>
                  <w:marTop w:val="0"/>
                  <w:marBottom w:val="0"/>
                  <w:divBdr>
                    <w:top w:val="none" w:sz="0" w:space="0" w:color="auto"/>
                    <w:left w:val="none" w:sz="0" w:space="0" w:color="auto"/>
                    <w:bottom w:val="none" w:sz="0" w:space="0" w:color="auto"/>
                    <w:right w:val="none" w:sz="0" w:space="0" w:color="auto"/>
                  </w:divBdr>
                  <w:divsChild>
                    <w:div w:id="125852207">
                      <w:marLeft w:val="0"/>
                      <w:marRight w:val="0"/>
                      <w:marTop w:val="0"/>
                      <w:marBottom w:val="0"/>
                      <w:divBdr>
                        <w:top w:val="none" w:sz="0" w:space="0" w:color="auto"/>
                        <w:left w:val="none" w:sz="0" w:space="0" w:color="auto"/>
                        <w:bottom w:val="none" w:sz="0" w:space="0" w:color="auto"/>
                        <w:right w:val="none" w:sz="0" w:space="0" w:color="auto"/>
                      </w:divBdr>
                    </w:div>
                  </w:divsChild>
                </w:div>
                <w:div w:id="1873566770">
                  <w:marLeft w:val="0"/>
                  <w:marRight w:val="0"/>
                  <w:marTop w:val="0"/>
                  <w:marBottom w:val="0"/>
                  <w:divBdr>
                    <w:top w:val="none" w:sz="0" w:space="0" w:color="auto"/>
                    <w:left w:val="none" w:sz="0" w:space="0" w:color="auto"/>
                    <w:bottom w:val="none" w:sz="0" w:space="0" w:color="auto"/>
                    <w:right w:val="none" w:sz="0" w:space="0" w:color="auto"/>
                  </w:divBdr>
                  <w:divsChild>
                    <w:div w:id="2079549410">
                      <w:marLeft w:val="0"/>
                      <w:marRight w:val="0"/>
                      <w:marTop w:val="0"/>
                      <w:marBottom w:val="0"/>
                      <w:divBdr>
                        <w:top w:val="none" w:sz="0" w:space="0" w:color="auto"/>
                        <w:left w:val="none" w:sz="0" w:space="0" w:color="auto"/>
                        <w:bottom w:val="none" w:sz="0" w:space="0" w:color="auto"/>
                        <w:right w:val="none" w:sz="0" w:space="0" w:color="auto"/>
                      </w:divBdr>
                    </w:div>
                  </w:divsChild>
                </w:div>
                <w:div w:id="1883905888">
                  <w:marLeft w:val="0"/>
                  <w:marRight w:val="0"/>
                  <w:marTop w:val="0"/>
                  <w:marBottom w:val="0"/>
                  <w:divBdr>
                    <w:top w:val="none" w:sz="0" w:space="0" w:color="auto"/>
                    <w:left w:val="none" w:sz="0" w:space="0" w:color="auto"/>
                    <w:bottom w:val="none" w:sz="0" w:space="0" w:color="auto"/>
                    <w:right w:val="none" w:sz="0" w:space="0" w:color="auto"/>
                  </w:divBdr>
                  <w:divsChild>
                    <w:div w:id="1841698797">
                      <w:marLeft w:val="0"/>
                      <w:marRight w:val="0"/>
                      <w:marTop w:val="0"/>
                      <w:marBottom w:val="0"/>
                      <w:divBdr>
                        <w:top w:val="none" w:sz="0" w:space="0" w:color="auto"/>
                        <w:left w:val="none" w:sz="0" w:space="0" w:color="auto"/>
                        <w:bottom w:val="none" w:sz="0" w:space="0" w:color="auto"/>
                        <w:right w:val="none" w:sz="0" w:space="0" w:color="auto"/>
                      </w:divBdr>
                    </w:div>
                  </w:divsChild>
                </w:div>
                <w:div w:id="1884125964">
                  <w:marLeft w:val="0"/>
                  <w:marRight w:val="0"/>
                  <w:marTop w:val="0"/>
                  <w:marBottom w:val="0"/>
                  <w:divBdr>
                    <w:top w:val="none" w:sz="0" w:space="0" w:color="auto"/>
                    <w:left w:val="none" w:sz="0" w:space="0" w:color="auto"/>
                    <w:bottom w:val="none" w:sz="0" w:space="0" w:color="auto"/>
                    <w:right w:val="none" w:sz="0" w:space="0" w:color="auto"/>
                  </w:divBdr>
                  <w:divsChild>
                    <w:div w:id="1565287837">
                      <w:marLeft w:val="0"/>
                      <w:marRight w:val="0"/>
                      <w:marTop w:val="0"/>
                      <w:marBottom w:val="0"/>
                      <w:divBdr>
                        <w:top w:val="none" w:sz="0" w:space="0" w:color="auto"/>
                        <w:left w:val="none" w:sz="0" w:space="0" w:color="auto"/>
                        <w:bottom w:val="none" w:sz="0" w:space="0" w:color="auto"/>
                        <w:right w:val="none" w:sz="0" w:space="0" w:color="auto"/>
                      </w:divBdr>
                    </w:div>
                  </w:divsChild>
                </w:div>
                <w:div w:id="1884443254">
                  <w:marLeft w:val="0"/>
                  <w:marRight w:val="0"/>
                  <w:marTop w:val="0"/>
                  <w:marBottom w:val="0"/>
                  <w:divBdr>
                    <w:top w:val="none" w:sz="0" w:space="0" w:color="auto"/>
                    <w:left w:val="none" w:sz="0" w:space="0" w:color="auto"/>
                    <w:bottom w:val="none" w:sz="0" w:space="0" w:color="auto"/>
                    <w:right w:val="none" w:sz="0" w:space="0" w:color="auto"/>
                  </w:divBdr>
                  <w:divsChild>
                    <w:div w:id="917401250">
                      <w:marLeft w:val="0"/>
                      <w:marRight w:val="0"/>
                      <w:marTop w:val="0"/>
                      <w:marBottom w:val="0"/>
                      <w:divBdr>
                        <w:top w:val="none" w:sz="0" w:space="0" w:color="auto"/>
                        <w:left w:val="none" w:sz="0" w:space="0" w:color="auto"/>
                        <w:bottom w:val="none" w:sz="0" w:space="0" w:color="auto"/>
                        <w:right w:val="none" w:sz="0" w:space="0" w:color="auto"/>
                      </w:divBdr>
                    </w:div>
                  </w:divsChild>
                </w:div>
                <w:div w:id="1892379511">
                  <w:marLeft w:val="0"/>
                  <w:marRight w:val="0"/>
                  <w:marTop w:val="0"/>
                  <w:marBottom w:val="0"/>
                  <w:divBdr>
                    <w:top w:val="none" w:sz="0" w:space="0" w:color="auto"/>
                    <w:left w:val="none" w:sz="0" w:space="0" w:color="auto"/>
                    <w:bottom w:val="none" w:sz="0" w:space="0" w:color="auto"/>
                    <w:right w:val="none" w:sz="0" w:space="0" w:color="auto"/>
                  </w:divBdr>
                  <w:divsChild>
                    <w:div w:id="747970198">
                      <w:marLeft w:val="0"/>
                      <w:marRight w:val="0"/>
                      <w:marTop w:val="0"/>
                      <w:marBottom w:val="0"/>
                      <w:divBdr>
                        <w:top w:val="none" w:sz="0" w:space="0" w:color="auto"/>
                        <w:left w:val="none" w:sz="0" w:space="0" w:color="auto"/>
                        <w:bottom w:val="none" w:sz="0" w:space="0" w:color="auto"/>
                        <w:right w:val="none" w:sz="0" w:space="0" w:color="auto"/>
                      </w:divBdr>
                    </w:div>
                  </w:divsChild>
                </w:div>
                <w:div w:id="1906140692">
                  <w:marLeft w:val="0"/>
                  <w:marRight w:val="0"/>
                  <w:marTop w:val="0"/>
                  <w:marBottom w:val="0"/>
                  <w:divBdr>
                    <w:top w:val="none" w:sz="0" w:space="0" w:color="auto"/>
                    <w:left w:val="none" w:sz="0" w:space="0" w:color="auto"/>
                    <w:bottom w:val="none" w:sz="0" w:space="0" w:color="auto"/>
                    <w:right w:val="none" w:sz="0" w:space="0" w:color="auto"/>
                  </w:divBdr>
                  <w:divsChild>
                    <w:div w:id="1959987961">
                      <w:marLeft w:val="0"/>
                      <w:marRight w:val="0"/>
                      <w:marTop w:val="0"/>
                      <w:marBottom w:val="0"/>
                      <w:divBdr>
                        <w:top w:val="none" w:sz="0" w:space="0" w:color="auto"/>
                        <w:left w:val="none" w:sz="0" w:space="0" w:color="auto"/>
                        <w:bottom w:val="none" w:sz="0" w:space="0" w:color="auto"/>
                        <w:right w:val="none" w:sz="0" w:space="0" w:color="auto"/>
                      </w:divBdr>
                    </w:div>
                  </w:divsChild>
                </w:div>
                <w:div w:id="1932657350">
                  <w:marLeft w:val="0"/>
                  <w:marRight w:val="0"/>
                  <w:marTop w:val="0"/>
                  <w:marBottom w:val="0"/>
                  <w:divBdr>
                    <w:top w:val="none" w:sz="0" w:space="0" w:color="auto"/>
                    <w:left w:val="none" w:sz="0" w:space="0" w:color="auto"/>
                    <w:bottom w:val="none" w:sz="0" w:space="0" w:color="auto"/>
                    <w:right w:val="none" w:sz="0" w:space="0" w:color="auto"/>
                  </w:divBdr>
                  <w:divsChild>
                    <w:div w:id="1210217009">
                      <w:marLeft w:val="0"/>
                      <w:marRight w:val="0"/>
                      <w:marTop w:val="0"/>
                      <w:marBottom w:val="0"/>
                      <w:divBdr>
                        <w:top w:val="none" w:sz="0" w:space="0" w:color="auto"/>
                        <w:left w:val="none" w:sz="0" w:space="0" w:color="auto"/>
                        <w:bottom w:val="none" w:sz="0" w:space="0" w:color="auto"/>
                        <w:right w:val="none" w:sz="0" w:space="0" w:color="auto"/>
                      </w:divBdr>
                    </w:div>
                  </w:divsChild>
                </w:div>
                <w:div w:id="1939022169">
                  <w:marLeft w:val="0"/>
                  <w:marRight w:val="0"/>
                  <w:marTop w:val="0"/>
                  <w:marBottom w:val="0"/>
                  <w:divBdr>
                    <w:top w:val="none" w:sz="0" w:space="0" w:color="auto"/>
                    <w:left w:val="none" w:sz="0" w:space="0" w:color="auto"/>
                    <w:bottom w:val="none" w:sz="0" w:space="0" w:color="auto"/>
                    <w:right w:val="none" w:sz="0" w:space="0" w:color="auto"/>
                  </w:divBdr>
                  <w:divsChild>
                    <w:div w:id="693964182">
                      <w:marLeft w:val="0"/>
                      <w:marRight w:val="0"/>
                      <w:marTop w:val="0"/>
                      <w:marBottom w:val="0"/>
                      <w:divBdr>
                        <w:top w:val="none" w:sz="0" w:space="0" w:color="auto"/>
                        <w:left w:val="none" w:sz="0" w:space="0" w:color="auto"/>
                        <w:bottom w:val="none" w:sz="0" w:space="0" w:color="auto"/>
                        <w:right w:val="none" w:sz="0" w:space="0" w:color="auto"/>
                      </w:divBdr>
                    </w:div>
                    <w:div w:id="874344302">
                      <w:marLeft w:val="0"/>
                      <w:marRight w:val="0"/>
                      <w:marTop w:val="0"/>
                      <w:marBottom w:val="0"/>
                      <w:divBdr>
                        <w:top w:val="none" w:sz="0" w:space="0" w:color="auto"/>
                        <w:left w:val="none" w:sz="0" w:space="0" w:color="auto"/>
                        <w:bottom w:val="none" w:sz="0" w:space="0" w:color="auto"/>
                        <w:right w:val="none" w:sz="0" w:space="0" w:color="auto"/>
                      </w:divBdr>
                    </w:div>
                  </w:divsChild>
                </w:div>
                <w:div w:id="1939606336">
                  <w:marLeft w:val="0"/>
                  <w:marRight w:val="0"/>
                  <w:marTop w:val="0"/>
                  <w:marBottom w:val="0"/>
                  <w:divBdr>
                    <w:top w:val="none" w:sz="0" w:space="0" w:color="auto"/>
                    <w:left w:val="none" w:sz="0" w:space="0" w:color="auto"/>
                    <w:bottom w:val="none" w:sz="0" w:space="0" w:color="auto"/>
                    <w:right w:val="none" w:sz="0" w:space="0" w:color="auto"/>
                  </w:divBdr>
                  <w:divsChild>
                    <w:div w:id="264314905">
                      <w:marLeft w:val="0"/>
                      <w:marRight w:val="0"/>
                      <w:marTop w:val="0"/>
                      <w:marBottom w:val="0"/>
                      <w:divBdr>
                        <w:top w:val="none" w:sz="0" w:space="0" w:color="auto"/>
                        <w:left w:val="none" w:sz="0" w:space="0" w:color="auto"/>
                        <w:bottom w:val="none" w:sz="0" w:space="0" w:color="auto"/>
                        <w:right w:val="none" w:sz="0" w:space="0" w:color="auto"/>
                      </w:divBdr>
                    </w:div>
                  </w:divsChild>
                </w:div>
                <w:div w:id="1957253616">
                  <w:marLeft w:val="0"/>
                  <w:marRight w:val="0"/>
                  <w:marTop w:val="0"/>
                  <w:marBottom w:val="0"/>
                  <w:divBdr>
                    <w:top w:val="none" w:sz="0" w:space="0" w:color="auto"/>
                    <w:left w:val="none" w:sz="0" w:space="0" w:color="auto"/>
                    <w:bottom w:val="none" w:sz="0" w:space="0" w:color="auto"/>
                    <w:right w:val="none" w:sz="0" w:space="0" w:color="auto"/>
                  </w:divBdr>
                  <w:divsChild>
                    <w:div w:id="336813736">
                      <w:marLeft w:val="0"/>
                      <w:marRight w:val="0"/>
                      <w:marTop w:val="0"/>
                      <w:marBottom w:val="0"/>
                      <w:divBdr>
                        <w:top w:val="none" w:sz="0" w:space="0" w:color="auto"/>
                        <w:left w:val="none" w:sz="0" w:space="0" w:color="auto"/>
                        <w:bottom w:val="none" w:sz="0" w:space="0" w:color="auto"/>
                        <w:right w:val="none" w:sz="0" w:space="0" w:color="auto"/>
                      </w:divBdr>
                    </w:div>
                  </w:divsChild>
                </w:div>
                <w:div w:id="1958826175">
                  <w:marLeft w:val="0"/>
                  <w:marRight w:val="0"/>
                  <w:marTop w:val="0"/>
                  <w:marBottom w:val="0"/>
                  <w:divBdr>
                    <w:top w:val="none" w:sz="0" w:space="0" w:color="auto"/>
                    <w:left w:val="none" w:sz="0" w:space="0" w:color="auto"/>
                    <w:bottom w:val="none" w:sz="0" w:space="0" w:color="auto"/>
                    <w:right w:val="none" w:sz="0" w:space="0" w:color="auto"/>
                  </w:divBdr>
                  <w:divsChild>
                    <w:div w:id="1769228096">
                      <w:marLeft w:val="0"/>
                      <w:marRight w:val="0"/>
                      <w:marTop w:val="0"/>
                      <w:marBottom w:val="0"/>
                      <w:divBdr>
                        <w:top w:val="none" w:sz="0" w:space="0" w:color="auto"/>
                        <w:left w:val="none" w:sz="0" w:space="0" w:color="auto"/>
                        <w:bottom w:val="none" w:sz="0" w:space="0" w:color="auto"/>
                        <w:right w:val="none" w:sz="0" w:space="0" w:color="auto"/>
                      </w:divBdr>
                    </w:div>
                  </w:divsChild>
                </w:div>
                <w:div w:id="1978954218">
                  <w:marLeft w:val="0"/>
                  <w:marRight w:val="0"/>
                  <w:marTop w:val="0"/>
                  <w:marBottom w:val="0"/>
                  <w:divBdr>
                    <w:top w:val="none" w:sz="0" w:space="0" w:color="auto"/>
                    <w:left w:val="none" w:sz="0" w:space="0" w:color="auto"/>
                    <w:bottom w:val="none" w:sz="0" w:space="0" w:color="auto"/>
                    <w:right w:val="none" w:sz="0" w:space="0" w:color="auto"/>
                  </w:divBdr>
                  <w:divsChild>
                    <w:div w:id="1602033402">
                      <w:marLeft w:val="0"/>
                      <w:marRight w:val="0"/>
                      <w:marTop w:val="0"/>
                      <w:marBottom w:val="0"/>
                      <w:divBdr>
                        <w:top w:val="none" w:sz="0" w:space="0" w:color="auto"/>
                        <w:left w:val="none" w:sz="0" w:space="0" w:color="auto"/>
                        <w:bottom w:val="none" w:sz="0" w:space="0" w:color="auto"/>
                        <w:right w:val="none" w:sz="0" w:space="0" w:color="auto"/>
                      </w:divBdr>
                    </w:div>
                  </w:divsChild>
                </w:div>
                <w:div w:id="1988168823">
                  <w:marLeft w:val="0"/>
                  <w:marRight w:val="0"/>
                  <w:marTop w:val="0"/>
                  <w:marBottom w:val="0"/>
                  <w:divBdr>
                    <w:top w:val="none" w:sz="0" w:space="0" w:color="auto"/>
                    <w:left w:val="none" w:sz="0" w:space="0" w:color="auto"/>
                    <w:bottom w:val="none" w:sz="0" w:space="0" w:color="auto"/>
                    <w:right w:val="none" w:sz="0" w:space="0" w:color="auto"/>
                  </w:divBdr>
                  <w:divsChild>
                    <w:div w:id="1923024716">
                      <w:marLeft w:val="0"/>
                      <w:marRight w:val="0"/>
                      <w:marTop w:val="0"/>
                      <w:marBottom w:val="0"/>
                      <w:divBdr>
                        <w:top w:val="none" w:sz="0" w:space="0" w:color="auto"/>
                        <w:left w:val="none" w:sz="0" w:space="0" w:color="auto"/>
                        <w:bottom w:val="none" w:sz="0" w:space="0" w:color="auto"/>
                        <w:right w:val="none" w:sz="0" w:space="0" w:color="auto"/>
                      </w:divBdr>
                    </w:div>
                  </w:divsChild>
                </w:div>
                <w:div w:id="1988701247">
                  <w:marLeft w:val="0"/>
                  <w:marRight w:val="0"/>
                  <w:marTop w:val="0"/>
                  <w:marBottom w:val="0"/>
                  <w:divBdr>
                    <w:top w:val="none" w:sz="0" w:space="0" w:color="auto"/>
                    <w:left w:val="none" w:sz="0" w:space="0" w:color="auto"/>
                    <w:bottom w:val="none" w:sz="0" w:space="0" w:color="auto"/>
                    <w:right w:val="none" w:sz="0" w:space="0" w:color="auto"/>
                  </w:divBdr>
                  <w:divsChild>
                    <w:div w:id="1562672136">
                      <w:marLeft w:val="0"/>
                      <w:marRight w:val="0"/>
                      <w:marTop w:val="0"/>
                      <w:marBottom w:val="0"/>
                      <w:divBdr>
                        <w:top w:val="none" w:sz="0" w:space="0" w:color="auto"/>
                        <w:left w:val="none" w:sz="0" w:space="0" w:color="auto"/>
                        <w:bottom w:val="none" w:sz="0" w:space="0" w:color="auto"/>
                        <w:right w:val="none" w:sz="0" w:space="0" w:color="auto"/>
                      </w:divBdr>
                    </w:div>
                  </w:divsChild>
                </w:div>
                <w:div w:id="2004504663">
                  <w:marLeft w:val="0"/>
                  <w:marRight w:val="0"/>
                  <w:marTop w:val="0"/>
                  <w:marBottom w:val="0"/>
                  <w:divBdr>
                    <w:top w:val="none" w:sz="0" w:space="0" w:color="auto"/>
                    <w:left w:val="none" w:sz="0" w:space="0" w:color="auto"/>
                    <w:bottom w:val="none" w:sz="0" w:space="0" w:color="auto"/>
                    <w:right w:val="none" w:sz="0" w:space="0" w:color="auto"/>
                  </w:divBdr>
                  <w:divsChild>
                    <w:div w:id="179590940">
                      <w:marLeft w:val="0"/>
                      <w:marRight w:val="0"/>
                      <w:marTop w:val="0"/>
                      <w:marBottom w:val="0"/>
                      <w:divBdr>
                        <w:top w:val="none" w:sz="0" w:space="0" w:color="auto"/>
                        <w:left w:val="none" w:sz="0" w:space="0" w:color="auto"/>
                        <w:bottom w:val="none" w:sz="0" w:space="0" w:color="auto"/>
                        <w:right w:val="none" w:sz="0" w:space="0" w:color="auto"/>
                      </w:divBdr>
                    </w:div>
                  </w:divsChild>
                </w:div>
                <w:div w:id="2006977416">
                  <w:marLeft w:val="0"/>
                  <w:marRight w:val="0"/>
                  <w:marTop w:val="0"/>
                  <w:marBottom w:val="0"/>
                  <w:divBdr>
                    <w:top w:val="none" w:sz="0" w:space="0" w:color="auto"/>
                    <w:left w:val="none" w:sz="0" w:space="0" w:color="auto"/>
                    <w:bottom w:val="none" w:sz="0" w:space="0" w:color="auto"/>
                    <w:right w:val="none" w:sz="0" w:space="0" w:color="auto"/>
                  </w:divBdr>
                  <w:divsChild>
                    <w:div w:id="1681006707">
                      <w:marLeft w:val="0"/>
                      <w:marRight w:val="0"/>
                      <w:marTop w:val="0"/>
                      <w:marBottom w:val="0"/>
                      <w:divBdr>
                        <w:top w:val="none" w:sz="0" w:space="0" w:color="auto"/>
                        <w:left w:val="none" w:sz="0" w:space="0" w:color="auto"/>
                        <w:bottom w:val="none" w:sz="0" w:space="0" w:color="auto"/>
                        <w:right w:val="none" w:sz="0" w:space="0" w:color="auto"/>
                      </w:divBdr>
                    </w:div>
                  </w:divsChild>
                </w:div>
                <w:div w:id="2041125963">
                  <w:marLeft w:val="0"/>
                  <w:marRight w:val="0"/>
                  <w:marTop w:val="0"/>
                  <w:marBottom w:val="0"/>
                  <w:divBdr>
                    <w:top w:val="none" w:sz="0" w:space="0" w:color="auto"/>
                    <w:left w:val="none" w:sz="0" w:space="0" w:color="auto"/>
                    <w:bottom w:val="none" w:sz="0" w:space="0" w:color="auto"/>
                    <w:right w:val="none" w:sz="0" w:space="0" w:color="auto"/>
                  </w:divBdr>
                  <w:divsChild>
                    <w:div w:id="158160184">
                      <w:marLeft w:val="0"/>
                      <w:marRight w:val="0"/>
                      <w:marTop w:val="0"/>
                      <w:marBottom w:val="0"/>
                      <w:divBdr>
                        <w:top w:val="none" w:sz="0" w:space="0" w:color="auto"/>
                        <w:left w:val="none" w:sz="0" w:space="0" w:color="auto"/>
                        <w:bottom w:val="none" w:sz="0" w:space="0" w:color="auto"/>
                        <w:right w:val="none" w:sz="0" w:space="0" w:color="auto"/>
                      </w:divBdr>
                    </w:div>
                  </w:divsChild>
                </w:div>
                <w:div w:id="2063091589">
                  <w:marLeft w:val="0"/>
                  <w:marRight w:val="0"/>
                  <w:marTop w:val="0"/>
                  <w:marBottom w:val="0"/>
                  <w:divBdr>
                    <w:top w:val="none" w:sz="0" w:space="0" w:color="auto"/>
                    <w:left w:val="none" w:sz="0" w:space="0" w:color="auto"/>
                    <w:bottom w:val="none" w:sz="0" w:space="0" w:color="auto"/>
                    <w:right w:val="none" w:sz="0" w:space="0" w:color="auto"/>
                  </w:divBdr>
                  <w:divsChild>
                    <w:div w:id="929235361">
                      <w:marLeft w:val="0"/>
                      <w:marRight w:val="0"/>
                      <w:marTop w:val="0"/>
                      <w:marBottom w:val="0"/>
                      <w:divBdr>
                        <w:top w:val="none" w:sz="0" w:space="0" w:color="auto"/>
                        <w:left w:val="none" w:sz="0" w:space="0" w:color="auto"/>
                        <w:bottom w:val="none" w:sz="0" w:space="0" w:color="auto"/>
                        <w:right w:val="none" w:sz="0" w:space="0" w:color="auto"/>
                      </w:divBdr>
                    </w:div>
                  </w:divsChild>
                </w:div>
                <w:div w:id="2086220483">
                  <w:marLeft w:val="0"/>
                  <w:marRight w:val="0"/>
                  <w:marTop w:val="0"/>
                  <w:marBottom w:val="0"/>
                  <w:divBdr>
                    <w:top w:val="none" w:sz="0" w:space="0" w:color="auto"/>
                    <w:left w:val="none" w:sz="0" w:space="0" w:color="auto"/>
                    <w:bottom w:val="none" w:sz="0" w:space="0" w:color="auto"/>
                    <w:right w:val="none" w:sz="0" w:space="0" w:color="auto"/>
                  </w:divBdr>
                  <w:divsChild>
                    <w:div w:id="1362245866">
                      <w:marLeft w:val="0"/>
                      <w:marRight w:val="0"/>
                      <w:marTop w:val="0"/>
                      <w:marBottom w:val="0"/>
                      <w:divBdr>
                        <w:top w:val="none" w:sz="0" w:space="0" w:color="auto"/>
                        <w:left w:val="none" w:sz="0" w:space="0" w:color="auto"/>
                        <w:bottom w:val="none" w:sz="0" w:space="0" w:color="auto"/>
                        <w:right w:val="none" w:sz="0" w:space="0" w:color="auto"/>
                      </w:divBdr>
                    </w:div>
                  </w:divsChild>
                </w:div>
                <w:div w:id="2092040723">
                  <w:marLeft w:val="0"/>
                  <w:marRight w:val="0"/>
                  <w:marTop w:val="0"/>
                  <w:marBottom w:val="0"/>
                  <w:divBdr>
                    <w:top w:val="none" w:sz="0" w:space="0" w:color="auto"/>
                    <w:left w:val="none" w:sz="0" w:space="0" w:color="auto"/>
                    <w:bottom w:val="none" w:sz="0" w:space="0" w:color="auto"/>
                    <w:right w:val="none" w:sz="0" w:space="0" w:color="auto"/>
                  </w:divBdr>
                  <w:divsChild>
                    <w:div w:id="1263536075">
                      <w:marLeft w:val="0"/>
                      <w:marRight w:val="0"/>
                      <w:marTop w:val="0"/>
                      <w:marBottom w:val="0"/>
                      <w:divBdr>
                        <w:top w:val="none" w:sz="0" w:space="0" w:color="auto"/>
                        <w:left w:val="none" w:sz="0" w:space="0" w:color="auto"/>
                        <w:bottom w:val="none" w:sz="0" w:space="0" w:color="auto"/>
                        <w:right w:val="none" w:sz="0" w:space="0" w:color="auto"/>
                      </w:divBdr>
                    </w:div>
                  </w:divsChild>
                </w:div>
                <w:div w:id="2096434306">
                  <w:marLeft w:val="0"/>
                  <w:marRight w:val="0"/>
                  <w:marTop w:val="0"/>
                  <w:marBottom w:val="0"/>
                  <w:divBdr>
                    <w:top w:val="none" w:sz="0" w:space="0" w:color="auto"/>
                    <w:left w:val="none" w:sz="0" w:space="0" w:color="auto"/>
                    <w:bottom w:val="none" w:sz="0" w:space="0" w:color="auto"/>
                    <w:right w:val="none" w:sz="0" w:space="0" w:color="auto"/>
                  </w:divBdr>
                  <w:divsChild>
                    <w:div w:id="182520416">
                      <w:marLeft w:val="0"/>
                      <w:marRight w:val="0"/>
                      <w:marTop w:val="0"/>
                      <w:marBottom w:val="0"/>
                      <w:divBdr>
                        <w:top w:val="none" w:sz="0" w:space="0" w:color="auto"/>
                        <w:left w:val="none" w:sz="0" w:space="0" w:color="auto"/>
                        <w:bottom w:val="none" w:sz="0" w:space="0" w:color="auto"/>
                        <w:right w:val="none" w:sz="0" w:space="0" w:color="auto"/>
                      </w:divBdr>
                    </w:div>
                  </w:divsChild>
                </w:div>
                <w:div w:id="2112360749">
                  <w:marLeft w:val="0"/>
                  <w:marRight w:val="0"/>
                  <w:marTop w:val="0"/>
                  <w:marBottom w:val="0"/>
                  <w:divBdr>
                    <w:top w:val="none" w:sz="0" w:space="0" w:color="auto"/>
                    <w:left w:val="none" w:sz="0" w:space="0" w:color="auto"/>
                    <w:bottom w:val="none" w:sz="0" w:space="0" w:color="auto"/>
                    <w:right w:val="none" w:sz="0" w:space="0" w:color="auto"/>
                  </w:divBdr>
                  <w:divsChild>
                    <w:div w:id="792594476">
                      <w:marLeft w:val="0"/>
                      <w:marRight w:val="0"/>
                      <w:marTop w:val="0"/>
                      <w:marBottom w:val="0"/>
                      <w:divBdr>
                        <w:top w:val="none" w:sz="0" w:space="0" w:color="auto"/>
                        <w:left w:val="none" w:sz="0" w:space="0" w:color="auto"/>
                        <w:bottom w:val="none" w:sz="0" w:space="0" w:color="auto"/>
                        <w:right w:val="none" w:sz="0" w:space="0" w:color="auto"/>
                      </w:divBdr>
                    </w:div>
                  </w:divsChild>
                </w:div>
                <w:div w:id="2132939357">
                  <w:marLeft w:val="0"/>
                  <w:marRight w:val="0"/>
                  <w:marTop w:val="0"/>
                  <w:marBottom w:val="0"/>
                  <w:divBdr>
                    <w:top w:val="none" w:sz="0" w:space="0" w:color="auto"/>
                    <w:left w:val="none" w:sz="0" w:space="0" w:color="auto"/>
                    <w:bottom w:val="none" w:sz="0" w:space="0" w:color="auto"/>
                    <w:right w:val="none" w:sz="0" w:space="0" w:color="auto"/>
                  </w:divBdr>
                  <w:divsChild>
                    <w:div w:id="1575897406">
                      <w:marLeft w:val="0"/>
                      <w:marRight w:val="0"/>
                      <w:marTop w:val="0"/>
                      <w:marBottom w:val="0"/>
                      <w:divBdr>
                        <w:top w:val="none" w:sz="0" w:space="0" w:color="auto"/>
                        <w:left w:val="none" w:sz="0" w:space="0" w:color="auto"/>
                        <w:bottom w:val="none" w:sz="0" w:space="0" w:color="auto"/>
                        <w:right w:val="none" w:sz="0" w:space="0" w:color="auto"/>
                      </w:divBdr>
                    </w:div>
                  </w:divsChild>
                </w:div>
                <w:div w:id="2139912997">
                  <w:marLeft w:val="0"/>
                  <w:marRight w:val="0"/>
                  <w:marTop w:val="0"/>
                  <w:marBottom w:val="0"/>
                  <w:divBdr>
                    <w:top w:val="none" w:sz="0" w:space="0" w:color="auto"/>
                    <w:left w:val="none" w:sz="0" w:space="0" w:color="auto"/>
                    <w:bottom w:val="none" w:sz="0" w:space="0" w:color="auto"/>
                    <w:right w:val="none" w:sz="0" w:space="0" w:color="auto"/>
                  </w:divBdr>
                  <w:divsChild>
                    <w:div w:id="89083244">
                      <w:marLeft w:val="0"/>
                      <w:marRight w:val="0"/>
                      <w:marTop w:val="0"/>
                      <w:marBottom w:val="0"/>
                      <w:divBdr>
                        <w:top w:val="none" w:sz="0" w:space="0" w:color="auto"/>
                        <w:left w:val="none" w:sz="0" w:space="0" w:color="auto"/>
                        <w:bottom w:val="none" w:sz="0" w:space="0" w:color="auto"/>
                        <w:right w:val="none" w:sz="0" w:space="0" w:color="auto"/>
                      </w:divBdr>
                    </w:div>
                    <w:div w:id="243805003">
                      <w:marLeft w:val="0"/>
                      <w:marRight w:val="0"/>
                      <w:marTop w:val="0"/>
                      <w:marBottom w:val="0"/>
                      <w:divBdr>
                        <w:top w:val="none" w:sz="0" w:space="0" w:color="auto"/>
                        <w:left w:val="none" w:sz="0" w:space="0" w:color="auto"/>
                        <w:bottom w:val="none" w:sz="0" w:space="0" w:color="auto"/>
                        <w:right w:val="none" w:sz="0" w:space="0" w:color="auto"/>
                      </w:divBdr>
                    </w:div>
                    <w:div w:id="479730258">
                      <w:marLeft w:val="0"/>
                      <w:marRight w:val="0"/>
                      <w:marTop w:val="0"/>
                      <w:marBottom w:val="0"/>
                      <w:divBdr>
                        <w:top w:val="none" w:sz="0" w:space="0" w:color="auto"/>
                        <w:left w:val="none" w:sz="0" w:space="0" w:color="auto"/>
                        <w:bottom w:val="none" w:sz="0" w:space="0" w:color="auto"/>
                        <w:right w:val="none" w:sz="0" w:space="0" w:color="auto"/>
                      </w:divBdr>
                    </w:div>
                    <w:div w:id="1260023215">
                      <w:marLeft w:val="0"/>
                      <w:marRight w:val="0"/>
                      <w:marTop w:val="0"/>
                      <w:marBottom w:val="0"/>
                      <w:divBdr>
                        <w:top w:val="none" w:sz="0" w:space="0" w:color="auto"/>
                        <w:left w:val="none" w:sz="0" w:space="0" w:color="auto"/>
                        <w:bottom w:val="none" w:sz="0" w:space="0" w:color="auto"/>
                        <w:right w:val="none" w:sz="0" w:space="0" w:color="auto"/>
                      </w:divBdr>
                    </w:div>
                    <w:div w:id="1475290651">
                      <w:marLeft w:val="0"/>
                      <w:marRight w:val="0"/>
                      <w:marTop w:val="0"/>
                      <w:marBottom w:val="0"/>
                      <w:divBdr>
                        <w:top w:val="none" w:sz="0" w:space="0" w:color="auto"/>
                        <w:left w:val="none" w:sz="0" w:space="0" w:color="auto"/>
                        <w:bottom w:val="none" w:sz="0" w:space="0" w:color="auto"/>
                        <w:right w:val="none" w:sz="0" w:space="0" w:color="auto"/>
                      </w:divBdr>
                    </w:div>
                    <w:div w:id="1498499683">
                      <w:marLeft w:val="0"/>
                      <w:marRight w:val="0"/>
                      <w:marTop w:val="0"/>
                      <w:marBottom w:val="0"/>
                      <w:divBdr>
                        <w:top w:val="none" w:sz="0" w:space="0" w:color="auto"/>
                        <w:left w:val="none" w:sz="0" w:space="0" w:color="auto"/>
                        <w:bottom w:val="none" w:sz="0" w:space="0" w:color="auto"/>
                        <w:right w:val="none" w:sz="0" w:space="0" w:color="auto"/>
                      </w:divBdr>
                    </w:div>
                    <w:div w:id="1811288789">
                      <w:marLeft w:val="0"/>
                      <w:marRight w:val="0"/>
                      <w:marTop w:val="0"/>
                      <w:marBottom w:val="0"/>
                      <w:divBdr>
                        <w:top w:val="none" w:sz="0" w:space="0" w:color="auto"/>
                        <w:left w:val="none" w:sz="0" w:space="0" w:color="auto"/>
                        <w:bottom w:val="none" w:sz="0" w:space="0" w:color="auto"/>
                        <w:right w:val="none" w:sz="0" w:space="0" w:color="auto"/>
                      </w:divBdr>
                    </w:div>
                    <w:div w:id="1933471365">
                      <w:marLeft w:val="0"/>
                      <w:marRight w:val="0"/>
                      <w:marTop w:val="0"/>
                      <w:marBottom w:val="0"/>
                      <w:divBdr>
                        <w:top w:val="none" w:sz="0" w:space="0" w:color="auto"/>
                        <w:left w:val="none" w:sz="0" w:space="0" w:color="auto"/>
                        <w:bottom w:val="none" w:sz="0" w:space="0" w:color="auto"/>
                        <w:right w:val="none" w:sz="0" w:space="0" w:color="auto"/>
                      </w:divBdr>
                    </w:div>
                  </w:divsChild>
                </w:div>
                <w:div w:id="2146964227">
                  <w:marLeft w:val="0"/>
                  <w:marRight w:val="0"/>
                  <w:marTop w:val="0"/>
                  <w:marBottom w:val="0"/>
                  <w:divBdr>
                    <w:top w:val="none" w:sz="0" w:space="0" w:color="auto"/>
                    <w:left w:val="none" w:sz="0" w:space="0" w:color="auto"/>
                    <w:bottom w:val="none" w:sz="0" w:space="0" w:color="auto"/>
                    <w:right w:val="none" w:sz="0" w:space="0" w:color="auto"/>
                  </w:divBdr>
                  <w:divsChild>
                    <w:div w:id="3184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292066">
      <w:bodyDiv w:val="1"/>
      <w:marLeft w:val="0"/>
      <w:marRight w:val="0"/>
      <w:marTop w:val="0"/>
      <w:marBottom w:val="0"/>
      <w:divBdr>
        <w:top w:val="none" w:sz="0" w:space="0" w:color="auto"/>
        <w:left w:val="none" w:sz="0" w:space="0" w:color="auto"/>
        <w:bottom w:val="none" w:sz="0" w:space="0" w:color="auto"/>
        <w:right w:val="none" w:sz="0" w:space="0" w:color="auto"/>
      </w:divBdr>
    </w:div>
    <w:div w:id="1550725875">
      <w:bodyDiv w:val="1"/>
      <w:marLeft w:val="0"/>
      <w:marRight w:val="0"/>
      <w:marTop w:val="0"/>
      <w:marBottom w:val="0"/>
      <w:divBdr>
        <w:top w:val="none" w:sz="0" w:space="0" w:color="auto"/>
        <w:left w:val="none" w:sz="0" w:space="0" w:color="auto"/>
        <w:bottom w:val="none" w:sz="0" w:space="0" w:color="auto"/>
        <w:right w:val="none" w:sz="0" w:space="0" w:color="auto"/>
      </w:divBdr>
    </w:div>
    <w:div w:id="1660382335">
      <w:bodyDiv w:val="1"/>
      <w:marLeft w:val="0"/>
      <w:marRight w:val="0"/>
      <w:marTop w:val="0"/>
      <w:marBottom w:val="0"/>
      <w:divBdr>
        <w:top w:val="none" w:sz="0" w:space="0" w:color="auto"/>
        <w:left w:val="none" w:sz="0" w:space="0" w:color="auto"/>
        <w:bottom w:val="none" w:sz="0" w:space="0" w:color="auto"/>
        <w:right w:val="none" w:sz="0" w:space="0" w:color="auto"/>
      </w:divBdr>
      <w:divsChild>
        <w:div w:id="695544898">
          <w:marLeft w:val="0"/>
          <w:marRight w:val="0"/>
          <w:marTop w:val="0"/>
          <w:marBottom w:val="0"/>
          <w:divBdr>
            <w:top w:val="none" w:sz="0" w:space="0" w:color="auto"/>
            <w:left w:val="none" w:sz="0" w:space="0" w:color="auto"/>
            <w:bottom w:val="none" w:sz="0" w:space="0" w:color="auto"/>
            <w:right w:val="none" w:sz="0" w:space="0" w:color="auto"/>
          </w:divBdr>
          <w:divsChild>
            <w:div w:id="76445347">
              <w:marLeft w:val="0"/>
              <w:marRight w:val="0"/>
              <w:marTop w:val="0"/>
              <w:marBottom w:val="0"/>
              <w:divBdr>
                <w:top w:val="none" w:sz="0" w:space="0" w:color="auto"/>
                <w:left w:val="none" w:sz="0" w:space="0" w:color="auto"/>
                <w:bottom w:val="none" w:sz="0" w:space="0" w:color="auto"/>
                <w:right w:val="none" w:sz="0" w:space="0" w:color="auto"/>
              </w:divBdr>
            </w:div>
            <w:div w:id="105659549">
              <w:marLeft w:val="0"/>
              <w:marRight w:val="0"/>
              <w:marTop w:val="0"/>
              <w:marBottom w:val="0"/>
              <w:divBdr>
                <w:top w:val="none" w:sz="0" w:space="0" w:color="auto"/>
                <w:left w:val="none" w:sz="0" w:space="0" w:color="auto"/>
                <w:bottom w:val="none" w:sz="0" w:space="0" w:color="auto"/>
                <w:right w:val="none" w:sz="0" w:space="0" w:color="auto"/>
              </w:divBdr>
            </w:div>
            <w:div w:id="152646920">
              <w:marLeft w:val="0"/>
              <w:marRight w:val="0"/>
              <w:marTop w:val="0"/>
              <w:marBottom w:val="0"/>
              <w:divBdr>
                <w:top w:val="none" w:sz="0" w:space="0" w:color="auto"/>
                <w:left w:val="none" w:sz="0" w:space="0" w:color="auto"/>
                <w:bottom w:val="none" w:sz="0" w:space="0" w:color="auto"/>
                <w:right w:val="none" w:sz="0" w:space="0" w:color="auto"/>
              </w:divBdr>
            </w:div>
            <w:div w:id="316308319">
              <w:marLeft w:val="0"/>
              <w:marRight w:val="0"/>
              <w:marTop w:val="0"/>
              <w:marBottom w:val="0"/>
              <w:divBdr>
                <w:top w:val="none" w:sz="0" w:space="0" w:color="auto"/>
                <w:left w:val="none" w:sz="0" w:space="0" w:color="auto"/>
                <w:bottom w:val="none" w:sz="0" w:space="0" w:color="auto"/>
                <w:right w:val="none" w:sz="0" w:space="0" w:color="auto"/>
              </w:divBdr>
            </w:div>
            <w:div w:id="366220341">
              <w:marLeft w:val="0"/>
              <w:marRight w:val="0"/>
              <w:marTop w:val="0"/>
              <w:marBottom w:val="0"/>
              <w:divBdr>
                <w:top w:val="none" w:sz="0" w:space="0" w:color="auto"/>
                <w:left w:val="none" w:sz="0" w:space="0" w:color="auto"/>
                <w:bottom w:val="none" w:sz="0" w:space="0" w:color="auto"/>
                <w:right w:val="none" w:sz="0" w:space="0" w:color="auto"/>
              </w:divBdr>
            </w:div>
            <w:div w:id="556554747">
              <w:marLeft w:val="0"/>
              <w:marRight w:val="0"/>
              <w:marTop w:val="0"/>
              <w:marBottom w:val="0"/>
              <w:divBdr>
                <w:top w:val="none" w:sz="0" w:space="0" w:color="auto"/>
                <w:left w:val="none" w:sz="0" w:space="0" w:color="auto"/>
                <w:bottom w:val="none" w:sz="0" w:space="0" w:color="auto"/>
                <w:right w:val="none" w:sz="0" w:space="0" w:color="auto"/>
              </w:divBdr>
            </w:div>
            <w:div w:id="624121546">
              <w:marLeft w:val="0"/>
              <w:marRight w:val="0"/>
              <w:marTop w:val="0"/>
              <w:marBottom w:val="0"/>
              <w:divBdr>
                <w:top w:val="none" w:sz="0" w:space="0" w:color="auto"/>
                <w:left w:val="none" w:sz="0" w:space="0" w:color="auto"/>
                <w:bottom w:val="none" w:sz="0" w:space="0" w:color="auto"/>
                <w:right w:val="none" w:sz="0" w:space="0" w:color="auto"/>
              </w:divBdr>
            </w:div>
            <w:div w:id="808939465">
              <w:marLeft w:val="0"/>
              <w:marRight w:val="0"/>
              <w:marTop w:val="0"/>
              <w:marBottom w:val="0"/>
              <w:divBdr>
                <w:top w:val="none" w:sz="0" w:space="0" w:color="auto"/>
                <w:left w:val="none" w:sz="0" w:space="0" w:color="auto"/>
                <w:bottom w:val="none" w:sz="0" w:space="0" w:color="auto"/>
                <w:right w:val="none" w:sz="0" w:space="0" w:color="auto"/>
              </w:divBdr>
            </w:div>
            <w:div w:id="828600620">
              <w:marLeft w:val="0"/>
              <w:marRight w:val="0"/>
              <w:marTop w:val="0"/>
              <w:marBottom w:val="0"/>
              <w:divBdr>
                <w:top w:val="none" w:sz="0" w:space="0" w:color="auto"/>
                <w:left w:val="none" w:sz="0" w:space="0" w:color="auto"/>
                <w:bottom w:val="none" w:sz="0" w:space="0" w:color="auto"/>
                <w:right w:val="none" w:sz="0" w:space="0" w:color="auto"/>
              </w:divBdr>
            </w:div>
            <w:div w:id="901451292">
              <w:marLeft w:val="0"/>
              <w:marRight w:val="0"/>
              <w:marTop w:val="0"/>
              <w:marBottom w:val="0"/>
              <w:divBdr>
                <w:top w:val="none" w:sz="0" w:space="0" w:color="auto"/>
                <w:left w:val="none" w:sz="0" w:space="0" w:color="auto"/>
                <w:bottom w:val="none" w:sz="0" w:space="0" w:color="auto"/>
                <w:right w:val="none" w:sz="0" w:space="0" w:color="auto"/>
              </w:divBdr>
            </w:div>
            <w:div w:id="1122383848">
              <w:marLeft w:val="0"/>
              <w:marRight w:val="0"/>
              <w:marTop w:val="0"/>
              <w:marBottom w:val="0"/>
              <w:divBdr>
                <w:top w:val="none" w:sz="0" w:space="0" w:color="auto"/>
                <w:left w:val="none" w:sz="0" w:space="0" w:color="auto"/>
                <w:bottom w:val="none" w:sz="0" w:space="0" w:color="auto"/>
                <w:right w:val="none" w:sz="0" w:space="0" w:color="auto"/>
              </w:divBdr>
            </w:div>
            <w:div w:id="1142114816">
              <w:marLeft w:val="0"/>
              <w:marRight w:val="0"/>
              <w:marTop w:val="0"/>
              <w:marBottom w:val="0"/>
              <w:divBdr>
                <w:top w:val="none" w:sz="0" w:space="0" w:color="auto"/>
                <w:left w:val="none" w:sz="0" w:space="0" w:color="auto"/>
                <w:bottom w:val="none" w:sz="0" w:space="0" w:color="auto"/>
                <w:right w:val="none" w:sz="0" w:space="0" w:color="auto"/>
              </w:divBdr>
            </w:div>
            <w:div w:id="1160774149">
              <w:marLeft w:val="0"/>
              <w:marRight w:val="0"/>
              <w:marTop w:val="0"/>
              <w:marBottom w:val="0"/>
              <w:divBdr>
                <w:top w:val="none" w:sz="0" w:space="0" w:color="auto"/>
                <w:left w:val="none" w:sz="0" w:space="0" w:color="auto"/>
                <w:bottom w:val="none" w:sz="0" w:space="0" w:color="auto"/>
                <w:right w:val="none" w:sz="0" w:space="0" w:color="auto"/>
              </w:divBdr>
            </w:div>
            <w:div w:id="1258640967">
              <w:marLeft w:val="0"/>
              <w:marRight w:val="0"/>
              <w:marTop w:val="0"/>
              <w:marBottom w:val="0"/>
              <w:divBdr>
                <w:top w:val="none" w:sz="0" w:space="0" w:color="auto"/>
                <w:left w:val="none" w:sz="0" w:space="0" w:color="auto"/>
                <w:bottom w:val="none" w:sz="0" w:space="0" w:color="auto"/>
                <w:right w:val="none" w:sz="0" w:space="0" w:color="auto"/>
              </w:divBdr>
            </w:div>
            <w:div w:id="1478230118">
              <w:marLeft w:val="0"/>
              <w:marRight w:val="0"/>
              <w:marTop w:val="0"/>
              <w:marBottom w:val="0"/>
              <w:divBdr>
                <w:top w:val="none" w:sz="0" w:space="0" w:color="auto"/>
                <w:left w:val="none" w:sz="0" w:space="0" w:color="auto"/>
                <w:bottom w:val="none" w:sz="0" w:space="0" w:color="auto"/>
                <w:right w:val="none" w:sz="0" w:space="0" w:color="auto"/>
              </w:divBdr>
            </w:div>
            <w:div w:id="1537739815">
              <w:marLeft w:val="0"/>
              <w:marRight w:val="0"/>
              <w:marTop w:val="0"/>
              <w:marBottom w:val="0"/>
              <w:divBdr>
                <w:top w:val="none" w:sz="0" w:space="0" w:color="auto"/>
                <w:left w:val="none" w:sz="0" w:space="0" w:color="auto"/>
                <w:bottom w:val="none" w:sz="0" w:space="0" w:color="auto"/>
                <w:right w:val="none" w:sz="0" w:space="0" w:color="auto"/>
              </w:divBdr>
            </w:div>
            <w:div w:id="1571036256">
              <w:marLeft w:val="0"/>
              <w:marRight w:val="0"/>
              <w:marTop w:val="0"/>
              <w:marBottom w:val="0"/>
              <w:divBdr>
                <w:top w:val="none" w:sz="0" w:space="0" w:color="auto"/>
                <w:left w:val="none" w:sz="0" w:space="0" w:color="auto"/>
                <w:bottom w:val="none" w:sz="0" w:space="0" w:color="auto"/>
                <w:right w:val="none" w:sz="0" w:space="0" w:color="auto"/>
              </w:divBdr>
            </w:div>
            <w:div w:id="1697272972">
              <w:marLeft w:val="0"/>
              <w:marRight w:val="0"/>
              <w:marTop w:val="0"/>
              <w:marBottom w:val="0"/>
              <w:divBdr>
                <w:top w:val="none" w:sz="0" w:space="0" w:color="auto"/>
                <w:left w:val="none" w:sz="0" w:space="0" w:color="auto"/>
                <w:bottom w:val="none" w:sz="0" w:space="0" w:color="auto"/>
                <w:right w:val="none" w:sz="0" w:space="0" w:color="auto"/>
              </w:divBdr>
            </w:div>
            <w:div w:id="1845391479">
              <w:marLeft w:val="0"/>
              <w:marRight w:val="0"/>
              <w:marTop w:val="0"/>
              <w:marBottom w:val="0"/>
              <w:divBdr>
                <w:top w:val="none" w:sz="0" w:space="0" w:color="auto"/>
                <w:left w:val="none" w:sz="0" w:space="0" w:color="auto"/>
                <w:bottom w:val="none" w:sz="0" w:space="0" w:color="auto"/>
                <w:right w:val="none" w:sz="0" w:space="0" w:color="auto"/>
              </w:divBdr>
            </w:div>
            <w:div w:id="1848907747">
              <w:marLeft w:val="0"/>
              <w:marRight w:val="0"/>
              <w:marTop w:val="0"/>
              <w:marBottom w:val="0"/>
              <w:divBdr>
                <w:top w:val="none" w:sz="0" w:space="0" w:color="auto"/>
                <w:left w:val="none" w:sz="0" w:space="0" w:color="auto"/>
                <w:bottom w:val="none" w:sz="0" w:space="0" w:color="auto"/>
                <w:right w:val="none" w:sz="0" w:space="0" w:color="auto"/>
              </w:divBdr>
            </w:div>
          </w:divsChild>
        </w:div>
        <w:div w:id="1754354579">
          <w:marLeft w:val="0"/>
          <w:marRight w:val="0"/>
          <w:marTop w:val="0"/>
          <w:marBottom w:val="0"/>
          <w:divBdr>
            <w:top w:val="none" w:sz="0" w:space="0" w:color="auto"/>
            <w:left w:val="none" w:sz="0" w:space="0" w:color="auto"/>
            <w:bottom w:val="none" w:sz="0" w:space="0" w:color="auto"/>
            <w:right w:val="none" w:sz="0" w:space="0" w:color="auto"/>
          </w:divBdr>
          <w:divsChild>
            <w:div w:id="219294561">
              <w:marLeft w:val="0"/>
              <w:marRight w:val="0"/>
              <w:marTop w:val="0"/>
              <w:marBottom w:val="0"/>
              <w:divBdr>
                <w:top w:val="none" w:sz="0" w:space="0" w:color="auto"/>
                <w:left w:val="none" w:sz="0" w:space="0" w:color="auto"/>
                <w:bottom w:val="none" w:sz="0" w:space="0" w:color="auto"/>
                <w:right w:val="none" w:sz="0" w:space="0" w:color="auto"/>
              </w:divBdr>
            </w:div>
            <w:div w:id="274143773">
              <w:marLeft w:val="0"/>
              <w:marRight w:val="0"/>
              <w:marTop w:val="0"/>
              <w:marBottom w:val="0"/>
              <w:divBdr>
                <w:top w:val="none" w:sz="0" w:space="0" w:color="auto"/>
                <w:left w:val="none" w:sz="0" w:space="0" w:color="auto"/>
                <w:bottom w:val="none" w:sz="0" w:space="0" w:color="auto"/>
                <w:right w:val="none" w:sz="0" w:space="0" w:color="auto"/>
              </w:divBdr>
            </w:div>
            <w:div w:id="422993514">
              <w:marLeft w:val="0"/>
              <w:marRight w:val="0"/>
              <w:marTop w:val="0"/>
              <w:marBottom w:val="0"/>
              <w:divBdr>
                <w:top w:val="none" w:sz="0" w:space="0" w:color="auto"/>
                <w:left w:val="none" w:sz="0" w:space="0" w:color="auto"/>
                <w:bottom w:val="none" w:sz="0" w:space="0" w:color="auto"/>
                <w:right w:val="none" w:sz="0" w:space="0" w:color="auto"/>
              </w:divBdr>
            </w:div>
            <w:div w:id="539559853">
              <w:marLeft w:val="0"/>
              <w:marRight w:val="0"/>
              <w:marTop w:val="0"/>
              <w:marBottom w:val="0"/>
              <w:divBdr>
                <w:top w:val="none" w:sz="0" w:space="0" w:color="auto"/>
                <w:left w:val="none" w:sz="0" w:space="0" w:color="auto"/>
                <w:bottom w:val="none" w:sz="0" w:space="0" w:color="auto"/>
                <w:right w:val="none" w:sz="0" w:space="0" w:color="auto"/>
              </w:divBdr>
            </w:div>
            <w:div w:id="685792219">
              <w:marLeft w:val="0"/>
              <w:marRight w:val="0"/>
              <w:marTop w:val="0"/>
              <w:marBottom w:val="0"/>
              <w:divBdr>
                <w:top w:val="none" w:sz="0" w:space="0" w:color="auto"/>
                <w:left w:val="none" w:sz="0" w:space="0" w:color="auto"/>
                <w:bottom w:val="none" w:sz="0" w:space="0" w:color="auto"/>
                <w:right w:val="none" w:sz="0" w:space="0" w:color="auto"/>
              </w:divBdr>
            </w:div>
            <w:div w:id="824055412">
              <w:marLeft w:val="0"/>
              <w:marRight w:val="0"/>
              <w:marTop w:val="0"/>
              <w:marBottom w:val="0"/>
              <w:divBdr>
                <w:top w:val="none" w:sz="0" w:space="0" w:color="auto"/>
                <w:left w:val="none" w:sz="0" w:space="0" w:color="auto"/>
                <w:bottom w:val="none" w:sz="0" w:space="0" w:color="auto"/>
                <w:right w:val="none" w:sz="0" w:space="0" w:color="auto"/>
              </w:divBdr>
            </w:div>
            <w:div w:id="992026561">
              <w:marLeft w:val="0"/>
              <w:marRight w:val="0"/>
              <w:marTop w:val="0"/>
              <w:marBottom w:val="0"/>
              <w:divBdr>
                <w:top w:val="none" w:sz="0" w:space="0" w:color="auto"/>
                <w:left w:val="none" w:sz="0" w:space="0" w:color="auto"/>
                <w:bottom w:val="none" w:sz="0" w:space="0" w:color="auto"/>
                <w:right w:val="none" w:sz="0" w:space="0" w:color="auto"/>
              </w:divBdr>
            </w:div>
            <w:div w:id="1315179267">
              <w:marLeft w:val="0"/>
              <w:marRight w:val="0"/>
              <w:marTop w:val="0"/>
              <w:marBottom w:val="0"/>
              <w:divBdr>
                <w:top w:val="none" w:sz="0" w:space="0" w:color="auto"/>
                <w:left w:val="none" w:sz="0" w:space="0" w:color="auto"/>
                <w:bottom w:val="none" w:sz="0" w:space="0" w:color="auto"/>
                <w:right w:val="none" w:sz="0" w:space="0" w:color="auto"/>
              </w:divBdr>
            </w:div>
            <w:div w:id="1374579018">
              <w:marLeft w:val="0"/>
              <w:marRight w:val="0"/>
              <w:marTop w:val="0"/>
              <w:marBottom w:val="0"/>
              <w:divBdr>
                <w:top w:val="none" w:sz="0" w:space="0" w:color="auto"/>
                <w:left w:val="none" w:sz="0" w:space="0" w:color="auto"/>
                <w:bottom w:val="none" w:sz="0" w:space="0" w:color="auto"/>
                <w:right w:val="none" w:sz="0" w:space="0" w:color="auto"/>
              </w:divBdr>
            </w:div>
            <w:div w:id="1429696860">
              <w:marLeft w:val="0"/>
              <w:marRight w:val="0"/>
              <w:marTop w:val="0"/>
              <w:marBottom w:val="0"/>
              <w:divBdr>
                <w:top w:val="none" w:sz="0" w:space="0" w:color="auto"/>
                <w:left w:val="none" w:sz="0" w:space="0" w:color="auto"/>
                <w:bottom w:val="none" w:sz="0" w:space="0" w:color="auto"/>
                <w:right w:val="none" w:sz="0" w:space="0" w:color="auto"/>
              </w:divBdr>
            </w:div>
            <w:div w:id="1451824306">
              <w:marLeft w:val="0"/>
              <w:marRight w:val="0"/>
              <w:marTop w:val="0"/>
              <w:marBottom w:val="0"/>
              <w:divBdr>
                <w:top w:val="none" w:sz="0" w:space="0" w:color="auto"/>
                <w:left w:val="none" w:sz="0" w:space="0" w:color="auto"/>
                <w:bottom w:val="none" w:sz="0" w:space="0" w:color="auto"/>
                <w:right w:val="none" w:sz="0" w:space="0" w:color="auto"/>
              </w:divBdr>
            </w:div>
            <w:div w:id="1536190889">
              <w:marLeft w:val="0"/>
              <w:marRight w:val="0"/>
              <w:marTop w:val="0"/>
              <w:marBottom w:val="0"/>
              <w:divBdr>
                <w:top w:val="none" w:sz="0" w:space="0" w:color="auto"/>
                <w:left w:val="none" w:sz="0" w:space="0" w:color="auto"/>
                <w:bottom w:val="none" w:sz="0" w:space="0" w:color="auto"/>
                <w:right w:val="none" w:sz="0" w:space="0" w:color="auto"/>
              </w:divBdr>
            </w:div>
            <w:div w:id="1753577062">
              <w:marLeft w:val="0"/>
              <w:marRight w:val="0"/>
              <w:marTop w:val="0"/>
              <w:marBottom w:val="0"/>
              <w:divBdr>
                <w:top w:val="none" w:sz="0" w:space="0" w:color="auto"/>
                <w:left w:val="none" w:sz="0" w:space="0" w:color="auto"/>
                <w:bottom w:val="none" w:sz="0" w:space="0" w:color="auto"/>
                <w:right w:val="none" w:sz="0" w:space="0" w:color="auto"/>
              </w:divBdr>
            </w:div>
            <w:div w:id="1768501726">
              <w:marLeft w:val="0"/>
              <w:marRight w:val="0"/>
              <w:marTop w:val="0"/>
              <w:marBottom w:val="0"/>
              <w:divBdr>
                <w:top w:val="none" w:sz="0" w:space="0" w:color="auto"/>
                <w:left w:val="none" w:sz="0" w:space="0" w:color="auto"/>
                <w:bottom w:val="none" w:sz="0" w:space="0" w:color="auto"/>
                <w:right w:val="none" w:sz="0" w:space="0" w:color="auto"/>
              </w:divBdr>
            </w:div>
            <w:div w:id="1947883896">
              <w:marLeft w:val="0"/>
              <w:marRight w:val="0"/>
              <w:marTop w:val="0"/>
              <w:marBottom w:val="0"/>
              <w:divBdr>
                <w:top w:val="none" w:sz="0" w:space="0" w:color="auto"/>
                <w:left w:val="none" w:sz="0" w:space="0" w:color="auto"/>
                <w:bottom w:val="none" w:sz="0" w:space="0" w:color="auto"/>
                <w:right w:val="none" w:sz="0" w:space="0" w:color="auto"/>
              </w:divBdr>
            </w:div>
            <w:div w:id="1973556532">
              <w:marLeft w:val="0"/>
              <w:marRight w:val="0"/>
              <w:marTop w:val="0"/>
              <w:marBottom w:val="0"/>
              <w:divBdr>
                <w:top w:val="none" w:sz="0" w:space="0" w:color="auto"/>
                <w:left w:val="none" w:sz="0" w:space="0" w:color="auto"/>
                <w:bottom w:val="none" w:sz="0" w:space="0" w:color="auto"/>
                <w:right w:val="none" w:sz="0" w:space="0" w:color="auto"/>
              </w:divBdr>
            </w:div>
            <w:div w:id="2031178951">
              <w:marLeft w:val="0"/>
              <w:marRight w:val="0"/>
              <w:marTop w:val="0"/>
              <w:marBottom w:val="0"/>
              <w:divBdr>
                <w:top w:val="none" w:sz="0" w:space="0" w:color="auto"/>
                <w:left w:val="none" w:sz="0" w:space="0" w:color="auto"/>
                <w:bottom w:val="none" w:sz="0" w:space="0" w:color="auto"/>
                <w:right w:val="none" w:sz="0" w:space="0" w:color="auto"/>
              </w:divBdr>
            </w:div>
            <w:div w:id="2066681849">
              <w:marLeft w:val="0"/>
              <w:marRight w:val="0"/>
              <w:marTop w:val="0"/>
              <w:marBottom w:val="0"/>
              <w:divBdr>
                <w:top w:val="none" w:sz="0" w:space="0" w:color="auto"/>
                <w:left w:val="none" w:sz="0" w:space="0" w:color="auto"/>
                <w:bottom w:val="none" w:sz="0" w:space="0" w:color="auto"/>
                <w:right w:val="none" w:sz="0" w:space="0" w:color="auto"/>
              </w:divBdr>
            </w:div>
            <w:div w:id="2079742038">
              <w:marLeft w:val="0"/>
              <w:marRight w:val="0"/>
              <w:marTop w:val="0"/>
              <w:marBottom w:val="0"/>
              <w:divBdr>
                <w:top w:val="none" w:sz="0" w:space="0" w:color="auto"/>
                <w:left w:val="none" w:sz="0" w:space="0" w:color="auto"/>
                <w:bottom w:val="none" w:sz="0" w:space="0" w:color="auto"/>
                <w:right w:val="none" w:sz="0" w:space="0" w:color="auto"/>
              </w:divBdr>
            </w:div>
            <w:div w:id="214264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86161">
      <w:bodyDiv w:val="1"/>
      <w:marLeft w:val="0"/>
      <w:marRight w:val="0"/>
      <w:marTop w:val="0"/>
      <w:marBottom w:val="0"/>
      <w:divBdr>
        <w:top w:val="none" w:sz="0" w:space="0" w:color="auto"/>
        <w:left w:val="none" w:sz="0" w:space="0" w:color="auto"/>
        <w:bottom w:val="none" w:sz="0" w:space="0" w:color="auto"/>
        <w:right w:val="none" w:sz="0" w:space="0" w:color="auto"/>
      </w:divBdr>
      <w:divsChild>
        <w:div w:id="17515623">
          <w:marLeft w:val="0"/>
          <w:marRight w:val="0"/>
          <w:marTop w:val="0"/>
          <w:marBottom w:val="0"/>
          <w:divBdr>
            <w:top w:val="none" w:sz="0" w:space="0" w:color="auto"/>
            <w:left w:val="none" w:sz="0" w:space="0" w:color="auto"/>
            <w:bottom w:val="none" w:sz="0" w:space="0" w:color="auto"/>
            <w:right w:val="none" w:sz="0" w:space="0" w:color="auto"/>
          </w:divBdr>
          <w:divsChild>
            <w:div w:id="1461193752">
              <w:marLeft w:val="-75"/>
              <w:marRight w:val="0"/>
              <w:marTop w:val="30"/>
              <w:marBottom w:val="30"/>
              <w:divBdr>
                <w:top w:val="none" w:sz="0" w:space="0" w:color="auto"/>
                <w:left w:val="none" w:sz="0" w:space="0" w:color="auto"/>
                <w:bottom w:val="none" w:sz="0" w:space="0" w:color="auto"/>
                <w:right w:val="none" w:sz="0" w:space="0" w:color="auto"/>
              </w:divBdr>
              <w:divsChild>
                <w:div w:id="2634335">
                  <w:marLeft w:val="0"/>
                  <w:marRight w:val="0"/>
                  <w:marTop w:val="0"/>
                  <w:marBottom w:val="0"/>
                  <w:divBdr>
                    <w:top w:val="none" w:sz="0" w:space="0" w:color="auto"/>
                    <w:left w:val="none" w:sz="0" w:space="0" w:color="auto"/>
                    <w:bottom w:val="none" w:sz="0" w:space="0" w:color="auto"/>
                    <w:right w:val="none" w:sz="0" w:space="0" w:color="auto"/>
                  </w:divBdr>
                  <w:divsChild>
                    <w:div w:id="1902211290">
                      <w:marLeft w:val="0"/>
                      <w:marRight w:val="0"/>
                      <w:marTop w:val="0"/>
                      <w:marBottom w:val="0"/>
                      <w:divBdr>
                        <w:top w:val="none" w:sz="0" w:space="0" w:color="auto"/>
                        <w:left w:val="none" w:sz="0" w:space="0" w:color="auto"/>
                        <w:bottom w:val="none" w:sz="0" w:space="0" w:color="auto"/>
                        <w:right w:val="none" w:sz="0" w:space="0" w:color="auto"/>
                      </w:divBdr>
                    </w:div>
                  </w:divsChild>
                </w:div>
                <w:div w:id="2972447">
                  <w:marLeft w:val="0"/>
                  <w:marRight w:val="0"/>
                  <w:marTop w:val="0"/>
                  <w:marBottom w:val="0"/>
                  <w:divBdr>
                    <w:top w:val="none" w:sz="0" w:space="0" w:color="auto"/>
                    <w:left w:val="none" w:sz="0" w:space="0" w:color="auto"/>
                    <w:bottom w:val="none" w:sz="0" w:space="0" w:color="auto"/>
                    <w:right w:val="none" w:sz="0" w:space="0" w:color="auto"/>
                  </w:divBdr>
                  <w:divsChild>
                    <w:div w:id="145706510">
                      <w:marLeft w:val="0"/>
                      <w:marRight w:val="0"/>
                      <w:marTop w:val="0"/>
                      <w:marBottom w:val="0"/>
                      <w:divBdr>
                        <w:top w:val="none" w:sz="0" w:space="0" w:color="auto"/>
                        <w:left w:val="none" w:sz="0" w:space="0" w:color="auto"/>
                        <w:bottom w:val="none" w:sz="0" w:space="0" w:color="auto"/>
                        <w:right w:val="none" w:sz="0" w:space="0" w:color="auto"/>
                      </w:divBdr>
                    </w:div>
                  </w:divsChild>
                </w:div>
                <w:div w:id="6173924">
                  <w:marLeft w:val="0"/>
                  <w:marRight w:val="0"/>
                  <w:marTop w:val="0"/>
                  <w:marBottom w:val="0"/>
                  <w:divBdr>
                    <w:top w:val="none" w:sz="0" w:space="0" w:color="auto"/>
                    <w:left w:val="none" w:sz="0" w:space="0" w:color="auto"/>
                    <w:bottom w:val="none" w:sz="0" w:space="0" w:color="auto"/>
                    <w:right w:val="none" w:sz="0" w:space="0" w:color="auto"/>
                  </w:divBdr>
                  <w:divsChild>
                    <w:div w:id="758258063">
                      <w:marLeft w:val="0"/>
                      <w:marRight w:val="0"/>
                      <w:marTop w:val="0"/>
                      <w:marBottom w:val="0"/>
                      <w:divBdr>
                        <w:top w:val="none" w:sz="0" w:space="0" w:color="auto"/>
                        <w:left w:val="none" w:sz="0" w:space="0" w:color="auto"/>
                        <w:bottom w:val="none" w:sz="0" w:space="0" w:color="auto"/>
                        <w:right w:val="none" w:sz="0" w:space="0" w:color="auto"/>
                      </w:divBdr>
                    </w:div>
                  </w:divsChild>
                </w:div>
                <w:div w:id="21253847">
                  <w:marLeft w:val="0"/>
                  <w:marRight w:val="0"/>
                  <w:marTop w:val="0"/>
                  <w:marBottom w:val="0"/>
                  <w:divBdr>
                    <w:top w:val="none" w:sz="0" w:space="0" w:color="auto"/>
                    <w:left w:val="none" w:sz="0" w:space="0" w:color="auto"/>
                    <w:bottom w:val="none" w:sz="0" w:space="0" w:color="auto"/>
                    <w:right w:val="none" w:sz="0" w:space="0" w:color="auto"/>
                  </w:divBdr>
                  <w:divsChild>
                    <w:div w:id="1343046571">
                      <w:marLeft w:val="0"/>
                      <w:marRight w:val="0"/>
                      <w:marTop w:val="0"/>
                      <w:marBottom w:val="0"/>
                      <w:divBdr>
                        <w:top w:val="none" w:sz="0" w:space="0" w:color="auto"/>
                        <w:left w:val="none" w:sz="0" w:space="0" w:color="auto"/>
                        <w:bottom w:val="none" w:sz="0" w:space="0" w:color="auto"/>
                        <w:right w:val="none" w:sz="0" w:space="0" w:color="auto"/>
                      </w:divBdr>
                    </w:div>
                  </w:divsChild>
                </w:div>
                <w:div w:id="26222198">
                  <w:marLeft w:val="0"/>
                  <w:marRight w:val="0"/>
                  <w:marTop w:val="0"/>
                  <w:marBottom w:val="0"/>
                  <w:divBdr>
                    <w:top w:val="none" w:sz="0" w:space="0" w:color="auto"/>
                    <w:left w:val="none" w:sz="0" w:space="0" w:color="auto"/>
                    <w:bottom w:val="none" w:sz="0" w:space="0" w:color="auto"/>
                    <w:right w:val="none" w:sz="0" w:space="0" w:color="auto"/>
                  </w:divBdr>
                  <w:divsChild>
                    <w:div w:id="1511943759">
                      <w:marLeft w:val="0"/>
                      <w:marRight w:val="0"/>
                      <w:marTop w:val="0"/>
                      <w:marBottom w:val="0"/>
                      <w:divBdr>
                        <w:top w:val="none" w:sz="0" w:space="0" w:color="auto"/>
                        <w:left w:val="none" w:sz="0" w:space="0" w:color="auto"/>
                        <w:bottom w:val="none" w:sz="0" w:space="0" w:color="auto"/>
                        <w:right w:val="none" w:sz="0" w:space="0" w:color="auto"/>
                      </w:divBdr>
                    </w:div>
                  </w:divsChild>
                </w:div>
                <w:div w:id="34164460">
                  <w:marLeft w:val="0"/>
                  <w:marRight w:val="0"/>
                  <w:marTop w:val="0"/>
                  <w:marBottom w:val="0"/>
                  <w:divBdr>
                    <w:top w:val="none" w:sz="0" w:space="0" w:color="auto"/>
                    <w:left w:val="none" w:sz="0" w:space="0" w:color="auto"/>
                    <w:bottom w:val="none" w:sz="0" w:space="0" w:color="auto"/>
                    <w:right w:val="none" w:sz="0" w:space="0" w:color="auto"/>
                  </w:divBdr>
                  <w:divsChild>
                    <w:div w:id="1438285613">
                      <w:marLeft w:val="0"/>
                      <w:marRight w:val="0"/>
                      <w:marTop w:val="0"/>
                      <w:marBottom w:val="0"/>
                      <w:divBdr>
                        <w:top w:val="none" w:sz="0" w:space="0" w:color="auto"/>
                        <w:left w:val="none" w:sz="0" w:space="0" w:color="auto"/>
                        <w:bottom w:val="none" w:sz="0" w:space="0" w:color="auto"/>
                        <w:right w:val="none" w:sz="0" w:space="0" w:color="auto"/>
                      </w:divBdr>
                    </w:div>
                  </w:divsChild>
                </w:div>
                <w:div w:id="39718742">
                  <w:marLeft w:val="0"/>
                  <w:marRight w:val="0"/>
                  <w:marTop w:val="0"/>
                  <w:marBottom w:val="0"/>
                  <w:divBdr>
                    <w:top w:val="none" w:sz="0" w:space="0" w:color="auto"/>
                    <w:left w:val="none" w:sz="0" w:space="0" w:color="auto"/>
                    <w:bottom w:val="none" w:sz="0" w:space="0" w:color="auto"/>
                    <w:right w:val="none" w:sz="0" w:space="0" w:color="auto"/>
                  </w:divBdr>
                  <w:divsChild>
                    <w:div w:id="94332682">
                      <w:marLeft w:val="0"/>
                      <w:marRight w:val="0"/>
                      <w:marTop w:val="0"/>
                      <w:marBottom w:val="0"/>
                      <w:divBdr>
                        <w:top w:val="none" w:sz="0" w:space="0" w:color="auto"/>
                        <w:left w:val="none" w:sz="0" w:space="0" w:color="auto"/>
                        <w:bottom w:val="none" w:sz="0" w:space="0" w:color="auto"/>
                        <w:right w:val="none" w:sz="0" w:space="0" w:color="auto"/>
                      </w:divBdr>
                    </w:div>
                  </w:divsChild>
                </w:div>
                <w:div w:id="67116630">
                  <w:marLeft w:val="0"/>
                  <w:marRight w:val="0"/>
                  <w:marTop w:val="0"/>
                  <w:marBottom w:val="0"/>
                  <w:divBdr>
                    <w:top w:val="none" w:sz="0" w:space="0" w:color="auto"/>
                    <w:left w:val="none" w:sz="0" w:space="0" w:color="auto"/>
                    <w:bottom w:val="none" w:sz="0" w:space="0" w:color="auto"/>
                    <w:right w:val="none" w:sz="0" w:space="0" w:color="auto"/>
                  </w:divBdr>
                  <w:divsChild>
                    <w:div w:id="1134565688">
                      <w:marLeft w:val="0"/>
                      <w:marRight w:val="0"/>
                      <w:marTop w:val="0"/>
                      <w:marBottom w:val="0"/>
                      <w:divBdr>
                        <w:top w:val="none" w:sz="0" w:space="0" w:color="auto"/>
                        <w:left w:val="none" w:sz="0" w:space="0" w:color="auto"/>
                        <w:bottom w:val="none" w:sz="0" w:space="0" w:color="auto"/>
                        <w:right w:val="none" w:sz="0" w:space="0" w:color="auto"/>
                      </w:divBdr>
                    </w:div>
                  </w:divsChild>
                </w:div>
                <w:div w:id="69542725">
                  <w:marLeft w:val="0"/>
                  <w:marRight w:val="0"/>
                  <w:marTop w:val="0"/>
                  <w:marBottom w:val="0"/>
                  <w:divBdr>
                    <w:top w:val="none" w:sz="0" w:space="0" w:color="auto"/>
                    <w:left w:val="none" w:sz="0" w:space="0" w:color="auto"/>
                    <w:bottom w:val="none" w:sz="0" w:space="0" w:color="auto"/>
                    <w:right w:val="none" w:sz="0" w:space="0" w:color="auto"/>
                  </w:divBdr>
                  <w:divsChild>
                    <w:div w:id="608895730">
                      <w:marLeft w:val="0"/>
                      <w:marRight w:val="0"/>
                      <w:marTop w:val="0"/>
                      <w:marBottom w:val="0"/>
                      <w:divBdr>
                        <w:top w:val="none" w:sz="0" w:space="0" w:color="auto"/>
                        <w:left w:val="none" w:sz="0" w:space="0" w:color="auto"/>
                        <w:bottom w:val="none" w:sz="0" w:space="0" w:color="auto"/>
                        <w:right w:val="none" w:sz="0" w:space="0" w:color="auto"/>
                      </w:divBdr>
                    </w:div>
                  </w:divsChild>
                </w:div>
                <w:div w:id="94323535">
                  <w:marLeft w:val="0"/>
                  <w:marRight w:val="0"/>
                  <w:marTop w:val="0"/>
                  <w:marBottom w:val="0"/>
                  <w:divBdr>
                    <w:top w:val="none" w:sz="0" w:space="0" w:color="auto"/>
                    <w:left w:val="none" w:sz="0" w:space="0" w:color="auto"/>
                    <w:bottom w:val="none" w:sz="0" w:space="0" w:color="auto"/>
                    <w:right w:val="none" w:sz="0" w:space="0" w:color="auto"/>
                  </w:divBdr>
                  <w:divsChild>
                    <w:div w:id="1000423232">
                      <w:marLeft w:val="0"/>
                      <w:marRight w:val="0"/>
                      <w:marTop w:val="0"/>
                      <w:marBottom w:val="0"/>
                      <w:divBdr>
                        <w:top w:val="none" w:sz="0" w:space="0" w:color="auto"/>
                        <w:left w:val="none" w:sz="0" w:space="0" w:color="auto"/>
                        <w:bottom w:val="none" w:sz="0" w:space="0" w:color="auto"/>
                        <w:right w:val="none" w:sz="0" w:space="0" w:color="auto"/>
                      </w:divBdr>
                    </w:div>
                  </w:divsChild>
                </w:div>
                <w:div w:id="97912713">
                  <w:marLeft w:val="0"/>
                  <w:marRight w:val="0"/>
                  <w:marTop w:val="0"/>
                  <w:marBottom w:val="0"/>
                  <w:divBdr>
                    <w:top w:val="none" w:sz="0" w:space="0" w:color="auto"/>
                    <w:left w:val="none" w:sz="0" w:space="0" w:color="auto"/>
                    <w:bottom w:val="none" w:sz="0" w:space="0" w:color="auto"/>
                    <w:right w:val="none" w:sz="0" w:space="0" w:color="auto"/>
                  </w:divBdr>
                  <w:divsChild>
                    <w:div w:id="775447215">
                      <w:marLeft w:val="0"/>
                      <w:marRight w:val="0"/>
                      <w:marTop w:val="0"/>
                      <w:marBottom w:val="0"/>
                      <w:divBdr>
                        <w:top w:val="none" w:sz="0" w:space="0" w:color="auto"/>
                        <w:left w:val="none" w:sz="0" w:space="0" w:color="auto"/>
                        <w:bottom w:val="none" w:sz="0" w:space="0" w:color="auto"/>
                        <w:right w:val="none" w:sz="0" w:space="0" w:color="auto"/>
                      </w:divBdr>
                    </w:div>
                  </w:divsChild>
                </w:div>
                <w:div w:id="100875894">
                  <w:marLeft w:val="0"/>
                  <w:marRight w:val="0"/>
                  <w:marTop w:val="0"/>
                  <w:marBottom w:val="0"/>
                  <w:divBdr>
                    <w:top w:val="none" w:sz="0" w:space="0" w:color="auto"/>
                    <w:left w:val="none" w:sz="0" w:space="0" w:color="auto"/>
                    <w:bottom w:val="none" w:sz="0" w:space="0" w:color="auto"/>
                    <w:right w:val="none" w:sz="0" w:space="0" w:color="auto"/>
                  </w:divBdr>
                  <w:divsChild>
                    <w:div w:id="2104719128">
                      <w:marLeft w:val="0"/>
                      <w:marRight w:val="0"/>
                      <w:marTop w:val="0"/>
                      <w:marBottom w:val="0"/>
                      <w:divBdr>
                        <w:top w:val="none" w:sz="0" w:space="0" w:color="auto"/>
                        <w:left w:val="none" w:sz="0" w:space="0" w:color="auto"/>
                        <w:bottom w:val="none" w:sz="0" w:space="0" w:color="auto"/>
                        <w:right w:val="none" w:sz="0" w:space="0" w:color="auto"/>
                      </w:divBdr>
                    </w:div>
                  </w:divsChild>
                </w:div>
                <w:div w:id="108160720">
                  <w:marLeft w:val="0"/>
                  <w:marRight w:val="0"/>
                  <w:marTop w:val="0"/>
                  <w:marBottom w:val="0"/>
                  <w:divBdr>
                    <w:top w:val="none" w:sz="0" w:space="0" w:color="auto"/>
                    <w:left w:val="none" w:sz="0" w:space="0" w:color="auto"/>
                    <w:bottom w:val="none" w:sz="0" w:space="0" w:color="auto"/>
                    <w:right w:val="none" w:sz="0" w:space="0" w:color="auto"/>
                  </w:divBdr>
                  <w:divsChild>
                    <w:div w:id="847721723">
                      <w:marLeft w:val="0"/>
                      <w:marRight w:val="0"/>
                      <w:marTop w:val="0"/>
                      <w:marBottom w:val="0"/>
                      <w:divBdr>
                        <w:top w:val="none" w:sz="0" w:space="0" w:color="auto"/>
                        <w:left w:val="none" w:sz="0" w:space="0" w:color="auto"/>
                        <w:bottom w:val="none" w:sz="0" w:space="0" w:color="auto"/>
                        <w:right w:val="none" w:sz="0" w:space="0" w:color="auto"/>
                      </w:divBdr>
                    </w:div>
                  </w:divsChild>
                </w:div>
                <w:div w:id="109471183">
                  <w:marLeft w:val="0"/>
                  <w:marRight w:val="0"/>
                  <w:marTop w:val="0"/>
                  <w:marBottom w:val="0"/>
                  <w:divBdr>
                    <w:top w:val="none" w:sz="0" w:space="0" w:color="auto"/>
                    <w:left w:val="none" w:sz="0" w:space="0" w:color="auto"/>
                    <w:bottom w:val="none" w:sz="0" w:space="0" w:color="auto"/>
                    <w:right w:val="none" w:sz="0" w:space="0" w:color="auto"/>
                  </w:divBdr>
                  <w:divsChild>
                    <w:div w:id="1833830154">
                      <w:marLeft w:val="0"/>
                      <w:marRight w:val="0"/>
                      <w:marTop w:val="0"/>
                      <w:marBottom w:val="0"/>
                      <w:divBdr>
                        <w:top w:val="none" w:sz="0" w:space="0" w:color="auto"/>
                        <w:left w:val="none" w:sz="0" w:space="0" w:color="auto"/>
                        <w:bottom w:val="none" w:sz="0" w:space="0" w:color="auto"/>
                        <w:right w:val="none" w:sz="0" w:space="0" w:color="auto"/>
                      </w:divBdr>
                    </w:div>
                  </w:divsChild>
                </w:div>
                <w:div w:id="128790058">
                  <w:marLeft w:val="0"/>
                  <w:marRight w:val="0"/>
                  <w:marTop w:val="0"/>
                  <w:marBottom w:val="0"/>
                  <w:divBdr>
                    <w:top w:val="none" w:sz="0" w:space="0" w:color="auto"/>
                    <w:left w:val="none" w:sz="0" w:space="0" w:color="auto"/>
                    <w:bottom w:val="none" w:sz="0" w:space="0" w:color="auto"/>
                    <w:right w:val="none" w:sz="0" w:space="0" w:color="auto"/>
                  </w:divBdr>
                  <w:divsChild>
                    <w:div w:id="1939286236">
                      <w:marLeft w:val="0"/>
                      <w:marRight w:val="0"/>
                      <w:marTop w:val="0"/>
                      <w:marBottom w:val="0"/>
                      <w:divBdr>
                        <w:top w:val="none" w:sz="0" w:space="0" w:color="auto"/>
                        <w:left w:val="none" w:sz="0" w:space="0" w:color="auto"/>
                        <w:bottom w:val="none" w:sz="0" w:space="0" w:color="auto"/>
                        <w:right w:val="none" w:sz="0" w:space="0" w:color="auto"/>
                      </w:divBdr>
                    </w:div>
                  </w:divsChild>
                </w:div>
                <w:div w:id="129902514">
                  <w:marLeft w:val="0"/>
                  <w:marRight w:val="0"/>
                  <w:marTop w:val="0"/>
                  <w:marBottom w:val="0"/>
                  <w:divBdr>
                    <w:top w:val="none" w:sz="0" w:space="0" w:color="auto"/>
                    <w:left w:val="none" w:sz="0" w:space="0" w:color="auto"/>
                    <w:bottom w:val="none" w:sz="0" w:space="0" w:color="auto"/>
                    <w:right w:val="none" w:sz="0" w:space="0" w:color="auto"/>
                  </w:divBdr>
                  <w:divsChild>
                    <w:div w:id="1249998613">
                      <w:marLeft w:val="0"/>
                      <w:marRight w:val="0"/>
                      <w:marTop w:val="0"/>
                      <w:marBottom w:val="0"/>
                      <w:divBdr>
                        <w:top w:val="none" w:sz="0" w:space="0" w:color="auto"/>
                        <w:left w:val="none" w:sz="0" w:space="0" w:color="auto"/>
                        <w:bottom w:val="none" w:sz="0" w:space="0" w:color="auto"/>
                        <w:right w:val="none" w:sz="0" w:space="0" w:color="auto"/>
                      </w:divBdr>
                    </w:div>
                  </w:divsChild>
                </w:div>
                <w:div w:id="131214830">
                  <w:marLeft w:val="0"/>
                  <w:marRight w:val="0"/>
                  <w:marTop w:val="0"/>
                  <w:marBottom w:val="0"/>
                  <w:divBdr>
                    <w:top w:val="none" w:sz="0" w:space="0" w:color="auto"/>
                    <w:left w:val="none" w:sz="0" w:space="0" w:color="auto"/>
                    <w:bottom w:val="none" w:sz="0" w:space="0" w:color="auto"/>
                    <w:right w:val="none" w:sz="0" w:space="0" w:color="auto"/>
                  </w:divBdr>
                  <w:divsChild>
                    <w:div w:id="1402020226">
                      <w:marLeft w:val="0"/>
                      <w:marRight w:val="0"/>
                      <w:marTop w:val="0"/>
                      <w:marBottom w:val="0"/>
                      <w:divBdr>
                        <w:top w:val="none" w:sz="0" w:space="0" w:color="auto"/>
                        <w:left w:val="none" w:sz="0" w:space="0" w:color="auto"/>
                        <w:bottom w:val="none" w:sz="0" w:space="0" w:color="auto"/>
                        <w:right w:val="none" w:sz="0" w:space="0" w:color="auto"/>
                      </w:divBdr>
                    </w:div>
                  </w:divsChild>
                </w:div>
                <w:div w:id="145359726">
                  <w:marLeft w:val="0"/>
                  <w:marRight w:val="0"/>
                  <w:marTop w:val="0"/>
                  <w:marBottom w:val="0"/>
                  <w:divBdr>
                    <w:top w:val="none" w:sz="0" w:space="0" w:color="auto"/>
                    <w:left w:val="none" w:sz="0" w:space="0" w:color="auto"/>
                    <w:bottom w:val="none" w:sz="0" w:space="0" w:color="auto"/>
                    <w:right w:val="none" w:sz="0" w:space="0" w:color="auto"/>
                  </w:divBdr>
                  <w:divsChild>
                    <w:div w:id="190995973">
                      <w:marLeft w:val="0"/>
                      <w:marRight w:val="0"/>
                      <w:marTop w:val="0"/>
                      <w:marBottom w:val="0"/>
                      <w:divBdr>
                        <w:top w:val="none" w:sz="0" w:space="0" w:color="auto"/>
                        <w:left w:val="none" w:sz="0" w:space="0" w:color="auto"/>
                        <w:bottom w:val="none" w:sz="0" w:space="0" w:color="auto"/>
                        <w:right w:val="none" w:sz="0" w:space="0" w:color="auto"/>
                      </w:divBdr>
                    </w:div>
                  </w:divsChild>
                </w:div>
                <w:div w:id="146092757">
                  <w:marLeft w:val="0"/>
                  <w:marRight w:val="0"/>
                  <w:marTop w:val="0"/>
                  <w:marBottom w:val="0"/>
                  <w:divBdr>
                    <w:top w:val="none" w:sz="0" w:space="0" w:color="auto"/>
                    <w:left w:val="none" w:sz="0" w:space="0" w:color="auto"/>
                    <w:bottom w:val="none" w:sz="0" w:space="0" w:color="auto"/>
                    <w:right w:val="none" w:sz="0" w:space="0" w:color="auto"/>
                  </w:divBdr>
                  <w:divsChild>
                    <w:div w:id="595987147">
                      <w:marLeft w:val="0"/>
                      <w:marRight w:val="0"/>
                      <w:marTop w:val="0"/>
                      <w:marBottom w:val="0"/>
                      <w:divBdr>
                        <w:top w:val="none" w:sz="0" w:space="0" w:color="auto"/>
                        <w:left w:val="none" w:sz="0" w:space="0" w:color="auto"/>
                        <w:bottom w:val="none" w:sz="0" w:space="0" w:color="auto"/>
                        <w:right w:val="none" w:sz="0" w:space="0" w:color="auto"/>
                      </w:divBdr>
                    </w:div>
                  </w:divsChild>
                </w:div>
                <w:div w:id="159347670">
                  <w:marLeft w:val="0"/>
                  <w:marRight w:val="0"/>
                  <w:marTop w:val="0"/>
                  <w:marBottom w:val="0"/>
                  <w:divBdr>
                    <w:top w:val="none" w:sz="0" w:space="0" w:color="auto"/>
                    <w:left w:val="none" w:sz="0" w:space="0" w:color="auto"/>
                    <w:bottom w:val="none" w:sz="0" w:space="0" w:color="auto"/>
                    <w:right w:val="none" w:sz="0" w:space="0" w:color="auto"/>
                  </w:divBdr>
                  <w:divsChild>
                    <w:div w:id="1633632834">
                      <w:marLeft w:val="0"/>
                      <w:marRight w:val="0"/>
                      <w:marTop w:val="0"/>
                      <w:marBottom w:val="0"/>
                      <w:divBdr>
                        <w:top w:val="none" w:sz="0" w:space="0" w:color="auto"/>
                        <w:left w:val="none" w:sz="0" w:space="0" w:color="auto"/>
                        <w:bottom w:val="none" w:sz="0" w:space="0" w:color="auto"/>
                        <w:right w:val="none" w:sz="0" w:space="0" w:color="auto"/>
                      </w:divBdr>
                    </w:div>
                  </w:divsChild>
                </w:div>
                <w:div w:id="211622607">
                  <w:marLeft w:val="0"/>
                  <w:marRight w:val="0"/>
                  <w:marTop w:val="0"/>
                  <w:marBottom w:val="0"/>
                  <w:divBdr>
                    <w:top w:val="none" w:sz="0" w:space="0" w:color="auto"/>
                    <w:left w:val="none" w:sz="0" w:space="0" w:color="auto"/>
                    <w:bottom w:val="none" w:sz="0" w:space="0" w:color="auto"/>
                    <w:right w:val="none" w:sz="0" w:space="0" w:color="auto"/>
                  </w:divBdr>
                  <w:divsChild>
                    <w:div w:id="807667666">
                      <w:marLeft w:val="0"/>
                      <w:marRight w:val="0"/>
                      <w:marTop w:val="0"/>
                      <w:marBottom w:val="0"/>
                      <w:divBdr>
                        <w:top w:val="none" w:sz="0" w:space="0" w:color="auto"/>
                        <w:left w:val="none" w:sz="0" w:space="0" w:color="auto"/>
                        <w:bottom w:val="none" w:sz="0" w:space="0" w:color="auto"/>
                        <w:right w:val="none" w:sz="0" w:space="0" w:color="auto"/>
                      </w:divBdr>
                    </w:div>
                  </w:divsChild>
                </w:div>
                <w:div w:id="237446397">
                  <w:marLeft w:val="0"/>
                  <w:marRight w:val="0"/>
                  <w:marTop w:val="0"/>
                  <w:marBottom w:val="0"/>
                  <w:divBdr>
                    <w:top w:val="none" w:sz="0" w:space="0" w:color="auto"/>
                    <w:left w:val="none" w:sz="0" w:space="0" w:color="auto"/>
                    <w:bottom w:val="none" w:sz="0" w:space="0" w:color="auto"/>
                    <w:right w:val="none" w:sz="0" w:space="0" w:color="auto"/>
                  </w:divBdr>
                  <w:divsChild>
                    <w:div w:id="1946961675">
                      <w:marLeft w:val="0"/>
                      <w:marRight w:val="0"/>
                      <w:marTop w:val="0"/>
                      <w:marBottom w:val="0"/>
                      <w:divBdr>
                        <w:top w:val="none" w:sz="0" w:space="0" w:color="auto"/>
                        <w:left w:val="none" w:sz="0" w:space="0" w:color="auto"/>
                        <w:bottom w:val="none" w:sz="0" w:space="0" w:color="auto"/>
                        <w:right w:val="none" w:sz="0" w:space="0" w:color="auto"/>
                      </w:divBdr>
                    </w:div>
                  </w:divsChild>
                </w:div>
                <w:div w:id="244269210">
                  <w:marLeft w:val="0"/>
                  <w:marRight w:val="0"/>
                  <w:marTop w:val="0"/>
                  <w:marBottom w:val="0"/>
                  <w:divBdr>
                    <w:top w:val="none" w:sz="0" w:space="0" w:color="auto"/>
                    <w:left w:val="none" w:sz="0" w:space="0" w:color="auto"/>
                    <w:bottom w:val="none" w:sz="0" w:space="0" w:color="auto"/>
                    <w:right w:val="none" w:sz="0" w:space="0" w:color="auto"/>
                  </w:divBdr>
                  <w:divsChild>
                    <w:div w:id="857742505">
                      <w:marLeft w:val="0"/>
                      <w:marRight w:val="0"/>
                      <w:marTop w:val="0"/>
                      <w:marBottom w:val="0"/>
                      <w:divBdr>
                        <w:top w:val="none" w:sz="0" w:space="0" w:color="auto"/>
                        <w:left w:val="none" w:sz="0" w:space="0" w:color="auto"/>
                        <w:bottom w:val="none" w:sz="0" w:space="0" w:color="auto"/>
                        <w:right w:val="none" w:sz="0" w:space="0" w:color="auto"/>
                      </w:divBdr>
                    </w:div>
                  </w:divsChild>
                </w:div>
                <w:div w:id="246889620">
                  <w:marLeft w:val="0"/>
                  <w:marRight w:val="0"/>
                  <w:marTop w:val="0"/>
                  <w:marBottom w:val="0"/>
                  <w:divBdr>
                    <w:top w:val="none" w:sz="0" w:space="0" w:color="auto"/>
                    <w:left w:val="none" w:sz="0" w:space="0" w:color="auto"/>
                    <w:bottom w:val="none" w:sz="0" w:space="0" w:color="auto"/>
                    <w:right w:val="none" w:sz="0" w:space="0" w:color="auto"/>
                  </w:divBdr>
                  <w:divsChild>
                    <w:div w:id="1413087406">
                      <w:marLeft w:val="0"/>
                      <w:marRight w:val="0"/>
                      <w:marTop w:val="0"/>
                      <w:marBottom w:val="0"/>
                      <w:divBdr>
                        <w:top w:val="none" w:sz="0" w:space="0" w:color="auto"/>
                        <w:left w:val="none" w:sz="0" w:space="0" w:color="auto"/>
                        <w:bottom w:val="none" w:sz="0" w:space="0" w:color="auto"/>
                        <w:right w:val="none" w:sz="0" w:space="0" w:color="auto"/>
                      </w:divBdr>
                    </w:div>
                  </w:divsChild>
                </w:div>
                <w:div w:id="288048780">
                  <w:marLeft w:val="0"/>
                  <w:marRight w:val="0"/>
                  <w:marTop w:val="0"/>
                  <w:marBottom w:val="0"/>
                  <w:divBdr>
                    <w:top w:val="none" w:sz="0" w:space="0" w:color="auto"/>
                    <w:left w:val="none" w:sz="0" w:space="0" w:color="auto"/>
                    <w:bottom w:val="none" w:sz="0" w:space="0" w:color="auto"/>
                    <w:right w:val="none" w:sz="0" w:space="0" w:color="auto"/>
                  </w:divBdr>
                  <w:divsChild>
                    <w:div w:id="72897802">
                      <w:marLeft w:val="0"/>
                      <w:marRight w:val="0"/>
                      <w:marTop w:val="0"/>
                      <w:marBottom w:val="0"/>
                      <w:divBdr>
                        <w:top w:val="none" w:sz="0" w:space="0" w:color="auto"/>
                        <w:left w:val="none" w:sz="0" w:space="0" w:color="auto"/>
                        <w:bottom w:val="none" w:sz="0" w:space="0" w:color="auto"/>
                        <w:right w:val="none" w:sz="0" w:space="0" w:color="auto"/>
                      </w:divBdr>
                    </w:div>
                  </w:divsChild>
                </w:div>
                <w:div w:id="288634364">
                  <w:marLeft w:val="0"/>
                  <w:marRight w:val="0"/>
                  <w:marTop w:val="0"/>
                  <w:marBottom w:val="0"/>
                  <w:divBdr>
                    <w:top w:val="none" w:sz="0" w:space="0" w:color="auto"/>
                    <w:left w:val="none" w:sz="0" w:space="0" w:color="auto"/>
                    <w:bottom w:val="none" w:sz="0" w:space="0" w:color="auto"/>
                    <w:right w:val="none" w:sz="0" w:space="0" w:color="auto"/>
                  </w:divBdr>
                  <w:divsChild>
                    <w:div w:id="1222907762">
                      <w:marLeft w:val="0"/>
                      <w:marRight w:val="0"/>
                      <w:marTop w:val="0"/>
                      <w:marBottom w:val="0"/>
                      <w:divBdr>
                        <w:top w:val="none" w:sz="0" w:space="0" w:color="auto"/>
                        <w:left w:val="none" w:sz="0" w:space="0" w:color="auto"/>
                        <w:bottom w:val="none" w:sz="0" w:space="0" w:color="auto"/>
                        <w:right w:val="none" w:sz="0" w:space="0" w:color="auto"/>
                      </w:divBdr>
                    </w:div>
                  </w:divsChild>
                </w:div>
                <w:div w:id="298851716">
                  <w:marLeft w:val="0"/>
                  <w:marRight w:val="0"/>
                  <w:marTop w:val="0"/>
                  <w:marBottom w:val="0"/>
                  <w:divBdr>
                    <w:top w:val="none" w:sz="0" w:space="0" w:color="auto"/>
                    <w:left w:val="none" w:sz="0" w:space="0" w:color="auto"/>
                    <w:bottom w:val="none" w:sz="0" w:space="0" w:color="auto"/>
                    <w:right w:val="none" w:sz="0" w:space="0" w:color="auto"/>
                  </w:divBdr>
                  <w:divsChild>
                    <w:div w:id="175390645">
                      <w:marLeft w:val="0"/>
                      <w:marRight w:val="0"/>
                      <w:marTop w:val="0"/>
                      <w:marBottom w:val="0"/>
                      <w:divBdr>
                        <w:top w:val="none" w:sz="0" w:space="0" w:color="auto"/>
                        <w:left w:val="none" w:sz="0" w:space="0" w:color="auto"/>
                        <w:bottom w:val="none" w:sz="0" w:space="0" w:color="auto"/>
                        <w:right w:val="none" w:sz="0" w:space="0" w:color="auto"/>
                      </w:divBdr>
                    </w:div>
                  </w:divsChild>
                </w:div>
                <w:div w:id="318509682">
                  <w:marLeft w:val="0"/>
                  <w:marRight w:val="0"/>
                  <w:marTop w:val="0"/>
                  <w:marBottom w:val="0"/>
                  <w:divBdr>
                    <w:top w:val="none" w:sz="0" w:space="0" w:color="auto"/>
                    <w:left w:val="none" w:sz="0" w:space="0" w:color="auto"/>
                    <w:bottom w:val="none" w:sz="0" w:space="0" w:color="auto"/>
                    <w:right w:val="none" w:sz="0" w:space="0" w:color="auto"/>
                  </w:divBdr>
                  <w:divsChild>
                    <w:div w:id="1365789735">
                      <w:marLeft w:val="0"/>
                      <w:marRight w:val="0"/>
                      <w:marTop w:val="0"/>
                      <w:marBottom w:val="0"/>
                      <w:divBdr>
                        <w:top w:val="none" w:sz="0" w:space="0" w:color="auto"/>
                        <w:left w:val="none" w:sz="0" w:space="0" w:color="auto"/>
                        <w:bottom w:val="none" w:sz="0" w:space="0" w:color="auto"/>
                        <w:right w:val="none" w:sz="0" w:space="0" w:color="auto"/>
                      </w:divBdr>
                    </w:div>
                  </w:divsChild>
                </w:div>
                <w:div w:id="325593717">
                  <w:marLeft w:val="0"/>
                  <w:marRight w:val="0"/>
                  <w:marTop w:val="0"/>
                  <w:marBottom w:val="0"/>
                  <w:divBdr>
                    <w:top w:val="none" w:sz="0" w:space="0" w:color="auto"/>
                    <w:left w:val="none" w:sz="0" w:space="0" w:color="auto"/>
                    <w:bottom w:val="none" w:sz="0" w:space="0" w:color="auto"/>
                    <w:right w:val="none" w:sz="0" w:space="0" w:color="auto"/>
                  </w:divBdr>
                  <w:divsChild>
                    <w:div w:id="1693915355">
                      <w:marLeft w:val="0"/>
                      <w:marRight w:val="0"/>
                      <w:marTop w:val="0"/>
                      <w:marBottom w:val="0"/>
                      <w:divBdr>
                        <w:top w:val="none" w:sz="0" w:space="0" w:color="auto"/>
                        <w:left w:val="none" w:sz="0" w:space="0" w:color="auto"/>
                        <w:bottom w:val="none" w:sz="0" w:space="0" w:color="auto"/>
                        <w:right w:val="none" w:sz="0" w:space="0" w:color="auto"/>
                      </w:divBdr>
                    </w:div>
                  </w:divsChild>
                </w:div>
                <w:div w:id="335614636">
                  <w:marLeft w:val="0"/>
                  <w:marRight w:val="0"/>
                  <w:marTop w:val="0"/>
                  <w:marBottom w:val="0"/>
                  <w:divBdr>
                    <w:top w:val="none" w:sz="0" w:space="0" w:color="auto"/>
                    <w:left w:val="none" w:sz="0" w:space="0" w:color="auto"/>
                    <w:bottom w:val="none" w:sz="0" w:space="0" w:color="auto"/>
                    <w:right w:val="none" w:sz="0" w:space="0" w:color="auto"/>
                  </w:divBdr>
                  <w:divsChild>
                    <w:div w:id="1282222420">
                      <w:marLeft w:val="0"/>
                      <w:marRight w:val="0"/>
                      <w:marTop w:val="0"/>
                      <w:marBottom w:val="0"/>
                      <w:divBdr>
                        <w:top w:val="none" w:sz="0" w:space="0" w:color="auto"/>
                        <w:left w:val="none" w:sz="0" w:space="0" w:color="auto"/>
                        <w:bottom w:val="none" w:sz="0" w:space="0" w:color="auto"/>
                        <w:right w:val="none" w:sz="0" w:space="0" w:color="auto"/>
                      </w:divBdr>
                    </w:div>
                  </w:divsChild>
                </w:div>
                <w:div w:id="357044206">
                  <w:marLeft w:val="0"/>
                  <w:marRight w:val="0"/>
                  <w:marTop w:val="0"/>
                  <w:marBottom w:val="0"/>
                  <w:divBdr>
                    <w:top w:val="none" w:sz="0" w:space="0" w:color="auto"/>
                    <w:left w:val="none" w:sz="0" w:space="0" w:color="auto"/>
                    <w:bottom w:val="none" w:sz="0" w:space="0" w:color="auto"/>
                    <w:right w:val="none" w:sz="0" w:space="0" w:color="auto"/>
                  </w:divBdr>
                  <w:divsChild>
                    <w:div w:id="401216777">
                      <w:marLeft w:val="0"/>
                      <w:marRight w:val="0"/>
                      <w:marTop w:val="0"/>
                      <w:marBottom w:val="0"/>
                      <w:divBdr>
                        <w:top w:val="none" w:sz="0" w:space="0" w:color="auto"/>
                        <w:left w:val="none" w:sz="0" w:space="0" w:color="auto"/>
                        <w:bottom w:val="none" w:sz="0" w:space="0" w:color="auto"/>
                        <w:right w:val="none" w:sz="0" w:space="0" w:color="auto"/>
                      </w:divBdr>
                    </w:div>
                  </w:divsChild>
                </w:div>
                <w:div w:id="371925025">
                  <w:marLeft w:val="0"/>
                  <w:marRight w:val="0"/>
                  <w:marTop w:val="0"/>
                  <w:marBottom w:val="0"/>
                  <w:divBdr>
                    <w:top w:val="none" w:sz="0" w:space="0" w:color="auto"/>
                    <w:left w:val="none" w:sz="0" w:space="0" w:color="auto"/>
                    <w:bottom w:val="none" w:sz="0" w:space="0" w:color="auto"/>
                    <w:right w:val="none" w:sz="0" w:space="0" w:color="auto"/>
                  </w:divBdr>
                  <w:divsChild>
                    <w:div w:id="925499583">
                      <w:marLeft w:val="0"/>
                      <w:marRight w:val="0"/>
                      <w:marTop w:val="0"/>
                      <w:marBottom w:val="0"/>
                      <w:divBdr>
                        <w:top w:val="none" w:sz="0" w:space="0" w:color="auto"/>
                        <w:left w:val="none" w:sz="0" w:space="0" w:color="auto"/>
                        <w:bottom w:val="none" w:sz="0" w:space="0" w:color="auto"/>
                        <w:right w:val="none" w:sz="0" w:space="0" w:color="auto"/>
                      </w:divBdr>
                    </w:div>
                  </w:divsChild>
                </w:div>
                <w:div w:id="376856231">
                  <w:marLeft w:val="0"/>
                  <w:marRight w:val="0"/>
                  <w:marTop w:val="0"/>
                  <w:marBottom w:val="0"/>
                  <w:divBdr>
                    <w:top w:val="none" w:sz="0" w:space="0" w:color="auto"/>
                    <w:left w:val="none" w:sz="0" w:space="0" w:color="auto"/>
                    <w:bottom w:val="none" w:sz="0" w:space="0" w:color="auto"/>
                    <w:right w:val="none" w:sz="0" w:space="0" w:color="auto"/>
                  </w:divBdr>
                  <w:divsChild>
                    <w:div w:id="97071084">
                      <w:marLeft w:val="0"/>
                      <w:marRight w:val="0"/>
                      <w:marTop w:val="0"/>
                      <w:marBottom w:val="0"/>
                      <w:divBdr>
                        <w:top w:val="none" w:sz="0" w:space="0" w:color="auto"/>
                        <w:left w:val="none" w:sz="0" w:space="0" w:color="auto"/>
                        <w:bottom w:val="none" w:sz="0" w:space="0" w:color="auto"/>
                        <w:right w:val="none" w:sz="0" w:space="0" w:color="auto"/>
                      </w:divBdr>
                    </w:div>
                  </w:divsChild>
                </w:div>
                <w:div w:id="379086706">
                  <w:marLeft w:val="0"/>
                  <w:marRight w:val="0"/>
                  <w:marTop w:val="0"/>
                  <w:marBottom w:val="0"/>
                  <w:divBdr>
                    <w:top w:val="none" w:sz="0" w:space="0" w:color="auto"/>
                    <w:left w:val="none" w:sz="0" w:space="0" w:color="auto"/>
                    <w:bottom w:val="none" w:sz="0" w:space="0" w:color="auto"/>
                    <w:right w:val="none" w:sz="0" w:space="0" w:color="auto"/>
                  </w:divBdr>
                  <w:divsChild>
                    <w:div w:id="1862544421">
                      <w:marLeft w:val="0"/>
                      <w:marRight w:val="0"/>
                      <w:marTop w:val="0"/>
                      <w:marBottom w:val="0"/>
                      <w:divBdr>
                        <w:top w:val="none" w:sz="0" w:space="0" w:color="auto"/>
                        <w:left w:val="none" w:sz="0" w:space="0" w:color="auto"/>
                        <w:bottom w:val="none" w:sz="0" w:space="0" w:color="auto"/>
                        <w:right w:val="none" w:sz="0" w:space="0" w:color="auto"/>
                      </w:divBdr>
                    </w:div>
                  </w:divsChild>
                </w:div>
                <w:div w:id="398284935">
                  <w:marLeft w:val="0"/>
                  <w:marRight w:val="0"/>
                  <w:marTop w:val="0"/>
                  <w:marBottom w:val="0"/>
                  <w:divBdr>
                    <w:top w:val="none" w:sz="0" w:space="0" w:color="auto"/>
                    <w:left w:val="none" w:sz="0" w:space="0" w:color="auto"/>
                    <w:bottom w:val="none" w:sz="0" w:space="0" w:color="auto"/>
                    <w:right w:val="none" w:sz="0" w:space="0" w:color="auto"/>
                  </w:divBdr>
                  <w:divsChild>
                    <w:div w:id="148058249">
                      <w:marLeft w:val="0"/>
                      <w:marRight w:val="0"/>
                      <w:marTop w:val="0"/>
                      <w:marBottom w:val="0"/>
                      <w:divBdr>
                        <w:top w:val="none" w:sz="0" w:space="0" w:color="auto"/>
                        <w:left w:val="none" w:sz="0" w:space="0" w:color="auto"/>
                        <w:bottom w:val="none" w:sz="0" w:space="0" w:color="auto"/>
                        <w:right w:val="none" w:sz="0" w:space="0" w:color="auto"/>
                      </w:divBdr>
                    </w:div>
                  </w:divsChild>
                </w:div>
                <w:div w:id="403337350">
                  <w:marLeft w:val="0"/>
                  <w:marRight w:val="0"/>
                  <w:marTop w:val="0"/>
                  <w:marBottom w:val="0"/>
                  <w:divBdr>
                    <w:top w:val="none" w:sz="0" w:space="0" w:color="auto"/>
                    <w:left w:val="none" w:sz="0" w:space="0" w:color="auto"/>
                    <w:bottom w:val="none" w:sz="0" w:space="0" w:color="auto"/>
                    <w:right w:val="none" w:sz="0" w:space="0" w:color="auto"/>
                  </w:divBdr>
                  <w:divsChild>
                    <w:div w:id="2132089118">
                      <w:marLeft w:val="0"/>
                      <w:marRight w:val="0"/>
                      <w:marTop w:val="0"/>
                      <w:marBottom w:val="0"/>
                      <w:divBdr>
                        <w:top w:val="none" w:sz="0" w:space="0" w:color="auto"/>
                        <w:left w:val="none" w:sz="0" w:space="0" w:color="auto"/>
                        <w:bottom w:val="none" w:sz="0" w:space="0" w:color="auto"/>
                        <w:right w:val="none" w:sz="0" w:space="0" w:color="auto"/>
                      </w:divBdr>
                    </w:div>
                  </w:divsChild>
                </w:div>
                <w:div w:id="417943976">
                  <w:marLeft w:val="0"/>
                  <w:marRight w:val="0"/>
                  <w:marTop w:val="0"/>
                  <w:marBottom w:val="0"/>
                  <w:divBdr>
                    <w:top w:val="none" w:sz="0" w:space="0" w:color="auto"/>
                    <w:left w:val="none" w:sz="0" w:space="0" w:color="auto"/>
                    <w:bottom w:val="none" w:sz="0" w:space="0" w:color="auto"/>
                    <w:right w:val="none" w:sz="0" w:space="0" w:color="auto"/>
                  </w:divBdr>
                  <w:divsChild>
                    <w:div w:id="742341126">
                      <w:marLeft w:val="0"/>
                      <w:marRight w:val="0"/>
                      <w:marTop w:val="0"/>
                      <w:marBottom w:val="0"/>
                      <w:divBdr>
                        <w:top w:val="none" w:sz="0" w:space="0" w:color="auto"/>
                        <w:left w:val="none" w:sz="0" w:space="0" w:color="auto"/>
                        <w:bottom w:val="none" w:sz="0" w:space="0" w:color="auto"/>
                        <w:right w:val="none" w:sz="0" w:space="0" w:color="auto"/>
                      </w:divBdr>
                    </w:div>
                  </w:divsChild>
                </w:div>
                <w:div w:id="440927235">
                  <w:marLeft w:val="0"/>
                  <w:marRight w:val="0"/>
                  <w:marTop w:val="0"/>
                  <w:marBottom w:val="0"/>
                  <w:divBdr>
                    <w:top w:val="none" w:sz="0" w:space="0" w:color="auto"/>
                    <w:left w:val="none" w:sz="0" w:space="0" w:color="auto"/>
                    <w:bottom w:val="none" w:sz="0" w:space="0" w:color="auto"/>
                    <w:right w:val="none" w:sz="0" w:space="0" w:color="auto"/>
                  </w:divBdr>
                  <w:divsChild>
                    <w:div w:id="246883708">
                      <w:marLeft w:val="0"/>
                      <w:marRight w:val="0"/>
                      <w:marTop w:val="0"/>
                      <w:marBottom w:val="0"/>
                      <w:divBdr>
                        <w:top w:val="none" w:sz="0" w:space="0" w:color="auto"/>
                        <w:left w:val="none" w:sz="0" w:space="0" w:color="auto"/>
                        <w:bottom w:val="none" w:sz="0" w:space="0" w:color="auto"/>
                        <w:right w:val="none" w:sz="0" w:space="0" w:color="auto"/>
                      </w:divBdr>
                    </w:div>
                  </w:divsChild>
                </w:div>
                <w:div w:id="454951539">
                  <w:marLeft w:val="0"/>
                  <w:marRight w:val="0"/>
                  <w:marTop w:val="0"/>
                  <w:marBottom w:val="0"/>
                  <w:divBdr>
                    <w:top w:val="none" w:sz="0" w:space="0" w:color="auto"/>
                    <w:left w:val="none" w:sz="0" w:space="0" w:color="auto"/>
                    <w:bottom w:val="none" w:sz="0" w:space="0" w:color="auto"/>
                    <w:right w:val="none" w:sz="0" w:space="0" w:color="auto"/>
                  </w:divBdr>
                  <w:divsChild>
                    <w:div w:id="46533697">
                      <w:marLeft w:val="0"/>
                      <w:marRight w:val="0"/>
                      <w:marTop w:val="0"/>
                      <w:marBottom w:val="0"/>
                      <w:divBdr>
                        <w:top w:val="none" w:sz="0" w:space="0" w:color="auto"/>
                        <w:left w:val="none" w:sz="0" w:space="0" w:color="auto"/>
                        <w:bottom w:val="none" w:sz="0" w:space="0" w:color="auto"/>
                        <w:right w:val="none" w:sz="0" w:space="0" w:color="auto"/>
                      </w:divBdr>
                    </w:div>
                    <w:div w:id="893076428">
                      <w:marLeft w:val="0"/>
                      <w:marRight w:val="0"/>
                      <w:marTop w:val="0"/>
                      <w:marBottom w:val="0"/>
                      <w:divBdr>
                        <w:top w:val="none" w:sz="0" w:space="0" w:color="auto"/>
                        <w:left w:val="none" w:sz="0" w:space="0" w:color="auto"/>
                        <w:bottom w:val="none" w:sz="0" w:space="0" w:color="auto"/>
                        <w:right w:val="none" w:sz="0" w:space="0" w:color="auto"/>
                      </w:divBdr>
                    </w:div>
                  </w:divsChild>
                </w:div>
                <w:div w:id="497580490">
                  <w:marLeft w:val="0"/>
                  <w:marRight w:val="0"/>
                  <w:marTop w:val="0"/>
                  <w:marBottom w:val="0"/>
                  <w:divBdr>
                    <w:top w:val="none" w:sz="0" w:space="0" w:color="auto"/>
                    <w:left w:val="none" w:sz="0" w:space="0" w:color="auto"/>
                    <w:bottom w:val="none" w:sz="0" w:space="0" w:color="auto"/>
                    <w:right w:val="none" w:sz="0" w:space="0" w:color="auto"/>
                  </w:divBdr>
                  <w:divsChild>
                    <w:div w:id="787167143">
                      <w:marLeft w:val="0"/>
                      <w:marRight w:val="0"/>
                      <w:marTop w:val="0"/>
                      <w:marBottom w:val="0"/>
                      <w:divBdr>
                        <w:top w:val="none" w:sz="0" w:space="0" w:color="auto"/>
                        <w:left w:val="none" w:sz="0" w:space="0" w:color="auto"/>
                        <w:bottom w:val="none" w:sz="0" w:space="0" w:color="auto"/>
                        <w:right w:val="none" w:sz="0" w:space="0" w:color="auto"/>
                      </w:divBdr>
                    </w:div>
                  </w:divsChild>
                </w:div>
                <w:div w:id="505638007">
                  <w:marLeft w:val="0"/>
                  <w:marRight w:val="0"/>
                  <w:marTop w:val="0"/>
                  <w:marBottom w:val="0"/>
                  <w:divBdr>
                    <w:top w:val="none" w:sz="0" w:space="0" w:color="auto"/>
                    <w:left w:val="none" w:sz="0" w:space="0" w:color="auto"/>
                    <w:bottom w:val="none" w:sz="0" w:space="0" w:color="auto"/>
                    <w:right w:val="none" w:sz="0" w:space="0" w:color="auto"/>
                  </w:divBdr>
                  <w:divsChild>
                    <w:div w:id="1152677233">
                      <w:marLeft w:val="0"/>
                      <w:marRight w:val="0"/>
                      <w:marTop w:val="0"/>
                      <w:marBottom w:val="0"/>
                      <w:divBdr>
                        <w:top w:val="none" w:sz="0" w:space="0" w:color="auto"/>
                        <w:left w:val="none" w:sz="0" w:space="0" w:color="auto"/>
                        <w:bottom w:val="none" w:sz="0" w:space="0" w:color="auto"/>
                        <w:right w:val="none" w:sz="0" w:space="0" w:color="auto"/>
                      </w:divBdr>
                    </w:div>
                  </w:divsChild>
                </w:div>
                <w:div w:id="521480170">
                  <w:marLeft w:val="0"/>
                  <w:marRight w:val="0"/>
                  <w:marTop w:val="0"/>
                  <w:marBottom w:val="0"/>
                  <w:divBdr>
                    <w:top w:val="none" w:sz="0" w:space="0" w:color="auto"/>
                    <w:left w:val="none" w:sz="0" w:space="0" w:color="auto"/>
                    <w:bottom w:val="none" w:sz="0" w:space="0" w:color="auto"/>
                    <w:right w:val="none" w:sz="0" w:space="0" w:color="auto"/>
                  </w:divBdr>
                  <w:divsChild>
                    <w:div w:id="1662931337">
                      <w:marLeft w:val="0"/>
                      <w:marRight w:val="0"/>
                      <w:marTop w:val="0"/>
                      <w:marBottom w:val="0"/>
                      <w:divBdr>
                        <w:top w:val="none" w:sz="0" w:space="0" w:color="auto"/>
                        <w:left w:val="none" w:sz="0" w:space="0" w:color="auto"/>
                        <w:bottom w:val="none" w:sz="0" w:space="0" w:color="auto"/>
                        <w:right w:val="none" w:sz="0" w:space="0" w:color="auto"/>
                      </w:divBdr>
                    </w:div>
                  </w:divsChild>
                </w:div>
                <w:div w:id="525213002">
                  <w:marLeft w:val="0"/>
                  <w:marRight w:val="0"/>
                  <w:marTop w:val="0"/>
                  <w:marBottom w:val="0"/>
                  <w:divBdr>
                    <w:top w:val="none" w:sz="0" w:space="0" w:color="auto"/>
                    <w:left w:val="none" w:sz="0" w:space="0" w:color="auto"/>
                    <w:bottom w:val="none" w:sz="0" w:space="0" w:color="auto"/>
                    <w:right w:val="none" w:sz="0" w:space="0" w:color="auto"/>
                  </w:divBdr>
                  <w:divsChild>
                    <w:div w:id="1455977854">
                      <w:marLeft w:val="0"/>
                      <w:marRight w:val="0"/>
                      <w:marTop w:val="0"/>
                      <w:marBottom w:val="0"/>
                      <w:divBdr>
                        <w:top w:val="none" w:sz="0" w:space="0" w:color="auto"/>
                        <w:left w:val="none" w:sz="0" w:space="0" w:color="auto"/>
                        <w:bottom w:val="none" w:sz="0" w:space="0" w:color="auto"/>
                        <w:right w:val="none" w:sz="0" w:space="0" w:color="auto"/>
                      </w:divBdr>
                    </w:div>
                  </w:divsChild>
                </w:div>
                <w:div w:id="532690797">
                  <w:marLeft w:val="0"/>
                  <w:marRight w:val="0"/>
                  <w:marTop w:val="0"/>
                  <w:marBottom w:val="0"/>
                  <w:divBdr>
                    <w:top w:val="none" w:sz="0" w:space="0" w:color="auto"/>
                    <w:left w:val="none" w:sz="0" w:space="0" w:color="auto"/>
                    <w:bottom w:val="none" w:sz="0" w:space="0" w:color="auto"/>
                    <w:right w:val="none" w:sz="0" w:space="0" w:color="auto"/>
                  </w:divBdr>
                  <w:divsChild>
                    <w:div w:id="359169093">
                      <w:marLeft w:val="0"/>
                      <w:marRight w:val="0"/>
                      <w:marTop w:val="0"/>
                      <w:marBottom w:val="0"/>
                      <w:divBdr>
                        <w:top w:val="none" w:sz="0" w:space="0" w:color="auto"/>
                        <w:left w:val="none" w:sz="0" w:space="0" w:color="auto"/>
                        <w:bottom w:val="none" w:sz="0" w:space="0" w:color="auto"/>
                        <w:right w:val="none" w:sz="0" w:space="0" w:color="auto"/>
                      </w:divBdr>
                    </w:div>
                  </w:divsChild>
                </w:div>
                <w:div w:id="542597724">
                  <w:marLeft w:val="0"/>
                  <w:marRight w:val="0"/>
                  <w:marTop w:val="0"/>
                  <w:marBottom w:val="0"/>
                  <w:divBdr>
                    <w:top w:val="none" w:sz="0" w:space="0" w:color="auto"/>
                    <w:left w:val="none" w:sz="0" w:space="0" w:color="auto"/>
                    <w:bottom w:val="none" w:sz="0" w:space="0" w:color="auto"/>
                    <w:right w:val="none" w:sz="0" w:space="0" w:color="auto"/>
                  </w:divBdr>
                  <w:divsChild>
                    <w:div w:id="2051343364">
                      <w:marLeft w:val="0"/>
                      <w:marRight w:val="0"/>
                      <w:marTop w:val="0"/>
                      <w:marBottom w:val="0"/>
                      <w:divBdr>
                        <w:top w:val="none" w:sz="0" w:space="0" w:color="auto"/>
                        <w:left w:val="none" w:sz="0" w:space="0" w:color="auto"/>
                        <w:bottom w:val="none" w:sz="0" w:space="0" w:color="auto"/>
                        <w:right w:val="none" w:sz="0" w:space="0" w:color="auto"/>
                      </w:divBdr>
                    </w:div>
                  </w:divsChild>
                </w:div>
                <w:div w:id="543098320">
                  <w:marLeft w:val="0"/>
                  <w:marRight w:val="0"/>
                  <w:marTop w:val="0"/>
                  <w:marBottom w:val="0"/>
                  <w:divBdr>
                    <w:top w:val="none" w:sz="0" w:space="0" w:color="auto"/>
                    <w:left w:val="none" w:sz="0" w:space="0" w:color="auto"/>
                    <w:bottom w:val="none" w:sz="0" w:space="0" w:color="auto"/>
                    <w:right w:val="none" w:sz="0" w:space="0" w:color="auto"/>
                  </w:divBdr>
                  <w:divsChild>
                    <w:div w:id="628051204">
                      <w:marLeft w:val="0"/>
                      <w:marRight w:val="0"/>
                      <w:marTop w:val="0"/>
                      <w:marBottom w:val="0"/>
                      <w:divBdr>
                        <w:top w:val="none" w:sz="0" w:space="0" w:color="auto"/>
                        <w:left w:val="none" w:sz="0" w:space="0" w:color="auto"/>
                        <w:bottom w:val="none" w:sz="0" w:space="0" w:color="auto"/>
                        <w:right w:val="none" w:sz="0" w:space="0" w:color="auto"/>
                      </w:divBdr>
                    </w:div>
                  </w:divsChild>
                </w:div>
                <w:div w:id="552156340">
                  <w:marLeft w:val="0"/>
                  <w:marRight w:val="0"/>
                  <w:marTop w:val="0"/>
                  <w:marBottom w:val="0"/>
                  <w:divBdr>
                    <w:top w:val="none" w:sz="0" w:space="0" w:color="auto"/>
                    <w:left w:val="none" w:sz="0" w:space="0" w:color="auto"/>
                    <w:bottom w:val="none" w:sz="0" w:space="0" w:color="auto"/>
                    <w:right w:val="none" w:sz="0" w:space="0" w:color="auto"/>
                  </w:divBdr>
                  <w:divsChild>
                    <w:div w:id="978000769">
                      <w:marLeft w:val="0"/>
                      <w:marRight w:val="0"/>
                      <w:marTop w:val="0"/>
                      <w:marBottom w:val="0"/>
                      <w:divBdr>
                        <w:top w:val="none" w:sz="0" w:space="0" w:color="auto"/>
                        <w:left w:val="none" w:sz="0" w:space="0" w:color="auto"/>
                        <w:bottom w:val="none" w:sz="0" w:space="0" w:color="auto"/>
                        <w:right w:val="none" w:sz="0" w:space="0" w:color="auto"/>
                      </w:divBdr>
                    </w:div>
                  </w:divsChild>
                </w:div>
                <w:div w:id="562638783">
                  <w:marLeft w:val="0"/>
                  <w:marRight w:val="0"/>
                  <w:marTop w:val="0"/>
                  <w:marBottom w:val="0"/>
                  <w:divBdr>
                    <w:top w:val="none" w:sz="0" w:space="0" w:color="auto"/>
                    <w:left w:val="none" w:sz="0" w:space="0" w:color="auto"/>
                    <w:bottom w:val="none" w:sz="0" w:space="0" w:color="auto"/>
                    <w:right w:val="none" w:sz="0" w:space="0" w:color="auto"/>
                  </w:divBdr>
                  <w:divsChild>
                    <w:div w:id="936907791">
                      <w:marLeft w:val="0"/>
                      <w:marRight w:val="0"/>
                      <w:marTop w:val="0"/>
                      <w:marBottom w:val="0"/>
                      <w:divBdr>
                        <w:top w:val="none" w:sz="0" w:space="0" w:color="auto"/>
                        <w:left w:val="none" w:sz="0" w:space="0" w:color="auto"/>
                        <w:bottom w:val="none" w:sz="0" w:space="0" w:color="auto"/>
                        <w:right w:val="none" w:sz="0" w:space="0" w:color="auto"/>
                      </w:divBdr>
                    </w:div>
                  </w:divsChild>
                </w:div>
                <w:div w:id="568728695">
                  <w:marLeft w:val="0"/>
                  <w:marRight w:val="0"/>
                  <w:marTop w:val="0"/>
                  <w:marBottom w:val="0"/>
                  <w:divBdr>
                    <w:top w:val="none" w:sz="0" w:space="0" w:color="auto"/>
                    <w:left w:val="none" w:sz="0" w:space="0" w:color="auto"/>
                    <w:bottom w:val="none" w:sz="0" w:space="0" w:color="auto"/>
                    <w:right w:val="none" w:sz="0" w:space="0" w:color="auto"/>
                  </w:divBdr>
                  <w:divsChild>
                    <w:div w:id="291399418">
                      <w:marLeft w:val="0"/>
                      <w:marRight w:val="0"/>
                      <w:marTop w:val="0"/>
                      <w:marBottom w:val="0"/>
                      <w:divBdr>
                        <w:top w:val="none" w:sz="0" w:space="0" w:color="auto"/>
                        <w:left w:val="none" w:sz="0" w:space="0" w:color="auto"/>
                        <w:bottom w:val="none" w:sz="0" w:space="0" w:color="auto"/>
                        <w:right w:val="none" w:sz="0" w:space="0" w:color="auto"/>
                      </w:divBdr>
                    </w:div>
                  </w:divsChild>
                </w:div>
                <w:div w:id="591471520">
                  <w:marLeft w:val="0"/>
                  <w:marRight w:val="0"/>
                  <w:marTop w:val="0"/>
                  <w:marBottom w:val="0"/>
                  <w:divBdr>
                    <w:top w:val="none" w:sz="0" w:space="0" w:color="auto"/>
                    <w:left w:val="none" w:sz="0" w:space="0" w:color="auto"/>
                    <w:bottom w:val="none" w:sz="0" w:space="0" w:color="auto"/>
                    <w:right w:val="none" w:sz="0" w:space="0" w:color="auto"/>
                  </w:divBdr>
                  <w:divsChild>
                    <w:div w:id="10567732">
                      <w:marLeft w:val="0"/>
                      <w:marRight w:val="0"/>
                      <w:marTop w:val="0"/>
                      <w:marBottom w:val="0"/>
                      <w:divBdr>
                        <w:top w:val="none" w:sz="0" w:space="0" w:color="auto"/>
                        <w:left w:val="none" w:sz="0" w:space="0" w:color="auto"/>
                        <w:bottom w:val="none" w:sz="0" w:space="0" w:color="auto"/>
                        <w:right w:val="none" w:sz="0" w:space="0" w:color="auto"/>
                      </w:divBdr>
                    </w:div>
                  </w:divsChild>
                </w:div>
                <w:div w:id="594560128">
                  <w:marLeft w:val="0"/>
                  <w:marRight w:val="0"/>
                  <w:marTop w:val="0"/>
                  <w:marBottom w:val="0"/>
                  <w:divBdr>
                    <w:top w:val="none" w:sz="0" w:space="0" w:color="auto"/>
                    <w:left w:val="none" w:sz="0" w:space="0" w:color="auto"/>
                    <w:bottom w:val="none" w:sz="0" w:space="0" w:color="auto"/>
                    <w:right w:val="none" w:sz="0" w:space="0" w:color="auto"/>
                  </w:divBdr>
                  <w:divsChild>
                    <w:div w:id="116260965">
                      <w:marLeft w:val="0"/>
                      <w:marRight w:val="0"/>
                      <w:marTop w:val="0"/>
                      <w:marBottom w:val="0"/>
                      <w:divBdr>
                        <w:top w:val="none" w:sz="0" w:space="0" w:color="auto"/>
                        <w:left w:val="none" w:sz="0" w:space="0" w:color="auto"/>
                        <w:bottom w:val="none" w:sz="0" w:space="0" w:color="auto"/>
                        <w:right w:val="none" w:sz="0" w:space="0" w:color="auto"/>
                      </w:divBdr>
                    </w:div>
                  </w:divsChild>
                </w:div>
                <w:div w:id="620382259">
                  <w:marLeft w:val="0"/>
                  <w:marRight w:val="0"/>
                  <w:marTop w:val="0"/>
                  <w:marBottom w:val="0"/>
                  <w:divBdr>
                    <w:top w:val="none" w:sz="0" w:space="0" w:color="auto"/>
                    <w:left w:val="none" w:sz="0" w:space="0" w:color="auto"/>
                    <w:bottom w:val="none" w:sz="0" w:space="0" w:color="auto"/>
                    <w:right w:val="none" w:sz="0" w:space="0" w:color="auto"/>
                  </w:divBdr>
                  <w:divsChild>
                    <w:div w:id="1070884805">
                      <w:marLeft w:val="0"/>
                      <w:marRight w:val="0"/>
                      <w:marTop w:val="0"/>
                      <w:marBottom w:val="0"/>
                      <w:divBdr>
                        <w:top w:val="none" w:sz="0" w:space="0" w:color="auto"/>
                        <w:left w:val="none" w:sz="0" w:space="0" w:color="auto"/>
                        <w:bottom w:val="none" w:sz="0" w:space="0" w:color="auto"/>
                        <w:right w:val="none" w:sz="0" w:space="0" w:color="auto"/>
                      </w:divBdr>
                    </w:div>
                  </w:divsChild>
                </w:div>
                <w:div w:id="637224191">
                  <w:marLeft w:val="0"/>
                  <w:marRight w:val="0"/>
                  <w:marTop w:val="0"/>
                  <w:marBottom w:val="0"/>
                  <w:divBdr>
                    <w:top w:val="none" w:sz="0" w:space="0" w:color="auto"/>
                    <w:left w:val="none" w:sz="0" w:space="0" w:color="auto"/>
                    <w:bottom w:val="none" w:sz="0" w:space="0" w:color="auto"/>
                    <w:right w:val="none" w:sz="0" w:space="0" w:color="auto"/>
                  </w:divBdr>
                  <w:divsChild>
                    <w:div w:id="669912566">
                      <w:marLeft w:val="0"/>
                      <w:marRight w:val="0"/>
                      <w:marTop w:val="0"/>
                      <w:marBottom w:val="0"/>
                      <w:divBdr>
                        <w:top w:val="none" w:sz="0" w:space="0" w:color="auto"/>
                        <w:left w:val="none" w:sz="0" w:space="0" w:color="auto"/>
                        <w:bottom w:val="none" w:sz="0" w:space="0" w:color="auto"/>
                        <w:right w:val="none" w:sz="0" w:space="0" w:color="auto"/>
                      </w:divBdr>
                    </w:div>
                  </w:divsChild>
                </w:div>
                <w:div w:id="641883035">
                  <w:marLeft w:val="0"/>
                  <w:marRight w:val="0"/>
                  <w:marTop w:val="0"/>
                  <w:marBottom w:val="0"/>
                  <w:divBdr>
                    <w:top w:val="none" w:sz="0" w:space="0" w:color="auto"/>
                    <w:left w:val="none" w:sz="0" w:space="0" w:color="auto"/>
                    <w:bottom w:val="none" w:sz="0" w:space="0" w:color="auto"/>
                    <w:right w:val="none" w:sz="0" w:space="0" w:color="auto"/>
                  </w:divBdr>
                  <w:divsChild>
                    <w:div w:id="1148938455">
                      <w:marLeft w:val="0"/>
                      <w:marRight w:val="0"/>
                      <w:marTop w:val="0"/>
                      <w:marBottom w:val="0"/>
                      <w:divBdr>
                        <w:top w:val="none" w:sz="0" w:space="0" w:color="auto"/>
                        <w:left w:val="none" w:sz="0" w:space="0" w:color="auto"/>
                        <w:bottom w:val="none" w:sz="0" w:space="0" w:color="auto"/>
                        <w:right w:val="none" w:sz="0" w:space="0" w:color="auto"/>
                      </w:divBdr>
                    </w:div>
                  </w:divsChild>
                </w:div>
                <w:div w:id="655496428">
                  <w:marLeft w:val="0"/>
                  <w:marRight w:val="0"/>
                  <w:marTop w:val="0"/>
                  <w:marBottom w:val="0"/>
                  <w:divBdr>
                    <w:top w:val="none" w:sz="0" w:space="0" w:color="auto"/>
                    <w:left w:val="none" w:sz="0" w:space="0" w:color="auto"/>
                    <w:bottom w:val="none" w:sz="0" w:space="0" w:color="auto"/>
                    <w:right w:val="none" w:sz="0" w:space="0" w:color="auto"/>
                  </w:divBdr>
                  <w:divsChild>
                    <w:div w:id="2019185731">
                      <w:marLeft w:val="0"/>
                      <w:marRight w:val="0"/>
                      <w:marTop w:val="0"/>
                      <w:marBottom w:val="0"/>
                      <w:divBdr>
                        <w:top w:val="none" w:sz="0" w:space="0" w:color="auto"/>
                        <w:left w:val="none" w:sz="0" w:space="0" w:color="auto"/>
                        <w:bottom w:val="none" w:sz="0" w:space="0" w:color="auto"/>
                        <w:right w:val="none" w:sz="0" w:space="0" w:color="auto"/>
                      </w:divBdr>
                    </w:div>
                  </w:divsChild>
                </w:div>
                <w:div w:id="658651673">
                  <w:marLeft w:val="0"/>
                  <w:marRight w:val="0"/>
                  <w:marTop w:val="0"/>
                  <w:marBottom w:val="0"/>
                  <w:divBdr>
                    <w:top w:val="none" w:sz="0" w:space="0" w:color="auto"/>
                    <w:left w:val="none" w:sz="0" w:space="0" w:color="auto"/>
                    <w:bottom w:val="none" w:sz="0" w:space="0" w:color="auto"/>
                    <w:right w:val="none" w:sz="0" w:space="0" w:color="auto"/>
                  </w:divBdr>
                  <w:divsChild>
                    <w:div w:id="982546565">
                      <w:marLeft w:val="0"/>
                      <w:marRight w:val="0"/>
                      <w:marTop w:val="0"/>
                      <w:marBottom w:val="0"/>
                      <w:divBdr>
                        <w:top w:val="none" w:sz="0" w:space="0" w:color="auto"/>
                        <w:left w:val="none" w:sz="0" w:space="0" w:color="auto"/>
                        <w:bottom w:val="none" w:sz="0" w:space="0" w:color="auto"/>
                        <w:right w:val="none" w:sz="0" w:space="0" w:color="auto"/>
                      </w:divBdr>
                    </w:div>
                  </w:divsChild>
                </w:div>
                <w:div w:id="687482801">
                  <w:marLeft w:val="0"/>
                  <w:marRight w:val="0"/>
                  <w:marTop w:val="0"/>
                  <w:marBottom w:val="0"/>
                  <w:divBdr>
                    <w:top w:val="none" w:sz="0" w:space="0" w:color="auto"/>
                    <w:left w:val="none" w:sz="0" w:space="0" w:color="auto"/>
                    <w:bottom w:val="none" w:sz="0" w:space="0" w:color="auto"/>
                    <w:right w:val="none" w:sz="0" w:space="0" w:color="auto"/>
                  </w:divBdr>
                  <w:divsChild>
                    <w:div w:id="193887392">
                      <w:marLeft w:val="0"/>
                      <w:marRight w:val="0"/>
                      <w:marTop w:val="0"/>
                      <w:marBottom w:val="0"/>
                      <w:divBdr>
                        <w:top w:val="none" w:sz="0" w:space="0" w:color="auto"/>
                        <w:left w:val="none" w:sz="0" w:space="0" w:color="auto"/>
                        <w:bottom w:val="none" w:sz="0" w:space="0" w:color="auto"/>
                        <w:right w:val="none" w:sz="0" w:space="0" w:color="auto"/>
                      </w:divBdr>
                    </w:div>
                  </w:divsChild>
                </w:div>
                <w:div w:id="687636228">
                  <w:marLeft w:val="0"/>
                  <w:marRight w:val="0"/>
                  <w:marTop w:val="0"/>
                  <w:marBottom w:val="0"/>
                  <w:divBdr>
                    <w:top w:val="none" w:sz="0" w:space="0" w:color="auto"/>
                    <w:left w:val="none" w:sz="0" w:space="0" w:color="auto"/>
                    <w:bottom w:val="none" w:sz="0" w:space="0" w:color="auto"/>
                    <w:right w:val="none" w:sz="0" w:space="0" w:color="auto"/>
                  </w:divBdr>
                  <w:divsChild>
                    <w:div w:id="1724064912">
                      <w:marLeft w:val="0"/>
                      <w:marRight w:val="0"/>
                      <w:marTop w:val="0"/>
                      <w:marBottom w:val="0"/>
                      <w:divBdr>
                        <w:top w:val="none" w:sz="0" w:space="0" w:color="auto"/>
                        <w:left w:val="none" w:sz="0" w:space="0" w:color="auto"/>
                        <w:bottom w:val="none" w:sz="0" w:space="0" w:color="auto"/>
                        <w:right w:val="none" w:sz="0" w:space="0" w:color="auto"/>
                      </w:divBdr>
                    </w:div>
                  </w:divsChild>
                </w:div>
                <w:div w:id="719014060">
                  <w:marLeft w:val="0"/>
                  <w:marRight w:val="0"/>
                  <w:marTop w:val="0"/>
                  <w:marBottom w:val="0"/>
                  <w:divBdr>
                    <w:top w:val="none" w:sz="0" w:space="0" w:color="auto"/>
                    <w:left w:val="none" w:sz="0" w:space="0" w:color="auto"/>
                    <w:bottom w:val="none" w:sz="0" w:space="0" w:color="auto"/>
                    <w:right w:val="none" w:sz="0" w:space="0" w:color="auto"/>
                  </w:divBdr>
                  <w:divsChild>
                    <w:div w:id="636761306">
                      <w:marLeft w:val="0"/>
                      <w:marRight w:val="0"/>
                      <w:marTop w:val="0"/>
                      <w:marBottom w:val="0"/>
                      <w:divBdr>
                        <w:top w:val="none" w:sz="0" w:space="0" w:color="auto"/>
                        <w:left w:val="none" w:sz="0" w:space="0" w:color="auto"/>
                        <w:bottom w:val="none" w:sz="0" w:space="0" w:color="auto"/>
                        <w:right w:val="none" w:sz="0" w:space="0" w:color="auto"/>
                      </w:divBdr>
                    </w:div>
                  </w:divsChild>
                </w:div>
                <w:div w:id="733746320">
                  <w:marLeft w:val="0"/>
                  <w:marRight w:val="0"/>
                  <w:marTop w:val="0"/>
                  <w:marBottom w:val="0"/>
                  <w:divBdr>
                    <w:top w:val="none" w:sz="0" w:space="0" w:color="auto"/>
                    <w:left w:val="none" w:sz="0" w:space="0" w:color="auto"/>
                    <w:bottom w:val="none" w:sz="0" w:space="0" w:color="auto"/>
                    <w:right w:val="none" w:sz="0" w:space="0" w:color="auto"/>
                  </w:divBdr>
                  <w:divsChild>
                    <w:div w:id="1045373945">
                      <w:marLeft w:val="0"/>
                      <w:marRight w:val="0"/>
                      <w:marTop w:val="0"/>
                      <w:marBottom w:val="0"/>
                      <w:divBdr>
                        <w:top w:val="none" w:sz="0" w:space="0" w:color="auto"/>
                        <w:left w:val="none" w:sz="0" w:space="0" w:color="auto"/>
                        <w:bottom w:val="none" w:sz="0" w:space="0" w:color="auto"/>
                        <w:right w:val="none" w:sz="0" w:space="0" w:color="auto"/>
                      </w:divBdr>
                    </w:div>
                  </w:divsChild>
                </w:div>
                <w:div w:id="745803417">
                  <w:marLeft w:val="0"/>
                  <w:marRight w:val="0"/>
                  <w:marTop w:val="0"/>
                  <w:marBottom w:val="0"/>
                  <w:divBdr>
                    <w:top w:val="none" w:sz="0" w:space="0" w:color="auto"/>
                    <w:left w:val="none" w:sz="0" w:space="0" w:color="auto"/>
                    <w:bottom w:val="none" w:sz="0" w:space="0" w:color="auto"/>
                    <w:right w:val="none" w:sz="0" w:space="0" w:color="auto"/>
                  </w:divBdr>
                  <w:divsChild>
                    <w:div w:id="2130779736">
                      <w:marLeft w:val="0"/>
                      <w:marRight w:val="0"/>
                      <w:marTop w:val="0"/>
                      <w:marBottom w:val="0"/>
                      <w:divBdr>
                        <w:top w:val="none" w:sz="0" w:space="0" w:color="auto"/>
                        <w:left w:val="none" w:sz="0" w:space="0" w:color="auto"/>
                        <w:bottom w:val="none" w:sz="0" w:space="0" w:color="auto"/>
                        <w:right w:val="none" w:sz="0" w:space="0" w:color="auto"/>
                      </w:divBdr>
                    </w:div>
                  </w:divsChild>
                </w:div>
                <w:div w:id="745954459">
                  <w:marLeft w:val="0"/>
                  <w:marRight w:val="0"/>
                  <w:marTop w:val="0"/>
                  <w:marBottom w:val="0"/>
                  <w:divBdr>
                    <w:top w:val="none" w:sz="0" w:space="0" w:color="auto"/>
                    <w:left w:val="none" w:sz="0" w:space="0" w:color="auto"/>
                    <w:bottom w:val="none" w:sz="0" w:space="0" w:color="auto"/>
                    <w:right w:val="none" w:sz="0" w:space="0" w:color="auto"/>
                  </w:divBdr>
                  <w:divsChild>
                    <w:div w:id="1030762090">
                      <w:marLeft w:val="0"/>
                      <w:marRight w:val="0"/>
                      <w:marTop w:val="0"/>
                      <w:marBottom w:val="0"/>
                      <w:divBdr>
                        <w:top w:val="none" w:sz="0" w:space="0" w:color="auto"/>
                        <w:left w:val="none" w:sz="0" w:space="0" w:color="auto"/>
                        <w:bottom w:val="none" w:sz="0" w:space="0" w:color="auto"/>
                        <w:right w:val="none" w:sz="0" w:space="0" w:color="auto"/>
                      </w:divBdr>
                    </w:div>
                  </w:divsChild>
                </w:div>
                <w:div w:id="752091781">
                  <w:marLeft w:val="0"/>
                  <w:marRight w:val="0"/>
                  <w:marTop w:val="0"/>
                  <w:marBottom w:val="0"/>
                  <w:divBdr>
                    <w:top w:val="none" w:sz="0" w:space="0" w:color="auto"/>
                    <w:left w:val="none" w:sz="0" w:space="0" w:color="auto"/>
                    <w:bottom w:val="none" w:sz="0" w:space="0" w:color="auto"/>
                    <w:right w:val="none" w:sz="0" w:space="0" w:color="auto"/>
                  </w:divBdr>
                  <w:divsChild>
                    <w:div w:id="1716420077">
                      <w:marLeft w:val="0"/>
                      <w:marRight w:val="0"/>
                      <w:marTop w:val="0"/>
                      <w:marBottom w:val="0"/>
                      <w:divBdr>
                        <w:top w:val="none" w:sz="0" w:space="0" w:color="auto"/>
                        <w:left w:val="none" w:sz="0" w:space="0" w:color="auto"/>
                        <w:bottom w:val="none" w:sz="0" w:space="0" w:color="auto"/>
                        <w:right w:val="none" w:sz="0" w:space="0" w:color="auto"/>
                      </w:divBdr>
                    </w:div>
                  </w:divsChild>
                </w:div>
                <w:div w:id="756636973">
                  <w:marLeft w:val="0"/>
                  <w:marRight w:val="0"/>
                  <w:marTop w:val="0"/>
                  <w:marBottom w:val="0"/>
                  <w:divBdr>
                    <w:top w:val="none" w:sz="0" w:space="0" w:color="auto"/>
                    <w:left w:val="none" w:sz="0" w:space="0" w:color="auto"/>
                    <w:bottom w:val="none" w:sz="0" w:space="0" w:color="auto"/>
                    <w:right w:val="none" w:sz="0" w:space="0" w:color="auto"/>
                  </w:divBdr>
                  <w:divsChild>
                    <w:div w:id="302463104">
                      <w:marLeft w:val="0"/>
                      <w:marRight w:val="0"/>
                      <w:marTop w:val="0"/>
                      <w:marBottom w:val="0"/>
                      <w:divBdr>
                        <w:top w:val="none" w:sz="0" w:space="0" w:color="auto"/>
                        <w:left w:val="none" w:sz="0" w:space="0" w:color="auto"/>
                        <w:bottom w:val="none" w:sz="0" w:space="0" w:color="auto"/>
                        <w:right w:val="none" w:sz="0" w:space="0" w:color="auto"/>
                      </w:divBdr>
                    </w:div>
                  </w:divsChild>
                </w:div>
                <w:div w:id="777141996">
                  <w:marLeft w:val="0"/>
                  <w:marRight w:val="0"/>
                  <w:marTop w:val="0"/>
                  <w:marBottom w:val="0"/>
                  <w:divBdr>
                    <w:top w:val="none" w:sz="0" w:space="0" w:color="auto"/>
                    <w:left w:val="none" w:sz="0" w:space="0" w:color="auto"/>
                    <w:bottom w:val="none" w:sz="0" w:space="0" w:color="auto"/>
                    <w:right w:val="none" w:sz="0" w:space="0" w:color="auto"/>
                  </w:divBdr>
                  <w:divsChild>
                    <w:div w:id="48921857">
                      <w:marLeft w:val="0"/>
                      <w:marRight w:val="0"/>
                      <w:marTop w:val="0"/>
                      <w:marBottom w:val="0"/>
                      <w:divBdr>
                        <w:top w:val="none" w:sz="0" w:space="0" w:color="auto"/>
                        <w:left w:val="none" w:sz="0" w:space="0" w:color="auto"/>
                        <w:bottom w:val="none" w:sz="0" w:space="0" w:color="auto"/>
                        <w:right w:val="none" w:sz="0" w:space="0" w:color="auto"/>
                      </w:divBdr>
                    </w:div>
                  </w:divsChild>
                </w:div>
                <w:div w:id="778834211">
                  <w:marLeft w:val="0"/>
                  <w:marRight w:val="0"/>
                  <w:marTop w:val="0"/>
                  <w:marBottom w:val="0"/>
                  <w:divBdr>
                    <w:top w:val="none" w:sz="0" w:space="0" w:color="auto"/>
                    <w:left w:val="none" w:sz="0" w:space="0" w:color="auto"/>
                    <w:bottom w:val="none" w:sz="0" w:space="0" w:color="auto"/>
                    <w:right w:val="none" w:sz="0" w:space="0" w:color="auto"/>
                  </w:divBdr>
                  <w:divsChild>
                    <w:div w:id="1482850274">
                      <w:marLeft w:val="0"/>
                      <w:marRight w:val="0"/>
                      <w:marTop w:val="0"/>
                      <w:marBottom w:val="0"/>
                      <w:divBdr>
                        <w:top w:val="none" w:sz="0" w:space="0" w:color="auto"/>
                        <w:left w:val="none" w:sz="0" w:space="0" w:color="auto"/>
                        <w:bottom w:val="none" w:sz="0" w:space="0" w:color="auto"/>
                        <w:right w:val="none" w:sz="0" w:space="0" w:color="auto"/>
                      </w:divBdr>
                    </w:div>
                  </w:divsChild>
                </w:div>
                <w:div w:id="785197634">
                  <w:marLeft w:val="0"/>
                  <w:marRight w:val="0"/>
                  <w:marTop w:val="0"/>
                  <w:marBottom w:val="0"/>
                  <w:divBdr>
                    <w:top w:val="none" w:sz="0" w:space="0" w:color="auto"/>
                    <w:left w:val="none" w:sz="0" w:space="0" w:color="auto"/>
                    <w:bottom w:val="none" w:sz="0" w:space="0" w:color="auto"/>
                    <w:right w:val="none" w:sz="0" w:space="0" w:color="auto"/>
                  </w:divBdr>
                  <w:divsChild>
                    <w:div w:id="603733451">
                      <w:marLeft w:val="0"/>
                      <w:marRight w:val="0"/>
                      <w:marTop w:val="0"/>
                      <w:marBottom w:val="0"/>
                      <w:divBdr>
                        <w:top w:val="none" w:sz="0" w:space="0" w:color="auto"/>
                        <w:left w:val="none" w:sz="0" w:space="0" w:color="auto"/>
                        <w:bottom w:val="none" w:sz="0" w:space="0" w:color="auto"/>
                        <w:right w:val="none" w:sz="0" w:space="0" w:color="auto"/>
                      </w:divBdr>
                    </w:div>
                  </w:divsChild>
                </w:div>
                <w:div w:id="832642123">
                  <w:marLeft w:val="0"/>
                  <w:marRight w:val="0"/>
                  <w:marTop w:val="0"/>
                  <w:marBottom w:val="0"/>
                  <w:divBdr>
                    <w:top w:val="none" w:sz="0" w:space="0" w:color="auto"/>
                    <w:left w:val="none" w:sz="0" w:space="0" w:color="auto"/>
                    <w:bottom w:val="none" w:sz="0" w:space="0" w:color="auto"/>
                    <w:right w:val="none" w:sz="0" w:space="0" w:color="auto"/>
                  </w:divBdr>
                  <w:divsChild>
                    <w:div w:id="314144050">
                      <w:marLeft w:val="0"/>
                      <w:marRight w:val="0"/>
                      <w:marTop w:val="0"/>
                      <w:marBottom w:val="0"/>
                      <w:divBdr>
                        <w:top w:val="none" w:sz="0" w:space="0" w:color="auto"/>
                        <w:left w:val="none" w:sz="0" w:space="0" w:color="auto"/>
                        <w:bottom w:val="none" w:sz="0" w:space="0" w:color="auto"/>
                        <w:right w:val="none" w:sz="0" w:space="0" w:color="auto"/>
                      </w:divBdr>
                    </w:div>
                  </w:divsChild>
                </w:div>
                <w:div w:id="833569501">
                  <w:marLeft w:val="0"/>
                  <w:marRight w:val="0"/>
                  <w:marTop w:val="0"/>
                  <w:marBottom w:val="0"/>
                  <w:divBdr>
                    <w:top w:val="none" w:sz="0" w:space="0" w:color="auto"/>
                    <w:left w:val="none" w:sz="0" w:space="0" w:color="auto"/>
                    <w:bottom w:val="none" w:sz="0" w:space="0" w:color="auto"/>
                    <w:right w:val="none" w:sz="0" w:space="0" w:color="auto"/>
                  </w:divBdr>
                  <w:divsChild>
                    <w:div w:id="137114392">
                      <w:marLeft w:val="0"/>
                      <w:marRight w:val="0"/>
                      <w:marTop w:val="0"/>
                      <w:marBottom w:val="0"/>
                      <w:divBdr>
                        <w:top w:val="none" w:sz="0" w:space="0" w:color="auto"/>
                        <w:left w:val="none" w:sz="0" w:space="0" w:color="auto"/>
                        <w:bottom w:val="none" w:sz="0" w:space="0" w:color="auto"/>
                        <w:right w:val="none" w:sz="0" w:space="0" w:color="auto"/>
                      </w:divBdr>
                    </w:div>
                  </w:divsChild>
                </w:div>
                <w:div w:id="865409661">
                  <w:marLeft w:val="0"/>
                  <w:marRight w:val="0"/>
                  <w:marTop w:val="0"/>
                  <w:marBottom w:val="0"/>
                  <w:divBdr>
                    <w:top w:val="none" w:sz="0" w:space="0" w:color="auto"/>
                    <w:left w:val="none" w:sz="0" w:space="0" w:color="auto"/>
                    <w:bottom w:val="none" w:sz="0" w:space="0" w:color="auto"/>
                    <w:right w:val="none" w:sz="0" w:space="0" w:color="auto"/>
                  </w:divBdr>
                  <w:divsChild>
                    <w:div w:id="264659753">
                      <w:marLeft w:val="0"/>
                      <w:marRight w:val="0"/>
                      <w:marTop w:val="0"/>
                      <w:marBottom w:val="0"/>
                      <w:divBdr>
                        <w:top w:val="none" w:sz="0" w:space="0" w:color="auto"/>
                        <w:left w:val="none" w:sz="0" w:space="0" w:color="auto"/>
                        <w:bottom w:val="none" w:sz="0" w:space="0" w:color="auto"/>
                        <w:right w:val="none" w:sz="0" w:space="0" w:color="auto"/>
                      </w:divBdr>
                    </w:div>
                  </w:divsChild>
                </w:div>
                <w:div w:id="883907325">
                  <w:marLeft w:val="0"/>
                  <w:marRight w:val="0"/>
                  <w:marTop w:val="0"/>
                  <w:marBottom w:val="0"/>
                  <w:divBdr>
                    <w:top w:val="none" w:sz="0" w:space="0" w:color="auto"/>
                    <w:left w:val="none" w:sz="0" w:space="0" w:color="auto"/>
                    <w:bottom w:val="none" w:sz="0" w:space="0" w:color="auto"/>
                    <w:right w:val="none" w:sz="0" w:space="0" w:color="auto"/>
                  </w:divBdr>
                  <w:divsChild>
                    <w:div w:id="1959296530">
                      <w:marLeft w:val="0"/>
                      <w:marRight w:val="0"/>
                      <w:marTop w:val="0"/>
                      <w:marBottom w:val="0"/>
                      <w:divBdr>
                        <w:top w:val="none" w:sz="0" w:space="0" w:color="auto"/>
                        <w:left w:val="none" w:sz="0" w:space="0" w:color="auto"/>
                        <w:bottom w:val="none" w:sz="0" w:space="0" w:color="auto"/>
                        <w:right w:val="none" w:sz="0" w:space="0" w:color="auto"/>
                      </w:divBdr>
                    </w:div>
                  </w:divsChild>
                </w:div>
                <w:div w:id="910506190">
                  <w:marLeft w:val="0"/>
                  <w:marRight w:val="0"/>
                  <w:marTop w:val="0"/>
                  <w:marBottom w:val="0"/>
                  <w:divBdr>
                    <w:top w:val="none" w:sz="0" w:space="0" w:color="auto"/>
                    <w:left w:val="none" w:sz="0" w:space="0" w:color="auto"/>
                    <w:bottom w:val="none" w:sz="0" w:space="0" w:color="auto"/>
                    <w:right w:val="none" w:sz="0" w:space="0" w:color="auto"/>
                  </w:divBdr>
                  <w:divsChild>
                    <w:div w:id="2010062848">
                      <w:marLeft w:val="0"/>
                      <w:marRight w:val="0"/>
                      <w:marTop w:val="0"/>
                      <w:marBottom w:val="0"/>
                      <w:divBdr>
                        <w:top w:val="none" w:sz="0" w:space="0" w:color="auto"/>
                        <w:left w:val="none" w:sz="0" w:space="0" w:color="auto"/>
                        <w:bottom w:val="none" w:sz="0" w:space="0" w:color="auto"/>
                        <w:right w:val="none" w:sz="0" w:space="0" w:color="auto"/>
                      </w:divBdr>
                    </w:div>
                  </w:divsChild>
                </w:div>
                <w:div w:id="913390283">
                  <w:marLeft w:val="0"/>
                  <w:marRight w:val="0"/>
                  <w:marTop w:val="0"/>
                  <w:marBottom w:val="0"/>
                  <w:divBdr>
                    <w:top w:val="none" w:sz="0" w:space="0" w:color="auto"/>
                    <w:left w:val="none" w:sz="0" w:space="0" w:color="auto"/>
                    <w:bottom w:val="none" w:sz="0" w:space="0" w:color="auto"/>
                    <w:right w:val="none" w:sz="0" w:space="0" w:color="auto"/>
                  </w:divBdr>
                  <w:divsChild>
                    <w:div w:id="2067800398">
                      <w:marLeft w:val="0"/>
                      <w:marRight w:val="0"/>
                      <w:marTop w:val="0"/>
                      <w:marBottom w:val="0"/>
                      <w:divBdr>
                        <w:top w:val="none" w:sz="0" w:space="0" w:color="auto"/>
                        <w:left w:val="none" w:sz="0" w:space="0" w:color="auto"/>
                        <w:bottom w:val="none" w:sz="0" w:space="0" w:color="auto"/>
                        <w:right w:val="none" w:sz="0" w:space="0" w:color="auto"/>
                      </w:divBdr>
                    </w:div>
                  </w:divsChild>
                </w:div>
                <w:div w:id="934895885">
                  <w:marLeft w:val="0"/>
                  <w:marRight w:val="0"/>
                  <w:marTop w:val="0"/>
                  <w:marBottom w:val="0"/>
                  <w:divBdr>
                    <w:top w:val="none" w:sz="0" w:space="0" w:color="auto"/>
                    <w:left w:val="none" w:sz="0" w:space="0" w:color="auto"/>
                    <w:bottom w:val="none" w:sz="0" w:space="0" w:color="auto"/>
                    <w:right w:val="none" w:sz="0" w:space="0" w:color="auto"/>
                  </w:divBdr>
                  <w:divsChild>
                    <w:div w:id="428046776">
                      <w:marLeft w:val="0"/>
                      <w:marRight w:val="0"/>
                      <w:marTop w:val="0"/>
                      <w:marBottom w:val="0"/>
                      <w:divBdr>
                        <w:top w:val="none" w:sz="0" w:space="0" w:color="auto"/>
                        <w:left w:val="none" w:sz="0" w:space="0" w:color="auto"/>
                        <w:bottom w:val="none" w:sz="0" w:space="0" w:color="auto"/>
                        <w:right w:val="none" w:sz="0" w:space="0" w:color="auto"/>
                      </w:divBdr>
                    </w:div>
                  </w:divsChild>
                </w:div>
                <w:div w:id="944314310">
                  <w:marLeft w:val="0"/>
                  <w:marRight w:val="0"/>
                  <w:marTop w:val="0"/>
                  <w:marBottom w:val="0"/>
                  <w:divBdr>
                    <w:top w:val="none" w:sz="0" w:space="0" w:color="auto"/>
                    <w:left w:val="none" w:sz="0" w:space="0" w:color="auto"/>
                    <w:bottom w:val="none" w:sz="0" w:space="0" w:color="auto"/>
                    <w:right w:val="none" w:sz="0" w:space="0" w:color="auto"/>
                  </w:divBdr>
                  <w:divsChild>
                    <w:div w:id="9455619">
                      <w:marLeft w:val="0"/>
                      <w:marRight w:val="0"/>
                      <w:marTop w:val="0"/>
                      <w:marBottom w:val="0"/>
                      <w:divBdr>
                        <w:top w:val="none" w:sz="0" w:space="0" w:color="auto"/>
                        <w:left w:val="none" w:sz="0" w:space="0" w:color="auto"/>
                        <w:bottom w:val="none" w:sz="0" w:space="0" w:color="auto"/>
                        <w:right w:val="none" w:sz="0" w:space="0" w:color="auto"/>
                      </w:divBdr>
                    </w:div>
                  </w:divsChild>
                </w:div>
                <w:div w:id="944506653">
                  <w:marLeft w:val="0"/>
                  <w:marRight w:val="0"/>
                  <w:marTop w:val="0"/>
                  <w:marBottom w:val="0"/>
                  <w:divBdr>
                    <w:top w:val="none" w:sz="0" w:space="0" w:color="auto"/>
                    <w:left w:val="none" w:sz="0" w:space="0" w:color="auto"/>
                    <w:bottom w:val="none" w:sz="0" w:space="0" w:color="auto"/>
                    <w:right w:val="none" w:sz="0" w:space="0" w:color="auto"/>
                  </w:divBdr>
                  <w:divsChild>
                    <w:div w:id="1017344803">
                      <w:marLeft w:val="0"/>
                      <w:marRight w:val="0"/>
                      <w:marTop w:val="0"/>
                      <w:marBottom w:val="0"/>
                      <w:divBdr>
                        <w:top w:val="none" w:sz="0" w:space="0" w:color="auto"/>
                        <w:left w:val="none" w:sz="0" w:space="0" w:color="auto"/>
                        <w:bottom w:val="none" w:sz="0" w:space="0" w:color="auto"/>
                        <w:right w:val="none" w:sz="0" w:space="0" w:color="auto"/>
                      </w:divBdr>
                    </w:div>
                  </w:divsChild>
                </w:div>
                <w:div w:id="958224707">
                  <w:marLeft w:val="0"/>
                  <w:marRight w:val="0"/>
                  <w:marTop w:val="0"/>
                  <w:marBottom w:val="0"/>
                  <w:divBdr>
                    <w:top w:val="none" w:sz="0" w:space="0" w:color="auto"/>
                    <w:left w:val="none" w:sz="0" w:space="0" w:color="auto"/>
                    <w:bottom w:val="none" w:sz="0" w:space="0" w:color="auto"/>
                    <w:right w:val="none" w:sz="0" w:space="0" w:color="auto"/>
                  </w:divBdr>
                  <w:divsChild>
                    <w:div w:id="1711149159">
                      <w:marLeft w:val="0"/>
                      <w:marRight w:val="0"/>
                      <w:marTop w:val="0"/>
                      <w:marBottom w:val="0"/>
                      <w:divBdr>
                        <w:top w:val="none" w:sz="0" w:space="0" w:color="auto"/>
                        <w:left w:val="none" w:sz="0" w:space="0" w:color="auto"/>
                        <w:bottom w:val="none" w:sz="0" w:space="0" w:color="auto"/>
                        <w:right w:val="none" w:sz="0" w:space="0" w:color="auto"/>
                      </w:divBdr>
                    </w:div>
                  </w:divsChild>
                </w:div>
                <w:div w:id="960570297">
                  <w:marLeft w:val="0"/>
                  <w:marRight w:val="0"/>
                  <w:marTop w:val="0"/>
                  <w:marBottom w:val="0"/>
                  <w:divBdr>
                    <w:top w:val="none" w:sz="0" w:space="0" w:color="auto"/>
                    <w:left w:val="none" w:sz="0" w:space="0" w:color="auto"/>
                    <w:bottom w:val="none" w:sz="0" w:space="0" w:color="auto"/>
                    <w:right w:val="none" w:sz="0" w:space="0" w:color="auto"/>
                  </w:divBdr>
                  <w:divsChild>
                    <w:div w:id="2017492632">
                      <w:marLeft w:val="0"/>
                      <w:marRight w:val="0"/>
                      <w:marTop w:val="0"/>
                      <w:marBottom w:val="0"/>
                      <w:divBdr>
                        <w:top w:val="none" w:sz="0" w:space="0" w:color="auto"/>
                        <w:left w:val="none" w:sz="0" w:space="0" w:color="auto"/>
                        <w:bottom w:val="none" w:sz="0" w:space="0" w:color="auto"/>
                        <w:right w:val="none" w:sz="0" w:space="0" w:color="auto"/>
                      </w:divBdr>
                    </w:div>
                  </w:divsChild>
                </w:div>
                <w:div w:id="967472012">
                  <w:marLeft w:val="0"/>
                  <w:marRight w:val="0"/>
                  <w:marTop w:val="0"/>
                  <w:marBottom w:val="0"/>
                  <w:divBdr>
                    <w:top w:val="none" w:sz="0" w:space="0" w:color="auto"/>
                    <w:left w:val="none" w:sz="0" w:space="0" w:color="auto"/>
                    <w:bottom w:val="none" w:sz="0" w:space="0" w:color="auto"/>
                    <w:right w:val="none" w:sz="0" w:space="0" w:color="auto"/>
                  </w:divBdr>
                  <w:divsChild>
                    <w:div w:id="1522087191">
                      <w:marLeft w:val="0"/>
                      <w:marRight w:val="0"/>
                      <w:marTop w:val="0"/>
                      <w:marBottom w:val="0"/>
                      <w:divBdr>
                        <w:top w:val="none" w:sz="0" w:space="0" w:color="auto"/>
                        <w:left w:val="none" w:sz="0" w:space="0" w:color="auto"/>
                        <w:bottom w:val="none" w:sz="0" w:space="0" w:color="auto"/>
                        <w:right w:val="none" w:sz="0" w:space="0" w:color="auto"/>
                      </w:divBdr>
                    </w:div>
                  </w:divsChild>
                </w:div>
                <w:div w:id="974718964">
                  <w:marLeft w:val="0"/>
                  <w:marRight w:val="0"/>
                  <w:marTop w:val="0"/>
                  <w:marBottom w:val="0"/>
                  <w:divBdr>
                    <w:top w:val="none" w:sz="0" w:space="0" w:color="auto"/>
                    <w:left w:val="none" w:sz="0" w:space="0" w:color="auto"/>
                    <w:bottom w:val="none" w:sz="0" w:space="0" w:color="auto"/>
                    <w:right w:val="none" w:sz="0" w:space="0" w:color="auto"/>
                  </w:divBdr>
                  <w:divsChild>
                    <w:div w:id="1862889995">
                      <w:marLeft w:val="0"/>
                      <w:marRight w:val="0"/>
                      <w:marTop w:val="0"/>
                      <w:marBottom w:val="0"/>
                      <w:divBdr>
                        <w:top w:val="none" w:sz="0" w:space="0" w:color="auto"/>
                        <w:left w:val="none" w:sz="0" w:space="0" w:color="auto"/>
                        <w:bottom w:val="none" w:sz="0" w:space="0" w:color="auto"/>
                        <w:right w:val="none" w:sz="0" w:space="0" w:color="auto"/>
                      </w:divBdr>
                    </w:div>
                  </w:divsChild>
                </w:div>
                <w:div w:id="978725779">
                  <w:marLeft w:val="0"/>
                  <w:marRight w:val="0"/>
                  <w:marTop w:val="0"/>
                  <w:marBottom w:val="0"/>
                  <w:divBdr>
                    <w:top w:val="none" w:sz="0" w:space="0" w:color="auto"/>
                    <w:left w:val="none" w:sz="0" w:space="0" w:color="auto"/>
                    <w:bottom w:val="none" w:sz="0" w:space="0" w:color="auto"/>
                    <w:right w:val="none" w:sz="0" w:space="0" w:color="auto"/>
                  </w:divBdr>
                  <w:divsChild>
                    <w:div w:id="1113944250">
                      <w:marLeft w:val="0"/>
                      <w:marRight w:val="0"/>
                      <w:marTop w:val="0"/>
                      <w:marBottom w:val="0"/>
                      <w:divBdr>
                        <w:top w:val="none" w:sz="0" w:space="0" w:color="auto"/>
                        <w:left w:val="none" w:sz="0" w:space="0" w:color="auto"/>
                        <w:bottom w:val="none" w:sz="0" w:space="0" w:color="auto"/>
                        <w:right w:val="none" w:sz="0" w:space="0" w:color="auto"/>
                      </w:divBdr>
                    </w:div>
                  </w:divsChild>
                </w:div>
                <w:div w:id="988948681">
                  <w:marLeft w:val="0"/>
                  <w:marRight w:val="0"/>
                  <w:marTop w:val="0"/>
                  <w:marBottom w:val="0"/>
                  <w:divBdr>
                    <w:top w:val="none" w:sz="0" w:space="0" w:color="auto"/>
                    <w:left w:val="none" w:sz="0" w:space="0" w:color="auto"/>
                    <w:bottom w:val="none" w:sz="0" w:space="0" w:color="auto"/>
                    <w:right w:val="none" w:sz="0" w:space="0" w:color="auto"/>
                  </w:divBdr>
                  <w:divsChild>
                    <w:div w:id="1275018165">
                      <w:marLeft w:val="0"/>
                      <w:marRight w:val="0"/>
                      <w:marTop w:val="0"/>
                      <w:marBottom w:val="0"/>
                      <w:divBdr>
                        <w:top w:val="none" w:sz="0" w:space="0" w:color="auto"/>
                        <w:left w:val="none" w:sz="0" w:space="0" w:color="auto"/>
                        <w:bottom w:val="none" w:sz="0" w:space="0" w:color="auto"/>
                        <w:right w:val="none" w:sz="0" w:space="0" w:color="auto"/>
                      </w:divBdr>
                    </w:div>
                  </w:divsChild>
                </w:div>
                <w:div w:id="990670583">
                  <w:marLeft w:val="0"/>
                  <w:marRight w:val="0"/>
                  <w:marTop w:val="0"/>
                  <w:marBottom w:val="0"/>
                  <w:divBdr>
                    <w:top w:val="none" w:sz="0" w:space="0" w:color="auto"/>
                    <w:left w:val="none" w:sz="0" w:space="0" w:color="auto"/>
                    <w:bottom w:val="none" w:sz="0" w:space="0" w:color="auto"/>
                    <w:right w:val="none" w:sz="0" w:space="0" w:color="auto"/>
                  </w:divBdr>
                  <w:divsChild>
                    <w:div w:id="1209993191">
                      <w:marLeft w:val="0"/>
                      <w:marRight w:val="0"/>
                      <w:marTop w:val="0"/>
                      <w:marBottom w:val="0"/>
                      <w:divBdr>
                        <w:top w:val="none" w:sz="0" w:space="0" w:color="auto"/>
                        <w:left w:val="none" w:sz="0" w:space="0" w:color="auto"/>
                        <w:bottom w:val="none" w:sz="0" w:space="0" w:color="auto"/>
                        <w:right w:val="none" w:sz="0" w:space="0" w:color="auto"/>
                      </w:divBdr>
                    </w:div>
                  </w:divsChild>
                </w:div>
                <w:div w:id="1007635683">
                  <w:marLeft w:val="0"/>
                  <w:marRight w:val="0"/>
                  <w:marTop w:val="0"/>
                  <w:marBottom w:val="0"/>
                  <w:divBdr>
                    <w:top w:val="none" w:sz="0" w:space="0" w:color="auto"/>
                    <w:left w:val="none" w:sz="0" w:space="0" w:color="auto"/>
                    <w:bottom w:val="none" w:sz="0" w:space="0" w:color="auto"/>
                    <w:right w:val="none" w:sz="0" w:space="0" w:color="auto"/>
                  </w:divBdr>
                  <w:divsChild>
                    <w:div w:id="1035497401">
                      <w:marLeft w:val="0"/>
                      <w:marRight w:val="0"/>
                      <w:marTop w:val="0"/>
                      <w:marBottom w:val="0"/>
                      <w:divBdr>
                        <w:top w:val="none" w:sz="0" w:space="0" w:color="auto"/>
                        <w:left w:val="none" w:sz="0" w:space="0" w:color="auto"/>
                        <w:bottom w:val="none" w:sz="0" w:space="0" w:color="auto"/>
                        <w:right w:val="none" w:sz="0" w:space="0" w:color="auto"/>
                      </w:divBdr>
                    </w:div>
                  </w:divsChild>
                </w:div>
                <w:div w:id="1010185337">
                  <w:marLeft w:val="0"/>
                  <w:marRight w:val="0"/>
                  <w:marTop w:val="0"/>
                  <w:marBottom w:val="0"/>
                  <w:divBdr>
                    <w:top w:val="none" w:sz="0" w:space="0" w:color="auto"/>
                    <w:left w:val="none" w:sz="0" w:space="0" w:color="auto"/>
                    <w:bottom w:val="none" w:sz="0" w:space="0" w:color="auto"/>
                    <w:right w:val="none" w:sz="0" w:space="0" w:color="auto"/>
                  </w:divBdr>
                  <w:divsChild>
                    <w:div w:id="1154833453">
                      <w:marLeft w:val="0"/>
                      <w:marRight w:val="0"/>
                      <w:marTop w:val="0"/>
                      <w:marBottom w:val="0"/>
                      <w:divBdr>
                        <w:top w:val="none" w:sz="0" w:space="0" w:color="auto"/>
                        <w:left w:val="none" w:sz="0" w:space="0" w:color="auto"/>
                        <w:bottom w:val="none" w:sz="0" w:space="0" w:color="auto"/>
                        <w:right w:val="none" w:sz="0" w:space="0" w:color="auto"/>
                      </w:divBdr>
                    </w:div>
                  </w:divsChild>
                </w:div>
                <w:div w:id="1020472766">
                  <w:marLeft w:val="0"/>
                  <w:marRight w:val="0"/>
                  <w:marTop w:val="0"/>
                  <w:marBottom w:val="0"/>
                  <w:divBdr>
                    <w:top w:val="none" w:sz="0" w:space="0" w:color="auto"/>
                    <w:left w:val="none" w:sz="0" w:space="0" w:color="auto"/>
                    <w:bottom w:val="none" w:sz="0" w:space="0" w:color="auto"/>
                    <w:right w:val="none" w:sz="0" w:space="0" w:color="auto"/>
                  </w:divBdr>
                  <w:divsChild>
                    <w:div w:id="611715905">
                      <w:marLeft w:val="0"/>
                      <w:marRight w:val="0"/>
                      <w:marTop w:val="0"/>
                      <w:marBottom w:val="0"/>
                      <w:divBdr>
                        <w:top w:val="none" w:sz="0" w:space="0" w:color="auto"/>
                        <w:left w:val="none" w:sz="0" w:space="0" w:color="auto"/>
                        <w:bottom w:val="none" w:sz="0" w:space="0" w:color="auto"/>
                        <w:right w:val="none" w:sz="0" w:space="0" w:color="auto"/>
                      </w:divBdr>
                    </w:div>
                  </w:divsChild>
                </w:div>
                <w:div w:id="1030960679">
                  <w:marLeft w:val="0"/>
                  <w:marRight w:val="0"/>
                  <w:marTop w:val="0"/>
                  <w:marBottom w:val="0"/>
                  <w:divBdr>
                    <w:top w:val="none" w:sz="0" w:space="0" w:color="auto"/>
                    <w:left w:val="none" w:sz="0" w:space="0" w:color="auto"/>
                    <w:bottom w:val="none" w:sz="0" w:space="0" w:color="auto"/>
                    <w:right w:val="none" w:sz="0" w:space="0" w:color="auto"/>
                  </w:divBdr>
                  <w:divsChild>
                    <w:div w:id="1427921140">
                      <w:marLeft w:val="0"/>
                      <w:marRight w:val="0"/>
                      <w:marTop w:val="0"/>
                      <w:marBottom w:val="0"/>
                      <w:divBdr>
                        <w:top w:val="none" w:sz="0" w:space="0" w:color="auto"/>
                        <w:left w:val="none" w:sz="0" w:space="0" w:color="auto"/>
                        <w:bottom w:val="none" w:sz="0" w:space="0" w:color="auto"/>
                        <w:right w:val="none" w:sz="0" w:space="0" w:color="auto"/>
                      </w:divBdr>
                    </w:div>
                  </w:divsChild>
                </w:div>
                <w:div w:id="1031684504">
                  <w:marLeft w:val="0"/>
                  <w:marRight w:val="0"/>
                  <w:marTop w:val="0"/>
                  <w:marBottom w:val="0"/>
                  <w:divBdr>
                    <w:top w:val="none" w:sz="0" w:space="0" w:color="auto"/>
                    <w:left w:val="none" w:sz="0" w:space="0" w:color="auto"/>
                    <w:bottom w:val="none" w:sz="0" w:space="0" w:color="auto"/>
                    <w:right w:val="none" w:sz="0" w:space="0" w:color="auto"/>
                  </w:divBdr>
                  <w:divsChild>
                    <w:div w:id="144322381">
                      <w:marLeft w:val="0"/>
                      <w:marRight w:val="0"/>
                      <w:marTop w:val="0"/>
                      <w:marBottom w:val="0"/>
                      <w:divBdr>
                        <w:top w:val="none" w:sz="0" w:space="0" w:color="auto"/>
                        <w:left w:val="none" w:sz="0" w:space="0" w:color="auto"/>
                        <w:bottom w:val="none" w:sz="0" w:space="0" w:color="auto"/>
                        <w:right w:val="none" w:sz="0" w:space="0" w:color="auto"/>
                      </w:divBdr>
                    </w:div>
                  </w:divsChild>
                </w:div>
                <w:div w:id="1032805063">
                  <w:marLeft w:val="0"/>
                  <w:marRight w:val="0"/>
                  <w:marTop w:val="0"/>
                  <w:marBottom w:val="0"/>
                  <w:divBdr>
                    <w:top w:val="none" w:sz="0" w:space="0" w:color="auto"/>
                    <w:left w:val="none" w:sz="0" w:space="0" w:color="auto"/>
                    <w:bottom w:val="none" w:sz="0" w:space="0" w:color="auto"/>
                    <w:right w:val="none" w:sz="0" w:space="0" w:color="auto"/>
                  </w:divBdr>
                  <w:divsChild>
                    <w:div w:id="1940020359">
                      <w:marLeft w:val="0"/>
                      <w:marRight w:val="0"/>
                      <w:marTop w:val="0"/>
                      <w:marBottom w:val="0"/>
                      <w:divBdr>
                        <w:top w:val="none" w:sz="0" w:space="0" w:color="auto"/>
                        <w:left w:val="none" w:sz="0" w:space="0" w:color="auto"/>
                        <w:bottom w:val="none" w:sz="0" w:space="0" w:color="auto"/>
                        <w:right w:val="none" w:sz="0" w:space="0" w:color="auto"/>
                      </w:divBdr>
                    </w:div>
                  </w:divsChild>
                </w:div>
                <w:div w:id="1055003866">
                  <w:marLeft w:val="0"/>
                  <w:marRight w:val="0"/>
                  <w:marTop w:val="0"/>
                  <w:marBottom w:val="0"/>
                  <w:divBdr>
                    <w:top w:val="none" w:sz="0" w:space="0" w:color="auto"/>
                    <w:left w:val="none" w:sz="0" w:space="0" w:color="auto"/>
                    <w:bottom w:val="none" w:sz="0" w:space="0" w:color="auto"/>
                    <w:right w:val="none" w:sz="0" w:space="0" w:color="auto"/>
                  </w:divBdr>
                  <w:divsChild>
                    <w:div w:id="284165355">
                      <w:marLeft w:val="0"/>
                      <w:marRight w:val="0"/>
                      <w:marTop w:val="0"/>
                      <w:marBottom w:val="0"/>
                      <w:divBdr>
                        <w:top w:val="none" w:sz="0" w:space="0" w:color="auto"/>
                        <w:left w:val="none" w:sz="0" w:space="0" w:color="auto"/>
                        <w:bottom w:val="none" w:sz="0" w:space="0" w:color="auto"/>
                        <w:right w:val="none" w:sz="0" w:space="0" w:color="auto"/>
                      </w:divBdr>
                    </w:div>
                  </w:divsChild>
                </w:div>
                <w:div w:id="1062216409">
                  <w:marLeft w:val="0"/>
                  <w:marRight w:val="0"/>
                  <w:marTop w:val="0"/>
                  <w:marBottom w:val="0"/>
                  <w:divBdr>
                    <w:top w:val="none" w:sz="0" w:space="0" w:color="auto"/>
                    <w:left w:val="none" w:sz="0" w:space="0" w:color="auto"/>
                    <w:bottom w:val="none" w:sz="0" w:space="0" w:color="auto"/>
                    <w:right w:val="none" w:sz="0" w:space="0" w:color="auto"/>
                  </w:divBdr>
                  <w:divsChild>
                    <w:div w:id="1561093829">
                      <w:marLeft w:val="0"/>
                      <w:marRight w:val="0"/>
                      <w:marTop w:val="0"/>
                      <w:marBottom w:val="0"/>
                      <w:divBdr>
                        <w:top w:val="none" w:sz="0" w:space="0" w:color="auto"/>
                        <w:left w:val="none" w:sz="0" w:space="0" w:color="auto"/>
                        <w:bottom w:val="none" w:sz="0" w:space="0" w:color="auto"/>
                        <w:right w:val="none" w:sz="0" w:space="0" w:color="auto"/>
                      </w:divBdr>
                    </w:div>
                  </w:divsChild>
                </w:div>
                <w:div w:id="1065107329">
                  <w:marLeft w:val="0"/>
                  <w:marRight w:val="0"/>
                  <w:marTop w:val="0"/>
                  <w:marBottom w:val="0"/>
                  <w:divBdr>
                    <w:top w:val="none" w:sz="0" w:space="0" w:color="auto"/>
                    <w:left w:val="none" w:sz="0" w:space="0" w:color="auto"/>
                    <w:bottom w:val="none" w:sz="0" w:space="0" w:color="auto"/>
                    <w:right w:val="none" w:sz="0" w:space="0" w:color="auto"/>
                  </w:divBdr>
                  <w:divsChild>
                    <w:div w:id="1491098268">
                      <w:marLeft w:val="0"/>
                      <w:marRight w:val="0"/>
                      <w:marTop w:val="0"/>
                      <w:marBottom w:val="0"/>
                      <w:divBdr>
                        <w:top w:val="none" w:sz="0" w:space="0" w:color="auto"/>
                        <w:left w:val="none" w:sz="0" w:space="0" w:color="auto"/>
                        <w:bottom w:val="none" w:sz="0" w:space="0" w:color="auto"/>
                        <w:right w:val="none" w:sz="0" w:space="0" w:color="auto"/>
                      </w:divBdr>
                    </w:div>
                  </w:divsChild>
                </w:div>
                <w:div w:id="1065496581">
                  <w:marLeft w:val="0"/>
                  <w:marRight w:val="0"/>
                  <w:marTop w:val="0"/>
                  <w:marBottom w:val="0"/>
                  <w:divBdr>
                    <w:top w:val="none" w:sz="0" w:space="0" w:color="auto"/>
                    <w:left w:val="none" w:sz="0" w:space="0" w:color="auto"/>
                    <w:bottom w:val="none" w:sz="0" w:space="0" w:color="auto"/>
                    <w:right w:val="none" w:sz="0" w:space="0" w:color="auto"/>
                  </w:divBdr>
                  <w:divsChild>
                    <w:div w:id="687218098">
                      <w:marLeft w:val="0"/>
                      <w:marRight w:val="0"/>
                      <w:marTop w:val="0"/>
                      <w:marBottom w:val="0"/>
                      <w:divBdr>
                        <w:top w:val="none" w:sz="0" w:space="0" w:color="auto"/>
                        <w:left w:val="none" w:sz="0" w:space="0" w:color="auto"/>
                        <w:bottom w:val="none" w:sz="0" w:space="0" w:color="auto"/>
                        <w:right w:val="none" w:sz="0" w:space="0" w:color="auto"/>
                      </w:divBdr>
                    </w:div>
                  </w:divsChild>
                </w:div>
                <w:div w:id="1091123867">
                  <w:marLeft w:val="0"/>
                  <w:marRight w:val="0"/>
                  <w:marTop w:val="0"/>
                  <w:marBottom w:val="0"/>
                  <w:divBdr>
                    <w:top w:val="none" w:sz="0" w:space="0" w:color="auto"/>
                    <w:left w:val="none" w:sz="0" w:space="0" w:color="auto"/>
                    <w:bottom w:val="none" w:sz="0" w:space="0" w:color="auto"/>
                    <w:right w:val="none" w:sz="0" w:space="0" w:color="auto"/>
                  </w:divBdr>
                  <w:divsChild>
                    <w:div w:id="504323894">
                      <w:marLeft w:val="0"/>
                      <w:marRight w:val="0"/>
                      <w:marTop w:val="0"/>
                      <w:marBottom w:val="0"/>
                      <w:divBdr>
                        <w:top w:val="none" w:sz="0" w:space="0" w:color="auto"/>
                        <w:left w:val="none" w:sz="0" w:space="0" w:color="auto"/>
                        <w:bottom w:val="none" w:sz="0" w:space="0" w:color="auto"/>
                        <w:right w:val="none" w:sz="0" w:space="0" w:color="auto"/>
                      </w:divBdr>
                    </w:div>
                  </w:divsChild>
                </w:div>
                <w:div w:id="1098719241">
                  <w:marLeft w:val="0"/>
                  <w:marRight w:val="0"/>
                  <w:marTop w:val="0"/>
                  <w:marBottom w:val="0"/>
                  <w:divBdr>
                    <w:top w:val="none" w:sz="0" w:space="0" w:color="auto"/>
                    <w:left w:val="none" w:sz="0" w:space="0" w:color="auto"/>
                    <w:bottom w:val="none" w:sz="0" w:space="0" w:color="auto"/>
                    <w:right w:val="none" w:sz="0" w:space="0" w:color="auto"/>
                  </w:divBdr>
                  <w:divsChild>
                    <w:div w:id="1231968210">
                      <w:marLeft w:val="0"/>
                      <w:marRight w:val="0"/>
                      <w:marTop w:val="0"/>
                      <w:marBottom w:val="0"/>
                      <w:divBdr>
                        <w:top w:val="none" w:sz="0" w:space="0" w:color="auto"/>
                        <w:left w:val="none" w:sz="0" w:space="0" w:color="auto"/>
                        <w:bottom w:val="none" w:sz="0" w:space="0" w:color="auto"/>
                        <w:right w:val="none" w:sz="0" w:space="0" w:color="auto"/>
                      </w:divBdr>
                    </w:div>
                  </w:divsChild>
                </w:div>
                <w:div w:id="1125809336">
                  <w:marLeft w:val="0"/>
                  <w:marRight w:val="0"/>
                  <w:marTop w:val="0"/>
                  <w:marBottom w:val="0"/>
                  <w:divBdr>
                    <w:top w:val="none" w:sz="0" w:space="0" w:color="auto"/>
                    <w:left w:val="none" w:sz="0" w:space="0" w:color="auto"/>
                    <w:bottom w:val="none" w:sz="0" w:space="0" w:color="auto"/>
                    <w:right w:val="none" w:sz="0" w:space="0" w:color="auto"/>
                  </w:divBdr>
                  <w:divsChild>
                    <w:div w:id="67114685">
                      <w:marLeft w:val="0"/>
                      <w:marRight w:val="0"/>
                      <w:marTop w:val="0"/>
                      <w:marBottom w:val="0"/>
                      <w:divBdr>
                        <w:top w:val="none" w:sz="0" w:space="0" w:color="auto"/>
                        <w:left w:val="none" w:sz="0" w:space="0" w:color="auto"/>
                        <w:bottom w:val="none" w:sz="0" w:space="0" w:color="auto"/>
                        <w:right w:val="none" w:sz="0" w:space="0" w:color="auto"/>
                      </w:divBdr>
                    </w:div>
                    <w:div w:id="106773631">
                      <w:marLeft w:val="0"/>
                      <w:marRight w:val="0"/>
                      <w:marTop w:val="0"/>
                      <w:marBottom w:val="0"/>
                      <w:divBdr>
                        <w:top w:val="none" w:sz="0" w:space="0" w:color="auto"/>
                        <w:left w:val="none" w:sz="0" w:space="0" w:color="auto"/>
                        <w:bottom w:val="none" w:sz="0" w:space="0" w:color="auto"/>
                        <w:right w:val="none" w:sz="0" w:space="0" w:color="auto"/>
                      </w:divBdr>
                    </w:div>
                    <w:div w:id="270548951">
                      <w:marLeft w:val="0"/>
                      <w:marRight w:val="0"/>
                      <w:marTop w:val="0"/>
                      <w:marBottom w:val="0"/>
                      <w:divBdr>
                        <w:top w:val="none" w:sz="0" w:space="0" w:color="auto"/>
                        <w:left w:val="none" w:sz="0" w:space="0" w:color="auto"/>
                        <w:bottom w:val="none" w:sz="0" w:space="0" w:color="auto"/>
                        <w:right w:val="none" w:sz="0" w:space="0" w:color="auto"/>
                      </w:divBdr>
                    </w:div>
                    <w:div w:id="911086046">
                      <w:marLeft w:val="0"/>
                      <w:marRight w:val="0"/>
                      <w:marTop w:val="0"/>
                      <w:marBottom w:val="0"/>
                      <w:divBdr>
                        <w:top w:val="none" w:sz="0" w:space="0" w:color="auto"/>
                        <w:left w:val="none" w:sz="0" w:space="0" w:color="auto"/>
                        <w:bottom w:val="none" w:sz="0" w:space="0" w:color="auto"/>
                        <w:right w:val="none" w:sz="0" w:space="0" w:color="auto"/>
                      </w:divBdr>
                    </w:div>
                    <w:div w:id="1732270594">
                      <w:marLeft w:val="0"/>
                      <w:marRight w:val="0"/>
                      <w:marTop w:val="0"/>
                      <w:marBottom w:val="0"/>
                      <w:divBdr>
                        <w:top w:val="none" w:sz="0" w:space="0" w:color="auto"/>
                        <w:left w:val="none" w:sz="0" w:space="0" w:color="auto"/>
                        <w:bottom w:val="none" w:sz="0" w:space="0" w:color="auto"/>
                        <w:right w:val="none" w:sz="0" w:space="0" w:color="auto"/>
                      </w:divBdr>
                    </w:div>
                    <w:div w:id="1755013893">
                      <w:marLeft w:val="0"/>
                      <w:marRight w:val="0"/>
                      <w:marTop w:val="0"/>
                      <w:marBottom w:val="0"/>
                      <w:divBdr>
                        <w:top w:val="none" w:sz="0" w:space="0" w:color="auto"/>
                        <w:left w:val="none" w:sz="0" w:space="0" w:color="auto"/>
                        <w:bottom w:val="none" w:sz="0" w:space="0" w:color="auto"/>
                        <w:right w:val="none" w:sz="0" w:space="0" w:color="auto"/>
                      </w:divBdr>
                    </w:div>
                    <w:div w:id="1821998995">
                      <w:marLeft w:val="0"/>
                      <w:marRight w:val="0"/>
                      <w:marTop w:val="0"/>
                      <w:marBottom w:val="0"/>
                      <w:divBdr>
                        <w:top w:val="none" w:sz="0" w:space="0" w:color="auto"/>
                        <w:left w:val="none" w:sz="0" w:space="0" w:color="auto"/>
                        <w:bottom w:val="none" w:sz="0" w:space="0" w:color="auto"/>
                        <w:right w:val="none" w:sz="0" w:space="0" w:color="auto"/>
                      </w:divBdr>
                    </w:div>
                    <w:div w:id="2080050470">
                      <w:marLeft w:val="0"/>
                      <w:marRight w:val="0"/>
                      <w:marTop w:val="0"/>
                      <w:marBottom w:val="0"/>
                      <w:divBdr>
                        <w:top w:val="none" w:sz="0" w:space="0" w:color="auto"/>
                        <w:left w:val="none" w:sz="0" w:space="0" w:color="auto"/>
                        <w:bottom w:val="none" w:sz="0" w:space="0" w:color="auto"/>
                        <w:right w:val="none" w:sz="0" w:space="0" w:color="auto"/>
                      </w:divBdr>
                    </w:div>
                  </w:divsChild>
                </w:div>
                <w:div w:id="1161584048">
                  <w:marLeft w:val="0"/>
                  <w:marRight w:val="0"/>
                  <w:marTop w:val="0"/>
                  <w:marBottom w:val="0"/>
                  <w:divBdr>
                    <w:top w:val="none" w:sz="0" w:space="0" w:color="auto"/>
                    <w:left w:val="none" w:sz="0" w:space="0" w:color="auto"/>
                    <w:bottom w:val="none" w:sz="0" w:space="0" w:color="auto"/>
                    <w:right w:val="none" w:sz="0" w:space="0" w:color="auto"/>
                  </w:divBdr>
                  <w:divsChild>
                    <w:div w:id="324670287">
                      <w:marLeft w:val="0"/>
                      <w:marRight w:val="0"/>
                      <w:marTop w:val="0"/>
                      <w:marBottom w:val="0"/>
                      <w:divBdr>
                        <w:top w:val="none" w:sz="0" w:space="0" w:color="auto"/>
                        <w:left w:val="none" w:sz="0" w:space="0" w:color="auto"/>
                        <w:bottom w:val="none" w:sz="0" w:space="0" w:color="auto"/>
                        <w:right w:val="none" w:sz="0" w:space="0" w:color="auto"/>
                      </w:divBdr>
                    </w:div>
                  </w:divsChild>
                </w:div>
                <w:div w:id="1168132375">
                  <w:marLeft w:val="0"/>
                  <w:marRight w:val="0"/>
                  <w:marTop w:val="0"/>
                  <w:marBottom w:val="0"/>
                  <w:divBdr>
                    <w:top w:val="none" w:sz="0" w:space="0" w:color="auto"/>
                    <w:left w:val="none" w:sz="0" w:space="0" w:color="auto"/>
                    <w:bottom w:val="none" w:sz="0" w:space="0" w:color="auto"/>
                    <w:right w:val="none" w:sz="0" w:space="0" w:color="auto"/>
                  </w:divBdr>
                  <w:divsChild>
                    <w:div w:id="661158158">
                      <w:marLeft w:val="0"/>
                      <w:marRight w:val="0"/>
                      <w:marTop w:val="0"/>
                      <w:marBottom w:val="0"/>
                      <w:divBdr>
                        <w:top w:val="none" w:sz="0" w:space="0" w:color="auto"/>
                        <w:left w:val="none" w:sz="0" w:space="0" w:color="auto"/>
                        <w:bottom w:val="none" w:sz="0" w:space="0" w:color="auto"/>
                        <w:right w:val="none" w:sz="0" w:space="0" w:color="auto"/>
                      </w:divBdr>
                    </w:div>
                  </w:divsChild>
                </w:div>
                <w:div w:id="1184394407">
                  <w:marLeft w:val="0"/>
                  <w:marRight w:val="0"/>
                  <w:marTop w:val="0"/>
                  <w:marBottom w:val="0"/>
                  <w:divBdr>
                    <w:top w:val="none" w:sz="0" w:space="0" w:color="auto"/>
                    <w:left w:val="none" w:sz="0" w:space="0" w:color="auto"/>
                    <w:bottom w:val="none" w:sz="0" w:space="0" w:color="auto"/>
                    <w:right w:val="none" w:sz="0" w:space="0" w:color="auto"/>
                  </w:divBdr>
                  <w:divsChild>
                    <w:div w:id="251201761">
                      <w:marLeft w:val="0"/>
                      <w:marRight w:val="0"/>
                      <w:marTop w:val="0"/>
                      <w:marBottom w:val="0"/>
                      <w:divBdr>
                        <w:top w:val="none" w:sz="0" w:space="0" w:color="auto"/>
                        <w:left w:val="none" w:sz="0" w:space="0" w:color="auto"/>
                        <w:bottom w:val="none" w:sz="0" w:space="0" w:color="auto"/>
                        <w:right w:val="none" w:sz="0" w:space="0" w:color="auto"/>
                      </w:divBdr>
                    </w:div>
                    <w:div w:id="503982178">
                      <w:marLeft w:val="0"/>
                      <w:marRight w:val="0"/>
                      <w:marTop w:val="0"/>
                      <w:marBottom w:val="0"/>
                      <w:divBdr>
                        <w:top w:val="none" w:sz="0" w:space="0" w:color="auto"/>
                        <w:left w:val="none" w:sz="0" w:space="0" w:color="auto"/>
                        <w:bottom w:val="none" w:sz="0" w:space="0" w:color="auto"/>
                        <w:right w:val="none" w:sz="0" w:space="0" w:color="auto"/>
                      </w:divBdr>
                    </w:div>
                    <w:div w:id="540678987">
                      <w:marLeft w:val="0"/>
                      <w:marRight w:val="0"/>
                      <w:marTop w:val="0"/>
                      <w:marBottom w:val="0"/>
                      <w:divBdr>
                        <w:top w:val="none" w:sz="0" w:space="0" w:color="auto"/>
                        <w:left w:val="none" w:sz="0" w:space="0" w:color="auto"/>
                        <w:bottom w:val="none" w:sz="0" w:space="0" w:color="auto"/>
                        <w:right w:val="none" w:sz="0" w:space="0" w:color="auto"/>
                      </w:divBdr>
                    </w:div>
                    <w:div w:id="1323318249">
                      <w:marLeft w:val="0"/>
                      <w:marRight w:val="0"/>
                      <w:marTop w:val="0"/>
                      <w:marBottom w:val="0"/>
                      <w:divBdr>
                        <w:top w:val="none" w:sz="0" w:space="0" w:color="auto"/>
                        <w:left w:val="none" w:sz="0" w:space="0" w:color="auto"/>
                        <w:bottom w:val="none" w:sz="0" w:space="0" w:color="auto"/>
                        <w:right w:val="none" w:sz="0" w:space="0" w:color="auto"/>
                      </w:divBdr>
                    </w:div>
                    <w:div w:id="1395932267">
                      <w:marLeft w:val="0"/>
                      <w:marRight w:val="0"/>
                      <w:marTop w:val="0"/>
                      <w:marBottom w:val="0"/>
                      <w:divBdr>
                        <w:top w:val="none" w:sz="0" w:space="0" w:color="auto"/>
                        <w:left w:val="none" w:sz="0" w:space="0" w:color="auto"/>
                        <w:bottom w:val="none" w:sz="0" w:space="0" w:color="auto"/>
                        <w:right w:val="none" w:sz="0" w:space="0" w:color="auto"/>
                      </w:divBdr>
                    </w:div>
                    <w:div w:id="2092266371">
                      <w:marLeft w:val="0"/>
                      <w:marRight w:val="0"/>
                      <w:marTop w:val="0"/>
                      <w:marBottom w:val="0"/>
                      <w:divBdr>
                        <w:top w:val="none" w:sz="0" w:space="0" w:color="auto"/>
                        <w:left w:val="none" w:sz="0" w:space="0" w:color="auto"/>
                        <w:bottom w:val="none" w:sz="0" w:space="0" w:color="auto"/>
                        <w:right w:val="none" w:sz="0" w:space="0" w:color="auto"/>
                      </w:divBdr>
                    </w:div>
                    <w:div w:id="2144417995">
                      <w:marLeft w:val="0"/>
                      <w:marRight w:val="0"/>
                      <w:marTop w:val="0"/>
                      <w:marBottom w:val="0"/>
                      <w:divBdr>
                        <w:top w:val="none" w:sz="0" w:space="0" w:color="auto"/>
                        <w:left w:val="none" w:sz="0" w:space="0" w:color="auto"/>
                        <w:bottom w:val="none" w:sz="0" w:space="0" w:color="auto"/>
                        <w:right w:val="none" w:sz="0" w:space="0" w:color="auto"/>
                      </w:divBdr>
                    </w:div>
                  </w:divsChild>
                </w:div>
                <w:div w:id="1192375882">
                  <w:marLeft w:val="0"/>
                  <w:marRight w:val="0"/>
                  <w:marTop w:val="0"/>
                  <w:marBottom w:val="0"/>
                  <w:divBdr>
                    <w:top w:val="none" w:sz="0" w:space="0" w:color="auto"/>
                    <w:left w:val="none" w:sz="0" w:space="0" w:color="auto"/>
                    <w:bottom w:val="none" w:sz="0" w:space="0" w:color="auto"/>
                    <w:right w:val="none" w:sz="0" w:space="0" w:color="auto"/>
                  </w:divBdr>
                  <w:divsChild>
                    <w:div w:id="973830861">
                      <w:marLeft w:val="0"/>
                      <w:marRight w:val="0"/>
                      <w:marTop w:val="0"/>
                      <w:marBottom w:val="0"/>
                      <w:divBdr>
                        <w:top w:val="none" w:sz="0" w:space="0" w:color="auto"/>
                        <w:left w:val="none" w:sz="0" w:space="0" w:color="auto"/>
                        <w:bottom w:val="none" w:sz="0" w:space="0" w:color="auto"/>
                        <w:right w:val="none" w:sz="0" w:space="0" w:color="auto"/>
                      </w:divBdr>
                    </w:div>
                  </w:divsChild>
                </w:div>
                <w:div w:id="1219783763">
                  <w:marLeft w:val="0"/>
                  <w:marRight w:val="0"/>
                  <w:marTop w:val="0"/>
                  <w:marBottom w:val="0"/>
                  <w:divBdr>
                    <w:top w:val="none" w:sz="0" w:space="0" w:color="auto"/>
                    <w:left w:val="none" w:sz="0" w:space="0" w:color="auto"/>
                    <w:bottom w:val="none" w:sz="0" w:space="0" w:color="auto"/>
                    <w:right w:val="none" w:sz="0" w:space="0" w:color="auto"/>
                  </w:divBdr>
                  <w:divsChild>
                    <w:div w:id="244609353">
                      <w:marLeft w:val="0"/>
                      <w:marRight w:val="0"/>
                      <w:marTop w:val="0"/>
                      <w:marBottom w:val="0"/>
                      <w:divBdr>
                        <w:top w:val="none" w:sz="0" w:space="0" w:color="auto"/>
                        <w:left w:val="none" w:sz="0" w:space="0" w:color="auto"/>
                        <w:bottom w:val="none" w:sz="0" w:space="0" w:color="auto"/>
                        <w:right w:val="none" w:sz="0" w:space="0" w:color="auto"/>
                      </w:divBdr>
                    </w:div>
                    <w:div w:id="430704002">
                      <w:marLeft w:val="0"/>
                      <w:marRight w:val="0"/>
                      <w:marTop w:val="0"/>
                      <w:marBottom w:val="0"/>
                      <w:divBdr>
                        <w:top w:val="none" w:sz="0" w:space="0" w:color="auto"/>
                        <w:left w:val="none" w:sz="0" w:space="0" w:color="auto"/>
                        <w:bottom w:val="none" w:sz="0" w:space="0" w:color="auto"/>
                        <w:right w:val="none" w:sz="0" w:space="0" w:color="auto"/>
                      </w:divBdr>
                    </w:div>
                    <w:div w:id="687096139">
                      <w:marLeft w:val="0"/>
                      <w:marRight w:val="0"/>
                      <w:marTop w:val="0"/>
                      <w:marBottom w:val="0"/>
                      <w:divBdr>
                        <w:top w:val="none" w:sz="0" w:space="0" w:color="auto"/>
                        <w:left w:val="none" w:sz="0" w:space="0" w:color="auto"/>
                        <w:bottom w:val="none" w:sz="0" w:space="0" w:color="auto"/>
                        <w:right w:val="none" w:sz="0" w:space="0" w:color="auto"/>
                      </w:divBdr>
                    </w:div>
                    <w:div w:id="729620695">
                      <w:marLeft w:val="0"/>
                      <w:marRight w:val="0"/>
                      <w:marTop w:val="0"/>
                      <w:marBottom w:val="0"/>
                      <w:divBdr>
                        <w:top w:val="none" w:sz="0" w:space="0" w:color="auto"/>
                        <w:left w:val="none" w:sz="0" w:space="0" w:color="auto"/>
                        <w:bottom w:val="none" w:sz="0" w:space="0" w:color="auto"/>
                        <w:right w:val="none" w:sz="0" w:space="0" w:color="auto"/>
                      </w:divBdr>
                    </w:div>
                    <w:div w:id="1103262335">
                      <w:marLeft w:val="0"/>
                      <w:marRight w:val="0"/>
                      <w:marTop w:val="0"/>
                      <w:marBottom w:val="0"/>
                      <w:divBdr>
                        <w:top w:val="none" w:sz="0" w:space="0" w:color="auto"/>
                        <w:left w:val="none" w:sz="0" w:space="0" w:color="auto"/>
                        <w:bottom w:val="none" w:sz="0" w:space="0" w:color="auto"/>
                        <w:right w:val="none" w:sz="0" w:space="0" w:color="auto"/>
                      </w:divBdr>
                    </w:div>
                    <w:div w:id="1717123417">
                      <w:marLeft w:val="0"/>
                      <w:marRight w:val="0"/>
                      <w:marTop w:val="0"/>
                      <w:marBottom w:val="0"/>
                      <w:divBdr>
                        <w:top w:val="none" w:sz="0" w:space="0" w:color="auto"/>
                        <w:left w:val="none" w:sz="0" w:space="0" w:color="auto"/>
                        <w:bottom w:val="none" w:sz="0" w:space="0" w:color="auto"/>
                        <w:right w:val="none" w:sz="0" w:space="0" w:color="auto"/>
                      </w:divBdr>
                    </w:div>
                    <w:div w:id="2049257786">
                      <w:marLeft w:val="0"/>
                      <w:marRight w:val="0"/>
                      <w:marTop w:val="0"/>
                      <w:marBottom w:val="0"/>
                      <w:divBdr>
                        <w:top w:val="none" w:sz="0" w:space="0" w:color="auto"/>
                        <w:left w:val="none" w:sz="0" w:space="0" w:color="auto"/>
                        <w:bottom w:val="none" w:sz="0" w:space="0" w:color="auto"/>
                        <w:right w:val="none" w:sz="0" w:space="0" w:color="auto"/>
                      </w:divBdr>
                    </w:div>
                  </w:divsChild>
                </w:div>
                <w:div w:id="1227960585">
                  <w:marLeft w:val="0"/>
                  <w:marRight w:val="0"/>
                  <w:marTop w:val="0"/>
                  <w:marBottom w:val="0"/>
                  <w:divBdr>
                    <w:top w:val="none" w:sz="0" w:space="0" w:color="auto"/>
                    <w:left w:val="none" w:sz="0" w:space="0" w:color="auto"/>
                    <w:bottom w:val="none" w:sz="0" w:space="0" w:color="auto"/>
                    <w:right w:val="none" w:sz="0" w:space="0" w:color="auto"/>
                  </w:divBdr>
                  <w:divsChild>
                    <w:div w:id="7562482">
                      <w:marLeft w:val="0"/>
                      <w:marRight w:val="0"/>
                      <w:marTop w:val="0"/>
                      <w:marBottom w:val="0"/>
                      <w:divBdr>
                        <w:top w:val="none" w:sz="0" w:space="0" w:color="auto"/>
                        <w:left w:val="none" w:sz="0" w:space="0" w:color="auto"/>
                        <w:bottom w:val="none" w:sz="0" w:space="0" w:color="auto"/>
                        <w:right w:val="none" w:sz="0" w:space="0" w:color="auto"/>
                      </w:divBdr>
                    </w:div>
                  </w:divsChild>
                </w:div>
                <w:div w:id="1242639005">
                  <w:marLeft w:val="0"/>
                  <w:marRight w:val="0"/>
                  <w:marTop w:val="0"/>
                  <w:marBottom w:val="0"/>
                  <w:divBdr>
                    <w:top w:val="none" w:sz="0" w:space="0" w:color="auto"/>
                    <w:left w:val="none" w:sz="0" w:space="0" w:color="auto"/>
                    <w:bottom w:val="none" w:sz="0" w:space="0" w:color="auto"/>
                    <w:right w:val="none" w:sz="0" w:space="0" w:color="auto"/>
                  </w:divBdr>
                  <w:divsChild>
                    <w:div w:id="1275753065">
                      <w:marLeft w:val="0"/>
                      <w:marRight w:val="0"/>
                      <w:marTop w:val="0"/>
                      <w:marBottom w:val="0"/>
                      <w:divBdr>
                        <w:top w:val="none" w:sz="0" w:space="0" w:color="auto"/>
                        <w:left w:val="none" w:sz="0" w:space="0" w:color="auto"/>
                        <w:bottom w:val="none" w:sz="0" w:space="0" w:color="auto"/>
                        <w:right w:val="none" w:sz="0" w:space="0" w:color="auto"/>
                      </w:divBdr>
                    </w:div>
                  </w:divsChild>
                </w:div>
                <w:div w:id="1254047866">
                  <w:marLeft w:val="0"/>
                  <w:marRight w:val="0"/>
                  <w:marTop w:val="0"/>
                  <w:marBottom w:val="0"/>
                  <w:divBdr>
                    <w:top w:val="none" w:sz="0" w:space="0" w:color="auto"/>
                    <w:left w:val="none" w:sz="0" w:space="0" w:color="auto"/>
                    <w:bottom w:val="none" w:sz="0" w:space="0" w:color="auto"/>
                    <w:right w:val="none" w:sz="0" w:space="0" w:color="auto"/>
                  </w:divBdr>
                  <w:divsChild>
                    <w:div w:id="1987398333">
                      <w:marLeft w:val="0"/>
                      <w:marRight w:val="0"/>
                      <w:marTop w:val="0"/>
                      <w:marBottom w:val="0"/>
                      <w:divBdr>
                        <w:top w:val="none" w:sz="0" w:space="0" w:color="auto"/>
                        <w:left w:val="none" w:sz="0" w:space="0" w:color="auto"/>
                        <w:bottom w:val="none" w:sz="0" w:space="0" w:color="auto"/>
                        <w:right w:val="none" w:sz="0" w:space="0" w:color="auto"/>
                      </w:divBdr>
                    </w:div>
                  </w:divsChild>
                </w:div>
                <w:div w:id="1260259978">
                  <w:marLeft w:val="0"/>
                  <w:marRight w:val="0"/>
                  <w:marTop w:val="0"/>
                  <w:marBottom w:val="0"/>
                  <w:divBdr>
                    <w:top w:val="none" w:sz="0" w:space="0" w:color="auto"/>
                    <w:left w:val="none" w:sz="0" w:space="0" w:color="auto"/>
                    <w:bottom w:val="none" w:sz="0" w:space="0" w:color="auto"/>
                    <w:right w:val="none" w:sz="0" w:space="0" w:color="auto"/>
                  </w:divBdr>
                  <w:divsChild>
                    <w:div w:id="1883398586">
                      <w:marLeft w:val="0"/>
                      <w:marRight w:val="0"/>
                      <w:marTop w:val="0"/>
                      <w:marBottom w:val="0"/>
                      <w:divBdr>
                        <w:top w:val="none" w:sz="0" w:space="0" w:color="auto"/>
                        <w:left w:val="none" w:sz="0" w:space="0" w:color="auto"/>
                        <w:bottom w:val="none" w:sz="0" w:space="0" w:color="auto"/>
                        <w:right w:val="none" w:sz="0" w:space="0" w:color="auto"/>
                      </w:divBdr>
                    </w:div>
                  </w:divsChild>
                </w:div>
                <w:div w:id="1263801011">
                  <w:marLeft w:val="0"/>
                  <w:marRight w:val="0"/>
                  <w:marTop w:val="0"/>
                  <w:marBottom w:val="0"/>
                  <w:divBdr>
                    <w:top w:val="none" w:sz="0" w:space="0" w:color="auto"/>
                    <w:left w:val="none" w:sz="0" w:space="0" w:color="auto"/>
                    <w:bottom w:val="none" w:sz="0" w:space="0" w:color="auto"/>
                    <w:right w:val="none" w:sz="0" w:space="0" w:color="auto"/>
                  </w:divBdr>
                  <w:divsChild>
                    <w:div w:id="242953925">
                      <w:marLeft w:val="0"/>
                      <w:marRight w:val="0"/>
                      <w:marTop w:val="0"/>
                      <w:marBottom w:val="0"/>
                      <w:divBdr>
                        <w:top w:val="none" w:sz="0" w:space="0" w:color="auto"/>
                        <w:left w:val="none" w:sz="0" w:space="0" w:color="auto"/>
                        <w:bottom w:val="none" w:sz="0" w:space="0" w:color="auto"/>
                        <w:right w:val="none" w:sz="0" w:space="0" w:color="auto"/>
                      </w:divBdr>
                    </w:div>
                  </w:divsChild>
                </w:div>
                <w:div w:id="1268152943">
                  <w:marLeft w:val="0"/>
                  <w:marRight w:val="0"/>
                  <w:marTop w:val="0"/>
                  <w:marBottom w:val="0"/>
                  <w:divBdr>
                    <w:top w:val="none" w:sz="0" w:space="0" w:color="auto"/>
                    <w:left w:val="none" w:sz="0" w:space="0" w:color="auto"/>
                    <w:bottom w:val="none" w:sz="0" w:space="0" w:color="auto"/>
                    <w:right w:val="none" w:sz="0" w:space="0" w:color="auto"/>
                  </w:divBdr>
                  <w:divsChild>
                    <w:div w:id="46808307">
                      <w:marLeft w:val="0"/>
                      <w:marRight w:val="0"/>
                      <w:marTop w:val="0"/>
                      <w:marBottom w:val="0"/>
                      <w:divBdr>
                        <w:top w:val="none" w:sz="0" w:space="0" w:color="auto"/>
                        <w:left w:val="none" w:sz="0" w:space="0" w:color="auto"/>
                        <w:bottom w:val="none" w:sz="0" w:space="0" w:color="auto"/>
                        <w:right w:val="none" w:sz="0" w:space="0" w:color="auto"/>
                      </w:divBdr>
                    </w:div>
                    <w:div w:id="682244277">
                      <w:marLeft w:val="0"/>
                      <w:marRight w:val="0"/>
                      <w:marTop w:val="0"/>
                      <w:marBottom w:val="0"/>
                      <w:divBdr>
                        <w:top w:val="none" w:sz="0" w:space="0" w:color="auto"/>
                        <w:left w:val="none" w:sz="0" w:space="0" w:color="auto"/>
                        <w:bottom w:val="none" w:sz="0" w:space="0" w:color="auto"/>
                        <w:right w:val="none" w:sz="0" w:space="0" w:color="auto"/>
                      </w:divBdr>
                    </w:div>
                    <w:div w:id="1167788276">
                      <w:marLeft w:val="0"/>
                      <w:marRight w:val="0"/>
                      <w:marTop w:val="0"/>
                      <w:marBottom w:val="0"/>
                      <w:divBdr>
                        <w:top w:val="none" w:sz="0" w:space="0" w:color="auto"/>
                        <w:left w:val="none" w:sz="0" w:space="0" w:color="auto"/>
                        <w:bottom w:val="none" w:sz="0" w:space="0" w:color="auto"/>
                        <w:right w:val="none" w:sz="0" w:space="0" w:color="auto"/>
                      </w:divBdr>
                    </w:div>
                    <w:div w:id="1419519063">
                      <w:marLeft w:val="0"/>
                      <w:marRight w:val="0"/>
                      <w:marTop w:val="0"/>
                      <w:marBottom w:val="0"/>
                      <w:divBdr>
                        <w:top w:val="none" w:sz="0" w:space="0" w:color="auto"/>
                        <w:left w:val="none" w:sz="0" w:space="0" w:color="auto"/>
                        <w:bottom w:val="none" w:sz="0" w:space="0" w:color="auto"/>
                        <w:right w:val="none" w:sz="0" w:space="0" w:color="auto"/>
                      </w:divBdr>
                    </w:div>
                    <w:div w:id="1615867532">
                      <w:marLeft w:val="0"/>
                      <w:marRight w:val="0"/>
                      <w:marTop w:val="0"/>
                      <w:marBottom w:val="0"/>
                      <w:divBdr>
                        <w:top w:val="none" w:sz="0" w:space="0" w:color="auto"/>
                        <w:left w:val="none" w:sz="0" w:space="0" w:color="auto"/>
                        <w:bottom w:val="none" w:sz="0" w:space="0" w:color="auto"/>
                        <w:right w:val="none" w:sz="0" w:space="0" w:color="auto"/>
                      </w:divBdr>
                    </w:div>
                    <w:div w:id="1955207008">
                      <w:marLeft w:val="0"/>
                      <w:marRight w:val="0"/>
                      <w:marTop w:val="0"/>
                      <w:marBottom w:val="0"/>
                      <w:divBdr>
                        <w:top w:val="none" w:sz="0" w:space="0" w:color="auto"/>
                        <w:left w:val="none" w:sz="0" w:space="0" w:color="auto"/>
                        <w:bottom w:val="none" w:sz="0" w:space="0" w:color="auto"/>
                        <w:right w:val="none" w:sz="0" w:space="0" w:color="auto"/>
                      </w:divBdr>
                    </w:div>
                  </w:divsChild>
                </w:div>
                <w:div w:id="1268587157">
                  <w:marLeft w:val="0"/>
                  <w:marRight w:val="0"/>
                  <w:marTop w:val="0"/>
                  <w:marBottom w:val="0"/>
                  <w:divBdr>
                    <w:top w:val="none" w:sz="0" w:space="0" w:color="auto"/>
                    <w:left w:val="none" w:sz="0" w:space="0" w:color="auto"/>
                    <w:bottom w:val="none" w:sz="0" w:space="0" w:color="auto"/>
                    <w:right w:val="none" w:sz="0" w:space="0" w:color="auto"/>
                  </w:divBdr>
                  <w:divsChild>
                    <w:div w:id="1909732664">
                      <w:marLeft w:val="0"/>
                      <w:marRight w:val="0"/>
                      <w:marTop w:val="0"/>
                      <w:marBottom w:val="0"/>
                      <w:divBdr>
                        <w:top w:val="none" w:sz="0" w:space="0" w:color="auto"/>
                        <w:left w:val="none" w:sz="0" w:space="0" w:color="auto"/>
                        <w:bottom w:val="none" w:sz="0" w:space="0" w:color="auto"/>
                        <w:right w:val="none" w:sz="0" w:space="0" w:color="auto"/>
                      </w:divBdr>
                    </w:div>
                  </w:divsChild>
                </w:div>
                <w:div w:id="1272979234">
                  <w:marLeft w:val="0"/>
                  <w:marRight w:val="0"/>
                  <w:marTop w:val="0"/>
                  <w:marBottom w:val="0"/>
                  <w:divBdr>
                    <w:top w:val="none" w:sz="0" w:space="0" w:color="auto"/>
                    <w:left w:val="none" w:sz="0" w:space="0" w:color="auto"/>
                    <w:bottom w:val="none" w:sz="0" w:space="0" w:color="auto"/>
                    <w:right w:val="none" w:sz="0" w:space="0" w:color="auto"/>
                  </w:divBdr>
                  <w:divsChild>
                    <w:div w:id="346953254">
                      <w:marLeft w:val="0"/>
                      <w:marRight w:val="0"/>
                      <w:marTop w:val="0"/>
                      <w:marBottom w:val="0"/>
                      <w:divBdr>
                        <w:top w:val="none" w:sz="0" w:space="0" w:color="auto"/>
                        <w:left w:val="none" w:sz="0" w:space="0" w:color="auto"/>
                        <w:bottom w:val="none" w:sz="0" w:space="0" w:color="auto"/>
                        <w:right w:val="none" w:sz="0" w:space="0" w:color="auto"/>
                      </w:divBdr>
                    </w:div>
                  </w:divsChild>
                </w:div>
                <w:div w:id="1335303120">
                  <w:marLeft w:val="0"/>
                  <w:marRight w:val="0"/>
                  <w:marTop w:val="0"/>
                  <w:marBottom w:val="0"/>
                  <w:divBdr>
                    <w:top w:val="none" w:sz="0" w:space="0" w:color="auto"/>
                    <w:left w:val="none" w:sz="0" w:space="0" w:color="auto"/>
                    <w:bottom w:val="none" w:sz="0" w:space="0" w:color="auto"/>
                    <w:right w:val="none" w:sz="0" w:space="0" w:color="auto"/>
                  </w:divBdr>
                  <w:divsChild>
                    <w:div w:id="301616986">
                      <w:marLeft w:val="0"/>
                      <w:marRight w:val="0"/>
                      <w:marTop w:val="0"/>
                      <w:marBottom w:val="0"/>
                      <w:divBdr>
                        <w:top w:val="none" w:sz="0" w:space="0" w:color="auto"/>
                        <w:left w:val="none" w:sz="0" w:space="0" w:color="auto"/>
                        <w:bottom w:val="none" w:sz="0" w:space="0" w:color="auto"/>
                        <w:right w:val="none" w:sz="0" w:space="0" w:color="auto"/>
                      </w:divBdr>
                    </w:div>
                  </w:divsChild>
                </w:div>
                <w:div w:id="1375159101">
                  <w:marLeft w:val="0"/>
                  <w:marRight w:val="0"/>
                  <w:marTop w:val="0"/>
                  <w:marBottom w:val="0"/>
                  <w:divBdr>
                    <w:top w:val="none" w:sz="0" w:space="0" w:color="auto"/>
                    <w:left w:val="none" w:sz="0" w:space="0" w:color="auto"/>
                    <w:bottom w:val="none" w:sz="0" w:space="0" w:color="auto"/>
                    <w:right w:val="none" w:sz="0" w:space="0" w:color="auto"/>
                  </w:divBdr>
                  <w:divsChild>
                    <w:div w:id="748423414">
                      <w:marLeft w:val="0"/>
                      <w:marRight w:val="0"/>
                      <w:marTop w:val="0"/>
                      <w:marBottom w:val="0"/>
                      <w:divBdr>
                        <w:top w:val="none" w:sz="0" w:space="0" w:color="auto"/>
                        <w:left w:val="none" w:sz="0" w:space="0" w:color="auto"/>
                        <w:bottom w:val="none" w:sz="0" w:space="0" w:color="auto"/>
                        <w:right w:val="none" w:sz="0" w:space="0" w:color="auto"/>
                      </w:divBdr>
                    </w:div>
                  </w:divsChild>
                </w:div>
                <w:div w:id="1385446605">
                  <w:marLeft w:val="0"/>
                  <w:marRight w:val="0"/>
                  <w:marTop w:val="0"/>
                  <w:marBottom w:val="0"/>
                  <w:divBdr>
                    <w:top w:val="none" w:sz="0" w:space="0" w:color="auto"/>
                    <w:left w:val="none" w:sz="0" w:space="0" w:color="auto"/>
                    <w:bottom w:val="none" w:sz="0" w:space="0" w:color="auto"/>
                    <w:right w:val="none" w:sz="0" w:space="0" w:color="auto"/>
                  </w:divBdr>
                  <w:divsChild>
                    <w:div w:id="1274362065">
                      <w:marLeft w:val="0"/>
                      <w:marRight w:val="0"/>
                      <w:marTop w:val="0"/>
                      <w:marBottom w:val="0"/>
                      <w:divBdr>
                        <w:top w:val="none" w:sz="0" w:space="0" w:color="auto"/>
                        <w:left w:val="none" w:sz="0" w:space="0" w:color="auto"/>
                        <w:bottom w:val="none" w:sz="0" w:space="0" w:color="auto"/>
                        <w:right w:val="none" w:sz="0" w:space="0" w:color="auto"/>
                      </w:divBdr>
                    </w:div>
                  </w:divsChild>
                </w:div>
                <w:div w:id="1391998926">
                  <w:marLeft w:val="0"/>
                  <w:marRight w:val="0"/>
                  <w:marTop w:val="0"/>
                  <w:marBottom w:val="0"/>
                  <w:divBdr>
                    <w:top w:val="none" w:sz="0" w:space="0" w:color="auto"/>
                    <w:left w:val="none" w:sz="0" w:space="0" w:color="auto"/>
                    <w:bottom w:val="none" w:sz="0" w:space="0" w:color="auto"/>
                    <w:right w:val="none" w:sz="0" w:space="0" w:color="auto"/>
                  </w:divBdr>
                  <w:divsChild>
                    <w:div w:id="575553946">
                      <w:marLeft w:val="0"/>
                      <w:marRight w:val="0"/>
                      <w:marTop w:val="0"/>
                      <w:marBottom w:val="0"/>
                      <w:divBdr>
                        <w:top w:val="none" w:sz="0" w:space="0" w:color="auto"/>
                        <w:left w:val="none" w:sz="0" w:space="0" w:color="auto"/>
                        <w:bottom w:val="none" w:sz="0" w:space="0" w:color="auto"/>
                        <w:right w:val="none" w:sz="0" w:space="0" w:color="auto"/>
                      </w:divBdr>
                    </w:div>
                  </w:divsChild>
                </w:div>
                <w:div w:id="1392575223">
                  <w:marLeft w:val="0"/>
                  <w:marRight w:val="0"/>
                  <w:marTop w:val="0"/>
                  <w:marBottom w:val="0"/>
                  <w:divBdr>
                    <w:top w:val="none" w:sz="0" w:space="0" w:color="auto"/>
                    <w:left w:val="none" w:sz="0" w:space="0" w:color="auto"/>
                    <w:bottom w:val="none" w:sz="0" w:space="0" w:color="auto"/>
                    <w:right w:val="none" w:sz="0" w:space="0" w:color="auto"/>
                  </w:divBdr>
                  <w:divsChild>
                    <w:div w:id="926039393">
                      <w:marLeft w:val="0"/>
                      <w:marRight w:val="0"/>
                      <w:marTop w:val="0"/>
                      <w:marBottom w:val="0"/>
                      <w:divBdr>
                        <w:top w:val="none" w:sz="0" w:space="0" w:color="auto"/>
                        <w:left w:val="none" w:sz="0" w:space="0" w:color="auto"/>
                        <w:bottom w:val="none" w:sz="0" w:space="0" w:color="auto"/>
                        <w:right w:val="none" w:sz="0" w:space="0" w:color="auto"/>
                      </w:divBdr>
                    </w:div>
                  </w:divsChild>
                </w:div>
                <w:div w:id="1405565889">
                  <w:marLeft w:val="0"/>
                  <w:marRight w:val="0"/>
                  <w:marTop w:val="0"/>
                  <w:marBottom w:val="0"/>
                  <w:divBdr>
                    <w:top w:val="none" w:sz="0" w:space="0" w:color="auto"/>
                    <w:left w:val="none" w:sz="0" w:space="0" w:color="auto"/>
                    <w:bottom w:val="none" w:sz="0" w:space="0" w:color="auto"/>
                    <w:right w:val="none" w:sz="0" w:space="0" w:color="auto"/>
                  </w:divBdr>
                  <w:divsChild>
                    <w:div w:id="1598171371">
                      <w:marLeft w:val="0"/>
                      <w:marRight w:val="0"/>
                      <w:marTop w:val="0"/>
                      <w:marBottom w:val="0"/>
                      <w:divBdr>
                        <w:top w:val="none" w:sz="0" w:space="0" w:color="auto"/>
                        <w:left w:val="none" w:sz="0" w:space="0" w:color="auto"/>
                        <w:bottom w:val="none" w:sz="0" w:space="0" w:color="auto"/>
                        <w:right w:val="none" w:sz="0" w:space="0" w:color="auto"/>
                      </w:divBdr>
                    </w:div>
                  </w:divsChild>
                </w:div>
                <w:div w:id="1407846000">
                  <w:marLeft w:val="0"/>
                  <w:marRight w:val="0"/>
                  <w:marTop w:val="0"/>
                  <w:marBottom w:val="0"/>
                  <w:divBdr>
                    <w:top w:val="none" w:sz="0" w:space="0" w:color="auto"/>
                    <w:left w:val="none" w:sz="0" w:space="0" w:color="auto"/>
                    <w:bottom w:val="none" w:sz="0" w:space="0" w:color="auto"/>
                    <w:right w:val="none" w:sz="0" w:space="0" w:color="auto"/>
                  </w:divBdr>
                  <w:divsChild>
                    <w:div w:id="2048213312">
                      <w:marLeft w:val="0"/>
                      <w:marRight w:val="0"/>
                      <w:marTop w:val="0"/>
                      <w:marBottom w:val="0"/>
                      <w:divBdr>
                        <w:top w:val="none" w:sz="0" w:space="0" w:color="auto"/>
                        <w:left w:val="none" w:sz="0" w:space="0" w:color="auto"/>
                        <w:bottom w:val="none" w:sz="0" w:space="0" w:color="auto"/>
                        <w:right w:val="none" w:sz="0" w:space="0" w:color="auto"/>
                      </w:divBdr>
                    </w:div>
                  </w:divsChild>
                </w:div>
                <w:div w:id="1412698802">
                  <w:marLeft w:val="0"/>
                  <w:marRight w:val="0"/>
                  <w:marTop w:val="0"/>
                  <w:marBottom w:val="0"/>
                  <w:divBdr>
                    <w:top w:val="none" w:sz="0" w:space="0" w:color="auto"/>
                    <w:left w:val="none" w:sz="0" w:space="0" w:color="auto"/>
                    <w:bottom w:val="none" w:sz="0" w:space="0" w:color="auto"/>
                    <w:right w:val="none" w:sz="0" w:space="0" w:color="auto"/>
                  </w:divBdr>
                  <w:divsChild>
                    <w:div w:id="1483427644">
                      <w:marLeft w:val="0"/>
                      <w:marRight w:val="0"/>
                      <w:marTop w:val="0"/>
                      <w:marBottom w:val="0"/>
                      <w:divBdr>
                        <w:top w:val="none" w:sz="0" w:space="0" w:color="auto"/>
                        <w:left w:val="none" w:sz="0" w:space="0" w:color="auto"/>
                        <w:bottom w:val="none" w:sz="0" w:space="0" w:color="auto"/>
                        <w:right w:val="none" w:sz="0" w:space="0" w:color="auto"/>
                      </w:divBdr>
                    </w:div>
                  </w:divsChild>
                </w:div>
                <w:div w:id="1432778116">
                  <w:marLeft w:val="0"/>
                  <w:marRight w:val="0"/>
                  <w:marTop w:val="0"/>
                  <w:marBottom w:val="0"/>
                  <w:divBdr>
                    <w:top w:val="none" w:sz="0" w:space="0" w:color="auto"/>
                    <w:left w:val="none" w:sz="0" w:space="0" w:color="auto"/>
                    <w:bottom w:val="none" w:sz="0" w:space="0" w:color="auto"/>
                    <w:right w:val="none" w:sz="0" w:space="0" w:color="auto"/>
                  </w:divBdr>
                  <w:divsChild>
                    <w:div w:id="2134782251">
                      <w:marLeft w:val="0"/>
                      <w:marRight w:val="0"/>
                      <w:marTop w:val="0"/>
                      <w:marBottom w:val="0"/>
                      <w:divBdr>
                        <w:top w:val="none" w:sz="0" w:space="0" w:color="auto"/>
                        <w:left w:val="none" w:sz="0" w:space="0" w:color="auto"/>
                        <w:bottom w:val="none" w:sz="0" w:space="0" w:color="auto"/>
                        <w:right w:val="none" w:sz="0" w:space="0" w:color="auto"/>
                      </w:divBdr>
                    </w:div>
                  </w:divsChild>
                </w:div>
                <w:div w:id="1433668869">
                  <w:marLeft w:val="0"/>
                  <w:marRight w:val="0"/>
                  <w:marTop w:val="0"/>
                  <w:marBottom w:val="0"/>
                  <w:divBdr>
                    <w:top w:val="none" w:sz="0" w:space="0" w:color="auto"/>
                    <w:left w:val="none" w:sz="0" w:space="0" w:color="auto"/>
                    <w:bottom w:val="none" w:sz="0" w:space="0" w:color="auto"/>
                    <w:right w:val="none" w:sz="0" w:space="0" w:color="auto"/>
                  </w:divBdr>
                  <w:divsChild>
                    <w:div w:id="1299187114">
                      <w:marLeft w:val="0"/>
                      <w:marRight w:val="0"/>
                      <w:marTop w:val="0"/>
                      <w:marBottom w:val="0"/>
                      <w:divBdr>
                        <w:top w:val="none" w:sz="0" w:space="0" w:color="auto"/>
                        <w:left w:val="none" w:sz="0" w:space="0" w:color="auto"/>
                        <w:bottom w:val="none" w:sz="0" w:space="0" w:color="auto"/>
                        <w:right w:val="none" w:sz="0" w:space="0" w:color="auto"/>
                      </w:divBdr>
                    </w:div>
                  </w:divsChild>
                </w:div>
                <w:div w:id="1445730526">
                  <w:marLeft w:val="0"/>
                  <w:marRight w:val="0"/>
                  <w:marTop w:val="0"/>
                  <w:marBottom w:val="0"/>
                  <w:divBdr>
                    <w:top w:val="none" w:sz="0" w:space="0" w:color="auto"/>
                    <w:left w:val="none" w:sz="0" w:space="0" w:color="auto"/>
                    <w:bottom w:val="none" w:sz="0" w:space="0" w:color="auto"/>
                    <w:right w:val="none" w:sz="0" w:space="0" w:color="auto"/>
                  </w:divBdr>
                  <w:divsChild>
                    <w:div w:id="1450666304">
                      <w:marLeft w:val="0"/>
                      <w:marRight w:val="0"/>
                      <w:marTop w:val="0"/>
                      <w:marBottom w:val="0"/>
                      <w:divBdr>
                        <w:top w:val="none" w:sz="0" w:space="0" w:color="auto"/>
                        <w:left w:val="none" w:sz="0" w:space="0" w:color="auto"/>
                        <w:bottom w:val="none" w:sz="0" w:space="0" w:color="auto"/>
                        <w:right w:val="none" w:sz="0" w:space="0" w:color="auto"/>
                      </w:divBdr>
                    </w:div>
                  </w:divsChild>
                </w:div>
                <w:div w:id="1463694006">
                  <w:marLeft w:val="0"/>
                  <w:marRight w:val="0"/>
                  <w:marTop w:val="0"/>
                  <w:marBottom w:val="0"/>
                  <w:divBdr>
                    <w:top w:val="none" w:sz="0" w:space="0" w:color="auto"/>
                    <w:left w:val="none" w:sz="0" w:space="0" w:color="auto"/>
                    <w:bottom w:val="none" w:sz="0" w:space="0" w:color="auto"/>
                    <w:right w:val="none" w:sz="0" w:space="0" w:color="auto"/>
                  </w:divBdr>
                  <w:divsChild>
                    <w:div w:id="384986278">
                      <w:marLeft w:val="0"/>
                      <w:marRight w:val="0"/>
                      <w:marTop w:val="0"/>
                      <w:marBottom w:val="0"/>
                      <w:divBdr>
                        <w:top w:val="none" w:sz="0" w:space="0" w:color="auto"/>
                        <w:left w:val="none" w:sz="0" w:space="0" w:color="auto"/>
                        <w:bottom w:val="none" w:sz="0" w:space="0" w:color="auto"/>
                        <w:right w:val="none" w:sz="0" w:space="0" w:color="auto"/>
                      </w:divBdr>
                    </w:div>
                  </w:divsChild>
                </w:div>
                <w:div w:id="1468746407">
                  <w:marLeft w:val="0"/>
                  <w:marRight w:val="0"/>
                  <w:marTop w:val="0"/>
                  <w:marBottom w:val="0"/>
                  <w:divBdr>
                    <w:top w:val="none" w:sz="0" w:space="0" w:color="auto"/>
                    <w:left w:val="none" w:sz="0" w:space="0" w:color="auto"/>
                    <w:bottom w:val="none" w:sz="0" w:space="0" w:color="auto"/>
                    <w:right w:val="none" w:sz="0" w:space="0" w:color="auto"/>
                  </w:divBdr>
                  <w:divsChild>
                    <w:div w:id="1331252011">
                      <w:marLeft w:val="0"/>
                      <w:marRight w:val="0"/>
                      <w:marTop w:val="0"/>
                      <w:marBottom w:val="0"/>
                      <w:divBdr>
                        <w:top w:val="none" w:sz="0" w:space="0" w:color="auto"/>
                        <w:left w:val="none" w:sz="0" w:space="0" w:color="auto"/>
                        <w:bottom w:val="none" w:sz="0" w:space="0" w:color="auto"/>
                        <w:right w:val="none" w:sz="0" w:space="0" w:color="auto"/>
                      </w:divBdr>
                    </w:div>
                  </w:divsChild>
                </w:div>
                <w:div w:id="1510756815">
                  <w:marLeft w:val="0"/>
                  <w:marRight w:val="0"/>
                  <w:marTop w:val="0"/>
                  <w:marBottom w:val="0"/>
                  <w:divBdr>
                    <w:top w:val="none" w:sz="0" w:space="0" w:color="auto"/>
                    <w:left w:val="none" w:sz="0" w:space="0" w:color="auto"/>
                    <w:bottom w:val="none" w:sz="0" w:space="0" w:color="auto"/>
                    <w:right w:val="none" w:sz="0" w:space="0" w:color="auto"/>
                  </w:divBdr>
                  <w:divsChild>
                    <w:div w:id="1036780863">
                      <w:marLeft w:val="0"/>
                      <w:marRight w:val="0"/>
                      <w:marTop w:val="0"/>
                      <w:marBottom w:val="0"/>
                      <w:divBdr>
                        <w:top w:val="none" w:sz="0" w:space="0" w:color="auto"/>
                        <w:left w:val="none" w:sz="0" w:space="0" w:color="auto"/>
                        <w:bottom w:val="none" w:sz="0" w:space="0" w:color="auto"/>
                        <w:right w:val="none" w:sz="0" w:space="0" w:color="auto"/>
                      </w:divBdr>
                    </w:div>
                  </w:divsChild>
                </w:div>
                <w:div w:id="1535575462">
                  <w:marLeft w:val="0"/>
                  <w:marRight w:val="0"/>
                  <w:marTop w:val="0"/>
                  <w:marBottom w:val="0"/>
                  <w:divBdr>
                    <w:top w:val="none" w:sz="0" w:space="0" w:color="auto"/>
                    <w:left w:val="none" w:sz="0" w:space="0" w:color="auto"/>
                    <w:bottom w:val="none" w:sz="0" w:space="0" w:color="auto"/>
                    <w:right w:val="none" w:sz="0" w:space="0" w:color="auto"/>
                  </w:divBdr>
                  <w:divsChild>
                    <w:div w:id="1672486036">
                      <w:marLeft w:val="0"/>
                      <w:marRight w:val="0"/>
                      <w:marTop w:val="0"/>
                      <w:marBottom w:val="0"/>
                      <w:divBdr>
                        <w:top w:val="none" w:sz="0" w:space="0" w:color="auto"/>
                        <w:left w:val="none" w:sz="0" w:space="0" w:color="auto"/>
                        <w:bottom w:val="none" w:sz="0" w:space="0" w:color="auto"/>
                        <w:right w:val="none" w:sz="0" w:space="0" w:color="auto"/>
                      </w:divBdr>
                    </w:div>
                  </w:divsChild>
                </w:div>
                <w:div w:id="1549414479">
                  <w:marLeft w:val="0"/>
                  <w:marRight w:val="0"/>
                  <w:marTop w:val="0"/>
                  <w:marBottom w:val="0"/>
                  <w:divBdr>
                    <w:top w:val="none" w:sz="0" w:space="0" w:color="auto"/>
                    <w:left w:val="none" w:sz="0" w:space="0" w:color="auto"/>
                    <w:bottom w:val="none" w:sz="0" w:space="0" w:color="auto"/>
                    <w:right w:val="none" w:sz="0" w:space="0" w:color="auto"/>
                  </w:divBdr>
                  <w:divsChild>
                    <w:div w:id="412431613">
                      <w:marLeft w:val="0"/>
                      <w:marRight w:val="0"/>
                      <w:marTop w:val="0"/>
                      <w:marBottom w:val="0"/>
                      <w:divBdr>
                        <w:top w:val="none" w:sz="0" w:space="0" w:color="auto"/>
                        <w:left w:val="none" w:sz="0" w:space="0" w:color="auto"/>
                        <w:bottom w:val="none" w:sz="0" w:space="0" w:color="auto"/>
                        <w:right w:val="none" w:sz="0" w:space="0" w:color="auto"/>
                      </w:divBdr>
                    </w:div>
                  </w:divsChild>
                </w:div>
                <w:div w:id="1549993237">
                  <w:marLeft w:val="0"/>
                  <w:marRight w:val="0"/>
                  <w:marTop w:val="0"/>
                  <w:marBottom w:val="0"/>
                  <w:divBdr>
                    <w:top w:val="none" w:sz="0" w:space="0" w:color="auto"/>
                    <w:left w:val="none" w:sz="0" w:space="0" w:color="auto"/>
                    <w:bottom w:val="none" w:sz="0" w:space="0" w:color="auto"/>
                    <w:right w:val="none" w:sz="0" w:space="0" w:color="auto"/>
                  </w:divBdr>
                  <w:divsChild>
                    <w:div w:id="324941497">
                      <w:marLeft w:val="0"/>
                      <w:marRight w:val="0"/>
                      <w:marTop w:val="0"/>
                      <w:marBottom w:val="0"/>
                      <w:divBdr>
                        <w:top w:val="none" w:sz="0" w:space="0" w:color="auto"/>
                        <w:left w:val="none" w:sz="0" w:space="0" w:color="auto"/>
                        <w:bottom w:val="none" w:sz="0" w:space="0" w:color="auto"/>
                        <w:right w:val="none" w:sz="0" w:space="0" w:color="auto"/>
                      </w:divBdr>
                    </w:div>
                  </w:divsChild>
                </w:div>
                <w:div w:id="1555577859">
                  <w:marLeft w:val="0"/>
                  <w:marRight w:val="0"/>
                  <w:marTop w:val="0"/>
                  <w:marBottom w:val="0"/>
                  <w:divBdr>
                    <w:top w:val="none" w:sz="0" w:space="0" w:color="auto"/>
                    <w:left w:val="none" w:sz="0" w:space="0" w:color="auto"/>
                    <w:bottom w:val="none" w:sz="0" w:space="0" w:color="auto"/>
                    <w:right w:val="none" w:sz="0" w:space="0" w:color="auto"/>
                  </w:divBdr>
                  <w:divsChild>
                    <w:div w:id="423037932">
                      <w:marLeft w:val="0"/>
                      <w:marRight w:val="0"/>
                      <w:marTop w:val="0"/>
                      <w:marBottom w:val="0"/>
                      <w:divBdr>
                        <w:top w:val="none" w:sz="0" w:space="0" w:color="auto"/>
                        <w:left w:val="none" w:sz="0" w:space="0" w:color="auto"/>
                        <w:bottom w:val="none" w:sz="0" w:space="0" w:color="auto"/>
                        <w:right w:val="none" w:sz="0" w:space="0" w:color="auto"/>
                      </w:divBdr>
                    </w:div>
                  </w:divsChild>
                </w:div>
                <w:div w:id="1568149687">
                  <w:marLeft w:val="0"/>
                  <w:marRight w:val="0"/>
                  <w:marTop w:val="0"/>
                  <w:marBottom w:val="0"/>
                  <w:divBdr>
                    <w:top w:val="none" w:sz="0" w:space="0" w:color="auto"/>
                    <w:left w:val="none" w:sz="0" w:space="0" w:color="auto"/>
                    <w:bottom w:val="none" w:sz="0" w:space="0" w:color="auto"/>
                    <w:right w:val="none" w:sz="0" w:space="0" w:color="auto"/>
                  </w:divBdr>
                  <w:divsChild>
                    <w:div w:id="337779373">
                      <w:marLeft w:val="0"/>
                      <w:marRight w:val="0"/>
                      <w:marTop w:val="0"/>
                      <w:marBottom w:val="0"/>
                      <w:divBdr>
                        <w:top w:val="none" w:sz="0" w:space="0" w:color="auto"/>
                        <w:left w:val="none" w:sz="0" w:space="0" w:color="auto"/>
                        <w:bottom w:val="none" w:sz="0" w:space="0" w:color="auto"/>
                        <w:right w:val="none" w:sz="0" w:space="0" w:color="auto"/>
                      </w:divBdr>
                    </w:div>
                  </w:divsChild>
                </w:div>
                <w:div w:id="1599100625">
                  <w:marLeft w:val="0"/>
                  <w:marRight w:val="0"/>
                  <w:marTop w:val="0"/>
                  <w:marBottom w:val="0"/>
                  <w:divBdr>
                    <w:top w:val="none" w:sz="0" w:space="0" w:color="auto"/>
                    <w:left w:val="none" w:sz="0" w:space="0" w:color="auto"/>
                    <w:bottom w:val="none" w:sz="0" w:space="0" w:color="auto"/>
                    <w:right w:val="none" w:sz="0" w:space="0" w:color="auto"/>
                  </w:divBdr>
                  <w:divsChild>
                    <w:div w:id="1916746261">
                      <w:marLeft w:val="0"/>
                      <w:marRight w:val="0"/>
                      <w:marTop w:val="0"/>
                      <w:marBottom w:val="0"/>
                      <w:divBdr>
                        <w:top w:val="none" w:sz="0" w:space="0" w:color="auto"/>
                        <w:left w:val="none" w:sz="0" w:space="0" w:color="auto"/>
                        <w:bottom w:val="none" w:sz="0" w:space="0" w:color="auto"/>
                        <w:right w:val="none" w:sz="0" w:space="0" w:color="auto"/>
                      </w:divBdr>
                    </w:div>
                  </w:divsChild>
                </w:div>
                <w:div w:id="1622034512">
                  <w:marLeft w:val="0"/>
                  <w:marRight w:val="0"/>
                  <w:marTop w:val="0"/>
                  <w:marBottom w:val="0"/>
                  <w:divBdr>
                    <w:top w:val="none" w:sz="0" w:space="0" w:color="auto"/>
                    <w:left w:val="none" w:sz="0" w:space="0" w:color="auto"/>
                    <w:bottom w:val="none" w:sz="0" w:space="0" w:color="auto"/>
                    <w:right w:val="none" w:sz="0" w:space="0" w:color="auto"/>
                  </w:divBdr>
                  <w:divsChild>
                    <w:div w:id="871576909">
                      <w:marLeft w:val="0"/>
                      <w:marRight w:val="0"/>
                      <w:marTop w:val="0"/>
                      <w:marBottom w:val="0"/>
                      <w:divBdr>
                        <w:top w:val="none" w:sz="0" w:space="0" w:color="auto"/>
                        <w:left w:val="none" w:sz="0" w:space="0" w:color="auto"/>
                        <w:bottom w:val="none" w:sz="0" w:space="0" w:color="auto"/>
                        <w:right w:val="none" w:sz="0" w:space="0" w:color="auto"/>
                      </w:divBdr>
                    </w:div>
                  </w:divsChild>
                </w:div>
                <w:div w:id="1632057683">
                  <w:marLeft w:val="0"/>
                  <w:marRight w:val="0"/>
                  <w:marTop w:val="0"/>
                  <w:marBottom w:val="0"/>
                  <w:divBdr>
                    <w:top w:val="none" w:sz="0" w:space="0" w:color="auto"/>
                    <w:left w:val="none" w:sz="0" w:space="0" w:color="auto"/>
                    <w:bottom w:val="none" w:sz="0" w:space="0" w:color="auto"/>
                    <w:right w:val="none" w:sz="0" w:space="0" w:color="auto"/>
                  </w:divBdr>
                  <w:divsChild>
                    <w:div w:id="1677730537">
                      <w:marLeft w:val="0"/>
                      <w:marRight w:val="0"/>
                      <w:marTop w:val="0"/>
                      <w:marBottom w:val="0"/>
                      <w:divBdr>
                        <w:top w:val="none" w:sz="0" w:space="0" w:color="auto"/>
                        <w:left w:val="none" w:sz="0" w:space="0" w:color="auto"/>
                        <w:bottom w:val="none" w:sz="0" w:space="0" w:color="auto"/>
                        <w:right w:val="none" w:sz="0" w:space="0" w:color="auto"/>
                      </w:divBdr>
                    </w:div>
                  </w:divsChild>
                </w:div>
                <w:div w:id="1635865974">
                  <w:marLeft w:val="0"/>
                  <w:marRight w:val="0"/>
                  <w:marTop w:val="0"/>
                  <w:marBottom w:val="0"/>
                  <w:divBdr>
                    <w:top w:val="none" w:sz="0" w:space="0" w:color="auto"/>
                    <w:left w:val="none" w:sz="0" w:space="0" w:color="auto"/>
                    <w:bottom w:val="none" w:sz="0" w:space="0" w:color="auto"/>
                    <w:right w:val="none" w:sz="0" w:space="0" w:color="auto"/>
                  </w:divBdr>
                  <w:divsChild>
                    <w:div w:id="1954168458">
                      <w:marLeft w:val="0"/>
                      <w:marRight w:val="0"/>
                      <w:marTop w:val="0"/>
                      <w:marBottom w:val="0"/>
                      <w:divBdr>
                        <w:top w:val="none" w:sz="0" w:space="0" w:color="auto"/>
                        <w:left w:val="none" w:sz="0" w:space="0" w:color="auto"/>
                        <w:bottom w:val="none" w:sz="0" w:space="0" w:color="auto"/>
                        <w:right w:val="none" w:sz="0" w:space="0" w:color="auto"/>
                      </w:divBdr>
                    </w:div>
                  </w:divsChild>
                </w:div>
                <w:div w:id="1646466768">
                  <w:marLeft w:val="0"/>
                  <w:marRight w:val="0"/>
                  <w:marTop w:val="0"/>
                  <w:marBottom w:val="0"/>
                  <w:divBdr>
                    <w:top w:val="none" w:sz="0" w:space="0" w:color="auto"/>
                    <w:left w:val="none" w:sz="0" w:space="0" w:color="auto"/>
                    <w:bottom w:val="none" w:sz="0" w:space="0" w:color="auto"/>
                    <w:right w:val="none" w:sz="0" w:space="0" w:color="auto"/>
                  </w:divBdr>
                  <w:divsChild>
                    <w:div w:id="99490186">
                      <w:marLeft w:val="0"/>
                      <w:marRight w:val="0"/>
                      <w:marTop w:val="0"/>
                      <w:marBottom w:val="0"/>
                      <w:divBdr>
                        <w:top w:val="none" w:sz="0" w:space="0" w:color="auto"/>
                        <w:left w:val="none" w:sz="0" w:space="0" w:color="auto"/>
                        <w:bottom w:val="none" w:sz="0" w:space="0" w:color="auto"/>
                        <w:right w:val="none" w:sz="0" w:space="0" w:color="auto"/>
                      </w:divBdr>
                    </w:div>
                  </w:divsChild>
                </w:div>
                <w:div w:id="1695375284">
                  <w:marLeft w:val="0"/>
                  <w:marRight w:val="0"/>
                  <w:marTop w:val="0"/>
                  <w:marBottom w:val="0"/>
                  <w:divBdr>
                    <w:top w:val="none" w:sz="0" w:space="0" w:color="auto"/>
                    <w:left w:val="none" w:sz="0" w:space="0" w:color="auto"/>
                    <w:bottom w:val="none" w:sz="0" w:space="0" w:color="auto"/>
                    <w:right w:val="none" w:sz="0" w:space="0" w:color="auto"/>
                  </w:divBdr>
                  <w:divsChild>
                    <w:div w:id="240018862">
                      <w:marLeft w:val="0"/>
                      <w:marRight w:val="0"/>
                      <w:marTop w:val="0"/>
                      <w:marBottom w:val="0"/>
                      <w:divBdr>
                        <w:top w:val="none" w:sz="0" w:space="0" w:color="auto"/>
                        <w:left w:val="none" w:sz="0" w:space="0" w:color="auto"/>
                        <w:bottom w:val="none" w:sz="0" w:space="0" w:color="auto"/>
                        <w:right w:val="none" w:sz="0" w:space="0" w:color="auto"/>
                      </w:divBdr>
                    </w:div>
                  </w:divsChild>
                </w:div>
                <w:div w:id="1698459607">
                  <w:marLeft w:val="0"/>
                  <w:marRight w:val="0"/>
                  <w:marTop w:val="0"/>
                  <w:marBottom w:val="0"/>
                  <w:divBdr>
                    <w:top w:val="none" w:sz="0" w:space="0" w:color="auto"/>
                    <w:left w:val="none" w:sz="0" w:space="0" w:color="auto"/>
                    <w:bottom w:val="none" w:sz="0" w:space="0" w:color="auto"/>
                    <w:right w:val="none" w:sz="0" w:space="0" w:color="auto"/>
                  </w:divBdr>
                  <w:divsChild>
                    <w:div w:id="966205158">
                      <w:marLeft w:val="0"/>
                      <w:marRight w:val="0"/>
                      <w:marTop w:val="0"/>
                      <w:marBottom w:val="0"/>
                      <w:divBdr>
                        <w:top w:val="none" w:sz="0" w:space="0" w:color="auto"/>
                        <w:left w:val="none" w:sz="0" w:space="0" w:color="auto"/>
                        <w:bottom w:val="none" w:sz="0" w:space="0" w:color="auto"/>
                        <w:right w:val="none" w:sz="0" w:space="0" w:color="auto"/>
                      </w:divBdr>
                    </w:div>
                  </w:divsChild>
                </w:div>
                <w:div w:id="1705322794">
                  <w:marLeft w:val="0"/>
                  <w:marRight w:val="0"/>
                  <w:marTop w:val="0"/>
                  <w:marBottom w:val="0"/>
                  <w:divBdr>
                    <w:top w:val="none" w:sz="0" w:space="0" w:color="auto"/>
                    <w:left w:val="none" w:sz="0" w:space="0" w:color="auto"/>
                    <w:bottom w:val="none" w:sz="0" w:space="0" w:color="auto"/>
                    <w:right w:val="none" w:sz="0" w:space="0" w:color="auto"/>
                  </w:divBdr>
                  <w:divsChild>
                    <w:div w:id="1973822556">
                      <w:marLeft w:val="0"/>
                      <w:marRight w:val="0"/>
                      <w:marTop w:val="0"/>
                      <w:marBottom w:val="0"/>
                      <w:divBdr>
                        <w:top w:val="none" w:sz="0" w:space="0" w:color="auto"/>
                        <w:left w:val="none" w:sz="0" w:space="0" w:color="auto"/>
                        <w:bottom w:val="none" w:sz="0" w:space="0" w:color="auto"/>
                        <w:right w:val="none" w:sz="0" w:space="0" w:color="auto"/>
                      </w:divBdr>
                    </w:div>
                  </w:divsChild>
                </w:div>
                <w:div w:id="1714496193">
                  <w:marLeft w:val="0"/>
                  <w:marRight w:val="0"/>
                  <w:marTop w:val="0"/>
                  <w:marBottom w:val="0"/>
                  <w:divBdr>
                    <w:top w:val="none" w:sz="0" w:space="0" w:color="auto"/>
                    <w:left w:val="none" w:sz="0" w:space="0" w:color="auto"/>
                    <w:bottom w:val="none" w:sz="0" w:space="0" w:color="auto"/>
                    <w:right w:val="none" w:sz="0" w:space="0" w:color="auto"/>
                  </w:divBdr>
                  <w:divsChild>
                    <w:div w:id="1146432040">
                      <w:marLeft w:val="0"/>
                      <w:marRight w:val="0"/>
                      <w:marTop w:val="0"/>
                      <w:marBottom w:val="0"/>
                      <w:divBdr>
                        <w:top w:val="none" w:sz="0" w:space="0" w:color="auto"/>
                        <w:left w:val="none" w:sz="0" w:space="0" w:color="auto"/>
                        <w:bottom w:val="none" w:sz="0" w:space="0" w:color="auto"/>
                        <w:right w:val="none" w:sz="0" w:space="0" w:color="auto"/>
                      </w:divBdr>
                    </w:div>
                  </w:divsChild>
                </w:div>
                <w:div w:id="1723597013">
                  <w:marLeft w:val="0"/>
                  <w:marRight w:val="0"/>
                  <w:marTop w:val="0"/>
                  <w:marBottom w:val="0"/>
                  <w:divBdr>
                    <w:top w:val="none" w:sz="0" w:space="0" w:color="auto"/>
                    <w:left w:val="none" w:sz="0" w:space="0" w:color="auto"/>
                    <w:bottom w:val="none" w:sz="0" w:space="0" w:color="auto"/>
                    <w:right w:val="none" w:sz="0" w:space="0" w:color="auto"/>
                  </w:divBdr>
                  <w:divsChild>
                    <w:div w:id="1983080174">
                      <w:marLeft w:val="0"/>
                      <w:marRight w:val="0"/>
                      <w:marTop w:val="0"/>
                      <w:marBottom w:val="0"/>
                      <w:divBdr>
                        <w:top w:val="none" w:sz="0" w:space="0" w:color="auto"/>
                        <w:left w:val="none" w:sz="0" w:space="0" w:color="auto"/>
                        <w:bottom w:val="none" w:sz="0" w:space="0" w:color="auto"/>
                        <w:right w:val="none" w:sz="0" w:space="0" w:color="auto"/>
                      </w:divBdr>
                    </w:div>
                  </w:divsChild>
                </w:div>
                <w:div w:id="1734353553">
                  <w:marLeft w:val="0"/>
                  <w:marRight w:val="0"/>
                  <w:marTop w:val="0"/>
                  <w:marBottom w:val="0"/>
                  <w:divBdr>
                    <w:top w:val="none" w:sz="0" w:space="0" w:color="auto"/>
                    <w:left w:val="none" w:sz="0" w:space="0" w:color="auto"/>
                    <w:bottom w:val="none" w:sz="0" w:space="0" w:color="auto"/>
                    <w:right w:val="none" w:sz="0" w:space="0" w:color="auto"/>
                  </w:divBdr>
                  <w:divsChild>
                    <w:div w:id="1125541604">
                      <w:marLeft w:val="0"/>
                      <w:marRight w:val="0"/>
                      <w:marTop w:val="0"/>
                      <w:marBottom w:val="0"/>
                      <w:divBdr>
                        <w:top w:val="none" w:sz="0" w:space="0" w:color="auto"/>
                        <w:left w:val="none" w:sz="0" w:space="0" w:color="auto"/>
                        <w:bottom w:val="none" w:sz="0" w:space="0" w:color="auto"/>
                        <w:right w:val="none" w:sz="0" w:space="0" w:color="auto"/>
                      </w:divBdr>
                    </w:div>
                  </w:divsChild>
                </w:div>
                <w:div w:id="1736465939">
                  <w:marLeft w:val="0"/>
                  <w:marRight w:val="0"/>
                  <w:marTop w:val="0"/>
                  <w:marBottom w:val="0"/>
                  <w:divBdr>
                    <w:top w:val="none" w:sz="0" w:space="0" w:color="auto"/>
                    <w:left w:val="none" w:sz="0" w:space="0" w:color="auto"/>
                    <w:bottom w:val="none" w:sz="0" w:space="0" w:color="auto"/>
                    <w:right w:val="none" w:sz="0" w:space="0" w:color="auto"/>
                  </w:divBdr>
                  <w:divsChild>
                    <w:div w:id="570770301">
                      <w:marLeft w:val="0"/>
                      <w:marRight w:val="0"/>
                      <w:marTop w:val="0"/>
                      <w:marBottom w:val="0"/>
                      <w:divBdr>
                        <w:top w:val="none" w:sz="0" w:space="0" w:color="auto"/>
                        <w:left w:val="none" w:sz="0" w:space="0" w:color="auto"/>
                        <w:bottom w:val="none" w:sz="0" w:space="0" w:color="auto"/>
                        <w:right w:val="none" w:sz="0" w:space="0" w:color="auto"/>
                      </w:divBdr>
                    </w:div>
                    <w:div w:id="773675970">
                      <w:marLeft w:val="0"/>
                      <w:marRight w:val="0"/>
                      <w:marTop w:val="0"/>
                      <w:marBottom w:val="0"/>
                      <w:divBdr>
                        <w:top w:val="none" w:sz="0" w:space="0" w:color="auto"/>
                        <w:left w:val="none" w:sz="0" w:space="0" w:color="auto"/>
                        <w:bottom w:val="none" w:sz="0" w:space="0" w:color="auto"/>
                        <w:right w:val="none" w:sz="0" w:space="0" w:color="auto"/>
                      </w:divBdr>
                    </w:div>
                    <w:div w:id="853878503">
                      <w:marLeft w:val="0"/>
                      <w:marRight w:val="0"/>
                      <w:marTop w:val="0"/>
                      <w:marBottom w:val="0"/>
                      <w:divBdr>
                        <w:top w:val="none" w:sz="0" w:space="0" w:color="auto"/>
                        <w:left w:val="none" w:sz="0" w:space="0" w:color="auto"/>
                        <w:bottom w:val="none" w:sz="0" w:space="0" w:color="auto"/>
                        <w:right w:val="none" w:sz="0" w:space="0" w:color="auto"/>
                      </w:divBdr>
                    </w:div>
                    <w:div w:id="1249925283">
                      <w:marLeft w:val="0"/>
                      <w:marRight w:val="0"/>
                      <w:marTop w:val="0"/>
                      <w:marBottom w:val="0"/>
                      <w:divBdr>
                        <w:top w:val="none" w:sz="0" w:space="0" w:color="auto"/>
                        <w:left w:val="none" w:sz="0" w:space="0" w:color="auto"/>
                        <w:bottom w:val="none" w:sz="0" w:space="0" w:color="auto"/>
                        <w:right w:val="none" w:sz="0" w:space="0" w:color="auto"/>
                      </w:divBdr>
                    </w:div>
                    <w:div w:id="1282225737">
                      <w:marLeft w:val="0"/>
                      <w:marRight w:val="0"/>
                      <w:marTop w:val="0"/>
                      <w:marBottom w:val="0"/>
                      <w:divBdr>
                        <w:top w:val="none" w:sz="0" w:space="0" w:color="auto"/>
                        <w:left w:val="none" w:sz="0" w:space="0" w:color="auto"/>
                        <w:bottom w:val="none" w:sz="0" w:space="0" w:color="auto"/>
                        <w:right w:val="none" w:sz="0" w:space="0" w:color="auto"/>
                      </w:divBdr>
                    </w:div>
                    <w:div w:id="1395007936">
                      <w:marLeft w:val="0"/>
                      <w:marRight w:val="0"/>
                      <w:marTop w:val="0"/>
                      <w:marBottom w:val="0"/>
                      <w:divBdr>
                        <w:top w:val="none" w:sz="0" w:space="0" w:color="auto"/>
                        <w:left w:val="none" w:sz="0" w:space="0" w:color="auto"/>
                        <w:bottom w:val="none" w:sz="0" w:space="0" w:color="auto"/>
                        <w:right w:val="none" w:sz="0" w:space="0" w:color="auto"/>
                      </w:divBdr>
                    </w:div>
                    <w:div w:id="1646084423">
                      <w:marLeft w:val="0"/>
                      <w:marRight w:val="0"/>
                      <w:marTop w:val="0"/>
                      <w:marBottom w:val="0"/>
                      <w:divBdr>
                        <w:top w:val="none" w:sz="0" w:space="0" w:color="auto"/>
                        <w:left w:val="none" w:sz="0" w:space="0" w:color="auto"/>
                        <w:bottom w:val="none" w:sz="0" w:space="0" w:color="auto"/>
                        <w:right w:val="none" w:sz="0" w:space="0" w:color="auto"/>
                      </w:divBdr>
                    </w:div>
                    <w:div w:id="1684480412">
                      <w:marLeft w:val="0"/>
                      <w:marRight w:val="0"/>
                      <w:marTop w:val="0"/>
                      <w:marBottom w:val="0"/>
                      <w:divBdr>
                        <w:top w:val="none" w:sz="0" w:space="0" w:color="auto"/>
                        <w:left w:val="none" w:sz="0" w:space="0" w:color="auto"/>
                        <w:bottom w:val="none" w:sz="0" w:space="0" w:color="auto"/>
                        <w:right w:val="none" w:sz="0" w:space="0" w:color="auto"/>
                      </w:divBdr>
                    </w:div>
                    <w:div w:id="1958292189">
                      <w:marLeft w:val="0"/>
                      <w:marRight w:val="0"/>
                      <w:marTop w:val="0"/>
                      <w:marBottom w:val="0"/>
                      <w:divBdr>
                        <w:top w:val="none" w:sz="0" w:space="0" w:color="auto"/>
                        <w:left w:val="none" w:sz="0" w:space="0" w:color="auto"/>
                        <w:bottom w:val="none" w:sz="0" w:space="0" w:color="auto"/>
                        <w:right w:val="none" w:sz="0" w:space="0" w:color="auto"/>
                      </w:divBdr>
                    </w:div>
                    <w:div w:id="2047171306">
                      <w:marLeft w:val="0"/>
                      <w:marRight w:val="0"/>
                      <w:marTop w:val="0"/>
                      <w:marBottom w:val="0"/>
                      <w:divBdr>
                        <w:top w:val="none" w:sz="0" w:space="0" w:color="auto"/>
                        <w:left w:val="none" w:sz="0" w:space="0" w:color="auto"/>
                        <w:bottom w:val="none" w:sz="0" w:space="0" w:color="auto"/>
                        <w:right w:val="none" w:sz="0" w:space="0" w:color="auto"/>
                      </w:divBdr>
                    </w:div>
                  </w:divsChild>
                </w:div>
                <w:div w:id="1756785864">
                  <w:marLeft w:val="0"/>
                  <w:marRight w:val="0"/>
                  <w:marTop w:val="0"/>
                  <w:marBottom w:val="0"/>
                  <w:divBdr>
                    <w:top w:val="none" w:sz="0" w:space="0" w:color="auto"/>
                    <w:left w:val="none" w:sz="0" w:space="0" w:color="auto"/>
                    <w:bottom w:val="none" w:sz="0" w:space="0" w:color="auto"/>
                    <w:right w:val="none" w:sz="0" w:space="0" w:color="auto"/>
                  </w:divBdr>
                  <w:divsChild>
                    <w:div w:id="1330865919">
                      <w:marLeft w:val="0"/>
                      <w:marRight w:val="0"/>
                      <w:marTop w:val="0"/>
                      <w:marBottom w:val="0"/>
                      <w:divBdr>
                        <w:top w:val="none" w:sz="0" w:space="0" w:color="auto"/>
                        <w:left w:val="none" w:sz="0" w:space="0" w:color="auto"/>
                        <w:bottom w:val="none" w:sz="0" w:space="0" w:color="auto"/>
                        <w:right w:val="none" w:sz="0" w:space="0" w:color="auto"/>
                      </w:divBdr>
                    </w:div>
                  </w:divsChild>
                </w:div>
                <w:div w:id="1768649323">
                  <w:marLeft w:val="0"/>
                  <w:marRight w:val="0"/>
                  <w:marTop w:val="0"/>
                  <w:marBottom w:val="0"/>
                  <w:divBdr>
                    <w:top w:val="none" w:sz="0" w:space="0" w:color="auto"/>
                    <w:left w:val="none" w:sz="0" w:space="0" w:color="auto"/>
                    <w:bottom w:val="none" w:sz="0" w:space="0" w:color="auto"/>
                    <w:right w:val="none" w:sz="0" w:space="0" w:color="auto"/>
                  </w:divBdr>
                  <w:divsChild>
                    <w:div w:id="2067143661">
                      <w:marLeft w:val="0"/>
                      <w:marRight w:val="0"/>
                      <w:marTop w:val="0"/>
                      <w:marBottom w:val="0"/>
                      <w:divBdr>
                        <w:top w:val="none" w:sz="0" w:space="0" w:color="auto"/>
                        <w:left w:val="none" w:sz="0" w:space="0" w:color="auto"/>
                        <w:bottom w:val="none" w:sz="0" w:space="0" w:color="auto"/>
                        <w:right w:val="none" w:sz="0" w:space="0" w:color="auto"/>
                      </w:divBdr>
                    </w:div>
                  </w:divsChild>
                </w:div>
                <w:div w:id="1774980127">
                  <w:marLeft w:val="0"/>
                  <w:marRight w:val="0"/>
                  <w:marTop w:val="0"/>
                  <w:marBottom w:val="0"/>
                  <w:divBdr>
                    <w:top w:val="none" w:sz="0" w:space="0" w:color="auto"/>
                    <w:left w:val="none" w:sz="0" w:space="0" w:color="auto"/>
                    <w:bottom w:val="none" w:sz="0" w:space="0" w:color="auto"/>
                    <w:right w:val="none" w:sz="0" w:space="0" w:color="auto"/>
                  </w:divBdr>
                  <w:divsChild>
                    <w:div w:id="1569849847">
                      <w:marLeft w:val="0"/>
                      <w:marRight w:val="0"/>
                      <w:marTop w:val="0"/>
                      <w:marBottom w:val="0"/>
                      <w:divBdr>
                        <w:top w:val="none" w:sz="0" w:space="0" w:color="auto"/>
                        <w:left w:val="none" w:sz="0" w:space="0" w:color="auto"/>
                        <w:bottom w:val="none" w:sz="0" w:space="0" w:color="auto"/>
                        <w:right w:val="none" w:sz="0" w:space="0" w:color="auto"/>
                      </w:divBdr>
                    </w:div>
                  </w:divsChild>
                </w:div>
                <w:div w:id="1779370623">
                  <w:marLeft w:val="0"/>
                  <w:marRight w:val="0"/>
                  <w:marTop w:val="0"/>
                  <w:marBottom w:val="0"/>
                  <w:divBdr>
                    <w:top w:val="none" w:sz="0" w:space="0" w:color="auto"/>
                    <w:left w:val="none" w:sz="0" w:space="0" w:color="auto"/>
                    <w:bottom w:val="none" w:sz="0" w:space="0" w:color="auto"/>
                    <w:right w:val="none" w:sz="0" w:space="0" w:color="auto"/>
                  </w:divBdr>
                  <w:divsChild>
                    <w:div w:id="1201893697">
                      <w:marLeft w:val="0"/>
                      <w:marRight w:val="0"/>
                      <w:marTop w:val="0"/>
                      <w:marBottom w:val="0"/>
                      <w:divBdr>
                        <w:top w:val="none" w:sz="0" w:space="0" w:color="auto"/>
                        <w:left w:val="none" w:sz="0" w:space="0" w:color="auto"/>
                        <w:bottom w:val="none" w:sz="0" w:space="0" w:color="auto"/>
                        <w:right w:val="none" w:sz="0" w:space="0" w:color="auto"/>
                      </w:divBdr>
                    </w:div>
                  </w:divsChild>
                </w:div>
                <w:div w:id="1799492375">
                  <w:marLeft w:val="0"/>
                  <w:marRight w:val="0"/>
                  <w:marTop w:val="0"/>
                  <w:marBottom w:val="0"/>
                  <w:divBdr>
                    <w:top w:val="none" w:sz="0" w:space="0" w:color="auto"/>
                    <w:left w:val="none" w:sz="0" w:space="0" w:color="auto"/>
                    <w:bottom w:val="none" w:sz="0" w:space="0" w:color="auto"/>
                    <w:right w:val="none" w:sz="0" w:space="0" w:color="auto"/>
                  </w:divBdr>
                  <w:divsChild>
                    <w:div w:id="1316030694">
                      <w:marLeft w:val="0"/>
                      <w:marRight w:val="0"/>
                      <w:marTop w:val="0"/>
                      <w:marBottom w:val="0"/>
                      <w:divBdr>
                        <w:top w:val="none" w:sz="0" w:space="0" w:color="auto"/>
                        <w:left w:val="none" w:sz="0" w:space="0" w:color="auto"/>
                        <w:bottom w:val="none" w:sz="0" w:space="0" w:color="auto"/>
                        <w:right w:val="none" w:sz="0" w:space="0" w:color="auto"/>
                      </w:divBdr>
                    </w:div>
                  </w:divsChild>
                </w:div>
                <w:div w:id="1801221964">
                  <w:marLeft w:val="0"/>
                  <w:marRight w:val="0"/>
                  <w:marTop w:val="0"/>
                  <w:marBottom w:val="0"/>
                  <w:divBdr>
                    <w:top w:val="none" w:sz="0" w:space="0" w:color="auto"/>
                    <w:left w:val="none" w:sz="0" w:space="0" w:color="auto"/>
                    <w:bottom w:val="none" w:sz="0" w:space="0" w:color="auto"/>
                    <w:right w:val="none" w:sz="0" w:space="0" w:color="auto"/>
                  </w:divBdr>
                  <w:divsChild>
                    <w:div w:id="752118918">
                      <w:marLeft w:val="0"/>
                      <w:marRight w:val="0"/>
                      <w:marTop w:val="0"/>
                      <w:marBottom w:val="0"/>
                      <w:divBdr>
                        <w:top w:val="none" w:sz="0" w:space="0" w:color="auto"/>
                        <w:left w:val="none" w:sz="0" w:space="0" w:color="auto"/>
                        <w:bottom w:val="none" w:sz="0" w:space="0" w:color="auto"/>
                        <w:right w:val="none" w:sz="0" w:space="0" w:color="auto"/>
                      </w:divBdr>
                    </w:div>
                  </w:divsChild>
                </w:div>
                <w:div w:id="1825005259">
                  <w:marLeft w:val="0"/>
                  <w:marRight w:val="0"/>
                  <w:marTop w:val="0"/>
                  <w:marBottom w:val="0"/>
                  <w:divBdr>
                    <w:top w:val="none" w:sz="0" w:space="0" w:color="auto"/>
                    <w:left w:val="none" w:sz="0" w:space="0" w:color="auto"/>
                    <w:bottom w:val="none" w:sz="0" w:space="0" w:color="auto"/>
                    <w:right w:val="none" w:sz="0" w:space="0" w:color="auto"/>
                  </w:divBdr>
                  <w:divsChild>
                    <w:div w:id="1371110615">
                      <w:marLeft w:val="0"/>
                      <w:marRight w:val="0"/>
                      <w:marTop w:val="0"/>
                      <w:marBottom w:val="0"/>
                      <w:divBdr>
                        <w:top w:val="none" w:sz="0" w:space="0" w:color="auto"/>
                        <w:left w:val="none" w:sz="0" w:space="0" w:color="auto"/>
                        <w:bottom w:val="none" w:sz="0" w:space="0" w:color="auto"/>
                        <w:right w:val="none" w:sz="0" w:space="0" w:color="auto"/>
                      </w:divBdr>
                    </w:div>
                  </w:divsChild>
                </w:div>
                <w:div w:id="1827546873">
                  <w:marLeft w:val="0"/>
                  <w:marRight w:val="0"/>
                  <w:marTop w:val="0"/>
                  <w:marBottom w:val="0"/>
                  <w:divBdr>
                    <w:top w:val="none" w:sz="0" w:space="0" w:color="auto"/>
                    <w:left w:val="none" w:sz="0" w:space="0" w:color="auto"/>
                    <w:bottom w:val="none" w:sz="0" w:space="0" w:color="auto"/>
                    <w:right w:val="none" w:sz="0" w:space="0" w:color="auto"/>
                  </w:divBdr>
                  <w:divsChild>
                    <w:div w:id="1633363533">
                      <w:marLeft w:val="0"/>
                      <w:marRight w:val="0"/>
                      <w:marTop w:val="0"/>
                      <w:marBottom w:val="0"/>
                      <w:divBdr>
                        <w:top w:val="none" w:sz="0" w:space="0" w:color="auto"/>
                        <w:left w:val="none" w:sz="0" w:space="0" w:color="auto"/>
                        <w:bottom w:val="none" w:sz="0" w:space="0" w:color="auto"/>
                        <w:right w:val="none" w:sz="0" w:space="0" w:color="auto"/>
                      </w:divBdr>
                    </w:div>
                  </w:divsChild>
                </w:div>
                <w:div w:id="1831218324">
                  <w:marLeft w:val="0"/>
                  <w:marRight w:val="0"/>
                  <w:marTop w:val="0"/>
                  <w:marBottom w:val="0"/>
                  <w:divBdr>
                    <w:top w:val="none" w:sz="0" w:space="0" w:color="auto"/>
                    <w:left w:val="none" w:sz="0" w:space="0" w:color="auto"/>
                    <w:bottom w:val="none" w:sz="0" w:space="0" w:color="auto"/>
                    <w:right w:val="none" w:sz="0" w:space="0" w:color="auto"/>
                  </w:divBdr>
                  <w:divsChild>
                    <w:div w:id="1511525196">
                      <w:marLeft w:val="0"/>
                      <w:marRight w:val="0"/>
                      <w:marTop w:val="0"/>
                      <w:marBottom w:val="0"/>
                      <w:divBdr>
                        <w:top w:val="none" w:sz="0" w:space="0" w:color="auto"/>
                        <w:left w:val="none" w:sz="0" w:space="0" w:color="auto"/>
                        <w:bottom w:val="none" w:sz="0" w:space="0" w:color="auto"/>
                        <w:right w:val="none" w:sz="0" w:space="0" w:color="auto"/>
                      </w:divBdr>
                    </w:div>
                  </w:divsChild>
                </w:div>
                <w:div w:id="1833175943">
                  <w:marLeft w:val="0"/>
                  <w:marRight w:val="0"/>
                  <w:marTop w:val="0"/>
                  <w:marBottom w:val="0"/>
                  <w:divBdr>
                    <w:top w:val="none" w:sz="0" w:space="0" w:color="auto"/>
                    <w:left w:val="none" w:sz="0" w:space="0" w:color="auto"/>
                    <w:bottom w:val="none" w:sz="0" w:space="0" w:color="auto"/>
                    <w:right w:val="none" w:sz="0" w:space="0" w:color="auto"/>
                  </w:divBdr>
                  <w:divsChild>
                    <w:div w:id="1816992129">
                      <w:marLeft w:val="0"/>
                      <w:marRight w:val="0"/>
                      <w:marTop w:val="0"/>
                      <w:marBottom w:val="0"/>
                      <w:divBdr>
                        <w:top w:val="none" w:sz="0" w:space="0" w:color="auto"/>
                        <w:left w:val="none" w:sz="0" w:space="0" w:color="auto"/>
                        <w:bottom w:val="none" w:sz="0" w:space="0" w:color="auto"/>
                        <w:right w:val="none" w:sz="0" w:space="0" w:color="auto"/>
                      </w:divBdr>
                    </w:div>
                  </w:divsChild>
                </w:div>
                <w:div w:id="1839728137">
                  <w:marLeft w:val="0"/>
                  <w:marRight w:val="0"/>
                  <w:marTop w:val="0"/>
                  <w:marBottom w:val="0"/>
                  <w:divBdr>
                    <w:top w:val="none" w:sz="0" w:space="0" w:color="auto"/>
                    <w:left w:val="none" w:sz="0" w:space="0" w:color="auto"/>
                    <w:bottom w:val="none" w:sz="0" w:space="0" w:color="auto"/>
                    <w:right w:val="none" w:sz="0" w:space="0" w:color="auto"/>
                  </w:divBdr>
                  <w:divsChild>
                    <w:div w:id="1587569507">
                      <w:marLeft w:val="0"/>
                      <w:marRight w:val="0"/>
                      <w:marTop w:val="0"/>
                      <w:marBottom w:val="0"/>
                      <w:divBdr>
                        <w:top w:val="none" w:sz="0" w:space="0" w:color="auto"/>
                        <w:left w:val="none" w:sz="0" w:space="0" w:color="auto"/>
                        <w:bottom w:val="none" w:sz="0" w:space="0" w:color="auto"/>
                        <w:right w:val="none" w:sz="0" w:space="0" w:color="auto"/>
                      </w:divBdr>
                    </w:div>
                  </w:divsChild>
                </w:div>
                <w:div w:id="1841122506">
                  <w:marLeft w:val="0"/>
                  <w:marRight w:val="0"/>
                  <w:marTop w:val="0"/>
                  <w:marBottom w:val="0"/>
                  <w:divBdr>
                    <w:top w:val="none" w:sz="0" w:space="0" w:color="auto"/>
                    <w:left w:val="none" w:sz="0" w:space="0" w:color="auto"/>
                    <w:bottom w:val="none" w:sz="0" w:space="0" w:color="auto"/>
                    <w:right w:val="none" w:sz="0" w:space="0" w:color="auto"/>
                  </w:divBdr>
                  <w:divsChild>
                    <w:div w:id="431898394">
                      <w:marLeft w:val="0"/>
                      <w:marRight w:val="0"/>
                      <w:marTop w:val="0"/>
                      <w:marBottom w:val="0"/>
                      <w:divBdr>
                        <w:top w:val="none" w:sz="0" w:space="0" w:color="auto"/>
                        <w:left w:val="none" w:sz="0" w:space="0" w:color="auto"/>
                        <w:bottom w:val="none" w:sz="0" w:space="0" w:color="auto"/>
                        <w:right w:val="none" w:sz="0" w:space="0" w:color="auto"/>
                      </w:divBdr>
                    </w:div>
                  </w:divsChild>
                </w:div>
                <w:div w:id="1860850736">
                  <w:marLeft w:val="0"/>
                  <w:marRight w:val="0"/>
                  <w:marTop w:val="0"/>
                  <w:marBottom w:val="0"/>
                  <w:divBdr>
                    <w:top w:val="none" w:sz="0" w:space="0" w:color="auto"/>
                    <w:left w:val="none" w:sz="0" w:space="0" w:color="auto"/>
                    <w:bottom w:val="none" w:sz="0" w:space="0" w:color="auto"/>
                    <w:right w:val="none" w:sz="0" w:space="0" w:color="auto"/>
                  </w:divBdr>
                  <w:divsChild>
                    <w:div w:id="1719083503">
                      <w:marLeft w:val="0"/>
                      <w:marRight w:val="0"/>
                      <w:marTop w:val="0"/>
                      <w:marBottom w:val="0"/>
                      <w:divBdr>
                        <w:top w:val="none" w:sz="0" w:space="0" w:color="auto"/>
                        <w:left w:val="none" w:sz="0" w:space="0" w:color="auto"/>
                        <w:bottom w:val="none" w:sz="0" w:space="0" w:color="auto"/>
                        <w:right w:val="none" w:sz="0" w:space="0" w:color="auto"/>
                      </w:divBdr>
                    </w:div>
                  </w:divsChild>
                </w:div>
                <w:div w:id="1871993948">
                  <w:marLeft w:val="0"/>
                  <w:marRight w:val="0"/>
                  <w:marTop w:val="0"/>
                  <w:marBottom w:val="0"/>
                  <w:divBdr>
                    <w:top w:val="none" w:sz="0" w:space="0" w:color="auto"/>
                    <w:left w:val="none" w:sz="0" w:space="0" w:color="auto"/>
                    <w:bottom w:val="none" w:sz="0" w:space="0" w:color="auto"/>
                    <w:right w:val="none" w:sz="0" w:space="0" w:color="auto"/>
                  </w:divBdr>
                  <w:divsChild>
                    <w:div w:id="1969585384">
                      <w:marLeft w:val="0"/>
                      <w:marRight w:val="0"/>
                      <w:marTop w:val="0"/>
                      <w:marBottom w:val="0"/>
                      <w:divBdr>
                        <w:top w:val="none" w:sz="0" w:space="0" w:color="auto"/>
                        <w:left w:val="none" w:sz="0" w:space="0" w:color="auto"/>
                        <w:bottom w:val="none" w:sz="0" w:space="0" w:color="auto"/>
                        <w:right w:val="none" w:sz="0" w:space="0" w:color="auto"/>
                      </w:divBdr>
                    </w:div>
                  </w:divsChild>
                </w:div>
                <w:div w:id="1879968165">
                  <w:marLeft w:val="0"/>
                  <w:marRight w:val="0"/>
                  <w:marTop w:val="0"/>
                  <w:marBottom w:val="0"/>
                  <w:divBdr>
                    <w:top w:val="none" w:sz="0" w:space="0" w:color="auto"/>
                    <w:left w:val="none" w:sz="0" w:space="0" w:color="auto"/>
                    <w:bottom w:val="none" w:sz="0" w:space="0" w:color="auto"/>
                    <w:right w:val="none" w:sz="0" w:space="0" w:color="auto"/>
                  </w:divBdr>
                  <w:divsChild>
                    <w:div w:id="640886990">
                      <w:marLeft w:val="0"/>
                      <w:marRight w:val="0"/>
                      <w:marTop w:val="0"/>
                      <w:marBottom w:val="0"/>
                      <w:divBdr>
                        <w:top w:val="none" w:sz="0" w:space="0" w:color="auto"/>
                        <w:left w:val="none" w:sz="0" w:space="0" w:color="auto"/>
                        <w:bottom w:val="none" w:sz="0" w:space="0" w:color="auto"/>
                        <w:right w:val="none" w:sz="0" w:space="0" w:color="auto"/>
                      </w:divBdr>
                    </w:div>
                  </w:divsChild>
                </w:div>
                <w:div w:id="1898734357">
                  <w:marLeft w:val="0"/>
                  <w:marRight w:val="0"/>
                  <w:marTop w:val="0"/>
                  <w:marBottom w:val="0"/>
                  <w:divBdr>
                    <w:top w:val="none" w:sz="0" w:space="0" w:color="auto"/>
                    <w:left w:val="none" w:sz="0" w:space="0" w:color="auto"/>
                    <w:bottom w:val="none" w:sz="0" w:space="0" w:color="auto"/>
                    <w:right w:val="none" w:sz="0" w:space="0" w:color="auto"/>
                  </w:divBdr>
                  <w:divsChild>
                    <w:div w:id="597103854">
                      <w:marLeft w:val="0"/>
                      <w:marRight w:val="0"/>
                      <w:marTop w:val="0"/>
                      <w:marBottom w:val="0"/>
                      <w:divBdr>
                        <w:top w:val="none" w:sz="0" w:space="0" w:color="auto"/>
                        <w:left w:val="none" w:sz="0" w:space="0" w:color="auto"/>
                        <w:bottom w:val="none" w:sz="0" w:space="0" w:color="auto"/>
                        <w:right w:val="none" w:sz="0" w:space="0" w:color="auto"/>
                      </w:divBdr>
                    </w:div>
                  </w:divsChild>
                </w:div>
                <w:div w:id="1905144567">
                  <w:marLeft w:val="0"/>
                  <w:marRight w:val="0"/>
                  <w:marTop w:val="0"/>
                  <w:marBottom w:val="0"/>
                  <w:divBdr>
                    <w:top w:val="none" w:sz="0" w:space="0" w:color="auto"/>
                    <w:left w:val="none" w:sz="0" w:space="0" w:color="auto"/>
                    <w:bottom w:val="none" w:sz="0" w:space="0" w:color="auto"/>
                    <w:right w:val="none" w:sz="0" w:space="0" w:color="auto"/>
                  </w:divBdr>
                  <w:divsChild>
                    <w:div w:id="1214540940">
                      <w:marLeft w:val="0"/>
                      <w:marRight w:val="0"/>
                      <w:marTop w:val="0"/>
                      <w:marBottom w:val="0"/>
                      <w:divBdr>
                        <w:top w:val="none" w:sz="0" w:space="0" w:color="auto"/>
                        <w:left w:val="none" w:sz="0" w:space="0" w:color="auto"/>
                        <w:bottom w:val="none" w:sz="0" w:space="0" w:color="auto"/>
                        <w:right w:val="none" w:sz="0" w:space="0" w:color="auto"/>
                      </w:divBdr>
                    </w:div>
                  </w:divsChild>
                </w:div>
                <w:div w:id="1919704835">
                  <w:marLeft w:val="0"/>
                  <w:marRight w:val="0"/>
                  <w:marTop w:val="0"/>
                  <w:marBottom w:val="0"/>
                  <w:divBdr>
                    <w:top w:val="none" w:sz="0" w:space="0" w:color="auto"/>
                    <w:left w:val="none" w:sz="0" w:space="0" w:color="auto"/>
                    <w:bottom w:val="none" w:sz="0" w:space="0" w:color="auto"/>
                    <w:right w:val="none" w:sz="0" w:space="0" w:color="auto"/>
                  </w:divBdr>
                  <w:divsChild>
                    <w:div w:id="939801500">
                      <w:marLeft w:val="0"/>
                      <w:marRight w:val="0"/>
                      <w:marTop w:val="0"/>
                      <w:marBottom w:val="0"/>
                      <w:divBdr>
                        <w:top w:val="none" w:sz="0" w:space="0" w:color="auto"/>
                        <w:left w:val="none" w:sz="0" w:space="0" w:color="auto"/>
                        <w:bottom w:val="none" w:sz="0" w:space="0" w:color="auto"/>
                        <w:right w:val="none" w:sz="0" w:space="0" w:color="auto"/>
                      </w:divBdr>
                    </w:div>
                  </w:divsChild>
                </w:div>
                <w:div w:id="1931158249">
                  <w:marLeft w:val="0"/>
                  <w:marRight w:val="0"/>
                  <w:marTop w:val="0"/>
                  <w:marBottom w:val="0"/>
                  <w:divBdr>
                    <w:top w:val="none" w:sz="0" w:space="0" w:color="auto"/>
                    <w:left w:val="none" w:sz="0" w:space="0" w:color="auto"/>
                    <w:bottom w:val="none" w:sz="0" w:space="0" w:color="auto"/>
                    <w:right w:val="none" w:sz="0" w:space="0" w:color="auto"/>
                  </w:divBdr>
                  <w:divsChild>
                    <w:div w:id="809059953">
                      <w:marLeft w:val="0"/>
                      <w:marRight w:val="0"/>
                      <w:marTop w:val="0"/>
                      <w:marBottom w:val="0"/>
                      <w:divBdr>
                        <w:top w:val="none" w:sz="0" w:space="0" w:color="auto"/>
                        <w:left w:val="none" w:sz="0" w:space="0" w:color="auto"/>
                        <w:bottom w:val="none" w:sz="0" w:space="0" w:color="auto"/>
                        <w:right w:val="none" w:sz="0" w:space="0" w:color="auto"/>
                      </w:divBdr>
                    </w:div>
                  </w:divsChild>
                </w:div>
                <w:div w:id="1931884936">
                  <w:marLeft w:val="0"/>
                  <w:marRight w:val="0"/>
                  <w:marTop w:val="0"/>
                  <w:marBottom w:val="0"/>
                  <w:divBdr>
                    <w:top w:val="none" w:sz="0" w:space="0" w:color="auto"/>
                    <w:left w:val="none" w:sz="0" w:space="0" w:color="auto"/>
                    <w:bottom w:val="none" w:sz="0" w:space="0" w:color="auto"/>
                    <w:right w:val="none" w:sz="0" w:space="0" w:color="auto"/>
                  </w:divBdr>
                  <w:divsChild>
                    <w:div w:id="1094207983">
                      <w:marLeft w:val="0"/>
                      <w:marRight w:val="0"/>
                      <w:marTop w:val="0"/>
                      <w:marBottom w:val="0"/>
                      <w:divBdr>
                        <w:top w:val="none" w:sz="0" w:space="0" w:color="auto"/>
                        <w:left w:val="none" w:sz="0" w:space="0" w:color="auto"/>
                        <w:bottom w:val="none" w:sz="0" w:space="0" w:color="auto"/>
                        <w:right w:val="none" w:sz="0" w:space="0" w:color="auto"/>
                      </w:divBdr>
                    </w:div>
                  </w:divsChild>
                </w:div>
                <w:div w:id="1935478895">
                  <w:marLeft w:val="0"/>
                  <w:marRight w:val="0"/>
                  <w:marTop w:val="0"/>
                  <w:marBottom w:val="0"/>
                  <w:divBdr>
                    <w:top w:val="none" w:sz="0" w:space="0" w:color="auto"/>
                    <w:left w:val="none" w:sz="0" w:space="0" w:color="auto"/>
                    <w:bottom w:val="none" w:sz="0" w:space="0" w:color="auto"/>
                    <w:right w:val="none" w:sz="0" w:space="0" w:color="auto"/>
                  </w:divBdr>
                  <w:divsChild>
                    <w:div w:id="1008289813">
                      <w:marLeft w:val="0"/>
                      <w:marRight w:val="0"/>
                      <w:marTop w:val="0"/>
                      <w:marBottom w:val="0"/>
                      <w:divBdr>
                        <w:top w:val="none" w:sz="0" w:space="0" w:color="auto"/>
                        <w:left w:val="none" w:sz="0" w:space="0" w:color="auto"/>
                        <w:bottom w:val="none" w:sz="0" w:space="0" w:color="auto"/>
                        <w:right w:val="none" w:sz="0" w:space="0" w:color="auto"/>
                      </w:divBdr>
                    </w:div>
                  </w:divsChild>
                </w:div>
                <w:div w:id="1944217415">
                  <w:marLeft w:val="0"/>
                  <w:marRight w:val="0"/>
                  <w:marTop w:val="0"/>
                  <w:marBottom w:val="0"/>
                  <w:divBdr>
                    <w:top w:val="none" w:sz="0" w:space="0" w:color="auto"/>
                    <w:left w:val="none" w:sz="0" w:space="0" w:color="auto"/>
                    <w:bottom w:val="none" w:sz="0" w:space="0" w:color="auto"/>
                    <w:right w:val="none" w:sz="0" w:space="0" w:color="auto"/>
                  </w:divBdr>
                  <w:divsChild>
                    <w:div w:id="880090621">
                      <w:marLeft w:val="0"/>
                      <w:marRight w:val="0"/>
                      <w:marTop w:val="0"/>
                      <w:marBottom w:val="0"/>
                      <w:divBdr>
                        <w:top w:val="none" w:sz="0" w:space="0" w:color="auto"/>
                        <w:left w:val="none" w:sz="0" w:space="0" w:color="auto"/>
                        <w:bottom w:val="none" w:sz="0" w:space="0" w:color="auto"/>
                        <w:right w:val="none" w:sz="0" w:space="0" w:color="auto"/>
                      </w:divBdr>
                    </w:div>
                  </w:divsChild>
                </w:div>
                <w:div w:id="1974827150">
                  <w:marLeft w:val="0"/>
                  <w:marRight w:val="0"/>
                  <w:marTop w:val="0"/>
                  <w:marBottom w:val="0"/>
                  <w:divBdr>
                    <w:top w:val="none" w:sz="0" w:space="0" w:color="auto"/>
                    <w:left w:val="none" w:sz="0" w:space="0" w:color="auto"/>
                    <w:bottom w:val="none" w:sz="0" w:space="0" w:color="auto"/>
                    <w:right w:val="none" w:sz="0" w:space="0" w:color="auto"/>
                  </w:divBdr>
                  <w:divsChild>
                    <w:div w:id="1789543425">
                      <w:marLeft w:val="0"/>
                      <w:marRight w:val="0"/>
                      <w:marTop w:val="0"/>
                      <w:marBottom w:val="0"/>
                      <w:divBdr>
                        <w:top w:val="none" w:sz="0" w:space="0" w:color="auto"/>
                        <w:left w:val="none" w:sz="0" w:space="0" w:color="auto"/>
                        <w:bottom w:val="none" w:sz="0" w:space="0" w:color="auto"/>
                        <w:right w:val="none" w:sz="0" w:space="0" w:color="auto"/>
                      </w:divBdr>
                    </w:div>
                  </w:divsChild>
                </w:div>
                <w:div w:id="1975521348">
                  <w:marLeft w:val="0"/>
                  <w:marRight w:val="0"/>
                  <w:marTop w:val="0"/>
                  <w:marBottom w:val="0"/>
                  <w:divBdr>
                    <w:top w:val="none" w:sz="0" w:space="0" w:color="auto"/>
                    <w:left w:val="none" w:sz="0" w:space="0" w:color="auto"/>
                    <w:bottom w:val="none" w:sz="0" w:space="0" w:color="auto"/>
                    <w:right w:val="none" w:sz="0" w:space="0" w:color="auto"/>
                  </w:divBdr>
                  <w:divsChild>
                    <w:div w:id="1448312100">
                      <w:marLeft w:val="0"/>
                      <w:marRight w:val="0"/>
                      <w:marTop w:val="0"/>
                      <w:marBottom w:val="0"/>
                      <w:divBdr>
                        <w:top w:val="none" w:sz="0" w:space="0" w:color="auto"/>
                        <w:left w:val="none" w:sz="0" w:space="0" w:color="auto"/>
                        <w:bottom w:val="none" w:sz="0" w:space="0" w:color="auto"/>
                        <w:right w:val="none" w:sz="0" w:space="0" w:color="auto"/>
                      </w:divBdr>
                    </w:div>
                  </w:divsChild>
                </w:div>
                <w:div w:id="1977681628">
                  <w:marLeft w:val="0"/>
                  <w:marRight w:val="0"/>
                  <w:marTop w:val="0"/>
                  <w:marBottom w:val="0"/>
                  <w:divBdr>
                    <w:top w:val="none" w:sz="0" w:space="0" w:color="auto"/>
                    <w:left w:val="none" w:sz="0" w:space="0" w:color="auto"/>
                    <w:bottom w:val="none" w:sz="0" w:space="0" w:color="auto"/>
                    <w:right w:val="none" w:sz="0" w:space="0" w:color="auto"/>
                  </w:divBdr>
                  <w:divsChild>
                    <w:div w:id="1448549921">
                      <w:marLeft w:val="0"/>
                      <w:marRight w:val="0"/>
                      <w:marTop w:val="0"/>
                      <w:marBottom w:val="0"/>
                      <w:divBdr>
                        <w:top w:val="none" w:sz="0" w:space="0" w:color="auto"/>
                        <w:left w:val="none" w:sz="0" w:space="0" w:color="auto"/>
                        <w:bottom w:val="none" w:sz="0" w:space="0" w:color="auto"/>
                        <w:right w:val="none" w:sz="0" w:space="0" w:color="auto"/>
                      </w:divBdr>
                    </w:div>
                  </w:divsChild>
                </w:div>
                <w:div w:id="1988851792">
                  <w:marLeft w:val="0"/>
                  <w:marRight w:val="0"/>
                  <w:marTop w:val="0"/>
                  <w:marBottom w:val="0"/>
                  <w:divBdr>
                    <w:top w:val="none" w:sz="0" w:space="0" w:color="auto"/>
                    <w:left w:val="none" w:sz="0" w:space="0" w:color="auto"/>
                    <w:bottom w:val="none" w:sz="0" w:space="0" w:color="auto"/>
                    <w:right w:val="none" w:sz="0" w:space="0" w:color="auto"/>
                  </w:divBdr>
                  <w:divsChild>
                    <w:div w:id="1235627164">
                      <w:marLeft w:val="0"/>
                      <w:marRight w:val="0"/>
                      <w:marTop w:val="0"/>
                      <w:marBottom w:val="0"/>
                      <w:divBdr>
                        <w:top w:val="none" w:sz="0" w:space="0" w:color="auto"/>
                        <w:left w:val="none" w:sz="0" w:space="0" w:color="auto"/>
                        <w:bottom w:val="none" w:sz="0" w:space="0" w:color="auto"/>
                        <w:right w:val="none" w:sz="0" w:space="0" w:color="auto"/>
                      </w:divBdr>
                    </w:div>
                  </w:divsChild>
                </w:div>
                <w:div w:id="2001688613">
                  <w:marLeft w:val="0"/>
                  <w:marRight w:val="0"/>
                  <w:marTop w:val="0"/>
                  <w:marBottom w:val="0"/>
                  <w:divBdr>
                    <w:top w:val="none" w:sz="0" w:space="0" w:color="auto"/>
                    <w:left w:val="none" w:sz="0" w:space="0" w:color="auto"/>
                    <w:bottom w:val="none" w:sz="0" w:space="0" w:color="auto"/>
                    <w:right w:val="none" w:sz="0" w:space="0" w:color="auto"/>
                  </w:divBdr>
                  <w:divsChild>
                    <w:div w:id="1019431664">
                      <w:marLeft w:val="0"/>
                      <w:marRight w:val="0"/>
                      <w:marTop w:val="0"/>
                      <w:marBottom w:val="0"/>
                      <w:divBdr>
                        <w:top w:val="none" w:sz="0" w:space="0" w:color="auto"/>
                        <w:left w:val="none" w:sz="0" w:space="0" w:color="auto"/>
                        <w:bottom w:val="none" w:sz="0" w:space="0" w:color="auto"/>
                        <w:right w:val="none" w:sz="0" w:space="0" w:color="auto"/>
                      </w:divBdr>
                    </w:div>
                  </w:divsChild>
                </w:div>
                <w:div w:id="2005862012">
                  <w:marLeft w:val="0"/>
                  <w:marRight w:val="0"/>
                  <w:marTop w:val="0"/>
                  <w:marBottom w:val="0"/>
                  <w:divBdr>
                    <w:top w:val="none" w:sz="0" w:space="0" w:color="auto"/>
                    <w:left w:val="none" w:sz="0" w:space="0" w:color="auto"/>
                    <w:bottom w:val="none" w:sz="0" w:space="0" w:color="auto"/>
                    <w:right w:val="none" w:sz="0" w:space="0" w:color="auto"/>
                  </w:divBdr>
                  <w:divsChild>
                    <w:div w:id="1538735488">
                      <w:marLeft w:val="0"/>
                      <w:marRight w:val="0"/>
                      <w:marTop w:val="0"/>
                      <w:marBottom w:val="0"/>
                      <w:divBdr>
                        <w:top w:val="none" w:sz="0" w:space="0" w:color="auto"/>
                        <w:left w:val="none" w:sz="0" w:space="0" w:color="auto"/>
                        <w:bottom w:val="none" w:sz="0" w:space="0" w:color="auto"/>
                        <w:right w:val="none" w:sz="0" w:space="0" w:color="auto"/>
                      </w:divBdr>
                    </w:div>
                  </w:divsChild>
                </w:div>
                <w:div w:id="2032218861">
                  <w:marLeft w:val="0"/>
                  <w:marRight w:val="0"/>
                  <w:marTop w:val="0"/>
                  <w:marBottom w:val="0"/>
                  <w:divBdr>
                    <w:top w:val="none" w:sz="0" w:space="0" w:color="auto"/>
                    <w:left w:val="none" w:sz="0" w:space="0" w:color="auto"/>
                    <w:bottom w:val="none" w:sz="0" w:space="0" w:color="auto"/>
                    <w:right w:val="none" w:sz="0" w:space="0" w:color="auto"/>
                  </w:divBdr>
                  <w:divsChild>
                    <w:div w:id="950816723">
                      <w:marLeft w:val="0"/>
                      <w:marRight w:val="0"/>
                      <w:marTop w:val="0"/>
                      <w:marBottom w:val="0"/>
                      <w:divBdr>
                        <w:top w:val="none" w:sz="0" w:space="0" w:color="auto"/>
                        <w:left w:val="none" w:sz="0" w:space="0" w:color="auto"/>
                        <w:bottom w:val="none" w:sz="0" w:space="0" w:color="auto"/>
                        <w:right w:val="none" w:sz="0" w:space="0" w:color="auto"/>
                      </w:divBdr>
                    </w:div>
                  </w:divsChild>
                </w:div>
                <w:div w:id="2032955829">
                  <w:marLeft w:val="0"/>
                  <w:marRight w:val="0"/>
                  <w:marTop w:val="0"/>
                  <w:marBottom w:val="0"/>
                  <w:divBdr>
                    <w:top w:val="none" w:sz="0" w:space="0" w:color="auto"/>
                    <w:left w:val="none" w:sz="0" w:space="0" w:color="auto"/>
                    <w:bottom w:val="none" w:sz="0" w:space="0" w:color="auto"/>
                    <w:right w:val="none" w:sz="0" w:space="0" w:color="auto"/>
                  </w:divBdr>
                  <w:divsChild>
                    <w:div w:id="85467652">
                      <w:marLeft w:val="0"/>
                      <w:marRight w:val="0"/>
                      <w:marTop w:val="0"/>
                      <w:marBottom w:val="0"/>
                      <w:divBdr>
                        <w:top w:val="none" w:sz="0" w:space="0" w:color="auto"/>
                        <w:left w:val="none" w:sz="0" w:space="0" w:color="auto"/>
                        <w:bottom w:val="none" w:sz="0" w:space="0" w:color="auto"/>
                        <w:right w:val="none" w:sz="0" w:space="0" w:color="auto"/>
                      </w:divBdr>
                    </w:div>
                  </w:divsChild>
                </w:div>
                <w:div w:id="2055738644">
                  <w:marLeft w:val="0"/>
                  <w:marRight w:val="0"/>
                  <w:marTop w:val="0"/>
                  <w:marBottom w:val="0"/>
                  <w:divBdr>
                    <w:top w:val="none" w:sz="0" w:space="0" w:color="auto"/>
                    <w:left w:val="none" w:sz="0" w:space="0" w:color="auto"/>
                    <w:bottom w:val="none" w:sz="0" w:space="0" w:color="auto"/>
                    <w:right w:val="none" w:sz="0" w:space="0" w:color="auto"/>
                  </w:divBdr>
                  <w:divsChild>
                    <w:div w:id="194928229">
                      <w:marLeft w:val="0"/>
                      <w:marRight w:val="0"/>
                      <w:marTop w:val="0"/>
                      <w:marBottom w:val="0"/>
                      <w:divBdr>
                        <w:top w:val="none" w:sz="0" w:space="0" w:color="auto"/>
                        <w:left w:val="none" w:sz="0" w:space="0" w:color="auto"/>
                        <w:bottom w:val="none" w:sz="0" w:space="0" w:color="auto"/>
                        <w:right w:val="none" w:sz="0" w:space="0" w:color="auto"/>
                      </w:divBdr>
                    </w:div>
                  </w:divsChild>
                </w:div>
                <w:div w:id="2091656579">
                  <w:marLeft w:val="0"/>
                  <w:marRight w:val="0"/>
                  <w:marTop w:val="0"/>
                  <w:marBottom w:val="0"/>
                  <w:divBdr>
                    <w:top w:val="none" w:sz="0" w:space="0" w:color="auto"/>
                    <w:left w:val="none" w:sz="0" w:space="0" w:color="auto"/>
                    <w:bottom w:val="none" w:sz="0" w:space="0" w:color="auto"/>
                    <w:right w:val="none" w:sz="0" w:space="0" w:color="auto"/>
                  </w:divBdr>
                  <w:divsChild>
                    <w:div w:id="1333877589">
                      <w:marLeft w:val="0"/>
                      <w:marRight w:val="0"/>
                      <w:marTop w:val="0"/>
                      <w:marBottom w:val="0"/>
                      <w:divBdr>
                        <w:top w:val="none" w:sz="0" w:space="0" w:color="auto"/>
                        <w:left w:val="none" w:sz="0" w:space="0" w:color="auto"/>
                        <w:bottom w:val="none" w:sz="0" w:space="0" w:color="auto"/>
                        <w:right w:val="none" w:sz="0" w:space="0" w:color="auto"/>
                      </w:divBdr>
                    </w:div>
                  </w:divsChild>
                </w:div>
                <w:div w:id="2095977009">
                  <w:marLeft w:val="0"/>
                  <w:marRight w:val="0"/>
                  <w:marTop w:val="0"/>
                  <w:marBottom w:val="0"/>
                  <w:divBdr>
                    <w:top w:val="none" w:sz="0" w:space="0" w:color="auto"/>
                    <w:left w:val="none" w:sz="0" w:space="0" w:color="auto"/>
                    <w:bottom w:val="none" w:sz="0" w:space="0" w:color="auto"/>
                    <w:right w:val="none" w:sz="0" w:space="0" w:color="auto"/>
                  </w:divBdr>
                  <w:divsChild>
                    <w:div w:id="1178080567">
                      <w:marLeft w:val="0"/>
                      <w:marRight w:val="0"/>
                      <w:marTop w:val="0"/>
                      <w:marBottom w:val="0"/>
                      <w:divBdr>
                        <w:top w:val="none" w:sz="0" w:space="0" w:color="auto"/>
                        <w:left w:val="none" w:sz="0" w:space="0" w:color="auto"/>
                        <w:bottom w:val="none" w:sz="0" w:space="0" w:color="auto"/>
                        <w:right w:val="none" w:sz="0" w:space="0" w:color="auto"/>
                      </w:divBdr>
                    </w:div>
                  </w:divsChild>
                </w:div>
                <w:div w:id="2099787102">
                  <w:marLeft w:val="0"/>
                  <w:marRight w:val="0"/>
                  <w:marTop w:val="0"/>
                  <w:marBottom w:val="0"/>
                  <w:divBdr>
                    <w:top w:val="none" w:sz="0" w:space="0" w:color="auto"/>
                    <w:left w:val="none" w:sz="0" w:space="0" w:color="auto"/>
                    <w:bottom w:val="none" w:sz="0" w:space="0" w:color="auto"/>
                    <w:right w:val="none" w:sz="0" w:space="0" w:color="auto"/>
                  </w:divBdr>
                  <w:divsChild>
                    <w:div w:id="43062016">
                      <w:marLeft w:val="0"/>
                      <w:marRight w:val="0"/>
                      <w:marTop w:val="0"/>
                      <w:marBottom w:val="0"/>
                      <w:divBdr>
                        <w:top w:val="none" w:sz="0" w:space="0" w:color="auto"/>
                        <w:left w:val="none" w:sz="0" w:space="0" w:color="auto"/>
                        <w:bottom w:val="none" w:sz="0" w:space="0" w:color="auto"/>
                        <w:right w:val="none" w:sz="0" w:space="0" w:color="auto"/>
                      </w:divBdr>
                    </w:div>
                  </w:divsChild>
                </w:div>
                <w:div w:id="2105300392">
                  <w:marLeft w:val="0"/>
                  <w:marRight w:val="0"/>
                  <w:marTop w:val="0"/>
                  <w:marBottom w:val="0"/>
                  <w:divBdr>
                    <w:top w:val="none" w:sz="0" w:space="0" w:color="auto"/>
                    <w:left w:val="none" w:sz="0" w:space="0" w:color="auto"/>
                    <w:bottom w:val="none" w:sz="0" w:space="0" w:color="auto"/>
                    <w:right w:val="none" w:sz="0" w:space="0" w:color="auto"/>
                  </w:divBdr>
                  <w:divsChild>
                    <w:div w:id="579369789">
                      <w:marLeft w:val="0"/>
                      <w:marRight w:val="0"/>
                      <w:marTop w:val="0"/>
                      <w:marBottom w:val="0"/>
                      <w:divBdr>
                        <w:top w:val="none" w:sz="0" w:space="0" w:color="auto"/>
                        <w:left w:val="none" w:sz="0" w:space="0" w:color="auto"/>
                        <w:bottom w:val="none" w:sz="0" w:space="0" w:color="auto"/>
                        <w:right w:val="none" w:sz="0" w:space="0" w:color="auto"/>
                      </w:divBdr>
                    </w:div>
                  </w:divsChild>
                </w:div>
                <w:div w:id="2118215891">
                  <w:marLeft w:val="0"/>
                  <w:marRight w:val="0"/>
                  <w:marTop w:val="0"/>
                  <w:marBottom w:val="0"/>
                  <w:divBdr>
                    <w:top w:val="none" w:sz="0" w:space="0" w:color="auto"/>
                    <w:left w:val="none" w:sz="0" w:space="0" w:color="auto"/>
                    <w:bottom w:val="none" w:sz="0" w:space="0" w:color="auto"/>
                    <w:right w:val="none" w:sz="0" w:space="0" w:color="auto"/>
                  </w:divBdr>
                  <w:divsChild>
                    <w:div w:id="690571382">
                      <w:marLeft w:val="0"/>
                      <w:marRight w:val="0"/>
                      <w:marTop w:val="0"/>
                      <w:marBottom w:val="0"/>
                      <w:divBdr>
                        <w:top w:val="none" w:sz="0" w:space="0" w:color="auto"/>
                        <w:left w:val="none" w:sz="0" w:space="0" w:color="auto"/>
                        <w:bottom w:val="none" w:sz="0" w:space="0" w:color="auto"/>
                        <w:right w:val="none" w:sz="0" w:space="0" w:color="auto"/>
                      </w:divBdr>
                    </w:div>
                  </w:divsChild>
                </w:div>
                <w:div w:id="2128573375">
                  <w:marLeft w:val="0"/>
                  <w:marRight w:val="0"/>
                  <w:marTop w:val="0"/>
                  <w:marBottom w:val="0"/>
                  <w:divBdr>
                    <w:top w:val="none" w:sz="0" w:space="0" w:color="auto"/>
                    <w:left w:val="none" w:sz="0" w:space="0" w:color="auto"/>
                    <w:bottom w:val="none" w:sz="0" w:space="0" w:color="auto"/>
                    <w:right w:val="none" w:sz="0" w:space="0" w:color="auto"/>
                  </w:divBdr>
                  <w:divsChild>
                    <w:div w:id="416290624">
                      <w:marLeft w:val="0"/>
                      <w:marRight w:val="0"/>
                      <w:marTop w:val="0"/>
                      <w:marBottom w:val="0"/>
                      <w:divBdr>
                        <w:top w:val="none" w:sz="0" w:space="0" w:color="auto"/>
                        <w:left w:val="none" w:sz="0" w:space="0" w:color="auto"/>
                        <w:bottom w:val="none" w:sz="0" w:space="0" w:color="auto"/>
                        <w:right w:val="none" w:sz="0" w:space="0" w:color="auto"/>
                      </w:divBdr>
                    </w:div>
                  </w:divsChild>
                </w:div>
                <w:div w:id="2131052838">
                  <w:marLeft w:val="0"/>
                  <w:marRight w:val="0"/>
                  <w:marTop w:val="0"/>
                  <w:marBottom w:val="0"/>
                  <w:divBdr>
                    <w:top w:val="none" w:sz="0" w:space="0" w:color="auto"/>
                    <w:left w:val="none" w:sz="0" w:space="0" w:color="auto"/>
                    <w:bottom w:val="none" w:sz="0" w:space="0" w:color="auto"/>
                    <w:right w:val="none" w:sz="0" w:space="0" w:color="auto"/>
                  </w:divBdr>
                  <w:divsChild>
                    <w:div w:id="203240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37352">
          <w:marLeft w:val="0"/>
          <w:marRight w:val="0"/>
          <w:marTop w:val="0"/>
          <w:marBottom w:val="0"/>
          <w:divBdr>
            <w:top w:val="none" w:sz="0" w:space="0" w:color="auto"/>
            <w:left w:val="none" w:sz="0" w:space="0" w:color="auto"/>
            <w:bottom w:val="none" w:sz="0" w:space="0" w:color="auto"/>
            <w:right w:val="none" w:sz="0" w:space="0" w:color="auto"/>
          </w:divBdr>
        </w:div>
        <w:div w:id="1277055258">
          <w:marLeft w:val="0"/>
          <w:marRight w:val="0"/>
          <w:marTop w:val="0"/>
          <w:marBottom w:val="0"/>
          <w:divBdr>
            <w:top w:val="none" w:sz="0" w:space="0" w:color="auto"/>
            <w:left w:val="none" w:sz="0" w:space="0" w:color="auto"/>
            <w:bottom w:val="none" w:sz="0" w:space="0" w:color="auto"/>
            <w:right w:val="none" w:sz="0" w:space="0" w:color="auto"/>
          </w:divBdr>
        </w:div>
      </w:divsChild>
    </w:div>
    <w:div w:id="1724328371">
      <w:bodyDiv w:val="1"/>
      <w:marLeft w:val="0"/>
      <w:marRight w:val="0"/>
      <w:marTop w:val="0"/>
      <w:marBottom w:val="0"/>
      <w:divBdr>
        <w:top w:val="none" w:sz="0" w:space="0" w:color="auto"/>
        <w:left w:val="none" w:sz="0" w:space="0" w:color="auto"/>
        <w:bottom w:val="none" w:sz="0" w:space="0" w:color="auto"/>
        <w:right w:val="none" w:sz="0" w:space="0" w:color="auto"/>
      </w:divBdr>
    </w:div>
    <w:div w:id="1730106582">
      <w:bodyDiv w:val="1"/>
      <w:marLeft w:val="0"/>
      <w:marRight w:val="0"/>
      <w:marTop w:val="0"/>
      <w:marBottom w:val="0"/>
      <w:divBdr>
        <w:top w:val="none" w:sz="0" w:space="0" w:color="auto"/>
        <w:left w:val="none" w:sz="0" w:space="0" w:color="auto"/>
        <w:bottom w:val="none" w:sz="0" w:space="0" w:color="auto"/>
        <w:right w:val="none" w:sz="0" w:space="0" w:color="auto"/>
      </w:divBdr>
    </w:div>
    <w:div w:id="1735738969">
      <w:bodyDiv w:val="1"/>
      <w:marLeft w:val="0"/>
      <w:marRight w:val="0"/>
      <w:marTop w:val="0"/>
      <w:marBottom w:val="0"/>
      <w:divBdr>
        <w:top w:val="none" w:sz="0" w:space="0" w:color="auto"/>
        <w:left w:val="none" w:sz="0" w:space="0" w:color="auto"/>
        <w:bottom w:val="none" w:sz="0" w:space="0" w:color="auto"/>
        <w:right w:val="none" w:sz="0" w:space="0" w:color="auto"/>
      </w:divBdr>
    </w:div>
    <w:div w:id="1783575861">
      <w:bodyDiv w:val="1"/>
      <w:marLeft w:val="0"/>
      <w:marRight w:val="0"/>
      <w:marTop w:val="0"/>
      <w:marBottom w:val="0"/>
      <w:divBdr>
        <w:top w:val="none" w:sz="0" w:space="0" w:color="auto"/>
        <w:left w:val="none" w:sz="0" w:space="0" w:color="auto"/>
        <w:bottom w:val="none" w:sz="0" w:space="0" w:color="auto"/>
        <w:right w:val="none" w:sz="0" w:space="0" w:color="auto"/>
      </w:divBdr>
      <w:divsChild>
        <w:div w:id="99111591">
          <w:marLeft w:val="0"/>
          <w:marRight w:val="0"/>
          <w:marTop w:val="0"/>
          <w:marBottom w:val="0"/>
          <w:divBdr>
            <w:top w:val="none" w:sz="0" w:space="0" w:color="auto"/>
            <w:left w:val="none" w:sz="0" w:space="0" w:color="auto"/>
            <w:bottom w:val="none" w:sz="0" w:space="0" w:color="auto"/>
            <w:right w:val="none" w:sz="0" w:space="0" w:color="auto"/>
          </w:divBdr>
        </w:div>
        <w:div w:id="512770297">
          <w:marLeft w:val="0"/>
          <w:marRight w:val="0"/>
          <w:marTop w:val="0"/>
          <w:marBottom w:val="0"/>
          <w:divBdr>
            <w:top w:val="none" w:sz="0" w:space="0" w:color="auto"/>
            <w:left w:val="none" w:sz="0" w:space="0" w:color="auto"/>
            <w:bottom w:val="none" w:sz="0" w:space="0" w:color="auto"/>
            <w:right w:val="none" w:sz="0" w:space="0" w:color="auto"/>
          </w:divBdr>
        </w:div>
        <w:div w:id="866912635">
          <w:marLeft w:val="0"/>
          <w:marRight w:val="0"/>
          <w:marTop w:val="0"/>
          <w:marBottom w:val="0"/>
          <w:divBdr>
            <w:top w:val="none" w:sz="0" w:space="0" w:color="auto"/>
            <w:left w:val="none" w:sz="0" w:space="0" w:color="auto"/>
            <w:bottom w:val="none" w:sz="0" w:space="0" w:color="auto"/>
            <w:right w:val="none" w:sz="0" w:space="0" w:color="auto"/>
          </w:divBdr>
        </w:div>
        <w:div w:id="966281167">
          <w:marLeft w:val="0"/>
          <w:marRight w:val="0"/>
          <w:marTop w:val="0"/>
          <w:marBottom w:val="0"/>
          <w:divBdr>
            <w:top w:val="none" w:sz="0" w:space="0" w:color="auto"/>
            <w:left w:val="none" w:sz="0" w:space="0" w:color="auto"/>
            <w:bottom w:val="none" w:sz="0" w:space="0" w:color="auto"/>
            <w:right w:val="none" w:sz="0" w:space="0" w:color="auto"/>
          </w:divBdr>
        </w:div>
        <w:div w:id="1031609101">
          <w:marLeft w:val="0"/>
          <w:marRight w:val="0"/>
          <w:marTop w:val="0"/>
          <w:marBottom w:val="0"/>
          <w:divBdr>
            <w:top w:val="none" w:sz="0" w:space="0" w:color="auto"/>
            <w:left w:val="none" w:sz="0" w:space="0" w:color="auto"/>
            <w:bottom w:val="none" w:sz="0" w:space="0" w:color="auto"/>
            <w:right w:val="none" w:sz="0" w:space="0" w:color="auto"/>
          </w:divBdr>
        </w:div>
        <w:div w:id="1647120819">
          <w:marLeft w:val="0"/>
          <w:marRight w:val="0"/>
          <w:marTop w:val="0"/>
          <w:marBottom w:val="0"/>
          <w:divBdr>
            <w:top w:val="none" w:sz="0" w:space="0" w:color="auto"/>
            <w:left w:val="none" w:sz="0" w:space="0" w:color="auto"/>
            <w:bottom w:val="none" w:sz="0" w:space="0" w:color="auto"/>
            <w:right w:val="none" w:sz="0" w:space="0" w:color="auto"/>
          </w:divBdr>
        </w:div>
        <w:div w:id="2011372494">
          <w:marLeft w:val="0"/>
          <w:marRight w:val="0"/>
          <w:marTop w:val="0"/>
          <w:marBottom w:val="0"/>
          <w:divBdr>
            <w:top w:val="none" w:sz="0" w:space="0" w:color="auto"/>
            <w:left w:val="none" w:sz="0" w:space="0" w:color="auto"/>
            <w:bottom w:val="none" w:sz="0" w:space="0" w:color="auto"/>
            <w:right w:val="none" w:sz="0" w:space="0" w:color="auto"/>
          </w:divBdr>
        </w:div>
        <w:div w:id="2089374947">
          <w:marLeft w:val="0"/>
          <w:marRight w:val="0"/>
          <w:marTop w:val="0"/>
          <w:marBottom w:val="0"/>
          <w:divBdr>
            <w:top w:val="none" w:sz="0" w:space="0" w:color="auto"/>
            <w:left w:val="none" w:sz="0" w:space="0" w:color="auto"/>
            <w:bottom w:val="none" w:sz="0" w:space="0" w:color="auto"/>
            <w:right w:val="none" w:sz="0" w:space="0" w:color="auto"/>
          </w:divBdr>
        </w:div>
      </w:divsChild>
    </w:div>
    <w:div w:id="1931087161">
      <w:bodyDiv w:val="1"/>
      <w:marLeft w:val="0"/>
      <w:marRight w:val="0"/>
      <w:marTop w:val="0"/>
      <w:marBottom w:val="0"/>
      <w:divBdr>
        <w:top w:val="none" w:sz="0" w:space="0" w:color="auto"/>
        <w:left w:val="none" w:sz="0" w:space="0" w:color="auto"/>
        <w:bottom w:val="none" w:sz="0" w:space="0" w:color="auto"/>
        <w:right w:val="none" w:sz="0" w:space="0" w:color="auto"/>
      </w:divBdr>
    </w:div>
    <w:div w:id="2128740849">
      <w:bodyDiv w:val="1"/>
      <w:marLeft w:val="0"/>
      <w:marRight w:val="0"/>
      <w:marTop w:val="0"/>
      <w:marBottom w:val="0"/>
      <w:divBdr>
        <w:top w:val="none" w:sz="0" w:space="0" w:color="auto"/>
        <w:left w:val="none" w:sz="0" w:space="0" w:color="auto"/>
        <w:bottom w:val="none" w:sz="0" w:space="0" w:color="auto"/>
        <w:right w:val="none" w:sz="0" w:space="0" w:color="auto"/>
      </w:divBdr>
      <w:divsChild>
        <w:div w:id="600603620">
          <w:marLeft w:val="0"/>
          <w:marRight w:val="0"/>
          <w:marTop w:val="0"/>
          <w:marBottom w:val="0"/>
          <w:divBdr>
            <w:top w:val="none" w:sz="0" w:space="0" w:color="auto"/>
            <w:left w:val="none" w:sz="0" w:space="0" w:color="auto"/>
            <w:bottom w:val="none" w:sz="0" w:space="0" w:color="auto"/>
            <w:right w:val="none" w:sz="0" w:space="0" w:color="auto"/>
          </w:divBdr>
          <w:divsChild>
            <w:div w:id="35858935">
              <w:marLeft w:val="0"/>
              <w:marRight w:val="0"/>
              <w:marTop w:val="0"/>
              <w:marBottom w:val="0"/>
              <w:divBdr>
                <w:top w:val="none" w:sz="0" w:space="0" w:color="auto"/>
                <w:left w:val="none" w:sz="0" w:space="0" w:color="auto"/>
                <w:bottom w:val="none" w:sz="0" w:space="0" w:color="auto"/>
                <w:right w:val="none" w:sz="0" w:space="0" w:color="auto"/>
              </w:divBdr>
            </w:div>
            <w:div w:id="108207862">
              <w:marLeft w:val="0"/>
              <w:marRight w:val="0"/>
              <w:marTop w:val="0"/>
              <w:marBottom w:val="0"/>
              <w:divBdr>
                <w:top w:val="none" w:sz="0" w:space="0" w:color="auto"/>
                <w:left w:val="none" w:sz="0" w:space="0" w:color="auto"/>
                <w:bottom w:val="none" w:sz="0" w:space="0" w:color="auto"/>
                <w:right w:val="none" w:sz="0" w:space="0" w:color="auto"/>
              </w:divBdr>
            </w:div>
            <w:div w:id="145439990">
              <w:marLeft w:val="0"/>
              <w:marRight w:val="0"/>
              <w:marTop w:val="0"/>
              <w:marBottom w:val="0"/>
              <w:divBdr>
                <w:top w:val="none" w:sz="0" w:space="0" w:color="auto"/>
                <w:left w:val="none" w:sz="0" w:space="0" w:color="auto"/>
                <w:bottom w:val="none" w:sz="0" w:space="0" w:color="auto"/>
                <w:right w:val="none" w:sz="0" w:space="0" w:color="auto"/>
              </w:divBdr>
            </w:div>
            <w:div w:id="296111683">
              <w:marLeft w:val="0"/>
              <w:marRight w:val="0"/>
              <w:marTop w:val="0"/>
              <w:marBottom w:val="0"/>
              <w:divBdr>
                <w:top w:val="none" w:sz="0" w:space="0" w:color="auto"/>
                <w:left w:val="none" w:sz="0" w:space="0" w:color="auto"/>
                <w:bottom w:val="none" w:sz="0" w:space="0" w:color="auto"/>
                <w:right w:val="none" w:sz="0" w:space="0" w:color="auto"/>
              </w:divBdr>
            </w:div>
            <w:div w:id="473838609">
              <w:marLeft w:val="0"/>
              <w:marRight w:val="0"/>
              <w:marTop w:val="0"/>
              <w:marBottom w:val="0"/>
              <w:divBdr>
                <w:top w:val="none" w:sz="0" w:space="0" w:color="auto"/>
                <w:left w:val="none" w:sz="0" w:space="0" w:color="auto"/>
                <w:bottom w:val="none" w:sz="0" w:space="0" w:color="auto"/>
                <w:right w:val="none" w:sz="0" w:space="0" w:color="auto"/>
              </w:divBdr>
            </w:div>
            <w:div w:id="479466992">
              <w:marLeft w:val="0"/>
              <w:marRight w:val="0"/>
              <w:marTop w:val="0"/>
              <w:marBottom w:val="0"/>
              <w:divBdr>
                <w:top w:val="none" w:sz="0" w:space="0" w:color="auto"/>
                <w:left w:val="none" w:sz="0" w:space="0" w:color="auto"/>
                <w:bottom w:val="none" w:sz="0" w:space="0" w:color="auto"/>
                <w:right w:val="none" w:sz="0" w:space="0" w:color="auto"/>
              </w:divBdr>
            </w:div>
            <w:div w:id="602225345">
              <w:marLeft w:val="0"/>
              <w:marRight w:val="0"/>
              <w:marTop w:val="0"/>
              <w:marBottom w:val="0"/>
              <w:divBdr>
                <w:top w:val="none" w:sz="0" w:space="0" w:color="auto"/>
                <w:left w:val="none" w:sz="0" w:space="0" w:color="auto"/>
                <w:bottom w:val="none" w:sz="0" w:space="0" w:color="auto"/>
                <w:right w:val="none" w:sz="0" w:space="0" w:color="auto"/>
              </w:divBdr>
            </w:div>
            <w:div w:id="683477464">
              <w:marLeft w:val="0"/>
              <w:marRight w:val="0"/>
              <w:marTop w:val="0"/>
              <w:marBottom w:val="0"/>
              <w:divBdr>
                <w:top w:val="none" w:sz="0" w:space="0" w:color="auto"/>
                <w:left w:val="none" w:sz="0" w:space="0" w:color="auto"/>
                <w:bottom w:val="none" w:sz="0" w:space="0" w:color="auto"/>
                <w:right w:val="none" w:sz="0" w:space="0" w:color="auto"/>
              </w:divBdr>
            </w:div>
            <w:div w:id="722558736">
              <w:marLeft w:val="0"/>
              <w:marRight w:val="0"/>
              <w:marTop w:val="0"/>
              <w:marBottom w:val="0"/>
              <w:divBdr>
                <w:top w:val="none" w:sz="0" w:space="0" w:color="auto"/>
                <w:left w:val="none" w:sz="0" w:space="0" w:color="auto"/>
                <w:bottom w:val="none" w:sz="0" w:space="0" w:color="auto"/>
                <w:right w:val="none" w:sz="0" w:space="0" w:color="auto"/>
              </w:divBdr>
            </w:div>
            <w:div w:id="761997565">
              <w:marLeft w:val="0"/>
              <w:marRight w:val="0"/>
              <w:marTop w:val="0"/>
              <w:marBottom w:val="0"/>
              <w:divBdr>
                <w:top w:val="none" w:sz="0" w:space="0" w:color="auto"/>
                <w:left w:val="none" w:sz="0" w:space="0" w:color="auto"/>
                <w:bottom w:val="none" w:sz="0" w:space="0" w:color="auto"/>
                <w:right w:val="none" w:sz="0" w:space="0" w:color="auto"/>
              </w:divBdr>
            </w:div>
            <w:div w:id="1033388227">
              <w:marLeft w:val="0"/>
              <w:marRight w:val="0"/>
              <w:marTop w:val="0"/>
              <w:marBottom w:val="0"/>
              <w:divBdr>
                <w:top w:val="none" w:sz="0" w:space="0" w:color="auto"/>
                <w:left w:val="none" w:sz="0" w:space="0" w:color="auto"/>
                <w:bottom w:val="none" w:sz="0" w:space="0" w:color="auto"/>
                <w:right w:val="none" w:sz="0" w:space="0" w:color="auto"/>
              </w:divBdr>
            </w:div>
            <w:div w:id="1060245857">
              <w:marLeft w:val="0"/>
              <w:marRight w:val="0"/>
              <w:marTop w:val="0"/>
              <w:marBottom w:val="0"/>
              <w:divBdr>
                <w:top w:val="none" w:sz="0" w:space="0" w:color="auto"/>
                <w:left w:val="none" w:sz="0" w:space="0" w:color="auto"/>
                <w:bottom w:val="none" w:sz="0" w:space="0" w:color="auto"/>
                <w:right w:val="none" w:sz="0" w:space="0" w:color="auto"/>
              </w:divBdr>
            </w:div>
            <w:div w:id="1291059977">
              <w:marLeft w:val="0"/>
              <w:marRight w:val="0"/>
              <w:marTop w:val="0"/>
              <w:marBottom w:val="0"/>
              <w:divBdr>
                <w:top w:val="none" w:sz="0" w:space="0" w:color="auto"/>
                <w:left w:val="none" w:sz="0" w:space="0" w:color="auto"/>
                <w:bottom w:val="none" w:sz="0" w:space="0" w:color="auto"/>
                <w:right w:val="none" w:sz="0" w:space="0" w:color="auto"/>
              </w:divBdr>
            </w:div>
            <w:div w:id="1425762161">
              <w:marLeft w:val="0"/>
              <w:marRight w:val="0"/>
              <w:marTop w:val="0"/>
              <w:marBottom w:val="0"/>
              <w:divBdr>
                <w:top w:val="none" w:sz="0" w:space="0" w:color="auto"/>
                <w:left w:val="none" w:sz="0" w:space="0" w:color="auto"/>
                <w:bottom w:val="none" w:sz="0" w:space="0" w:color="auto"/>
                <w:right w:val="none" w:sz="0" w:space="0" w:color="auto"/>
              </w:divBdr>
            </w:div>
            <w:div w:id="1524250444">
              <w:marLeft w:val="0"/>
              <w:marRight w:val="0"/>
              <w:marTop w:val="0"/>
              <w:marBottom w:val="0"/>
              <w:divBdr>
                <w:top w:val="none" w:sz="0" w:space="0" w:color="auto"/>
                <w:left w:val="none" w:sz="0" w:space="0" w:color="auto"/>
                <w:bottom w:val="none" w:sz="0" w:space="0" w:color="auto"/>
                <w:right w:val="none" w:sz="0" w:space="0" w:color="auto"/>
              </w:divBdr>
            </w:div>
            <w:div w:id="1618902942">
              <w:marLeft w:val="0"/>
              <w:marRight w:val="0"/>
              <w:marTop w:val="0"/>
              <w:marBottom w:val="0"/>
              <w:divBdr>
                <w:top w:val="none" w:sz="0" w:space="0" w:color="auto"/>
                <w:left w:val="none" w:sz="0" w:space="0" w:color="auto"/>
                <w:bottom w:val="none" w:sz="0" w:space="0" w:color="auto"/>
                <w:right w:val="none" w:sz="0" w:space="0" w:color="auto"/>
              </w:divBdr>
            </w:div>
            <w:div w:id="1699769191">
              <w:marLeft w:val="0"/>
              <w:marRight w:val="0"/>
              <w:marTop w:val="0"/>
              <w:marBottom w:val="0"/>
              <w:divBdr>
                <w:top w:val="none" w:sz="0" w:space="0" w:color="auto"/>
                <w:left w:val="none" w:sz="0" w:space="0" w:color="auto"/>
                <w:bottom w:val="none" w:sz="0" w:space="0" w:color="auto"/>
                <w:right w:val="none" w:sz="0" w:space="0" w:color="auto"/>
              </w:divBdr>
            </w:div>
            <w:div w:id="1724673215">
              <w:marLeft w:val="0"/>
              <w:marRight w:val="0"/>
              <w:marTop w:val="0"/>
              <w:marBottom w:val="0"/>
              <w:divBdr>
                <w:top w:val="none" w:sz="0" w:space="0" w:color="auto"/>
                <w:left w:val="none" w:sz="0" w:space="0" w:color="auto"/>
                <w:bottom w:val="none" w:sz="0" w:space="0" w:color="auto"/>
                <w:right w:val="none" w:sz="0" w:space="0" w:color="auto"/>
              </w:divBdr>
            </w:div>
            <w:div w:id="2055108230">
              <w:marLeft w:val="0"/>
              <w:marRight w:val="0"/>
              <w:marTop w:val="0"/>
              <w:marBottom w:val="0"/>
              <w:divBdr>
                <w:top w:val="none" w:sz="0" w:space="0" w:color="auto"/>
                <w:left w:val="none" w:sz="0" w:space="0" w:color="auto"/>
                <w:bottom w:val="none" w:sz="0" w:space="0" w:color="auto"/>
                <w:right w:val="none" w:sz="0" w:space="0" w:color="auto"/>
              </w:divBdr>
            </w:div>
            <w:div w:id="2135370155">
              <w:marLeft w:val="0"/>
              <w:marRight w:val="0"/>
              <w:marTop w:val="0"/>
              <w:marBottom w:val="0"/>
              <w:divBdr>
                <w:top w:val="none" w:sz="0" w:space="0" w:color="auto"/>
                <w:left w:val="none" w:sz="0" w:space="0" w:color="auto"/>
                <w:bottom w:val="none" w:sz="0" w:space="0" w:color="auto"/>
                <w:right w:val="none" w:sz="0" w:space="0" w:color="auto"/>
              </w:divBdr>
            </w:div>
          </w:divsChild>
        </w:div>
        <w:div w:id="1259948548">
          <w:marLeft w:val="0"/>
          <w:marRight w:val="0"/>
          <w:marTop w:val="0"/>
          <w:marBottom w:val="0"/>
          <w:divBdr>
            <w:top w:val="none" w:sz="0" w:space="0" w:color="auto"/>
            <w:left w:val="none" w:sz="0" w:space="0" w:color="auto"/>
            <w:bottom w:val="none" w:sz="0" w:space="0" w:color="auto"/>
            <w:right w:val="none" w:sz="0" w:space="0" w:color="auto"/>
          </w:divBdr>
          <w:divsChild>
            <w:div w:id="111872318">
              <w:marLeft w:val="0"/>
              <w:marRight w:val="0"/>
              <w:marTop w:val="0"/>
              <w:marBottom w:val="0"/>
              <w:divBdr>
                <w:top w:val="none" w:sz="0" w:space="0" w:color="auto"/>
                <w:left w:val="none" w:sz="0" w:space="0" w:color="auto"/>
                <w:bottom w:val="none" w:sz="0" w:space="0" w:color="auto"/>
                <w:right w:val="none" w:sz="0" w:space="0" w:color="auto"/>
              </w:divBdr>
            </w:div>
            <w:div w:id="167333516">
              <w:marLeft w:val="0"/>
              <w:marRight w:val="0"/>
              <w:marTop w:val="0"/>
              <w:marBottom w:val="0"/>
              <w:divBdr>
                <w:top w:val="none" w:sz="0" w:space="0" w:color="auto"/>
                <w:left w:val="none" w:sz="0" w:space="0" w:color="auto"/>
                <w:bottom w:val="none" w:sz="0" w:space="0" w:color="auto"/>
                <w:right w:val="none" w:sz="0" w:space="0" w:color="auto"/>
              </w:divBdr>
            </w:div>
            <w:div w:id="228812613">
              <w:marLeft w:val="0"/>
              <w:marRight w:val="0"/>
              <w:marTop w:val="0"/>
              <w:marBottom w:val="0"/>
              <w:divBdr>
                <w:top w:val="none" w:sz="0" w:space="0" w:color="auto"/>
                <w:left w:val="none" w:sz="0" w:space="0" w:color="auto"/>
                <w:bottom w:val="none" w:sz="0" w:space="0" w:color="auto"/>
                <w:right w:val="none" w:sz="0" w:space="0" w:color="auto"/>
              </w:divBdr>
            </w:div>
            <w:div w:id="251595400">
              <w:marLeft w:val="0"/>
              <w:marRight w:val="0"/>
              <w:marTop w:val="0"/>
              <w:marBottom w:val="0"/>
              <w:divBdr>
                <w:top w:val="none" w:sz="0" w:space="0" w:color="auto"/>
                <w:left w:val="none" w:sz="0" w:space="0" w:color="auto"/>
                <w:bottom w:val="none" w:sz="0" w:space="0" w:color="auto"/>
                <w:right w:val="none" w:sz="0" w:space="0" w:color="auto"/>
              </w:divBdr>
            </w:div>
            <w:div w:id="466241591">
              <w:marLeft w:val="0"/>
              <w:marRight w:val="0"/>
              <w:marTop w:val="0"/>
              <w:marBottom w:val="0"/>
              <w:divBdr>
                <w:top w:val="none" w:sz="0" w:space="0" w:color="auto"/>
                <w:left w:val="none" w:sz="0" w:space="0" w:color="auto"/>
                <w:bottom w:val="none" w:sz="0" w:space="0" w:color="auto"/>
                <w:right w:val="none" w:sz="0" w:space="0" w:color="auto"/>
              </w:divBdr>
            </w:div>
            <w:div w:id="515274201">
              <w:marLeft w:val="0"/>
              <w:marRight w:val="0"/>
              <w:marTop w:val="0"/>
              <w:marBottom w:val="0"/>
              <w:divBdr>
                <w:top w:val="none" w:sz="0" w:space="0" w:color="auto"/>
                <w:left w:val="none" w:sz="0" w:space="0" w:color="auto"/>
                <w:bottom w:val="none" w:sz="0" w:space="0" w:color="auto"/>
                <w:right w:val="none" w:sz="0" w:space="0" w:color="auto"/>
              </w:divBdr>
            </w:div>
            <w:div w:id="542521147">
              <w:marLeft w:val="0"/>
              <w:marRight w:val="0"/>
              <w:marTop w:val="0"/>
              <w:marBottom w:val="0"/>
              <w:divBdr>
                <w:top w:val="none" w:sz="0" w:space="0" w:color="auto"/>
                <w:left w:val="none" w:sz="0" w:space="0" w:color="auto"/>
                <w:bottom w:val="none" w:sz="0" w:space="0" w:color="auto"/>
                <w:right w:val="none" w:sz="0" w:space="0" w:color="auto"/>
              </w:divBdr>
            </w:div>
            <w:div w:id="717096702">
              <w:marLeft w:val="0"/>
              <w:marRight w:val="0"/>
              <w:marTop w:val="0"/>
              <w:marBottom w:val="0"/>
              <w:divBdr>
                <w:top w:val="none" w:sz="0" w:space="0" w:color="auto"/>
                <w:left w:val="none" w:sz="0" w:space="0" w:color="auto"/>
                <w:bottom w:val="none" w:sz="0" w:space="0" w:color="auto"/>
                <w:right w:val="none" w:sz="0" w:space="0" w:color="auto"/>
              </w:divBdr>
            </w:div>
            <w:div w:id="757294640">
              <w:marLeft w:val="0"/>
              <w:marRight w:val="0"/>
              <w:marTop w:val="0"/>
              <w:marBottom w:val="0"/>
              <w:divBdr>
                <w:top w:val="none" w:sz="0" w:space="0" w:color="auto"/>
                <w:left w:val="none" w:sz="0" w:space="0" w:color="auto"/>
                <w:bottom w:val="none" w:sz="0" w:space="0" w:color="auto"/>
                <w:right w:val="none" w:sz="0" w:space="0" w:color="auto"/>
              </w:divBdr>
            </w:div>
            <w:div w:id="788162927">
              <w:marLeft w:val="0"/>
              <w:marRight w:val="0"/>
              <w:marTop w:val="0"/>
              <w:marBottom w:val="0"/>
              <w:divBdr>
                <w:top w:val="none" w:sz="0" w:space="0" w:color="auto"/>
                <w:left w:val="none" w:sz="0" w:space="0" w:color="auto"/>
                <w:bottom w:val="none" w:sz="0" w:space="0" w:color="auto"/>
                <w:right w:val="none" w:sz="0" w:space="0" w:color="auto"/>
              </w:divBdr>
            </w:div>
            <w:div w:id="1096318261">
              <w:marLeft w:val="0"/>
              <w:marRight w:val="0"/>
              <w:marTop w:val="0"/>
              <w:marBottom w:val="0"/>
              <w:divBdr>
                <w:top w:val="none" w:sz="0" w:space="0" w:color="auto"/>
                <w:left w:val="none" w:sz="0" w:space="0" w:color="auto"/>
                <w:bottom w:val="none" w:sz="0" w:space="0" w:color="auto"/>
                <w:right w:val="none" w:sz="0" w:space="0" w:color="auto"/>
              </w:divBdr>
            </w:div>
            <w:div w:id="1279723462">
              <w:marLeft w:val="0"/>
              <w:marRight w:val="0"/>
              <w:marTop w:val="0"/>
              <w:marBottom w:val="0"/>
              <w:divBdr>
                <w:top w:val="none" w:sz="0" w:space="0" w:color="auto"/>
                <w:left w:val="none" w:sz="0" w:space="0" w:color="auto"/>
                <w:bottom w:val="none" w:sz="0" w:space="0" w:color="auto"/>
                <w:right w:val="none" w:sz="0" w:space="0" w:color="auto"/>
              </w:divBdr>
            </w:div>
            <w:div w:id="1430665454">
              <w:marLeft w:val="0"/>
              <w:marRight w:val="0"/>
              <w:marTop w:val="0"/>
              <w:marBottom w:val="0"/>
              <w:divBdr>
                <w:top w:val="none" w:sz="0" w:space="0" w:color="auto"/>
                <w:left w:val="none" w:sz="0" w:space="0" w:color="auto"/>
                <w:bottom w:val="none" w:sz="0" w:space="0" w:color="auto"/>
                <w:right w:val="none" w:sz="0" w:space="0" w:color="auto"/>
              </w:divBdr>
            </w:div>
            <w:div w:id="1488128922">
              <w:marLeft w:val="0"/>
              <w:marRight w:val="0"/>
              <w:marTop w:val="0"/>
              <w:marBottom w:val="0"/>
              <w:divBdr>
                <w:top w:val="none" w:sz="0" w:space="0" w:color="auto"/>
                <w:left w:val="none" w:sz="0" w:space="0" w:color="auto"/>
                <w:bottom w:val="none" w:sz="0" w:space="0" w:color="auto"/>
                <w:right w:val="none" w:sz="0" w:space="0" w:color="auto"/>
              </w:divBdr>
            </w:div>
            <w:div w:id="1596937596">
              <w:marLeft w:val="0"/>
              <w:marRight w:val="0"/>
              <w:marTop w:val="0"/>
              <w:marBottom w:val="0"/>
              <w:divBdr>
                <w:top w:val="none" w:sz="0" w:space="0" w:color="auto"/>
                <w:left w:val="none" w:sz="0" w:space="0" w:color="auto"/>
                <w:bottom w:val="none" w:sz="0" w:space="0" w:color="auto"/>
                <w:right w:val="none" w:sz="0" w:space="0" w:color="auto"/>
              </w:divBdr>
            </w:div>
            <w:div w:id="1603879083">
              <w:marLeft w:val="0"/>
              <w:marRight w:val="0"/>
              <w:marTop w:val="0"/>
              <w:marBottom w:val="0"/>
              <w:divBdr>
                <w:top w:val="none" w:sz="0" w:space="0" w:color="auto"/>
                <w:left w:val="none" w:sz="0" w:space="0" w:color="auto"/>
                <w:bottom w:val="none" w:sz="0" w:space="0" w:color="auto"/>
                <w:right w:val="none" w:sz="0" w:space="0" w:color="auto"/>
              </w:divBdr>
            </w:div>
            <w:div w:id="1728071029">
              <w:marLeft w:val="0"/>
              <w:marRight w:val="0"/>
              <w:marTop w:val="0"/>
              <w:marBottom w:val="0"/>
              <w:divBdr>
                <w:top w:val="none" w:sz="0" w:space="0" w:color="auto"/>
                <w:left w:val="none" w:sz="0" w:space="0" w:color="auto"/>
                <w:bottom w:val="none" w:sz="0" w:space="0" w:color="auto"/>
                <w:right w:val="none" w:sz="0" w:space="0" w:color="auto"/>
              </w:divBdr>
            </w:div>
            <w:div w:id="1736512872">
              <w:marLeft w:val="0"/>
              <w:marRight w:val="0"/>
              <w:marTop w:val="0"/>
              <w:marBottom w:val="0"/>
              <w:divBdr>
                <w:top w:val="none" w:sz="0" w:space="0" w:color="auto"/>
                <w:left w:val="none" w:sz="0" w:space="0" w:color="auto"/>
                <w:bottom w:val="none" w:sz="0" w:space="0" w:color="auto"/>
                <w:right w:val="none" w:sz="0" w:space="0" w:color="auto"/>
              </w:divBdr>
            </w:div>
            <w:div w:id="1780224706">
              <w:marLeft w:val="0"/>
              <w:marRight w:val="0"/>
              <w:marTop w:val="0"/>
              <w:marBottom w:val="0"/>
              <w:divBdr>
                <w:top w:val="none" w:sz="0" w:space="0" w:color="auto"/>
                <w:left w:val="none" w:sz="0" w:space="0" w:color="auto"/>
                <w:bottom w:val="none" w:sz="0" w:space="0" w:color="auto"/>
                <w:right w:val="none" w:sz="0" w:space="0" w:color="auto"/>
              </w:divBdr>
            </w:div>
            <w:div w:id="19151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footer" Target="footer52.xml"/><Relationship Id="rId299" Type="http://schemas.openxmlformats.org/officeDocument/2006/relationships/header" Target="header144.xml"/><Relationship Id="rId303" Type="http://schemas.openxmlformats.org/officeDocument/2006/relationships/footer" Target="footer145.xml"/><Relationship Id="rId21" Type="http://schemas.openxmlformats.org/officeDocument/2006/relationships/footer" Target="footer5.xml"/><Relationship Id="rId42" Type="http://schemas.openxmlformats.org/officeDocument/2006/relationships/header" Target="header15.xml"/><Relationship Id="rId63" Type="http://schemas.openxmlformats.org/officeDocument/2006/relationships/footer" Target="footer25.xml"/><Relationship Id="rId84" Type="http://schemas.openxmlformats.org/officeDocument/2006/relationships/header" Target="header36.xml"/><Relationship Id="rId138" Type="http://schemas.openxmlformats.org/officeDocument/2006/relationships/header" Target="header63.xml"/><Relationship Id="rId159" Type="http://schemas.openxmlformats.org/officeDocument/2006/relationships/header" Target="header74.xml"/><Relationship Id="rId324" Type="http://schemas.openxmlformats.org/officeDocument/2006/relationships/header" Target="header156.xml"/><Relationship Id="rId170" Type="http://schemas.openxmlformats.org/officeDocument/2006/relationships/header" Target="header79.xml"/><Relationship Id="rId191" Type="http://schemas.openxmlformats.org/officeDocument/2006/relationships/header" Target="header90.xml"/><Relationship Id="rId205" Type="http://schemas.openxmlformats.org/officeDocument/2006/relationships/header" Target="header97.xml"/><Relationship Id="rId226" Type="http://schemas.openxmlformats.org/officeDocument/2006/relationships/footer" Target="footer106.xml"/><Relationship Id="rId247" Type="http://schemas.openxmlformats.org/officeDocument/2006/relationships/footer" Target="footer117.xml"/><Relationship Id="rId107" Type="http://schemas.openxmlformats.org/officeDocument/2006/relationships/footer" Target="footer47.xml"/><Relationship Id="rId268" Type="http://schemas.openxmlformats.org/officeDocument/2006/relationships/footer" Target="footer127.xml"/><Relationship Id="rId289" Type="http://schemas.openxmlformats.org/officeDocument/2006/relationships/footer" Target="footer138.xml"/><Relationship Id="rId11" Type="http://schemas.openxmlformats.org/officeDocument/2006/relationships/image" Target="media/image1.emf"/><Relationship Id="rId32" Type="http://schemas.openxmlformats.org/officeDocument/2006/relationships/footer" Target="footer10.xml"/><Relationship Id="rId53" Type="http://schemas.openxmlformats.org/officeDocument/2006/relationships/footer" Target="footer20.xml"/><Relationship Id="rId74" Type="http://schemas.openxmlformats.org/officeDocument/2006/relationships/header" Target="header31.xml"/><Relationship Id="rId128" Type="http://schemas.openxmlformats.org/officeDocument/2006/relationships/header" Target="header58.xml"/><Relationship Id="rId149" Type="http://schemas.openxmlformats.org/officeDocument/2006/relationships/footer" Target="footer68.xml"/><Relationship Id="rId314" Type="http://schemas.openxmlformats.org/officeDocument/2006/relationships/header" Target="header151.xml"/><Relationship Id="rId335" Type="http://schemas.openxmlformats.org/officeDocument/2006/relationships/theme" Target="theme/theme1.xml"/><Relationship Id="rId5" Type="http://schemas.openxmlformats.org/officeDocument/2006/relationships/numbering" Target="numbering.xml"/><Relationship Id="rId95" Type="http://schemas.openxmlformats.org/officeDocument/2006/relationships/footer" Target="footer41.xml"/><Relationship Id="rId160" Type="http://schemas.openxmlformats.org/officeDocument/2006/relationships/footer" Target="footer73.xml"/><Relationship Id="rId181" Type="http://schemas.openxmlformats.org/officeDocument/2006/relationships/footer" Target="footer84.xml"/><Relationship Id="rId216" Type="http://schemas.openxmlformats.org/officeDocument/2006/relationships/header" Target="header102.xml"/><Relationship Id="rId237" Type="http://schemas.openxmlformats.org/officeDocument/2006/relationships/header" Target="header113.xml"/><Relationship Id="rId258" Type="http://schemas.openxmlformats.org/officeDocument/2006/relationships/header" Target="header123.xml"/><Relationship Id="rId279" Type="http://schemas.openxmlformats.org/officeDocument/2006/relationships/footer" Target="footer133.xml"/><Relationship Id="rId22" Type="http://schemas.openxmlformats.org/officeDocument/2006/relationships/header" Target="header6.xml"/><Relationship Id="rId43" Type="http://schemas.openxmlformats.org/officeDocument/2006/relationships/header" Target="header16.xml"/><Relationship Id="rId64" Type="http://schemas.openxmlformats.org/officeDocument/2006/relationships/header" Target="header26.xml"/><Relationship Id="rId118" Type="http://schemas.openxmlformats.org/officeDocument/2006/relationships/header" Target="header53.xml"/><Relationship Id="rId139" Type="http://schemas.openxmlformats.org/officeDocument/2006/relationships/footer" Target="footer63.xml"/><Relationship Id="rId290" Type="http://schemas.openxmlformats.org/officeDocument/2006/relationships/header" Target="header139.xml"/><Relationship Id="rId304" Type="http://schemas.openxmlformats.org/officeDocument/2006/relationships/header" Target="header146.xml"/><Relationship Id="rId325" Type="http://schemas.openxmlformats.org/officeDocument/2006/relationships/header" Target="header157.xml"/><Relationship Id="rId85" Type="http://schemas.openxmlformats.org/officeDocument/2006/relationships/footer" Target="footer36.xml"/><Relationship Id="rId150" Type="http://schemas.openxmlformats.org/officeDocument/2006/relationships/header" Target="header69.xml"/><Relationship Id="rId171" Type="http://schemas.openxmlformats.org/officeDocument/2006/relationships/header" Target="header80.xml"/><Relationship Id="rId192" Type="http://schemas.openxmlformats.org/officeDocument/2006/relationships/footer" Target="footer89.xml"/><Relationship Id="rId206" Type="http://schemas.openxmlformats.org/officeDocument/2006/relationships/footer" Target="footer96.xml"/><Relationship Id="rId227" Type="http://schemas.openxmlformats.org/officeDocument/2006/relationships/footer" Target="footer107.xml"/><Relationship Id="rId248" Type="http://schemas.openxmlformats.org/officeDocument/2006/relationships/header" Target="header118.xml"/><Relationship Id="rId269" Type="http://schemas.openxmlformats.org/officeDocument/2006/relationships/footer" Target="footer128.xml"/><Relationship Id="rId12" Type="http://schemas.openxmlformats.org/officeDocument/2006/relationships/header" Target="header1.xml"/><Relationship Id="rId33" Type="http://schemas.openxmlformats.org/officeDocument/2006/relationships/footer" Target="footer11.xml"/><Relationship Id="rId108" Type="http://schemas.openxmlformats.org/officeDocument/2006/relationships/header" Target="header48.xml"/><Relationship Id="rId129" Type="http://schemas.openxmlformats.org/officeDocument/2006/relationships/header" Target="header59.xml"/><Relationship Id="rId280" Type="http://schemas.openxmlformats.org/officeDocument/2006/relationships/header" Target="header134.xml"/><Relationship Id="rId315" Type="http://schemas.openxmlformats.org/officeDocument/2006/relationships/footer" Target="footer151.xml"/><Relationship Id="rId54" Type="http://schemas.openxmlformats.org/officeDocument/2006/relationships/header" Target="header21.xml"/><Relationship Id="rId75" Type="http://schemas.openxmlformats.org/officeDocument/2006/relationships/footer" Target="footer31.xml"/><Relationship Id="rId96" Type="http://schemas.openxmlformats.org/officeDocument/2006/relationships/header" Target="header42.xml"/><Relationship Id="rId140" Type="http://schemas.openxmlformats.org/officeDocument/2006/relationships/header" Target="header64.xml"/><Relationship Id="rId161" Type="http://schemas.openxmlformats.org/officeDocument/2006/relationships/footer" Target="footer74.xml"/><Relationship Id="rId182" Type="http://schemas.openxmlformats.org/officeDocument/2006/relationships/header" Target="header85.xml"/><Relationship Id="rId217" Type="http://schemas.openxmlformats.org/officeDocument/2006/relationships/footer" Target="footer102.xml"/><Relationship Id="rId6" Type="http://schemas.openxmlformats.org/officeDocument/2006/relationships/styles" Target="styles.xml"/><Relationship Id="rId238" Type="http://schemas.openxmlformats.org/officeDocument/2006/relationships/footer" Target="footer112.xml"/><Relationship Id="rId259" Type="http://schemas.openxmlformats.org/officeDocument/2006/relationships/footer" Target="footer123.xml"/><Relationship Id="rId23" Type="http://schemas.openxmlformats.org/officeDocument/2006/relationships/footer" Target="footer6.xml"/><Relationship Id="rId119" Type="http://schemas.openxmlformats.org/officeDocument/2006/relationships/footer" Target="footer53.xml"/><Relationship Id="rId270" Type="http://schemas.openxmlformats.org/officeDocument/2006/relationships/header" Target="header129.xml"/><Relationship Id="rId291" Type="http://schemas.openxmlformats.org/officeDocument/2006/relationships/footer" Target="footer139.xml"/><Relationship Id="rId305" Type="http://schemas.openxmlformats.org/officeDocument/2006/relationships/header" Target="header147.xml"/><Relationship Id="rId326" Type="http://schemas.openxmlformats.org/officeDocument/2006/relationships/footer" Target="footer156.xml"/><Relationship Id="rId44" Type="http://schemas.openxmlformats.org/officeDocument/2006/relationships/footer" Target="footer15.xml"/><Relationship Id="rId65" Type="http://schemas.openxmlformats.org/officeDocument/2006/relationships/header" Target="header27.xml"/><Relationship Id="rId86" Type="http://schemas.openxmlformats.org/officeDocument/2006/relationships/header" Target="header37.xml"/><Relationship Id="rId130" Type="http://schemas.openxmlformats.org/officeDocument/2006/relationships/footer" Target="footer58.xml"/><Relationship Id="rId151" Type="http://schemas.openxmlformats.org/officeDocument/2006/relationships/footer" Target="footer69.xml"/><Relationship Id="rId172" Type="http://schemas.openxmlformats.org/officeDocument/2006/relationships/footer" Target="footer79.xml"/><Relationship Id="rId193" Type="http://schemas.openxmlformats.org/officeDocument/2006/relationships/footer" Target="footer90.xml"/><Relationship Id="rId207" Type="http://schemas.openxmlformats.org/officeDocument/2006/relationships/footer" Target="footer97.xml"/><Relationship Id="rId228" Type="http://schemas.openxmlformats.org/officeDocument/2006/relationships/header" Target="header108.xml"/><Relationship Id="rId249" Type="http://schemas.openxmlformats.org/officeDocument/2006/relationships/header" Target="header119.xml"/><Relationship Id="rId13" Type="http://schemas.openxmlformats.org/officeDocument/2006/relationships/header" Target="header2.xml"/><Relationship Id="rId109" Type="http://schemas.openxmlformats.org/officeDocument/2006/relationships/header" Target="header49.xml"/><Relationship Id="rId260" Type="http://schemas.openxmlformats.org/officeDocument/2006/relationships/header" Target="header124.xml"/><Relationship Id="rId281" Type="http://schemas.openxmlformats.org/officeDocument/2006/relationships/header" Target="header135.xml"/><Relationship Id="rId316" Type="http://schemas.openxmlformats.org/officeDocument/2006/relationships/header" Target="header152.xml"/><Relationship Id="rId34" Type="http://schemas.openxmlformats.org/officeDocument/2006/relationships/header" Target="header12.xml"/><Relationship Id="rId55" Type="http://schemas.openxmlformats.org/officeDocument/2006/relationships/header" Target="header22.xml"/><Relationship Id="rId76" Type="http://schemas.openxmlformats.org/officeDocument/2006/relationships/header" Target="header32.xml"/><Relationship Id="rId97" Type="http://schemas.openxmlformats.org/officeDocument/2006/relationships/footer" Target="footer42.xml"/><Relationship Id="rId120" Type="http://schemas.openxmlformats.org/officeDocument/2006/relationships/header" Target="header54.xml"/><Relationship Id="rId141" Type="http://schemas.openxmlformats.org/officeDocument/2006/relationships/header" Target="header65.xml"/><Relationship Id="rId7" Type="http://schemas.openxmlformats.org/officeDocument/2006/relationships/settings" Target="settings.xml"/><Relationship Id="rId162" Type="http://schemas.openxmlformats.org/officeDocument/2006/relationships/header" Target="header75.xml"/><Relationship Id="rId183" Type="http://schemas.openxmlformats.org/officeDocument/2006/relationships/footer" Target="footer85.xml"/><Relationship Id="rId218" Type="http://schemas.openxmlformats.org/officeDocument/2006/relationships/header" Target="header103.xml"/><Relationship Id="rId239" Type="http://schemas.openxmlformats.org/officeDocument/2006/relationships/footer" Target="footer113.xml"/><Relationship Id="rId250" Type="http://schemas.openxmlformats.org/officeDocument/2006/relationships/footer" Target="footer118.xml"/><Relationship Id="rId271" Type="http://schemas.openxmlformats.org/officeDocument/2006/relationships/footer" Target="footer129.xml"/><Relationship Id="rId292" Type="http://schemas.openxmlformats.org/officeDocument/2006/relationships/header" Target="header140.xml"/><Relationship Id="rId306" Type="http://schemas.openxmlformats.org/officeDocument/2006/relationships/footer" Target="footer146.xml"/><Relationship Id="rId24" Type="http://schemas.openxmlformats.org/officeDocument/2006/relationships/header" Target="header7.xml"/><Relationship Id="rId45" Type="http://schemas.openxmlformats.org/officeDocument/2006/relationships/footer" Target="footer16.xml"/><Relationship Id="rId66" Type="http://schemas.openxmlformats.org/officeDocument/2006/relationships/footer" Target="footer26.xml"/><Relationship Id="rId87" Type="http://schemas.openxmlformats.org/officeDocument/2006/relationships/header" Target="header38.xml"/><Relationship Id="rId110" Type="http://schemas.openxmlformats.org/officeDocument/2006/relationships/footer" Target="footer48.xml"/><Relationship Id="rId131" Type="http://schemas.openxmlformats.org/officeDocument/2006/relationships/footer" Target="footer59.xml"/><Relationship Id="rId327" Type="http://schemas.openxmlformats.org/officeDocument/2006/relationships/footer" Target="footer157.xml"/><Relationship Id="rId152" Type="http://schemas.openxmlformats.org/officeDocument/2006/relationships/header" Target="header70.xml"/><Relationship Id="rId173" Type="http://schemas.openxmlformats.org/officeDocument/2006/relationships/footer" Target="footer80.xml"/><Relationship Id="rId194" Type="http://schemas.openxmlformats.org/officeDocument/2006/relationships/header" Target="header91.xml"/><Relationship Id="rId208" Type="http://schemas.openxmlformats.org/officeDocument/2006/relationships/header" Target="header98.xml"/><Relationship Id="rId229" Type="http://schemas.openxmlformats.org/officeDocument/2006/relationships/footer" Target="footer108.xml"/><Relationship Id="rId240" Type="http://schemas.openxmlformats.org/officeDocument/2006/relationships/header" Target="header114.xml"/><Relationship Id="rId261" Type="http://schemas.openxmlformats.org/officeDocument/2006/relationships/header" Target="header125.xml"/><Relationship Id="rId14" Type="http://schemas.openxmlformats.org/officeDocument/2006/relationships/footer" Target="footer1.xml"/><Relationship Id="rId35" Type="http://schemas.openxmlformats.org/officeDocument/2006/relationships/footer" Target="footer12.xml"/><Relationship Id="rId56" Type="http://schemas.openxmlformats.org/officeDocument/2006/relationships/footer" Target="footer21.xml"/><Relationship Id="rId77" Type="http://schemas.openxmlformats.org/officeDocument/2006/relationships/footer" Target="footer32.xml"/><Relationship Id="rId100" Type="http://schemas.openxmlformats.org/officeDocument/2006/relationships/header" Target="header44.xml"/><Relationship Id="rId282" Type="http://schemas.openxmlformats.org/officeDocument/2006/relationships/footer" Target="footer134.xml"/><Relationship Id="rId317" Type="http://schemas.openxmlformats.org/officeDocument/2006/relationships/header" Target="header153.xml"/><Relationship Id="rId8" Type="http://schemas.openxmlformats.org/officeDocument/2006/relationships/webSettings" Target="webSettings.xml"/><Relationship Id="rId51" Type="http://schemas.openxmlformats.org/officeDocument/2006/relationships/footer" Target="footer19.xml"/><Relationship Id="rId72" Type="http://schemas.openxmlformats.org/officeDocument/2006/relationships/footer" Target="footer29.xml"/><Relationship Id="rId93" Type="http://schemas.openxmlformats.org/officeDocument/2006/relationships/header" Target="header41.xml"/><Relationship Id="rId98" Type="http://schemas.openxmlformats.org/officeDocument/2006/relationships/header" Target="header43.xml"/><Relationship Id="rId121" Type="http://schemas.openxmlformats.org/officeDocument/2006/relationships/footer" Target="footer54.xml"/><Relationship Id="rId142" Type="http://schemas.openxmlformats.org/officeDocument/2006/relationships/footer" Target="footer64.xml"/><Relationship Id="rId163" Type="http://schemas.openxmlformats.org/officeDocument/2006/relationships/footer" Target="footer75.xml"/><Relationship Id="rId184" Type="http://schemas.openxmlformats.org/officeDocument/2006/relationships/header" Target="header86.xml"/><Relationship Id="rId189" Type="http://schemas.openxmlformats.org/officeDocument/2006/relationships/footer" Target="footer88.xml"/><Relationship Id="rId219" Type="http://schemas.openxmlformats.org/officeDocument/2006/relationships/header" Target="header104.xml"/><Relationship Id="rId3" Type="http://schemas.openxmlformats.org/officeDocument/2006/relationships/customXml" Target="../customXml/item3.xml"/><Relationship Id="rId214" Type="http://schemas.openxmlformats.org/officeDocument/2006/relationships/footer" Target="footer100.xml"/><Relationship Id="rId230" Type="http://schemas.openxmlformats.org/officeDocument/2006/relationships/header" Target="header109.xml"/><Relationship Id="rId235" Type="http://schemas.openxmlformats.org/officeDocument/2006/relationships/footer" Target="footer111.xml"/><Relationship Id="rId251" Type="http://schemas.openxmlformats.org/officeDocument/2006/relationships/footer" Target="footer119.xml"/><Relationship Id="rId256" Type="http://schemas.openxmlformats.org/officeDocument/2006/relationships/footer" Target="footer121.xml"/><Relationship Id="rId277" Type="http://schemas.openxmlformats.org/officeDocument/2006/relationships/footer" Target="footer132.xml"/><Relationship Id="rId298" Type="http://schemas.openxmlformats.org/officeDocument/2006/relationships/header" Target="header143.xml"/><Relationship Id="rId25" Type="http://schemas.openxmlformats.org/officeDocument/2006/relationships/header" Target="header8.xml"/><Relationship Id="rId46" Type="http://schemas.openxmlformats.org/officeDocument/2006/relationships/header" Target="header17.xml"/><Relationship Id="rId67" Type="http://schemas.openxmlformats.org/officeDocument/2006/relationships/footer" Target="footer27.xml"/><Relationship Id="rId116" Type="http://schemas.openxmlformats.org/officeDocument/2006/relationships/footer" Target="footer51.xml"/><Relationship Id="rId137" Type="http://schemas.openxmlformats.org/officeDocument/2006/relationships/footer" Target="footer62.xml"/><Relationship Id="rId158" Type="http://schemas.openxmlformats.org/officeDocument/2006/relationships/header" Target="header73.xml"/><Relationship Id="rId272" Type="http://schemas.openxmlformats.org/officeDocument/2006/relationships/header" Target="header130.xml"/><Relationship Id="rId293" Type="http://schemas.openxmlformats.org/officeDocument/2006/relationships/header" Target="header141.xml"/><Relationship Id="rId302" Type="http://schemas.openxmlformats.org/officeDocument/2006/relationships/header" Target="header145.xml"/><Relationship Id="rId307" Type="http://schemas.openxmlformats.org/officeDocument/2006/relationships/footer" Target="footer147.xml"/><Relationship Id="rId323" Type="http://schemas.openxmlformats.org/officeDocument/2006/relationships/footer" Target="footer155.xml"/><Relationship Id="rId328" Type="http://schemas.openxmlformats.org/officeDocument/2006/relationships/header" Target="header158.xml"/><Relationship Id="rId20" Type="http://schemas.openxmlformats.org/officeDocument/2006/relationships/footer" Target="footer4.xml"/><Relationship Id="rId41" Type="http://schemas.openxmlformats.org/officeDocument/2006/relationships/footer" Target="footer14.xml"/><Relationship Id="rId62" Type="http://schemas.openxmlformats.org/officeDocument/2006/relationships/header" Target="header25.xml"/><Relationship Id="rId83" Type="http://schemas.openxmlformats.org/officeDocument/2006/relationships/footer" Target="footer35.xml"/><Relationship Id="rId88" Type="http://schemas.openxmlformats.org/officeDocument/2006/relationships/footer" Target="footer37.xml"/><Relationship Id="rId111" Type="http://schemas.openxmlformats.org/officeDocument/2006/relationships/footer" Target="footer49.xml"/><Relationship Id="rId132" Type="http://schemas.openxmlformats.org/officeDocument/2006/relationships/header" Target="header60.xml"/><Relationship Id="rId153" Type="http://schemas.openxmlformats.org/officeDocument/2006/relationships/header" Target="header71.xml"/><Relationship Id="rId174" Type="http://schemas.openxmlformats.org/officeDocument/2006/relationships/header" Target="header81.xml"/><Relationship Id="rId179" Type="http://schemas.openxmlformats.org/officeDocument/2006/relationships/header" Target="header84.xml"/><Relationship Id="rId195" Type="http://schemas.openxmlformats.org/officeDocument/2006/relationships/footer" Target="footer91.xml"/><Relationship Id="rId209" Type="http://schemas.openxmlformats.org/officeDocument/2006/relationships/footer" Target="footer98.xml"/><Relationship Id="rId190" Type="http://schemas.openxmlformats.org/officeDocument/2006/relationships/header" Target="header89.xml"/><Relationship Id="rId204" Type="http://schemas.openxmlformats.org/officeDocument/2006/relationships/header" Target="header96.xml"/><Relationship Id="rId220" Type="http://schemas.openxmlformats.org/officeDocument/2006/relationships/footer" Target="footer103.xml"/><Relationship Id="rId225" Type="http://schemas.openxmlformats.org/officeDocument/2006/relationships/header" Target="header107.xml"/><Relationship Id="rId241" Type="http://schemas.openxmlformats.org/officeDocument/2006/relationships/footer" Target="footer114.xml"/><Relationship Id="rId246" Type="http://schemas.openxmlformats.org/officeDocument/2006/relationships/header" Target="header117.xml"/><Relationship Id="rId267" Type="http://schemas.openxmlformats.org/officeDocument/2006/relationships/header" Target="header128.xml"/><Relationship Id="rId288" Type="http://schemas.openxmlformats.org/officeDocument/2006/relationships/footer" Target="footer137.xml"/><Relationship Id="rId15" Type="http://schemas.openxmlformats.org/officeDocument/2006/relationships/footer" Target="footer2.xml"/><Relationship Id="rId36" Type="http://schemas.openxmlformats.org/officeDocument/2006/relationships/hyperlink" Target="https://www.inps.it/" TargetMode="External"/><Relationship Id="rId57" Type="http://schemas.openxmlformats.org/officeDocument/2006/relationships/footer" Target="footer22.xml"/><Relationship Id="rId106" Type="http://schemas.openxmlformats.org/officeDocument/2006/relationships/header" Target="header47.xml"/><Relationship Id="rId127" Type="http://schemas.openxmlformats.org/officeDocument/2006/relationships/footer" Target="footer57.xml"/><Relationship Id="rId262" Type="http://schemas.openxmlformats.org/officeDocument/2006/relationships/footer" Target="footer124.xml"/><Relationship Id="rId283" Type="http://schemas.openxmlformats.org/officeDocument/2006/relationships/footer" Target="footer135.xml"/><Relationship Id="rId313" Type="http://schemas.openxmlformats.org/officeDocument/2006/relationships/footer" Target="footer150.xml"/><Relationship Id="rId318" Type="http://schemas.openxmlformats.org/officeDocument/2006/relationships/footer" Target="footer152.xml"/><Relationship Id="rId10" Type="http://schemas.openxmlformats.org/officeDocument/2006/relationships/endnotes" Target="endnotes.xml"/><Relationship Id="rId31" Type="http://schemas.openxmlformats.org/officeDocument/2006/relationships/header" Target="header11.xml"/><Relationship Id="rId52" Type="http://schemas.openxmlformats.org/officeDocument/2006/relationships/header" Target="header20.xml"/><Relationship Id="rId73" Type="http://schemas.openxmlformats.org/officeDocument/2006/relationships/footer" Target="footer30.xml"/><Relationship Id="rId78" Type="http://schemas.openxmlformats.org/officeDocument/2006/relationships/header" Target="header33.xml"/><Relationship Id="rId94" Type="http://schemas.openxmlformats.org/officeDocument/2006/relationships/footer" Target="footer40.xml"/><Relationship Id="rId99" Type="http://schemas.openxmlformats.org/officeDocument/2006/relationships/footer" Target="footer43.xml"/><Relationship Id="rId101" Type="http://schemas.openxmlformats.org/officeDocument/2006/relationships/footer" Target="footer44.xml"/><Relationship Id="rId122" Type="http://schemas.openxmlformats.org/officeDocument/2006/relationships/header" Target="header55.xml"/><Relationship Id="rId143" Type="http://schemas.openxmlformats.org/officeDocument/2006/relationships/footer" Target="footer65.xml"/><Relationship Id="rId148" Type="http://schemas.openxmlformats.org/officeDocument/2006/relationships/footer" Target="footer67.xml"/><Relationship Id="rId164" Type="http://schemas.openxmlformats.org/officeDocument/2006/relationships/header" Target="header76.xml"/><Relationship Id="rId169" Type="http://schemas.openxmlformats.org/officeDocument/2006/relationships/footer" Target="footer78.xml"/><Relationship Id="rId185" Type="http://schemas.openxmlformats.org/officeDocument/2006/relationships/header" Target="header87.xml"/><Relationship Id="rId33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footer" Target="footer83.xml"/><Relationship Id="rId210" Type="http://schemas.openxmlformats.org/officeDocument/2006/relationships/header" Target="header99.xml"/><Relationship Id="rId215" Type="http://schemas.openxmlformats.org/officeDocument/2006/relationships/footer" Target="footer101.xml"/><Relationship Id="rId236" Type="http://schemas.openxmlformats.org/officeDocument/2006/relationships/header" Target="header112.xml"/><Relationship Id="rId257" Type="http://schemas.openxmlformats.org/officeDocument/2006/relationships/footer" Target="footer122.xml"/><Relationship Id="rId278" Type="http://schemas.openxmlformats.org/officeDocument/2006/relationships/header" Target="header133.xml"/><Relationship Id="rId26" Type="http://schemas.openxmlformats.org/officeDocument/2006/relationships/footer" Target="footer7.xml"/><Relationship Id="rId231" Type="http://schemas.openxmlformats.org/officeDocument/2006/relationships/header" Target="header110.xml"/><Relationship Id="rId252" Type="http://schemas.openxmlformats.org/officeDocument/2006/relationships/header" Target="header120.xml"/><Relationship Id="rId273" Type="http://schemas.openxmlformats.org/officeDocument/2006/relationships/header" Target="header131.xml"/><Relationship Id="rId294" Type="http://schemas.openxmlformats.org/officeDocument/2006/relationships/footer" Target="footer140.xml"/><Relationship Id="rId308" Type="http://schemas.openxmlformats.org/officeDocument/2006/relationships/header" Target="header148.xml"/><Relationship Id="rId329" Type="http://schemas.openxmlformats.org/officeDocument/2006/relationships/footer" Target="footer158.xml"/><Relationship Id="rId47" Type="http://schemas.openxmlformats.org/officeDocument/2006/relationships/footer" Target="footer17.xml"/><Relationship Id="rId68" Type="http://schemas.openxmlformats.org/officeDocument/2006/relationships/header" Target="header28.xml"/><Relationship Id="rId89" Type="http://schemas.openxmlformats.org/officeDocument/2006/relationships/footer" Target="footer38.xml"/><Relationship Id="rId112" Type="http://schemas.openxmlformats.org/officeDocument/2006/relationships/header" Target="header50.xml"/><Relationship Id="rId133" Type="http://schemas.openxmlformats.org/officeDocument/2006/relationships/footer" Target="footer60.xml"/><Relationship Id="rId154" Type="http://schemas.openxmlformats.org/officeDocument/2006/relationships/footer" Target="footer70.xml"/><Relationship Id="rId175" Type="http://schemas.openxmlformats.org/officeDocument/2006/relationships/footer" Target="footer81.xml"/><Relationship Id="rId196" Type="http://schemas.openxmlformats.org/officeDocument/2006/relationships/header" Target="header92.xml"/><Relationship Id="rId200" Type="http://schemas.openxmlformats.org/officeDocument/2006/relationships/header" Target="header94.xml"/><Relationship Id="rId16" Type="http://schemas.openxmlformats.org/officeDocument/2006/relationships/header" Target="header3.xml"/><Relationship Id="rId221" Type="http://schemas.openxmlformats.org/officeDocument/2006/relationships/footer" Target="footer104.xml"/><Relationship Id="rId242" Type="http://schemas.openxmlformats.org/officeDocument/2006/relationships/header" Target="header115.xml"/><Relationship Id="rId263" Type="http://schemas.openxmlformats.org/officeDocument/2006/relationships/footer" Target="footer125.xml"/><Relationship Id="rId284" Type="http://schemas.openxmlformats.org/officeDocument/2006/relationships/header" Target="header136.xml"/><Relationship Id="rId319" Type="http://schemas.openxmlformats.org/officeDocument/2006/relationships/footer" Target="footer153.xml"/><Relationship Id="rId37" Type="http://schemas.openxmlformats.org/officeDocument/2006/relationships/hyperlink" Target="https://www.inps.it/" TargetMode="External"/><Relationship Id="rId58" Type="http://schemas.openxmlformats.org/officeDocument/2006/relationships/header" Target="header23.xml"/><Relationship Id="rId79" Type="http://schemas.openxmlformats.org/officeDocument/2006/relationships/footer" Target="footer33.xml"/><Relationship Id="rId102" Type="http://schemas.openxmlformats.org/officeDocument/2006/relationships/header" Target="header45.xml"/><Relationship Id="rId123" Type="http://schemas.openxmlformats.org/officeDocument/2006/relationships/header" Target="header56.xml"/><Relationship Id="rId144" Type="http://schemas.openxmlformats.org/officeDocument/2006/relationships/header" Target="header66.xml"/><Relationship Id="rId330" Type="http://schemas.openxmlformats.org/officeDocument/2006/relationships/header" Target="header159.xml"/><Relationship Id="rId90" Type="http://schemas.openxmlformats.org/officeDocument/2006/relationships/header" Target="header39.xml"/><Relationship Id="rId165" Type="http://schemas.openxmlformats.org/officeDocument/2006/relationships/header" Target="header77.xml"/><Relationship Id="rId186" Type="http://schemas.openxmlformats.org/officeDocument/2006/relationships/footer" Target="footer86.xml"/><Relationship Id="rId211" Type="http://schemas.openxmlformats.org/officeDocument/2006/relationships/footer" Target="footer99.xml"/><Relationship Id="rId232" Type="http://schemas.openxmlformats.org/officeDocument/2006/relationships/footer" Target="footer109.xml"/><Relationship Id="rId253" Type="http://schemas.openxmlformats.org/officeDocument/2006/relationships/footer" Target="footer120.xml"/><Relationship Id="rId274" Type="http://schemas.openxmlformats.org/officeDocument/2006/relationships/footer" Target="footer130.xml"/><Relationship Id="rId295" Type="http://schemas.openxmlformats.org/officeDocument/2006/relationships/footer" Target="footer141.xml"/><Relationship Id="rId309" Type="http://schemas.openxmlformats.org/officeDocument/2006/relationships/footer" Target="footer148.xml"/><Relationship Id="rId27" Type="http://schemas.openxmlformats.org/officeDocument/2006/relationships/footer" Target="footer8.xml"/><Relationship Id="rId48" Type="http://schemas.openxmlformats.org/officeDocument/2006/relationships/header" Target="header18.xml"/><Relationship Id="rId69" Type="http://schemas.openxmlformats.org/officeDocument/2006/relationships/footer" Target="footer28.xml"/><Relationship Id="rId113" Type="http://schemas.openxmlformats.org/officeDocument/2006/relationships/footer" Target="footer50.xml"/><Relationship Id="rId134" Type="http://schemas.openxmlformats.org/officeDocument/2006/relationships/header" Target="header61.xml"/><Relationship Id="rId320" Type="http://schemas.openxmlformats.org/officeDocument/2006/relationships/header" Target="header154.xml"/><Relationship Id="rId80" Type="http://schemas.openxmlformats.org/officeDocument/2006/relationships/header" Target="header34.xml"/><Relationship Id="rId155" Type="http://schemas.openxmlformats.org/officeDocument/2006/relationships/footer" Target="footer71.xml"/><Relationship Id="rId176" Type="http://schemas.openxmlformats.org/officeDocument/2006/relationships/header" Target="header82.xml"/><Relationship Id="rId197" Type="http://schemas.openxmlformats.org/officeDocument/2006/relationships/header" Target="header93.xml"/><Relationship Id="rId201" Type="http://schemas.openxmlformats.org/officeDocument/2006/relationships/footer" Target="footer94.xml"/><Relationship Id="rId222" Type="http://schemas.openxmlformats.org/officeDocument/2006/relationships/header" Target="header105.xml"/><Relationship Id="rId243" Type="http://schemas.openxmlformats.org/officeDocument/2006/relationships/header" Target="header116.xml"/><Relationship Id="rId264" Type="http://schemas.openxmlformats.org/officeDocument/2006/relationships/header" Target="header126.xml"/><Relationship Id="rId285" Type="http://schemas.openxmlformats.org/officeDocument/2006/relationships/footer" Target="footer136.xml"/><Relationship Id="rId17" Type="http://schemas.openxmlformats.org/officeDocument/2006/relationships/footer" Target="footer3.xml"/><Relationship Id="rId38" Type="http://schemas.openxmlformats.org/officeDocument/2006/relationships/header" Target="header13.xml"/><Relationship Id="rId59" Type="http://schemas.openxmlformats.org/officeDocument/2006/relationships/footer" Target="footer23.xml"/><Relationship Id="rId103" Type="http://schemas.openxmlformats.org/officeDocument/2006/relationships/header" Target="header46.xml"/><Relationship Id="rId124" Type="http://schemas.openxmlformats.org/officeDocument/2006/relationships/footer" Target="footer55.xml"/><Relationship Id="rId310" Type="http://schemas.openxmlformats.org/officeDocument/2006/relationships/header" Target="header149.xml"/><Relationship Id="rId70" Type="http://schemas.openxmlformats.org/officeDocument/2006/relationships/header" Target="header29.xml"/><Relationship Id="rId91" Type="http://schemas.openxmlformats.org/officeDocument/2006/relationships/footer" Target="footer39.xml"/><Relationship Id="rId145" Type="http://schemas.openxmlformats.org/officeDocument/2006/relationships/footer" Target="footer66.xml"/><Relationship Id="rId166" Type="http://schemas.openxmlformats.org/officeDocument/2006/relationships/footer" Target="footer76.xml"/><Relationship Id="rId187" Type="http://schemas.openxmlformats.org/officeDocument/2006/relationships/footer" Target="footer87.xml"/><Relationship Id="rId331" Type="http://schemas.openxmlformats.org/officeDocument/2006/relationships/footer" Target="footer159.xml"/><Relationship Id="rId1" Type="http://schemas.openxmlformats.org/officeDocument/2006/relationships/customXml" Target="../customXml/item1.xml"/><Relationship Id="rId212" Type="http://schemas.openxmlformats.org/officeDocument/2006/relationships/header" Target="header100.xml"/><Relationship Id="rId233" Type="http://schemas.openxmlformats.org/officeDocument/2006/relationships/footer" Target="footer110.xml"/><Relationship Id="rId254" Type="http://schemas.openxmlformats.org/officeDocument/2006/relationships/header" Target="header121.xml"/><Relationship Id="rId28" Type="http://schemas.openxmlformats.org/officeDocument/2006/relationships/header" Target="header9.xml"/><Relationship Id="rId49" Type="http://schemas.openxmlformats.org/officeDocument/2006/relationships/header" Target="header19.xml"/><Relationship Id="rId114" Type="http://schemas.openxmlformats.org/officeDocument/2006/relationships/header" Target="header51.xml"/><Relationship Id="rId275" Type="http://schemas.openxmlformats.org/officeDocument/2006/relationships/footer" Target="footer131.xml"/><Relationship Id="rId296" Type="http://schemas.openxmlformats.org/officeDocument/2006/relationships/header" Target="header142.xml"/><Relationship Id="rId300" Type="http://schemas.openxmlformats.org/officeDocument/2006/relationships/footer" Target="footer143.xml"/><Relationship Id="rId60" Type="http://schemas.openxmlformats.org/officeDocument/2006/relationships/header" Target="header24.xml"/><Relationship Id="rId81" Type="http://schemas.openxmlformats.org/officeDocument/2006/relationships/footer" Target="footer34.xml"/><Relationship Id="rId135" Type="http://schemas.openxmlformats.org/officeDocument/2006/relationships/header" Target="header62.xml"/><Relationship Id="rId156" Type="http://schemas.openxmlformats.org/officeDocument/2006/relationships/header" Target="header72.xml"/><Relationship Id="rId177" Type="http://schemas.openxmlformats.org/officeDocument/2006/relationships/footer" Target="footer82.xml"/><Relationship Id="rId198" Type="http://schemas.openxmlformats.org/officeDocument/2006/relationships/footer" Target="footer92.xml"/><Relationship Id="rId321" Type="http://schemas.openxmlformats.org/officeDocument/2006/relationships/footer" Target="footer154.xml"/><Relationship Id="rId202" Type="http://schemas.openxmlformats.org/officeDocument/2006/relationships/header" Target="header95.xml"/><Relationship Id="rId223" Type="http://schemas.openxmlformats.org/officeDocument/2006/relationships/footer" Target="footer105.xml"/><Relationship Id="rId244" Type="http://schemas.openxmlformats.org/officeDocument/2006/relationships/footer" Target="footer115.xml"/><Relationship Id="rId18" Type="http://schemas.openxmlformats.org/officeDocument/2006/relationships/header" Target="header4.xml"/><Relationship Id="rId39" Type="http://schemas.openxmlformats.org/officeDocument/2006/relationships/footer" Target="footer13.xml"/><Relationship Id="rId265" Type="http://schemas.openxmlformats.org/officeDocument/2006/relationships/footer" Target="footer126.xml"/><Relationship Id="rId286" Type="http://schemas.openxmlformats.org/officeDocument/2006/relationships/header" Target="header137.xml"/><Relationship Id="rId50" Type="http://schemas.openxmlformats.org/officeDocument/2006/relationships/footer" Target="footer18.xml"/><Relationship Id="rId104" Type="http://schemas.openxmlformats.org/officeDocument/2006/relationships/footer" Target="footer45.xml"/><Relationship Id="rId125" Type="http://schemas.openxmlformats.org/officeDocument/2006/relationships/footer" Target="footer56.xml"/><Relationship Id="rId146" Type="http://schemas.openxmlformats.org/officeDocument/2006/relationships/header" Target="header67.xml"/><Relationship Id="rId167" Type="http://schemas.openxmlformats.org/officeDocument/2006/relationships/footer" Target="footer77.xml"/><Relationship Id="rId188" Type="http://schemas.openxmlformats.org/officeDocument/2006/relationships/header" Target="header88.xml"/><Relationship Id="rId311" Type="http://schemas.openxmlformats.org/officeDocument/2006/relationships/header" Target="header150.xml"/><Relationship Id="rId332" Type="http://schemas.openxmlformats.org/officeDocument/2006/relationships/header" Target="header160.xml"/><Relationship Id="rId71" Type="http://schemas.openxmlformats.org/officeDocument/2006/relationships/header" Target="header30.xml"/><Relationship Id="rId92" Type="http://schemas.openxmlformats.org/officeDocument/2006/relationships/header" Target="header40.xml"/><Relationship Id="rId213" Type="http://schemas.openxmlformats.org/officeDocument/2006/relationships/header" Target="header101.xml"/><Relationship Id="rId234" Type="http://schemas.openxmlformats.org/officeDocument/2006/relationships/header" Target="header111.xml"/><Relationship Id="rId2" Type="http://schemas.openxmlformats.org/officeDocument/2006/relationships/customXml" Target="../customXml/item2.xml"/><Relationship Id="rId29" Type="http://schemas.openxmlformats.org/officeDocument/2006/relationships/footer" Target="footer9.xml"/><Relationship Id="rId255" Type="http://schemas.openxmlformats.org/officeDocument/2006/relationships/header" Target="header122.xml"/><Relationship Id="rId276" Type="http://schemas.openxmlformats.org/officeDocument/2006/relationships/header" Target="header132.xml"/><Relationship Id="rId297" Type="http://schemas.openxmlformats.org/officeDocument/2006/relationships/footer" Target="footer142.xml"/><Relationship Id="rId40" Type="http://schemas.openxmlformats.org/officeDocument/2006/relationships/header" Target="header14.xml"/><Relationship Id="rId115" Type="http://schemas.openxmlformats.org/officeDocument/2006/relationships/header" Target="header52.xml"/><Relationship Id="rId136" Type="http://schemas.openxmlformats.org/officeDocument/2006/relationships/footer" Target="footer61.xml"/><Relationship Id="rId157" Type="http://schemas.openxmlformats.org/officeDocument/2006/relationships/footer" Target="footer72.xml"/><Relationship Id="rId178" Type="http://schemas.openxmlformats.org/officeDocument/2006/relationships/header" Target="header83.xml"/><Relationship Id="rId301" Type="http://schemas.openxmlformats.org/officeDocument/2006/relationships/footer" Target="footer144.xml"/><Relationship Id="rId322" Type="http://schemas.openxmlformats.org/officeDocument/2006/relationships/header" Target="header155.xml"/><Relationship Id="rId61" Type="http://schemas.openxmlformats.org/officeDocument/2006/relationships/footer" Target="footer24.xml"/><Relationship Id="rId82" Type="http://schemas.openxmlformats.org/officeDocument/2006/relationships/header" Target="header35.xml"/><Relationship Id="rId199" Type="http://schemas.openxmlformats.org/officeDocument/2006/relationships/footer" Target="footer93.xml"/><Relationship Id="rId203" Type="http://schemas.openxmlformats.org/officeDocument/2006/relationships/footer" Target="footer95.xml"/><Relationship Id="rId19" Type="http://schemas.openxmlformats.org/officeDocument/2006/relationships/header" Target="header5.xml"/><Relationship Id="rId224" Type="http://schemas.openxmlformats.org/officeDocument/2006/relationships/header" Target="header106.xml"/><Relationship Id="rId245" Type="http://schemas.openxmlformats.org/officeDocument/2006/relationships/footer" Target="footer116.xml"/><Relationship Id="rId266" Type="http://schemas.openxmlformats.org/officeDocument/2006/relationships/header" Target="header127.xml"/><Relationship Id="rId287" Type="http://schemas.openxmlformats.org/officeDocument/2006/relationships/header" Target="header138.xml"/><Relationship Id="rId30" Type="http://schemas.openxmlformats.org/officeDocument/2006/relationships/header" Target="header10.xml"/><Relationship Id="rId105" Type="http://schemas.openxmlformats.org/officeDocument/2006/relationships/footer" Target="footer46.xml"/><Relationship Id="rId126" Type="http://schemas.openxmlformats.org/officeDocument/2006/relationships/header" Target="header57.xml"/><Relationship Id="rId147" Type="http://schemas.openxmlformats.org/officeDocument/2006/relationships/header" Target="header68.xml"/><Relationship Id="rId168" Type="http://schemas.openxmlformats.org/officeDocument/2006/relationships/header" Target="header78.xml"/><Relationship Id="rId312" Type="http://schemas.openxmlformats.org/officeDocument/2006/relationships/footer" Target="footer149.xml"/><Relationship Id="rId333" Type="http://schemas.openxmlformats.org/officeDocument/2006/relationships/footer" Target="footer16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resnumber xmlns="1700ab43-7395-48ff-866c-657c86ba7f4e" xsi:nil="true"/>
    <_ip_UnifiedCompliancePolicyUIAction xmlns="http://schemas.microsoft.com/sharepoint/v3" xsi:nil="true"/>
    <ISCreferencenumber xmlns="1700ab43-7395-48ff-866c-657c86ba7f4e" xsi:nil="true"/>
    <Status xmlns="1700ab43-7395-48ff-866c-657c86ba7f4e" xsi:nil="true"/>
    <Whoneedstoanswer xmlns="1700ab43-7395-48ff-866c-657c86ba7f4e" xsi:nil="true"/>
    <TaxCatchAll xmlns="e6c3bc29-9e11-4027-900b-c73633d7928a" xsi:nil="true"/>
    <Stage xmlns="1700ab43-7395-48ff-866c-657c86ba7f4e" xsi:nil="true"/>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_ip_UnifiedCompliancePolicyProperties xmlns="http://schemas.microsoft.com/sharepoint/v3" xsi:nil="true"/>
    <Level xmlns="1700ab43-7395-48ff-866c-657c86ba7f4e" xsi:nil="true"/>
    <Deadline xmlns="1700ab43-7395-48ff-866c-657c86ba7f4e" xsi:nil="true"/>
    <Answersent xmlns="1700ab43-7395-48ff-866c-657c86ba7f4e">false</Answersent>
    <Scope xmlns="1700ab43-7395-48ff-866c-657c86ba7f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9" ma:contentTypeDescription="Create a new document." ma:contentTypeScope="" ma:versionID="9db2e4c9d20f3bfed58be960cea45ab1">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148b552bb32bac13736f38ad3d6cdb2a"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Status" minOccurs="0"/>
                <xsd:element ref="ns2:Deadline" minOccurs="0"/>
                <xsd:element ref="ns2:ISCreferencenumber" minOccurs="0"/>
                <xsd:element ref="ns2:Answersent" minOccurs="0"/>
                <xsd:element ref="ns2:Whoneedstoanswer" minOccurs="0"/>
                <xsd:element ref="ns2:Stage" minOccurs="0"/>
                <xsd:element ref="ns2:Level" minOccurs="0"/>
                <xsd:element ref="ns2:Scope" minOccurs="0"/>
                <xsd:element ref="ns2:Aresnumber" minOccurs="0"/>
                <xsd:element ref="ns3:SharedWithUsers" minOccurs="0"/>
                <xsd:element ref="ns3:SharedWithDetails" minOccurs="0"/>
                <xsd:element ref="ns2:MediaServiceMetadata" minOccurs="0"/>
                <xsd:element ref="ns2:MediaServiceFastMetadata" minOccurs="0"/>
                <xsd:element ref="ns2:MediaServiceAutoKeyPoints" minOccurs="0"/>
                <xsd:element ref="ns1:_ip_UnifiedCompliancePolicyProperties" minOccurs="0"/>
                <xsd:element ref="ns1:_ip_UnifiedCompliancePolicyUIAction"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ma:readOnly="false">
      <xsd:simpleType>
        <xsd:restriction base="dms:Note"/>
      </xsd:simpleType>
    </xsd:element>
    <xsd:element name="_ip_UnifiedCompliancePolicyUIAction" ma:index="2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Status" ma:index="2" nillable="true" ma:displayName="Status" ma:format="Dropdown" ma:internalName="Status" ma:readOnly="false">
      <xsd:simpleType>
        <xsd:restriction base="dms:Choice">
          <xsd:enumeration value="Ongoing"/>
          <xsd:enumeration value="Closed"/>
        </xsd:restriction>
      </xsd:simpleType>
    </xsd:element>
    <xsd:element name="Deadline" ma:index="3" nillable="true" ma:displayName="Deadline" ma:format="DateOnly" ma:internalName="Deadline" ma:readOnly="false">
      <xsd:simpleType>
        <xsd:restriction base="dms:DateTime"/>
      </xsd:simpleType>
    </xsd:element>
    <xsd:element name="ISCreferencenumber" ma:index="4" nillable="true" ma:displayName="ISC reference number" ma:format="Dropdown" ma:internalName="ISCreferencenumber" ma:readOnly="false">
      <xsd:simpleType>
        <xsd:restriction base="dms:Text">
          <xsd:maxLength value="255"/>
        </xsd:restriction>
      </xsd:simpleType>
    </xsd:element>
    <xsd:element name="Answersent" ma:index="5" nillable="true" ma:displayName="Answer sent" ma:default="0" ma:format="Dropdown" ma:internalName="Answersent" ma:readOnly="false">
      <xsd:simpleType>
        <xsd:restriction base="dms:Boolean"/>
      </xsd:simpleType>
    </xsd:element>
    <xsd:element name="Whoneedstoanswer" ma:index="6" nillable="true" ma:displayName="Who needs to answer" ma:description="please indicate who received the ISC" ma:format="Dropdown" ma:internalName="Whoneedstoanswer" ma:readOnly="false">
      <xsd:simpleType>
        <xsd:restriction base="dms:Choice">
          <xsd:enumeration value="ECFIN"/>
          <xsd:enumeration value="SG RECOVER"/>
          <xsd:enumeration value="Both"/>
        </xsd:restriction>
      </xsd:simpleType>
    </xsd:element>
    <xsd:element name="Stage" ma:index="7" nillable="true" ma:displayName="Phase" ma:format="Dropdown" ma:internalName="Stage">
      <xsd:complexType>
        <xsd:complexContent>
          <xsd:extension base="dms:MultiChoice">
            <xsd:sequence>
              <xsd:element name="Value" maxOccurs="unbounded" minOccurs="0" nillable="true">
                <xsd:simpleType>
                  <xsd:restriction base="dms:Choice">
                    <xsd:enumeration value="Preparation"/>
                    <xsd:enumeration value="1st payment request"/>
                    <xsd:enumeration value="3rd Payment request"/>
                    <xsd:enumeration value="4th Payment request"/>
                    <xsd:enumeration value="5th Payment request"/>
                    <xsd:enumeration value="6th Payment request"/>
                    <xsd:enumeration value="2nd payment request"/>
                    <xsd:enumeration value="7th Payment request"/>
                    <xsd:enumeration value="8th Payment request"/>
                  </xsd:restriction>
                </xsd:simpleType>
              </xsd:element>
            </xsd:sequence>
          </xsd:extension>
        </xsd:complexContent>
      </xsd:complexType>
    </xsd:element>
    <xsd:element name="Level" ma:index="8" nillable="true" ma:displayName="Level" ma:description="depending if E&amp;D attended" ma:format="Dropdown" ma:internalName="Level" ma:readOnly="false">
      <xsd:simpleType>
        <xsd:restriction base="dms:Choice">
          <xsd:enumeration value="Principals"/>
          <xsd:enumeration value="Technical"/>
        </xsd:restriction>
      </xsd:simpleType>
    </xsd:element>
    <xsd:element name="Scope" ma:index="9" nillable="true" ma:displayName="Scope" ma:format="Dropdown" ma:internalName="Scope" ma:readOnly="false">
      <xsd:simpleType>
        <xsd:restriction base="dms:Choice">
          <xsd:enumeration value="General"/>
          <xsd:enumeration value="Thematic"/>
        </xsd:restriction>
      </xsd:simpleType>
    </xsd:element>
    <xsd:element name="Aresnumber" ma:index="10" nillable="true" ma:displayName="Ares number" ma:format="Dropdown" ma:internalName="Aresnumber" ma:readOnly="false">
      <xsd:simpleType>
        <xsd:restriction base="dms:Text">
          <xsd:maxLength value="255"/>
        </xsd:restrictio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OCR" ma:index="32" nillable="true" ma:displayName="Extracted Text" ma:hidden="true" ma:internalName="MediaServiceOCR" ma:readOnly="true">
      <xsd:simpleType>
        <xsd:restriction base="dms:Note"/>
      </xsd:simpleType>
    </xsd:element>
    <xsd:element name="MediaServiceLocation" ma:index="33" nillable="true" ma:displayName="Location" ma:hidden="true" ma:indexed="true" ma:internalName="MediaServiceLocatio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bda955a7-c319-4d68-acea-690316db2eb1}" ma:internalName="TaxCatchAll" ma:readOnly="false"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54A22-D7DC-4B95-88DF-C581E82E9925}">
  <ds:schemaRefs>
    <ds:schemaRef ds:uri="http://schemas.microsoft.com/sharepoint/v3/contenttype/forms"/>
  </ds:schemaRefs>
</ds:datastoreItem>
</file>

<file path=customXml/itemProps2.xml><?xml version="1.0" encoding="utf-8"?>
<ds:datastoreItem xmlns:ds="http://schemas.openxmlformats.org/officeDocument/2006/customXml" ds:itemID="{5AFCE501-1649-4A9D-8234-D4B586F9AF03}">
  <ds:schemaRefs>
    <ds:schemaRef ds:uri="http://schemas.microsoft.com/office/2006/metadata/properties"/>
    <ds:schemaRef ds:uri="http://schemas.microsoft.com/office/infopath/2007/PartnerControls"/>
    <ds:schemaRef ds:uri="1700ab43-7395-48ff-866c-657c86ba7f4e"/>
    <ds:schemaRef ds:uri="http://schemas.microsoft.com/sharepoint/v3"/>
    <ds:schemaRef ds:uri="e6c3bc29-9e11-4027-900b-c73633d7928a"/>
  </ds:schemaRefs>
</ds:datastoreItem>
</file>

<file path=customXml/itemProps3.xml><?xml version="1.0" encoding="utf-8"?>
<ds:datastoreItem xmlns:ds="http://schemas.openxmlformats.org/officeDocument/2006/customXml" ds:itemID="{6910E60D-D881-4077-B369-EC2426ECD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D5AB20-D772-40A2-8515-5D07AE7F2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14</Pages>
  <Words>115914</Words>
  <Characters>660713</Characters>
  <Application>Microsoft Office Word</Application>
  <DocSecurity>0</DocSecurity>
  <Lines>5505</Lines>
  <Paragraphs>1550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775077</CharactersWithSpaces>
  <SharedDoc>false</SharedDoc>
  <HLinks>
    <vt:vector size="60" baseType="variant">
      <vt:variant>
        <vt:i4>1245187</vt:i4>
      </vt:variant>
      <vt:variant>
        <vt:i4>3</vt:i4>
      </vt:variant>
      <vt:variant>
        <vt:i4>0</vt:i4>
      </vt:variant>
      <vt:variant>
        <vt:i4>5</vt:i4>
      </vt:variant>
      <vt:variant>
        <vt:lpwstr>https://www.inps.it/</vt:lpwstr>
      </vt:variant>
      <vt:variant>
        <vt:lpwstr/>
      </vt:variant>
      <vt:variant>
        <vt:i4>1245187</vt:i4>
      </vt:variant>
      <vt:variant>
        <vt:i4>0</vt:i4>
      </vt:variant>
      <vt:variant>
        <vt:i4>0</vt:i4>
      </vt:variant>
      <vt:variant>
        <vt:i4>5</vt:i4>
      </vt:variant>
      <vt:variant>
        <vt:lpwstr>https://www.inps.it/</vt:lpwstr>
      </vt:variant>
      <vt:variant>
        <vt:lpwstr/>
      </vt:variant>
      <vt:variant>
        <vt:i4>5308451</vt:i4>
      </vt:variant>
      <vt:variant>
        <vt:i4>21</vt:i4>
      </vt:variant>
      <vt:variant>
        <vt:i4>0</vt:i4>
      </vt:variant>
      <vt:variant>
        <vt:i4>5</vt:i4>
      </vt:variant>
      <vt:variant>
        <vt:lpwstr>mailto:Maria-Chiara.MORANDINI@ec.europa.eu</vt:lpwstr>
      </vt:variant>
      <vt:variant>
        <vt:lpwstr/>
      </vt:variant>
      <vt:variant>
        <vt:i4>4980840</vt:i4>
      </vt:variant>
      <vt:variant>
        <vt:i4>18</vt:i4>
      </vt:variant>
      <vt:variant>
        <vt:i4>0</vt:i4>
      </vt:variant>
      <vt:variant>
        <vt:i4>5</vt:i4>
      </vt:variant>
      <vt:variant>
        <vt:lpwstr>mailto:Valentina.RUSCONI@ec.europa.eu</vt:lpwstr>
      </vt:variant>
      <vt:variant>
        <vt:lpwstr/>
      </vt:variant>
      <vt:variant>
        <vt:i4>5308451</vt:i4>
      </vt:variant>
      <vt:variant>
        <vt:i4>15</vt:i4>
      </vt:variant>
      <vt:variant>
        <vt:i4>0</vt:i4>
      </vt:variant>
      <vt:variant>
        <vt:i4>5</vt:i4>
      </vt:variant>
      <vt:variant>
        <vt:lpwstr>mailto:Maria-Chiara.MORANDINI@ec.europa.eu</vt:lpwstr>
      </vt:variant>
      <vt:variant>
        <vt:lpwstr/>
      </vt:variant>
      <vt:variant>
        <vt:i4>4980840</vt:i4>
      </vt:variant>
      <vt:variant>
        <vt:i4>12</vt:i4>
      </vt:variant>
      <vt:variant>
        <vt:i4>0</vt:i4>
      </vt:variant>
      <vt:variant>
        <vt:i4>5</vt:i4>
      </vt:variant>
      <vt:variant>
        <vt:lpwstr>mailto:Valentina.RUSCONI@ec.europa.eu</vt:lpwstr>
      </vt:variant>
      <vt:variant>
        <vt:lpwstr/>
      </vt:variant>
      <vt:variant>
        <vt:i4>5308451</vt:i4>
      </vt:variant>
      <vt:variant>
        <vt:i4>9</vt:i4>
      </vt:variant>
      <vt:variant>
        <vt:i4>0</vt:i4>
      </vt:variant>
      <vt:variant>
        <vt:i4>5</vt:i4>
      </vt:variant>
      <vt:variant>
        <vt:lpwstr>mailto:Maria-Chiara.MORANDINI@ec.europa.eu</vt:lpwstr>
      </vt:variant>
      <vt:variant>
        <vt:lpwstr/>
      </vt:variant>
      <vt:variant>
        <vt:i4>4980840</vt:i4>
      </vt:variant>
      <vt:variant>
        <vt:i4>6</vt:i4>
      </vt:variant>
      <vt:variant>
        <vt:i4>0</vt:i4>
      </vt:variant>
      <vt:variant>
        <vt:i4>5</vt:i4>
      </vt:variant>
      <vt:variant>
        <vt:lpwstr>mailto:Valentina.RUSCONI@ec.europa.eu</vt:lpwstr>
      </vt:variant>
      <vt:variant>
        <vt:lpwstr/>
      </vt:variant>
      <vt:variant>
        <vt:i4>5308451</vt:i4>
      </vt:variant>
      <vt:variant>
        <vt:i4>3</vt:i4>
      </vt:variant>
      <vt:variant>
        <vt:i4>0</vt:i4>
      </vt:variant>
      <vt:variant>
        <vt:i4>5</vt:i4>
      </vt:variant>
      <vt:variant>
        <vt:lpwstr>mailto:Maria-Chiara.MORANDINI@ec.europa.eu</vt:lpwstr>
      </vt:variant>
      <vt:variant>
        <vt:lpwstr/>
      </vt:variant>
      <vt:variant>
        <vt:i4>4980840</vt:i4>
      </vt:variant>
      <vt:variant>
        <vt:i4>0</vt:i4>
      </vt:variant>
      <vt:variant>
        <vt:i4>0</vt:i4>
      </vt:variant>
      <vt:variant>
        <vt:i4>5</vt:i4>
      </vt:variant>
      <vt:variant>
        <vt:lpwstr>mailto:Valentina.RUSCONI@ec.europa.eu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150</cp:revision>
  <cp:lastPrinted>2025-10-28T07:47:00Z</cp:lastPrinted>
  <dcterms:created xsi:type="dcterms:W3CDTF">2025-10-28T04:44:00Z</dcterms:created>
  <dcterms:modified xsi:type="dcterms:W3CDTF">2025-11-11T18:07:00Z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2025-10-23T06:16:24Z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fd7a458d-847f-48cd-a977-57b575bcde44</vt:lpwstr>
  </property>
  <property fmtid="{D5CDD505-2E9C-101B-9397-08002B2CF9AE}" pid="8" name="MSIP_Label_6bd9ddd1-4d20-43f6-abfa-fc3c07406f94_ContentBits">
    <vt:lpwstr>0</vt:lpwstr>
  </property>
  <property fmtid="{D5CDD505-2E9C-101B-9397-08002B2CF9AE}" pid="9" name="MSIP_Label_6bd9ddd1-4d20-43f6-abfa-fc3c07406f94_Tag">
    <vt:lpwstr>10, 3, 0, 1</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9.2, Build 20250828</vt:lpwstr>
  </property>
  <property fmtid="{D5CDD505-2E9C-101B-9397-08002B2CF9AE}" pid="19" name="Created using">
    <vt:lpwstr>LW 9.1, Build 20240808</vt:lpwstr>
  </property>
  <property fmtid="{D5CDD505-2E9C-101B-9397-08002B2CF9AE}" pid="20" name="ContentTypeId">
    <vt:lpwstr>0x01010062094E9F29D6C04F85860C631ABC812A</vt:lpwstr>
  </property>
  <property fmtid="{D5CDD505-2E9C-101B-9397-08002B2CF9AE}" pid="21" name="MediaServiceImageTags">
    <vt:lpwstr/>
  </property>
</Properties>
</file>